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2AD" w:rsidRDefault="0023313F" w:rsidP="00C462AD">
      <w:pPr>
        <w:rPr>
          <w:lang w:eastAsia="ja-JP"/>
        </w:rPr>
      </w:pPr>
      <w:r>
        <w:rPr>
          <w:rFonts w:ascii="Garamond" w:hAnsi="Garamond"/>
          <w:noProof/>
          <w:sz w:val="22"/>
          <w:szCs w:val="22"/>
          <w:lang w:val="en-AU" w:eastAsia="en-AU"/>
        </w:rPr>
        <mc:AlternateContent>
          <mc:Choice Requires="wps">
            <w:drawing>
              <wp:anchor distT="0" distB="0" distL="114300" distR="114300" simplePos="0" relativeHeight="251660288" behindDoc="0" locked="0" layoutInCell="1" allowOverlap="1">
                <wp:simplePos x="0" y="0"/>
                <wp:positionH relativeFrom="column">
                  <wp:posOffset>6022340</wp:posOffset>
                </wp:positionH>
                <wp:positionV relativeFrom="paragraph">
                  <wp:posOffset>114935</wp:posOffset>
                </wp:positionV>
                <wp:extent cx="733425" cy="1611630"/>
                <wp:effectExtent l="2540" t="635"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611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4297B" w:rsidRDefault="0023313F" w:rsidP="00C462AD">
                            <w:pPr>
                              <w:jc w:val="center"/>
                            </w:pPr>
                            <w:r>
                              <w:rPr>
                                <w:noProof/>
                                <w:lang w:val="en-AU" w:eastAsia="en-AU"/>
                              </w:rPr>
                              <w:drawing>
                                <wp:inline distT="0" distB="0" distL="0" distR="0">
                                  <wp:extent cx="390525" cy="809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809625"/>
                                          </a:xfrm>
                                          <a:prstGeom prst="rect">
                                            <a:avLst/>
                                          </a:prstGeom>
                                          <a:noFill/>
                                          <a:ln>
                                            <a:noFill/>
                                          </a:ln>
                                        </pic:spPr>
                                      </pic:pic>
                                    </a:graphicData>
                                  </a:graphic>
                                </wp:inline>
                              </w:drawing>
                            </w:r>
                          </w:p>
                          <w:p w:rsidR="0024297B" w:rsidRDefault="0024297B" w:rsidP="00C46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74.2pt;margin-top:9.05pt;width:57.75pt;height:12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" filled="f" stroked="f">
                <v:textbox>
                  <w:txbxContent>
                    <w:p w:rsidR="0024297B" w:rsidRDefault="0023313F" w:rsidP="00C462AD">
                      <w:pPr>
                        <w:jc w:val="center"/>
                      </w:pPr>
                      <w:r>
                        <w:rPr>
                          <w:noProof/>
                          <w:lang w:val="en-AU" w:eastAsia="en-AU"/>
                        </w:rPr>
                        <w:drawing>
                          <wp:inline distT="0" distB="0" distL="0" distR="0">
                            <wp:extent cx="390525" cy="809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809625"/>
                                    </a:xfrm>
                                    <a:prstGeom prst="rect">
                                      <a:avLst/>
                                    </a:prstGeom>
                                    <a:noFill/>
                                    <a:ln>
                                      <a:noFill/>
                                    </a:ln>
                                  </pic:spPr>
                                </pic:pic>
                              </a:graphicData>
                            </a:graphic>
                          </wp:inline>
                        </w:drawing>
                      </w:r>
                    </w:p>
                    <w:p w:rsidR="0024297B" w:rsidRDefault="0024297B" w:rsidP="00C462AD"/>
                  </w:txbxContent>
                </v:textbox>
              </v:shape>
            </w:pict>
          </mc:Fallback>
        </mc:AlternateContent>
      </w:r>
      <w:r>
        <w:rPr>
          <w:b/>
          <w:bCs/>
          <w:caps/>
          <w:noProof/>
          <w:lang w:val="en-AU" w:eastAsia="en-AU"/>
        </w:rPr>
        <mc:AlternateContent>
          <mc:Choice Requires="wps">
            <w:drawing>
              <wp:anchor distT="0" distB="0" distL="114300" distR="114300" simplePos="0" relativeHeight="251657216" behindDoc="0" locked="0" layoutInCell="1" allowOverlap="1">
                <wp:simplePos x="0" y="0"/>
                <wp:positionH relativeFrom="column">
                  <wp:posOffset>-533400</wp:posOffset>
                </wp:positionH>
                <wp:positionV relativeFrom="paragraph">
                  <wp:posOffset>-571500</wp:posOffset>
                </wp:positionV>
                <wp:extent cx="2099310" cy="13786485"/>
                <wp:effectExtent l="9525" t="9525" r="5715" b="5715"/>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13786485"/>
                        </a:xfrm>
                        <a:prstGeom prst="rect">
                          <a:avLst/>
                        </a:prstGeom>
                        <a:solidFill>
                          <a:srgbClr val="333399"/>
                        </a:solidFill>
                        <a:ln w="9525">
                          <a:solidFill>
                            <a:srgbClr val="3333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2pt;margin-top:-45pt;width:165.3pt;height:108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" fillcolor="#339" strokecolor="#339"/>
            </w:pict>
          </mc:Fallback>
        </mc:AlternateContent>
      </w:r>
    </w:p>
    <w:p w:rsidR="00C462AD" w:rsidRPr="003A184F" w:rsidRDefault="0023313F" w:rsidP="00AB3075">
      <w:pPr>
        <w:rPr>
          <w:rFonts w:ascii="Garamond" w:hAnsi="Garamond"/>
          <w:sz w:val="22"/>
          <w:szCs w:val="22"/>
        </w:rPr>
      </w:pPr>
      <w:r>
        <w:rPr>
          <w:rFonts w:ascii="Garamond" w:hAnsi="Garamond"/>
          <w:noProof/>
          <w:sz w:val="22"/>
          <w:szCs w:val="22"/>
          <w:lang w:val="en-AU" w:eastAsia="en-AU"/>
        </w:rPr>
        <w:drawing>
          <wp:anchor distT="0" distB="0" distL="114300" distR="114300" simplePos="0" relativeHeight="251662336" behindDoc="0" locked="0" layoutInCell="1" allowOverlap="1">
            <wp:simplePos x="0" y="0"/>
            <wp:positionH relativeFrom="column">
              <wp:posOffset>4031615</wp:posOffset>
            </wp:positionH>
            <wp:positionV relativeFrom="paragraph">
              <wp:posOffset>89535</wp:posOffset>
            </wp:positionV>
            <wp:extent cx="741045" cy="735965"/>
            <wp:effectExtent l="0" t="0" r="1905"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735965"/>
                    </a:xfrm>
                    <a:prstGeom prst="rect">
                      <a:avLst/>
                    </a:prstGeom>
                    <a:noFill/>
                  </pic:spPr>
                </pic:pic>
              </a:graphicData>
            </a:graphic>
            <wp14:sizeRelH relativeFrom="page">
              <wp14:pctWidth>0</wp14:pctWidth>
            </wp14:sizeRelH>
            <wp14:sizeRelV relativeFrom="page">
              <wp14:pctHeight>0</wp14:pctHeight>
            </wp14:sizeRelV>
          </wp:anchor>
        </w:drawing>
      </w:r>
      <w:r w:rsidR="00AB3075">
        <w:t xml:space="preserve">                                            </w:t>
      </w:r>
      <w:r>
        <w:rPr>
          <w:noProof/>
          <w:lang w:val="en-AU" w:eastAsia="en-AU"/>
        </w:rPr>
        <w:drawing>
          <wp:inline distT="0" distB="0" distL="0" distR="0">
            <wp:extent cx="213360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514350"/>
                    </a:xfrm>
                    <a:prstGeom prst="rect">
                      <a:avLst/>
                    </a:prstGeom>
                    <a:noFill/>
                    <a:ln>
                      <a:noFill/>
                    </a:ln>
                  </pic:spPr>
                </pic:pic>
              </a:graphicData>
            </a:graphic>
          </wp:inline>
        </w:drawing>
      </w:r>
      <w:r w:rsidR="00C462AD">
        <w:t xml:space="preserve">           </w:t>
      </w:r>
      <w:r w:rsidR="00AB3075">
        <w:t xml:space="preserve">                        </w:t>
      </w:r>
      <w:r>
        <w:rPr>
          <w:rFonts w:ascii="Arial" w:hAnsi="Arial" w:cs="Arial"/>
          <w:b/>
          <w:bCs/>
          <w:noProof/>
          <w:sz w:val="20"/>
          <w:lang w:val="en-AU" w:eastAsia="en-AU"/>
        </w:rPr>
        <w:drawing>
          <wp:inline distT="0" distB="0" distL="0" distR="0">
            <wp:extent cx="79057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75" cy="838200"/>
                    </a:xfrm>
                    <a:prstGeom prst="rect">
                      <a:avLst/>
                    </a:prstGeom>
                    <a:noFill/>
                    <a:ln>
                      <a:noFill/>
                    </a:ln>
                  </pic:spPr>
                </pic:pic>
              </a:graphicData>
            </a:graphic>
          </wp:inline>
        </w:drawing>
      </w:r>
    </w:p>
    <w:p w:rsidR="00C462AD" w:rsidRPr="003A184F" w:rsidRDefault="00C462AD" w:rsidP="00C462AD">
      <w:pPr>
        <w:pStyle w:val="Heading7"/>
        <w:jc w:val="both"/>
        <w:rPr>
          <w:rFonts w:ascii="Garamond" w:hAnsi="Garamond"/>
          <w:sz w:val="22"/>
          <w:szCs w:val="22"/>
        </w:rPr>
      </w:pPr>
    </w:p>
    <w:p w:rsidR="00C462AD" w:rsidRPr="0053260B" w:rsidRDefault="00C462AD" w:rsidP="00C462AD">
      <w:pPr>
        <w:pStyle w:val="Heading7"/>
        <w:ind w:left="1980"/>
        <w:jc w:val="both"/>
        <w:rPr>
          <w:rFonts w:ascii="Garamond" w:hAnsi="Garamond"/>
          <w:sz w:val="22"/>
          <w:szCs w:val="22"/>
        </w:rPr>
      </w:pPr>
      <w:r w:rsidRPr="0053260B">
        <w:t xml:space="preserve">                        </w:t>
      </w:r>
      <w:r>
        <w:t xml:space="preserve"> </w:t>
      </w:r>
      <w:r w:rsidRPr="0053260B">
        <w:t xml:space="preserve"> </w:t>
      </w:r>
    </w:p>
    <w:p w:rsidR="00C462AD" w:rsidRPr="0053260B" w:rsidRDefault="009E581F" w:rsidP="00C462AD">
      <w:pPr>
        <w:pStyle w:val="Heading7"/>
        <w:jc w:val="both"/>
        <w:rPr>
          <w:rFonts w:ascii="Garamond" w:hAnsi="Garamond"/>
          <w:sz w:val="22"/>
          <w:szCs w:val="22"/>
        </w:rPr>
      </w:pPr>
      <w:proofErr w:type="spellStart"/>
      <w:proofErr w:type="gramStart"/>
      <w:r>
        <w:rPr>
          <w:rFonts w:ascii="Garamond" w:hAnsi="Garamond"/>
          <w:sz w:val="22"/>
          <w:szCs w:val="22"/>
        </w:rPr>
        <w:t>asasasas</w:t>
      </w:r>
      <w:proofErr w:type="spellEnd"/>
      <w:proofErr w:type="gramEnd"/>
    </w:p>
    <w:p w:rsidR="00C462AD" w:rsidRPr="0053260B" w:rsidRDefault="00C462AD" w:rsidP="00C462AD">
      <w:pPr>
        <w:jc w:val="both"/>
        <w:rPr>
          <w:rFonts w:ascii="Garamond" w:hAnsi="Garamond"/>
          <w:sz w:val="22"/>
          <w:szCs w:val="22"/>
        </w:rPr>
      </w:pPr>
    </w:p>
    <w:p w:rsidR="00C462AD" w:rsidRPr="003A184F" w:rsidRDefault="0023313F" w:rsidP="00C462AD">
      <w:pPr>
        <w:pStyle w:val="Heading7"/>
        <w:jc w:val="both"/>
        <w:rPr>
          <w:rFonts w:ascii="Garamond" w:hAnsi="Garamond"/>
          <w:sz w:val="22"/>
          <w:szCs w:val="22"/>
        </w:rPr>
      </w:pPr>
      <w:r>
        <w:rPr>
          <w:b/>
          <w:bCs/>
          <w:caps/>
          <w:noProof/>
          <w:lang w:val="en-AU" w:eastAsia="en-AU"/>
        </w:rPr>
        <mc:AlternateContent>
          <mc:Choice Requires="wps">
            <w:drawing>
              <wp:anchor distT="0" distB="0" distL="114300" distR="114300" simplePos="0" relativeHeight="251661312" behindDoc="0" locked="0" layoutInCell="1" allowOverlap="1" wp14:anchorId="01C49553" wp14:editId="6DA147EC">
                <wp:simplePos x="0" y="0"/>
                <wp:positionH relativeFrom="column">
                  <wp:posOffset>2133600</wp:posOffset>
                </wp:positionH>
                <wp:positionV relativeFrom="paragraph">
                  <wp:posOffset>293370</wp:posOffset>
                </wp:positionV>
                <wp:extent cx="4495800" cy="3771900"/>
                <wp:effectExtent l="0" t="0" r="0" b="19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77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97B" w:rsidRPr="00C462AD" w:rsidRDefault="0024297B" w:rsidP="00DE7117">
                            <w:pPr>
                              <w:pStyle w:val="Title"/>
                            </w:pPr>
                            <w:r w:rsidRPr="00DE7117">
                              <w:t>ANNUAL</w:t>
                            </w:r>
                            <w:r w:rsidRPr="00C462AD">
                              <w:t xml:space="preserve"> REPORT 2010</w:t>
                            </w:r>
                          </w:p>
                          <w:p w:rsidR="0024297B" w:rsidRPr="00C462AD" w:rsidRDefault="0024297B" w:rsidP="00C462AD">
                            <w:pPr>
                              <w:spacing w:line="400" w:lineRule="exact"/>
                              <w:jc w:val="right"/>
                              <w:rPr>
                                <w:b/>
                                <w:sz w:val="32"/>
                              </w:rPr>
                            </w:pPr>
                          </w:p>
                          <w:p w:rsidR="0024297B" w:rsidRPr="00DE7117" w:rsidRDefault="0024297B" w:rsidP="00DE7117">
                            <w:pPr>
                              <w:pStyle w:val="Subtitle"/>
                            </w:pPr>
                            <w:r w:rsidRPr="00DE7117">
                              <w:t>Inclusive Finance for Under-Served Economy</w:t>
                            </w:r>
                          </w:p>
                          <w:p w:rsidR="0024297B" w:rsidRPr="00DE7117" w:rsidRDefault="0024297B" w:rsidP="00DE7117">
                            <w:pPr>
                              <w:pStyle w:val="Subtitle"/>
                            </w:pPr>
                            <w:r w:rsidRPr="00DE7117">
                              <w:t>(INFUSE)</w:t>
                            </w:r>
                          </w:p>
                          <w:p w:rsidR="0024297B" w:rsidRDefault="0024297B" w:rsidP="00C462AD">
                            <w:pPr>
                              <w:spacing w:line="400" w:lineRule="exact"/>
                              <w:jc w:val="right"/>
                              <w:rPr>
                                <w:b/>
                                <w:sz w:val="32"/>
                                <w:szCs w:val="32"/>
                                <w:lang w:val="fr-FR"/>
                              </w:rPr>
                            </w:pPr>
                          </w:p>
                          <w:tbl>
                            <w:tblPr>
                              <w:tblW w:w="0" w:type="auto"/>
                              <w:jc w:val="right"/>
                              <w:tblInd w:w="361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797"/>
                              <w:gridCol w:w="1599"/>
                            </w:tblGrid>
                            <w:tr w:rsidR="0024297B" w:rsidRPr="00E462AB" w:rsidTr="00E462AB">
                              <w:trPr>
                                <w:jc w:val="right"/>
                              </w:trPr>
                              <w:tc>
                                <w:tcPr>
                                  <w:tcW w:w="3026" w:type="dxa"/>
                                </w:tcPr>
                                <w:p w:rsidR="0024297B" w:rsidRPr="00E462AB" w:rsidRDefault="0024297B" w:rsidP="00E462AB">
                                  <w:pPr>
                                    <w:spacing w:line="400" w:lineRule="exact"/>
                                    <w:jc w:val="right"/>
                                    <w:rPr>
                                      <w:b/>
                                      <w:sz w:val="32"/>
                                      <w:szCs w:val="32"/>
                                      <w:lang w:val="fr-FR"/>
                                    </w:rPr>
                                  </w:pPr>
                                  <w:r w:rsidRPr="00E462AB">
                                    <w:rPr>
                                      <w:b/>
                                      <w:sz w:val="32"/>
                                      <w:szCs w:val="32"/>
                                      <w:lang w:val="fr-FR"/>
                                    </w:rPr>
                                    <w:t>UN</w:t>
                                  </w:r>
                                  <w:r w:rsidRPr="00E462AB">
                                    <w:rPr>
                                      <w:b/>
                                      <w:sz w:val="32"/>
                                      <w:szCs w:val="32"/>
                                      <w:lang w:val="fr-FR" w:eastAsia="ja-JP"/>
                                    </w:rPr>
                                    <w:t>DP Code:</w:t>
                                  </w:r>
                                </w:p>
                              </w:tc>
                              <w:tc>
                                <w:tcPr>
                                  <w:tcW w:w="1872" w:type="dxa"/>
                                </w:tcPr>
                                <w:p w:rsidR="0024297B" w:rsidRPr="00E462AB" w:rsidRDefault="0024297B" w:rsidP="00E462AB">
                                  <w:pPr>
                                    <w:spacing w:line="400" w:lineRule="exact"/>
                                    <w:jc w:val="right"/>
                                    <w:rPr>
                                      <w:b/>
                                      <w:sz w:val="32"/>
                                      <w:szCs w:val="32"/>
                                      <w:lang w:val="fr-FR"/>
                                    </w:rPr>
                                  </w:pPr>
                                  <w:r w:rsidRPr="00E462AB">
                                    <w:rPr>
                                      <w:b/>
                                      <w:sz w:val="32"/>
                                      <w:szCs w:val="32"/>
                                      <w:lang w:val="fr-FR"/>
                                    </w:rPr>
                                    <w:t>000</w:t>
                                  </w:r>
                                  <w:r w:rsidRPr="00E462AB">
                                    <w:rPr>
                                      <w:b/>
                                      <w:sz w:val="32"/>
                                      <w:szCs w:val="32"/>
                                      <w:lang w:val="fr-FR" w:eastAsia="ja-JP"/>
                                    </w:rPr>
                                    <w:t>61961</w:t>
                                  </w:r>
                                </w:p>
                              </w:tc>
                            </w:tr>
                            <w:tr w:rsidR="0024297B" w:rsidRPr="00E462AB" w:rsidTr="00E462AB">
                              <w:trPr>
                                <w:jc w:val="right"/>
                              </w:trPr>
                              <w:tc>
                                <w:tcPr>
                                  <w:tcW w:w="3026" w:type="dxa"/>
                                </w:tcPr>
                                <w:p w:rsidR="0024297B" w:rsidRPr="00E462AB" w:rsidRDefault="0024297B" w:rsidP="00E462AB">
                                  <w:pPr>
                                    <w:spacing w:line="400" w:lineRule="exact"/>
                                    <w:jc w:val="right"/>
                                    <w:rPr>
                                      <w:b/>
                                      <w:sz w:val="32"/>
                                      <w:szCs w:val="32"/>
                                      <w:lang w:val="fr-FR"/>
                                    </w:rPr>
                                  </w:pPr>
                                  <w:r w:rsidRPr="00E462AB">
                                    <w:rPr>
                                      <w:b/>
                                      <w:sz w:val="32"/>
                                      <w:szCs w:val="32"/>
                                      <w:lang w:val="fr-FR"/>
                                    </w:rPr>
                                    <w:t>UNCDF Codes:</w:t>
                                  </w:r>
                                </w:p>
                              </w:tc>
                              <w:tc>
                                <w:tcPr>
                                  <w:tcW w:w="1872" w:type="dxa"/>
                                </w:tcPr>
                                <w:p w:rsidR="0024297B" w:rsidRPr="00E462AB" w:rsidRDefault="0024297B" w:rsidP="00E462AB">
                                  <w:pPr>
                                    <w:spacing w:line="400" w:lineRule="exact"/>
                                    <w:jc w:val="right"/>
                                    <w:rPr>
                                      <w:b/>
                                      <w:sz w:val="32"/>
                                      <w:szCs w:val="32"/>
                                      <w:lang w:val="fr-FR" w:eastAsia="ja-JP"/>
                                    </w:rPr>
                                  </w:pPr>
                                  <w:r w:rsidRPr="00E462AB">
                                    <w:rPr>
                                      <w:b/>
                                      <w:sz w:val="32"/>
                                      <w:szCs w:val="32"/>
                                      <w:lang w:val="fr-FR"/>
                                    </w:rPr>
                                    <w:t>000</w:t>
                                  </w:r>
                                  <w:r w:rsidRPr="00E462AB">
                                    <w:rPr>
                                      <w:b/>
                                      <w:sz w:val="32"/>
                                      <w:szCs w:val="32"/>
                                      <w:lang w:val="fr-FR" w:eastAsia="ja-JP"/>
                                    </w:rPr>
                                    <w:t>62359</w:t>
                                  </w:r>
                                </w:p>
                                <w:p w:rsidR="0024297B" w:rsidRPr="00E462AB" w:rsidRDefault="0024297B" w:rsidP="00E462AB">
                                  <w:pPr>
                                    <w:spacing w:line="400" w:lineRule="exact"/>
                                    <w:jc w:val="right"/>
                                    <w:rPr>
                                      <w:b/>
                                      <w:sz w:val="32"/>
                                      <w:szCs w:val="32"/>
                                      <w:lang w:val="fr-FR"/>
                                    </w:rPr>
                                  </w:pPr>
                                  <w:r w:rsidRPr="00E462AB">
                                    <w:rPr>
                                      <w:b/>
                                      <w:sz w:val="32"/>
                                      <w:szCs w:val="32"/>
                                    </w:rPr>
                                    <w:t>000</w:t>
                                  </w:r>
                                  <w:r w:rsidRPr="00E462AB">
                                    <w:rPr>
                                      <w:b/>
                                      <w:sz w:val="32"/>
                                      <w:szCs w:val="32"/>
                                      <w:lang w:eastAsia="ja-JP"/>
                                    </w:rPr>
                                    <w:t>72424</w:t>
                                  </w:r>
                                </w:p>
                              </w:tc>
                            </w:tr>
                          </w:tbl>
                          <w:p w:rsidR="0024297B" w:rsidRPr="00C462AD" w:rsidRDefault="0024297B" w:rsidP="00C462AD">
                            <w:pPr>
                              <w:spacing w:line="400" w:lineRule="exact"/>
                              <w:jc w:val="right"/>
                              <w:rPr>
                                <w:b/>
                                <w:sz w:val="32"/>
                                <w:szCs w:val="32"/>
                                <w:lang w:val="fr-FR"/>
                              </w:rPr>
                            </w:pPr>
                          </w:p>
                          <w:p w:rsidR="0024297B" w:rsidRPr="00D37547" w:rsidRDefault="0024297B" w:rsidP="00DE7117">
                            <w:pPr>
                              <w:pStyle w:val="Heading1"/>
                              <w:rPr>
                                <w:lang w:eastAsia="ja-JP"/>
                              </w:rPr>
                            </w:pPr>
                            <w:r w:rsidRPr="00C462AD">
                              <w:rPr>
                                <w:lang w:val="fr-FR" w:eastAsia="ja-JP"/>
                              </w:rPr>
                              <w:t xml:space="preserve">    </w:t>
                            </w:r>
                            <w:r w:rsidRPr="00D37547">
                              <w:t xml:space="preserve">    </w:t>
                            </w:r>
                            <w:r w:rsidRPr="00D37547">
                              <w:tab/>
                            </w:r>
                            <w:r w:rsidRPr="00D37547">
                              <w:tab/>
                              <w:t xml:space="preserve"> </w:t>
                            </w:r>
                          </w:p>
                          <w:p w:rsidR="0024297B" w:rsidRPr="00C462AD" w:rsidRDefault="0024297B" w:rsidP="00DE7117">
                            <w:pPr>
                              <w:pStyle w:val="Subtitle"/>
                            </w:pPr>
                            <w:r w:rsidRPr="00C462AD">
                              <w:t xml:space="preserve">Period covered: </w:t>
                            </w:r>
                            <w:r w:rsidRPr="00861BDB">
                              <w:t xml:space="preserve">January - </w:t>
                            </w:r>
                            <w:r w:rsidRPr="00861BDB">
                              <w:rPr>
                                <w:lang w:eastAsia="ja-JP"/>
                              </w:rPr>
                              <w:t>December</w:t>
                            </w:r>
                            <w:r w:rsidRPr="00861BDB">
                              <w:t xml:space="preserve"> 2010</w:t>
                            </w:r>
                          </w:p>
                          <w:p w:rsidR="0024297B" w:rsidRPr="00C462AD" w:rsidRDefault="0024297B" w:rsidP="00C462AD">
                            <w:pPr>
                              <w:spacing w:line="400" w:lineRule="exact"/>
                              <w:jc w:val="right"/>
                              <w:rPr>
                                <w:sz w:val="32"/>
                              </w:rPr>
                            </w:pPr>
                          </w:p>
                          <w:p w:rsidR="0024297B" w:rsidRPr="00DE7117" w:rsidRDefault="0024297B" w:rsidP="00DE7117">
                            <w:pPr>
                              <w:pStyle w:val="Subtitle"/>
                              <w:rPr>
                                <w:b w:val="0"/>
                                <w:lang w:eastAsia="ja-JP"/>
                              </w:rPr>
                            </w:pPr>
                            <w:r w:rsidRPr="00DE7117">
                              <w:rPr>
                                <w:b w:val="0"/>
                              </w:rPr>
                              <w:t xml:space="preserve">Report Date: </w:t>
                            </w:r>
                            <w:r w:rsidRPr="00DE7117">
                              <w:rPr>
                                <w:b w:val="0"/>
                                <w:lang w:eastAsia="ja-JP"/>
                              </w:rPr>
                              <w:t>March</w:t>
                            </w:r>
                            <w:r w:rsidRPr="00DE7117">
                              <w:rPr>
                                <w:b w:val="0"/>
                              </w:rPr>
                              <w:t xml:space="preserve"> 20</w:t>
                            </w:r>
                            <w:r w:rsidRPr="00DE7117">
                              <w:rPr>
                                <w:b w:val="0"/>
                                <w:lang w:eastAsia="ja-JP"/>
                              </w:rPr>
                              <w:t>11</w:t>
                            </w:r>
                          </w:p>
                          <w:p w:rsidR="0024297B" w:rsidRPr="00981B06" w:rsidRDefault="0024297B" w:rsidP="00C462AD">
                            <w:pPr>
                              <w:spacing w:line="400" w:lineRule="exact"/>
                              <w:jc w:val="right"/>
                              <w:rPr>
                                <w:rFonts w:ascii="Calibri" w:hAnsi="Calibri" w:cs="Arial"/>
                                <w:b/>
                                <w:sz w:val="32"/>
                                <w:szCs w:val="32"/>
                                <w:lang w:eastAsia="ja-JP"/>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68pt;margin-top:23.1pt;width:354pt;height:2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" stroked="f">
                <v:textbox>
                  <w:txbxContent>
                    <w:p w:rsidR="0024297B" w:rsidRPr="00C462AD" w:rsidRDefault="0024297B" w:rsidP="00DE7117">
                      <w:pPr>
                        <w:pStyle w:val="Title"/>
                      </w:pPr>
                      <w:r w:rsidRPr="00DE7117">
                        <w:t>ANNUAL</w:t>
                      </w:r>
                      <w:r w:rsidRPr="00C462AD">
                        <w:t xml:space="preserve"> REPORT 2010</w:t>
                      </w:r>
                    </w:p>
                    <w:p w:rsidR="0024297B" w:rsidRPr="00C462AD" w:rsidRDefault="0024297B" w:rsidP="00C462AD">
                      <w:pPr>
                        <w:spacing w:line="400" w:lineRule="exact"/>
                        <w:jc w:val="right"/>
                        <w:rPr>
                          <w:b/>
                          <w:sz w:val="32"/>
                        </w:rPr>
                      </w:pPr>
                    </w:p>
                    <w:p w:rsidR="0024297B" w:rsidRPr="00DE7117" w:rsidRDefault="0024297B" w:rsidP="00DE7117">
                      <w:pPr>
                        <w:pStyle w:val="Subtitle"/>
                      </w:pPr>
                      <w:r w:rsidRPr="00DE7117">
                        <w:t>Inclusive Finance for Under-Served Economy</w:t>
                      </w:r>
                    </w:p>
                    <w:p w:rsidR="0024297B" w:rsidRPr="00DE7117" w:rsidRDefault="0024297B" w:rsidP="00DE7117">
                      <w:pPr>
                        <w:pStyle w:val="Subtitle"/>
                      </w:pPr>
                      <w:r w:rsidRPr="00DE7117">
                        <w:t>(INFUSE)</w:t>
                      </w:r>
                    </w:p>
                    <w:p w:rsidR="0024297B" w:rsidRDefault="0024297B" w:rsidP="00C462AD">
                      <w:pPr>
                        <w:spacing w:line="400" w:lineRule="exact"/>
                        <w:jc w:val="right"/>
                        <w:rPr>
                          <w:b/>
                          <w:sz w:val="32"/>
                          <w:szCs w:val="32"/>
                          <w:lang w:val="fr-FR"/>
                        </w:rPr>
                      </w:pPr>
                    </w:p>
                    <w:tbl>
                      <w:tblPr>
                        <w:tblW w:w="0" w:type="auto"/>
                        <w:jc w:val="right"/>
                        <w:tblInd w:w="361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797"/>
                        <w:gridCol w:w="1599"/>
                      </w:tblGrid>
                      <w:tr w:rsidR="0024297B" w:rsidRPr="00E462AB" w:rsidTr="00E462AB">
                        <w:trPr>
                          <w:jc w:val="right"/>
                        </w:trPr>
                        <w:tc>
                          <w:tcPr>
                            <w:tcW w:w="3026" w:type="dxa"/>
                          </w:tcPr>
                          <w:p w:rsidR="0024297B" w:rsidRPr="00E462AB" w:rsidRDefault="0024297B" w:rsidP="00E462AB">
                            <w:pPr>
                              <w:spacing w:line="400" w:lineRule="exact"/>
                              <w:jc w:val="right"/>
                              <w:rPr>
                                <w:b/>
                                <w:sz w:val="32"/>
                                <w:szCs w:val="32"/>
                                <w:lang w:val="fr-FR"/>
                              </w:rPr>
                            </w:pPr>
                            <w:r w:rsidRPr="00E462AB">
                              <w:rPr>
                                <w:b/>
                                <w:sz w:val="32"/>
                                <w:szCs w:val="32"/>
                                <w:lang w:val="fr-FR"/>
                              </w:rPr>
                              <w:t>UN</w:t>
                            </w:r>
                            <w:r w:rsidRPr="00E462AB">
                              <w:rPr>
                                <w:b/>
                                <w:sz w:val="32"/>
                                <w:szCs w:val="32"/>
                                <w:lang w:val="fr-FR" w:eastAsia="ja-JP"/>
                              </w:rPr>
                              <w:t>DP Code:</w:t>
                            </w:r>
                          </w:p>
                        </w:tc>
                        <w:tc>
                          <w:tcPr>
                            <w:tcW w:w="1872" w:type="dxa"/>
                          </w:tcPr>
                          <w:p w:rsidR="0024297B" w:rsidRPr="00E462AB" w:rsidRDefault="0024297B" w:rsidP="00E462AB">
                            <w:pPr>
                              <w:spacing w:line="400" w:lineRule="exact"/>
                              <w:jc w:val="right"/>
                              <w:rPr>
                                <w:b/>
                                <w:sz w:val="32"/>
                                <w:szCs w:val="32"/>
                                <w:lang w:val="fr-FR"/>
                              </w:rPr>
                            </w:pPr>
                            <w:r w:rsidRPr="00E462AB">
                              <w:rPr>
                                <w:b/>
                                <w:sz w:val="32"/>
                                <w:szCs w:val="32"/>
                                <w:lang w:val="fr-FR"/>
                              </w:rPr>
                              <w:t>000</w:t>
                            </w:r>
                            <w:r w:rsidRPr="00E462AB">
                              <w:rPr>
                                <w:b/>
                                <w:sz w:val="32"/>
                                <w:szCs w:val="32"/>
                                <w:lang w:val="fr-FR" w:eastAsia="ja-JP"/>
                              </w:rPr>
                              <w:t>61961</w:t>
                            </w:r>
                          </w:p>
                        </w:tc>
                      </w:tr>
                      <w:tr w:rsidR="0024297B" w:rsidRPr="00E462AB" w:rsidTr="00E462AB">
                        <w:trPr>
                          <w:jc w:val="right"/>
                        </w:trPr>
                        <w:tc>
                          <w:tcPr>
                            <w:tcW w:w="3026" w:type="dxa"/>
                          </w:tcPr>
                          <w:p w:rsidR="0024297B" w:rsidRPr="00E462AB" w:rsidRDefault="0024297B" w:rsidP="00E462AB">
                            <w:pPr>
                              <w:spacing w:line="400" w:lineRule="exact"/>
                              <w:jc w:val="right"/>
                              <w:rPr>
                                <w:b/>
                                <w:sz w:val="32"/>
                                <w:szCs w:val="32"/>
                                <w:lang w:val="fr-FR"/>
                              </w:rPr>
                            </w:pPr>
                            <w:r w:rsidRPr="00E462AB">
                              <w:rPr>
                                <w:b/>
                                <w:sz w:val="32"/>
                                <w:szCs w:val="32"/>
                                <w:lang w:val="fr-FR"/>
                              </w:rPr>
                              <w:t>UNCDF Codes:</w:t>
                            </w:r>
                          </w:p>
                        </w:tc>
                        <w:tc>
                          <w:tcPr>
                            <w:tcW w:w="1872" w:type="dxa"/>
                          </w:tcPr>
                          <w:p w:rsidR="0024297B" w:rsidRPr="00E462AB" w:rsidRDefault="0024297B" w:rsidP="00E462AB">
                            <w:pPr>
                              <w:spacing w:line="400" w:lineRule="exact"/>
                              <w:jc w:val="right"/>
                              <w:rPr>
                                <w:b/>
                                <w:sz w:val="32"/>
                                <w:szCs w:val="32"/>
                                <w:lang w:val="fr-FR" w:eastAsia="ja-JP"/>
                              </w:rPr>
                            </w:pPr>
                            <w:r w:rsidRPr="00E462AB">
                              <w:rPr>
                                <w:b/>
                                <w:sz w:val="32"/>
                                <w:szCs w:val="32"/>
                                <w:lang w:val="fr-FR"/>
                              </w:rPr>
                              <w:t>000</w:t>
                            </w:r>
                            <w:r w:rsidRPr="00E462AB">
                              <w:rPr>
                                <w:b/>
                                <w:sz w:val="32"/>
                                <w:szCs w:val="32"/>
                                <w:lang w:val="fr-FR" w:eastAsia="ja-JP"/>
                              </w:rPr>
                              <w:t>62359</w:t>
                            </w:r>
                          </w:p>
                          <w:p w:rsidR="0024297B" w:rsidRPr="00E462AB" w:rsidRDefault="0024297B" w:rsidP="00E462AB">
                            <w:pPr>
                              <w:spacing w:line="400" w:lineRule="exact"/>
                              <w:jc w:val="right"/>
                              <w:rPr>
                                <w:b/>
                                <w:sz w:val="32"/>
                                <w:szCs w:val="32"/>
                                <w:lang w:val="fr-FR"/>
                              </w:rPr>
                            </w:pPr>
                            <w:r w:rsidRPr="00E462AB">
                              <w:rPr>
                                <w:b/>
                                <w:sz w:val="32"/>
                                <w:szCs w:val="32"/>
                              </w:rPr>
                              <w:t>000</w:t>
                            </w:r>
                            <w:r w:rsidRPr="00E462AB">
                              <w:rPr>
                                <w:b/>
                                <w:sz w:val="32"/>
                                <w:szCs w:val="32"/>
                                <w:lang w:eastAsia="ja-JP"/>
                              </w:rPr>
                              <w:t>72424</w:t>
                            </w:r>
                          </w:p>
                        </w:tc>
                      </w:tr>
                    </w:tbl>
                    <w:p w:rsidR="0024297B" w:rsidRPr="00C462AD" w:rsidRDefault="0024297B" w:rsidP="00C462AD">
                      <w:pPr>
                        <w:spacing w:line="400" w:lineRule="exact"/>
                        <w:jc w:val="right"/>
                        <w:rPr>
                          <w:b/>
                          <w:sz w:val="32"/>
                          <w:szCs w:val="32"/>
                          <w:lang w:val="fr-FR"/>
                        </w:rPr>
                      </w:pPr>
                    </w:p>
                    <w:p w:rsidR="0024297B" w:rsidRPr="00D37547" w:rsidRDefault="0024297B" w:rsidP="00DE7117">
                      <w:pPr>
                        <w:pStyle w:val="Heading1"/>
                        <w:rPr>
                          <w:lang w:eastAsia="ja-JP"/>
                        </w:rPr>
                      </w:pPr>
                      <w:r w:rsidRPr="00C462AD">
                        <w:rPr>
                          <w:lang w:val="fr-FR" w:eastAsia="ja-JP"/>
                        </w:rPr>
                        <w:t xml:space="preserve">    </w:t>
                      </w:r>
                      <w:r w:rsidRPr="00D37547">
                        <w:t xml:space="preserve">    </w:t>
                      </w:r>
                      <w:r w:rsidRPr="00D37547">
                        <w:tab/>
                      </w:r>
                      <w:r w:rsidRPr="00D37547">
                        <w:tab/>
                        <w:t xml:space="preserve"> </w:t>
                      </w:r>
                    </w:p>
                    <w:p w:rsidR="0024297B" w:rsidRPr="00C462AD" w:rsidRDefault="0024297B" w:rsidP="00DE7117">
                      <w:pPr>
                        <w:pStyle w:val="Subtitle"/>
                      </w:pPr>
                      <w:r w:rsidRPr="00C462AD">
                        <w:t xml:space="preserve">Period covered: </w:t>
                      </w:r>
                      <w:r w:rsidRPr="00861BDB">
                        <w:t xml:space="preserve">January - </w:t>
                      </w:r>
                      <w:r w:rsidRPr="00861BDB">
                        <w:rPr>
                          <w:lang w:eastAsia="ja-JP"/>
                        </w:rPr>
                        <w:t>December</w:t>
                      </w:r>
                      <w:r w:rsidRPr="00861BDB">
                        <w:t xml:space="preserve"> 2010</w:t>
                      </w:r>
                    </w:p>
                    <w:p w:rsidR="0024297B" w:rsidRPr="00C462AD" w:rsidRDefault="0024297B" w:rsidP="00C462AD">
                      <w:pPr>
                        <w:spacing w:line="400" w:lineRule="exact"/>
                        <w:jc w:val="right"/>
                        <w:rPr>
                          <w:sz w:val="32"/>
                        </w:rPr>
                      </w:pPr>
                    </w:p>
                    <w:p w:rsidR="0024297B" w:rsidRPr="00DE7117" w:rsidRDefault="0024297B" w:rsidP="00DE7117">
                      <w:pPr>
                        <w:pStyle w:val="Subtitle"/>
                        <w:rPr>
                          <w:b w:val="0"/>
                          <w:lang w:eastAsia="ja-JP"/>
                        </w:rPr>
                      </w:pPr>
                      <w:r w:rsidRPr="00DE7117">
                        <w:rPr>
                          <w:b w:val="0"/>
                        </w:rPr>
                        <w:t xml:space="preserve">Report Date: </w:t>
                      </w:r>
                      <w:r w:rsidRPr="00DE7117">
                        <w:rPr>
                          <w:b w:val="0"/>
                          <w:lang w:eastAsia="ja-JP"/>
                        </w:rPr>
                        <w:t>March</w:t>
                      </w:r>
                      <w:r w:rsidRPr="00DE7117">
                        <w:rPr>
                          <w:b w:val="0"/>
                        </w:rPr>
                        <w:t xml:space="preserve"> 20</w:t>
                      </w:r>
                      <w:r w:rsidRPr="00DE7117">
                        <w:rPr>
                          <w:b w:val="0"/>
                          <w:lang w:eastAsia="ja-JP"/>
                        </w:rPr>
                        <w:t>11</w:t>
                      </w:r>
                    </w:p>
                    <w:p w:rsidR="0024297B" w:rsidRPr="00981B06" w:rsidRDefault="0024297B" w:rsidP="00C462AD">
                      <w:pPr>
                        <w:spacing w:line="400" w:lineRule="exact"/>
                        <w:jc w:val="right"/>
                        <w:rPr>
                          <w:rFonts w:ascii="Calibri" w:hAnsi="Calibri" w:cs="Arial"/>
                          <w:b/>
                          <w:sz w:val="32"/>
                          <w:szCs w:val="32"/>
                          <w:lang w:eastAsia="ja-JP"/>
                        </w:rPr>
                      </w:pPr>
                    </w:p>
                  </w:txbxContent>
                </v:textbox>
              </v:shape>
            </w:pict>
          </mc:Fallback>
        </mc:AlternateContent>
      </w:r>
      <w:r>
        <w:rPr>
          <w:rFonts w:ascii="Garamond" w:hAnsi="Garamond"/>
          <w:noProof/>
          <w:sz w:val="22"/>
          <w:szCs w:val="22"/>
          <w:lang w:val="en-AU" w:eastAsia="en-AU"/>
        </w:rPr>
        <mc:AlternateContent>
          <mc:Choice Requires="wps">
            <w:drawing>
              <wp:anchor distT="0" distB="0" distL="114300" distR="114300" simplePos="0" relativeHeight="251659264" behindDoc="0" locked="0" layoutInCell="1" allowOverlap="1" wp14:anchorId="5F512078" wp14:editId="4657968D">
                <wp:simplePos x="0" y="0"/>
                <wp:positionH relativeFrom="column">
                  <wp:posOffset>1533525</wp:posOffset>
                </wp:positionH>
                <wp:positionV relativeFrom="paragraph">
                  <wp:posOffset>2171700</wp:posOffset>
                </wp:positionV>
                <wp:extent cx="4200525" cy="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5pt,171pt" to="451.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" stroked="f"/>
            </w:pict>
          </mc:Fallback>
        </mc:AlternateContent>
      </w: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Pr="005A1C09"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p>
    <w:p w:rsidR="00C462AD" w:rsidRDefault="00C462AD" w:rsidP="00C462AD">
      <w:pPr>
        <w:jc w:val="both"/>
        <w:rPr>
          <w:rFonts w:ascii="Garamond" w:hAnsi="Garamond"/>
          <w:b/>
          <w:bCs/>
          <w:caps/>
          <w:sz w:val="22"/>
          <w:szCs w:val="22"/>
        </w:rPr>
      </w:pPr>
      <w:r>
        <w:rPr>
          <w:rFonts w:ascii="Garamond" w:hAnsi="Garamond"/>
          <w:b/>
          <w:bCs/>
          <w:caps/>
          <w:sz w:val="22"/>
          <w:szCs w:val="22"/>
        </w:rPr>
        <w:t xml:space="preserve">                                                    </w:t>
      </w:r>
      <w:r w:rsidR="0023313F">
        <w:rPr>
          <w:rFonts w:ascii="Garamond" w:hAnsi="Garamond"/>
          <w:b/>
          <w:bCs/>
          <w:caps/>
          <w:noProof/>
          <w:sz w:val="22"/>
          <w:szCs w:val="22"/>
          <w:lang w:val="en-AU" w:eastAsia="en-AU"/>
        </w:rPr>
        <w:drawing>
          <wp:inline distT="0" distB="0" distL="0" distR="0" wp14:anchorId="29377BD6" wp14:editId="509687B3">
            <wp:extent cx="1733550" cy="1257300"/>
            <wp:effectExtent l="0" t="0" r="0" b="0"/>
            <wp:docPr id="3" name="Picture 3" descr="TRM Client Meeting Manatut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M Client Meeting Manatuto 0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1257300"/>
                    </a:xfrm>
                    <a:prstGeom prst="rect">
                      <a:avLst/>
                    </a:prstGeom>
                    <a:noFill/>
                    <a:ln>
                      <a:noFill/>
                    </a:ln>
                  </pic:spPr>
                </pic:pic>
              </a:graphicData>
            </a:graphic>
          </wp:inline>
        </w:drawing>
      </w:r>
      <w:r>
        <w:rPr>
          <w:rFonts w:ascii="Garamond" w:hAnsi="Garamond"/>
          <w:b/>
          <w:bCs/>
          <w:caps/>
          <w:sz w:val="22"/>
          <w:szCs w:val="22"/>
        </w:rPr>
        <w:t xml:space="preserve">    </w:t>
      </w:r>
      <w:r w:rsidR="0023313F">
        <w:rPr>
          <w:rFonts w:ascii="Garamond" w:hAnsi="Garamond"/>
          <w:b/>
          <w:bCs/>
          <w:caps/>
          <w:noProof/>
          <w:sz w:val="22"/>
          <w:szCs w:val="22"/>
          <w:lang w:val="en-AU" w:eastAsia="en-AU"/>
        </w:rPr>
        <w:drawing>
          <wp:inline distT="0" distB="0" distL="0" distR="0" wp14:anchorId="39E0B864" wp14:editId="7D0EB069">
            <wp:extent cx="962025" cy="1266825"/>
            <wp:effectExtent l="0" t="0" r="9525" b="9525"/>
            <wp:docPr id="4" name="Picture 4" descr="DSC00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06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2025" cy="1266825"/>
                    </a:xfrm>
                    <a:prstGeom prst="rect">
                      <a:avLst/>
                    </a:prstGeom>
                    <a:noFill/>
                    <a:ln>
                      <a:noFill/>
                    </a:ln>
                  </pic:spPr>
                </pic:pic>
              </a:graphicData>
            </a:graphic>
          </wp:inline>
        </w:drawing>
      </w:r>
      <w:r>
        <w:rPr>
          <w:rFonts w:ascii="Garamond" w:hAnsi="Garamond"/>
          <w:b/>
          <w:bCs/>
          <w:caps/>
          <w:sz w:val="22"/>
          <w:szCs w:val="22"/>
        </w:rPr>
        <w:t xml:space="preserve">    </w:t>
      </w:r>
      <w:r w:rsidR="0023313F">
        <w:rPr>
          <w:rFonts w:ascii="Garamond" w:hAnsi="Garamond"/>
          <w:b/>
          <w:bCs/>
          <w:caps/>
          <w:noProof/>
          <w:sz w:val="22"/>
          <w:szCs w:val="22"/>
          <w:lang w:val="en-AU" w:eastAsia="en-AU"/>
        </w:rPr>
        <w:drawing>
          <wp:inline distT="0" distB="0" distL="0" distR="0" wp14:anchorId="3792B56A" wp14:editId="1246745C">
            <wp:extent cx="1828800" cy="1276350"/>
            <wp:effectExtent l="0" t="0" r="0" b="0"/>
            <wp:docPr id="5" name="Picture 5" descr="P102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10200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1276350"/>
                    </a:xfrm>
                    <a:prstGeom prst="rect">
                      <a:avLst/>
                    </a:prstGeom>
                    <a:noFill/>
                    <a:ln>
                      <a:noFill/>
                    </a:ln>
                  </pic:spPr>
                </pic:pic>
              </a:graphicData>
            </a:graphic>
          </wp:inline>
        </w:drawing>
      </w:r>
    </w:p>
    <w:p w:rsidR="00D755B8" w:rsidRDefault="0023313F" w:rsidP="00AB0274">
      <w:pPr>
        <w:jc w:val="center"/>
        <w:rPr>
          <w:b/>
          <w:bCs/>
          <w:caps/>
        </w:rPr>
        <w:sectPr w:rsidR="00D755B8" w:rsidSect="00D57D23">
          <w:footerReference w:type="even" r:id="rId15"/>
          <w:footerReference w:type="default" r:id="rId16"/>
          <w:footerReference w:type="first" r:id="rId17"/>
          <w:pgSz w:w="12240" w:h="15840" w:code="1"/>
          <w:pgMar w:top="806" w:right="994" w:bottom="1354" w:left="806" w:header="720" w:footer="418" w:gutter="0"/>
          <w:cols w:space="720"/>
          <w:docGrid w:linePitch="360"/>
        </w:sectPr>
      </w:pPr>
      <w:r>
        <w:rPr>
          <w:b/>
          <w:bCs/>
          <w:caps/>
          <w:noProof/>
          <w:lang w:val="en-AU" w:eastAsia="en-AU"/>
        </w:rPr>
        <mc:AlternateContent>
          <mc:Choice Requires="wps">
            <w:drawing>
              <wp:anchor distT="0" distB="0" distL="114300" distR="114300" simplePos="0" relativeHeight="251658240" behindDoc="0" locked="0" layoutInCell="1" allowOverlap="1" wp14:anchorId="33EAA086" wp14:editId="4B1D09DF">
                <wp:simplePos x="0" y="0"/>
                <wp:positionH relativeFrom="column">
                  <wp:posOffset>2133600</wp:posOffset>
                </wp:positionH>
                <wp:positionV relativeFrom="paragraph">
                  <wp:posOffset>1828800</wp:posOffset>
                </wp:positionV>
                <wp:extent cx="6324600" cy="4114800"/>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11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97B" w:rsidRPr="00D755B8" w:rsidRDefault="0024297B" w:rsidP="00D755B8">
                            <w:pPr>
                              <w:tabs>
                                <w:tab w:val="left" w:pos="3360"/>
                              </w:tabs>
                              <w:spacing w:line="400" w:lineRule="exact"/>
                              <w:jc w:val="right"/>
                              <w:rPr>
                                <w:sz w:val="44"/>
                                <w:szCs w:val="44"/>
                              </w:rPr>
                            </w:pPr>
                            <w:r w:rsidRPr="00D755B8">
                              <w:rPr>
                                <w:b/>
                                <w:bCs/>
                                <w:sz w:val="44"/>
                                <w:szCs w:val="44"/>
                                <w:lang w:eastAsia="ja-JP"/>
                              </w:rPr>
                              <w:t>ANNUAL REPORT 2010</w:t>
                            </w:r>
                          </w:p>
                          <w:p w:rsidR="0024297B" w:rsidRPr="00D755B8" w:rsidRDefault="0024297B" w:rsidP="00D755B8">
                            <w:pPr>
                              <w:spacing w:line="400" w:lineRule="exact"/>
                              <w:jc w:val="right"/>
                              <w:rPr>
                                <w:b/>
                                <w:sz w:val="32"/>
                              </w:rPr>
                            </w:pPr>
                          </w:p>
                          <w:p w:rsidR="0024297B" w:rsidRPr="00D755B8" w:rsidRDefault="0024297B" w:rsidP="00D755B8">
                            <w:pPr>
                              <w:spacing w:line="400" w:lineRule="exact"/>
                              <w:jc w:val="right"/>
                              <w:rPr>
                                <w:b/>
                                <w:sz w:val="32"/>
                                <w:szCs w:val="32"/>
                              </w:rPr>
                            </w:pPr>
                            <w:r w:rsidRPr="00D755B8">
                              <w:rPr>
                                <w:b/>
                                <w:sz w:val="32"/>
                                <w:szCs w:val="32"/>
                              </w:rPr>
                              <w:t>Inclusive Finance for Under-Served Economy</w:t>
                            </w:r>
                          </w:p>
                          <w:p w:rsidR="0024297B" w:rsidRPr="00D755B8" w:rsidRDefault="0024297B" w:rsidP="00D755B8">
                            <w:pPr>
                              <w:spacing w:line="400" w:lineRule="exact"/>
                              <w:jc w:val="right"/>
                              <w:rPr>
                                <w:b/>
                                <w:sz w:val="32"/>
                                <w:szCs w:val="32"/>
                                <w:lang w:val="fr-FR"/>
                              </w:rPr>
                            </w:pPr>
                            <w:r w:rsidRPr="00D755B8">
                              <w:rPr>
                                <w:b/>
                                <w:sz w:val="32"/>
                                <w:szCs w:val="32"/>
                                <w:lang w:val="fr-FR"/>
                              </w:rPr>
                              <w:t>(</w:t>
                            </w:r>
                            <w:r w:rsidRPr="00D755B8">
                              <w:rPr>
                                <w:b/>
                                <w:sz w:val="32"/>
                                <w:szCs w:val="32"/>
                                <w:lang w:val="fr-FR"/>
                              </w:rPr>
                              <w:t>INFUSE)</w:t>
                            </w:r>
                          </w:p>
                          <w:p w:rsidR="0024297B" w:rsidRPr="00D755B8" w:rsidRDefault="0024297B" w:rsidP="00D755B8">
                            <w:pPr>
                              <w:spacing w:line="400" w:lineRule="exact"/>
                              <w:jc w:val="right"/>
                              <w:rPr>
                                <w:b/>
                                <w:sz w:val="32"/>
                                <w:szCs w:val="32"/>
                                <w:lang w:val="fr-FR"/>
                              </w:rPr>
                            </w:pPr>
                          </w:p>
                          <w:p w:rsidR="0024297B" w:rsidRPr="00D755B8" w:rsidRDefault="0024297B" w:rsidP="00D755B8">
                            <w:pPr>
                              <w:spacing w:line="400" w:lineRule="exact"/>
                              <w:jc w:val="right"/>
                              <w:rPr>
                                <w:b/>
                                <w:sz w:val="32"/>
                                <w:szCs w:val="32"/>
                                <w:lang w:val="fr-FR"/>
                              </w:rPr>
                            </w:pPr>
                          </w:p>
                          <w:tbl>
                            <w:tblPr>
                              <w:tblW w:w="5734" w:type="dxa"/>
                              <w:tblInd w:w="39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699"/>
                              <w:gridCol w:w="2035"/>
                            </w:tblGrid>
                            <w:tr w:rsidR="0024297B" w:rsidRPr="00E462AB" w:rsidTr="00E462AB">
                              <w:trPr>
                                <w:trHeight w:val="469"/>
                              </w:trPr>
                              <w:tc>
                                <w:tcPr>
                                  <w:tcW w:w="3699" w:type="dxa"/>
                                </w:tcPr>
                                <w:p w:rsidR="0024297B" w:rsidRPr="00E462AB" w:rsidRDefault="0024297B" w:rsidP="00E462AB">
                                  <w:pPr>
                                    <w:spacing w:line="400" w:lineRule="exact"/>
                                    <w:jc w:val="right"/>
                                    <w:rPr>
                                      <w:b/>
                                      <w:sz w:val="32"/>
                                      <w:szCs w:val="32"/>
                                      <w:lang w:val="fr-FR"/>
                                    </w:rPr>
                                  </w:pPr>
                                  <w:r w:rsidRPr="00E462AB">
                                    <w:rPr>
                                      <w:b/>
                                      <w:sz w:val="32"/>
                                      <w:szCs w:val="32"/>
                                      <w:lang w:val="fr-FR"/>
                                    </w:rPr>
                                    <w:t>UN</w:t>
                                  </w:r>
                                  <w:r w:rsidRPr="00E462AB">
                                    <w:rPr>
                                      <w:b/>
                                      <w:sz w:val="32"/>
                                      <w:szCs w:val="32"/>
                                      <w:lang w:val="fr-FR" w:eastAsia="ja-JP"/>
                                    </w:rPr>
                                    <w:t>DP</w:t>
                                  </w:r>
                                  <w:r w:rsidRPr="00E462AB">
                                    <w:rPr>
                                      <w:b/>
                                      <w:sz w:val="32"/>
                                      <w:szCs w:val="32"/>
                                      <w:lang w:val="fr-FR"/>
                                    </w:rPr>
                                    <w:t xml:space="preserve"> Code:                       </w:t>
                                  </w:r>
                                </w:p>
                              </w:tc>
                              <w:tc>
                                <w:tcPr>
                                  <w:tcW w:w="2035" w:type="dxa"/>
                                </w:tcPr>
                                <w:p w:rsidR="0024297B" w:rsidRPr="00E462AB" w:rsidRDefault="0024297B" w:rsidP="00DE7117">
                                  <w:pPr>
                                    <w:pStyle w:val="Heading1"/>
                                    <w:rPr>
                                      <w:lang w:val="fr-FR" w:eastAsia="ja-JP"/>
                                    </w:rPr>
                                  </w:pPr>
                                  <w:r w:rsidRPr="00E462AB">
                                    <w:t>00061961</w:t>
                                  </w:r>
                                </w:p>
                              </w:tc>
                            </w:tr>
                            <w:tr w:rsidR="0024297B" w:rsidRPr="00E462AB" w:rsidTr="00E462AB">
                              <w:tc>
                                <w:tcPr>
                                  <w:tcW w:w="3699" w:type="dxa"/>
                                </w:tcPr>
                                <w:p w:rsidR="0024297B" w:rsidRPr="00E462AB" w:rsidRDefault="0024297B" w:rsidP="00E462AB">
                                  <w:pPr>
                                    <w:spacing w:line="400" w:lineRule="exact"/>
                                    <w:jc w:val="right"/>
                                    <w:rPr>
                                      <w:b/>
                                      <w:sz w:val="32"/>
                                      <w:szCs w:val="32"/>
                                      <w:lang w:val="fr-FR"/>
                                    </w:rPr>
                                  </w:pPr>
                                  <w:r w:rsidRPr="00E462AB">
                                    <w:rPr>
                                      <w:b/>
                                      <w:sz w:val="32"/>
                                      <w:szCs w:val="32"/>
                                      <w:lang w:val="fr-FR"/>
                                    </w:rPr>
                                    <w:t>UN</w:t>
                                  </w:r>
                                  <w:r w:rsidRPr="00E462AB">
                                    <w:rPr>
                                      <w:b/>
                                      <w:sz w:val="32"/>
                                      <w:szCs w:val="32"/>
                                      <w:lang w:val="fr-FR" w:eastAsia="ja-JP"/>
                                    </w:rPr>
                                    <w:t>CDF</w:t>
                                  </w:r>
                                  <w:r w:rsidRPr="00E462AB">
                                    <w:rPr>
                                      <w:b/>
                                      <w:sz w:val="32"/>
                                      <w:szCs w:val="32"/>
                                      <w:lang w:val="fr-FR"/>
                                    </w:rPr>
                                    <w:t xml:space="preserve"> Codes:                    </w:t>
                                  </w:r>
                                </w:p>
                              </w:tc>
                              <w:tc>
                                <w:tcPr>
                                  <w:tcW w:w="2035" w:type="dxa"/>
                                </w:tcPr>
                                <w:p w:rsidR="0024297B" w:rsidRPr="00E462AB" w:rsidRDefault="0024297B" w:rsidP="00DE7117">
                                  <w:pPr>
                                    <w:pStyle w:val="Heading1"/>
                                    <w:rPr>
                                      <w:lang w:val="fr-FR" w:eastAsia="ja-JP"/>
                                    </w:rPr>
                                  </w:pPr>
                                  <w:r w:rsidRPr="00E462AB">
                                    <w:rPr>
                                      <w:lang w:val="fr-FR"/>
                                    </w:rPr>
                                    <w:t xml:space="preserve">  000</w:t>
                                  </w:r>
                                  <w:r w:rsidRPr="00E462AB">
                                    <w:rPr>
                                      <w:lang w:val="fr-FR" w:eastAsia="ja-JP"/>
                                    </w:rPr>
                                    <w:t>62359</w:t>
                                  </w:r>
                                </w:p>
                                <w:p w:rsidR="0024297B" w:rsidRPr="00E462AB" w:rsidRDefault="0024297B" w:rsidP="00E462AB">
                                  <w:pPr>
                                    <w:spacing w:line="400" w:lineRule="exact"/>
                                    <w:jc w:val="right"/>
                                    <w:rPr>
                                      <w:b/>
                                      <w:sz w:val="32"/>
                                      <w:szCs w:val="32"/>
                                      <w:lang w:val="fr-FR"/>
                                    </w:rPr>
                                  </w:pPr>
                                  <w:r w:rsidRPr="00E462AB">
                                    <w:rPr>
                                      <w:b/>
                                      <w:sz w:val="32"/>
                                      <w:szCs w:val="32"/>
                                      <w:lang w:val="fr-FR" w:eastAsia="ja-JP"/>
                                    </w:rPr>
                                    <w:t xml:space="preserve">     </w:t>
                                  </w:r>
                                  <w:r w:rsidRPr="00E462AB">
                                    <w:rPr>
                                      <w:b/>
                                      <w:sz w:val="32"/>
                                      <w:szCs w:val="32"/>
                                    </w:rPr>
                                    <w:t>000</w:t>
                                  </w:r>
                                  <w:r w:rsidRPr="00E462AB">
                                    <w:rPr>
                                      <w:b/>
                                      <w:sz w:val="32"/>
                                      <w:szCs w:val="32"/>
                                      <w:lang w:eastAsia="ja-JP"/>
                                    </w:rPr>
                                    <w:t>72424</w:t>
                                  </w:r>
                                </w:p>
                              </w:tc>
                            </w:tr>
                          </w:tbl>
                          <w:p w:rsidR="0024297B" w:rsidRPr="00D755B8" w:rsidRDefault="0024297B" w:rsidP="00D755B8">
                            <w:pPr>
                              <w:spacing w:line="400" w:lineRule="exact"/>
                              <w:jc w:val="right"/>
                              <w:rPr>
                                <w:b/>
                                <w:sz w:val="32"/>
                                <w:szCs w:val="32"/>
                                <w:lang w:val="fr-FR"/>
                              </w:rPr>
                            </w:pPr>
                          </w:p>
                          <w:p w:rsidR="0024297B" w:rsidRPr="00D755B8" w:rsidRDefault="0024297B" w:rsidP="00DE7117">
                            <w:pPr>
                              <w:pStyle w:val="Heading1"/>
                            </w:pPr>
                            <w:r w:rsidRPr="00D755B8">
                              <w:tab/>
                            </w:r>
                            <w:r w:rsidRPr="00D755B8">
                              <w:tab/>
                            </w:r>
                            <w:r w:rsidRPr="00D755B8">
                              <w:tab/>
                            </w:r>
                            <w:r w:rsidRPr="00D755B8">
                              <w:tab/>
                            </w:r>
                            <w:r w:rsidRPr="00D755B8">
                              <w:tab/>
                            </w:r>
                            <w:r w:rsidRPr="00D755B8">
                              <w:tab/>
                            </w:r>
                            <w:r w:rsidRPr="00D755B8">
                              <w:tab/>
                              <w:t xml:space="preserve"> </w:t>
                            </w:r>
                            <w:r w:rsidRPr="00D755B8">
                              <w:tab/>
                            </w:r>
                            <w:r w:rsidRPr="00D755B8">
                              <w:tab/>
                              <w:t xml:space="preserve"> </w:t>
                            </w:r>
                          </w:p>
                          <w:p w:rsidR="0024297B" w:rsidRPr="00D755B8" w:rsidRDefault="0024297B" w:rsidP="00D755B8">
                            <w:pPr>
                              <w:spacing w:line="400" w:lineRule="exact"/>
                              <w:jc w:val="right"/>
                              <w:rPr>
                                <w:b/>
                                <w:sz w:val="32"/>
                              </w:rPr>
                            </w:pPr>
                            <w:r w:rsidRPr="00D755B8">
                              <w:rPr>
                                <w:b/>
                                <w:sz w:val="32"/>
                                <w:szCs w:val="32"/>
                              </w:rPr>
                              <w:t xml:space="preserve">Period covered: </w:t>
                            </w:r>
                            <w:r w:rsidRPr="00D755B8">
                              <w:rPr>
                                <w:b/>
                                <w:sz w:val="32"/>
                              </w:rPr>
                              <w:t xml:space="preserve">January - </w:t>
                            </w:r>
                            <w:r w:rsidRPr="00D755B8">
                              <w:rPr>
                                <w:b/>
                                <w:sz w:val="32"/>
                                <w:lang w:eastAsia="ja-JP"/>
                              </w:rPr>
                              <w:t>December</w:t>
                            </w:r>
                            <w:r w:rsidRPr="00D755B8">
                              <w:rPr>
                                <w:b/>
                                <w:sz w:val="32"/>
                              </w:rPr>
                              <w:t xml:space="preserve"> 2010</w:t>
                            </w:r>
                          </w:p>
                          <w:p w:rsidR="0024297B" w:rsidRPr="00D755B8" w:rsidRDefault="0024297B" w:rsidP="00D755B8">
                            <w:pPr>
                              <w:spacing w:line="400" w:lineRule="exact"/>
                              <w:jc w:val="right"/>
                              <w:rPr>
                                <w:sz w:val="32"/>
                              </w:rPr>
                            </w:pPr>
                          </w:p>
                          <w:p w:rsidR="0024297B" w:rsidRPr="00D755B8" w:rsidRDefault="0024297B" w:rsidP="00D755B8">
                            <w:pPr>
                              <w:spacing w:line="400" w:lineRule="exact"/>
                              <w:jc w:val="right"/>
                              <w:rPr>
                                <w:sz w:val="32"/>
                                <w:lang w:eastAsia="ja-JP"/>
                              </w:rPr>
                            </w:pPr>
                            <w:r w:rsidRPr="00D755B8">
                              <w:rPr>
                                <w:sz w:val="32"/>
                              </w:rPr>
                              <w:t xml:space="preserve">Report Date: </w:t>
                            </w:r>
                            <w:r w:rsidRPr="00D755B8">
                              <w:rPr>
                                <w:sz w:val="32"/>
                                <w:lang w:eastAsia="ja-JP"/>
                              </w:rPr>
                              <w:t>March</w:t>
                            </w:r>
                            <w:r w:rsidRPr="00D755B8">
                              <w:rPr>
                                <w:sz w:val="32"/>
                              </w:rPr>
                              <w:t xml:space="preserve"> 20</w:t>
                            </w:r>
                            <w:r w:rsidRPr="00D755B8">
                              <w:rPr>
                                <w:sz w:val="32"/>
                                <w:lang w:eastAsia="ja-JP"/>
                              </w:rPr>
                              <w:t>11</w:t>
                            </w:r>
                          </w:p>
                          <w:p w:rsidR="0024297B" w:rsidRPr="00981B06" w:rsidRDefault="0024297B" w:rsidP="00D755B8">
                            <w:pPr>
                              <w:spacing w:line="400" w:lineRule="exact"/>
                              <w:jc w:val="right"/>
                              <w:rPr>
                                <w:rFonts w:ascii="Calibri" w:hAnsi="Calibri" w:cs="Arial"/>
                                <w:b/>
                                <w:sz w:val="32"/>
                                <w:szCs w:val="32"/>
                                <w:lang w:eastAsia="ja-JP"/>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68pt;margin-top:2in;width:498pt;height: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" stroked="f">
                <v:textbox>
                  <w:txbxContent>
                    <w:p w:rsidR="0024297B" w:rsidRPr="00D755B8" w:rsidRDefault="0024297B" w:rsidP="00D755B8">
                      <w:pPr>
                        <w:tabs>
                          <w:tab w:val="left" w:pos="3360"/>
                        </w:tabs>
                        <w:spacing w:line="400" w:lineRule="exact"/>
                        <w:jc w:val="right"/>
                        <w:rPr>
                          <w:sz w:val="44"/>
                          <w:szCs w:val="44"/>
                        </w:rPr>
                      </w:pPr>
                      <w:r w:rsidRPr="00D755B8">
                        <w:rPr>
                          <w:b/>
                          <w:bCs/>
                          <w:sz w:val="44"/>
                          <w:szCs w:val="44"/>
                          <w:lang w:eastAsia="ja-JP"/>
                        </w:rPr>
                        <w:t>ANNUAL REPORT 2010</w:t>
                      </w:r>
                    </w:p>
                    <w:p w:rsidR="0024297B" w:rsidRPr="00D755B8" w:rsidRDefault="0024297B" w:rsidP="00D755B8">
                      <w:pPr>
                        <w:spacing w:line="400" w:lineRule="exact"/>
                        <w:jc w:val="right"/>
                        <w:rPr>
                          <w:b/>
                          <w:sz w:val="32"/>
                        </w:rPr>
                      </w:pPr>
                    </w:p>
                    <w:p w:rsidR="0024297B" w:rsidRPr="00D755B8" w:rsidRDefault="0024297B" w:rsidP="00D755B8">
                      <w:pPr>
                        <w:spacing w:line="400" w:lineRule="exact"/>
                        <w:jc w:val="right"/>
                        <w:rPr>
                          <w:b/>
                          <w:sz w:val="32"/>
                          <w:szCs w:val="32"/>
                        </w:rPr>
                      </w:pPr>
                      <w:r w:rsidRPr="00D755B8">
                        <w:rPr>
                          <w:b/>
                          <w:sz w:val="32"/>
                          <w:szCs w:val="32"/>
                        </w:rPr>
                        <w:t>Inclusive Finance for Under-Served Economy</w:t>
                      </w:r>
                    </w:p>
                    <w:p w:rsidR="0024297B" w:rsidRPr="00D755B8" w:rsidRDefault="0024297B" w:rsidP="00D755B8">
                      <w:pPr>
                        <w:spacing w:line="400" w:lineRule="exact"/>
                        <w:jc w:val="right"/>
                        <w:rPr>
                          <w:b/>
                          <w:sz w:val="32"/>
                          <w:szCs w:val="32"/>
                          <w:lang w:val="fr-FR"/>
                        </w:rPr>
                      </w:pPr>
                      <w:r w:rsidRPr="00D755B8">
                        <w:rPr>
                          <w:b/>
                          <w:sz w:val="32"/>
                          <w:szCs w:val="32"/>
                          <w:lang w:val="fr-FR"/>
                        </w:rPr>
                        <w:t>(</w:t>
                      </w:r>
                      <w:r w:rsidRPr="00D755B8">
                        <w:rPr>
                          <w:b/>
                          <w:sz w:val="32"/>
                          <w:szCs w:val="32"/>
                          <w:lang w:val="fr-FR"/>
                        </w:rPr>
                        <w:t>INFUSE)</w:t>
                      </w:r>
                    </w:p>
                    <w:p w:rsidR="0024297B" w:rsidRPr="00D755B8" w:rsidRDefault="0024297B" w:rsidP="00D755B8">
                      <w:pPr>
                        <w:spacing w:line="400" w:lineRule="exact"/>
                        <w:jc w:val="right"/>
                        <w:rPr>
                          <w:b/>
                          <w:sz w:val="32"/>
                          <w:szCs w:val="32"/>
                          <w:lang w:val="fr-FR"/>
                        </w:rPr>
                      </w:pPr>
                    </w:p>
                    <w:p w:rsidR="0024297B" w:rsidRPr="00D755B8" w:rsidRDefault="0024297B" w:rsidP="00D755B8">
                      <w:pPr>
                        <w:spacing w:line="400" w:lineRule="exact"/>
                        <w:jc w:val="right"/>
                        <w:rPr>
                          <w:b/>
                          <w:sz w:val="32"/>
                          <w:szCs w:val="32"/>
                          <w:lang w:val="fr-FR"/>
                        </w:rPr>
                      </w:pPr>
                    </w:p>
                    <w:tbl>
                      <w:tblPr>
                        <w:tblW w:w="5734" w:type="dxa"/>
                        <w:tblInd w:w="39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699"/>
                        <w:gridCol w:w="2035"/>
                      </w:tblGrid>
                      <w:tr w:rsidR="0024297B" w:rsidRPr="00E462AB" w:rsidTr="00E462AB">
                        <w:trPr>
                          <w:trHeight w:val="469"/>
                        </w:trPr>
                        <w:tc>
                          <w:tcPr>
                            <w:tcW w:w="3699" w:type="dxa"/>
                          </w:tcPr>
                          <w:p w:rsidR="0024297B" w:rsidRPr="00E462AB" w:rsidRDefault="0024297B" w:rsidP="00E462AB">
                            <w:pPr>
                              <w:spacing w:line="400" w:lineRule="exact"/>
                              <w:jc w:val="right"/>
                              <w:rPr>
                                <w:b/>
                                <w:sz w:val="32"/>
                                <w:szCs w:val="32"/>
                                <w:lang w:val="fr-FR"/>
                              </w:rPr>
                            </w:pPr>
                            <w:r w:rsidRPr="00E462AB">
                              <w:rPr>
                                <w:b/>
                                <w:sz w:val="32"/>
                                <w:szCs w:val="32"/>
                                <w:lang w:val="fr-FR"/>
                              </w:rPr>
                              <w:t>UN</w:t>
                            </w:r>
                            <w:r w:rsidRPr="00E462AB">
                              <w:rPr>
                                <w:b/>
                                <w:sz w:val="32"/>
                                <w:szCs w:val="32"/>
                                <w:lang w:val="fr-FR" w:eastAsia="ja-JP"/>
                              </w:rPr>
                              <w:t>DP</w:t>
                            </w:r>
                            <w:r w:rsidRPr="00E462AB">
                              <w:rPr>
                                <w:b/>
                                <w:sz w:val="32"/>
                                <w:szCs w:val="32"/>
                                <w:lang w:val="fr-FR"/>
                              </w:rPr>
                              <w:t xml:space="preserve"> Code:                       </w:t>
                            </w:r>
                          </w:p>
                        </w:tc>
                        <w:tc>
                          <w:tcPr>
                            <w:tcW w:w="2035" w:type="dxa"/>
                          </w:tcPr>
                          <w:p w:rsidR="0024297B" w:rsidRPr="00E462AB" w:rsidRDefault="0024297B" w:rsidP="00DE7117">
                            <w:pPr>
                              <w:pStyle w:val="Heading1"/>
                              <w:rPr>
                                <w:lang w:val="fr-FR" w:eastAsia="ja-JP"/>
                              </w:rPr>
                            </w:pPr>
                            <w:r w:rsidRPr="00E462AB">
                              <w:t>00061961</w:t>
                            </w:r>
                          </w:p>
                        </w:tc>
                      </w:tr>
                      <w:tr w:rsidR="0024297B" w:rsidRPr="00E462AB" w:rsidTr="00E462AB">
                        <w:tc>
                          <w:tcPr>
                            <w:tcW w:w="3699" w:type="dxa"/>
                          </w:tcPr>
                          <w:p w:rsidR="0024297B" w:rsidRPr="00E462AB" w:rsidRDefault="0024297B" w:rsidP="00E462AB">
                            <w:pPr>
                              <w:spacing w:line="400" w:lineRule="exact"/>
                              <w:jc w:val="right"/>
                              <w:rPr>
                                <w:b/>
                                <w:sz w:val="32"/>
                                <w:szCs w:val="32"/>
                                <w:lang w:val="fr-FR"/>
                              </w:rPr>
                            </w:pPr>
                            <w:r w:rsidRPr="00E462AB">
                              <w:rPr>
                                <w:b/>
                                <w:sz w:val="32"/>
                                <w:szCs w:val="32"/>
                                <w:lang w:val="fr-FR"/>
                              </w:rPr>
                              <w:t>UN</w:t>
                            </w:r>
                            <w:r w:rsidRPr="00E462AB">
                              <w:rPr>
                                <w:b/>
                                <w:sz w:val="32"/>
                                <w:szCs w:val="32"/>
                                <w:lang w:val="fr-FR" w:eastAsia="ja-JP"/>
                              </w:rPr>
                              <w:t>CDF</w:t>
                            </w:r>
                            <w:r w:rsidRPr="00E462AB">
                              <w:rPr>
                                <w:b/>
                                <w:sz w:val="32"/>
                                <w:szCs w:val="32"/>
                                <w:lang w:val="fr-FR"/>
                              </w:rPr>
                              <w:t xml:space="preserve"> Codes:                    </w:t>
                            </w:r>
                          </w:p>
                        </w:tc>
                        <w:tc>
                          <w:tcPr>
                            <w:tcW w:w="2035" w:type="dxa"/>
                          </w:tcPr>
                          <w:p w:rsidR="0024297B" w:rsidRPr="00E462AB" w:rsidRDefault="0024297B" w:rsidP="00DE7117">
                            <w:pPr>
                              <w:pStyle w:val="Heading1"/>
                              <w:rPr>
                                <w:lang w:val="fr-FR" w:eastAsia="ja-JP"/>
                              </w:rPr>
                            </w:pPr>
                            <w:r w:rsidRPr="00E462AB">
                              <w:rPr>
                                <w:lang w:val="fr-FR"/>
                              </w:rPr>
                              <w:t xml:space="preserve">  000</w:t>
                            </w:r>
                            <w:r w:rsidRPr="00E462AB">
                              <w:rPr>
                                <w:lang w:val="fr-FR" w:eastAsia="ja-JP"/>
                              </w:rPr>
                              <w:t>62359</w:t>
                            </w:r>
                          </w:p>
                          <w:p w:rsidR="0024297B" w:rsidRPr="00E462AB" w:rsidRDefault="0024297B" w:rsidP="00E462AB">
                            <w:pPr>
                              <w:spacing w:line="400" w:lineRule="exact"/>
                              <w:jc w:val="right"/>
                              <w:rPr>
                                <w:b/>
                                <w:sz w:val="32"/>
                                <w:szCs w:val="32"/>
                                <w:lang w:val="fr-FR"/>
                              </w:rPr>
                            </w:pPr>
                            <w:r w:rsidRPr="00E462AB">
                              <w:rPr>
                                <w:b/>
                                <w:sz w:val="32"/>
                                <w:szCs w:val="32"/>
                                <w:lang w:val="fr-FR" w:eastAsia="ja-JP"/>
                              </w:rPr>
                              <w:t xml:space="preserve">     </w:t>
                            </w:r>
                            <w:r w:rsidRPr="00E462AB">
                              <w:rPr>
                                <w:b/>
                                <w:sz w:val="32"/>
                                <w:szCs w:val="32"/>
                              </w:rPr>
                              <w:t>000</w:t>
                            </w:r>
                            <w:r w:rsidRPr="00E462AB">
                              <w:rPr>
                                <w:b/>
                                <w:sz w:val="32"/>
                                <w:szCs w:val="32"/>
                                <w:lang w:eastAsia="ja-JP"/>
                              </w:rPr>
                              <w:t>72424</w:t>
                            </w:r>
                          </w:p>
                        </w:tc>
                      </w:tr>
                    </w:tbl>
                    <w:p w:rsidR="0024297B" w:rsidRPr="00D755B8" w:rsidRDefault="0024297B" w:rsidP="00D755B8">
                      <w:pPr>
                        <w:spacing w:line="400" w:lineRule="exact"/>
                        <w:jc w:val="right"/>
                        <w:rPr>
                          <w:b/>
                          <w:sz w:val="32"/>
                          <w:szCs w:val="32"/>
                          <w:lang w:val="fr-FR"/>
                        </w:rPr>
                      </w:pPr>
                    </w:p>
                    <w:p w:rsidR="0024297B" w:rsidRPr="00D755B8" w:rsidRDefault="0024297B" w:rsidP="00DE7117">
                      <w:pPr>
                        <w:pStyle w:val="Heading1"/>
                      </w:pPr>
                      <w:r w:rsidRPr="00D755B8">
                        <w:tab/>
                      </w:r>
                      <w:r w:rsidRPr="00D755B8">
                        <w:tab/>
                      </w:r>
                      <w:r w:rsidRPr="00D755B8">
                        <w:tab/>
                      </w:r>
                      <w:r w:rsidRPr="00D755B8">
                        <w:tab/>
                      </w:r>
                      <w:r w:rsidRPr="00D755B8">
                        <w:tab/>
                      </w:r>
                      <w:r w:rsidRPr="00D755B8">
                        <w:tab/>
                      </w:r>
                      <w:r w:rsidRPr="00D755B8">
                        <w:tab/>
                        <w:t xml:space="preserve"> </w:t>
                      </w:r>
                      <w:r w:rsidRPr="00D755B8">
                        <w:tab/>
                      </w:r>
                      <w:r w:rsidRPr="00D755B8">
                        <w:tab/>
                        <w:t xml:space="preserve"> </w:t>
                      </w:r>
                    </w:p>
                    <w:p w:rsidR="0024297B" w:rsidRPr="00D755B8" w:rsidRDefault="0024297B" w:rsidP="00D755B8">
                      <w:pPr>
                        <w:spacing w:line="400" w:lineRule="exact"/>
                        <w:jc w:val="right"/>
                        <w:rPr>
                          <w:b/>
                          <w:sz w:val="32"/>
                        </w:rPr>
                      </w:pPr>
                      <w:r w:rsidRPr="00D755B8">
                        <w:rPr>
                          <w:b/>
                          <w:sz w:val="32"/>
                          <w:szCs w:val="32"/>
                        </w:rPr>
                        <w:t xml:space="preserve">Period covered: </w:t>
                      </w:r>
                      <w:r w:rsidRPr="00D755B8">
                        <w:rPr>
                          <w:b/>
                          <w:sz w:val="32"/>
                        </w:rPr>
                        <w:t xml:space="preserve">January - </w:t>
                      </w:r>
                      <w:r w:rsidRPr="00D755B8">
                        <w:rPr>
                          <w:b/>
                          <w:sz w:val="32"/>
                          <w:lang w:eastAsia="ja-JP"/>
                        </w:rPr>
                        <w:t>December</w:t>
                      </w:r>
                      <w:r w:rsidRPr="00D755B8">
                        <w:rPr>
                          <w:b/>
                          <w:sz w:val="32"/>
                        </w:rPr>
                        <w:t xml:space="preserve"> 2010</w:t>
                      </w:r>
                    </w:p>
                    <w:p w:rsidR="0024297B" w:rsidRPr="00D755B8" w:rsidRDefault="0024297B" w:rsidP="00D755B8">
                      <w:pPr>
                        <w:spacing w:line="400" w:lineRule="exact"/>
                        <w:jc w:val="right"/>
                        <w:rPr>
                          <w:sz w:val="32"/>
                        </w:rPr>
                      </w:pPr>
                    </w:p>
                    <w:p w:rsidR="0024297B" w:rsidRPr="00D755B8" w:rsidRDefault="0024297B" w:rsidP="00D755B8">
                      <w:pPr>
                        <w:spacing w:line="400" w:lineRule="exact"/>
                        <w:jc w:val="right"/>
                        <w:rPr>
                          <w:sz w:val="32"/>
                          <w:lang w:eastAsia="ja-JP"/>
                        </w:rPr>
                      </w:pPr>
                      <w:r w:rsidRPr="00D755B8">
                        <w:rPr>
                          <w:sz w:val="32"/>
                        </w:rPr>
                        <w:t xml:space="preserve">Report Date: </w:t>
                      </w:r>
                      <w:r w:rsidRPr="00D755B8">
                        <w:rPr>
                          <w:sz w:val="32"/>
                          <w:lang w:eastAsia="ja-JP"/>
                        </w:rPr>
                        <w:t>March</w:t>
                      </w:r>
                      <w:r w:rsidRPr="00D755B8">
                        <w:rPr>
                          <w:sz w:val="32"/>
                        </w:rPr>
                        <w:t xml:space="preserve"> 20</w:t>
                      </w:r>
                      <w:r w:rsidRPr="00D755B8">
                        <w:rPr>
                          <w:sz w:val="32"/>
                          <w:lang w:eastAsia="ja-JP"/>
                        </w:rPr>
                        <w:t>11</w:t>
                      </w:r>
                    </w:p>
                    <w:p w:rsidR="0024297B" w:rsidRPr="00981B06" w:rsidRDefault="0024297B" w:rsidP="00D755B8">
                      <w:pPr>
                        <w:spacing w:line="400" w:lineRule="exact"/>
                        <w:jc w:val="right"/>
                        <w:rPr>
                          <w:rFonts w:ascii="Calibri" w:hAnsi="Calibri" w:cs="Arial"/>
                          <w:b/>
                          <w:sz w:val="32"/>
                          <w:szCs w:val="32"/>
                          <w:lang w:eastAsia="ja-JP"/>
                        </w:rPr>
                      </w:pPr>
                    </w:p>
                  </w:txbxContent>
                </v:textbox>
              </v:shape>
            </w:pict>
          </mc:Fallback>
        </mc:AlternateContent>
      </w:r>
    </w:p>
    <w:p w:rsidR="00AB0274" w:rsidRDefault="00AB0274" w:rsidP="00AB0274">
      <w:pPr>
        <w:jc w:val="center"/>
        <w:rPr>
          <w:b/>
          <w:bCs/>
          <w:caps/>
        </w:rPr>
      </w:pPr>
    </w:p>
    <w:p w:rsidR="00452ED1" w:rsidRDefault="009A093A" w:rsidP="00DE7117">
      <w:pPr>
        <w:pStyle w:val="Heading1"/>
      </w:pPr>
      <w:r>
        <w:t>Report Cover PaGE</w:t>
      </w:r>
    </w:p>
    <w:p w:rsidR="009A093A" w:rsidRDefault="009A093A" w:rsidP="00AB0274">
      <w:pPr>
        <w:jc w:val="center"/>
        <w:rPr>
          <w:b/>
          <w:bCs/>
          <w:caps/>
        </w:rPr>
      </w:pPr>
    </w:p>
    <w:tbl>
      <w:tblPr>
        <w:tblW w:w="10968" w:type="dxa"/>
        <w:tblInd w:w="-72" w:type="dxa"/>
        <w:tblLayout w:type="fixed"/>
        <w:tblLook w:val="01E0" w:firstRow="1" w:lastRow="1" w:firstColumn="1" w:lastColumn="1" w:noHBand="0" w:noVBand="0"/>
      </w:tblPr>
      <w:tblGrid>
        <w:gridCol w:w="5516"/>
        <w:gridCol w:w="304"/>
        <w:gridCol w:w="5148"/>
      </w:tblGrid>
      <w:tr w:rsidR="000134CC" w:rsidRPr="00947685" w:rsidTr="00D0750C">
        <w:tblPrEx>
          <w:tblCellMar>
            <w:top w:w="0" w:type="dxa"/>
            <w:bottom w:w="0" w:type="dxa"/>
          </w:tblCellMar>
        </w:tblPrEx>
        <w:trPr>
          <w:trHeight w:val="206"/>
        </w:trPr>
        <w:tc>
          <w:tcPr>
            <w:tcW w:w="5516" w:type="dxa"/>
            <w:tcBorders>
              <w:top w:val="single" w:sz="4" w:space="0" w:color="auto"/>
              <w:left w:val="single" w:sz="4" w:space="0" w:color="auto"/>
              <w:right w:val="single" w:sz="4" w:space="0" w:color="auto"/>
            </w:tcBorders>
            <w:shd w:val="clear" w:color="auto" w:fill="F3F3F3"/>
            <w:vAlign w:val="center"/>
          </w:tcPr>
          <w:p w:rsidR="000134CC" w:rsidRPr="00947685" w:rsidRDefault="000134CC" w:rsidP="000134CC">
            <w:pPr>
              <w:pStyle w:val="H1"/>
              <w:jc w:val="center"/>
              <w:rPr>
                <w:rFonts w:cs="Times New Roman"/>
              </w:rPr>
            </w:pPr>
            <w:r>
              <w:rPr>
                <w:rFonts w:cs="Times New Roman"/>
              </w:rPr>
              <w:t>Programme Title &amp; Number</w:t>
            </w:r>
          </w:p>
        </w:tc>
        <w:tc>
          <w:tcPr>
            <w:tcW w:w="304" w:type="dxa"/>
            <w:vMerge w:val="restart"/>
            <w:tcBorders>
              <w:left w:val="single" w:sz="4" w:space="0" w:color="auto"/>
              <w:right w:val="single" w:sz="4" w:space="0" w:color="auto"/>
            </w:tcBorders>
            <w:vAlign w:val="center"/>
          </w:tcPr>
          <w:p w:rsidR="000134CC" w:rsidRPr="00B45A03" w:rsidRDefault="00D0750C" w:rsidP="000134CC">
            <w:pPr>
              <w:jc w:val="center"/>
            </w:pPr>
            <w:r>
              <w:t xml:space="preserve">   </w:t>
            </w:r>
          </w:p>
        </w:tc>
        <w:tc>
          <w:tcPr>
            <w:tcW w:w="5148" w:type="dxa"/>
            <w:tcBorders>
              <w:top w:val="single" w:sz="4" w:space="0" w:color="auto"/>
              <w:left w:val="single" w:sz="4" w:space="0" w:color="auto"/>
              <w:right w:val="single" w:sz="4" w:space="0" w:color="auto"/>
            </w:tcBorders>
            <w:shd w:val="clear" w:color="auto" w:fill="F3F3F3"/>
            <w:vAlign w:val="center"/>
          </w:tcPr>
          <w:p w:rsidR="000134CC" w:rsidRPr="00B45A03" w:rsidRDefault="000134CC" w:rsidP="000134CC">
            <w:pPr>
              <w:pStyle w:val="H1"/>
              <w:jc w:val="center"/>
              <w:rPr>
                <w:rFonts w:cs="Times New Roman"/>
              </w:rPr>
            </w:pPr>
            <w:r w:rsidRPr="00B45A03">
              <w:rPr>
                <w:rFonts w:cs="Times New Roman"/>
              </w:rPr>
              <w:t>Country, Locality(s), Thematic Area(s)</w:t>
            </w:r>
            <w:r w:rsidR="00CA33AC" w:rsidRPr="00B45A03">
              <w:rPr>
                <w:rStyle w:val="FootnoteReference"/>
                <w:rFonts w:cs="Times New Roman"/>
              </w:rPr>
              <w:footnoteReference w:id="1"/>
            </w:r>
          </w:p>
        </w:tc>
      </w:tr>
      <w:tr w:rsidR="000134CC" w:rsidRPr="00B45A03" w:rsidTr="00D0750C">
        <w:tblPrEx>
          <w:tblCellMar>
            <w:top w:w="0" w:type="dxa"/>
            <w:bottom w:w="0" w:type="dxa"/>
          </w:tblCellMar>
        </w:tblPrEx>
        <w:trPr>
          <w:trHeight w:val="495"/>
        </w:trPr>
        <w:tc>
          <w:tcPr>
            <w:tcW w:w="5516" w:type="dxa"/>
            <w:tcBorders>
              <w:left w:val="single" w:sz="4" w:space="0" w:color="auto"/>
              <w:bottom w:val="single" w:sz="4" w:space="0" w:color="auto"/>
              <w:right w:val="single" w:sz="4" w:space="0" w:color="auto"/>
            </w:tcBorders>
          </w:tcPr>
          <w:p w:rsidR="00B45A03" w:rsidRPr="00B45A03" w:rsidRDefault="000134CC" w:rsidP="00A469F5">
            <w:pPr>
              <w:pStyle w:val="BodyText"/>
              <w:numPr>
                <w:ilvl w:val="0"/>
                <w:numId w:val="9"/>
              </w:numPr>
              <w:spacing w:before="60" w:after="60"/>
              <w:ind w:left="342"/>
              <w:jc w:val="both"/>
              <w:rPr>
                <w:rFonts w:ascii="Times New Roman" w:hAnsi="Times New Roman" w:cs="Times New Roman"/>
                <w:bCs/>
                <w:iCs/>
                <w:snapToGrid w:val="0"/>
              </w:rPr>
            </w:pPr>
            <w:r w:rsidRPr="00B45A03">
              <w:rPr>
                <w:rFonts w:ascii="Times New Roman" w:hAnsi="Times New Roman" w:cs="Times New Roman"/>
                <w:bCs/>
                <w:iCs/>
                <w:snapToGrid w:val="0"/>
              </w:rPr>
              <w:t>Programme Title:</w:t>
            </w:r>
            <w:r w:rsidR="00B45A03" w:rsidRPr="00B45A03">
              <w:rPr>
                <w:rFonts w:ascii="Times New Roman" w:hAnsi="Times New Roman" w:cs="Times New Roman"/>
                <w:bCs/>
                <w:iCs/>
                <w:snapToGrid w:val="0"/>
              </w:rPr>
              <w:t xml:space="preserve"> Inclusive Finance for the Under-served Economy (INFUSE)</w:t>
            </w:r>
          </w:p>
          <w:p w:rsidR="000134CC" w:rsidRPr="00B45A03" w:rsidRDefault="000134CC" w:rsidP="00A469F5">
            <w:pPr>
              <w:pStyle w:val="BodyText"/>
              <w:numPr>
                <w:ilvl w:val="0"/>
                <w:numId w:val="9"/>
              </w:numPr>
              <w:spacing w:before="60" w:after="60"/>
              <w:ind w:left="342"/>
              <w:jc w:val="both"/>
              <w:rPr>
                <w:rFonts w:ascii="Times New Roman" w:hAnsi="Times New Roman" w:cs="Times New Roman"/>
                <w:bCs/>
                <w:iCs/>
                <w:snapToGrid w:val="0"/>
              </w:rPr>
            </w:pPr>
            <w:r w:rsidRPr="00B45A03">
              <w:rPr>
                <w:rFonts w:ascii="Times New Roman" w:hAnsi="Times New Roman" w:cs="Times New Roman"/>
                <w:bCs/>
                <w:iCs/>
                <w:snapToGrid w:val="0"/>
              </w:rPr>
              <w:t>Programme Number</w:t>
            </w:r>
            <w:r w:rsidR="00D14F94" w:rsidRPr="00B45A03">
              <w:rPr>
                <w:rFonts w:ascii="Times New Roman" w:hAnsi="Times New Roman" w:cs="Times New Roman"/>
                <w:bCs/>
                <w:iCs/>
                <w:snapToGrid w:val="0"/>
              </w:rPr>
              <w:t xml:space="preserve"> </w:t>
            </w:r>
          </w:p>
          <w:p w:rsidR="00B45A03" w:rsidRPr="00B45A03" w:rsidRDefault="00B45A03" w:rsidP="00B45A03">
            <w:pPr>
              <w:pStyle w:val="Heading2"/>
              <w:rPr>
                <w:b w:val="0"/>
                <w:sz w:val="20"/>
                <w:szCs w:val="20"/>
                <w:lang w:eastAsia="ja-JP"/>
              </w:rPr>
            </w:pPr>
            <w:bookmarkStart w:id="0" w:name="_Toc288467974"/>
            <w:bookmarkStart w:id="1" w:name="_Toc288468702"/>
            <w:bookmarkStart w:id="2" w:name="_Toc288469179"/>
            <w:bookmarkStart w:id="3" w:name="_Toc288470228"/>
            <w:bookmarkStart w:id="4" w:name="_Toc288486039"/>
            <w:r w:rsidRPr="00B45A03">
              <w:rPr>
                <w:b w:val="0"/>
                <w:sz w:val="20"/>
                <w:szCs w:val="20"/>
              </w:rPr>
              <w:t>UNDP:</w:t>
            </w:r>
            <w:r w:rsidRPr="00B45A03">
              <w:rPr>
                <w:b w:val="0"/>
                <w:sz w:val="20"/>
                <w:szCs w:val="20"/>
                <w:lang w:eastAsia="ja-JP"/>
              </w:rPr>
              <w:t xml:space="preserve"> 00050242 (Award ID),</w:t>
            </w:r>
            <w:r w:rsidRPr="00B45A03">
              <w:rPr>
                <w:b w:val="0"/>
                <w:sz w:val="20"/>
                <w:szCs w:val="20"/>
              </w:rPr>
              <w:t xml:space="preserve"> 00061961</w:t>
            </w:r>
            <w:r w:rsidRPr="00B45A03">
              <w:rPr>
                <w:b w:val="0"/>
                <w:sz w:val="20"/>
                <w:szCs w:val="20"/>
                <w:lang w:eastAsia="ja-JP"/>
              </w:rPr>
              <w:t>(Project ID)</w:t>
            </w:r>
            <w:bookmarkEnd w:id="0"/>
            <w:bookmarkEnd w:id="1"/>
            <w:bookmarkEnd w:id="2"/>
            <w:bookmarkEnd w:id="3"/>
            <w:bookmarkEnd w:id="4"/>
            <w:r w:rsidRPr="00B45A03">
              <w:rPr>
                <w:b w:val="0"/>
                <w:sz w:val="20"/>
                <w:szCs w:val="20"/>
                <w:lang w:eastAsia="ja-JP"/>
              </w:rPr>
              <w:t xml:space="preserve"> </w:t>
            </w:r>
          </w:p>
          <w:p w:rsidR="00B45A03" w:rsidRPr="00B45A03" w:rsidRDefault="00B45A03" w:rsidP="00B45A03">
            <w:pPr>
              <w:rPr>
                <w:sz w:val="20"/>
                <w:szCs w:val="20"/>
                <w:lang w:eastAsia="ja-JP"/>
              </w:rPr>
            </w:pPr>
            <w:r w:rsidRPr="00B45A03">
              <w:rPr>
                <w:sz w:val="20"/>
                <w:szCs w:val="20"/>
              </w:rPr>
              <w:t>UNCDF</w:t>
            </w:r>
            <w:r w:rsidR="001A1ABC">
              <w:rPr>
                <w:sz w:val="20"/>
                <w:szCs w:val="20"/>
                <w:lang w:eastAsia="ja-JP"/>
              </w:rPr>
              <w:t>- C</w:t>
            </w:r>
            <w:r w:rsidRPr="00B45A03">
              <w:rPr>
                <w:sz w:val="20"/>
                <w:szCs w:val="20"/>
                <w:lang w:eastAsia="ja-JP"/>
              </w:rPr>
              <w:t>ore</w:t>
            </w:r>
            <w:r w:rsidRPr="00B45A03">
              <w:rPr>
                <w:sz w:val="20"/>
                <w:szCs w:val="20"/>
              </w:rPr>
              <w:t xml:space="preserve">: </w:t>
            </w:r>
            <w:r w:rsidRPr="00B45A03">
              <w:rPr>
                <w:sz w:val="20"/>
                <w:szCs w:val="20"/>
                <w:lang w:eastAsia="ja-JP"/>
              </w:rPr>
              <w:t xml:space="preserve">00050456 (Award ID), </w:t>
            </w:r>
            <w:r w:rsidRPr="00B45A03">
              <w:rPr>
                <w:sz w:val="20"/>
                <w:szCs w:val="20"/>
              </w:rPr>
              <w:t>0006235</w:t>
            </w:r>
            <w:r w:rsidRPr="00B45A03">
              <w:rPr>
                <w:sz w:val="20"/>
                <w:szCs w:val="20"/>
                <w:lang w:eastAsia="ja-JP"/>
              </w:rPr>
              <w:t xml:space="preserve">9 (Project ID) </w:t>
            </w:r>
          </w:p>
          <w:p w:rsidR="00B45A03" w:rsidRPr="00B45A03" w:rsidRDefault="00B45A03" w:rsidP="00B45A03">
            <w:pPr>
              <w:rPr>
                <w:sz w:val="20"/>
                <w:szCs w:val="20"/>
                <w:lang w:eastAsia="ja-JP"/>
              </w:rPr>
            </w:pPr>
            <w:r w:rsidRPr="00B45A03">
              <w:rPr>
                <w:sz w:val="20"/>
                <w:szCs w:val="20"/>
                <w:lang w:eastAsia="ja-JP"/>
              </w:rPr>
              <w:t>UNCDF-GoTL: 00058333 (Award ID), 00072424 (Project ID)</w:t>
            </w:r>
          </w:p>
          <w:p w:rsidR="001A1ABC" w:rsidRPr="00B45A03" w:rsidRDefault="00B45A03" w:rsidP="001A1ABC">
            <w:pPr>
              <w:rPr>
                <w:sz w:val="20"/>
                <w:szCs w:val="20"/>
                <w:lang w:eastAsia="ja-JP"/>
              </w:rPr>
            </w:pPr>
            <w:r w:rsidRPr="001A1ABC">
              <w:rPr>
                <w:sz w:val="20"/>
                <w:szCs w:val="20"/>
                <w:lang w:eastAsia="ja-JP"/>
              </w:rPr>
              <w:t>AusAID</w:t>
            </w:r>
            <w:r w:rsidR="001A1ABC" w:rsidRPr="001A1ABC">
              <w:rPr>
                <w:sz w:val="20"/>
                <w:szCs w:val="20"/>
                <w:lang w:eastAsia="ja-JP"/>
              </w:rPr>
              <w:t>: 00060350</w:t>
            </w:r>
            <w:r w:rsidR="001A1ABC">
              <w:rPr>
                <w:sz w:val="20"/>
                <w:szCs w:val="20"/>
                <w:lang w:eastAsia="ja-JP"/>
              </w:rPr>
              <w:t xml:space="preserve"> (Award ID), 00075947 (Project)</w:t>
            </w:r>
          </w:p>
          <w:p w:rsidR="00B45A03" w:rsidRPr="00B45A03" w:rsidRDefault="00B45A03" w:rsidP="00B45A03">
            <w:pPr>
              <w:rPr>
                <w:sz w:val="20"/>
                <w:szCs w:val="20"/>
                <w:lang w:eastAsia="ja-JP"/>
              </w:rPr>
            </w:pPr>
          </w:p>
          <w:p w:rsidR="000134CC" w:rsidRPr="00B45A03" w:rsidRDefault="000134CC" w:rsidP="00A469F5">
            <w:pPr>
              <w:pStyle w:val="BodyText"/>
              <w:numPr>
                <w:ilvl w:val="0"/>
                <w:numId w:val="9"/>
              </w:numPr>
              <w:spacing w:before="60" w:after="60"/>
              <w:ind w:left="342"/>
              <w:jc w:val="both"/>
              <w:rPr>
                <w:rFonts w:ascii="Times New Roman" w:hAnsi="Times New Roman" w:cs="Times New Roman"/>
                <w:i/>
              </w:rPr>
            </w:pPr>
            <w:r w:rsidRPr="00B45A03">
              <w:rPr>
                <w:rFonts w:ascii="Times New Roman" w:hAnsi="Times New Roman" w:cs="Times New Roman"/>
                <w:bCs/>
                <w:iCs/>
                <w:snapToGrid w:val="0"/>
              </w:rPr>
              <w:t>MDTF Office Atlas Number:</w:t>
            </w:r>
            <w:r w:rsidRPr="00B45A03">
              <w:rPr>
                <w:rFonts w:ascii="Times New Roman" w:hAnsi="Times New Roman" w:cs="Times New Roman"/>
                <w:i/>
              </w:rPr>
              <w:t xml:space="preserve"> </w:t>
            </w:r>
          </w:p>
          <w:p w:rsidR="00B45A03" w:rsidRPr="00B45A03" w:rsidRDefault="00B45A03" w:rsidP="00B45A03">
            <w:pPr>
              <w:pStyle w:val="BodyText"/>
              <w:spacing w:before="60" w:after="60"/>
              <w:ind w:left="-18"/>
              <w:jc w:val="both"/>
              <w:rPr>
                <w:rFonts w:ascii="Times New Roman" w:hAnsi="Times New Roman" w:cs="Times New Roman"/>
                <w:i/>
              </w:rPr>
            </w:pPr>
            <w:r w:rsidRPr="00B45A03">
              <w:rPr>
                <w:rFonts w:ascii="Times New Roman" w:hAnsi="Times New Roman" w:cs="Times New Roman"/>
                <w:lang w:eastAsia="ja-JP"/>
              </w:rPr>
              <w:t>00055655 (Award ID), 00067655 (Project ID)</w:t>
            </w:r>
          </w:p>
        </w:tc>
        <w:tc>
          <w:tcPr>
            <w:tcW w:w="304" w:type="dxa"/>
            <w:vMerge/>
            <w:tcBorders>
              <w:left w:val="single" w:sz="4" w:space="0" w:color="auto"/>
              <w:right w:val="single" w:sz="4" w:space="0" w:color="auto"/>
            </w:tcBorders>
          </w:tcPr>
          <w:p w:rsidR="000134CC" w:rsidRPr="00B45A03" w:rsidRDefault="000134CC" w:rsidP="000134CC">
            <w:pPr>
              <w:pStyle w:val="BodyText"/>
              <w:rPr>
                <w:rFonts w:ascii="Times New Roman" w:hAnsi="Times New Roman" w:cs="Times New Roman"/>
              </w:rPr>
            </w:pPr>
          </w:p>
        </w:tc>
        <w:tc>
          <w:tcPr>
            <w:tcW w:w="5148" w:type="dxa"/>
            <w:tcBorders>
              <w:left w:val="single" w:sz="4" w:space="0" w:color="auto"/>
              <w:bottom w:val="single" w:sz="4" w:space="0" w:color="auto"/>
              <w:right w:val="single" w:sz="4" w:space="0" w:color="auto"/>
            </w:tcBorders>
          </w:tcPr>
          <w:p w:rsidR="000134CC" w:rsidRPr="00B45A03" w:rsidRDefault="00B45A03" w:rsidP="000134CC">
            <w:pPr>
              <w:pStyle w:val="BodyText"/>
              <w:rPr>
                <w:rFonts w:ascii="Times New Roman" w:hAnsi="Times New Roman" w:cs="Times New Roman"/>
              </w:rPr>
            </w:pPr>
            <w:r w:rsidRPr="00B45A03">
              <w:rPr>
                <w:rFonts w:ascii="Times New Roman" w:hAnsi="Times New Roman" w:cs="Times New Roman"/>
                <w:bCs/>
                <w:iCs/>
                <w:snapToGrid w:val="0"/>
              </w:rPr>
              <w:t>Timor-Leste, Inclusive Finance</w:t>
            </w:r>
          </w:p>
        </w:tc>
      </w:tr>
    </w:tbl>
    <w:p w:rsidR="000134CC" w:rsidRDefault="000134CC" w:rsidP="00AB0274">
      <w:pPr>
        <w:jc w:val="center"/>
        <w:rPr>
          <w:b/>
          <w:bCs/>
          <w:caps/>
        </w:rPr>
      </w:pPr>
    </w:p>
    <w:tbl>
      <w:tblPr>
        <w:tblW w:w="10980" w:type="dxa"/>
        <w:tblInd w:w="-72" w:type="dxa"/>
        <w:tblLayout w:type="fixed"/>
        <w:tblLook w:val="01E0" w:firstRow="1" w:lastRow="1" w:firstColumn="1" w:lastColumn="1" w:noHBand="0" w:noVBand="0"/>
      </w:tblPr>
      <w:tblGrid>
        <w:gridCol w:w="5512"/>
        <w:gridCol w:w="360"/>
        <w:gridCol w:w="5108"/>
      </w:tblGrid>
      <w:tr w:rsidR="000134CC" w:rsidRPr="00947685" w:rsidTr="00D0750C">
        <w:tblPrEx>
          <w:tblCellMar>
            <w:top w:w="0" w:type="dxa"/>
            <w:bottom w:w="0" w:type="dxa"/>
          </w:tblCellMar>
        </w:tblPrEx>
        <w:trPr>
          <w:trHeight w:val="206"/>
        </w:trPr>
        <w:tc>
          <w:tcPr>
            <w:tcW w:w="5512" w:type="dxa"/>
            <w:tcBorders>
              <w:top w:val="single" w:sz="4" w:space="0" w:color="auto"/>
              <w:left w:val="single" w:sz="4" w:space="0" w:color="auto"/>
              <w:right w:val="single" w:sz="4" w:space="0" w:color="auto"/>
            </w:tcBorders>
            <w:shd w:val="clear" w:color="auto" w:fill="F3F3F3"/>
            <w:vAlign w:val="center"/>
          </w:tcPr>
          <w:p w:rsidR="000134CC" w:rsidRPr="00947685" w:rsidRDefault="000134CC" w:rsidP="000134CC">
            <w:pPr>
              <w:pStyle w:val="H1"/>
              <w:jc w:val="center"/>
              <w:rPr>
                <w:rFonts w:cs="Times New Roman"/>
              </w:rPr>
            </w:pPr>
            <w:r w:rsidRPr="00947685">
              <w:rPr>
                <w:rFonts w:cs="Times New Roman"/>
              </w:rPr>
              <w:t>Participating Organi</w:t>
            </w:r>
            <w:r>
              <w:rPr>
                <w:rFonts w:cs="Times New Roman"/>
              </w:rPr>
              <w:t>zation(s)</w:t>
            </w:r>
          </w:p>
        </w:tc>
        <w:tc>
          <w:tcPr>
            <w:tcW w:w="360" w:type="dxa"/>
            <w:vMerge w:val="restart"/>
            <w:tcBorders>
              <w:left w:val="single" w:sz="4" w:space="0" w:color="auto"/>
              <w:right w:val="single" w:sz="4" w:space="0" w:color="auto"/>
            </w:tcBorders>
            <w:vAlign w:val="center"/>
          </w:tcPr>
          <w:p w:rsidR="000134CC" w:rsidRPr="00947685" w:rsidRDefault="000134CC" w:rsidP="000134CC">
            <w:pPr>
              <w:jc w:val="center"/>
            </w:pPr>
          </w:p>
        </w:tc>
        <w:tc>
          <w:tcPr>
            <w:tcW w:w="5108" w:type="dxa"/>
            <w:tcBorders>
              <w:top w:val="single" w:sz="4" w:space="0" w:color="auto"/>
              <w:left w:val="single" w:sz="4" w:space="0" w:color="auto"/>
              <w:right w:val="single" w:sz="4" w:space="0" w:color="auto"/>
            </w:tcBorders>
            <w:shd w:val="clear" w:color="auto" w:fill="F3F3F3"/>
            <w:vAlign w:val="center"/>
          </w:tcPr>
          <w:p w:rsidR="000134CC" w:rsidRPr="00947685" w:rsidRDefault="000134CC" w:rsidP="000134CC">
            <w:pPr>
              <w:pStyle w:val="H1"/>
              <w:jc w:val="center"/>
              <w:rPr>
                <w:rFonts w:cs="Times New Roman"/>
                <w:sz w:val="20"/>
              </w:rPr>
            </w:pPr>
            <w:r>
              <w:rPr>
                <w:rFonts w:cs="Times New Roman"/>
              </w:rPr>
              <w:t>Implementing Partners</w:t>
            </w:r>
          </w:p>
        </w:tc>
      </w:tr>
      <w:tr w:rsidR="000134CC" w:rsidRPr="00947685" w:rsidTr="00D0750C">
        <w:tblPrEx>
          <w:tblCellMar>
            <w:top w:w="0" w:type="dxa"/>
            <w:bottom w:w="0" w:type="dxa"/>
          </w:tblCellMar>
        </w:tblPrEx>
        <w:trPr>
          <w:trHeight w:val="495"/>
        </w:trPr>
        <w:tc>
          <w:tcPr>
            <w:tcW w:w="5512" w:type="dxa"/>
            <w:tcBorders>
              <w:left w:val="single" w:sz="4" w:space="0" w:color="auto"/>
              <w:bottom w:val="single" w:sz="4" w:space="0" w:color="auto"/>
              <w:right w:val="single" w:sz="4" w:space="0" w:color="auto"/>
            </w:tcBorders>
          </w:tcPr>
          <w:p w:rsidR="00FE50CD" w:rsidRPr="00FE50CD" w:rsidRDefault="00FE50CD" w:rsidP="00A469F5">
            <w:pPr>
              <w:pStyle w:val="BodyText"/>
              <w:numPr>
                <w:ilvl w:val="0"/>
                <w:numId w:val="9"/>
              </w:numPr>
              <w:spacing w:before="60" w:after="60"/>
              <w:ind w:left="342"/>
              <w:jc w:val="both"/>
              <w:rPr>
                <w:rFonts w:ascii="Times New Roman" w:hAnsi="Times New Roman" w:cs="Times New Roman"/>
                <w:bCs/>
                <w:iCs/>
                <w:snapToGrid w:val="0"/>
              </w:rPr>
            </w:pPr>
            <w:r>
              <w:rPr>
                <w:rFonts w:ascii="Times New Roman" w:hAnsi="Times New Roman" w:cs="Times New Roman"/>
                <w:bCs/>
                <w:iCs/>
                <w:snapToGrid w:val="0"/>
              </w:rPr>
              <w:t xml:space="preserve">United Nations </w:t>
            </w:r>
            <w:r w:rsidRPr="00FE50CD">
              <w:rPr>
                <w:rFonts w:ascii="Times New Roman" w:hAnsi="Times New Roman" w:cs="Times New Roman"/>
                <w:bCs/>
                <w:iCs/>
                <w:snapToGrid w:val="0"/>
              </w:rPr>
              <w:t>Capital Development Fund (UNCDF)</w:t>
            </w:r>
          </w:p>
          <w:p w:rsidR="00FE50CD" w:rsidRPr="00FE50CD" w:rsidRDefault="00FE50CD" w:rsidP="00A469F5">
            <w:pPr>
              <w:pStyle w:val="BodyText"/>
              <w:numPr>
                <w:ilvl w:val="0"/>
                <w:numId w:val="9"/>
              </w:numPr>
              <w:spacing w:before="60" w:after="60"/>
              <w:ind w:left="342"/>
              <w:jc w:val="both"/>
              <w:rPr>
                <w:rFonts w:ascii="Times New Roman" w:hAnsi="Times New Roman" w:cs="Times New Roman"/>
                <w:bCs/>
                <w:iCs/>
                <w:snapToGrid w:val="0"/>
              </w:rPr>
            </w:pPr>
            <w:r w:rsidRPr="00FE50CD">
              <w:rPr>
                <w:rFonts w:ascii="Times New Roman" w:hAnsi="Times New Roman" w:cs="Times New Roman"/>
                <w:bCs/>
                <w:iCs/>
                <w:snapToGrid w:val="0"/>
              </w:rPr>
              <w:t>United Nations Development Programme (UNDP)</w:t>
            </w:r>
          </w:p>
          <w:p w:rsidR="00FE50CD" w:rsidRPr="00FE50CD" w:rsidRDefault="00FE50CD" w:rsidP="00A469F5">
            <w:pPr>
              <w:pStyle w:val="BodyText"/>
              <w:numPr>
                <w:ilvl w:val="0"/>
                <w:numId w:val="9"/>
              </w:numPr>
              <w:spacing w:before="60" w:after="60"/>
              <w:ind w:left="342"/>
              <w:jc w:val="both"/>
              <w:rPr>
                <w:rFonts w:ascii="Times New Roman" w:hAnsi="Times New Roman" w:cs="Times New Roman"/>
                <w:bCs/>
                <w:iCs/>
                <w:snapToGrid w:val="0"/>
              </w:rPr>
            </w:pPr>
            <w:r w:rsidRPr="00FE50CD">
              <w:rPr>
                <w:rFonts w:ascii="Times New Roman" w:hAnsi="Times New Roman" w:cs="Times New Roman"/>
              </w:rPr>
              <w:t>Australian Agency for International Development (AusAID)</w:t>
            </w:r>
          </w:p>
          <w:p w:rsidR="000134CC" w:rsidRPr="00FE50CD" w:rsidRDefault="00FE50CD" w:rsidP="00A469F5">
            <w:pPr>
              <w:pStyle w:val="BodyText"/>
              <w:numPr>
                <w:ilvl w:val="0"/>
                <w:numId w:val="9"/>
              </w:numPr>
              <w:spacing w:before="60" w:after="60"/>
              <w:ind w:left="342"/>
              <w:jc w:val="both"/>
              <w:rPr>
                <w:rFonts w:ascii="Times New Roman" w:hAnsi="Times New Roman" w:cs="Times New Roman"/>
                <w:bCs/>
                <w:iCs/>
                <w:snapToGrid w:val="0"/>
              </w:rPr>
            </w:pPr>
            <w:r w:rsidRPr="00FE50CD">
              <w:rPr>
                <w:rFonts w:ascii="Times New Roman" w:hAnsi="Times New Roman" w:cs="Times New Roman"/>
                <w:bCs/>
                <w:iCs/>
                <w:snapToGrid w:val="0"/>
                <w:color w:val="000000"/>
                <w:szCs w:val="28"/>
              </w:rPr>
              <w:t>Ministry of Economy and Development</w:t>
            </w:r>
            <w:r w:rsidR="00D530DE">
              <w:rPr>
                <w:rFonts w:ascii="Times New Roman" w:hAnsi="Times New Roman" w:cs="Times New Roman"/>
                <w:bCs/>
                <w:iCs/>
                <w:snapToGrid w:val="0"/>
                <w:color w:val="000000"/>
                <w:szCs w:val="28"/>
              </w:rPr>
              <w:t xml:space="preserve"> (MoED)</w:t>
            </w:r>
            <w:r w:rsidR="005E36FB">
              <w:rPr>
                <w:rFonts w:ascii="Times New Roman" w:hAnsi="Times New Roman" w:cs="Times New Roman"/>
                <w:bCs/>
                <w:iCs/>
                <w:snapToGrid w:val="0"/>
                <w:color w:val="000000"/>
                <w:szCs w:val="28"/>
              </w:rPr>
              <w:t xml:space="preserve"> / Government of Timor-Leste</w:t>
            </w:r>
          </w:p>
          <w:p w:rsidR="000134CC" w:rsidRPr="0023201B" w:rsidRDefault="000134CC" w:rsidP="000134CC">
            <w:pPr>
              <w:pStyle w:val="BodyText"/>
              <w:rPr>
                <w:rFonts w:ascii="Times New Roman" w:hAnsi="Times New Roman"/>
                <w:i/>
                <w:sz w:val="24"/>
              </w:rPr>
            </w:pPr>
          </w:p>
        </w:tc>
        <w:tc>
          <w:tcPr>
            <w:tcW w:w="360" w:type="dxa"/>
            <w:vMerge/>
            <w:tcBorders>
              <w:left w:val="single" w:sz="4" w:space="0" w:color="auto"/>
              <w:right w:val="single" w:sz="4" w:space="0" w:color="auto"/>
            </w:tcBorders>
          </w:tcPr>
          <w:p w:rsidR="000134CC" w:rsidRPr="00947685" w:rsidRDefault="000134CC" w:rsidP="000134CC">
            <w:pPr>
              <w:pStyle w:val="BodyText"/>
              <w:rPr>
                <w:rFonts w:ascii="Times New Roman" w:hAnsi="Times New Roman"/>
              </w:rPr>
            </w:pPr>
          </w:p>
        </w:tc>
        <w:tc>
          <w:tcPr>
            <w:tcW w:w="5108" w:type="dxa"/>
            <w:tcBorders>
              <w:left w:val="single" w:sz="4" w:space="0" w:color="auto"/>
              <w:bottom w:val="single" w:sz="4" w:space="0" w:color="auto"/>
              <w:right w:val="single" w:sz="4" w:space="0" w:color="auto"/>
            </w:tcBorders>
          </w:tcPr>
          <w:p w:rsidR="00F324D2" w:rsidRPr="00B6073C" w:rsidRDefault="00F324D2" w:rsidP="00A469F5">
            <w:pPr>
              <w:pStyle w:val="BodyText"/>
              <w:numPr>
                <w:ilvl w:val="0"/>
                <w:numId w:val="10"/>
              </w:numPr>
              <w:spacing w:before="60" w:after="60"/>
              <w:ind w:left="376" w:hanging="64"/>
              <w:jc w:val="both"/>
              <w:rPr>
                <w:rFonts w:ascii="Times New Roman" w:hAnsi="Times New Roman"/>
                <w:bCs/>
                <w:iCs/>
                <w:snapToGrid w:val="0"/>
                <w:color w:val="000000"/>
                <w:szCs w:val="28"/>
              </w:rPr>
            </w:pPr>
          </w:p>
          <w:p w:rsidR="00B6073C" w:rsidRPr="00FE50CD" w:rsidRDefault="00B6073C" w:rsidP="00B6073C">
            <w:pPr>
              <w:pStyle w:val="BodyText"/>
              <w:numPr>
                <w:ilvl w:val="0"/>
                <w:numId w:val="9"/>
              </w:numPr>
              <w:spacing w:before="60" w:after="60"/>
              <w:ind w:left="342"/>
              <w:jc w:val="both"/>
              <w:rPr>
                <w:rFonts w:ascii="Times New Roman" w:hAnsi="Times New Roman" w:cs="Times New Roman"/>
                <w:bCs/>
                <w:iCs/>
                <w:snapToGrid w:val="0"/>
              </w:rPr>
            </w:pPr>
            <w:r>
              <w:rPr>
                <w:rFonts w:ascii="Times New Roman" w:hAnsi="Times New Roman" w:cs="Times New Roman"/>
                <w:bCs/>
                <w:iCs/>
                <w:snapToGrid w:val="0"/>
              </w:rPr>
              <w:t xml:space="preserve">United Nations </w:t>
            </w:r>
            <w:r w:rsidRPr="00FE50CD">
              <w:rPr>
                <w:rFonts w:ascii="Times New Roman" w:hAnsi="Times New Roman" w:cs="Times New Roman"/>
                <w:bCs/>
                <w:iCs/>
                <w:snapToGrid w:val="0"/>
              </w:rPr>
              <w:t>Capital Development Fund (UNCDF)</w:t>
            </w:r>
          </w:p>
          <w:p w:rsidR="00B6073C" w:rsidRPr="00FE50CD" w:rsidRDefault="00B6073C" w:rsidP="00B6073C">
            <w:pPr>
              <w:pStyle w:val="BodyText"/>
              <w:numPr>
                <w:ilvl w:val="0"/>
                <w:numId w:val="9"/>
              </w:numPr>
              <w:spacing w:before="60" w:after="60"/>
              <w:ind w:left="342"/>
              <w:jc w:val="both"/>
              <w:rPr>
                <w:rFonts w:ascii="Times New Roman" w:hAnsi="Times New Roman" w:cs="Times New Roman"/>
                <w:bCs/>
                <w:iCs/>
                <w:snapToGrid w:val="0"/>
              </w:rPr>
            </w:pPr>
            <w:r w:rsidRPr="00FE50CD">
              <w:rPr>
                <w:rFonts w:ascii="Times New Roman" w:hAnsi="Times New Roman" w:cs="Times New Roman"/>
                <w:bCs/>
                <w:iCs/>
                <w:snapToGrid w:val="0"/>
              </w:rPr>
              <w:t>United Nations Development Programme (UNDP)</w:t>
            </w:r>
          </w:p>
          <w:p w:rsidR="00B6073C" w:rsidRPr="009E3952" w:rsidRDefault="00B6073C" w:rsidP="00A469F5">
            <w:pPr>
              <w:pStyle w:val="BodyText"/>
              <w:numPr>
                <w:ilvl w:val="0"/>
                <w:numId w:val="10"/>
              </w:numPr>
              <w:spacing w:before="60" w:after="60"/>
              <w:ind w:left="376" w:hanging="64"/>
              <w:jc w:val="both"/>
              <w:rPr>
                <w:rFonts w:ascii="Times New Roman" w:hAnsi="Times New Roman"/>
                <w:bCs/>
                <w:iCs/>
                <w:snapToGrid w:val="0"/>
                <w:color w:val="000000"/>
                <w:szCs w:val="28"/>
              </w:rPr>
            </w:pPr>
          </w:p>
        </w:tc>
      </w:tr>
    </w:tbl>
    <w:p w:rsidR="000134CC" w:rsidRDefault="000134CC" w:rsidP="00AB0274">
      <w:pPr>
        <w:jc w:val="center"/>
        <w:rPr>
          <w:b/>
          <w:bCs/>
          <w:caps/>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531"/>
        <w:gridCol w:w="360"/>
        <w:gridCol w:w="2071"/>
        <w:gridCol w:w="3048"/>
      </w:tblGrid>
      <w:tr w:rsidR="000134CC" w:rsidRPr="0077491A" w:rsidTr="00D0750C">
        <w:tblPrEx>
          <w:tblCellMar>
            <w:top w:w="0" w:type="dxa"/>
            <w:bottom w:w="0" w:type="dxa"/>
          </w:tblCellMar>
        </w:tblPrEx>
        <w:trPr>
          <w:trHeight w:val="440"/>
        </w:trPr>
        <w:tc>
          <w:tcPr>
            <w:tcW w:w="5501" w:type="dxa"/>
            <w:gridSpan w:val="2"/>
            <w:tcBorders>
              <w:top w:val="single" w:sz="4" w:space="0" w:color="auto"/>
              <w:left w:val="single" w:sz="4" w:space="0" w:color="auto"/>
              <w:bottom w:val="nil"/>
              <w:right w:val="single" w:sz="4" w:space="0" w:color="auto"/>
            </w:tcBorders>
            <w:shd w:val="clear" w:color="auto" w:fill="F2F2F2"/>
            <w:vAlign w:val="center"/>
          </w:tcPr>
          <w:p w:rsidR="000134CC" w:rsidRPr="0077491A" w:rsidRDefault="000134CC" w:rsidP="000134CC">
            <w:pPr>
              <w:pStyle w:val="H1"/>
              <w:jc w:val="center"/>
              <w:rPr>
                <w:rFonts w:cs="Times New Roman"/>
              </w:rPr>
            </w:pPr>
            <w:r w:rsidRPr="0077491A">
              <w:rPr>
                <w:rFonts w:cs="Times New Roman"/>
              </w:rPr>
              <w:t>Programme/Project Cost (US$)</w:t>
            </w:r>
          </w:p>
        </w:tc>
        <w:tc>
          <w:tcPr>
            <w:tcW w:w="360" w:type="dxa"/>
            <w:tcBorders>
              <w:top w:val="nil"/>
              <w:left w:val="single" w:sz="4" w:space="0" w:color="auto"/>
              <w:bottom w:val="nil"/>
              <w:right w:val="single" w:sz="4" w:space="0" w:color="auto"/>
            </w:tcBorders>
            <w:shd w:val="clear" w:color="auto" w:fill="auto"/>
            <w:vAlign w:val="center"/>
          </w:tcPr>
          <w:p w:rsidR="000134CC" w:rsidRPr="0077491A" w:rsidRDefault="000134CC" w:rsidP="000134CC">
            <w:pPr>
              <w:pStyle w:val="H1"/>
              <w:jc w:val="center"/>
              <w:rPr>
                <w:rFonts w:cs="Times New Roman"/>
              </w:rPr>
            </w:pPr>
          </w:p>
        </w:tc>
        <w:tc>
          <w:tcPr>
            <w:tcW w:w="5119" w:type="dxa"/>
            <w:gridSpan w:val="2"/>
            <w:tcBorders>
              <w:top w:val="single" w:sz="4" w:space="0" w:color="auto"/>
              <w:left w:val="single" w:sz="4" w:space="0" w:color="auto"/>
              <w:bottom w:val="nil"/>
              <w:right w:val="single" w:sz="4" w:space="0" w:color="auto"/>
            </w:tcBorders>
            <w:shd w:val="clear" w:color="auto" w:fill="F2F2F2"/>
            <w:vAlign w:val="center"/>
          </w:tcPr>
          <w:p w:rsidR="000134CC" w:rsidRPr="0077491A" w:rsidRDefault="000134CC" w:rsidP="000134CC">
            <w:pPr>
              <w:pStyle w:val="H1"/>
              <w:jc w:val="center"/>
              <w:rPr>
                <w:rFonts w:cs="Times New Roman"/>
              </w:rPr>
            </w:pPr>
            <w:r w:rsidRPr="0077491A">
              <w:rPr>
                <w:rFonts w:cs="Times New Roman"/>
              </w:rPr>
              <w:t>Programme Duration (months)</w:t>
            </w:r>
          </w:p>
        </w:tc>
      </w:tr>
      <w:tr w:rsidR="000134CC" w:rsidRPr="0077491A" w:rsidTr="00D0750C">
        <w:tblPrEx>
          <w:tblCellMar>
            <w:top w:w="0" w:type="dxa"/>
            <w:bottom w:w="0" w:type="dxa"/>
          </w:tblCellMar>
        </w:tblPrEx>
        <w:trPr>
          <w:trHeight w:val="215"/>
        </w:trPr>
        <w:tc>
          <w:tcPr>
            <w:tcW w:w="2970" w:type="dxa"/>
            <w:tcBorders>
              <w:top w:val="nil"/>
              <w:left w:val="single" w:sz="4" w:space="0" w:color="auto"/>
              <w:bottom w:val="nil"/>
              <w:right w:val="nil"/>
            </w:tcBorders>
            <w:shd w:val="clear" w:color="auto" w:fill="auto"/>
            <w:vAlign w:val="center"/>
          </w:tcPr>
          <w:p w:rsidR="000134CC" w:rsidRPr="0077491A" w:rsidRDefault="000134CC" w:rsidP="000134CC">
            <w:pPr>
              <w:pStyle w:val="H2"/>
              <w:spacing w:before="120"/>
              <w:rPr>
                <w:rFonts w:cs="Times New Roman"/>
                <w:b w:val="0"/>
              </w:rPr>
            </w:pPr>
            <w:r w:rsidRPr="0077491A">
              <w:rPr>
                <w:rFonts w:cs="Times New Roman"/>
                <w:b w:val="0"/>
              </w:rPr>
              <w:t xml:space="preserve">MDTF Fund Contribution:  </w:t>
            </w:r>
          </w:p>
          <w:p w:rsidR="000134CC" w:rsidRPr="0077491A" w:rsidRDefault="000134CC" w:rsidP="00A469F5">
            <w:pPr>
              <w:pStyle w:val="H2"/>
              <w:numPr>
                <w:ilvl w:val="0"/>
                <w:numId w:val="12"/>
              </w:numPr>
              <w:spacing w:after="120"/>
              <w:ind w:left="162" w:hanging="180"/>
              <w:rPr>
                <w:rFonts w:cs="Times New Roman"/>
                <w:i/>
                <w:sz w:val="18"/>
                <w:szCs w:val="18"/>
              </w:rPr>
            </w:pPr>
            <w:r w:rsidRPr="0077491A">
              <w:rPr>
                <w:rFonts w:cs="Times New Roman"/>
                <w:b w:val="0"/>
                <w:i/>
                <w:sz w:val="18"/>
                <w:szCs w:val="18"/>
              </w:rPr>
              <w:t>by Agency (if applicable)</w:t>
            </w:r>
          </w:p>
        </w:tc>
        <w:tc>
          <w:tcPr>
            <w:tcW w:w="2531" w:type="dxa"/>
            <w:tcBorders>
              <w:top w:val="nil"/>
              <w:left w:val="nil"/>
              <w:bottom w:val="nil"/>
              <w:right w:val="single" w:sz="4" w:space="0" w:color="auto"/>
            </w:tcBorders>
            <w:shd w:val="clear" w:color="auto" w:fill="auto"/>
          </w:tcPr>
          <w:p w:rsidR="000134CC" w:rsidRPr="0077491A" w:rsidRDefault="000134CC" w:rsidP="001A1ABC">
            <w:pPr>
              <w:pStyle w:val="BodyText"/>
              <w:spacing w:before="120" w:after="120"/>
              <w:rPr>
                <w:rFonts w:ascii="Times New Roman" w:hAnsi="Times New Roman"/>
                <w:color w:val="000000"/>
              </w:rPr>
            </w:pPr>
          </w:p>
        </w:tc>
        <w:tc>
          <w:tcPr>
            <w:tcW w:w="360" w:type="dxa"/>
            <w:tcBorders>
              <w:top w:val="nil"/>
              <w:left w:val="single" w:sz="4" w:space="0" w:color="auto"/>
              <w:bottom w:val="nil"/>
              <w:right w:val="single" w:sz="4" w:space="0" w:color="auto"/>
            </w:tcBorders>
            <w:shd w:val="clear" w:color="auto" w:fill="auto"/>
          </w:tcPr>
          <w:p w:rsidR="000134CC" w:rsidRPr="0077491A" w:rsidRDefault="000134CC" w:rsidP="000134CC">
            <w:pPr>
              <w:pStyle w:val="BodyText"/>
              <w:spacing w:before="120" w:after="120"/>
              <w:rPr>
                <w:rFonts w:ascii="Times New Roman" w:hAnsi="Times New Roman"/>
              </w:rPr>
            </w:pPr>
          </w:p>
        </w:tc>
        <w:tc>
          <w:tcPr>
            <w:tcW w:w="2071" w:type="dxa"/>
            <w:tcBorders>
              <w:top w:val="nil"/>
              <w:left w:val="single" w:sz="4" w:space="0" w:color="auto"/>
              <w:bottom w:val="nil"/>
              <w:right w:val="nil"/>
            </w:tcBorders>
            <w:shd w:val="clear" w:color="auto" w:fill="auto"/>
            <w:vAlign w:val="center"/>
          </w:tcPr>
          <w:p w:rsidR="000134CC" w:rsidRPr="0077491A" w:rsidRDefault="000134CC" w:rsidP="000134CC">
            <w:pPr>
              <w:pStyle w:val="BodyText"/>
              <w:rPr>
                <w:rFonts w:ascii="Times New Roman" w:hAnsi="Times New Roman"/>
              </w:rPr>
            </w:pPr>
            <w:r w:rsidRPr="0077491A">
              <w:rPr>
                <w:rFonts w:ascii="Times New Roman" w:hAnsi="Times New Roman"/>
              </w:rPr>
              <w:t>Overall Duration</w:t>
            </w:r>
          </w:p>
        </w:tc>
        <w:tc>
          <w:tcPr>
            <w:tcW w:w="3048" w:type="dxa"/>
            <w:tcBorders>
              <w:top w:val="nil"/>
              <w:left w:val="nil"/>
              <w:bottom w:val="nil"/>
              <w:right w:val="single" w:sz="4" w:space="0" w:color="auto"/>
            </w:tcBorders>
            <w:shd w:val="clear" w:color="auto" w:fill="auto"/>
          </w:tcPr>
          <w:p w:rsidR="00B45A03" w:rsidRPr="0077491A" w:rsidRDefault="00B45A03" w:rsidP="00B45A03">
            <w:pPr>
              <w:pStyle w:val="BodyText"/>
              <w:rPr>
                <w:szCs w:val="24"/>
              </w:rPr>
            </w:pPr>
            <w:r w:rsidRPr="0077491A">
              <w:rPr>
                <w:szCs w:val="24"/>
              </w:rPr>
              <w:t>2008 - 2012</w:t>
            </w:r>
          </w:p>
          <w:p w:rsidR="000134CC" w:rsidRPr="0077491A" w:rsidRDefault="000134CC" w:rsidP="000134CC">
            <w:pPr>
              <w:pStyle w:val="BodyText"/>
              <w:widowControl w:val="0"/>
              <w:spacing w:before="120" w:after="120"/>
              <w:rPr>
                <w:rFonts w:ascii="Times New Roman" w:hAnsi="Times New Roman"/>
              </w:rPr>
            </w:pPr>
          </w:p>
        </w:tc>
      </w:tr>
      <w:tr w:rsidR="000134CC" w:rsidRPr="0077491A" w:rsidTr="00D0750C">
        <w:tblPrEx>
          <w:tblCellMar>
            <w:top w:w="0" w:type="dxa"/>
            <w:bottom w:w="0" w:type="dxa"/>
          </w:tblCellMar>
        </w:tblPrEx>
        <w:trPr>
          <w:trHeight w:val="350"/>
        </w:trPr>
        <w:tc>
          <w:tcPr>
            <w:tcW w:w="2970" w:type="dxa"/>
            <w:tcBorders>
              <w:top w:val="nil"/>
              <w:left w:val="single" w:sz="4" w:space="0" w:color="auto"/>
              <w:bottom w:val="nil"/>
              <w:right w:val="nil"/>
            </w:tcBorders>
            <w:shd w:val="clear" w:color="auto" w:fill="auto"/>
            <w:vAlign w:val="center"/>
          </w:tcPr>
          <w:p w:rsidR="000134CC" w:rsidRPr="0077491A" w:rsidRDefault="000134CC" w:rsidP="000134CC">
            <w:pPr>
              <w:pStyle w:val="H2"/>
              <w:spacing w:before="120"/>
              <w:rPr>
                <w:rFonts w:cs="Times New Roman"/>
                <w:b w:val="0"/>
              </w:rPr>
            </w:pPr>
            <w:r w:rsidRPr="0077491A">
              <w:rPr>
                <w:rFonts w:cs="Times New Roman"/>
                <w:b w:val="0"/>
              </w:rPr>
              <w:t>Agency Contribution</w:t>
            </w:r>
          </w:p>
          <w:p w:rsidR="000134CC" w:rsidRPr="0077491A" w:rsidRDefault="000134CC" w:rsidP="00A469F5">
            <w:pPr>
              <w:pStyle w:val="H2"/>
              <w:numPr>
                <w:ilvl w:val="0"/>
                <w:numId w:val="11"/>
              </w:numPr>
              <w:spacing w:after="120"/>
              <w:ind w:left="162" w:hanging="162"/>
              <w:rPr>
                <w:rFonts w:cs="Times New Roman"/>
              </w:rPr>
            </w:pPr>
            <w:r w:rsidRPr="0077491A">
              <w:rPr>
                <w:rFonts w:cs="Times New Roman"/>
                <w:b w:val="0"/>
                <w:i/>
                <w:sz w:val="18"/>
                <w:szCs w:val="18"/>
              </w:rPr>
              <w:t>by Agency (if applicable)</w:t>
            </w:r>
          </w:p>
        </w:tc>
        <w:tc>
          <w:tcPr>
            <w:tcW w:w="2531" w:type="dxa"/>
            <w:tcBorders>
              <w:top w:val="nil"/>
              <w:left w:val="nil"/>
              <w:bottom w:val="nil"/>
              <w:right w:val="single" w:sz="4" w:space="0" w:color="auto"/>
            </w:tcBorders>
            <w:shd w:val="clear" w:color="auto" w:fill="auto"/>
          </w:tcPr>
          <w:p w:rsidR="005E36FB" w:rsidRPr="0077491A" w:rsidRDefault="005E36FB" w:rsidP="00B45A03">
            <w:pPr>
              <w:rPr>
                <w:sz w:val="20"/>
                <w:szCs w:val="20"/>
                <w:lang w:eastAsia="ja-JP"/>
              </w:rPr>
            </w:pPr>
          </w:p>
          <w:p w:rsidR="00B45A03" w:rsidRPr="0077491A" w:rsidRDefault="00B45A03" w:rsidP="00B45A03">
            <w:pPr>
              <w:rPr>
                <w:sz w:val="20"/>
                <w:szCs w:val="20"/>
                <w:lang w:eastAsia="ja-JP"/>
              </w:rPr>
            </w:pPr>
            <w:r w:rsidRPr="0077491A">
              <w:rPr>
                <w:sz w:val="20"/>
                <w:szCs w:val="20"/>
                <w:lang w:eastAsia="ja-JP"/>
              </w:rPr>
              <w:t xml:space="preserve">UNCDF: US$ 1,050,000                     </w:t>
            </w:r>
          </w:p>
          <w:p w:rsidR="000134CC" w:rsidRPr="0077491A" w:rsidRDefault="00B45A03" w:rsidP="00B45A03">
            <w:pPr>
              <w:pStyle w:val="BodyText"/>
              <w:spacing w:before="120" w:after="120"/>
              <w:rPr>
                <w:rFonts w:ascii="Times New Roman" w:hAnsi="Times New Roman"/>
                <w:color w:val="000000"/>
              </w:rPr>
            </w:pPr>
            <w:r w:rsidRPr="0077491A">
              <w:rPr>
                <w:rFonts w:ascii="Times New Roman" w:hAnsi="Times New Roman" w:cs="Times New Roman"/>
                <w:lang w:eastAsia="ja-JP"/>
              </w:rPr>
              <w:t>UNDP: US$ 500,000</w:t>
            </w:r>
            <w:r w:rsidRPr="0077491A">
              <w:rPr>
                <w:szCs w:val="24"/>
                <w:lang w:eastAsia="ja-JP"/>
              </w:rPr>
              <w:t xml:space="preserve">                            </w:t>
            </w:r>
          </w:p>
        </w:tc>
        <w:tc>
          <w:tcPr>
            <w:tcW w:w="360" w:type="dxa"/>
            <w:tcBorders>
              <w:top w:val="nil"/>
              <w:left w:val="single" w:sz="4" w:space="0" w:color="auto"/>
              <w:bottom w:val="nil"/>
              <w:right w:val="single" w:sz="4" w:space="0" w:color="auto"/>
            </w:tcBorders>
            <w:shd w:val="clear" w:color="auto" w:fill="auto"/>
          </w:tcPr>
          <w:p w:rsidR="000134CC" w:rsidRPr="0077491A" w:rsidRDefault="000134CC" w:rsidP="000134CC">
            <w:pPr>
              <w:pStyle w:val="BodyText"/>
              <w:spacing w:before="120" w:after="120"/>
              <w:rPr>
                <w:rFonts w:ascii="Times New Roman" w:hAnsi="Times New Roman"/>
              </w:rPr>
            </w:pPr>
          </w:p>
        </w:tc>
        <w:tc>
          <w:tcPr>
            <w:tcW w:w="2071" w:type="dxa"/>
            <w:tcBorders>
              <w:top w:val="nil"/>
              <w:left w:val="single" w:sz="4" w:space="0" w:color="auto"/>
              <w:bottom w:val="nil"/>
              <w:right w:val="nil"/>
            </w:tcBorders>
            <w:shd w:val="clear" w:color="auto" w:fill="auto"/>
            <w:vAlign w:val="center"/>
          </w:tcPr>
          <w:p w:rsidR="000134CC" w:rsidRPr="0077491A" w:rsidRDefault="000134CC" w:rsidP="000134CC">
            <w:pPr>
              <w:pStyle w:val="BodyText"/>
              <w:rPr>
                <w:rFonts w:ascii="Times New Roman" w:hAnsi="Times New Roman"/>
              </w:rPr>
            </w:pPr>
            <w:r w:rsidRPr="0077491A">
              <w:rPr>
                <w:rFonts w:ascii="Times New Roman" w:hAnsi="Times New Roman"/>
              </w:rPr>
              <w:t>Start Date</w:t>
            </w:r>
            <w:r w:rsidRPr="0077491A">
              <w:rPr>
                <w:rStyle w:val="FootnoteReference"/>
                <w:rFonts w:ascii="Times New Roman" w:hAnsi="Times New Roman"/>
              </w:rPr>
              <w:footnoteReference w:id="2"/>
            </w:r>
          </w:p>
        </w:tc>
        <w:tc>
          <w:tcPr>
            <w:tcW w:w="3048" w:type="dxa"/>
            <w:tcBorders>
              <w:top w:val="nil"/>
              <w:left w:val="nil"/>
              <w:bottom w:val="nil"/>
              <w:right w:val="single" w:sz="4" w:space="0" w:color="auto"/>
            </w:tcBorders>
            <w:shd w:val="clear" w:color="auto" w:fill="auto"/>
          </w:tcPr>
          <w:p w:rsidR="000134CC" w:rsidRPr="0077491A" w:rsidRDefault="001A1ABC" w:rsidP="000134CC">
            <w:pPr>
              <w:pStyle w:val="BodyText"/>
              <w:spacing w:before="120" w:after="120"/>
              <w:rPr>
                <w:rFonts w:ascii="Times New Roman" w:hAnsi="Times New Roman"/>
              </w:rPr>
            </w:pPr>
            <w:r w:rsidRPr="0077491A">
              <w:rPr>
                <w:rFonts w:ascii="Times New Roman" w:hAnsi="Times New Roman"/>
              </w:rPr>
              <w:t>27 August 2010</w:t>
            </w:r>
          </w:p>
        </w:tc>
      </w:tr>
      <w:tr w:rsidR="000134CC" w:rsidRPr="0077491A" w:rsidTr="00D0750C">
        <w:tblPrEx>
          <w:tblCellMar>
            <w:top w:w="0" w:type="dxa"/>
            <w:bottom w:w="0" w:type="dxa"/>
          </w:tblCellMar>
        </w:tblPrEx>
        <w:trPr>
          <w:trHeight w:val="350"/>
        </w:trPr>
        <w:tc>
          <w:tcPr>
            <w:tcW w:w="2970" w:type="dxa"/>
            <w:tcBorders>
              <w:top w:val="nil"/>
              <w:left w:val="single" w:sz="4" w:space="0" w:color="auto"/>
              <w:bottom w:val="nil"/>
              <w:right w:val="nil"/>
            </w:tcBorders>
            <w:shd w:val="clear" w:color="auto" w:fill="D9D9D9"/>
            <w:vAlign w:val="center"/>
          </w:tcPr>
          <w:p w:rsidR="000134CC" w:rsidRPr="0005346B" w:rsidRDefault="000134CC" w:rsidP="000134CC">
            <w:pPr>
              <w:pStyle w:val="H2"/>
              <w:rPr>
                <w:rFonts w:cs="Times New Roman"/>
                <w:b w:val="0"/>
              </w:rPr>
            </w:pPr>
            <w:r w:rsidRPr="0005346B">
              <w:rPr>
                <w:rFonts w:cs="Times New Roman"/>
                <w:b w:val="0"/>
              </w:rPr>
              <w:t>Government Contribution</w:t>
            </w:r>
          </w:p>
          <w:p w:rsidR="000134CC" w:rsidRPr="0005346B" w:rsidRDefault="000134CC" w:rsidP="000134CC">
            <w:pPr>
              <w:pStyle w:val="H2"/>
              <w:rPr>
                <w:rFonts w:cs="Times New Roman"/>
              </w:rPr>
            </w:pPr>
            <w:r w:rsidRPr="0005346B">
              <w:rPr>
                <w:rFonts w:cs="Times New Roman"/>
                <w:b w:val="0"/>
                <w:i/>
                <w:sz w:val="18"/>
                <w:szCs w:val="18"/>
              </w:rPr>
              <w:t>(if applicable)</w:t>
            </w:r>
          </w:p>
        </w:tc>
        <w:tc>
          <w:tcPr>
            <w:tcW w:w="2531" w:type="dxa"/>
            <w:tcBorders>
              <w:top w:val="nil"/>
              <w:left w:val="nil"/>
              <w:bottom w:val="nil"/>
              <w:right w:val="single" w:sz="4" w:space="0" w:color="auto"/>
            </w:tcBorders>
            <w:shd w:val="clear" w:color="auto" w:fill="D9D9D9"/>
          </w:tcPr>
          <w:p w:rsidR="000134CC" w:rsidRPr="0005346B" w:rsidRDefault="00E25F3E" w:rsidP="000134CC">
            <w:pPr>
              <w:pStyle w:val="BodyText"/>
              <w:rPr>
                <w:rFonts w:ascii="Times New Roman" w:hAnsi="Times New Roman"/>
                <w:color w:val="000000"/>
              </w:rPr>
            </w:pPr>
            <w:r w:rsidRPr="0005346B">
              <w:rPr>
                <w:rFonts w:ascii="Times New Roman" w:hAnsi="Times New Roman"/>
                <w:color w:val="000000"/>
              </w:rPr>
              <w:t>GoTL:</w:t>
            </w:r>
          </w:p>
          <w:p w:rsidR="00E25F3E" w:rsidRPr="0005346B" w:rsidRDefault="00E25F3E" w:rsidP="000134CC">
            <w:pPr>
              <w:pStyle w:val="BodyText"/>
              <w:rPr>
                <w:rFonts w:ascii="Times New Roman" w:hAnsi="Times New Roman"/>
                <w:color w:val="000000"/>
              </w:rPr>
            </w:pPr>
            <w:r w:rsidRPr="0005346B">
              <w:rPr>
                <w:rFonts w:ascii="Times New Roman" w:hAnsi="Times New Roman"/>
                <w:color w:val="000000"/>
              </w:rPr>
              <w:t>US$</w:t>
            </w:r>
            <w:r w:rsidR="00AB7A0B" w:rsidRPr="0005346B">
              <w:rPr>
                <w:rFonts w:ascii="Times New Roman" w:hAnsi="Times New Roman"/>
                <w:color w:val="000000"/>
              </w:rPr>
              <w:t>1,0</w:t>
            </w:r>
            <w:r w:rsidR="003F3B62" w:rsidRPr="0005346B">
              <w:rPr>
                <w:rFonts w:ascii="Times New Roman" w:hAnsi="Times New Roman"/>
                <w:color w:val="000000"/>
              </w:rPr>
              <w:t>00,000</w:t>
            </w:r>
          </w:p>
        </w:tc>
        <w:tc>
          <w:tcPr>
            <w:tcW w:w="360" w:type="dxa"/>
            <w:tcBorders>
              <w:top w:val="nil"/>
              <w:left w:val="single" w:sz="4" w:space="0" w:color="auto"/>
              <w:bottom w:val="nil"/>
              <w:right w:val="single" w:sz="4" w:space="0" w:color="auto"/>
            </w:tcBorders>
            <w:shd w:val="clear" w:color="auto" w:fill="auto"/>
          </w:tcPr>
          <w:p w:rsidR="000134CC" w:rsidRPr="0005346B" w:rsidRDefault="000134CC" w:rsidP="000134CC">
            <w:pPr>
              <w:pStyle w:val="BodyText"/>
              <w:rPr>
                <w:rFonts w:ascii="Times New Roman" w:hAnsi="Times New Roman"/>
              </w:rPr>
            </w:pPr>
          </w:p>
        </w:tc>
        <w:tc>
          <w:tcPr>
            <w:tcW w:w="2071" w:type="dxa"/>
            <w:tcBorders>
              <w:top w:val="nil"/>
              <w:left w:val="single" w:sz="4" w:space="0" w:color="auto"/>
              <w:bottom w:val="nil"/>
              <w:right w:val="nil"/>
            </w:tcBorders>
            <w:shd w:val="clear" w:color="auto" w:fill="auto"/>
            <w:vAlign w:val="center"/>
          </w:tcPr>
          <w:p w:rsidR="000134CC" w:rsidRPr="0005346B" w:rsidRDefault="003C4D74" w:rsidP="000134CC">
            <w:pPr>
              <w:pStyle w:val="BodyText"/>
              <w:rPr>
                <w:rFonts w:ascii="Times New Roman" w:hAnsi="Times New Roman"/>
              </w:rPr>
            </w:pPr>
            <w:r w:rsidRPr="0005346B">
              <w:rPr>
                <w:rFonts w:ascii="Times New Roman" w:hAnsi="Times New Roman"/>
              </w:rPr>
              <w:t xml:space="preserve">End Date or </w:t>
            </w:r>
            <w:r w:rsidR="000134CC" w:rsidRPr="0005346B">
              <w:rPr>
                <w:rFonts w:ascii="Times New Roman" w:hAnsi="Times New Roman"/>
              </w:rPr>
              <w:t xml:space="preserve">Revised End Date, </w:t>
            </w:r>
          </w:p>
          <w:p w:rsidR="000134CC" w:rsidRPr="0005346B" w:rsidRDefault="000134CC" w:rsidP="000134CC">
            <w:pPr>
              <w:pStyle w:val="BodyText"/>
              <w:rPr>
                <w:rFonts w:ascii="Times New Roman" w:hAnsi="Times New Roman"/>
              </w:rPr>
            </w:pPr>
            <w:r w:rsidRPr="0005346B">
              <w:rPr>
                <w:rFonts w:ascii="Times New Roman" w:hAnsi="Times New Roman"/>
                <w:bCs/>
                <w:i/>
                <w:iCs/>
                <w:snapToGrid w:val="0"/>
                <w:sz w:val="18"/>
                <w:szCs w:val="18"/>
              </w:rPr>
              <w:t>(if applicable)</w:t>
            </w:r>
          </w:p>
        </w:tc>
        <w:tc>
          <w:tcPr>
            <w:tcW w:w="3048" w:type="dxa"/>
            <w:tcBorders>
              <w:top w:val="nil"/>
              <w:left w:val="nil"/>
              <w:bottom w:val="nil"/>
              <w:right w:val="single" w:sz="4" w:space="0" w:color="auto"/>
            </w:tcBorders>
            <w:shd w:val="clear" w:color="auto" w:fill="auto"/>
          </w:tcPr>
          <w:p w:rsidR="000134CC" w:rsidRPr="0077491A" w:rsidRDefault="003F3B62" w:rsidP="000134CC">
            <w:pPr>
              <w:pStyle w:val="BodyText"/>
              <w:rPr>
                <w:rFonts w:ascii="Times New Roman" w:hAnsi="Times New Roman"/>
              </w:rPr>
            </w:pPr>
            <w:r w:rsidRPr="0005346B">
              <w:rPr>
                <w:rFonts w:ascii="Times New Roman" w:hAnsi="Times New Roman"/>
              </w:rPr>
              <w:t>December 31</w:t>
            </w:r>
            <w:r w:rsidRPr="0005346B">
              <w:rPr>
                <w:rFonts w:ascii="Times New Roman" w:hAnsi="Times New Roman"/>
                <w:vertAlign w:val="superscript"/>
              </w:rPr>
              <w:t>st</w:t>
            </w:r>
            <w:r w:rsidRPr="0005346B">
              <w:rPr>
                <w:rFonts w:ascii="Times New Roman" w:hAnsi="Times New Roman"/>
              </w:rPr>
              <w:t xml:space="preserve"> 2012</w:t>
            </w:r>
          </w:p>
        </w:tc>
      </w:tr>
      <w:tr w:rsidR="000134CC" w:rsidRPr="0077491A" w:rsidTr="00D0750C">
        <w:tblPrEx>
          <w:tblCellMar>
            <w:top w:w="0" w:type="dxa"/>
            <w:bottom w:w="0" w:type="dxa"/>
          </w:tblCellMar>
        </w:tblPrEx>
        <w:trPr>
          <w:trHeight w:val="350"/>
        </w:trPr>
        <w:tc>
          <w:tcPr>
            <w:tcW w:w="2970" w:type="dxa"/>
            <w:tcBorders>
              <w:top w:val="nil"/>
              <w:left w:val="single" w:sz="4" w:space="0" w:color="auto"/>
              <w:bottom w:val="nil"/>
              <w:right w:val="nil"/>
            </w:tcBorders>
            <w:shd w:val="clear" w:color="auto" w:fill="D9D9D9"/>
            <w:vAlign w:val="center"/>
          </w:tcPr>
          <w:p w:rsidR="000134CC" w:rsidRPr="0005346B" w:rsidRDefault="000134CC" w:rsidP="000134CC">
            <w:pPr>
              <w:pStyle w:val="H2"/>
              <w:rPr>
                <w:rFonts w:cs="Times New Roman"/>
                <w:b w:val="0"/>
              </w:rPr>
            </w:pPr>
            <w:r w:rsidRPr="0005346B">
              <w:rPr>
                <w:rFonts w:cs="Times New Roman"/>
                <w:b w:val="0"/>
              </w:rPr>
              <w:t>Other Contribution (donor)</w:t>
            </w:r>
          </w:p>
          <w:p w:rsidR="000134CC" w:rsidRPr="0005346B" w:rsidRDefault="000134CC" w:rsidP="000134CC">
            <w:pPr>
              <w:pStyle w:val="H2"/>
              <w:rPr>
                <w:rFonts w:cs="Times New Roman"/>
              </w:rPr>
            </w:pPr>
            <w:r w:rsidRPr="0005346B">
              <w:rPr>
                <w:rFonts w:cs="Times New Roman"/>
                <w:b w:val="0"/>
                <w:i/>
                <w:sz w:val="18"/>
                <w:szCs w:val="18"/>
              </w:rPr>
              <w:t>(if applicable)</w:t>
            </w:r>
          </w:p>
        </w:tc>
        <w:tc>
          <w:tcPr>
            <w:tcW w:w="2531" w:type="dxa"/>
            <w:tcBorders>
              <w:top w:val="nil"/>
              <w:left w:val="nil"/>
              <w:bottom w:val="nil"/>
              <w:right w:val="single" w:sz="4" w:space="0" w:color="auto"/>
            </w:tcBorders>
            <w:shd w:val="clear" w:color="auto" w:fill="D9D9D9"/>
          </w:tcPr>
          <w:p w:rsidR="000134CC" w:rsidRPr="0005346B" w:rsidRDefault="00E25F3E" w:rsidP="009E581F">
            <w:pPr>
              <w:pStyle w:val="BodyText"/>
              <w:rPr>
                <w:rFonts w:ascii="Times New Roman" w:hAnsi="Times New Roman"/>
                <w:color w:val="000000"/>
              </w:rPr>
            </w:pPr>
            <w:r w:rsidRPr="0005346B">
              <w:rPr>
                <w:rFonts w:ascii="Times New Roman" w:hAnsi="Times New Roman"/>
                <w:color w:val="000000"/>
              </w:rPr>
              <w:t>AusAID: $</w:t>
            </w:r>
            <w:r w:rsidR="009E581F">
              <w:rPr>
                <w:rFonts w:ascii="Times New Roman" w:hAnsi="Times New Roman"/>
                <w:color w:val="000000"/>
              </w:rPr>
              <w:t>2.259,534</w:t>
            </w:r>
          </w:p>
        </w:tc>
        <w:tc>
          <w:tcPr>
            <w:tcW w:w="360" w:type="dxa"/>
            <w:tcBorders>
              <w:top w:val="nil"/>
              <w:left w:val="single" w:sz="4" w:space="0" w:color="auto"/>
              <w:bottom w:val="nil"/>
              <w:right w:val="single" w:sz="4" w:space="0" w:color="auto"/>
            </w:tcBorders>
            <w:shd w:val="clear" w:color="auto" w:fill="auto"/>
          </w:tcPr>
          <w:p w:rsidR="000134CC" w:rsidRPr="0005346B" w:rsidRDefault="000134CC" w:rsidP="000134CC">
            <w:pPr>
              <w:pStyle w:val="BodyText"/>
              <w:rPr>
                <w:rFonts w:ascii="Times New Roman" w:hAnsi="Times New Roman"/>
              </w:rPr>
            </w:pPr>
          </w:p>
        </w:tc>
        <w:tc>
          <w:tcPr>
            <w:tcW w:w="2071" w:type="dxa"/>
            <w:tcBorders>
              <w:top w:val="nil"/>
              <w:left w:val="single" w:sz="4" w:space="0" w:color="auto"/>
              <w:bottom w:val="nil"/>
              <w:right w:val="nil"/>
            </w:tcBorders>
            <w:shd w:val="clear" w:color="auto" w:fill="auto"/>
            <w:vAlign w:val="center"/>
          </w:tcPr>
          <w:p w:rsidR="000134CC" w:rsidRPr="0005346B" w:rsidRDefault="000134CC" w:rsidP="000134CC">
            <w:pPr>
              <w:pStyle w:val="BodyText"/>
              <w:rPr>
                <w:rFonts w:ascii="Times New Roman" w:hAnsi="Times New Roman"/>
              </w:rPr>
            </w:pPr>
            <w:r w:rsidRPr="0005346B">
              <w:rPr>
                <w:rFonts w:ascii="Times New Roman" w:hAnsi="Times New Roman"/>
              </w:rPr>
              <w:t>Operational Closure Date</w:t>
            </w:r>
            <w:r w:rsidRPr="0005346B">
              <w:rPr>
                <w:rStyle w:val="FootnoteReference"/>
                <w:rFonts w:ascii="Times New Roman" w:hAnsi="Times New Roman"/>
              </w:rPr>
              <w:footnoteReference w:id="3"/>
            </w:r>
          </w:p>
        </w:tc>
        <w:tc>
          <w:tcPr>
            <w:tcW w:w="3048" w:type="dxa"/>
            <w:tcBorders>
              <w:top w:val="nil"/>
              <w:left w:val="nil"/>
              <w:bottom w:val="nil"/>
              <w:right w:val="single" w:sz="4" w:space="0" w:color="auto"/>
            </w:tcBorders>
            <w:shd w:val="clear" w:color="auto" w:fill="auto"/>
          </w:tcPr>
          <w:p w:rsidR="000134CC" w:rsidRPr="0077491A" w:rsidRDefault="003F3B62" w:rsidP="000134CC">
            <w:pPr>
              <w:pStyle w:val="BodyText"/>
              <w:rPr>
                <w:rFonts w:ascii="Times New Roman" w:hAnsi="Times New Roman"/>
              </w:rPr>
            </w:pPr>
            <w:r w:rsidRPr="0005346B">
              <w:rPr>
                <w:rFonts w:ascii="Times New Roman" w:hAnsi="Times New Roman"/>
              </w:rPr>
              <w:t>December 31</w:t>
            </w:r>
            <w:r w:rsidRPr="0005346B">
              <w:rPr>
                <w:rFonts w:ascii="Times New Roman" w:hAnsi="Times New Roman"/>
                <w:vertAlign w:val="superscript"/>
              </w:rPr>
              <w:t>st</w:t>
            </w:r>
            <w:r w:rsidRPr="0005346B">
              <w:rPr>
                <w:rFonts w:ascii="Times New Roman" w:hAnsi="Times New Roman"/>
              </w:rPr>
              <w:t xml:space="preserve"> 2012</w:t>
            </w:r>
          </w:p>
        </w:tc>
      </w:tr>
      <w:tr w:rsidR="000134CC" w:rsidRPr="00F75023" w:rsidTr="00D0750C">
        <w:tblPrEx>
          <w:tblCellMar>
            <w:top w:w="0" w:type="dxa"/>
            <w:bottom w:w="0" w:type="dxa"/>
          </w:tblCellMar>
        </w:tblPrEx>
        <w:trPr>
          <w:trHeight w:val="350"/>
        </w:trPr>
        <w:tc>
          <w:tcPr>
            <w:tcW w:w="2970" w:type="dxa"/>
            <w:tcBorders>
              <w:top w:val="nil"/>
              <w:left w:val="single" w:sz="4" w:space="0" w:color="auto"/>
              <w:bottom w:val="single" w:sz="4" w:space="0" w:color="auto"/>
              <w:right w:val="nil"/>
            </w:tcBorders>
            <w:shd w:val="clear" w:color="auto" w:fill="auto"/>
            <w:vAlign w:val="center"/>
          </w:tcPr>
          <w:p w:rsidR="000134CC" w:rsidRPr="0077491A" w:rsidRDefault="000134CC" w:rsidP="000134CC">
            <w:pPr>
              <w:pStyle w:val="H2"/>
              <w:rPr>
                <w:rFonts w:cs="Times New Roman"/>
              </w:rPr>
            </w:pPr>
            <w:r w:rsidRPr="0077491A">
              <w:rPr>
                <w:rFonts w:cs="Times New Roman"/>
              </w:rPr>
              <w:t>TOTAL:</w:t>
            </w:r>
          </w:p>
        </w:tc>
        <w:tc>
          <w:tcPr>
            <w:tcW w:w="2531" w:type="dxa"/>
            <w:tcBorders>
              <w:top w:val="nil"/>
              <w:left w:val="nil"/>
              <w:bottom w:val="single" w:sz="4" w:space="0" w:color="auto"/>
              <w:right w:val="single" w:sz="4" w:space="0" w:color="auto"/>
            </w:tcBorders>
            <w:shd w:val="clear" w:color="auto" w:fill="auto"/>
          </w:tcPr>
          <w:p w:rsidR="000134CC" w:rsidRPr="0077491A" w:rsidRDefault="000134CC" w:rsidP="000134CC">
            <w:pPr>
              <w:pStyle w:val="BodyText"/>
              <w:rPr>
                <w:rFonts w:ascii="Times New Roman" w:hAnsi="Times New Roman"/>
                <w:color w:val="000000"/>
              </w:rPr>
            </w:pPr>
          </w:p>
          <w:p w:rsidR="005E36FB" w:rsidRPr="0077491A" w:rsidRDefault="005E36FB" w:rsidP="000134CC">
            <w:pPr>
              <w:pStyle w:val="BodyText"/>
              <w:rPr>
                <w:rFonts w:ascii="Times New Roman" w:hAnsi="Times New Roman"/>
                <w:color w:val="000000"/>
              </w:rPr>
            </w:pPr>
            <w:r w:rsidRPr="0077491A">
              <w:rPr>
                <w:rFonts w:ascii="Times New Roman" w:hAnsi="Times New Roman"/>
                <w:color w:val="000000"/>
              </w:rPr>
              <w:t>5,000,000</w:t>
            </w:r>
          </w:p>
        </w:tc>
        <w:tc>
          <w:tcPr>
            <w:tcW w:w="360" w:type="dxa"/>
            <w:tcBorders>
              <w:top w:val="nil"/>
              <w:left w:val="single" w:sz="4" w:space="0" w:color="auto"/>
              <w:bottom w:val="nil"/>
              <w:right w:val="single" w:sz="4" w:space="0" w:color="auto"/>
            </w:tcBorders>
            <w:shd w:val="clear" w:color="auto" w:fill="auto"/>
          </w:tcPr>
          <w:p w:rsidR="000134CC" w:rsidRPr="0077491A" w:rsidRDefault="000134CC" w:rsidP="000134CC">
            <w:pPr>
              <w:pStyle w:val="BodyText"/>
              <w:rPr>
                <w:rFonts w:ascii="Times New Roman" w:hAnsi="Times New Roman"/>
              </w:rPr>
            </w:pPr>
          </w:p>
        </w:tc>
        <w:tc>
          <w:tcPr>
            <w:tcW w:w="2071" w:type="dxa"/>
            <w:tcBorders>
              <w:top w:val="nil"/>
              <w:left w:val="single" w:sz="4" w:space="0" w:color="auto"/>
              <w:bottom w:val="single" w:sz="4" w:space="0" w:color="auto"/>
              <w:right w:val="nil"/>
            </w:tcBorders>
            <w:shd w:val="clear" w:color="auto" w:fill="auto"/>
            <w:vAlign w:val="center"/>
          </w:tcPr>
          <w:p w:rsidR="00FE1D71" w:rsidRPr="0077491A" w:rsidRDefault="000134CC" w:rsidP="000134CC">
            <w:pPr>
              <w:pStyle w:val="BodyText"/>
              <w:rPr>
                <w:rFonts w:ascii="Times New Roman" w:hAnsi="Times New Roman"/>
              </w:rPr>
            </w:pPr>
            <w:r w:rsidRPr="0077491A">
              <w:rPr>
                <w:rFonts w:ascii="Times New Roman" w:hAnsi="Times New Roman"/>
              </w:rPr>
              <w:t>Expected Financial Closure Date</w:t>
            </w:r>
          </w:p>
        </w:tc>
        <w:tc>
          <w:tcPr>
            <w:tcW w:w="3048" w:type="dxa"/>
            <w:tcBorders>
              <w:top w:val="nil"/>
              <w:left w:val="nil"/>
              <w:bottom w:val="single" w:sz="4" w:space="0" w:color="auto"/>
              <w:right w:val="single" w:sz="4" w:space="0" w:color="auto"/>
            </w:tcBorders>
            <w:shd w:val="clear" w:color="auto" w:fill="auto"/>
          </w:tcPr>
          <w:p w:rsidR="000134CC" w:rsidRPr="00F75023" w:rsidRDefault="001A1ABC" w:rsidP="00692D12">
            <w:pPr>
              <w:pStyle w:val="BodyText"/>
              <w:rPr>
                <w:rFonts w:ascii="Times New Roman" w:hAnsi="Times New Roman"/>
              </w:rPr>
            </w:pPr>
            <w:r w:rsidRPr="0077491A">
              <w:rPr>
                <w:rFonts w:ascii="Times New Roman" w:hAnsi="Times New Roman"/>
              </w:rPr>
              <w:t>31</w:t>
            </w:r>
            <w:r w:rsidRPr="0077491A">
              <w:rPr>
                <w:rFonts w:ascii="Times New Roman" w:hAnsi="Times New Roman"/>
                <w:vertAlign w:val="superscript"/>
              </w:rPr>
              <w:t>st</w:t>
            </w:r>
            <w:r w:rsidRPr="0077491A">
              <w:rPr>
                <w:rFonts w:ascii="Times New Roman" w:hAnsi="Times New Roman"/>
              </w:rPr>
              <w:t xml:space="preserve"> </w:t>
            </w:r>
            <w:r w:rsidR="00692D12">
              <w:rPr>
                <w:rFonts w:ascii="Times New Roman" w:hAnsi="Times New Roman"/>
              </w:rPr>
              <w:t xml:space="preserve">–December, </w:t>
            </w:r>
            <w:r w:rsidRPr="0077491A">
              <w:rPr>
                <w:rFonts w:ascii="Times New Roman" w:hAnsi="Times New Roman"/>
              </w:rPr>
              <w:t>2013</w:t>
            </w:r>
          </w:p>
        </w:tc>
      </w:tr>
    </w:tbl>
    <w:p w:rsidR="000134CC" w:rsidRDefault="000134CC" w:rsidP="00AB0274">
      <w:pPr>
        <w:jc w:val="center"/>
        <w:rPr>
          <w:b/>
          <w:bCs/>
          <w:caps/>
        </w:rPr>
      </w:pPr>
    </w:p>
    <w:tbl>
      <w:tblPr>
        <w:tblW w:w="10964" w:type="dxa"/>
        <w:tblInd w:w="-72" w:type="dxa"/>
        <w:tblLayout w:type="fixed"/>
        <w:tblLook w:val="01E0" w:firstRow="1" w:lastRow="1" w:firstColumn="1" w:lastColumn="1" w:noHBand="0" w:noVBand="0"/>
      </w:tblPr>
      <w:tblGrid>
        <w:gridCol w:w="5460"/>
        <w:gridCol w:w="360"/>
        <w:gridCol w:w="5144"/>
      </w:tblGrid>
      <w:tr w:rsidR="000134CC" w:rsidRPr="00947685" w:rsidTr="00D0750C">
        <w:tblPrEx>
          <w:tblCellMar>
            <w:top w:w="0" w:type="dxa"/>
            <w:bottom w:w="0" w:type="dxa"/>
          </w:tblCellMar>
        </w:tblPrEx>
        <w:trPr>
          <w:trHeight w:val="206"/>
        </w:trPr>
        <w:tc>
          <w:tcPr>
            <w:tcW w:w="5460" w:type="dxa"/>
            <w:tcBorders>
              <w:top w:val="single" w:sz="4" w:space="0" w:color="auto"/>
              <w:left w:val="single" w:sz="4" w:space="0" w:color="auto"/>
              <w:right w:val="single" w:sz="4" w:space="0" w:color="auto"/>
            </w:tcBorders>
            <w:shd w:val="clear" w:color="auto" w:fill="F3F3F3"/>
          </w:tcPr>
          <w:p w:rsidR="000134CC" w:rsidRPr="00947685" w:rsidRDefault="000134CC" w:rsidP="00EE0977">
            <w:pPr>
              <w:pStyle w:val="H1"/>
              <w:jc w:val="center"/>
              <w:rPr>
                <w:rFonts w:cs="Times New Roman"/>
              </w:rPr>
            </w:pPr>
            <w:r>
              <w:rPr>
                <w:rFonts w:cs="Times New Roman"/>
              </w:rPr>
              <w:t>Programme</w:t>
            </w:r>
            <w:r w:rsidR="00EE0977">
              <w:rPr>
                <w:rFonts w:cs="Times New Roman"/>
              </w:rPr>
              <w:t xml:space="preserve"> Assessments/Mid-Term</w:t>
            </w:r>
            <w:r>
              <w:rPr>
                <w:rFonts w:cs="Times New Roman"/>
              </w:rPr>
              <w:t xml:space="preserve"> Evaluation</w:t>
            </w:r>
          </w:p>
        </w:tc>
        <w:tc>
          <w:tcPr>
            <w:tcW w:w="360" w:type="dxa"/>
            <w:vMerge w:val="restart"/>
            <w:tcBorders>
              <w:left w:val="single" w:sz="4" w:space="0" w:color="auto"/>
              <w:right w:val="single" w:sz="4" w:space="0" w:color="auto"/>
            </w:tcBorders>
          </w:tcPr>
          <w:p w:rsidR="000134CC" w:rsidRPr="00947685" w:rsidRDefault="00D0750C" w:rsidP="000134CC">
            <w:r>
              <w:t xml:space="preserve">  </w:t>
            </w:r>
          </w:p>
        </w:tc>
        <w:tc>
          <w:tcPr>
            <w:tcW w:w="5144" w:type="dxa"/>
            <w:tcBorders>
              <w:top w:val="single" w:sz="4" w:space="0" w:color="auto"/>
              <w:left w:val="single" w:sz="4" w:space="0" w:color="auto"/>
              <w:right w:val="single" w:sz="4" w:space="0" w:color="auto"/>
            </w:tcBorders>
            <w:shd w:val="clear" w:color="auto" w:fill="F3F3F3"/>
          </w:tcPr>
          <w:p w:rsidR="000134CC" w:rsidRPr="0026644C" w:rsidRDefault="000134CC" w:rsidP="000134CC">
            <w:pPr>
              <w:pStyle w:val="H1"/>
              <w:jc w:val="center"/>
              <w:rPr>
                <w:rFonts w:cs="Times New Roman"/>
              </w:rPr>
            </w:pPr>
            <w:r w:rsidRPr="0026644C">
              <w:rPr>
                <w:bCs w:val="0"/>
              </w:rPr>
              <w:t>Submitted By</w:t>
            </w:r>
          </w:p>
        </w:tc>
      </w:tr>
      <w:tr w:rsidR="000134CC" w:rsidRPr="00947685" w:rsidTr="00D0750C">
        <w:tblPrEx>
          <w:tblCellMar>
            <w:top w:w="0" w:type="dxa"/>
            <w:bottom w:w="0" w:type="dxa"/>
          </w:tblCellMar>
        </w:tblPrEx>
        <w:trPr>
          <w:trHeight w:val="495"/>
        </w:trPr>
        <w:tc>
          <w:tcPr>
            <w:tcW w:w="5460" w:type="dxa"/>
            <w:tcBorders>
              <w:left w:val="single" w:sz="4" w:space="0" w:color="auto"/>
              <w:bottom w:val="single" w:sz="4" w:space="0" w:color="auto"/>
              <w:right w:val="single" w:sz="4" w:space="0" w:color="auto"/>
            </w:tcBorders>
          </w:tcPr>
          <w:p w:rsidR="00F316CE" w:rsidRPr="00D755B8" w:rsidRDefault="00EE0977" w:rsidP="000134CC">
            <w:pPr>
              <w:pStyle w:val="BodyText"/>
              <w:rPr>
                <w:rFonts w:ascii="Times New Roman" w:hAnsi="Times New Roman" w:cs="Times New Roman"/>
                <w:bCs/>
                <w:i/>
                <w:iCs/>
                <w:snapToGrid w:val="0"/>
                <w:sz w:val="18"/>
                <w:szCs w:val="18"/>
                <w:lang w:val="en-GB"/>
              </w:rPr>
            </w:pPr>
            <w:r w:rsidRPr="00D755B8">
              <w:rPr>
                <w:rFonts w:ascii="Times New Roman" w:hAnsi="Times New Roman"/>
              </w:rPr>
              <w:t>Assessment</w:t>
            </w:r>
            <w:r w:rsidR="000134CC" w:rsidRPr="00D755B8">
              <w:rPr>
                <w:rFonts w:ascii="Times New Roman" w:hAnsi="Times New Roman"/>
              </w:rPr>
              <w:t xml:space="preserve"> Completed  </w:t>
            </w:r>
            <w:r w:rsidR="00066978" w:rsidRPr="00D755B8">
              <w:rPr>
                <w:rFonts w:ascii="Times New Roman" w:hAnsi="Times New Roman"/>
              </w:rPr>
              <w:t xml:space="preserve">- </w:t>
            </w:r>
            <w:r w:rsidR="0053545E" w:rsidRPr="00D755B8">
              <w:rPr>
                <w:rFonts w:ascii="Times New Roman" w:hAnsi="Times New Roman"/>
              </w:rPr>
              <w:t xml:space="preserve">if applicable </w:t>
            </w:r>
            <w:r w:rsidR="00066978" w:rsidRPr="00D755B8">
              <w:rPr>
                <w:rFonts w:ascii="Times New Roman" w:hAnsi="Times New Roman" w:cs="Times New Roman"/>
                <w:bCs/>
                <w:i/>
                <w:iCs/>
                <w:snapToGrid w:val="0"/>
                <w:sz w:val="18"/>
                <w:szCs w:val="18"/>
                <w:lang w:val="en-GB"/>
              </w:rPr>
              <w:t>please attach</w:t>
            </w:r>
          </w:p>
          <w:p w:rsidR="004D1571" w:rsidRPr="00D755B8" w:rsidRDefault="0023313F" w:rsidP="004D1571">
            <w:pPr>
              <w:pStyle w:val="BodyText"/>
              <w:rPr>
                <w:rFonts w:ascii="Times New Roman" w:hAnsi="Times New Roman"/>
              </w:rPr>
            </w:pPr>
            <w:r>
              <w:rPr>
                <w:rFonts w:ascii="Times New Roman" w:hAnsi="Times New Roman"/>
                <w:i/>
                <w:noProof/>
                <w:lang w:val="en-AU" w:eastAsia="en-AU"/>
              </w:rPr>
              <mc:AlternateContent>
                <mc:Choice Requires="wps">
                  <w:drawing>
                    <wp:anchor distT="0" distB="0" distL="114300" distR="114300" simplePos="0" relativeHeight="251653120" behindDoc="0" locked="0" layoutInCell="1" allowOverlap="1" wp14:anchorId="2B704333" wp14:editId="0CCED7B1">
                      <wp:simplePos x="0" y="0"/>
                      <wp:positionH relativeFrom="column">
                        <wp:posOffset>524510</wp:posOffset>
                      </wp:positionH>
                      <wp:positionV relativeFrom="paragraph">
                        <wp:posOffset>17145</wp:posOffset>
                      </wp:positionV>
                      <wp:extent cx="90805" cy="90805"/>
                      <wp:effectExtent l="10160" t="7620" r="13335" b="635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1.3pt;margin-top:1.35pt;width:7.15pt;height: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ZlGgIAADo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"/>
                  </w:pict>
                </mc:Fallback>
              </mc:AlternateContent>
            </w:r>
            <w:r>
              <w:rPr>
                <w:rFonts w:ascii="Times New Roman" w:hAnsi="Times New Roman"/>
                <w:i/>
                <w:noProof/>
                <w:lang w:val="en-AU" w:eastAsia="en-AU"/>
              </w:rPr>
              <mc:AlternateContent>
                <mc:Choice Requires="wps">
                  <w:drawing>
                    <wp:anchor distT="0" distB="0" distL="114300" distR="114300" simplePos="0" relativeHeight="251655168" behindDoc="0" locked="0" layoutInCell="1" allowOverlap="1" wp14:anchorId="763564CF" wp14:editId="79694C49">
                      <wp:simplePos x="0" y="0"/>
                      <wp:positionH relativeFrom="column">
                        <wp:posOffset>-8890</wp:posOffset>
                      </wp:positionH>
                      <wp:positionV relativeFrom="paragraph">
                        <wp:posOffset>17145</wp:posOffset>
                      </wp:positionV>
                      <wp:extent cx="90805" cy="90805"/>
                      <wp:effectExtent l="10160" t="7620" r="13335" b="635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pt;margin-top:1.35pt;width:7.15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"/>
                  </w:pict>
                </mc:Fallback>
              </mc:AlternateContent>
            </w:r>
            <w:r w:rsidR="000134CC" w:rsidRPr="00D755B8">
              <w:rPr>
                <w:rFonts w:ascii="Times New Roman" w:hAnsi="Times New Roman"/>
              </w:rPr>
              <w:t xml:space="preserve">     Yes          No    Date: __________________</w:t>
            </w:r>
          </w:p>
          <w:p w:rsidR="000134CC" w:rsidRPr="00D755B8" w:rsidRDefault="00066978" w:rsidP="004D1571">
            <w:pPr>
              <w:pStyle w:val="BodyText"/>
              <w:rPr>
                <w:rFonts w:ascii="Times New Roman" w:hAnsi="Times New Roman"/>
              </w:rPr>
            </w:pPr>
            <w:r w:rsidRPr="00D755B8">
              <w:rPr>
                <w:rFonts w:ascii="Times New Roman" w:hAnsi="Times New Roman"/>
              </w:rPr>
              <w:t>Mid-</w:t>
            </w:r>
            <w:r w:rsidR="000134CC" w:rsidRPr="00D755B8">
              <w:rPr>
                <w:rFonts w:ascii="Times New Roman" w:hAnsi="Times New Roman"/>
              </w:rPr>
              <w:t xml:space="preserve">Evaluation Report </w:t>
            </w:r>
            <w:r w:rsidRPr="00D755B8">
              <w:rPr>
                <w:rFonts w:ascii="Times New Roman" w:hAnsi="Times New Roman" w:cs="Times New Roman"/>
                <w:bCs/>
                <w:i/>
                <w:iCs/>
                <w:snapToGrid w:val="0"/>
                <w:sz w:val="18"/>
                <w:szCs w:val="18"/>
                <w:lang w:val="en-GB"/>
              </w:rPr>
              <w:t xml:space="preserve">– </w:t>
            </w:r>
            <w:r w:rsidR="0053545E" w:rsidRPr="00D755B8">
              <w:rPr>
                <w:rFonts w:ascii="Times New Roman" w:hAnsi="Times New Roman" w:cs="Times New Roman"/>
                <w:bCs/>
                <w:i/>
                <w:iCs/>
                <w:snapToGrid w:val="0"/>
                <w:sz w:val="18"/>
                <w:szCs w:val="18"/>
                <w:lang w:val="en-GB"/>
              </w:rPr>
              <w:t xml:space="preserve">if applicable </w:t>
            </w:r>
            <w:r w:rsidRPr="00D755B8">
              <w:rPr>
                <w:rFonts w:ascii="Times New Roman" w:hAnsi="Times New Roman" w:cs="Times New Roman"/>
                <w:bCs/>
                <w:i/>
                <w:iCs/>
                <w:snapToGrid w:val="0"/>
                <w:sz w:val="18"/>
                <w:szCs w:val="18"/>
                <w:lang w:val="en-GB"/>
              </w:rPr>
              <w:t>please a</w:t>
            </w:r>
            <w:r w:rsidR="000134CC" w:rsidRPr="00D755B8">
              <w:rPr>
                <w:rFonts w:ascii="Times New Roman" w:hAnsi="Times New Roman" w:cs="Times New Roman"/>
                <w:bCs/>
                <w:i/>
                <w:iCs/>
                <w:snapToGrid w:val="0"/>
                <w:sz w:val="18"/>
                <w:szCs w:val="18"/>
                <w:lang w:val="en-GB"/>
              </w:rPr>
              <w:t>ttach</w:t>
            </w:r>
            <w:r w:rsidR="000134CC" w:rsidRPr="00D755B8">
              <w:rPr>
                <w:rFonts w:ascii="Times New Roman" w:hAnsi="Times New Roman"/>
                <w:b/>
              </w:rPr>
              <w:t xml:space="preserve">          </w:t>
            </w:r>
          </w:p>
          <w:p w:rsidR="000134CC" w:rsidRPr="003507AD" w:rsidRDefault="0023313F" w:rsidP="00C56517">
            <w:pPr>
              <w:pStyle w:val="BodyText"/>
              <w:rPr>
                <w:rFonts w:ascii="Times New Roman" w:hAnsi="Times New Roman"/>
              </w:rPr>
            </w:pPr>
            <w:r>
              <w:rPr>
                <w:rFonts w:ascii="Times New Roman" w:hAnsi="Times New Roman"/>
                <w:i/>
                <w:noProof/>
                <w:lang w:val="en-AU" w:eastAsia="en-AU"/>
              </w:rPr>
              <mc:AlternateContent>
                <mc:Choice Requires="wps">
                  <w:drawing>
                    <wp:anchor distT="0" distB="0" distL="114300" distR="114300" simplePos="0" relativeHeight="251654144" behindDoc="0" locked="0" layoutInCell="1" allowOverlap="1" wp14:anchorId="57A08CB9" wp14:editId="454366F4">
                      <wp:simplePos x="0" y="0"/>
                      <wp:positionH relativeFrom="column">
                        <wp:posOffset>519430</wp:posOffset>
                      </wp:positionH>
                      <wp:positionV relativeFrom="paragraph">
                        <wp:posOffset>20320</wp:posOffset>
                      </wp:positionV>
                      <wp:extent cx="90805" cy="90805"/>
                      <wp:effectExtent l="5080" t="10795" r="8890" b="1270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0.9pt;margin-top:1.6pt;width:7.15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bNGQ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"/>
                  </w:pict>
                </mc:Fallback>
              </mc:AlternateContent>
            </w:r>
            <w:r w:rsidR="000134CC" w:rsidRPr="00D755B8">
              <w:rPr>
                <w:rFonts w:ascii="Times New Roman" w:hAnsi="Times New Roman"/>
              </w:rPr>
              <w:t xml:space="preserve"> </w:t>
            </w:r>
            <w:r w:rsidR="005E36FB" w:rsidRPr="00D755B8">
              <w:rPr>
                <w:rFonts w:ascii="Times New Roman" w:hAnsi="Times New Roman"/>
              </w:rPr>
              <w:t xml:space="preserve">X </w:t>
            </w:r>
            <w:r w:rsidR="000134CC" w:rsidRPr="00D755B8">
              <w:rPr>
                <w:rFonts w:ascii="Times New Roman" w:hAnsi="Times New Roman"/>
              </w:rPr>
              <w:t>Yes          No</w:t>
            </w:r>
            <w:r w:rsidR="00066978" w:rsidRPr="00D755B8">
              <w:rPr>
                <w:rFonts w:ascii="Times New Roman" w:hAnsi="Times New Roman"/>
              </w:rPr>
              <w:t xml:space="preserve">    Date: </w:t>
            </w:r>
            <w:r w:rsidR="00C56517" w:rsidRPr="00D755B8">
              <w:rPr>
                <w:rFonts w:ascii="Times New Roman" w:hAnsi="Times New Roman"/>
              </w:rPr>
              <w:t>August, 2010</w:t>
            </w:r>
          </w:p>
        </w:tc>
        <w:tc>
          <w:tcPr>
            <w:tcW w:w="360" w:type="dxa"/>
            <w:vMerge/>
            <w:tcBorders>
              <w:left w:val="single" w:sz="4" w:space="0" w:color="auto"/>
              <w:right w:val="single" w:sz="4" w:space="0" w:color="auto"/>
            </w:tcBorders>
          </w:tcPr>
          <w:p w:rsidR="000134CC" w:rsidRPr="00947685" w:rsidRDefault="000134CC" w:rsidP="000134CC">
            <w:pPr>
              <w:pStyle w:val="BodyText"/>
              <w:rPr>
                <w:rFonts w:ascii="Times New Roman" w:hAnsi="Times New Roman"/>
              </w:rPr>
            </w:pPr>
          </w:p>
        </w:tc>
        <w:tc>
          <w:tcPr>
            <w:tcW w:w="5144" w:type="dxa"/>
            <w:tcBorders>
              <w:left w:val="single" w:sz="4" w:space="0" w:color="auto"/>
              <w:bottom w:val="single" w:sz="4" w:space="0" w:color="auto"/>
              <w:right w:val="single" w:sz="4" w:space="0" w:color="auto"/>
            </w:tcBorders>
          </w:tcPr>
          <w:p w:rsidR="000134CC" w:rsidRPr="005E36FB" w:rsidRDefault="000134CC" w:rsidP="00A469F5">
            <w:pPr>
              <w:numPr>
                <w:ilvl w:val="0"/>
                <w:numId w:val="13"/>
              </w:numPr>
              <w:ind w:left="342"/>
              <w:rPr>
                <w:sz w:val="20"/>
                <w:szCs w:val="20"/>
                <w:lang w:val="en-GB"/>
              </w:rPr>
            </w:pPr>
            <w:r w:rsidRPr="005E36FB">
              <w:rPr>
                <w:sz w:val="20"/>
                <w:szCs w:val="20"/>
                <w:lang w:val="en-GB"/>
              </w:rPr>
              <w:t>Name:</w:t>
            </w:r>
            <w:r w:rsidR="005E36FB" w:rsidRPr="005E36FB">
              <w:rPr>
                <w:sz w:val="20"/>
                <w:szCs w:val="20"/>
                <w:lang w:val="en-GB"/>
              </w:rPr>
              <w:t xml:space="preserve"> </w:t>
            </w:r>
            <w:r w:rsidR="00FE1D71">
              <w:rPr>
                <w:sz w:val="20"/>
                <w:szCs w:val="20"/>
                <w:lang w:val="en-GB"/>
              </w:rPr>
              <w:t xml:space="preserve">Marcella Willis </w:t>
            </w:r>
          </w:p>
          <w:p w:rsidR="000134CC" w:rsidRPr="00D755B8" w:rsidRDefault="000134CC" w:rsidP="00A469F5">
            <w:pPr>
              <w:numPr>
                <w:ilvl w:val="0"/>
                <w:numId w:val="13"/>
              </w:numPr>
              <w:ind w:left="342"/>
              <w:rPr>
                <w:sz w:val="20"/>
                <w:szCs w:val="20"/>
                <w:lang w:val="en-GB"/>
              </w:rPr>
            </w:pPr>
            <w:r w:rsidRPr="00D755B8">
              <w:rPr>
                <w:sz w:val="20"/>
                <w:szCs w:val="20"/>
                <w:lang w:val="en-GB"/>
              </w:rPr>
              <w:t>Title:</w:t>
            </w:r>
            <w:r w:rsidR="005E36FB" w:rsidRPr="00D755B8">
              <w:rPr>
                <w:sz w:val="20"/>
                <w:szCs w:val="20"/>
                <w:lang w:val="en-GB"/>
              </w:rPr>
              <w:t xml:space="preserve">   </w:t>
            </w:r>
            <w:r w:rsidR="00FE1D71">
              <w:rPr>
                <w:sz w:val="20"/>
                <w:szCs w:val="20"/>
                <w:lang w:val="en-GB"/>
              </w:rPr>
              <w:t>Technical Specialist</w:t>
            </w:r>
          </w:p>
          <w:p w:rsidR="000134CC" w:rsidRPr="00D755B8" w:rsidRDefault="000134CC" w:rsidP="00A469F5">
            <w:pPr>
              <w:numPr>
                <w:ilvl w:val="0"/>
                <w:numId w:val="13"/>
              </w:numPr>
              <w:ind w:left="342"/>
              <w:rPr>
                <w:sz w:val="20"/>
                <w:szCs w:val="20"/>
                <w:lang w:val="en-GB"/>
              </w:rPr>
            </w:pPr>
            <w:r w:rsidRPr="00D755B8">
              <w:rPr>
                <w:sz w:val="20"/>
                <w:szCs w:val="20"/>
                <w:lang w:val="en-GB"/>
              </w:rPr>
              <w:t>Participating Organization (Lead):</w:t>
            </w:r>
            <w:r w:rsidR="005E36FB" w:rsidRPr="00D755B8">
              <w:rPr>
                <w:sz w:val="20"/>
                <w:szCs w:val="20"/>
                <w:lang w:val="en-GB"/>
              </w:rPr>
              <w:t xml:space="preserve"> </w:t>
            </w:r>
            <w:r w:rsidR="00FE1D71">
              <w:rPr>
                <w:sz w:val="20"/>
                <w:szCs w:val="20"/>
                <w:lang w:val="en-GB"/>
              </w:rPr>
              <w:t>UNCDF</w:t>
            </w:r>
          </w:p>
          <w:p w:rsidR="000134CC" w:rsidRPr="004D1571" w:rsidRDefault="00AC4360" w:rsidP="005E36FB">
            <w:pPr>
              <w:pStyle w:val="BodyText"/>
              <w:numPr>
                <w:ilvl w:val="0"/>
                <w:numId w:val="13"/>
              </w:numPr>
              <w:spacing w:after="120"/>
              <w:ind w:left="342"/>
              <w:jc w:val="both"/>
              <w:rPr>
                <w:rFonts w:ascii="Times New Roman" w:hAnsi="Times New Roman"/>
                <w:b/>
                <w:bCs/>
                <w:snapToGrid w:val="0"/>
                <w:kern w:val="32"/>
                <w:sz w:val="24"/>
                <w:szCs w:val="32"/>
              </w:rPr>
            </w:pPr>
            <w:r w:rsidRPr="00D755B8">
              <w:rPr>
                <w:rFonts w:ascii="Times New Roman" w:hAnsi="Times New Roman"/>
              </w:rPr>
              <w:t>Email address</w:t>
            </w:r>
            <w:r w:rsidR="000134CC" w:rsidRPr="00D755B8">
              <w:rPr>
                <w:rFonts w:ascii="Times New Roman" w:hAnsi="Times New Roman"/>
              </w:rPr>
              <w:t>:</w:t>
            </w:r>
            <w:r w:rsidR="005E36FB" w:rsidRPr="005E36FB">
              <w:rPr>
                <w:rFonts w:ascii="Times New Roman" w:hAnsi="Times New Roman"/>
              </w:rPr>
              <w:t xml:space="preserve"> </w:t>
            </w:r>
            <w:r w:rsidR="00FE1D71">
              <w:rPr>
                <w:rFonts w:ascii="Times New Roman" w:hAnsi="Times New Roman"/>
              </w:rPr>
              <w:t>marcella.willis@uncdf.org</w:t>
            </w:r>
          </w:p>
        </w:tc>
      </w:tr>
    </w:tbl>
    <w:p w:rsidR="007C1C10" w:rsidRDefault="007C1C10" w:rsidP="00156FF2">
      <w:pPr>
        <w:rPr>
          <w:b/>
          <w:bCs/>
          <w:caps/>
        </w:rPr>
        <w:sectPr w:rsidR="007C1C10" w:rsidSect="00C416C0">
          <w:pgSz w:w="12240" w:h="15840" w:code="1"/>
          <w:pgMar w:top="810" w:right="990" w:bottom="1354" w:left="806" w:header="720" w:footer="418" w:gutter="0"/>
          <w:cols w:space="720"/>
          <w:docGrid w:linePitch="360"/>
        </w:sectPr>
      </w:pPr>
    </w:p>
    <w:p w:rsidR="007F2A41" w:rsidRDefault="007F2A41" w:rsidP="00156FF2">
      <w:pPr>
        <w:rPr>
          <w:b/>
          <w:bCs/>
          <w:caps/>
        </w:rPr>
      </w:pPr>
    </w:p>
    <w:tbl>
      <w:tblPr>
        <w:tblW w:w="8898" w:type="dxa"/>
        <w:tblInd w:w="570" w:type="dxa"/>
        <w:tblLook w:val="0000" w:firstRow="0" w:lastRow="0" w:firstColumn="0" w:lastColumn="0" w:noHBand="0" w:noVBand="0"/>
      </w:tblPr>
      <w:tblGrid>
        <w:gridCol w:w="1440"/>
        <w:gridCol w:w="7458"/>
      </w:tblGrid>
      <w:tr w:rsidR="001C3825" w:rsidRPr="00156FF2" w:rsidTr="00156FF2">
        <w:trPr>
          <w:trHeight w:val="255"/>
        </w:trPr>
        <w:tc>
          <w:tcPr>
            <w:tcW w:w="88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C3825" w:rsidRPr="00156FF2" w:rsidRDefault="001C3825">
            <w:pPr>
              <w:jc w:val="center"/>
              <w:rPr>
                <w:b/>
                <w:bCs/>
                <w:sz w:val="22"/>
                <w:szCs w:val="22"/>
              </w:rPr>
            </w:pPr>
            <w:r w:rsidRPr="00156FF2">
              <w:rPr>
                <w:b/>
                <w:bCs/>
                <w:sz w:val="22"/>
                <w:szCs w:val="22"/>
              </w:rPr>
              <w:t>Abbreviations and Acronyms</w:t>
            </w:r>
          </w:p>
        </w:tc>
      </w:tr>
      <w:tr w:rsidR="001C3825" w:rsidRPr="00156FF2" w:rsidTr="00156FF2">
        <w:trPr>
          <w:trHeight w:val="255"/>
        </w:trPr>
        <w:tc>
          <w:tcPr>
            <w:tcW w:w="1440" w:type="dxa"/>
            <w:tcBorders>
              <w:top w:val="single" w:sz="4" w:space="0" w:color="auto"/>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lang w:eastAsia="ja-JP"/>
              </w:rPr>
              <w:t xml:space="preserve">AA           </w:t>
            </w:r>
          </w:p>
        </w:tc>
        <w:tc>
          <w:tcPr>
            <w:tcW w:w="7458" w:type="dxa"/>
            <w:tcBorders>
              <w:top w:val="single" w:sz="4" w:space="0" w:color="auto"/>
              <w:left w:val="nil"/>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lang w:eastAsia="ja-JP"/>
              </w:rPr>
              <w:t>Administrative Agent</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ADB</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Asian Development Bank</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AusAID</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Australian Agency for International Development</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BASIX</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Bhartiya Samruddhi Investments and Consulting Services Ltd.</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 xml:space="preserve">BDS </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Business Development Services</w:t>
            </w:r>
          </w:p>
        </w:tc>
      </w:tr>
      <w:tr w:rsidR="001C3825" w:rsidRPr="00156FF2" w:rsidTr="00156FF2">
        <w:trPr>
          <w:trHeight w:val="255"/>
        </w:trPr>
        <w:tc>
          <w:tcPr>
            <w:tcW w:w="1440" w:type="dxa"/>
            <w:tcBorders>
              <w:top w:val="nil"/>
              <w:left w:val="single" w:sz="4" w:space="0" w:color="auto"/>
              <w:bottom w:val="nil"/>
              <w:right w:val="single" w:sz="4" w:space="0" w:color="auto"/>
            </w:tcBorders>
            <w:shd w:val="clear" w:color="auto" w:fill="auto"/>
          </w:tcPr>
          <w:p w:rsidR="001C3825" w:rsidRPr="00156FF2" w:rsidRDefault="001C3825">
            <w:pPr>
              <w:rPr>
                <w:sz w:val="22"/>
                <w:szCs w:val="22"/>
              </w:rPr>
            </w:pPr>
            <w:r w:rsidRPr="00156FF2">
              <w:rPr>
                <w:sz w:val="22"/>
                <w:szCs w:val="22"/>
              </w:rPr>
              <w:t>BPA</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Banking and Payments Authority</w:t>
            </w:r>
          </w:p>
        </w:tc>
      </w:tr>
      <w:tr w:rsidR="001C3825" w:rsidRPr="00156FF2" w:rsidTr="00156FF2">
        <w:trPr>
          <w:trHeight w:val="255"/>
        </w:trPr>
        <w:tc>
          <w:tcPr>
            <w:tcW w:w="1440" w:type="dxa"/>
            <w:tcBorders>
              <w:top w:val="single" w:sz="4" w:space="0" w:color="auto"/>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CGAP</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Consultative Group for Assistance to the Poorest</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CGD</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lang w:val="es-ES_tradnl"/>
              </w:rPr>
            </w:pPr>
            <w:r w:rsidRPr="00156FF2">
              <w:rPr>
                <w:sz w:val="22"/>
                <w:szCs w:val="22"/>
                <w:lang w:val="es-ES"/>
              </w:rPr>
              <w:t>Caixa Geral de Depósitos (currently BNU)</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CTA</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Chief Technical Adviser</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CUF</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Credit Union Federation – also referred to as FHM</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CUFA</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Credit Union Foundation of Australia</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DNC</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National Directorate of Cooperatives</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FHM</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Federa</w:t>
            </w:r>
            <w:r w:rsidR="00156FF2" w:rsidRPr="00156FF2">
              <w:rPr>
                <w:sz w:val="22"/>
                <w:szCs w:val="22"/>
              </w:rPr>
              <w:t>s</w:t>
            </w:r>
            <w:r w:rsidRPr="00156FF2">
              <w:rPr>
                <w:sz w:val="22"/>
                <w:szCs w:val="22"/>
              </w:rPr>
              <w:t>aun Hanai Malu (</w:t>
            </w:r>
            <w:r w:rsidR="00697746" w:rsidRPr="00156FF2">
              <w:rPr>
                <w:sz w:val="22"/>
                <w:szCs w:val="22"/>
              </w:rPr>
              <w:t>Federation</w:t>
            </w:r>
            <w:r w:rsidRPr="00156FF2">
              <w:rPr>
                <w:sz w:val="22"/>
                <w:szCs w:val="22"/>
              </w:rPr>
              <w:t xml:space="preserve"> of Savings and Credit Cooperatives)</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FIF</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Fund for Inclusive Finance</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FSPs</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Financial Services Providers</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FSS</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Financial Self-sufficiency ratio</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GoTL</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Government of Timor-Leste</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IC</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Investment Committee (for the FIF); also called MCIF</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IFC</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International Finance Corporation</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IMfTL</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lang w:val="es-MX"/>
              </w:rPr>
              <w:t>Instituicao de Microfinancas de Timor-Leste</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INFUSE</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Inclusive Finance for the Under-Served Economy</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INDMO</w:t>
            </w:r>
          </w:p>
        </w:tc>
        <w:tc>
          <w:tcPr>
            <w:tcW w:w="7458" w:type="dxa"/>
            <w:tcBorders>
              <w:top w:val="nil"/>
              <w:left w:val="nil"/>
              <w:bottom w:val="single" w:sz="4" w:space="0" w:color="auto"/>
              <w:right w:val="single" w:sz="4" w:space="0" w:color="auto"/>
            </w:tcBorders>
            <w:shd w:val="clear" w:color="auto" w:fill="auto"/>
          </w:tcPr>
          <w:p w:rsidR="001C3825" w:rsidRPr="00156FF2" w:rsidRDefault="00697746">
            <w:pPr>
              <w:jc w:val="both"/>
              <w:rPr>
                <w:sz w:val="22"/>
                <w:szCs w:val="22"/>
              </w:rPr>
            </w:pPr>
            <w:r w:rsidRPr="00156FF2">
              <w:rPr>
                <w:sz w:val="22"/>
                <w:szCs w:val="22"/>
              </w:rPr>
              <w:t xml:space="preserve">Institusaun Nacional Desenvolvimento Maun d’Obre / </w:t>
            </w:r>
            <w:r w:rsidR="001C3825" w:rsidRPr="00156FF2">
              <w:rPr>
                <w:sz w:val="22"/>
                <w:szCs w:val="22"/>
              </w:rPr>
              <w:t xml:space="preserve">National </w:t>
            </w:r>
            <w:r w:rsidR="00620C25" w:rsidRPr="00156FF2">
              <w:rPr>
                <w:sz w:val="22"/>
                <w:szCs w:val="22"/>
              </w:rPr>
              <w:t>Labor</w:t>
            </w:r>
            <w:r w:rsidR="001C3825" w:rsidRPr="00156FF2">
              <w:rPr>
                <w:sz w:val="22"/>
                <w:szCs w:val="22"/>
              </w:rPr>
              <w:t xml:space="preserve"> Force Development Institute</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MCIF</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Management Committee for Inclusive Finance (IC)</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MCRIL</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MicroRating International (microfinance rating agency)</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MDG(s)</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Millennium Development Goal(s)</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MDTF</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Multi-donor Trust Fund</w:t>
            </w:r>
          </w:p>
        </w:tc>
      </w:tr>
      <w:tr w:rsidR="00697746"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697746" w:rsidRPr="00156FF2" w:rsidRDefault="00697746">
            <w:pPr>
              <w:rPr>
                <w:sz w:val="22"/>
                <w:szCs w:val="22"/>
              </w:rPr>
            </w:pPr>
            <w:r w:rsidRPr="00156FF2">
              <w:rPr>
                <w:sz w:val="22"/>
                <w:szCs w:val="22"/>
              </w:rPr>
              <w:t>MF</w:t>
            </w:r>
          </w:p>
        </w:tc>
        <w:tc>
          <w:tcPr>
            <w:tcW w:w="7458" w:type="dxa"/>
            <w:tcBorders>
              <w:top w:val="nil"/>
              <w:left w:val="nil"/>
              <w:bottom w:val="single" w:sz="4" w:space="0" w:color="auto"/>
              <w:right w:val="single" w:sz="4" w:space="0" w:color="auto"/>
            </w:tcBorders>
            <w:shd w:val="clear" w:color="auto" w:fill="auto"/>
          </w:tcPr>
          <w:p w:rsidR="00697746" w:rsidRPr="00156FF2" w:rsidRDefault="00697746">
            <w:pPr>
              <w:jc w:val="both"/>
              <w:rPr>
                <w:sz w:val="22"/>
                <w:szCs w:val="22"/>
              </w:rPr>
            </w:pPr>
            <w:r w:rsidRPr="00156FF2">
              <w:rPr>
                <w:sz w:val="22"/>
                <w:szCs w:val="22"/>
              </w:rPr>
              <w:t>Microfinance</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MFIs</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Microfinance Institutions</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MIS</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Management Information System</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MoED</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Ministry of Economy and Development</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MR</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Moris Rasik</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NGO</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Non-Government Organization</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NPWG</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National Priority Working Group</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ODTI</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 xml:space="preserve">Other Deposit-Taking Institution </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PaR</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Portfolio at Risk</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PIU</w:t>
            </w:r>
          </w:p>
        </w:tc>
        <w:tc>
          <w:tcPr>
            <w:tcW w:w="7458" w:type="dxa"/>
            <w:tcBorders>
              <w:top w:val="nil"/>
              <w:left w:val="nil"/>
              <w:bottom w:val="single" w:sz="4" w:space="0" w:color="auto"/>
              <w:right w:val="single" w:sz="4" w:space="0" w:color="auto"/>
            </w:tcBorders>
            <w:shd w:val="clear" w:color="auto" w:fill="auto"/>
          </w:tcPr>
          <w:p w:rsidR="001C3825" w:rsidRPr="00156FF2" w:rsidRDefault="00620C25">
            <w:pPr>
              <w:jc w:val="both"/>
              <w:rPr>
                <w:sz w:val="22"/>
                <w:szCs w:val="22"/>
              </w:rPr>
            </w:pPr>
            <w:r w:rsidRPr="00156FF2">
              <w:rPr>
                <w:sz w:val="22"/>
                <w:szCs w:val="22"/>
              </w:rPr>
              <w:t>Program</w:t>
            </w:r>
            <w:r w:rsidR="001C3825" w:rsidRPr="00156FF2">
              <w:rPr>
                <w:sz w:val="22"/>
                <w:szCs w:val="22"/>
              </w:rPr>
              <w:t xml:space="preserve"> Implementation Unit</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PFIP</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 xml:space="preserve">Pacific Financial Inclusion </w:t>
            </w:r>
            <w:r w:rsidR="00620C25" w:rsidRPr="00156FF2">
              <w:rPr>
                <w:sz w:val="22"/>
                <w:szCs w:val="22"/>
              </w:rPr>
              <w:t>Program</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TA</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Technical Assistance/Assistant</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TL</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Timor-Leste</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TRM</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lang w:val="fr-FR"/>
              </w:rPr>
              <w:t xml:space="preserve">Tuba Rai Metin </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TSPs</w:t>
            </w:r>
          </w:p>
        </w:tc>
        <w:tc>
          <w:tcPr>
            <w:tcW w:w="7458" w:type="dxa"/>
            <w:tcBorders>
              <w:top w:val="single" w:sz="4" w:space="0" w:color="auto"/>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Technical Service Providers</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UNCDF</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United Nations Capital Development Fund</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UNDP</w:t>
            </w:r>
          </w:p>
        </w:tc>
        <w:tc>
          <w:tcPr>
            <w:tcW w:w="7458" w:type="dxa"/>
            <w:tcBorders>
              <w:top w:val="single" w:sz="4" w:space="0" w:color="auto"/>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 xml:space="preserve">United Nations Development </w:t>
            </w:r>
            <w:r w:rsidR="00620C25" w:rsidRPr="00156FF2">
              <w:rPr>
                <w:sz w:val="22"/>
                <w:szCs w:val="22"/>
              </w:rPr>
              <w:t>Program</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USAID</w:t>
            </w:r>
          </w:p>
        </w:tc>
        <w:tc>
          <w:tcPr>
            <w:tcW w:w="7458" w:type="dxa"/>
            <w:tcBorders>
              <w:top w:val="nil"/>
              <w:left w:val="nil"/>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United States Agency for International Development</w:t>
            </w:r>
          </w:p>
        </w:tc>
      </w:tr>
      <w:tr w:rsidR="001C3825" w:rsidRPr="00156FF2" w:rsidTr="00156FF2">
        <w:trPr>
          <w:trHeight w:val="255"/>
        </w:trPr>
        <w:tc>
          <w:tcPr>
            <w:tcW w:w="1440" w:type="dxa"/>
            <w:tcBorders>
              <w:top w:val="nil"/>
              <w:left w:val="single" w:sz="4" w:space="0" w:color="auto"/>
              <w:bottom w:val="single" w:sz="4" w:space="0" w:color="auto"/>
              <w:right w:val="single" w:sz="4" w:space="0" w:color="auto"/>
            </w:tcBorders>
            <w:shd w:val="clear" w:color="auto" w:fill="auto"/>
          </w:tcPr>
          <w:p w:rsidR="001C3825" w:rsidRPr="00156FF2" w:rsidRDefault="001C3825">
            <w:pPr>
              <w:rPr>
                <w:sz w:val="22"/>
                <w:szCs w:val="22"/>
              </w:rPr>
            </w:pPr>
            <w:r w:rsidRPr="00156FF2">
              <w:rPr>
                <w:sz w:val="22"/>
                <w:szCs w:val="22"/>
              </w:rPr>
              <w:t>WEAL</w:t>
            </w:r>
          </w:p>
        </w:tc>
        <w:tc>
          <w:tcPr>
            <w:tcW w:w="7458" w:type="dxa"/>
            <w:tcBorders>
              <w:top w:val="nil"/>
              <w:left w:val="single" w:sz="4" w:space="0" w:color="auto"/>
              <w:bottom w:val="single" w:sz="4" w:space="0" w:color="auto"/>
              <w:right w:val="single" w:sz="4" w:space="0" w:color="auto"/>
            </w:tcBorders>
            <w:shd w:val="clear" w:color="auto" w:fill="auto"/>
          </w:tcPr>
          <w:p w:rsidR="001C3825" w:rsidRPr="00156FF2" w:rsidRDefault="001C3825">
            <w:pPr>
              <w:jc w:val="both"/>
              <w:rPr>
                <w:sz w:val="22"/>
                <w:szCs w:val="22"/>
              </w:rPr>
            </w:pPr>
            <w:r w:rsidRPr="00156FF2">
              <w:rPr>
                <w:sz w:val="22"/>
                <w:szCs w:val="22"/>
              </w:rPr>
              <w:t>World Education Australia Limited</w:t>
            </w:r>
          </w:p>
        </w:tc>
      </w:tr>
    </w:tbl>
    <w:p w:rsidR="00B50961" w:rsidRDefault="00B50961" w:rsidP="00AB0274">
      <w:pPr>
        <w:jc w:val="center"/>
        <w:rPr>
          <w:b/>
          <w:bCs/>
          <w:caps/>
        </w:rPr>
      </w:pPr>
    </w:p>
    <w:p w:rsidR="007F2A41" w:rsidRDefault="007F2A41" w:rsidP="00AB0274">
      <w:pPr>
        <w:jc w:val="center"/>
        <w:rPr>
          <w:b/>
          <w:bCs/>
          <w:caps/>
        </w:rPr>
      </w:pPr>
    </w:p>
    <w:p w:rsidR="000134CC" w:rsidRPr="001E1766" w:rsidRDefault="000134CC" w:rsidP="00AB0274">
      <w:pPr>
        <w:jc w:val="center"/>
        <w:rPr>
          <w:b/>
          <w:bCs/>
          <w:caps/>
        </w:rPr>
      </w:pPr>
      <w:r>
        <w:rPr>
          <w:b/>
          <w:bCs/>
          <w:caps/>
        </w:rPr>
        <w:lastRenderedPageBreak/>
        <w:br w:type="page"/>
      </w:r>
    </w:p>
    <w:p w:rsidR="00AB0274" w:rsidRPr="001E1766" w:rsidRDefault="00AB0274" w:rsidP="00AB0274"/>
    <w:p w:rsidR="00AB0274" w:rsidRPr="005F19C1" w:rsidRDefault="00AB0274" w:rsidP="00AB0274"/>
    <w:p w:rsidR="00924249" w:rsidRPr="00DE7117" w:rsidRDefault="0043228A" w:rsidP="00DE7117">
      <w:pPr>
        <w:pStyle w:val="Heading1"/>
        <w:rPr>
          <w:u w:val="single"/>
        </w:rPr>
      </w:pPr>
      <w:r w:rsidRPr="00DE7117">
        <w:rPr>
          <w:u w:val="single"/>
        </w:rPr>
        <w:t>TABLE OF CONTENTS</w:t>
      </w:r>
    </w:p>
    <w:p w:rsidR="00A04D97" w:rsidRPr="000817E7" w:rsidRDefault="00924249" w:rsidP="00AB0274">
      <w:pPr>
        <w:rPr>
          <w:noProof/>
        </w:rPr>
      </w:pPr>
      <w:r w:rsidRPr="00924249">
        <w:rPr>
          <w:b/>
          <w:u w:val="single"/>
        </w:rPr>
        <w:t xml:space="preserve"> </w:t>
      </w:r>
      <w:r w:rsidRPr="000817E7">
        <w:rPr>
          <w:b/>
          <w:u w:val="single"/>
        </w:rPr>
        <w:fldChar w:fldCharType="begin"/>
      </w:r>
      <w:r w:rsidRPr="000817E7">
        <w:rPr>
          <w:b/>
          <w:u w:val="single"/>
        </w:rPr>
        <w:instrText xml:space="preserve"> TOC \o "1-3" \h \z \u </w:instrText>
      </w:r>
      <w:r w:rsidRPr="000817E7">
        <w:rPr>
          <w:b/>
          <w:u w:val="single"/>
        </w:rPr>
        <w:fldChar w:fldCharType="separate"/>
      </w:r>
    </w:p>
    <w:p w:rsidR="00A04D97" w:rsidRPr="000817E7" w:rsidRDefault="00A04D97" w:rsidP="00A04D97">
      <w:pPr>
        <w:pStyle w:val="TOC1"/>
      </w:pPr>
      <w:hyperlink w:anchor="_Toc288486042" w:history="1">
        <w:r w:rsidRPr="000817E7">
          <w:rPr>
            <w:rStyle w:val="Hyperlink"/>
          </w:rPr>
          <w:t>I.</w:t>
        </w:r>
        <w:r w:rsidRPr="000817E7">
          <w:tab/>
        </w:r>
        <w:r w:rsidRPr="000817E7">
          <w:rPr>
            <w:rStyle w:val="Hyperlink"/>
          </w:rPr>
          <w:t>Purpose</w:t>
        </w:r>
        <w:r w:rsidRPr="000817E7">
          <w:rPr>
            <w:webHidden/>
          </w:rPr>
          <w:tab/>
        </w:r>
        <w:r w:rsidRPr="000817E7">
          <w:rPr>
            <w:webHidden/>
          </w:rPr>
          <w:fldChar w:fldCharType="begin"/>
        </w:r>
        <w:r w:rsidRPr="000817E7">
          <w:rPr>
            <w:webHidden/>
          </w:rPr>
          <w:instrText xml:space="preserve"> PAGEREF _Toc288486042 \h </w:instrText>
        </w:r>
        <w:r w:rsidRPr="000817E7">
          <w:rPr>
            <w:webHidden/>
          </w:rPr>
          <w:fldChar w:fldCharType="separate"/>
        </w:r>
        <w:r w:rsidR="000F11C1">
          <w:rPr>
            <w:webHidden/>
          </w:rPr>
          <w:t>1</w:t>
        </w:r>
        <w:r w:rsidRPr="000817E7">
          <w:rPr>
            <w:webHidden/>
          </w:rPr>
          <w:fldChar w:fldCharType="end"/>
        </w:r>
      </w:hyperlink>
    </w:p>
    <w:p w:rsidR="00A04D97" w:rsidRPr="000817E7" w:rsidRDefault="00A04D97" w:rsidP="00A04D97">
      <w:pPr>
        <w:pStyle w:val="TOC1"/>
      </w:pPr>
      <w:hyperlink w:anchor="_Toc288486043" w:history="1">
        <w:r w:rsidRPr="000817E7">
          <w:rPr>
            <w:rStyle w:val="Hyperlink"/>
          </w:rPr>
          <w:t>II.</w:t>
        </w:r>
        <w:r w:rsidRPr="000817E7">
          <w:tab/>
        </w:r>
        <w:r w:rsidRPr="000817E7">
          <w:rPr>
            <w:rStyle w:val="Hyperlink"/>
          </w:rPr>
          <w:t>Resources</w:t>
        </w:r>
        <w:r w:rsidRPr="000817E7">
          <w:rPr>
            <w:webHidden/>
          </w:rPr>
          <w:tab/>
        </w:r>
        <w:r w:rsidRPr="000817E7">
          <w:rPr>
            <w:webHidden/>
          </w:rPr>
          <w:fldChar w:fldCharType="begin"/>
        </w:r>
        <w:r w:rsidRPr="000817E7">
          <w:rPr>
            <w:webHidden/>
          </w:rPr>
          <w:instrText xml:space="preserve"> PAGEREF _Toc288486043 \h </w:instrText>
        </w:r>
        <w:r w:rsidRPr="000817E7">
          <w:rPr>
            <w:webHidden/>
          </w:rPr>
          <w:fldChar w:fldCharType="separate"/>
        </w:r>
        <w:r w:rsidR="000F11C1">
          <w:rPr>
            <w:webHidden/>
          </w:rPr>
          <w:t>2</w:t>
        </w:r>
        <w:r w:rsidRPr="000817E7">
          <w:rPr>
            <w:webHidden/>
          </w:rPr>
          <w:fldChar w:fldCharType="end"/>
        </w:r>
      </w:hyperlink>
    </w:p>
    <w:p w:rsidR="00A04D97" w:rsidRPr="000817E7" w:rsidRDefault="00A04D97">
      <w:pPr>
        <w:pStyle w:val="TOC2"/>
        <w:tabs>
          <w:tab w:val="right" w:leader="dot" w:pos="9350"/>
        </w:tabs>
        <w:rPr>
          <w:b w:val="0"/>
          <w:bCs w:val="0"/>
          <w:noProof/>
          <w:sz w:val="24"/>
          <w:szCs w:val="24"/>
        </w:rPr>
      </w:pPr>
      <w:hyperlink w:anchor="_Toc288486044" w:history="1">
        <w:r w:rsidRPr="000817E7">
          <w:rPr>
            <w:rStyle w:val="Hyperlink"/>
            <w:noProof/>
            <w:sz w:val="24"/>
            <w:szCs w:val="24"/>
          </w:rPr>
          <w:t>Financial Resources:</w:t>
        </w:r>
        <w:r w:rsidRPr="000817E7">
          <w:rPr>
            <w:noProof/>
            <w:webHidden/>
            <w:sz w:val="24"/>
            <w:szCs w:val="24"/>
          </w:rPr>
          <w:tab/>
        </w:r>
        <w:r w:rsidRPr="000817E7">
          <w:rPr>
            <w:noProof/>
            <w:webHidden/>
            <w:sz w:val="24"/>
            <w:szCs w:val="24"/>
          </w:rPr>
          <w:fldChar w:fldCharType="begin"/>
        </w:r>
        <w:r w:rsidRPr="000817E7">
          <w:rPr>
            <w:noProof/>
            <w:webHidden/>
            <w:sz w:val="24"/>
            <w:szCs w:val="24"/>
          </w:rPr>
          <w:instrText xml:space="preserve"> PAGEREF _Toc288486044 \h </w:instrText>
        </w:r>
        <w:r w:rsidR="00EE1708" w:rsidRPr="000817E7">
          <w:rPr>
            <w:noProof/>
            <w:sz w:val="24"/>
            <w:szCs w:val="24"/>
          </w:rPr>
        </w:r>
        <w:r w:rsidRPr="000817E7">
          <w:rPr>
            <w:noProof/>
            <w:webHidden/>
            <w:sz w:val="24"/>
            <w:szCs w:val="24"/>
          </w:rPr>
          <w:fldChar w:fldCharType="separate"/>
        </w:r>
        <w:r w:rsidR="000F11C1">
          <w:rPr>
            <w:noProof/>
            <w:webHidden/>
            <w:sz w:val="24"/>
            <w:szCs w:val="24"/>
          </w:rPr>
          <w:t>2</w:t>
        </w:r>
        <w:r w:rsidRPr="000817E7">
          <w:rPr>
            <w:noProof/>
            <w:webHidden/>
            <w:sz w:val="24"/>
            <w:szCs w:val="24"/>
          </w:rPr>
          <w:fldChar w:fldCharType="end"/>
        </w:r>
      </w:hyperlink>
    </w:p>
    <w:p w:rsidR="00A04D97" w:rsidRPr="000817E7" w:rsidRDefault="00A04D97">
      <w:pPr>
        <w:pStyle w:val="TOC2"/>
        <w:tabs>
          <w:tab w:val="right" w:leader="dot" w:pos="9350"/>
        </w:tabs>
        <w:rPr>
          <w:b w:val="0"/>
          <w:bCs w:val="0"/>
          <w:noProof/>
          <w:sz w:val="24"/>
          <w:szCs w:val="24"/>
        </w:rPr>
      </w:pPr>
      <w:hyperlink w:anchor="_Toc288486045" w:history="1">
        <w:r w:rsidRPr="000817E7">
          <w:rPr>
            <w:rStyle w:val="Hyperlink"/>
            <w:iCs/>
            <w:noProof/>
            <w:sz w:val="24"/>
            <w:szCs w:val="24"/>
          </w:rPr>
          <w:t>Human Resources:</w:t>
        </w:r>
        <w:r w:rsidRPr="000817E7">
          <w:rPr>
            <w:noProof/>
            <w:webHidden/>
            <w:sz w:val="24"/>
            <w:szCs w:val="24"/>
          </w:rPr>
          <w:tab/>
        </w:r>
        <w:r w:rsidRPr="000817E7">
          <w:rPr>
            <w:noProof/>
            <w:webHidden/>
            <w:sz w:val="24"/>
            <w:szCs w:val="24"/>
          </w:rPr>
          <w:fldChar w:fldCharType="begin"/>
        </w:r>
        <w:r w:rsidRPr="000817E7">
          <w:rPr>
            <w:noProof/>
            <w:webHidden/>
            <w:sz w:val="24"/>
            <w:szCs w:val="24"/>
          </w:rPr>
          <w:instrText xml:space="preserve"> PAGEREF _Toc288486045 \h </w:instrText>
        </w:r>
        <w:r w:rsidR="00EE1708" w:rsidRPr="000817E7">
          <w:rPr>
            <w:noProof/>
            <w:sz w:val="24"/>
            <w:szCs w:val="24"/>
          </w:rPr>
        </w:r>
        <w:r w:rsidRPr="000817E7">
          <w:rPr>
            <w:noProof/>
            <w:webHidden/>
            <w:sz w:val="24"/>
            <w:szCs w:val="24"/>
          </w:rPr>
          <w:fldChar w:fldCharType="separate"/>
        </w:r>
        <w:r w:rsidR="000F11C1">
          <w:rPr>
            <w:noProof/>
            <w:webHidden/>
            <w:sz w:val="24"/>
            <w:szCs w:val="24"/>
          </w:rPr>
          <w:t>3</w:t>
        </w:r>
        <w:r w:rsidRPr="000817E7">
          <w:rPr>
            <w:noProof/>
            <w:webHidden/>
            <w:sz w:val="24"/>
            <w:szCs w:val="24"/>
          </w:rPr>
          <w:fldChar w:fldCharType="end"/>
        </w:r>
      </w:hyperlink>
    </w:p>
    <w:p w:rsidR="00A04D97" w:rsidRPr="000817E7" w:rsidRDefault="00A04D97" w:rsidP="00A04D97">
      <w:pPr>
        <w:pStyle w:val="TOC1"/>
      </w:pPr>
      <w:hyperlink w:anchor="_Toc288486046" w:history="1">
        <w:r w:rsidRPr="000817E7">
          <w:rPr>
            <w:rStyle w:val="Hyperlink"/>
          </w:rPr>
          <w:t>III.</w:t>
        </w:r>
        <w:r w:rsidRPr="000817E7">
          <w:tab/>
        </w:r>
        <w:r w:rsidRPr="000817E7">
          <w:rPr>
            <w:rStyle w:val="Hyperlink"/>
          </w:rPr>
          <w:t>Implementation and Monitoring Arrangements</w:t>
        </w:r>
        <w:r w:rsidRPr="000817E7">
          <w:rPr>
            <w:webHidden/>
          </w:rPr>
          <w:tab/>
        </w:r>
        <w:r w:rsidRPr="000817E7">
          <w:rPr>
            <w:webHidden/>
          </w:rPr>
          <w:fldChar w:fldCharType="begin"/>
        </w:r>
        <w:r w:rsidRPr="000817E7">
          <w:rPr>
            <w:webHidden/>
          </w:rPr>
          <w:instrText xml:space="preserve"> PAGEREF _Toc288486046 \h </w:instrText>
        </w:r>
        <w:r w:rsidRPr="000817E7">
          <w:rPr>
            <w:webHidden/>
          </w:rPr>
          <w:fldChar w:fldCharType="separate"/>
        </w:r>
        <w:r w:rsidR="000F11C1">
          <w:rPr>
            <w:webHidden/>
          </w:rPr>
          <w:t>3</w:t>
        </w:r>
        <w:r w:rsidRPr="000817E7">
          <w:rPr>
            <w:webHidden/>
          </w:rPr>
          <w:fldChar w:fldCharType="end"/>
        </w:r>
      </w:hyperlink>
    </w:p>
    <w:p w:rsidR="00A04D97" w:rsidRPr="000817E7" w:rsidRDefault="00A04D97">
      <w:pPr>
        <w:pStyle w:val="TOC2"/>
        <w:tabs>
          <w:tab w:val="right" w:leader="dot" w:pos="9350"/>
        </w:tabs>
        <w:rPr>
          <w:b w:val="0"/>
          <w:bCs w:val="0"/>
          <w:noProof/>
          <w:sz w:val="24"/>
          <w:szCs w:val="24"/>
        </w:rPr>
      </w:pPr>
      <w:hyperlink w:anchor="_Toc288486047" w:history="1">
        <w:r w:rsidRPr="000817E7">
          <w:rPr>
            <w:rStyle w:val="Hyperlink"/>
            <w:iCs/>
            <w:noProof/>
            <w:sz w:val="24"/>
            <w:szCs w:val="24"/>
          </w:rPr>
          <w:t>Programme Implementation</w:t>
        </w:r>
        <w:r w:rsidRPr="000817E7">
          <w:rPr>
            <w:noProof/>
            <w:webHidden/>
            <w:sz w:val="24"/>
            <w:szCs w:val="24"/>
          </w:rPr>
          <w:tab/>
        </w:r>
        <w:r w:rsidRPr="000817E7">
          <w:rPr>
            <w:noProof/>
            <w:webHidden/>
            <w:sz w:val="24"/>
            <w:szCs w:val="24"/>
          </w:rPr>
          <w:fldChar w:fldCharType="begin"/>
        </w:r>
        <w:r w:rsidRPr="000817E7">
          <w:rPr>
            <w:noProof/>
            <w:webHidden/>
            <w:sz w:val="24"/>
            <w:szCs w:val="24"/>
          </w:rPr>
          <w:instrText xml:space="preserve"> PAGEREF _Toc288486047 \h </w:instrText>
        </w:r>
        <w:r w:rsidR="00EE1708" w:rsidRPr="000817E7">
          <w:rPr>
            <w:noProof/>
            <w:sz w:val="24"/>
            <w:szCs w:val="24"/>
          </w:rPr>
        </w:r>
        <w:r w:rsidRPr="000817E7">
          <w:rPr>
            <w:noProof/>
            <w:webHidden/>
            <w:sz w:val="24"/>
            <w:szCs w:val="24"/>
          </w:rPr>
          <w:fldChar w:fldCharType="separate"/>
        </w:r>
        <w:r w:rsidR="000F11C1">
          <w:rPr>
            <w:noProof/>
            <w:webHidden/>
            <w:sz w:val="24"/>
            <w:szCs w:val="24"/>
          </w:rPr>
          <w:t>3</w:t>
        </w:r>
        <w:r w:rsidRPr="000817E7">
          <w:rPr>
            <w:noProof/>
            <w:webHidden/>
            <w:sz w:val="24"/>
            <w:szCs w:val="24"/>
          </w:rPr>
          <w:fldChar w:fldCharType="end"/>
        </w:r>
      </w:hyperlink>
    </w:p>
    <w:p w:rsidR="00A04D97" w:rsidRPr="000817E7" w:rsidRDefault="00A04D97">
      <w:pPr>
        <w:pStyle w:val="TOC2"/>
        <w:tabs>
          <w:tab w:val="right" w:leader="dot" w:pos="9350"/>
        </w:tabs>
        <w:rPr>
          <w:b w:val="0"/>
          <w:bCs w:val="0"/>
          <w:noProof/>
          <w:sz w:val="24"/>
          <w:szCs w:val="24"/>
        </w:rPr>
      </w:pPr>
      <w:hyperlink w:anchor="_Toc288486048" w:history="1">
        <w:r w:rsidRPr="000817E7">
          <w:rPr>
            <w:rStyle w:val="Hyperlink"/>
            <w:iCs/>
            <w:noProof/>
            <w:sz w:val="24"/>
            <w:szCs w:val="24"/>
          </w:rPr>
          <w:t>Monitoring and Evaluation</w:t>
        </w:r>
        <w:r w:rsidRPr="000817E7">
          <w:rPr>
            <w:noProof/>
            <w:webHidden/>
            <w:sz w:val="24"/>
            <w:szCs w:val="24"/>
          </w:rPr>
          <w:tab/>
        </w:r>
        <w:r w:rsidRPr="000817E7">
          <w:rPr>
            <w:noProof/>
            <w:webHidden/>
            <w:sz w:val="24"/>
            <w:szCs w:val="24"/>
          </w:rPr>
          <w:fldChar w:fldCharType="begin"/>
        </w:r>
        <w:r w:rsidRPr="000817E7">
          <w:rPr>
            <w:noProof/>
            <w:webHidden/>
            <w:sz w:val="24"/>
            <w:szCs w:val="24"/>
          </w:rPr>
          <w:instrText xml:space="preserve"> PAGEREF _Toc288486048 \h </w:instrText>
        </w:r>
        <w:r w:rsidR="00EE1708" w:rsidRPr="000817E7">
          <w:rPr>
            <w:noProof/>
            <w:sz w:val="24"/>
            <w:szCs w:val="24"/>
          </w:rPr>
        </w:r>
        <w:r w:rsidRPr="000817E7">
          <w:rPr>
            <w:noProof/>
            <w:webHidden/>
            <w:sz w:val="24"/>
            <w:szCs w:val="24"/>
          </w:rPr>
          <w:fldChar w:fldCharType="separate"/>
        </w:r>
        <w:r w:rsidR="000F11C1">
          <w:rPr>
            <w:noProof/>
            <w:webHidden/>
            <w:sz w:val="24"/>
            <w:szCs w:val="24"/>
          </w:rPr>
          <w:t>4</w:t>
        </w:r>
        <w:r w:rsidRPr="000817E7">
          <w:rPr>
            <w:noProof/>
            <w:webHidden/>
            <w:sz w:val="24"/>
            <w:szCs w:val="24"/>
          </w:rPr>
          <w:fldChar w:fldCharType="end"/>
        </w:r>
      </w:hyperlink>
    </w:p>
    <w:p w:rsidR="00A04D97" w:rsidRPr="000817E7" w:rsidRDefault="00A04D97" w:rsidP="00A04D97">
      <w:pPr>
        <w:pStyle w:val="TOC1"/>
      </w:pPr>
      <w:hyperlink w:anchor="_Toc288486049" w:history="1">
        <w:r w:rsidRPr="000817E7">
          <w:rPr>
            <w:rStyle w:val="Hyperlink"/>
          </w:rPr>
          <w:t>IV.</w:t>
        </w:r>
        <w:r w:rsidRPr="000817E7">
          <w:tab/>
        </w:r>
        <w:r w:rsidRPr="000817E7">
          <w:rPr>
            <w:rStyle w:val="Hyperlink"/>
          </w:rPr>
          <w:t>Results</w:t>
        </w:r>
        <w:r w:rsidRPr="000817E7">
          <w:rPr>
            <w:webHidden/>
          </w:rPr>
          <w:tab/>
        </w:r>
        <w:r w:rsidRPr="000817E7">
          <w:rPr>
            <w:webHidden/>
          </w:rPr>
          <w:fldChar w:fldCharType="begin"/>
        </w:r>
        <w:r w:rsidRPr="000817E7">
          <w:rPr>
            <w:webHidden/>
          </w:rPr>
          <w:instrText xml:space="preserve"> PAGEREF _Toc288486049 \h </w:instrText>
        </w:r>
        <w:r w:rsidRPr="000817E7">
          <w:rPr>
            <w:webHidden/>
          </w:rPr>
          <w:fldChar w:fldCharType="separate"/>
        </w:r>
        <w:r w:rsidR="000F11C1">
          <w:rPr>
            <w:webHidden/>
          </w:rPr>
          <w:t>4</w:t>
        </w:r>
        <w:r w:rsidRPr="000817E7">
          <w:rPr>
            <w:webHidden/>
          </w:rPr>
          <w:fldChar w:fldCharType="end"/>
        </w:r>
      </w:hyperlink>
    </w:p>
    <w:p w:rsidR="00A04D97" w:rsidRPr="000817E7" w:rsidRDefault="00A04D97">
      <w:pPr>
        <w:pStyle w:val="TOC2"/>
        <w:tabs>
          <w:tab w:val="right" w:leader="dot" w:pos="9350"/>
        </w:tabs>
        <w:rPr>
          <w:b w:val="0"/>
          <w:bCs w:val="0"/>
          <w:noProof/>
          <w:sz w:val="24"/>
          <w:szCs w:val="24"/>
        </w:rPr>
      </w:pPr>
      <w:hyperlink w:anchor="_Toc288486050" w:history="1">
        <w:r w:rsidRPr="000817E7">
          <w:rPr>
            <w:rStyle w:val="Hyperlink"/>
            <w:i/>
            <w:iCs/>
            <w:noProof/>
            <w:sz w:val="24"/>
            <w:szCs w:val="24"/>
          </w:rPr>
          <w:t>Output 1: Achieving a Policy/ Vision Statement</w:t>
        </w:r>
        <w:r w:rsidRPr="000817E7">
          <w:rPr>
            <w:noProof/>
            <w:webHidden/>
            <w:sz w:val="24"/>
            <w:szCs w:val="24"/>
          </w:rPr>
          <w:tab/>
        </w:r>
        <w:r w:rsidRPr="000817E7">
          <w:rPr>
            <w:noProof/>
            <w:webHidden/>
            <w:sz w:val="24"/>
            <w:szCs w:val="24"/>
          </w:rPr>
          <w:fldChar w:fldCharType="begin"/>
        </w:r>
        <w:r w:rsidRPr="000817E7">
          <w:rPr>
            <w:noProof/>
            <w:webHidden/>
            <w:sz w:val="24"/>
            <w:szCs w:val="24"/>
          </w:rPr>
          <w:instrText xml:space="preserve"> PAGEREF _Toc288486050 \h </w:instrText>
        </w:r>
        <w:r w:rsidR="00EE1708" w:rsidRPr="000817E7">
          <w:rPr>
            <w:noProof/>
            <w:sz w:val="24"/>
            <w:szCs w:val="24"/>
          </w:rPr>
        </w:r>
        <w:r w:rsidRPr="000817E7">
          <w:rPr>
            <w:noProof/>
            <w:webHidden/>
            <w:sz w:val="24"/>
            <w:szCs w:val="24"/>
          </w:rPr>
          <w:fldChar w:fldCharType="separate"/>
        </w:r>
        <w:r w:rsidR="000F11C1">
          <w:rPr>
            <w:noProof/>
            <w:webHidden/>
            <w:sz w:val="24"/>
            <w:szCs w:val="24"/>
          </w:rPr>
          <w:t>5</w:t>
        </w:r>
        <w:r w:rsidRPr="000817E7">
          <w:rPr>
            <w:noProof/>
            <w:webHidden/>
            <w:sz w:val="24"/>
            <w:szCs w:val="24"/>
          </w:rPr>
          <w:fldChar w:fldCharType="end"/>
        </w:r>
      </w:hyperlink>
    </w:p>
    <w:p w:rsidR="00A04D97" w:rsidRPr="000817E7" w:rsidRDefault="00A04D97">
      <w:pPr>
        <w:pStyle w:val="TOC2"/>
        <w:tabs>
          <w:tab w:val="right" w:leader="dot" w:pos="9350"/>
        </w:tabs>
        <w:rPr>
          <w:b w:val="0"/>
          <w:bCs w:val="0"/>
          <w:noProof/>
          <w:sz w:val="24"/>
          <w:szCs w:val="24"/>
        </w:rPr>
      </w:pPr>
      <w:hyperlink w:anchor="_Toc288486051" w:history="1">
        <w:r w:rsidRPr="000817E7">
          <w:rPr>
            <w:rStyle w:val="Hyperlink"/>
            <w:i/>
            <w:iCs/>
            <w:noProof/>
            <w:sz w:val="24"/>
            <w:szCs w:val="24"/>
          </w:rPr>
          <w:t>Output 2: Increased Outreach of Sustainable Financial Service:</w:t>
        </w:r>
        <w:r w:rsidRPr="000817E7">
          <w:rPr>
            <w:noProof/>
            <w:webHidden/>
            <w:sz w:val="24"/>
            <w:szCs w:val="24"/>
          </w:rPr>
          <w:tab/>
        </w:r>
        <w:r w:rsidRPr="000817E7">
          <w:rPr>
            <w:noProof/>
            <w:webHidden/>
            <w:sz w:val="24"/>
            <w:szCs w:val="24"/>
          </w:rPr>
          <w:fldChar w:fldCharType="begin"/>
        </w:r>
        <w:r w:rsidRPr="000817E7">
          <w:rPr>
            <w:noProof/>
            <w:webHidden/>
            <w:sz w:val="24"/>
            <w:szCs w:val="24"/>
          </w:rPr>
          <w:instrText xml:space="preserve"> PAGEREF _Toc288486051 \h </w:instrText>
        </w:r>
        <w:r w:rsidR="00EE1708" w:rsidRPr="000817E7">
          <w:rPr>
            <w:noProof/>
            <w:sz w:val="24"/>
            <w:szCs w:val="24"/>
          </w:rPr>
        </w:r>
        <w:r w:rsidRPr="000817E7">
          <w:rPr>
            <w:noProof/>
            <w:webHidden/>
            <w:sz w:val="24"/>
            <w:szCs w:val="24"/>
          </w:rPr>
          <w:fldChar w:fldCharType="separate"/>
        </w:r>
        <w:r w:rsidR="000F11C1">
          <w:rPr>
            <w:noProof/>
            <w:webHidden/>
            <w:sz w:val="24"/>
            <w:szCs w:val="24"/>
          </w:rPr>
          <w:t>7</w:t>
        </w:r>
        <w:r w:rsidRPr="000817E7">
          <w:rPr>
            <w:noProof/>
            <w:webHidden/>
            <w:sz w:val="24"/>
            <w:szCs w:val="24"/>
          </w:rPr>
          <w:fldChar w:fldCharType="end"/>
        </w:r>
      </w:hyperlink>
    </w:p>
    <w:p w:rsidR="00A04D97" w:rsidRPr="000817E7" w:rsidRDefault="00A04D97">
      <w:pPr>
        <w:pStyle w:val="TOC2"/>
        <w:tabs>
          <w:tab w:val="right" w:leader="dot" w:pos="9350"/>
        </w:tabs>
        <w:rPr>
          <w:b w:val="0"/>
          <w:bCs w:val="0"/>
          <w:noProof/>
          <w:sz w:val="24"/>
          <w:szCs w:val="24"/>
        </w:rPr>
      </w:pPr>
      <w:hyperlink w:anchor="_Toc288486052" w:history="1">
        <w:r w:rsidRPr="000817E7">
          <w:rPr>
            <w:rStyle w:val="Hyperlink"/>
            <w:i/>
            <w:iCs/>
            <w:noProof/>
            <w:sz w:val="24"/>
            <w:szCs w:val="24"/>
          </w:rPr>
          <w:t>Output 3:Promoting a Business Services Infrastructure:</w:t>
        </w:r>
        <w:r w:rsidRPr="000817E7">
          <w:rPr>
            <w:noProof/>
            <w:webHidden/>
            <w:sz w:val="24"/>
            <w:szCs w:val="24"/>
          </w:rPr>
          <w:tab/>
        </w:r>
        <w:r w:rsidRPr="000817E7">
          <w:rPr>
            <w:noProof/>
            <w:webHidden/>
            <w:sz w:val="24"/>
            <w:szCs w:val="24"/>
          </w:rPr>
          <w:fldChar w:fldCharType="begin"/>
        </w:r>
        <w:r w:rsidRPr="000817E7">
          <w:rPr>
            <w:noProof/>
            <w:webHidden/>
            <w:sz w:val="24"/>
            <w:szCs w:val="24"/>
          </w:rPr>
          <w:instrText xml:space="preserve"> PAGEREF _Toc288486052 \h </w:instrText>
        </w:r>
        <w:r w:rsidR="00EE1708" w:rsidRPr="000817E7">
          <w:rPr>
            <w:noProof/>
            <w:sz w:val="24"/>
            <w:szCs w:val="24"/>
          </w:rPr>
        </w:r>
        <w:r w:rsidRPr="000817E7">
          <w:rPr>
            <w:noProof/>
            <w:webHidden/>
            <w:sz w:val="24"/>
            <w:szCs w:val="24"/>
          </w:rPr>
          <w:fldChar w:fldCharType="separate"/>
        </w:r>
        <w:r w:rsidR="000F11C1">
          <w:rPr>
            <w:noProof/>
            <w:webHidden/>
            <w:sz w:val="24"/>
            <w:szCs w:val="24"/>
          </w:rPr>
          <w:t>11</w:t>
        </w:r>
        <w:r w:rsidRPr="000817E7">
          <w:rPr>
            <w:noProof/>
            <w:webHidden/>
            <w:sz w:val="24"/>
            <w:szCs w:val="24"/>
          </w:rPr>
          <w:fldChar w:fldCharType="end"/>
        </w:r>
      </w:hyperlink>
    </w:p>
    <w:p w:rsidR="00A04D97" w:rsidRPr="000817E7" w:rsidRDefault="00A04D97" w:rsidP="00A04D97">
      <w:pPr>
        <w:pStyle w:val="TOC1"/>
      </w:pPr>
      <w:hyperlink w:anchor="_Toc288486053" w:history="1">
        <w:r w:rsidRPr="000817E7">
          <w:rPr>
            <w:rStyle w:val="Hyperlink"/>
          </w:rPr>
          <w:t>V.</w:t>
        </w:r>
        <w:r w:rsidRPr="000817E7">
          <w:tab/>
        </w:r>
        <w:r w:rsidRPr="000817E7">
          <w:rPr>
            <w:rStyle w:val="Hyperlink"/>
          </w:rPr>
          <w:t>Lessons Learned</w:t>
        </w:r>
        <w:r w:rsidRPr="000817E7">
          <w:rPr>
            <w:webHidden/>
          </w:rPr>
          <w:tab/>
        </w:r>
        <w:r w:rsidRPr="000817E7">
          <w:rPr>
            <w:webHidden/>
          </w:rPr>
          <w:fldChar w:fldCharType="begin"/>
        </w:r>
        <w:r w:rsidRPr="000817E7">
          <w:rPr>
            <w:webHidden/>
          </w:rPr>
          <w:instrText xml:space="preserve"> PAGEREF _Toc288486053 \h </w:instrText>
        </w:r>
        <w:r w:rsidRPr="000817E7">
          <w:rPr>
            <w:webHidden/>
          </w:rPr>
          <w:fldChar w:fldCharType="separate"/>
        </w:r>
        <w:r w:rsidR="000F11C1">
          <w:rPr>
            <w:webHidden/>
          </w:rPr>
          <w:t>13</w:t>
        </w:r>
        <w:r w:rsidRPr="000817E7">
          <w:rPr>
            <w:webHidden/>
          </w:rPr>
          <w:fldChar w:fldCharType="end"/>
        </w:r>
      </w:hyperlink>
    </w:p>
    <w:p w:rsidR="00A04D97" w:rsidRPr="000817E7" w:rsidRDefault="00A04D97" w:rsidP="00A04D97">
      <w:pPr>
        <w:pStyle w:val="TOC1"/>
      </w:pPr>
      <w:hyperlink w:anchor="_Toc288486054" w:history="1">
        <w:r w:rsidRPr="000817E7">
          <w:rPr>
            <w:rStyle w:val="Hyperlink"/>
          </w:rPr>
          <w:t>VI.</w:t>
        </w:r>
        <w:r w:rsidRPr="000817E7">
          <w:tab/>
        </w:r>
        <w:r w:rsidRPr="000817E7">
          <w:rPr>
            <w:rStyle w:val="Hyperlink"/>
          </w:rPr>
          <w:t>Work Plan 2011</w:t>
        </w:r>
        <w:r w:rsidRPr="000817E7">
          <w:rPr>
            <w:webHidden/>
          </w:rPr>
          <w:tab/>
        </w:r>
        <w:r w:rsidRPr="000817E7">
          <w:rPr>
            <w:webHidden/>
          </w:rPr>
          <w:fldChar w:fldCharType="begin"/>
        </w:r>
        <w:r w:rsidRPr="000817E7">
          <w:rPr>
            <w:webHidden/>
          </w:rPr>
          <w:instrText xml:space="preserve"> PAGEREF _Toc288486054 \h </w:instrText>
        </w:r>
        <w:r w:rsidRPr="000817E7">
          <w:rPr>
            <w:webHidden/>
          </w:rPr>
          <w:fldChar w:fldCharType="separate"/>
        </w:r>
        <w:r w:rsidR="000F11C1">
          <w:rPr>
            <w:webHidden/>
          </w:rPr>
          <w:t>13</w:t>
        </w:r>
        <w:r w:rsidRPr="000817E7">
          <w:rPr>
            <w:webHidden/>
          </w:rPr>
          <w:fldChar w:fldCharType="end"/>
        </w:r>
      </w:hyperlink>
    </w:p>
    <w:p w:rsidR="00304CE1" w:rsidRPr="000817E7" w:rsidRDefault="00924249" w:rsidP="00AB0274">
      <w:pPr>
        <w:rPr>
          <w:b/>
          <w:u w:val="single"/>
        </w:rPr>
      </w:pPr>
      <w:r w:rsidRPr="000817E7">
        <w:rPr>
          <w:b/>
          <w:u w:val="single"/>
        </w:rPr>
        <w:fldChar w:fldCharType="end"/>
      </w:r>
    </w:p>
    <w:p w:rsidR="00A04D97" w:rsidRPr="000817E7" w:rsidRDefault="00A04D97" w:rsidP="00A04D97">
      <w:pPr>
        <w:ind w:right="-720"/>
        <w:rPr>
          <w:b/>
        </w:rPr>
      </w:pPr>
      <w:r w:rsidRPr="000817E7">
        <w:rPr>
          <w:b/>
        </w:rPr>
        <w:t>VII. INDICATOR BASED PERFORMANCE ASSESSMENT                                              14</w:t>
      </w:r>
    </w:p>
    <w:p w:rsidR="00DA5B38" w:rsidRPr="000817E7" w:rsidRDefault="00DA5B38" w:rsidP="00AB0274">
      <w:pPr>
        <w:rPr>
          <w:b/>
          <w:u w:val="single"/>
        </w:rPr>
      </w:pPr>
    </w:p>
    <w:p w:rsidR="00DA5B38" w:rsidRDefault="00DA5B38" w:rsidP="00AB0274">
      <w:pPr>
        <w:rPr>
          <w:b/>
          <w:u w:val="single"/>
        </w:rPr>
      </w:pPr>
    </w:p>
    <w:p w:rsidR="00DA5B38" w:rsidRDefault="00DA5B38" w:rsidP="00AB0274">
      <w:pPr>
        <w:rPr>
          <w:b/>
          <w:u w:val="single"/>
        </w:rPr>
      </w:pPr>
    </w:p>
    <w:p w:rsidR="0031582B" w:rsidRDefault="0031582B" w:rsidP="00AB0274">
      <w:pPr>
        <w:rPr>
          <w:b/>
          <w:u w:val="single"/>
        </w:rPr>
      </w:pPr>
      <w:r>
        <w:rPr>
          <w:b/>
          <w:u w:val="single"/>
        </w:rPr>
        <w:t>List of Annexes:</w:t>
      </w:r>
    </w:p>
    <w:p w:rsidR="00924249" w:rsidRPr="0031582B" w:rsidRDefault="00924249" w:rsidP="0031582B">
      <w:pPr>
        <w:spacing w:before="120"/>
        <w:rPr>
          <w:u w:val="single"/>
        </w:rPr>
      </w:pPr>
      <w:r w:rsidRPr="0031582B">
        <w:rPr>
          <w:u w:val="single"/>
        </w:rPr>
        <w:t>Annex 1:</w:t>
      </w:r>
      <w:r w:rsidRPr="0031582B">
        <w:t xml:space="preserve"> January 1– December 31, 2010 Funding Disbursements</w:t>
      </w:r>
    </w:p>
    <w:p w:rsidR="00B131AA" w:rsidRDefault="00924249" w:rsidP="0031582B">
      <w:pPr>
        <w:spacing w:before="120" w:after="100" w:afterAutospacing="1"/>
        <w:sectPr w:rsidR="00B131AA" w:rsidSect="00323B1F">
          <w:pgSz w:w="12240" w:h="15840" w:code="1"/>
          <w:pgMar w:top="1152" w:right="1440" w:bottom="1152" w:left="1440" w:header="720" w:footer="418" w:gutter="0"/>
          <w:cols w:space="720"/>
          <w:docGrid w:linePitch="360"/>
        </w:sectPr>
      </w:pPr>
      <w:r w:rsidRPr="0031582B">
        <w:rPr>
          <w:u w:val="single"/>
        </w:rPr>
        <w:t>Annex 2:</w:t>
      </w:r>
      <w:r w:rsidRPr="0031582B">
        <w:t xml:space="preserve"> Minutes of MCIF </w:t>
      </w:r>
      <w:r w:rsidR="0031582B" w:rsidRPr="0031582B">
        <w:t xml:space="preserve">Meetings held on </w:t>
      </w:r>
      <w:r w:rsidR="00D57D23">
        <w:t>11</w:t>
      </w:r>
      <w:r w:rsidR="0031582B">
        <w:t xml:space="preserve"> March and</w:t>
      </w:r>
      <w:r w:rsidR="0031582B" w:rsidRPr="0031582B">
        <w:t xml:space="preserve"> 9 </w:t>
      </w:r>
      <w:r w:rsidR="0031582B" w:rsidRPr="00D57D23">
        <w:t xml:space="preserve">November </w:t>
      </w:r>
      <w:r w:rsidR="00D57D23" w:rsidRPr="00D57D23">
        <w:t>2011</w:t>
      </w:r>
    </w:p>
    <w:p w:rsidR="0031582B" w:rsidRPr="0031582B" w:rsidRDefault="0031582B" w:rsidP="00DE7117">
      <w:pPr>
        <w:pStyle w:val="Clea"/>
      </w:pPr>
      <w:bookmarkStart w:id="5" w:name="_Toc288470229"/>
      <w:bookmarkStart w:id="6" w:name="_Toc288486040"/>
      <w:r w:rsidRPr="0031582B">
        <w:lastRenderedPageBreak/>
        <w:t>ANNUAL NARRATIVE PROGRESS REPORT OF</w:t>
      </w:r>
      <w:bookmarkEnd w:id="5"/>
      <w:bookmarkEnd w:id="6"/>
    </w:p>
    <w:p w:rsidR="00AB0274" w:rsidRPr="0031582B" w:rsidRDefault="0031582B" w:rsidP="00DE7117">
      <w:pPr>
        <w:pStyle w:val="Clea"/>
      </w:pPr>
      <w:bookmarkStart w:id="7" w:name="_Toc288470230"/>
      <w:bookmarkStart w:id="8" w:name="_Toc288486041"/>
      <w:r w:rsidRPr="0031582B">
        <w:t>THE INCLUSIVE FINANCE for the UNDER</w:t>
      </w:r>
      <w:r w:rsidRPr="0031582B">
        <w:rPr>
          <w:rFonts w:eastAsia="MS Mincho" w:hAnsi="MS Mincho"/>
        </w:rPr>
        <w:t>‐</w:t>
      </w:r>
      <w:r w:rsidRPr="0031582B">
        <w:t>SERVED ECONOMY [INFUSE] PROGRAM</w:t>
      </w:r>
      <w:bookmarkEnd w:id="7"/>
      <w:bookmarkEnd w:id="8"/>
    </w:p>
    <w:p w:rsidR="0031582B" w:rsidRDefault="0031582B" w:rsidP="00DE7117">
      <w:pPr>
        <w:pStyle w:val="Clea"/>
      </w:pPr>
    </w:p>
    <w:p w:rsidR="0031582B" w:rsidRPr="009A3692" w:rsidRDefault="0031582B" w:rsidP="00DE7117">
      <w:pPr>
        <w:pStyle w:val="Clea"/>
      </w:pPr>
    </w:p>
    <w:p w:rsidR="00AB0274" w:rsidRPr="00F84101" w:rsidRDefault="00AB0274" w:rsidP="00DE7117">
      <w:pPr>
        <w:pStyle w:val="Heading1"/>
        <w:numPr>
          <w:ilvl w:val="0"/>
          <w:numId w:val="42"/>
        </w:numPr>
      </w:pPr>
      <w:bookmarkStart w:id="9" w:name="_Toc249364483"/>
      <w:bookmarkStart w:id="10" w:name="_Toc288467975"/>
      <w:bookmarkStart w:id="11" w:name="_Toc288468703"/>
      <w:bookmarkStart w:id="12" w:name="_Toc288486042"/>
      <w:r w:rsidRPr="00DE7117">
        <w:t>Purpose</w:t>
      </w:r>
      <w:bookmarkEnd w:id="9"/>
      <w:bookmarkEnd w:id="10"/>
      <w:bookmarkEnd w:id="11"/>
      <w:bookmarkEnd w:id="12"/>
    </w:p>
    <w:p w:rsidR="007F2A41" w:rsidRPr="00F84101" w:rsidRDefault="007F2A41" w:rsidP="007F2A41">
      <w:pPr>
        <w:pStyle w:val="BodyText"/>
        <w:jc w:val="both"/>
        <w:rPr>
          <w:rFonts w:ascii="Times New Roman" w:hAnsi="Times New Roman" w:cs="Times New Roman"/>
          <w:sz w:val="24"/>
          <w:szCs w:val="24"/>
        </w:rPr>
      </w:pPr>
    </w:p>
    <w:p w:rsidR="00A66881" w:rsidRPr="00F84101" w:rsidRDefault="007F2A41" w:rsidP="00FE1D71">
      <w:pPr>
        <w:jc w:val="both"/>
        <w:rPr>
          <w:b/>
        </w:rPr>
      </w:pPr>
      <w:r w:rsidRPr="00F84101">
        <w:rPr>
          <w:lang w:val="en-GB"/>
        </w:rPr>
        <w:t xml:space="preserve">The overall goal of the </w:t>
      </w:r>
      <w:r w:rsidR="003B482C">
        <w:rPr>
          <w:lang w:val="en-GB"/>
        </w:rPr>
        <w:t>Inclusive Finance for the Underserved Economy (</w:t>
      </w:r>
      <w:r w:rsidRPr="00F84101">
        <w:rPr>
          <w:lang w:val="en-GB"/>
        </w:rPr>
        <w:t>INFUSE</w:t>
      </w:r>
      <w:r w:rsidR="003B482C">
        <w:rPr>
          <w:lang w:val="en-GB"/>
        </w:rPr>
        <w:t>)</w:t>
      </w:r>
      <w:r w:rsidR="00C35A31">
        <w:rPr>
          <w:lang w:val="en-GB"/>
        </w:rPr>
        <w:t xml:space="preserve"> Program</w:t>
      </w:r>
      <w:r w:rsidRPr="00F84101">
        <w:rPr>
          <w:lang w:val="en-GB"/>
        </w:rPr>
        <w:t xml:space="preserve"> is to contribute to the achievement of the Millennium Development Goals (MDGs), in particular Goal 1 of cutting absolute poverty in Timor-Leste by one third by 2015, </w:t>
      </w:r>
      <w:r w:rsidR="00A30793">
        <w:rPr>
          <w:lang w:val="en-GB"/>
        </w:rPr>
        <w:t>through</w:t>
      </w:r>
      <w:r w:rsidRPr="00F84101">
        <w:rPr>
          <w:lang w:val="en-GB"/>
        </w:rPr>
        <w:t xml:space="preserve"> increasing sustainable access to financial services for </w:t>
      </w:r>
      <w:r w:rsidR="001503B4">
        <w:rPr>
          <w:lang w:val="en-GB"/>
        </w:rPr>
        <w:t xml:space="preserve">poor and </w:t>
      </w:r>
      <w:r w:rsidRPr="00F84101">
        <w:rPr>
          <w:lang w:val="en-GB"/>
        </w:rPr>
        <w:t xml:space="preserve">low-income people, both women and men. </w:t>
      </w:r>
      <w:r w:rsidR="009D70A6" w:rsidRPr="00F84101">
        <w:t xml:space="preserve">The </w:t>
      </w:r>
      <w:r w:rsidR="00620C25" w:rsidRPr="00F84101">
        <w:t>program</w:t>
      </w:r>
      <w:r w:rsidR="009D70A6" w:rsidRPr="00F84101">
        <w:t xml:space="preserve"> </w:t>
      </w:r>
      <w:r w:rsidR="004713D0" w:rsidRPr="00F84101">
        <w:t>utilizes a</w:t>
      </w:r>
      <w:r w:rsidR="009D70A6" w:rsidRPr="00F84101">
        <w:t xml:space="preserve"> sector-wide approach</w:t>
      </w:r>
      <w:r w:rsidR="004713D0" w:rsidRPr="00F84101">
        <w:t xml:space="preserve"> to building an inclusive financial sector</w:t>
      </w:r>
      <w:r w:rsidR="001A1ABC" w:rsidRPr="00F84101">
        <w:t>, focusing</w:t>
      </w:r>
      <w:r w:rsidR="007821FC" w:rsidRPr="00F84101">
        <w:rPr>
          <w:lang w:val="en-GB"/>
        </w:rPr>
        <w:t xml:space="preserve"> on</w:t>
      </w:r>
      <w:r w:rsidR="004713D0" w:rsidRPr="00F84101">
        <w:rPr>
          <w:lang w:val="en-GB"/>
        </w:rPr>
        <w:t xml:space="preserve"> addressing gaps </w:t>
      </w:r>
      <w:r w:rsidR="001A1ABC" w:rsidRPr="00F84101">
        <w:rPr>
          <w:lang w:val="en-GB"/>
        </w:rPr>
        <w:t>and impediments</w:t>
      </w:r>
      <w:r w:rsidR="004713D0" w:rsidRPr="00F84101">
        <w:rPr>
          <w:lang w:val="en-GB"/>
        </w:rPr>
        <w:t xml:space="preserve"> </w:t>
      </w:r>
      <w:r w:rsidR="007821FC" w:rsidRPr="00F84101">
        <w:rPr>
          <w:lang w:val="en-GB"/>
        </w:rPr>
        <w:t>at</w:t>
      </w:r>
      <w:r w:rsidR="007821FC" w:rsidRPr="00F84101">
        <w:t xml:space="preserve"> the retail (micro-), </w:t>
      </w:r>
      <w:r w:rsidR="001E30F0">
        <w:t xml:space="preserve">infrastructure </w:t>
      </w:r>
      <w:r w:rsidR="00FD2BFE" w:rsidRPr="00F84101">
        <w:t>(</w:t>
      </w:r>
      <w:r w:rsidR="007821FC" w:rsidRPr="00F84101">
        <w:t>meso-</w:t>
      </w:r>
      <w:r w:rsidR="001E30F0">
        <w:t>)</w:t>
      </w:r>
      <w:r w:rsidR="00FE1D71">
        <w:t>,</w:t>
      </w:r>
      <w:r w:rsidR="007821FC" w:rsidRPr="00F84101">
        <w:t xml:space="preserve"> and legal and regulatory (macro-) levels</w:t>
      </w:r>
      <w:r w:rsidR="007821FC" w:rsidRPr="00F84101">
        <w:rPr>
          <w:lang w:val="en-GB"/>
        </w:rPr>
        <w:t>.</w:t>
      </w:r>
      <w:r w:rsidR="009D70A6" w:rsidRPr="00F84101">
        <w:t xml:space="preserve"> </w:t>
      </w:r>
    </w:p>
    <w:p w:rsidR="00A66881" w:rsidRPr="00F84101" w:rsidRDefault="00A66881" w:rsidP="00FD2BFE">
      <w:pPr>
        <w:jc w:val="both"/>
        <w:rPr>
          <w:b/>
        </w:rPr>
      </w:pPr>
    </w:p>
    <w:p w:rsidR="007F2A41" w:rsidRPr="00F84101" w:rsidRDefault="007F2A41" w:rsidP="00FD2BFE">
      <w:pPr>
        <w:tabs>
          <w:tab w:val="left" w:pos="4680"/>
        </w:tabs>
        <w:jc w:val="both"/>
        <w:rPr>
          <w:bCs/>
          <w:lang w:eastAsia="ja-JP"/>
        </w:rPr>
      </w:pPr>
      <w:r w:rsidRPr="00F84101">
        <w:rPr>
          <w:bCs/>
        </w:rPr>
        <w:t xml:space="preserve">At the end </w:t>
      </w:r>
      <w:r w:rsidR="00A30793">
        <w:rPr>
          <w:bCs/>
        </w:rPr>
        <w:t xml:space="preserve">of </w:t>
      </w:r>
      <w:r w:rsidR="0085272C">
        <w:rPr>
          <w:bCs/>
        </w:rPr>
        <w:t>program</w:t>
      </w:r>
      <w:r w:rsidRPr="00F84101">
        <w:rPr>
          <w:bCs/>
          <w:lang w:eastAsia="ja-JP"/>
        </w:rPr>
        <w:t xml:space="preserve"> implementation</w:t>
      </w:r>
      <w:r w:rsidRPr="00F84101">
        <w:rPr>
          <w:bCs/>
        </w:rPr>
        <w:t xml:space="preserve">, </w:t>
      </w:r>
      <w:r w:rsidRPr="00F84101">
        <w:rPr>
          <w:bCs/>
          <w:lang w:eastAsia="ja-JP"/>
        </w:rPr>
        <w:t xml:space="preserve">INFUSE aims to achieve the above goal through the </w:t>
      </w:r>
      <w:r w:rsidRPr="00F84101">
        <w:rPr>
          <w:bCs/>
        </w:rPr>
        <w:t>following outputs</w:t>
      </w:r>
      <w:r w:rsidR="008B4E46" w:rsidRPr="00F84101">
        <w:rPr>
          <w:bCs/>
          <w:lang w:eastAsia="ja-JP"/>
        </w:rPr>
        <w:t>:</w:t>
      </w:r>
    </w:p>
    <w:p w:rsidR="007F2A41" w:rsidRPr="00F84101" w:rsidRDefault="007F2A41" w:rsidP="00FD2BFE">
      <w:pPr>
        <w:pStyle w:val="CM6"/>
        <w:numPr>
          <w:ilvl w:val="0"/>
          <w:numId w:val="14"/>
        </w:numPr>
        <w:tabs>
          <w:tab w:val="clear" w:pos="360"/>
          <w:tab w:val="num" w:pos="720"/>
        </w:tabs>
        <w:spacing w:line="240" w:lineRule="auto"/>
        <w:ind w:leftChars="150" w:left="720" w:hangingChars="150"/>
        <w:jc w:val="both"/>
        <w:rPr>
          <w:rFonts w:ascii="Times New Roman" w:hAnsi="Times New Roman" w:cs="Times New Roman"/>
          <w:lang w:val="en-GB"/>
        </w:rPr>
      </w:pPr>
      <w:bookmarkStart w:id="13" w:name="OLE_LINK1"/>
      <w:bookmarkStart w:id="14" w:name="OLE_LINK2"/>
      <w:r w:rsidRPr="00F84101">
        <w:rPr>
          <w:rFonts w:ascii="Times New Roman" w:hAnsi="Times New Roman" w:cs="Times New Roman"/>
          <w:lang w:val="en-GB"/>
        </w:rPr>
        <w:t>Output 1:</w:t>
      </w:r>
      <w:r w:rsidRPr="00F84101">
        <w:rPr>
          <w:rFonts w:ascii="Times New Roman" w:hAnsi="Times New Roman" w:cs="Times New Roman"/>
          <w:b/>
          <w:bCs/>
          <w:lang w:val="en-GB"/>
        </w:rPr>
        <w:t xml:space="preserve"> </w:t>
      </w:r>
      <w:r w:rsidRPr="00F84101">
        <w:rPr>
          <w:rFonts w:ascii="Times New Roman" w:hAnsi="Times New Roman" w:cs="Times New Roman"/>
          <w:lang w:val="en-GB" w:eastAsia="ja-JP"/>
        </w:rPr>
        <w:t>Policy development and strategic coordination to enhance the enabling environment</w:t>
      </w:r>
    </w:p>
    <w:p w:rsidR="007F2A41" w:rsidRPr="00F84101" w:rsidRDefault="007F2A41" w:rsidP="001503B4">
      <w:pPr>
        <w:pStyle w:val="CM6"/>
        <w:numPr>
          <w:ilvl w:val="0"/>
          <w:numId w:val="14"/>
        </w:numPr>
        <w:tabs>
          <w:tab w:val="clear" w:pos="360"/>
          <w:tab w:val="num" w:pos="720"/>
        </w:tabs>
        <w:spacing w:line="240" w:lineRule="auto"/>
        <w:ind w:leftChars="150" w:left="720" w:hangingChars="150"/>
        <w:jc w:val="both"/>
        <w:rPr>
          <w:rFonts w:ascii="Times New Roman" w:hAnsi="Times New Roman" w:cs="Times New Roman"/>
          <w:lang w:val="en-GB"/>
        </w:rPr>
      </w:pPr>
      <w:r w:rsidRPr="00F84101">
        <w:rPr>
          <w:rFonts w:ascii="Times New Roman" w:hAnsi="Times New Roman" w:cs="Times New Roman"/>
          <w:lang w:val="en-GB"/>
        </w:rPr>
        <w:t>Output</w:t>
      </w:r>
      <w:r w:rsidR="00FE1D71">
        <w:rPr>
          <w:rFonts w:ascii="Times New Roman" w:hAnsi="Times New Roman" w:cs="Times New Roman"/>
          <w:lang w:val="en-GB"/>
        </w:rPr>
        <w:t xml:space="preserve"> </w:t>
      </w:r>
      <w:r w:rsidRPr="00F84101">
        <w:rPr>
          <w:rFonts w:ascii="Times New Roman" w:hAnsi="Times New Roman" w:cs="Times New Roman"/>
          <w:lang w:val="en-GB"/>
        </w:rPr>
        <w:t xml:space="preserve">2: </w:t>
      </w:r>
      <w:r w:rsidRPr="00F84101">
        <w:rPr>
          <w:rFonts w:ascii="Times New Roman" w:hAnsi="Times New Roman" w:cs="Times New Roman"/>
          <w:lang w:val="en-GB" w:eastAsia="ja-JP"/>
        </w:rPr>
        <w:t>Facilitation of the growth and long-term sustainability of the retail financial service providers</w:t>
      </w:r>
      <w:r w:rsidR="001503B4">
        <w:rPr>
          <w:rFonts w:ascii="Times New Roman" w:hAnsi="Times New Roman" w:cs="Times New Roman"/>
          <w:lang w:val="en-GB" w:eastAsia="ja-JP"/>
        </w:rPr>
        <w:t xml:space="preserve"> (FSPs)</w:t>
      </w:r>
      <w:r w:rsidRPr="00F84101">
        <w:rPr>
          <w:rFonts w:ascii="Times New Roman" w:hAnsi="Times New Roman" w:cs="Times New Roman"/>
          <w:lang w:val="en-GB" w:eastAsia="ja-JP"/>
        </w:rPr>
        <w:t>, so that they can increase their outreach to poor and low-income people; and</w:t>
      </w:r>
    </w:p>
    <w:p w:rsidR="007F2A41" w:rsidRPr="00F84101" w:rsidRDefault="00C46476" w:rsidP="00FD2BFE">
      <w:pPr>
        <w:pStyle w:val="Default"/>
        <w:numPr>
          <w:ilvl w:val="0"/>
          <w:numId w:val="14"/>
        </w:numPr>
        <w:tabs>
          <w:tab w:val="clear" w:pos="360"/>
          <w:tab w:val="num" w:pos="720"/>
        </w:tabs>
        <w:ind w:leftChars="150" w:left="720" w:hangingChars="150"/>
        <w:jc w:val="both"/>
        <w:rPr>
          <w:rFonts w:ascii="Times New Roman" w:hAnsi="Times New Roman" w:cs="Times New Roman"/>
          <w:lang w:val="en-GB"/>
        </w:rPr>
      </w:pPr>
      <w:r w:rsidRPr="00F84101">
        <w:rPr>
          <w:rFonts w:ascii="Times New Roman" w:hAnsi="Times New Roman" w:cs="Times New Roman"/>
          <w:lang w:val="en-GB"/>
        </w:rPr>
        <w:t>Output</w:t>
      </w:r>
      <w:r w:rsidR="00FE1D71">
        <w:rPr>
          <w:rFonts w:ascii="Times New Roman" w:hAnsi="Times New Roman" w:cs="Times New Roman"/>
          <w:lang w:val="en-GB"/>
        </w:rPr>
        <w:t xml:space="preserve"> </w:t>
      </w:r>
      <w:r w:rsidR="007F2A41" w:rsidRPr="00F84101">
        <w:rPr>
          <w:rFonts w:ascii="Times New Roman" w:hAnsi="Times New Roman" w:cs="Times New Roman"/>
          <w:lang w:val="en-GB"/>
        </w:rPr>
        <w:t xml:space="preserve">3: </w:t>
      </w:r>
      <w:r w:rsidR="007F2A41" w:rsidRPr="00F84101">
        <w:rPr>
          <w:rFonts w:ascii="Times New Roman" w:hAnsi="Times New Roman" w:cs="Times New Roman"/>
          <w:lang w:val="en-GB" w:eastAsia="ja-JP"/>
        </w:rPr>
        <w:t>Development of financial business support infrastructure (credit registry, audit, information technology, innovative technology</w:t>
      </w:r>
      <w:r w:rsidR="001503B4">
        <w:rPr>
          <w:rFonts w:ascii="Times New Roman" w:hAnsi="Times New Roman" w:cs="Times New Roman"/>
          <w:lang w:val="en-GB" w:eastAsia="ja-JP"/>
        </w:rPr>
        <w:t>, etc.</w:t>
      </w:r>
      <w:r w:rsidR="007F2A41" w:rsidRPr="00F84101">
        <w:rPr>
          <w:rFonts w:ascii="Times New Roman" w:hAnsi="Times New Roman" w:cs="Times New Roman"/>
          <w:lang w:val="en-GB" w:eastAsia="ja-JP"/>
        </w:rPr>
        <w:t>).</w:t>
      </w:r>
    </w:p>
    <w:bookmarkEnd w:id="13"/>
    <w:bookmarkEnd w:id="14"/>
    <w:p w:rsidR="007F2A41" w:rsidRPr="00F84101" w:rsidRDefault="007F2A41" w:rsidP="00FD2BFE">
      <w:pPr>
        <w:pStyle w:val="BodyText"/>
        <w:jc w:val="both"/>
        <w:rPr>
          <w:rFonts w:ascii="Times New Roman" w:hAnsi="Times New Roman" w:cs="Times New Roman"/>
          <w:sz w:val="24"/>
          <w:szCs w:val="24"/>
          <w:lang w:val="en-GB"/>
        </w:rPr>
      </w:pPr>
    </w:p>
    <w:p w:rsidR="007F2A41" w:rsidRPr="00F84101" w:rsidRDefault="00C35A31" w:rsidP="00FD2BFE">
      <w:pPr>
        <w:pStyle w:val="Default"/>
        <w:jc w:val="both"/>
        <w:rPr>
          <w:rFonts w:ascii="Times New Roman" w:hAnsi="Times New Roman" w:cs="Times New Roman"/>
          <w:u w:val="single"/>
          <w:lang w:val="en-GB" w:eastAsia="ja-JP"/>
        </w:rPr>
      </w:pPr>
      <w:r>
        <w:rPr>
          <w:rFonts w:ascii="Times New Roman" w:hAnsi="Times New Roman" w:cs="Times New Roman"/>
          <w:u w:val="single"/>
          <w:lang w:val="en-GB" w:eastAsia="ja-JP"/>
        </w:rPr>
        <w:t>INFUSE Program</w:t>
      </w:r>
      <w:r w:rsidR="007F2A41" w:rsidRPr="00F84101">
        <w:rPr>
          <w:rFonts w:ascii="Times New Roman" w:hAnsi="Times New Roman" w:cs="Times New Roman"/>
          <w:u w:val="single"/>
          <w:lang w:val="en-GB" w:eastAsia="ja-JP"/>
        </w:rPr>
        <w:t xml:space="preserve"> in relation with UNDAF</w:t>
      </w:r>
    </w:p>
    <w:p w:rsidR="007F2A41" w:rsidRPr="00F84101" w:rsidRDefault="007F2A41" w:rsidP="00FD2BFE">
      <w:pPr>
        <w:pStyle w:val="Default"/>
        <w:jc w:val="both"/>
        <w:rPr>
          <w:rFonts w:ascii="Times New Roman" w:hAnsi="Times New Roman" w:cs="Times New Roman"/>
          <w:lang w:val="en-GB" w:eastAsia="ja-JP"/>
        </w:rPr>
      </w:pPr>
    </w:p>
    <w:p w:rsidR="007F2A41" w:rsidRPr="00F84101" w:rsidRDefault="007F2A41" w:rsidP="00FD2BFE">
      <w:pPr>
        <w:tabs>
          <w:tab w:val="left" w:pos="4680"/>
        </w:tabs>
        <w:jc w:val="both"/>
        <w:rPr>
          <w:bCs/>
          <w:lang w:eastAsia="ja-JP"/>
        </w:rPr>
      </w:pPr>
      <w:r w:rsidRPr="00F84101">
        <w:t xml:space="preserve">The expected outcome of the </w:t>
      </w:r>
      <w:r w:rsidR="0085272C" w:rsidRPr="00F84101">
        <w:t>program</w:t>
      </w:r>
      <w:r w:rsidRPr="00F84101">
        <w:t xml:space="preserve"> is that vulnerable groups will have improved access to </w:t>
      </w:r>
      <w:r w:rsidRPr="00F84101">
        <w:rPr>
          <w:lang w:eastAsia="ja-JP"/>
        </w:rPr>
        <w:t>sustainable financial services</w:t>
      </w:r>
      <w:r w:rsidRPr="00F84101">
        <w:t xml:space="preserve">. This is </w:t>
      </w:r>
      <w:r w:rsidR="00BA72A6" w:rsidRPr="00F84101">
        <w:t>consistent</w:t>
      </w:r>
      <w:r w:rsidRPr="00F84101">
        <w:t xml:space="preserve"> with the </w:t>
      </w:r>
      <w:r w:rsidRPr="00F84101">
        <w:rPr>
          <w:bCs/>
        </w:rPr>
        <w:t>UN</w:t>
      </w:r>
      <w:r w:rsidR="008B4E46" w:rsidRPr="00F84101">
        <w:rPr>
          <w:bCs/>
        </w:rPr>
        <w:t xml:space="preserve"> Development Assistance Framework</w:t>
      </w:r>
      <w:r w:rsidRPr="00F84101">
        <w:rPr>
          <w:bCs/>
        </w:rPr>
        <w:t xml:space="preserve"> </w:t>
      </w:r>
      <w:r w:rsidR="008B4E46" w:rsidRPr="00F84101">
        <w:rPr>
          <w:bCs/>
        </w:rPr>
        <w:t>(UNDAF) O</w:t>
      </w:r>
      <w:r w:rsidRPr="00F84101">
        <w:rPr>
          <w:bCs/>
          <w:lang w:eastAsia="ja-JP"/>
        </w:rPr>
        <w:t xml:space="preserve">utcome </w:t>
      </w:r>
      <w:r w:rsidRPr="00F84101">
        <w:rPr>
          <w:bCs/>
        </w:rPr>
        <w:t>2</w:t>
      </w:r>
      <w:r w:rsidRPr="00F84101">
        <w:rPr>
          <w:bCs/>
          <w:lang w:eastAsia="ja-JP"/>
        </w:rPr>
        <w:t>: B</w:t>
      </w:r>
      <w:r w:rsidRPr="00F84101">
        <w:rPr>
          <w:bCs/>
        </w:rPr>
        <w:t xml:space="preserve">y 2013, vulnerable groups experience significant improvement in sustainable livelihoods, poverty reduction </w:t>
      </w:r>
      <w:r w:rsidR="001503B4">
        <w:rPr>
          <w:bCs/>
        </w:rPr>
        <w:t>and</w:t>
      </w:r>
      <w:r w:rsidRPr="00F84101">
        <w:rPr>
          <w:bCs/>
        </w:rPr>
        <w:t xml:space="preserve"> disaster risk management within an overarching crisis preventions and recovery context.</w:t>
      </w:r>
      <w:r w:rsidRPr="00F84101">
        <w:rPr>
          <w:bCs/>
          <w:lang w:eastAsia="ja-JP"/>
        </w:rPr>
        <w:t xml:space="preserve"> The </w:t>
      </w:r>
      <w:r w:rsidR="0085272C" w:rsidRPr="00F84101">
        <w:rPr>
          <w:bCs/>
          <w:lang w:eastAsia="ja-JP"/>
        </w:rPr>
        <w:t>program</w:t>
      </w:r>
      <w:r w:rsidRPr="00F84101">
        <w:rPr>
          <w:bCs/>
          <w:lang w:eastAsia="ja-JP"/>
        </w:rPr>
        <w:t xml:space="preserve"> specifically </w:t>
      </w:r>
      <w:r w:rsidR="00BA72A6" w:rsidRPr="00F84101">
        <w:rPr>
          <w:bCs/>
          <w:lang w:eastAsia="ja-JP"/>
        </w:rPr>
        <w:t>relates to</w:t>
      </w:r>
      <w:r w:rsidRPr="00F84101">
        <w:rPr>
          <w:bCs/>
          <w:lang w:eastAsia="ja-JP"/>
        </w:rPr>
        <w:t xml:space="preserve"> UNDAF sub-outcome 2.1.5: Microfinance institutions are capacitated to increase outreach to the low income populations.</w:t>
      </w:r>
    </w:p>
    <w:p w:rsidR="007F2A41" w:rsidRPr="00F84101" w:rsidRDefault="007F2A41" w:rsidP="00FD2BFE">
      <w:pPr>
        <w:tabs>
          <w:tab w:val="left" w:pos="4680"/>
        </w:tabs>
        <w:jc w:val="both"/>
        <w:rPr>
          <w:bCs/>
          <w:lang w:eastAsia="ja-JP"/>
        </w:rPr>
      </w:pPr>
    </w:p>
    <w:p w:rsidR="007F2A41" w:rsidRPr="00F84101" w:rsidRDefault="007F2A41" w:rsidP="001F0D73">
      <w:pPr>
        <w:tabs>
          <w:tab w:val="left" w:pos="4680"/>
        </w:tabs>
        <w:jc w:val="both"/>
        <w:rPr>
          <w:lang w:val="en-GB" w:eastAsia="ja-JP"/>
        </w:rPr>
      </w:pPr>
      <w:r w:rsidRPr="00F84101">
        <w:rPr>
          <w:bCs/>
          <w:lang w:eastAsia="ja-JP"/>
        </w:rPr>
        <w:t xml:space="preserve">INFUSE </w:t>
      </w:r>
      <w:r w:rsidR="00481378" w:rsidRPr="00F84101">
        <w:rPr>
          <w:bCs/>
          <w:lang w:eastAsia="ja-JP"/>
        </w:rPr>
        <w:t>objectives are also</w:t>
      </w:r>
      <w:r w:rsidRPr="00F84101">
        <w:rPr>
          <w:bCs/>
          <w:lang w:eastAsia="ja-JP"/>
        </w:rPr>
        <w:t xml:space="preserve"> linked to</w:t>
      </w:r>
      <w:r w:rsidR="00C35A31">
        <w:rPr>
          <w:bCs/>
          <w:lang w:eastAsia="ja-JP"/>
        </w:rPr>
        <w:t xml:space="preserve"> the following </w:t>
      </w:r>
      <w:r w:rsidRPr="00F84101">
        <w:rPr>
          <w:bCs/>
          <w:lang w:eastAsia="ja-JP"/>
        </w:rPr>
        <w:t>Outcome and Output</w:t>
      </w:r>
      <w:r w:rsidR="00E425B3" w:rsidRPr="00E425B3">
        <w:rPr>
          <w:bCs/>
          <w:lang w:eastAsia="ja-JP"/>
        </w:rPr>
        <w:t xml:space="preserve"> </w:t>
      </w:r>
      <w:r w:rsidR="00E425B3">
        <w:rPr>
          <w:bCs/>
          <w:lang w:eastAsia="ja-JP"/>
        </w:rPr>
        <w:t>of UNDP Country Program (2009 – 13) in Timor-</w:t>
      </w:r>
      <w:proofErr w:type="gramStart"/>
      <w:r w:rsidR="00E425B3">
        <w:rPr>
          <w:bCs/>
          <w:lang w:eastAsia="ja-JP"/>
        </w:rPr>
        <w:t xml:space="preserve">Leste </w:t>
      </w:r>
      <w:r w:rsidRPr="00F84101">
        <w:rPr>
          <w:bCs/>
          <w:lang w:eastAsia="ja-JP"/>
        </w:rPr>
        <w:t>:</w:t>
      </w:r>
      <w:proofErr w:type="gramEnd"/>
    </w:p>
    <w:p w:rsidR="007F2A41" w:rsidRPr="00F84101" w:rsidRDefault="007F2A41" w:rsidP="00FD2BFE">
      <w:pPr>
        <w:pStyle w:val="Default"/>
        <w:numPr>
          <w:ilvl w:val="0"/>
          <w:numId w:val="15"/>
        </w:numPr>
        <w:tabs>
          <w:tab w:val="clear" w:pos="720"/>
          <w:tab w:val="num" w:pos="360"/>
        </w:tabs>
        <w:ind w:left="360"/>
        <w:jc w:val="both"/>
        <w:rPr>
          <w:rFonts w:ascii="Times New Roman" w:hAnsi="Times New Roman" w:cs="Times New Roman"/>
          <w:lang w:val="en-GB" w:eastAsia="ja-JP"/>
        </w:rPr>
      </w:pPr>
      <w:r w:rsidRPr="00F84101">
        <w:rPr>
          <w:rFonts w:ascii="Times New Roman" w:hAnsi="Times New Roman" w:cs="Times New Roman"/>
          <w:lang w:val="en-GB" w:eastAsia="ja-JP"/>
        </w:rPr>
        <w:t>Country Programme Outcome 3: Vulnerable groups have improved access to livelihoods</w:t>
      </w:r>
    </w:p>
    <w:p w:rsidR="007F2A41" w:rsidRPr="00F84101" w:rsidRDefault="007F2A41" w:rsidP="00FD2BFE">
      <w:pPr>
        <w:pStyle w:val="Default"/>
        <w:numPr>
          <w:ilvl w:val="0"/>
          <w:numId w:val="15"/>
        </w:numPr>
        <w:tabs>
          <w:tab w:val="clear" w:pos="720"/>
          <w:tab w:val="num" w:pos="360"/>
        </w:tabs>
        <w:ind w:left="360"/>
        <w:jc w:val="both"/>
        <w:rPr>
          <w:rFonts w:ascii="Times New Roman" w:hAnsi="Times New Roman" w:cs="Times New Roman"/>
          <w:lang w:val="en-GB" w:eastAsia="ja-JP"/>
        </w:rPr>
      </w:pPr>
      <w:r w:rsidRPr="00F84101">
        <w:rPr>
          <w:rFonts w:ascii="Times New Roman" w:hAnsi="Times New Roman" w:cs="Times New Roman"/>
          <w:lang w:val="en-GB" w:eastAsia="ja-JP"/>
        </w:rPr>
        <w:t xml:space="preserve">Country Programme Output 3.1: Rural communities have microenterprises through improved access to microfinance </w:t>
      </w:r>
      <w:r w:rsidR="001503B4">
        <w:rPr>
          <w:rFonts w:ascii="Times New Roman" w:hAnsi="Times New Roman" w:cs="Times New Roman"/>
          <w:lang w:val="en-GB" w:eastAsia="ja-JP"/>
        </w:rPr>
        <w:t>and</w:t>
      </w:r>
      <w:r w:rsidRPr="00F84101">
        <w:rPr>
          <w:rFonts w:ascii="Times New Roman" w:hAnsi="Times New Roman" w:cs="Times New Roman"/>
          <w:lang w:val="en-GB" w:eastAsia="ja-JP"/>
        </w:rPr>
        <w:t xml:space="preserve"> markets.</w:t>
      </w:r>
    </w:p>
    <w:p w:rsidR="007F2A41" w:rsidRPr="00F84101" w:rsidRDefault="007F2A41" w:rsidP="00FD2BFE">
      <w:pPr>
        <w:pStyle w:val="Default"/>
        <w:jc w:val="both"/>
        <w:rPr>
          <w:rFonts w:ascii="Times New Roman" w:hAnsi="Times New Roman" w:cs="Times New Roman"/>
          <w:lang w:val="en-GB" w:eastAsia="ja-JP"/>
        </w:rPr>
      </w:pPr>
    </w:p>
    <w:p w:rsidR="00EB1AE7" w:rsidRPr="00F84101" w:rsidRDefault="00C35A31" w:rsidP="00FD2BFE">
      <w:pPr>
        <w:pStyle w:val="Default"/>
        <w:jc w:val="both"/>
        <w:rPr>
          <w:rFonts w:ascii="Times New Roman" w:hAnsi="Times New Roman" w:cs="Times New Roman"/>
          <w:u w:val="single"/>
          <w:lang w:val="en-GB" w:eastAsia="ja-JP"/>
        </w:rPr>
      </w:pPr>
      <w:r>
        <w:rPr>
          <w:rFonts w:ascii="Times New Roman" w:hAnsi="Times New Roman" w:cs="Times New Roman"/>
          <w:u w:val="single"/>
          <w:lang w:val="en-GB" w:eastAsia="ja-JP"/>
        </w:rPr>
        <w:t>INFUSE Program</w:t>
      </w:r>
      <w:r w:rsidR="00EB1AE7" w:rsidRPr="00F84101">
        <w:rPr>
          <w:rFonts w:ascii="Times New Roman" w:hAnsi="Times New Roman" w:cs="Times New Roman"/>
          <w:u w:val="single"/>
          <w:lang w:val="en-GB" w:eastAsia="ja-JP"/>
        </w:rPr>
        <w:t xml:space="preserve"> in relation with GoTL </w:t>
      </w:r>
      <w:r w:rsidR="001179EA" w:rsidRPr="00F84101">
        <w:rPr>
          <w:rFonts w:ascii="Times New Roman" w:hAnsi="Times New Roman" w:cs="Times New Roman"/>
          <w:u w:val="single"/>
          <w:lang w:val="en-GB" w:eastAsia="ja-JP"/>
        </w:rPr>
        <w:t>National</w:t>
      </w:r>
      <w:r w:rsidR="00EB1AE7" w:rsidRPr="00F84101">
        <w:rPr>
          <w:rFonts w:ascii="Times New Roman" w:hAnsi="Times New Roman" w:cs="Times New Roman"/>
          <w:u w:val="single"/>
          <w:lang w:val="en-GB" w:eastAsia="ja-JP"/>
        </w:rPr>
        <w:t xml:space="preserve"> </w:t>
      </w:r>
      <w:r w:rsidR="001503B4">
        <w:rPr>
          <w:rFonts w:ascii="Times New Roman" w:hAnsi="Times New Roman" w:cs="Times New Roman"/>
          <w:u w:val="single"/>
          <w:lang w:val="en-GB" w:eastAsia="ja-JP"/>
        </w:rPr>
        <w:t>Plans and Priori</w:t>
      </w:r>
      <w:r w:rsidR="00EB1AE7" w:rsidRPr="00F84101">
        <w:rPr>
          <w:rFonts w:ascii="Times New Roman" w:hAnsi="Times New Roman" w:cs="Times New Roman"/>
          <w:u w:val="single"/>
          <w:lang w:val="en-GB" w:eastAsia="ja-JP"/>
        </w:rPr>
        <w:t>ties</w:t>
      </w:r>
    </w:p>
    <w:p w:rsidR="00BA72A6" w:rsidRPr="00F84101" w:rsidRDefault="00BA72A6" w:rsidP="00FD2BFE">
      <w:pPr>
        <w:autoSpaceDE w:val="0"/>
        <w:autoSpaceDN w:val="0"/>
        <w:adjustRightInd w:val="0"/>
        <w:jc w:val="both"/>
        <w:rPr>
          <w:color w:val="000000"/>
          <w:lang w:val="en-GB"/>
        </w:rPr>
      </w:pPr>
    </w:p>
    <w:p w:rsidR="008B4E46" w:rsidRDefault="001077D5" w:rsidP="00FD2BFE">
      <w:pPr>
        <w:spacing w:before="40"/>
        <w:jc w:val="both"/>
        <w:rPr>
          <w:color w:val="000000"/>
        </w:rPr>
      </w:pPr>
      <w:r w:rsidRPr="00F84101">
        <w:rPr>
          <w:color w:val="000000"/>
        </w:rPr>
        <w:t>INFUSE</w:t>
      </w:r>
      <w:r w:rsidR="00F324D2" w:rsidRPr="00F84101">
        <w:rPr>
          <w:color w:val="000000"/>
        </w:rPr>
        <w:t xml:space="preserve"> objectives </w:t>
      </w:r>
      <w:r w:rsidR="001503B4">
        <w:rPr>
          <w:color w:val="000000"/>
        </w:rPr>
        <w:t xml:space="preserve">were incorporated into the </w:t>
      </w:r>
      <w:r w:rsidR="00F324D2" w:rsidRPr="00F84101">
        <w:rPr>
          <w:color w:val="000000"/>
        </w:rPr>
        <w:t xml:space="preserve"> </w:t>
      </w:r>
      <w:r w:rsidR="001503B4" w:rsidRPr="00F84101">
        <w:rPr>
          <w:color w:val="000000"/>
        </w:rPr>
        <w:t>Government of Timor-Leste’s National Priorities 2010 framework</w:t>
      </w:r>
      <w:r w:rsidR="001503B4">
        <w:rPr>
          <w:color w:val="000000"/>
        </w:rPr>
        <w:t>, specifically within the</w:t>
      </w:r>
      <w:r w:rsidR="001503B4" w:rsidRPr="00F84101">
        <w:rPr>
          <w:color w:val="000000"/>
        </w:rPr>
        <w:t xml:space="preserve"> </w:t>
      </w:r>
      <w:r w:rsidR="00F324D2" w:rsidRPr="00F84101">
        <w:rPr>
          <w:color w:val="000000"/>
        </w:rPr>
        <w:t>Nat</w:t>
      </w:r>
      <w:r w:rsidR="00BA72A6" w:rsidRPr="00F84101">
        <w:rPr>
          <w:color w:val="000000"/>
        </w:rPr>
        <w:t>io</w:t>
      </w:r>
      <w:r w:rsidR="00F324D2" w:rsidRPr="00F84101">
        <w:rPr>
          <w:color w:val="000000"/>
        </w:rPr>
        <w:t>nal Prior</w:t>
      </w:r>
      <w:r w:rsidR="00BA72A6" w:rsidRPr="00F84101">
        <w:rPr>
          <w:color w:val="000000"/>
        </w:rPr>
        <w:t>ity # 1</w:t>
      </w:r>
      <w:r w:rsidRPr="00F84101">
        <w:rPr>
          <w:color w:val="000000"/>
        </w:rPr>
        <w:t>:</w:t>
      </w:r>
      <w:r w:rsidR="00BA72A6" w:rsidRPr="00F84101">
        <w:rPr>
          <w:color w:val="000000"/>
        </w:rPr>
        <w:t xml:space="preserve"> </w:t>
      </w:r>
      <w:r w:rsidR="00BA72A6" w:rsidRPr="001F0D73">
        <w:rPr>
          <w:bCs/>
          <w:lang w:val="en-GB"/>
        </w:rPr>
        <w:t>Infrastructure (</w:t>
      </w:r>
      <w:r w:rsidR="001503B4">
        <w:rPr>
          <w:bCs/>
          <w:lang w:val="en-GB"/>
        </w:rPr>
        <w:t xml:space="preserve">Roads, Water, and </w:t>
      </w:r>
      <w:r w:rsidR="001F0D73" w:rsidRPr="001F0D73">
        <w:rPr>
          <w:bCs/>
          <w:lang w:val="en-GB"/>
        </w:rPr>
        <w:t>Private Sector Development</w:t>
      </w:r>
      <w:r w:rsidR="00BA72A6" w:rsidRPr="00F84101">
        <w:rPr>
          <w:b/>
          <w:bCs/>
          <w:lang w:val="en-GB"/>
        </w:rPr>
        <w:t>)</w:t>
      </w:r>
      <w:r w:rsidR="00BA72A6" w:rsidRPr="00F84101">
        <w:rPr>
          <w:color w:val="000000"/>
        </w:rPr>
        <w:t xml:space="preserve">. </w:t>
      </w:r>
      <w:r w:rsidRPr="00F84101">
        <w:rPr>
          <w:color w:val="000000"/>
        </w:rPr>
        <w:t xml:space="preserve">The relevant objective is to deliver support to Financial Service Providers </w:t>
      </w:r>
      <w:r w:rsidR="001503B4">
        <w:rPr>
          <w:color w:val="000000"/>
        </w:rPr>
        <w:t xml:space="preserve">(FSPs) </w:t>
      </w:r>
      <w:r w:rsidRPr="00F84101">
        <w:rPr>
          <w:color w:val="000000"/>
        </w:rPr>
        <w:t>and to increase access</w:t>
      </w:r>
      <w:r w:rsidR="00A54F36" w:rsidRPr="00F84101">
        <w:rPr>
          <w:color w:val="000000"/>
        </w:rPr>
        <w:t xml:space="preserve"> to microfinance services by low </w:t>
      </w:r>
      <w:r w:rsidRPr="00F84101">
        <w:rPr>
          <w:color w:val="000000"/>
        </w:rPr>
        <w:t>income population by an additional 7,500 clients</w:t>
      </w:r>
      <w:r w:rsidR="00A54F36" w:rsidRPr="00F84101">
        <w:rPr>
          <w:color w:val="000000"/>
        </w:rPr>
        <w:t>,</w:t>
      </w:r>
      <w:r w:rsidRPr="00F84101">
        <w:rPr>
          <w:color w:val="000000"/>
        </w:rPr>
        <w:t xml:space="preserve"> </w:t>
      </w:r>
      <w:r w:rsidR="00A54F36" w:rsidRPr="00F84101">
        <w:rPr>
          <w:color w:val="000000"/>
        </w:rPr>
        <w:t>of which at least 50% are women, during</w:t>
      </w:r>
      <w:r w:rsidRPr="00F84101">
        <w:rPr>
          <w:color w:val="000000"/>
        </w:rPr>
        <w:t xml:space="preserve"> 2010.</w:t>
      </w:r>
    </w:p>
    <w:p w:rsidR="00DE7117" w:rsidRPr="00F84101" w:rsidRDefault="00DE7117" w:rsidP="00FD2BFE">
      <w:pPr>
        <w:spacing w:before="40"/>
        <w:jc w:val="both"/>
        <w:rPr>
          <w:bCs/>
          <w:lang w:val="en-GB"/>
        </w:rPr>
      </w:pPr>
    </w:p>
    <w:p w:rsidR="00DE6E89" w:rsidRPr="00F84101" w:rsidRDefault="00DE6E89" w:rsidP="00DE6E89">
      <w:pPr>
        <w:pStyle w:val="BodyText"/>
        <w:ind w:left="720"/>
        <w:jc w:val="both"/>
        <w:rPr>
          <w:rFonts w:ascii="Times New Roman" w:hAnsi="Times New Roman" w:cs="Times New Roman"/>
          <w:sz w:val="24"/>
          <w:szCs w:val="24"/>
          <w:lang w:val="en-GB"/>
        </w:rPr>
      </w:pPr>
    </w:p>
    <w:p w:rsidR="00AB0274" w:rsidRDefault="00AB0274" w:rsidP="00DE7117">
      <w:pPr>
        <w:pStyle w:val="Heading1"/>
        <w:numPr>
          <w:ilvl w:val="0"/>
          <w:numId w:val="42"/>
        </w:numPr>
      </w:pPr>
      <w:bookmarkStart w:id="15" w:name="_Toc249364484"/>
      <w:bookmarkStart w:id="16" w:name="_Toc288467976"/>
      <w:bookmarkStart w:id="17" w:name="_Toc288468704"/>
      <w:bookmarkStart w:id="18" w:name="_Toc288486043"/>
      <w:r w:rsidRPr="00DE7117">
        <w:t>Resources</w:t>
      </w:r>
      <w:bookmarkEnd w:id="15"/>
      <w:bookmarkEnd w:id="16"/>
      <w:bookmarkEnd w:id="17"/>
      <w:bookmarkEnd w:id="18"/>
      <w:r w:rsidRPr="00F84101">
        <w:t xml:space="preserve"> </w:t>
      </w:r>
    </w:p>
    <w:p w:rsidR="00E108D3" w:rsidRPr="00E108D3" w:rsidRDefault="00E108D3" w:rsidP="00E108D3">
      <w:pPr>
        <w:rPr>
          <w:lang w:val="x-none" w:eastAsia="x-none"/>
        </w:rPr>
      </w:pPr>
    </w:p>
    <w:p w:rsidR="00AB0274" w:rsidRPr="001E30F0" w:rsidRDefault="00AB0274" w:rsidP="001E1766">
      <w:pPr>
        <w:pStyle w:val="Heading2"/>
        <w:rPr>
          <w:b w:val="0"/>
          <w:sz w:val="24"/>
          <w:u w:val="single"/>
        </w:rPr>
      </w:pPr>
      <w:bookmarkStart w:id="19" w:name="_Toc288468705"/>
      <w:bookmarkStart w:id="20" w:name="_Toc288486044"/>
      <w:r w:rsidRPr="001E30F0">
        <w:rPr>
          <w:b w:val="0"/>
          <w:sz w:val="24"/>
          <w:u w:val="single"/>
        </w:rPr>
        <w:t>Financial Resources:</w:t>
      </w:r>
      <w:bookmarkEnd w:id="19"/>
      <w:bookmarkEnd w:id="20"/>
    </w:p>
    <w:p w:rsidR="001C3825" w:rsidRPr="00F84101" w:rsidRDefault="001C3825" w:rsidP="00FD2BFE">
      <w:pPr>
        <w:pStyle w:val="BodyText"/>
        <w:jc w:val="both"/>
        <w:rPr>
          <w:rFonts w:ascii="Times New Roman" w:hAnsi="Times New Roman" w:cs="Times New Roman"/>
          <w:sz w:val="24"/>
          <w:szCs w:val="24"/>
          <w:lang w:eastAsia="ja-JP"/>
        </w:rPr>
      </w:pPr>
      <w:r w:rsidRPr="00F84101">
        <w:rPr>
          <w:rFonts w:ascii="Times New Roman" w:hAnsi="Times New Roman" w:cs="Times New Roman"/>
          <w:sz w:val="24"/>
          <w:szCs w:val="24"/>
          <w:lang w:eastAsia="ja-JP"/>
        </w:rPr>
        <w:t>INFUSE</w:t>
      </w:r>
      <w:r w:rsidR="00C05D69" w:rsidRPr="00F84101">
        <w:rPr>
          <w:rFonts w:ascii="Times New Roman" w:hAnsi="Times New Roman" w:cs="Times New Roman"/>
          <w:sz w:val="24"/>
          <w:szCs w:val="24"/>
          <w:lang w:eastAsia="ja-JP"/>
        </w:rPr>
        <w:t xml:space="preserve"> was incepted as a </w:t>
      </w:r>
      <w:proofErr w:type="spellStart"/>
      <w:r w:rsidR="00E425B3">
        <w:rPr>
          <w:rFonts w:ascii="Times New Roman" w:hAnsi="Times New Roman" w:cs="Times New Roman"/>
          <w:sz w:val="24"/>
          <w:szCs w:val="24"/>
          <w:lang w:eastAsia="ja-JP"/>
        </w:rPr>
        <w:t>GoTL</w:t>
      </w:r>
      <w:proofErr w:type="spellEnd"/>
      <w:r w:rsidR="00E425B3">
        <w:rPr>
          <w:rFonts w:ascii="Times New Roman" w:hAnsi="Times New Roman" w:cs="Times New Roman"/>
          <w:sz w:val="24"/>
          <w:szCs w:val="24"/>
          <w:lang w:eastAsia="ja-JP"/>
        </w:rPr>
        <w:t>-</w:t>
      </w:r>
      <w:r w:rsidR="00C05D69" w:rsidRPr="00F84101">
        <w:rPr>
          <w:rFonts w:ascii="Times New Roman" w:hAnsi="Times New Roman" w:cs="Times New Roman"/>
          <w:iCs/>
          <w:sz w:val="24"/>
          <w:szCs w:val="24"/>
        </w:rPr>
        <w:t xml:space="preserve">UNCDF-UNDP partnership </w:t>
      </w:r>
      <w:r w:rsidR="00C05D69" w:rsidRPr="00F84101">
        <w:rPr>
          <w:rFonts w:ascii="Times New Roman" w:hAnsi="Times New Roman" w:cs="Times New Roman"/>
          <w:sz w:val="24"/>
          <w:szCs w:val="24"/>
          <w:lang w:eastAsia="ja-JP"/>
        </w:rPr>
        <w:t>with a programmed budget of US$ 5m</w:t>
      </w:r>
      <w:r w:rsidR="00472DAD" w:rsidRPr="00F84101">
        <w:rPr>
          <w:rFonts w:ascii="Times New Roman" w:hAnsi="Times New Roman" w:cs="Times New Roman"/>
          <w:sz w:val="24"/>
          <w:szCs w:val="24"/>
          <w:lang w:eastAsia="ja-JP"/>
        </w:rPr>
        <w:t>n</w:t>
      </w:r>
      <w:r w:rsidR="00C05D69" w:rsidRPr="00F84101">
        <w:rPr>
          <w:rFonts w:ascii="Times New Roman" w:hAnsi="Times New Roman" w:cs="Times New Roman"/>
          <w:sz w:val="24"/>
          <w:szCs w:val="24"/>
          <w:lang w:eastAsia="ja-JP"/>
        </w:rPr>
        <w:t>, including initial funding of US$1,050,000 from UNCDF and $500,000 from UNDP</w:t>
      </w:r>
      <w:r w:rsidRPr="00F84101">
        <w:rPr>
          <w:rFonts w:ascii="Times New Roman" w:hAnsi="Times New Roman" w:cs="Times New Roman"/>
          <w:sz w:val="24"/>
          <w:szCs w:val="24"/>
          <w:lang w:eastAsia="ja-JP"/>
        </w:rPr>
        <w:t xml:space="preserve">. </w:t>
      </w:r>
      <w:r w:rsidR="001503B4">
        <w:rPr>
          <w:rFonts w:ascii="Times New Roman" w:hAnsi="Times New Roman" w:cs="Times New Roman"/>
          <w:sz w:val="24"/>
          <w:szCs w:val="24"/>
          <w:lang w:eastAsia="ja-JP"/>
        </w:rPr>
        <w:t>At</w:t>
      </w:r>
      <w:r w:rsidRPr="00F84101">
        <w:rPr>
          <w:rFonts w:ascii="Times New Roman" w:hAnsi="Times New Roman" w:cs="Times New Roman"/>
          <w:sz w:val="24"/>
          <w:szCs w:val="24"/>
          <w:lang w:eastAsia="ja-JP"/>
        </w:rPr>
        <w:t xml:space="preserve"> the end </w:t>
      </w:r>
      <w:r w:rsidR="00A66881" w:rsidRPr="00F84101">
        <w:rPr>
          <w:rFonts w:ascii="Times New Roman" w:hAnsi="Times New Roman" w:cs="Times New Roman"/>
          <w:sz w:val="24"/>
          <w:szCs w:val="24"/>
          <w:lang w:eastAsia="ja-JP"/>
        </w:rPr>
        <w:t>of December</w:t>
      </w:r>
      <w:r w:rsidRPr="00F84101">
        <w:rPr>
          <w:rFonts w:ascii="Times New Roman" w:hAnsi="Times New Roman" w:cs="Times New Roman"/>
          <w:sz w:val="24"/>
          <w:szCs w:val="24"/>
          <w:lang w:eastAsia="ja-JP"/>
        </w:rPr>
        <w:t xml:space="preserve"> 2010, the </w:t>
      </w:r>
      <w:r w:rsidR="009F6088" w:rsidRPr="00F84101">
        <w:rPr>
          <w:rFonts w:ascii="Times New Roman" w:hAnsi="Times New Roman" w:cs="Times New Roman"/>
          <w:sz w:val="24"/>
          <w:szCs w:val="24"/>
          <w:lang w:eastAsia="ja-JP"/>
        </w:rPr>
        <w:t>program</w:t>
      </w:r>
      <w:r w:rsidRPr="00F84101">
        <w:rPr>
          <w:rFonts w:ascii="Times New Roman" w:hAnsi="Times New Roman" w:cs="Times New Roman"/>
          <w:sz w:val="24"/>
          <w:szCs w:val="24"/>
          <w:lang w:eastAsia="ja-JP"/>
        </w:rPr>
        <w:t xml:space="preserve"> is funded by UNCDF, UNDP, the </w:t>
      </w:r>
      <w:r w:rsidR="00164BD8">
        <w:rPr>
          <w:rFonts w:ascii="Times New Roman" w:hAnsi="Times New Roman" w:cs="Times New Roman"/>
          <w:sz w:val="24"/>
          <w:szCs w:val="24"/>
          <w:lang w:eastAsia="ja-JP"/>
        </w:rPr>
        <w:t>Government of Timor Leste (GoTL) through the budget of the Ministry of Economy and Development (</w:t>
      </w:r>
      <w:r w:rsidRPr="00F84101">
        <w:rPr>
          <w:rFonts w:ascii="Times New Roman" w:hAnsi="Times New Roman" w:cs="Times New Roman"/>
          <w:sz w:val="24"/>
          <w:szCs w:val="24"/>
          <w:lang w:eastAsia="ja-JP"/>
        </w:rPr>
        <w:t>MoED</w:t>
      </w:r>
      <w:r w:rsidR="00164BD8">
        <w:rPr>
          <w:rFonts w:ascii="Times New Roman" w:hAnsi="Times New Roman" w:cs="Times New Roman"/>
          <w:sz w:val="24"/>
          <w:szCs w:val="24"/>
          <w:lang w:eastAsia="ja-JP"/>
        </w:rPr>
        <w:t>)</w:t>
      </w:r>
      <w:r w:rsidRPr="00F84101">
        <w:rPr>
          <w:rFonts w:ascii="Times New Roman" w:hAnsi="Times New Roman" w:cs="Times New Roman"/>
          <w:sz w:val="24"/>
          <w:szCs w:val="24"/>
          <w:lang w:eastAsia="ja-JP"/>
        </w:rPr>
        <w:t xml:space="preserve"> and </w:t>
      </w:r>
      <w:r w:rsidR="00164BD8">
        <w:rPr>
          <w:rFonts w:ascii="Times New Roman" w:hAnsi="Times New Roman" w:cs="Times New Roman"/>
          <w:sz w:val="24"/>
          <w:szCs w:val="24"/>
          <w:lang w:eastAsia="ja-JP"/>
        </w:rPr>
        <w:t>the Australian Agency for International Development (</w:t>
      </w:r>
      <w:r w:rsidRPr="00F84101">
        <w:rPr>
          <w:rFonts w:ascii="Times New Roman" w:hAnsi="Times New Roman" w:cs="Times New Roman"/>
          <w:sz w:val="24"/>
          <w:szCs w:val="24"/>
          <w:lang w:eastAsia="ja-JP"/>
        </w:rPr>
        <w:t>AusAID</w:t>
      </w:r>
      <w:r w:rsidR="00164BD8">
        <w:rPr>
          <w:rFonts w:ascii="Times New Roman" w:hAnsi="Times New Roman" w:cs="Times New Roman"/>
          <w:sz w:val="24"/>
          <w:szCs w:val="24"/>
          <w:lang w:eastAsia="ja-JP"/>
        </w:rPr>
        <w:t>)</w:t>
      </w:r>
      <w:r w:rsidRPr="00F84101">
        <w:rPr>
          <w:rFonts w:ascii="Times New Roman" w:hAnsi="Times New Roman" w:cs="Times New Roman"/>
          <w:sz w:val="24"/>
          <w:szCs w:val="24"/>
          <w:lang w:eastAsia="ja-JP"/>
        </w:rPr>
        <w:t xml:space="preserve">. The MoED contributed </w:t>
      </w:r>
      <w:r w:rsidRPr="00F84101">
        <w:rPr>
          <w:rFonts w:ascii="Times New Roman" w:hAnsi="Times New Roman" w:cs="Times New Roman"/>
          <w:sz w:val="24"/>
          <w:szCs w:val="24"/>
        </w:rPr>
        <w:t>US$</w:t>
      </w:r>
      <w:r w:rsidRPr="00F84101">
        <w:rPr>
          <w:rFonts w:ascii="Times New Roman" w:hAnsi="Times New Roman" w:cs="Times New Roman"/>
          <w:sz w:val="24"/>
          <w:szCs w:val="24"/>
          <w:lang w:eastAsia="ja-JP"/>
        </w:rPr>
        <w:t xml:space="preserve">300,000 in 2009 and US$200,000 in 2010. </w:t>
      </w:r>
      <w:r w:rsidR="003E12FD" w:rsidRPr="00F84101">
        <w:rPr>
          <w:rFonts w:ascii="Times New Roman" w:hAnsi="Times New Roman" w:cs="Times New Roman"/>
          <w:sz w:val="24"/>
          <w:szCs w:val="24"/>
          <w:lang w:eastAsia="ja-JP"/>
        </w:rPr>
        <w:t xml:space="preserve">In December 2009 </w:t>
      </w:r>
      <w:r w:rsidRPr="00F84101">
        <w:rPr>
          <w:rFonts w:ascii="Times New Roman" w:hAnsi="Times New Roman" w:cs="Times New Roman"/>
          <w:sz w:val="24"/>
          <w:szCs w:val="24"/>
          <w:lang w:eastAsia="ja-JP"/>
        </w:rPr>
        <w:t xml:space="preserve">AusAID </w:t>
      </w:r>
      <w:r w:rsidR="003E12FD" w:rsidRPr="00F84101">
        <w:rPr>
          <w:rFonts w:ascii="Times New Roman" w:hAnsi="Times New Roman" w:cs="Times New Roman"/>
          <w:sz w:val="24"/>
          <w:szCs w:val="24"/>
          <w:lang w:eastAsia="ja-JP"/>
        </w:rPr>
        <w:t xml:space="preserve">announced their contribution </w:t>
      </w:r>
      <w:r w:rsidR="00472DAD" w:rsidRPr="00F84101">
        <w:rPr>
          <w:rFonts w:ascii="Times New Roman" w:hAnsi="Times New Roman" w:cs="Times New Roman"/>
          <w:sz w:val="24"/>
          <w:szCs w:val="24"/>
          <w:lang w:eastAsia="ja-JP"/>
        </w:rPr>
        <w:t>of AU$2.5mn</w:t>
      </w:r>
      <w:r w:rsidR="003E12FD" w:rsidRPr="00F84101">
        <w:rPr>
          <w:rFonts w:ascii="Times New Roman" w:hAnsi="Times New Roman" w:cs="Times New Roman"/>
          <w:sz w:val="24"/>
          <w:szCs w:val="24"/>
          <w:lang w:eastAsia="ja-JP"/>
        </w:rPr>
        <w:t xml:space="preserve"> total, and the </w:t>
      </w:r>
      <w:r w:rsidRPr="00F84101">
        <w:rPr>
          <w:rFonts w:ascii="Times New Roman" w:hAnsi="Times New Roman" w:cs="Times New Roman"/>
          <w:sz w:val="24"/>
          <w:szCs w:val="24"/>
          <w:lang w:eastAsia="ja-JP"/>
        </w:rPr>
        <w:t>first tranche of US</w:t>
      </w:r>
      <w:r w:rsidR="00737395" w:rsidRPr="00F84101">
        <w:rPr>
          <w:rFonts w:ascii="Times New Roman" w:hAnsi="Times New Roman" w:cs="Times New Roman"/>
          <w:sz w:val="24"/>
          <w:szCs w:val="24"/>
          <w:lang w:eastAsia="ja-JP"/>
        </w:rPr>
        <w:t>$D</w:t>
      </w:r>
      <w:r w:rsidRPr="00F84101">
        <w:rPr>
          <w:rFonts w:ascii="Times New Roman" w:hAnsi="Times New Roman" w:cs="Times New Roman"/>
          <w:sz w:val="24"/>
          <w:szCs w:val="24"/>
        </w:rPr>
        <w:t>732</w:t>
      </w:r>
      <w:proofErr w:type="gramStart"/>
      <w:r w:rsidRPr="00F84101">
        <w:rPr>
          <w:rFonts w:ascii="Times New Roman" w:hAnsi="Times New Roman" w:cs="Times New Roman"/>
          <w:sz w:val="24"/>
          <w:szCs w:val="24"/>
        </w:rPr>
        <w:t>,934</w:t>
      </w:r>
      <w:proofErr w:type="gramEnd"/>
      <w:r w:rsidRPr="00F84101">
        <w:rPr>
          <w:rFonts w:ascii="Times New Roman" w:hAnsi="Times New Roman" w:cs="Times New Roman"/>
          <w:sz w:val="24"/>
          <w:szCs w:val="24"/>
        </w:rPr>
        <w:t xml:space="preserve"> </w:t>
      </w:r>
      <w:r w:rsidR="003E12FD" w:rsidRPr="00F84101">
        <w:rPr>
          <w:rFonts w:ascii="Times New Roman" w:hAnsi="Times New Roman" w:cs="Times New Roman"/>
          <w:sz w:val="24"/>
          <w:szCs w:val="24"/>
        </w:rPr>
        <w:t xml:space="preserve">was received </w:t>
      </w:r>
      <w:r w:rsidRPr="00F84101">
        <w:rPr>
          <w:rFonts w:ascii="Times New Roman" w:hAnsi="Times New Roman" w:cs="Times New Roman"/>
          <w:sz w:val="24"/>
          <w:szCs w:val="24"/>
        </w:rPr>
        <w:t>in 2010.</w:t>
      </w:r>
      <w:r w:rsidRPr="00F84101">
        <w:rPr>
          <w:rFonts w:ascii="Times New Roman" w:hAnsi="Times New Roman" w:cs="Times New Roman"/>
          <w:sz w:val="24"/>
          <w:szCs w:val="24"/>
          <w:lang w:eastAsia="ja-JP"/>
        </w:rPr>
        <w:t xml:space="preserve"> </w:t>
      </w:r>
      <w:r w:rsidR="003E12FD" w:rsidRPr="00F84101">
        <w:rPr>
          <w:rFonts w:ascii="Times New Roman" w:hAnsi="Times New Roman" w:cs="Times New Roman"/>
          <w:sz w:val="24"/>
          <w:szCs w:val="24"/>
          <w:lang w:eastAsia="ja-JP"/>
        </w:rPr>
        <w:t>Table 1</w:t>
      </w:r>
      <w:r w:rsidRPr="00F84101">
        <w:rPr>
          <w:rFonts w:ascii="Times New Roman" w:hAnsi="Times New Roman" w:cs="Times New Roman"/>
          <w:sz w:val="24"/>
          <w:szCs w:val="24"/>
          <w:lang w:eastAsia="ja-JP"/>
        </w:rPr>
        <w:t xml:space="preserve"> </w:t>
      </w:r>
      <w:r w:rsidR="00717542" w:rsidRPr="00F84101">
        <w:rPr>
          <w:rFonts w:ascii="Times New Roman" w:hAnsi="Times New Roman" w:cs="Times New Roman"/>
          <w:sz w:val="24"/>
          <w:szCs w:val="24"/>
          <w:lang w:eastAsia="ja-JP"/>
        </w:rPr>
        <w:t>displays</w:t>
      </w:r>
      <w:r w:rsidRPr="00F84101">
        <w:rPr>
          <w:rFonts w:ascii="Times New Roman" w:hAnsi="Times New Roman" w:cs="Times New Roman"/>
          <w:sz w:val="24"/>
          <w:szCs w:val="24"/>
          <w:lang w:eastAsia="ja-JP"/>
        </w:rPr>
        <w:t xml:space="preserve"> the yearly budget and financial contribution from donors. </w:t>
      </w:r>
    </w:p>
    <w:p w:rsidR="001C3825" w:rsidRPr="001503B4" w:rsidRDefault="001C3825" w:rsidP="001C3825">
      <w:pPr>
        <w:rPr>
          <w:sz w:val="22"/>
          <w:szCs w:val="22"/>
        </w:rPr>
      </w:pPr>
    </w:p>
    <w:p w:rsidR="00E714E3" w:rsidRPr="001503B4" w:rsidRDefault="00FC1304" w:rsidP="00FC1304">
      <w:pPr>
        <w:rPr>
          <w:sz w:val="22"/>
          <w:szCs w:val="22"/>
        </w:rPr>
      </w:pPr>
      <w:r w:rsidRPr="001503B4">
        <w:rPr>
          <w:sz w:val="22"/>
          <w:szCs w:val="22"/>
        </w:rPr>
        <w:t xml:space="preserve">Table 1: Yearly Financial Contribution by Donor </w:t>
      </w:r>
    </w:p>
    <w:tbl>
      <w:tblPr>
        <w:tblW w:w="9177" w:type="dxa"/>
        <w:tblInd w:w="93" w:type="dxa"/>
        <w:tblLook w:val="0000" w:firstRow="0" w:lastRow="0" w:firstColumn="0" w:lastColumn="0" w:noHBand="0" w:noVBand="0"/>
      </w:tblPr>
      <w:tblGrid>
        <w:gridCol w:w="1995"/>
        <w:gridCol w:w="966"/>
        <w:gridCol w:w="966"/>
        <w:gridCol w:w="1116"/>
        <w:gridCol w:w="1116"/>
        <w:gridCol w:w="1116"/>
        <w:gridCol w:w="1902"/>
      </w:tblGrid>
      <w:tr w:rsidR="00E714E3" w:rsidRPr="00AF4D0C" w:rsidTr="00AF4D0C">
        <w:trPr>
          <w:trHeight w:val="780"/>
        </w:trPr>
        <w:tc>
          <w:tcPr>
            <w:tcW w:w="1995" w:type="dxa"/>
            <w:tcBorders>
              <w:top w:val="single" w:sz="8" w:space="0" w:color="auto"/>
              <w:left w:val="single" w:sz="8" w:space="0" w:color="auto"/>
              <w:bottom w:val="single" w:sz="8" w:space="0" w:color="auto"/>
              <w:right w:val="single" w:sz="8" w:space="0" w:color="auto"/>
            </w:tcBorders>
            <w:shd w:val="clear" w:color="auto" w:fill="auto"/>
            <w:vAlign w:val="bottom"/>
          </w:tcPr>
          <w:p w:rsidR="00E714E3" w:rsidRPr="00AF4D0C" w:rsidRDefault="00E714E3">
            <w:pPr>
              <w:jc w:val="center"/>
              <w:rPr>
                <w:b/>
                <w:bCs/>
                <w:sz w:val="22"/>
                <w:szCs w:val="22"/>
              </w:rPr>
            </w:pPr>
            <w:r w:rsidRPr="00AF4D0C">
              <w:rPr>
                <w:b/>
                <w:bCs/>
                <w:sz w:val="22"/>
                <w:szCs w:val="22"/>
              </w:rPr>
              <w:t>Funding Source</w:t>
            </w:r>
          </w:p>
        </w:tc>
        <w:tc>
          <w:tcPr>
            <w:tcW w:w="966" w:type="dxa"/>
            <w:tcBorders>
              <w:top w:val="single" w:sz="8" w:space="0" w:color="auto"/>
              <w:left w:val="nil"/>
              <w:bottom w:val="single" w:sz="8" w:space="0" w:color="auto"/>
              <w:right w:val="single" w:sz="8" w:space="0" w:color="auto"/>
            </w:tcBorders>
            <w:shd w:val="clear" w:color="auto" w:fill="auto"/>
            <w:vAlign w:val="bottom"/>
          </w:tcPr>
          <w:p w:rsidR="00E714E3" w:rsidRPr="00AF4D0C" w:rsidRDefault="00E714E3" w:rsidP="00E714E3">
            <w:pPr>
              <w:jc w:val="center"/>
              <w:rPr>
                <w:b/>
                <w:bCs/>
                <w:sz w:val="22"/>
                <w:szCs w:val="22"/>
              </w:rPr>
            </w:pPr>
            <w:r w:rsidRPr="00AF4D0C">
              <w:rPr>
                <w:b/>
                <w:bCs/>
                <w:sz w:val="22"/>
                <w:szCs w:val="22"/>
              </w:rPr>
              <w:t>2008</w:t>
            </w:r>
          </w:p>
        </w:tc>
        <w:tc>
          <w:tcPr>
            <w:tcW w:w="966" w:type="dxa"/>
            <w:tcBorders>
              <w:top w:val="single" w:sz="8" w:space="0" w:color="auto"/>
              <w:left w:val="nil"/>
              <w:bottom w:val="single" w:sz="8" w:space="0" w:color="auto"/>
              <w:right w:val="single" w:sz="8" w:space="0" w:color="auto"/>
            </w:tcBorders>
            <w:shd w:val="clear" w:color="auto" w:fill="auto"/>
            <w:vAlign w:val="bottom"/>
          </w:tcPr>
          <w:p w:rsidR="00E714E3" w:rsidRPr="00AF4D0C" w:rsidRDefault="00E714E3" w:rsidP="00E714E3">
            <w:pPr>
              <w:jc w:val="center"/>
              <w:rPr>
                <w:b/>
                <w:bCs/>
                <w:sz w:val="22"/>
                <w:szCs w:val="22"/>
              </w:rPr>
            </w:pPr>
            <w:r w:rsidRPr="00AF4D0C">
              <w:rPr>
                <w:b/>
                <w:bCs/>
                <w:sz w:val="22"/>
                <w:szCs w:val="22"/>
              </w:rPr>
              <w:t>2009</w:t>
            </w:r>
          </w:p>
        </w:tc>
        <w:tc>
          <w:tcPr>
            <w:tcW w:w="1116" w:type="dxa"/>
            <w:tcBorders>
              <w:top w:val="single" w:sz="8" w:space="0" w:color="auto"/>
              <w:left w:val="nil"/>
              <w:bottom w:val="single" w:sz="8" w:space="0" w:color="auto"/>
              <w:right w:val="single" w:sz="8" w:space="0" w:color="auto"/>
            </w:tcBorders>
            <w:shd w:val="clear" w:color="auto" w:fill="auto"/>
            <w:vAlign w:val="bottom"/>
          </w:tcPr>
          <w:p w:rsidR="00E714E3" w:rsidRPr="00AF4D0C" w:rsidRDefault="00E714E3" w:rsidP="00E714E3">
            <w:pPr>
              <w:jc w:val="center"/>
              <w:rPr>
                <w:b/>
                <w:bCs/>
                <w:sz w:val="22"/>
                <w:szCs w:val="22"/>
              </w:rPr>
            </w:pPr>
            <w:r w:rsidRPr="00AF4D0C">
              <w:rPr>
                <w:b/>
                <w:bCs/>
                <w:sz w:val="22"/>
                <w:szCs w:val="22"/>
              </w:rPr>
              <w:t>2010</w:t>
            </w:r>
          </w:p>
        </w:tc>
        <w:tc>
          <w:tcPr>
            <w:tcW w:w="1116" w:type="dxa"/>
            <w:tcBorders>
              <w:top w:val="single" w:sz="8" w:space="0" w:color="auto"/>
              <w:left w:val="nil"/>
              <w:bottom w:val="single" w:sz="8" w:space="0" w:color="auto"/>
              <w:right w:val="single" w:sz="8" w:space="0" w:color="auto"/>
            </w:tcBorders>
            <w:shd w:val="clear" w:color="auto" w:fill="auto"/>
            <w:vAlign w:val="bottom"/>
          </w:tcPr>
          <w:p w:rsidR="00E714E3" w:rsidRPr="00AF4D0C" w:rsidRDefault="00E714E3" w:rsidP="00E714E3">
            <w:pPr>
              <w:jc w:val="center"/>
              <w:rPr>
                <w:b/>
                <w:bCs/>
                <w:sz w:val="22"/>
                <w:szCs w:val="22"/>
              </w:rPr>
            </w:pPr>
            <w:r w:rsidRPr="00AF4D0C">
              <w:rPr>
                <w:b/>
                <w:bCs/>
                <w:sz w:val="22"/>
                <w:szCs w:val="22"/>
              </w:rPr>
              <w:t>2011</w:t>
            </w:r>
          </w:p>
        </w:tc>
        <w:tc>
          <w:tcPr>
            <w:tcW w:w="1116" w:type="dxa"/>
            <w:tcBorders>
              <w:top w:val="single" w:sz="8" w:space="0" w:color="auto"/>
              <w:left w:val="nil"/>
              <w:bottom w:val="single" w:sz="8" w:space="0" w:color="auto"/>
              <w:right w:val="single" w:sz="8" w:space="0" w:color="auto"/>
            </w:tcBorders>
            <w:shd w:val="clear" w:color="auto" w:fill="auto"/>
            <w:vAlign w:val="bottom"/>
          </w:tcPr>
          <w:p w:rsidR="00E714E3" w:rsidRPr="00AF4D0C" w:rsidRDefault="00E714E3" w:rsidP="00E714E3">
            <w:pPr>
              <w:jc w:val="center"/>
              <w:rPr>
                <w:b/>
                <w:bCs/>
                <w:sz w:val="22"/>
                <w:szCs w:val="22"/>
              </w:rPr>
            </w:pPr>
            <w:r w:rsidRPr="00AF4D0C">
              <w:rPr>
                <w:b/>
                <w:bCs/>
                <w:sz w:val="22"/>
                <w:szCs w:val="22"/>
              </w:rPr>
              <w:t>2012</w:t>
            </w:r>
          </w:p>
        </w:tc>
        <w:tc>
          <w:tcPr>
            <w:tcW w:w="1902" w:type="dxa"/>
            <w:tcBorders>
              <w:top w:val="single" w:sz="8" w:space="0" w:color="auto"/>
              <w:left w:val="nil"/>
              <w:bottom w:val="single" w:sz="8" w:space="0" w:color="auto"/>
              <w:right w:val="single" w:sz="8" w:space="0" w:color="auto"/>
            </w:tcBorders>
            <w:shd w:val="clear" w:color="auto" w:fill="auto"/>
            <w:vAlign w:val="bottom"/>
          </w:tcPr>
          <w:p w:rsidR="00E714E3" w:rsidRPr="00AF4D0C" w:rsidRDefault="00E714E3" w:rsidP="00E714E3">
            <w:pPr>
              <w:jc w:val="center"/>
              <w:rPr>
                <w:b/>
                <w:bCs/>
                <w:sz w:val="22"/>
                <w:szCs w:val="22"/>
              </w:rPr>
            </w:pPr>
            <w:r w:rsidRPr="00AF4D0C">
              <w:rPr>
                <w:b/>
                <w:bCs/>
                <w:sz w:val="22"/>
                <w:szCs w:val="22"/>
              </w:rPr>
              <w:t>Total Contribution (USD)</w:t>
            </w:r>
          </w:p>
        </w:tc>
      </w:tr>
      <w:tr w:rsidR="00E714E3" w:rsidRPr="00AF4D0C" w:rsidTr="00AF4D0C">
        <w:trPr>
          <w:trHeight w:val="270"/>
        </w:trPr>
        <w:tc>
          <w:tcPr>
            <w:tcW w:w="1995" w:type="dxa"/>
            <w:tcBorders>
              <w:top w:val="nil"/>
              <w:left w:val="single" w:sz="8" w:space="0" w:color="auto"/>
              <w:bottom w:val="single" w:sz="8" w:space="0" w:color="auto"/>
              <w:right w:val="single" w:sz="8" w:space="0" w:color="auto"/>
            </w:tcBorders>
            <w:shd w:val="clear" w:color="auto" w:fill="auto"/>
            <w:vAlign w:val="bottom"/>
          </w:tcPr>
          <w:p w:rsidR="00E714E3" w:rsidRPr="00AF4D0C" w:rsidRDefault="00E714E3">
            <w:pPr>
              <w:jc w:val="both"/>
              <w:rPr>
                <w:sz w:val="22"/>
                <w:szCs w:val="22"/>
              </w:rPr>
            </w:pPr>
            <w:r w:rsidRPr="00AF4D0C">
              <w:rPr>
                <w:sz w:val="22"/>
                <w:szCs w:val="22"/>
              </w:rPr>
              <w:t>UNCDF</w:t>
            </w:r>
          </w:p>
        </w:tc>
        <w:tc>
          <w:tcPr>
            <w:tcW w:w="96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210,000</w:t>
            </w:r>
          </w:p>
        </w:tc>
        <w:tc>
          <w:tcPr>
            <w:tcW w:w="96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210,000</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210,000</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210,000</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210,000</w:t>
            </w:r>
          </w:p>
        </w:tc>
        <w:tc>
          <w:tcPr>
            <w:tcW w:w="1902"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1,050,000</w:t>
            </w:r>
          </w:p>
        </w:tc>
      </w:tr>
      <w:tr w:rsidR="00E714E3" w:rsidRPr="00AF4D0C" w:rsidTr="00AF4D0C">
        <w:trPr>
          <w:trHeight w:val="270"/>
        </w:trPr>
        <w:tc>
          <w:tcPr>
            <w:tcW w:w="1995" w:type="dxa"/>
            <w:tcBorders>
              <w:top w:val="nil"/>
              <w:left w:val="single" w:sz="8" w:space="0" w:color="auto"/>
              <w:bottom w:val="single" w:sz="8" w:space="0" w:color="auto"/>
              <w:right w:val="single" w:sz="8" w:space="0" w:color="auto"/>
            </w:tcBorders>
            <w:shd w:val="clear" w:color="auto" w:fill="auto"/>
            <w:vAlign w:val="bottom"/>
          </w:tcPr>
          <w:p w:rsidR="00E714E3" w:rsidRPr="00AF4D0C" w:rsidRDefault="00E714E3">
            <w:pPr>
              <w:jc w:val="both"/>
              <w:rPr>
                <w:sz w:val="22"/>
                <w:szCs w:val="22"/>
              </w:rPr>
            </w:pPr>
            <w:r w:rsidRPr="00AF4D0C">
              <w:rPr>
                <w:sz w:val="22"/>
                <w:szCs w:val="22"/>
              </w:rPr>
              <w:t>UNDP</w:t>
            </w:r>
          </w:p>
        </w:tc>
        <w:tc>
          <w:tcPr>
            <w:tcW w:w="96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100,00</w:t>
            </w:r>
          </w:p>
        </w:tc>
        <w:tc>
          <w:tcPr>
            <w:tcW w:w="96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100,000</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100,000</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100,000</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100,000</w:t>
            </w:r>
          </w:p>
        </w:tc>
        <w:tc>
          <w:tcPr>
            <w:tcW w:w="1902"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500,000</w:t>
            </w:r>
          </w:p>
        </w:tc>
      </w:tr>
      <w:tr w:rsidR="00E714E3" w:rsidRPr="00AF4D0C" w:rsidTr="00AF4D0C">
        <w:trPr>
          <w:trHeight w:val="270"/>
        </w:trPr>
        <w:tc>
          <w:tcPr>
            <w:tcW w:w="1995" w:type="dxa"/>
            <w:tcBorders>
              <w:top w:val="nil"/>
              <w:left w:val="single" w:sz="8" w:space="0" w:color="auto"/>
              <w:bottom w:val="single" w:sz="8" w:space="0" w:color="auto"/>
              <w:right w:val="single" w:sz="8" w:space="0" w:color="auto"/>
            </w:tcBorders>
            <w:shd w:val="clear" w:color="auto" w:fill="auto"/>
            <w:vAlign w:val="bottom"/>
          </w:tcPr>
          <w:p w:rsidR="00E714E3" w:rsidRPr="00AF4D0C" w:rsidRDefault="00E714E3">
            <w:pPr>
              <w:jc w:val="both"/>
              <w:rPr>
                <w:sz w:val="22"/>
                <w:szCs w:val="22"/>
              </w:rPr>
            </w:pPr>
            <w:r w:rsidRPr="00AF4D0C">
              <w:rPr>
                <w:sz w:val="22"/>
                <w:szCs w:val="22"/>
              </w:rPr>
              <w:t xml:space="preserve">MoED </w:t>
            </w:r>
          </w:p>
        </w:tc>
        <w:tc>
          <w:tcPr>
            <w:tcW w:w="96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w:t>
            </w:r>
          </w:p>
        </w:tc>
        <w:tc>
          <w:tcPr>
            <w:tcW w:w="96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300,000</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200,000</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200,000</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300,000</w:t>
            </w:r>
          </w:p>
        </w:tc>
        <w:tc>
          <w:tcPr>
            <w:tcW w:w="1902"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1,000,000</w:t>
            </w:r>
          </w:p>
        </w:tc>
      </w:tr>
      <w:tr w:rsidR="00E714E3" w:rsidRPr="00AF4D0C" w:rsidTr="00AF4D0C">
        <w:trPr>
          <w:trHeight w:val="270"/>
        </w:trPr>
        <w:tc>
          <w:tcPr>
            <w:tcW w:w="1995" w:type="dxa"/>
            <w:tcBorders>
              <w:top w:val="nil"/>
              <w:left w:val="single" w:sz="8" w:space="0" w:color="auto"/>
              <w:bottom w:val="single" w:sz="8" w:space="0" w:color="auto"/>
              <w:right w:val="single" w:sz="8" w:space="0" w:color="auto"/>
            </w:tcBorders>
            <w:shd w:val="clear" w:color="auto" w:fill="auto"/>
            <w:vAlign w:val="bottom"/>
          </w:tcPr>
          <w:p w:rsidR="00E714E3" w:rsidRPr="00AF4D0C" w:rsidRDefault="00E714E3">
            <w:pPr>
              <w:jc w:val="both"/>
              <w:rPr>
                <w:sz w:val="22"/>
                <w:szCs w:val="22"/>
              </w:rPr>
            </w:pPr>
            <w:r w:rsidRPr="00AF4D0C">
              <w:rPr>
                <w:sz w:val="22"/>
                <w:szCs w:val="22"/>
              </w:rPr>
              <w:t>AusAID</w:t>
            </w:r>
          </w:p>
        </w:tc>
        <w:tc>
          <w:tcPr>
            <w:tcW w:w="966" w:type="dxa"/>
            <w:tcBorders>
              <w:top w:val="nil"/>
              <w:left w:val="nil"/>
              <w:bottom w:val="single" w:sz="8" w:space="0" w:color="auto"/>
              <w:right w:val="single" w:sz="8" w:space="0" w:color="auto"/>
            </w:tcBorders>
            <w:shd w:val="clear" w:color="auto" w:fill="auto"/>
          </w:tcPr>
          <w:p w:rsidR="00E714E3" w:rsidRPr="00AF4D0C" w:rsidRDefault="00E714E3" w:rsidP="00E714E3">
            <w:pPr>
              <w:jc w:val="center"/>
              <w:rPr>
                <w:sz w:val="22"/>
                <w:szCs w:val="22"/>
              </w:rPr>
            </w:pPr>
            <w:r w:rsidRPr="00AF4D0C">
              <w:rPr>
                <w:sz w:val="22"/>
                <w:szCs w:val="22"/>
              </w:rPr>
              <w:t>-</w:t>
            </w:r>
          </w:p>
        </w:tc>
        <w:tc>
          <w:tcPr>
            <w:tcW w:w="966" w:type="dxa"/>
            <w:tcBorders>
              <w:top w:val="nil"/>
              <w:left w:val="nil"/>
              <w:bottom w:val="single" w:sz="8" w:space="0" w:color="auto"/>
              <w:right w:val="single" w:sz="8" w:space="0" w:color="auto"/>
            </w:tcBorders>
            <w:shd w:val="clear" w:color="auto" w:fill="auto"/>
          </w:tcPr>
          <w:p w:rsidR="00E714E3" w:rsidRPr="00AF4D0C" w:rsidRDefault="00E714E3" w:rsidP="00E714E3">
            <w:pPr>
              <w:jc w:val="center"/>
              <w:rPr>
                <w:sz w:val="22"/>
                <w:szCs w:val="22"/>
              </w:rPr>
            </w:pPr>
            <w:r w:rsidRPr="00AF4D0C">
              <w:rPr>
                <w:sz w:val="22"/>
                <w:szCs w:val="22"/>
              </w:rPr>
              <w:t>-</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732,934</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848,665</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600,000</w:t>
            </w:r>
            <w:r w:rsidR="00A940A5" w:rsidRPr="00AF4D0C">
              <w:rPr>
                <w:sz w:val="22"/>
                <w:szCs w:val="22"/>
              </w:rPr>
              <w:t>*</w:t>
            </w:r>
          </w:p>
        </w:tc>
        <w:tc>
          <w:tcPr>
            <w:tcW w:w="1902"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2,</w:t>
            </w:r>
            <w:r w:rsidR="00B11905">
              <w:rPr>
                <w:sz w:val="22"/>
                <w:szCs w:val="22"/>
              </w:rPr>
              <w:t>259,534</w:t>
            </w:r>
          </w:p>
        </w:tc>
      </w:tr>
      <w:tr w:rsidR="00E714E3" w:rsidRPr="00AF4D0C" w:rsidTr="00AF4D0C">
        <w:trPr>
          <w:trHeight w:val="270"/>
        </w:trPr>
        <w:tc>
          <w:tcPr>
            <w:tcW w:w="1995" w:type="dxa"/>
            <w:tcBorders>
              <w:top w:val="nil"/>
              <w:left w:val="single" w:sz="8" w:space="0" w:color="auto"/>
              <w:bottom w:val="single" w:sz="8" w:space="0" w:color="auto"/>
              <w:right w:val="single" w:sz="8" w:space="0" w:color="auto"/>
            </w:tcBorders>
            <w:shd w:val="clear" w:color="auto" w:fill="auto"/>
            <w:vAlign w:val="bottom"/>
          </w:tcPr>
          <w:p w:rsidR="00E714E3" w:rsidRPr="00AF4D0C" w:rsidRDefault="00E714E3">
            <w:pPr>
              <w:rPr>
                <w:sz w:val="22"/>
                <w:szCs w:val="22"/>
              </w:rPr>
            </w:pPr>
            <w:r w:rsidRPr="00AF4D0C">
              <w:rPr>
                <w:sz w:val="22"/>
                <w:szCs w:val="22"/>
              </w:rPr>
              <w:t>To be mobilized</w:t>
            </w:r>
          </w:p>
        </w:tc>
        <w:tc>
          <w:tcPr>
            <w:tcW w:w="96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w:t>
            </w:r>
          </w:p>
        </w:tc>
        <w:tc>
          <w:tcPr>
            <w:tcW w:w="96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268,401</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p>
        </w:tc>
        <w:tc>
          <w:tcPr>
            <w:tcW w:w="1902"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268,401</w:t>
            </w:r>
          </w:p>
        </w:tc>
      </w:tr>
      <w:tr w:rsidR="00E714E3" w:rsidRPr="00AF4D0C" w:rsidTr="00AF4D0C">
        <w:trPr>
          <w:trHeight w:val="358"/>
        </w:trPr>
        <w:tc>
          <w:tcPr>
            <w:tcW w:w="1995" w:type="dxa"/>
            <w:tcBorders>
              <w:top w:val="nil"/>
              <w:left w:val="single" w:sz="8" w:space="0" w:color="auto"/>
              <w:bottom w:val="single" w:sz="8" w:space="0" w:color="auto"/>
              <w:right w:val="single" w:sz="8" w:space="0" w:color="auto"/>
            </w:tcBorders>
            <w:shd w:val="clear" w:color="auto" w:fill="auto"/>
            <w:vAlign w:val="bottom"/>
          </w:tcPr>
          <w:p w:rsidR="00E714E3" w:rsidRPr="00AF4D0C" w:rsidRDefault="00E714E3">
            <w:pPr>
              <w:jc w:val="both"/>
              <w:rPr>
                <w:sz w:val="22"/>
                <w:szCs w:val="22"/>
              </w:rPr>
            </w:pPr>
            <w:r w:rsidRPr="00AF4D0C">
              <w:rPr>
                <w:sz w:val="22"/>
                <w:szCs w:val="22"/>
              </w:rPr>
              <w:t>TOTAL BUDGET</w:t>
            </w:r>
          </w:p>
        </w:tc>
        <w:tc>
          <w:tcPr>
            <w:tcW w:w="96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310,000</w:t>
            </w:r>
          </w:p>
        </w:tc>
        <w:tc>
          <w:tcPr>
            <w:tcW w:w="96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610,000</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1,242,934</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1,627,066</w:t>
            </w:r>
          </w:p>
        </w:tc>
        <w:tc>
          <w:tcPr>
            <w:tcW w:w="1116"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1,210,000</w:t>
            </w:r>
          </w:p>
        </w:tc>
        <w:tc>
          <w:tcPr>
            <w:tcW w:w="1902" w:type="dxa"/>
            <w:tcBorders>
              <w:top w:val="nil"/>
              <w:left w:val="nil"/>
              <w:bottom w:val="single" w:sz="8" w:space="0" w:color="auto"/>
              <w:right w:val="single" w:sz="8" w:space="0" w:color="auto"/>
            </w:tcBorders>
            <w:shd w:val="clear" w:color="auto" w:fill="auto"/>
            <w:vAlign w:val="bottom"/>
          </w:tcPr>
          <w:p w:rsidR="00E714E3" w:rsidRPr="00AF4D0C" w:rsidRDefault="00E714E3" w:rsidP="00E714E3">
            <w:pPr>
              <w:jc w:val="center"/>
              <w:rPr>
                <w:sz w:val="22"/>
                <w:szCs w:val="22"/>
              </w:rPr>
            </w:pPr>
            <w:r w:rsidRPr="00AF4D0C">
              <w:rPr>
                <w:sz w:val="22"/>
                <w:szCs w:val="22"/>
              </w:rPr>
              <w:t>5,000,000</w:t>
            </w:r>
          </w:p>
        </w:tc>
      </w:tr>
    </w:tbl>
    <w:p w:rsidR="001C3825" w:rsidRPr="00AF4D0C" w:rsidRDefault="001C3825" w:rsidP="00E714E3">
      <w:pPr>
        <w:pStyle w:val="BodyText"/>
        <w:tabs>
          <w:tab w:val="left" w:pos="270"/>
          <w:tab w:val="left" w:pos="450"/>
        </w:tabs>
        <w:rPr>
          <w:rFonts w:ascii="Times New Roman" w:hAnsi="Times New Roman" w:cs="Times New Roman"/>
          <w:bCs/>
          <w:sz w:val="22"/>
          <w:szCs w:val="22"/>
        </w:rPr>
      </w:pPr>
      <w:r w:rsidRPr="00AF4D0C">
        <w:rPr>
          <w:rFonts w:ascii="Times New Roman" w:hAnsi="Times New Roman" w:cs="Times New Roman"/>
          <w:bCs/>
          <w:sz w:val="22"/>
          <w:szCs w:val="22"/>
        </w:rPr>
        <w:t>*</w:t>
      </w:r>
      <w:r w:rsidR="003E12FD" w:rsidRPr="00AF4D0C">
        <w:rPr>
          <w:rFonts w:ascii="Times New Roman" w:hAnsi="Times New Roman" w:cs="Times New Roman"/>
          <w:bCs/>
          <w:sz w:val="22"/>
          <w:szCs w:val="22"/>
        </w:rPr>
        <w:t xml:space="preserve">Estimated USD amount </w:t>
      </w:r>
      <w:r w:rsidR="00164BD8">
        <w:rPr>
          <w:rFonts w:ascii="Times New Roman" w:hAnsi="Times New Roman" w:cs="Times New Roman"/>
          <w:bCs/>
          <w:sz w:val="22"/>
          <w:szCs w:val="22"/>
        </w:rPr>
        <w:t>as per</w:t>
      </w:r>
      <w:r w:rsidR="003E12FD" w:rsidRPr="00AF4D0C">
        <w:rPr>
          <w:rFonts w:ascii="Times New Roman" w:hAnsi="Times New Roman" w:cs="Times New Roman"/>
          <w:bCs/>
          <w:sz w:val="22"/>
          <w:szCs w:val="22"/>
        </w:rPr>
        <w:t xml:space="preserve"> the exchange rate at the time of </w:t>
      </w:r>
      <w:r w:rsidR="00164BD8">
        <w:rPr>
          <w:rFonts w:ascii="Times New Roman" w:hAnsi="Times New Roman" w:cs="Times New Roman"/>
          <w:bCs/>
          <w:sz w:val="22"/>
          <w:szCs w:val="22"/>
        </w:rPr>
        <w:t xml:space="preserve">the </w:t>
      </w:r>
      <w:r w:rsidR="003E12FD" w:rsidRPr="00AF4D0C">
        <w:rPr>
          <w:rFonts w:ascii="Times New Roman" w:hAnsi="Times New Roman" w:cs="Times New Roman"/>
          <w:bCs/>
          <w:sz w:val="22"/>
          <w:szCs w:val="22"/>
        </w:rPr>
        <w:t>announcement of contribution</w:t>
      </w:r>
      <w:r w:rsidRPr="00AF4D0C">
        <w:rPr>
          <w:rFonts w:ascii="Times New Roman" w:hAnsi="Times New Roman" w:cs="Times New Roman"/>
          <w:bCs/>
          <w:sz w:val="22"/>
          <w:szCs w:val="22"/>
        </w:rPr>
        <w:t xml:space="preserve">.  </w:t>
      </w:r>
    </w:p>
    <w:p w:rsidR="008870EA" w:rsidRPr="00C971ED" w:rsidRDefault="008870EA" w:rsidP="008870EA">
      <w:pPr>
        <w:pStyle w:val="BodyText"/>
        <w:rPr>
          <w:rFonts w:ascii="Times New Roman" w:hAnsi="Times New Roman" w:cs="Times New Roman"/>
          <w:b/>
          <w:i/>
          <w:sz w:val="24"/>
          <w:szCs w:val="24"/>
          <w:lang w:eastAsia="ja-JP"/>
        </w:rPr>
      </w:pPr>
    </w:p>
    <w:p w:rsidR="00C971ED" w:rsidRPr="001E30F0" w:rsidRDefault="00C971ED" w:rsidP="00AF4D0C">
      <w:pPr>
        <w:pStyle w:val="BodyText"/>
        <w:jc w:val="both"/>
        <w:rPr>
          <w:rFonts w:ascii="Times New Roman" w:hAnsi="Times New Roman" w:cs="Times New Roman"/>
          <w:sz w:val="24"/>
          <w:szCs w:val="24"/>
          <w:u w:val="single"/>
          <w:lang w:eastAsia="ja-JP"/>
        </w:rPr>
      </w:pPr>
      <w:r w:rsidRPr="001E30F0">
        <w:rPr>
          <w:rFonts w:ascii="Times New Roman" w:hAnsi="Times New Roman" w:cs="Times New Roman"/>
          <w:sz w:val="24"/>
          <w:szCs w:val="24"/>
          <w:u w:val="single"/>
          <w:lang w:eastAsia="ja-JP"/>
        </w:rPr>
        <w:t xml:space="preserve">Budget Revisions </w:t>
      </w:r>
    </w:p>
    <w:p w:rsidR="00C971ED" w:rsidRPr="00C971ED" w:rsidRDefault="00C56517" w:rsidP="00AF4D0C">
      <w:pPr>
        <w:pStyle w:val="BodyText"/>
        <w:jc w:val="both"/>
        <w:rPr>
          <w:rFonts w:ascii="Times New Roman" w:hAnsi="Times New Roman" w:cs="Times New Roman"/>
          <w:sz w:val="24"/>
          <w:szCs w:val="24"/>
          <w:lang w:eastAsia="ja-JP"/>
        </w:rPr>
      </w:pPr>
      <w:r>
        <w:rPr>
          <w:rFonts w:ascii="Times New Roman" w:hAnsi="Times New Roman" w:cs="Times New Roman"/>
          <w:sz w:val="24"/>
          <w:szCs w:val="24"/>
          <w:lang w:eastAsia="ja-JP"/>
        </w:rPr>
        <w:t>Minor b</w:t>
      </w:r>
      <w:r w:rsidR="00C971ED" w:rsidRPr="00C971ED">
        <w:rPr>
          <w:rFonts w:ascii="Times New Roman" w:hAnsi="Times New Roman" w:cs="Times New Roman"/>
          <w:sz w:val="24"/>
          <w:szCs w:val="24"/>
          <w:lang w:eastAsia="ja-JP"/>
        </w:rPr>
        <w:t xml:space="preserve">udget revisions </w:t>
      </w:r>
      <w:r>
        <w:rPr>
          <w:rFonts w:ascii="Times New Roman" w:hAnsi="Times New Roman" w:cs="Times New Roman"/>
          <w:sz w:val="24"/>
          <w:szCs w:val="24"/>
          <w:lang w:eastAsia="ja-JP"/>
        </w:rPr>
        <w:t xml:space="preserve">were raised </w:t>
      </w:r>
      <w:r w:rsidR="00C971ED" w:rsidRPr="00C971ED">
        <w:rPr>
          <w:rFonts w:ascii="Times New Roman" w:hAnsi="Times New Roman" w:cs="Times New Roman"/>
          <w:sz w:val="24"/>
          <w:szCs w:val="24"/>
          <w:lang w:eastAsia="ja-JP"/>
        </w:rPr>
        <w:t xml:space="preserve">in 2010 </w:t>
      </w:r>
      <w:r w:rsidR="00BE458F">
        <w:rPr>
          <w:rFonts w:ascii="Times New Roman" w:hAnsi="Times New Roman" w:cs="Times New Roman"/>
          <w:sz w:val="24"/>
          <w:szCs w:val="24"/>
          <w:lang w:eastAsia="ja-JP"/>
        </w:rPr>
        <w:t>in order to:</w:t>
      </w:r>
      <w:r w:rsidR="00C971ED">
        <w:rPr>
          <w:rFonts w:ascii="Times New Roman" w:hAnsi="Times New Roman" w:cs="Times New Roman"/>
          <w:sz w:val="24"/>
          <w:szCs w:val="24"/>
          <w:lang w:eastAsia="ja-JP"/>
        </w:rPr>
        <w:t xml:space="preserve"> </w:t>
      </w:r>
      <w:r w:rsidR="00C971ED" w:rsidRPr="00C971ED">
        <w:rPr>
          <w:rFonts w:ascii="Times New Roman" w:hAnsi="Times New Roman" w:cs="Times New Roman"/>
          <w:sz w:val="24"/>
          <w:szCs w:val="24"/>
          <w:lang w:eastAsia="ja-JP"/>
        </w:rPr>
        <w:t>record new donor contributions</w:t>
      </w:r>
      <w:r w:rsidR="00C971ED">
        <w:rPr>
          <w:rFonts w:ascii="Times New Roman" w:hAnsi="Times New Roman" w:cs="Times New Roman"/>
          <w:sz w:val="24"/>
          <w:szCs w:val="24"/>
          <w:lang w:eastAsia="ja-JP"/>
        </w:rPr>
        <w:t xml:space="preserve"> (AusAID and </w:t>
      </w:r>
      <w:r w:rsidR="001503B4">
        <w:rPr>
          <w:rFonts w:ascii="Times New Roman" w:hAnsi="Times New Roman" w:cs="Times New Roman"/>
          <w:sz w:val="24"/>
          <w:szCs w:val="24"/>
          <w:lang w:eastAsia="ja-JP"/>
        </w:rPr>
        <w:t>MoED</w:t>
      </w:r>
      <w:r w:rsidR="00C971ED">
        <w:rPr>
          <w:rFonts w:ascii="Times New Roman" w:hAnsi="Times New Roman" w:cs="Times New Roman"/>
          <w:sz w:val="24"/>
          <w:szCs w:val="24"/>
          <w:lang w:eastAsia="ja-JP"/>
        </w:rPr>
        <w:t>)</w:t>
      </w:r>
      <w:r w:rsidR="00A357D8">
        <w:rPr>
          <w:rFonts w:ascii="Times New Roman" w:hAnsi="Times New Roman" w:cs="Times New Roman"/>
          <w:sz w:val="24"/>
          <w:szCs w:val="24"/>
          <w:lang w:eastAsia="ja-JP"/>
        </w:rPr>
        <w:t xml:space="preserve"> and </w:t>
      </w:r>
      <w:r w:rsidR="00BE458F">
        <w:rPr>
          <w:rFonts w:ascii="Times New Roman" w:hAnsi="Times New Roman" w:cs="Times New Roman"/>
          <w:sz w:val="24"/>
          <w:szCs w:val="24"/>
          <w:lang w:eastAsia="ja-JP"/>
        </w:rPr>
        <w:t>make</w:t>
      </w:r>
      <w:r w:rsidR="00A357D8">
        <w:rPr>
          <w:rFonts w:ascii="Times New Roman" w:hAnsi="Times New Roman" w:cs="Times New Roman"/>
          <w:sz w:val="24"/>
          <w:szCs w:val="24"/>
          <w:lang w:eastAsia="ja-JP"/>
        </w:rPr>
        <w:t xml:space="preserve"> relevant</w:t>
      </w:r>
      <w:r w:rsidR="00C971ED" w:rsidRPr="00C971ED">
        <w:rPr>
          <w:rFonts w:ascii="Times New Roman" w:hAnsi="Times New Roman" w:cs="Times New Roman"/>
          <w:sz w:val="24"/>
          <w:szCs w:val="24"/>
          <w:lang w:eastAsia="ja-JP"/>
        </w:rPr>
        <w:t xml:space="preserve"> adjustments </w:t>
      </w:r>
      <w:r w:rsidR="00137504">
        <w:rPr>
          <w:rFonts w:ascii="Times New Roman" w:hAnsi="Times New Roman" w:cs="Times New Roman"/>
          <w:sz w:val="24"/>
          <w:szCs w:val="24"/>
          <w:lang w:eastAsia="ja-JP"/>
        </w:rPr>
        <w:t>to</w:t>
      </w:r>
      <w:r w:rsidR="00C971ED" w:rsidRPr="00C971ED">
        <w:rPr>
          <w:rFonts w:ascii="Times New Roman" w:hAnsi="Times New Roman" w:cs="Times New Roman"/>
          <w:sz w:val="24"/>
          <w:szCs w:val="24"/>
          <w:lang w:eastAsia="ja-JP"/>
        </w:rPr>
        <w:t xml:space="preserve"> activities </w:t>
      </w:r>
      <w:r w:rsidR="00137504">
        <w:rPr>
          <w:rFonts w:ascii="Times New Roman" w:hAnsi="Times New Roman" w:cs="Times New Roman"/>
          <w:sz w:val="24"/>
          <w:szCs w:val="24"/>
          <w:lang w:eastAsia="ja-JP"/>
        </w:rPr>
        <w:t>listed in the</w:t>
      </w:r>
      <w:r w:rsidR="00C971ED" w:rsidRPr="00C971ED">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 xml:space="preserve">INFUSE </w:t>
      </w:r>
      <w:r w:rsidR="00C971ED" w:rsidRPr="00C971ED">
        <w:rPr>
          <w:rFonts w:ascii="Times New Roman" w:hAnsi="Times New Roman" w:cs="Times New Roman"/>
          <w:sz w:val="24"/>
          <w:szCs w:val="24"/>
          <w:lang w:eastAsia="ja-JP"/>
        </w:rPr>
        <w:t>A</w:t>
      </w:r>
      <w:r w:rsidR="00BE458F">
        <w:rPr>
          <w:rFonts w:ascii="Times New Roman" w:hAnsi="Times New Roman" w:cs="Times New Roman"/>
          <w:sz w:val="24"/>
          <w:szCs w:val="24"/>
          <w:lang w:eastAsia="ja-JP"/>
        </w:rPr>
        <w:t>nnual Work Pla</w:t>
      </w:r>
      <w:r w:rsidR="00A357D8">
        <w:rPr>
          <w:rFonts w:ascii="Times New Roman" w:hAnsi="Times New Roman" w:cs="Times New Roman"/>
          <w:sz w:val="24"/>
          <w:szCs w:val="24"/>
          <w:lang w:eastAsia="ja-JP"/>
        </w:rPr>
        <w:t>n</w:t>
      </w:r>
      <w:r w:rsidR="00BE458F">
        <w:rPr>
          <w:rFonts w:ascii="Times New Roman" w:hAnsi="Times New Roman" w:cs="Times New Roman"/>
          <w:sz w:val="24"/>
          <w:szCs w:val="24"/>
          <w:lang w:eastAsia="ja-JP"/>
        </w:rPr>
        <w:t xml:space="preserve"> (A</w:t>
      </w:r>
      <w:r w:rsidR="00C971ED" w:rsidRPr="00C971ED">
        <w:rPr>
          <w:rFonts w:ascii="Times New Roman" w:hAnsi="Times New Roman" w:cs="Times New Roman"/>
          <w:sz w:val="24"/>
          <w:szCs w:val="24"/>
          <w:lang w:eastAsia="ja-JP"/>
        </w:rPr>
        <w:t>WP</w:t>
      </w:r>
      <w:r w:rsidR="00BE458F">
        <w:rPr>
          <w:rFonts w:ascii="Times New Roman" w:hAnsi="Times New Roman" w:cs="Times New Roman"/>
          <w:sz w:val="24"/>
          <w:szCs w:val="24"/>
          <w:lang w:eastAsia="ja-JP"/>
        </w:rPr>
        <w:t>)</w:t>
      </w:r>
      <w:r w:rsidR="00C971ED" w:rsidRPr="00C971ED">
        <w:rPr>
          <w:rFonts w:ascii="Times New Roman" w:hAnsi="Times New Roman" w:cs="Times New Roman"/>
          <w:sz w:val="24"/>
          <w:szCs w:val="24"/>
          <w:lang w:eastAsia="ja-JP"/>
        </w:rPr>
        <w:t xml:space="preserve">. The budget revisions were approved by INFUSE MCIF and are described </w:t>
      </w:r>
      <w:r w:rsidR="00137504">
        <w:rPr>
          <w:rFonts w:ascii="Times New Roman" w:hAnsi="Times New Roman" w:cs="Times New Roman"/>
          <w:sz w:val="24"/>
          <w:szCs w:val="24"/>
          <w:lang w:eastAsia="ja-JP"/>
        </w:rPr>
        <w:t xml:space="preserve">in Annex 2: </w:t>
      </w:r>
      <w:r w:rsidR="00C971ED" w:rsidRPr="00C971ED">
        <w:rPr>
          <w:rFonts w:ascii="Times New Roman" w:hAnsi="Times New Roman" w:cs="Times New Roman"/>
          <w:sz w:val="24"/>
          <w:szCs w:val="24"/>
          <w:lang w:eastAsia="ja-JP"/>
        </w:rPr>
        <w:t xml:space="preserve">Minutes of MCIF meetings held </w:t>
      </w:r>
      <w:r w:rsidR="00C971ED">
        <w:rPr>
          <w:rFonts w:ascii="Times New Roman" w:hAnsi="Times New Roman" w:cs="Times New Roman"/>
          <w:sz w:val="24"/>
          <w:szCs w:val="24"/>
          <w:lang w:eastAsia="ja-JP"/>
        </w:rPr>
        <w:t>o</w:t>
      </w:r>
      <w:r w:rsidR="00C971ED" w:rsidRPr="00C971ED">
        <w:rPr>
          <w:rFonts w:ascii="Times New Roman" w:hAnsi="Times New Roman" w:cs="Times New Roman"/>
          <w:sz w:val="24"/>
          <w:szCs w:val="24"/>
          <w:lang w:eastAsia="ja-JP"/>
        </w:rPr>
        <w:t>n 11 March</w:t>
      </w:r>
      <w:r w:rsidR="00C971ED">
        <w:rPr>
          <w:rFonts w:ascii="Times New Roman" w:hAnsi="Times New Roman" w:cs="Times New Roman"/>
          <w:sz w:val="24"/>
          <w:szCs w:val="24"/>
          <w:lang w:eastAsia="ja-JP"/>
        </w:rPr>
        <w:t xml:space="preserve"> and 9 November, 2010</w:t>
      </w:r>
      <w:r w:rsidR="00137504">
        <w:rPr>
          <w:rFonts w:ascii="Times New Roman" w:hAnsi="Times New Roman" w:cs="Times New Roman"/>
          <w:sz w:val="24"/>
          <w:szCs w:val="24"/>
          <w:lang w:eastAsia="ja-JP"/>
        </w:rPr>
        <w:t>.</w:t>
      </w:r>
    </w:p>
    <w:p w:rsidR="00C971ED" w:rsidRPr="00F84101" w:rsidRDefault="00C971ED" w:rsidP="00AF4D0C">
      <w:pPr>
        <w:pStyle w:val="BodyText"/>
        <w:jc w:val="both"/>
        <w:rPr>
          <w:rFonts w:ascii="Times New Roman" w:hAnsi="Times New Roman" w:cs="Times New Roman"/>
          <w:b/>
          <w:sz w:val="24"/>
          <w:szCs w:val="24"/>
          <w:lang w:eastAsia="ja-JP"/>
        </w:rPr>
      </w:pPr>
    </w:p>
    <w:p w:rsidR="00955546" w:rsidRPr="00A357D8" w:rsidRDefault="00955546" w:rsidP="00AF4D0C">
      <w:pPr>
        <w:pStyle w:val="BodyText"/>
        <w:jc w:val="both"/>
        <w:rPr>
          <w:rFonts w:ascii="Times New Roman" w:hAnsi="Times New Roman" w:cs="Times New Roman"/>
          <w:b/>
          <w:i/>
          <w:color w:val="000000"/>
          <w:sz w:val="24"/>
          <w:szCs w:val="24"/>
        </w:rPr>
      </w:pPr>
      <w:r w:rsidRPr="001E30F0">
        <w:rPr>
          <w:rFonts w:ascii="Times New Roman" w:hAnsi="Times New Roman" w:cs="Times New Roman"/>
          <w:bCs/>
          <w:color w:val="000000"/>
          <w:sz w:val="24"/>
          <w:szCs w:val="24"/>
          <w:u w:val="single"/>
        </w:rPr>
        <w:t>Funding Mobilization</w:t>
      </w:r>
      <w:r w:rsidRPr="00A357D8">
        <w:rPr>
          <w:rFonts w:ascii="Times New Roman" w:hAnsi="Times New Roman" w:cs="Times New Roman"/>
          <w:b/>
          <w:bCs/>
          <w:i/>
          <w:color w:val="000000"/>
          <w:sz w:val="24"/>
          <w:szCs w:val="24"/>
        </w:rPr>
        <w:t xml:space="preserve">: </w:t>
      </w:r>
    </w:p>
    <w:p w:rsidR="00955546" w:rsidRPr="00F84101" w:rsidRDefault="00955546" w:rsidP="00AF4D0C">
      <w:pPr>
        <w:pStyle w:val="Default"/>
        <w:widowControl/>
        <w:numPr>
          <w:ilvl w:val="0"/>
          <w:numId w:val="17"/>
        </w:numPr>
        <w:jc w:val="both"/>
        <w:rPr>
          <w:rFonts w:ascii="Times New Roman" w:hAnsi="Times New Roman" w:cs="Times New Roman"/>
        </w:rPr>
      </w:pPr>
      <w:r w:rsidRPr="00F84101">
        <w:rPr>
          <w:rFonts w:ascii="Times New Roman" w:hAnsi="Times New Roman" w:cs="Times New Roman"/>
        </w:rPr>
        <w:t>Negotiations continue</w:t>
      </w:r>
      <w:r w:rsidR="001503B4">
        <w:rPr>
          <w:rFonts w:ascii="Times New Roman" w:hAnsi="Times New Roman" w:cs="Times New Roman"/>
        </w:rPr>
        <w:t>d</w:t>
      </w:r>
      <w:r w:rsidRPr="00F84101">
        <w:rPr>
          <w:rFonts w:ascii="Times New Roman" w:hAnsi="Times New Roman" w:cs="Times New Roman"/>
        </w:rPr>
        <w:t xml:space="preserve"> with USAID regarding a proposal submitted in October 2009 for a request to complete the remaining funding gap</w:t>
      </w:r>
      <w:r w:rsidR="00AC52B6" w:rsidRPr="00F84101">
        <w:rPr>
          <w:rFonts w:ascii="Times New Roman" w:hAnsi="Times New Roman" w:cs="Times New Roman"/>
        </w:rPr>
        <w:t>.</w:t>
      </w:r>
      <w:r w:rsidRPr="00F84101">
        <w:rPr>
          <w:rFonts w:ascii="Times New Roman" w:hAnsi="Times New Roman" w:cs="Times New Roman"/>
        </w:rPr>
        <w:t xml:space="preserve"> </w:t>
      </w:r>
    </w:p>
    <w:p w:rsidR="00A357D8" w:rsidRPr="00F84101" w:rsidRDefault="00011CBF" w:rsidP="00AF4D0C">
      <w:pPr>
        <w:pStyle w:val="Default"/>
        <w:widowControl/>
        <w:numPr>
          <w:ilvl w:val="0"/>
          <w:numId w:val="17"/>
        </w:numPr>
        <w:jc w:val="both"/>
        <w:rPr>
          <w:rFonts w:ascii="Times New Roman" w:hAnsi="Times New Roman" w:cs="Times New Roman"/>
        </w:rPr>
      </w:pPr>
      <w:r w:rsidRPr="00F84101">
        <w:rPr>
          <w:rFonts w:ascii="Times New Roman" w:hAnsi="Times New Roman" w:cs="Times New Roman"/>
        </w:rPr>
        <w:t xml:space="preserve">Parallel and complimentary funding was facilitated from Monaco Asia Society </w:t>
      </w:r>
      <w:r w:rsidR="00164BD8">
        <w:rPr>
          <w:rFonts w:ascii="Times New Roman" w:hAnsi="Times New Roman" w:cs="Times New Roman"/>
        </w:rPr>
        <w:t xml:space="preserve">(MAS) </w:t>
      </w:r>
      <w:r w:rsidRPr="00F84101">
        <w:rPr>
          <w:rFonts w:ascii="Times New Roman" w:hAnsi="Times New Roman" w:cs="Times New Roman"/>
        </w:rPr>
        <w:t xml:space="preserve">and Monaco International Cooperation to the microfinance sector resulting in provision of </w:t>
      </w:r>
      <w:r w:rsidR="005D7401">
        <w:rPr>
          <w:rFonts w:ascii="Times New Roman" w:hAnsi="Times New Roman" w:cs="Times New Roman"/>
        </w:rPr>
        <w:t xml:space="preserve">a grant ($60,000 over two years) for </w:t>
      </w:r>
      <w:r w:rsidRPr="00F84101">
        <w:rPr>
          <w:rFonts w:ascii="Times New Roman" w:hAnsi="Times New Roman" w:cs="Times New Roman"/>
        </w:rPr>
        <w:t xml:space="preserve">technical assistance from Grameen </w:t>
      </w:r>
      <w:r w:rsidR="005D7401">
        <w:rPr>
          <w:rFonts w:ascii="Times New Roman" w:hAnsi="Times New Roman" w:cs="Times New Roman"/>
        </w:rPr>
        <w:t xml:space="preserve">Foundation and a local communication technology NGO, </w:t>
      </w:r>
      <w:r w:rsidRPr="00F84101">
        <w:rPr>
          <w:rFonts w:ascii="Times New Roman" w:hAnsi="Times New Roman" w:cs="Times New Roman"/>
        </w:rPr>
        <w:t xml:space="preserve">and </w:t>
      </w:r>
      <w:r w:rsidR="005D7401">
        <w:rPr>
          <w:rFonts w:ascii="Times New Roman" w:hAnsi="Times New Roman" w:cs="Times New Roman"/>
        </w:rPr>
        <w:t xml:space="preserve">debt </w:t>
      </w:r>
      <w:r w:rsidRPr="00F84101">
        <w:rPr>
          <w:rFonts w:ascii="Times New Roman" w:hAnsi="Times New Roman" w:cs="Times New Roman"/>
        </w:rPr>
        <w:t xml:space="preserve">financing </w:t>
      </w:r>
      <w:r w:rsidR="005D7401">
        <w:rPr>
          <w:rFonts w:ascii="Times New Roman" w:hAnsi="Times New Roman" w:cs="Times New Roman"/>
        </w:rPr>
        <w:t xml:space="preserve">($500,000 line of credit) </w:t>
      </w:r>
      <w:r w:rsidRPr="00F84101">
        <w:rPr>
          <w:rFonts w:ascii="Times New Roman" w:hAnsi="Times New Roman" w:cs="Times New Roman"/>
        </w:rPr>
        <w:t xml:space="preserve">from Credit Agricole to one MFI. </w:t>
      </w:r>
    </w:p>
    <w:p w:rsidR="00714DBF" w:rsidRPr="00F84101" w:rsidRDefault="00714DBF" w:rsidP="00AF4D0C">
      <w:pPr>
        <w:pStyle w:val="Default"/>
        <w:widowControl/>
        <w:jc w:val="both"/>
        <w:rPr>
          <w:rFonts w:ascii="Times New Roman" w:hAnsi="Times New Roman" w:cs="Times New Roman"/>
        </w:rPr>
      </w:pPr>
    </w:p>
    <w:p w:rsidR="002664D4" w:rsidRPr="001E30F0" w:rsidRDefault="002664D4" w:rsidP="00AF4D0C">
      <w:pPr>
        <w:pStyle w:val="Default"/>
        <w:widowControl/>
        <w:jc w:val="both"/>
        <w:rPr>
          <w:rFonts w:ascii="Times New Roman" w:hAnsi="Times New Roman" w:cs="Times New Roman"/>
          <w:u w:val="single"/>
        </w:rPr>
      </w:pPr>
      <w:r w:rsidRPr="001E30F0">
        <w:rPr>
          <w:rFonts w:ascii="Times New Roman" w:hAnsi="Times New Roman" w:cs="Times New Roman"/>
          <w:u w:val="single"/>
        </w:rPr>
        <w:t xml:space="preserve">Financial </w:t>
      </w:r>
      <w:r w:rsidR="00FD0E41" w:rsidRPr="001E30F0">
        <w:rPr>
          <w:rFonts w:ascii="Times New Roman" w:hAnsi="Times New Roman" w:cs="Times New Roman"/>
          <w:u w:val="single"/>
        </w:rPr>
        <w:t xml:space="preserve">&amp; Procurement </w:t>
      </w:r>
      <w:r w:rsidRPr="001E30F0">
        <w:rPr>
          <w:rFonts w:ascii="Times New Roman" w:hAnsi="Times New Roman" w:cs="Times New Roman"/>
          <w:u w:val="single"/>
        </w:rPr>
        <w:t>Process</w:t>
      </w:r>
      <w:r w:rsidR="00FD0E41" w:rsidRPr="001E30F0">
        <w:rPr>
          <w:rFonts w:ascii="Times New Roman" w:hAnsi="Times New Roman" w:cs="Times New Roman"/>
          <w:u w:val="single"/>
        </w:rPr>
        <w:t>es</w:t>
      </w:r>
    </w:p>
    <w:p w:rsidR="00446826" w:rsidRDefault="00EE3F68" w:rsidP="00AF4D0C">
      <w:pPr>
        <w:pStyle w:val="Default"/>
        <w:widowControl/>
        <w:numPr>
          <w:ilvl w:val="0"/>
          <w:numId w:val="29"/>
        </w:numPr>
        <w:jc w:val="both"/>
        <w:rPr>
          <w:rFonts w:ascii="Times New Roman" w:hAnsi="Times New Roman" w:cs="Times New Roman"/>
        </w:rPr>
      </w:pPr>
      <w:r w:rsidRPr="00F84101">
        <w:rPr>
          <w:rFonts w:ascii="Times New Roman" w:hAnsi="Times New Roman" w:cs="Times New Roman"/>
        </w:rPr>
        <w:t xml:space="preserve">The current turnaround time for administrative and finance/budget processing is lengthy, and processes require persistent follow-up. </w:t>
      </w:r>
    </w:p>
    <w:p w:rsidR="00EE3F68" w:rsidRDefault="00EE3F68" w:rsidP="00AF4D0C">
      <w:pPr>
        <w:pStyle w:val="Default"/>
        <w:widowControl/>
        <w:numPr>
          <w:ilvl w:val="0"/>
          <w:numId w:val="29"/>
        </w:numPr>
        <w:jc w:val="both"/>
        <w:rPr>
          <w:rFonts w:ascii="Times New Roman" w:hAnsi="Times New Roman" w:cs="Times New Roman"/>
        </w:rPr>
      </w:pPr>
      <w:r w:rsidRPr="00F84101">
        <w:rPr>
          <w:rFonts w:ascii="Times New Roman" w:hAnsi="Times New Roman" w:cs="Times New Roman"/>
        </w:rPr>
        <w:t xml:space="preserve">The </w:t>
      </w:r>
      <w:r w:rsidR="0085272C" w:rsidRPr="00F84101">
        <w:rPr>
          <w:rFonts w:ascii="Times New Roman" w:hAnsi="Times New Roman" w:cs="Times New Roman"/>
        </w:rPr>
        <w:t>program</w:t>
      </w:r>
      <w:r w:rsidRPr="00F84101">
        <w:rPr>
          <w:rFonts w:ascii="Times New Roman" w:hAnsi="Times New Roman" w:cs="Times New Roman"/>
        </w:rPr>
        <w:t xml:space="preserve"> experienced de</w:t>
      </w:r>
      <w:r>
        <w:rPr>
          <w:rFonts w:ascii="Times New Roman" w:hAnsi="Times New Roman" w:cs="Times New Roman"/>
        </w:rPr>
        <w:t>lay</w:t>
      </w:r>
      <w:r w:rsidR="005D7401">
        <w:rPr>
          <w:rFonts w:ascii="Times New Roman" w:hAnsi="Times New Roman" w:cs="Times New Roman"/>
        </w:rPr>
        <w:t>s</w:t>
      </w:r>
      <w:r w:rsidRPr="00F84101">
        <w:rPr>
          <w:rFonts w:ascii="Times New Roman" w:hAnsi="Times New Roman" w:cs="Times New Roman"/>
        </w:rPr>
        <w:t xml:space="preserve"> in moving </w:t>
      </w:r>
      <w:r w:rsidR="005D7401">
        <w:rPr>
          <w:rFonts w:ascii="Times New Roman" w:hAnsi="Times New Roman" w:cs="Times New Roman"/>
        </w:rPr>
        <w:t>donor contributions</w:t>
      </w:r>
      <w:r w:rsidR="005D7401" w:rsidRPr="00F84101">
        <w:rPr>
          <w:rFonts w:ascii="Times New Roman" w:hAnsi="Times New Roman" w:cs="Times New Roman"/>
        </w:rPr>
        <w:t xml:space="preserve"> </w:t>
      </w:r>
      <w:r w:rsidR="005D7401">
        <w:rPr>
          <w:rFonts w:ascii="Times New Roman" w:hAnsi="Times New Roman" w:cs="Times New Roman"/>
        </w:rPr>
        <w:t>through</w:t>
      </w:r>
      <w:r w:rsidR="005D7401" w:rsidRPr="00F84101">
        <w:rPr>
          <w:rFonts w:ascii="Times New Roman" w:hAnsi="Times New Roman" w:cs="Times New Roman"/>
        </w:rPr>
        <w:t xml:space="preserve"> </w:t>
      </w:r>
      <w:r w:rsidRPr="00F84101">
        <w:rPr>
          <w:rFonts w:ascii="Times New Roman" w:hAnsi="Times New Roman" w:cs="Times New Roman"/>
        </w:rPr>
        <w:t>the Multi-</w:t>
      </w:r>
      <w:r w:rsidR="005D7401">
        <w:rPr>
          <w:rFonts w:ascii="Times New Roman" w:hAnsi="Times New Roman" w:cs="Times New Roman"/>
        </w:rPr>
        <w:t>D</w:t>
      </w:r>
      <w:r w:rsidR="005D7401" w:rsidRPr="00F84101">
        <w:rPr>
          <w:rFonts w:ascii="Times New Roman" w:hAnsi="Times New Roman" w:cs="Times New Roman"/>
        </w:rPr>
        <w:t xml:space="preserve">onor </w:t>
      </w:r>
      <w:r w:rsidRPr="00F84101">
        <w:rPr>
          <w:rFonts w:ascii="Times New Roman" w:hAnsi="Times New Roman" w:cs="Times New Roman"/>
        </w:rPr>
        <w:t xml:space="preserve">Trust Fund (MDTF) </w:t>
      </w:r>
      <w:r w:rsidR="001503B4">
        <w:rPr>
          <w:rFonts w:ascii="Times New Roman" w:hAnsi="Times New Roman" w:cs="Times New Roman"/>
        </w:rPr>
        <w:t>in</w:t>
      </w:r>
      <w:r w:rsidRPr="00F84101">
        <w:rPr>
          <w:rFonts w:ascii="Times New Roman" w:hAnsi="Times New Roman" w:cs="Times New Roman"/>
        </w:rPr>
        <w:t>to the INFUSE budget</w:t>
      </w:r>
      <w:r w:rsidR="001503B4">
        <w:rPr>
          <w:rFonts w:ascii="Times New Roman" w:hAnsi="Times New Roman" w:cs="Times New Roman"/>
        </w:rPr>
        <w:t xml:space="preserve"> for available disbursement</w:t>
      </w:r>
      <w:r w:rsidRPr="00F84101">
        <w:rPr>
          <w:rFonts w:ascii="Times New Roman" w:hAnsi="Times New Roman" w:cs="Times New Roman"/>
        </w:rPr>
        <w:t>.</w:t>
      </w:r>
      <w:r w:rsidRPr="00EE3F68">
        <w:rPr>
          <w:rFonts w:ascii="Times New Roman" w:hAnsi="Times New Roman" w:cs="Times New Roman"/>
        </w:rPr>
        <w:t xml:space="preserve"> </w:t>
      </w:r>
    </w:p>
    <w:p w:rsidR="00FD0E41" w:rsidRDefault="00FD0E41" w:rsidP="00AF4D0C">
      <w:pPr>
        <w:pStyle w:val="Default"/>
        <w:widowControl/>
        <w:numPr>
          <w:ilvl w:val="0"/>
          <w:numId w:val="29"/>
        </w:numPr>
        <w:jc w:val="both"/>
        <w:rPr>
          <w:rFonts w:ascii="Times New Roman" w:hAnsi="Times New Roman" w:cs="Times New Roman"/>
        </w:rPr>
      </w:pPr>
      <w:r>
        <w:rPr>
          <w:rFonts w:ascii="Times New Roman" w:hAnsi="Times New Roman" w:cs="Times New Roman"/>
        </w:rPr>
        <w:t xml:space="preserve">Disbursement to grant/loan recipients experienced </w:t>
      </w:r>
      <w:r w:rsidR="001503B4">
        <w:rPr>
          <w:rFonts w:ascii="Times New Roman" w:hAnsi="Times New Roman" w:cs="Times New Roman"/>
        </w:rPr>
        <w:t xml:space="preserve">frequent </w:t>
      </w:r>
      <w:r>
        <w:rPr>
          <w:rFonts w:ascii="Times New Roman" w:hAnsi="Times New Roman" w:cs="Times New Roman"/>
        </w:rPr>
        <w:t xml:space="preserve">delays due to bottlenecks in accessing the budget and errors in the financial management systems.  </w:t>
      </w:r>
    </w:p>
    <w:p w:rsidR="00FD0E41" w:rsidRDefault="00FD0E41" w:rsidP="00AF4D0C">
      <w:pPr>
        <w:pStyle w:val="Default"/>
        <w:widowControl/>
        <w:numPr>
          <w:ilvl w:val="0"/>
          <w:numId w:val="29"/>
        </w:numPr>
        <w:jc w:val="both"/>
        <w:rPr>
          <w:rFonts w:ascii="Times New Roman" w:hAnsi="Times New Roman" w:cs="Times New Roman"/>
        </w:rPr>
      </w:pPr>
      <w:r>
        <w:rPr>
          <w:rFonts w:ascii="Times New Roman" w:hAnsi="Times New Roman" w:cs="Times New Roman"/>
        </w:rPr>
        <w:lastRenderedPageBreak/>
        <w:t>Procurement of consultant services experience</w:t>
      </w:r>
      <w:r w:rsidR="001503B4">
        <w:rPr>
          <w:rFonts w:ascii="Times New Roman" w:hAnsi="Times New Roman" w:cs="Times New Roman"/>
        </w:rPr>
        <w:t>d</w:t>
      </w:r>
      <w:r>
        <w:rPr>
          <w:rFonts w:ascii="Times New Roman" w:hAnsi="Times New Roman" w:cs="Times New Roman"/>
        </w:rPr>
        <w:t xml:space="preserve"> delays and bottlenecks due to </w:t>
      </w:r>
      <w:r w:rsidR="001503B4">
        <w:rPr>
          <w:rFonts w:ascii="Times New Roman" w:hAnsi="Times New Roman" w:cs="Times New Roman"/>
        </w:rPr>
        <w:t>ambiguous</w:t>
      </w:r>
      <w:r>
        <w:rPr>
          <w:rFonts w:ascii="Times New Roman" w:hAnsi="Times New Roman" w:cs="Times New Roman"/>
        </w:rPr>
        <w:t xml:space="preserve"> </w:t>
      </w:r>
      <w:r w:rsidR="009361C0">
        <w:rPr>
          <w:rFonts w:ascii="Times New Roman" w:hAnsi="Times New Roman" w:cs="Times New Roman"/>
        </w:rPr>
        <w:t>policies</w:t>
      </w:r>
      <w:r>
        <w:rPr>
          <w:rFonts w:ascii="Times New Roman" w:hAnsi="Times New Roman" w:cs="Times New Roman"/>
        </w:rPr>
        <w:t xml:space="preserve"> and procedure</w:t>
      </w:r>
      <w:r w:rsidR="009361C0">
        <w:rPr>
          <w:rFonts w:ascii="Times New Roman" w:hAnsi="Times New Roman" w:cs="Times New Roman"/>
        </w:rPr>
        <w:t>s</w:t>
      </w:r>
      <w:r>
        <w:rPr>
          <w:rFonts w:ascii="Times New Roman" w:hAnsi="Times New Roman" w:cs="Times New Roman"/>
        </w:rPr>
        <w:t xml:space="preserve">.  Guidance in </w:t>
      </w:r>
      <w:r w:rsidR="00EF5D14">
        <w:rPr>
          <w:rFonts w:ascii="Times New Roman" w:hAnsi="Times New Roman" w:cs="Times New Roman"/>
        </w:rPr>
        <w:t>UNDP Programme and Operations Policy and Procedure (P</w:t>
      </w:r>
      <w:r w:rsidR="009E581F">
        <w:rPr>
          <w:rFonts w:ascii="Times New Roman" w:hAnsi="Times New Roman" w:cs="Times New Roman"/>
        </w:rPr>
        <w:t>O</w:t>
      </w:r>
      <w:r w:rsidR="00EF5D14">
        <w:rPr>
          <w:rFonts w:ascii="Times New Roman" w:hAnsi="Times New Roman" w:cs="Times New Roman"/>
        </w:rPr>
        <w:t xml:space="preserve">PP) </w:t>
      </w:r>
      <w:r>
        <w:rPr>
          <w:rFonts w:ascii="Times New Roman" w:hAnsi="Times New Roman" w:cs="Times New Roman"/>
        </w:rPr>
        <w:t xml:space="preserve">can be </w:t>
      </w:r>
      <w:r w:rsidR="001503B4">
        <w:rPr>
          <w:rFonts w:ascii="Times New Roman" w:hAnsi="Times New Roman" w:cs="Times New Roman"/>
        </w:rPr>
        <w:t>unclear</w:t>
      </w:r>
      <w:r>
        <w:rPr>
          <w:rFonts w:ascii="Times New Roman" w:hAnsi="Times New Roman" w:cs="Times New Roman"/>
        </w:rPr>
        <w:t>, and without specific w</w:t>
      </w:r>
      <w:r w:rsidR="001503B4">
        <w:rPr>
          <w:rFonts w:ascii="Times New Roman" w:hAnsi="Times New Roman" w:cs="Times New Roman"/>
        </w:rPr>
        <w:t>ritten circulars or instructions</w:t>
      </w:r>
      <w:r>
        <w:rPr>
          <w:rFonts w:ascii="Times New Roman" w:hAnsi="Times New Roman" w:cs="Times New Roman"/>
        </w:rPr>
        <w:t>, implementation of policy and procedures can be open to interpretation and</w:t>
      </w:r>
      <w:r w:rsidR="001503B4">
        <w:rPr>
          <w:rFonts w:ascii="Times New Roman" w:hAnsi="Times New Roman" w:cs="Times New Roman"/>
        </w:rPr>
        <w:t>/or</w:t>
      </w:r>
      <w:r>
        <w:rPr>
          <w:rFonts w:ascii="Times New Roman" w:hAnsi="Times New Roman" w:cs="Times New Roman"/>
        </w:rPr>
        <w:t xml:space="preserve"> difficult to navigate.  </w:t>
      </w:r>
    </w:p>
    <w:p w:rsidR="00EE3F68" w:rsidRDefault="00EE3F68" w:rsidP="00AF4D0C">
      <w:pPr>
        <w:pStyle w:val="Default"/>
        <w:widowControl/>
        <w:numPr>
          <w:ilvl w:val="0"/>
          <w:numId w:val="29"/>
        </w:numPr>
        <w:jc w:val="both"/>
        <w:rPr>
          <w:rFonts w:ascii="Times New Roman" w:hAnsi="Times New Roman" w:cs="Times New Roman"/>
        </w:rPr>
      </w:pPr>
      <w:r w:rsidRPr="00F84101">
        <w:rPr>
          <w:rFonts w:ascii="Times New Roman" w:hAnsi="Times New Roman" w:cs="Times New Roman"/>
        </w:rPr>
        <w:t xml:space="preserve">Internal budgetary policies and procedures would benefit from clarification and streamlining so that donor fund contributions are processed efficiently and fund disbursements for </w:t>
      </w:r>
      <w:r w:rsidR="0085272C" w:rsidRPr="00F84101">
        <w:rPr>
          <w:rFonts w:ascii="Times New Roman" w:hAnsi="Times New Roman" w:cs="Times New Roman"/>
        </w:rPr>
        <w:t>program</w:t>
      </w:r>
      <w:r w:rsidRPr="00F84101">
        <w:rPr>
          <w:rFonts w:ascii="Times New Roman" w:hAnsi="Times New Roman" w:cs="Times New Roman"/>
        </w:rPr>
        <w:t xml:space="preserve"> activities are better facilitated in a timely manner. </w:t>
      </w:r>
      <w:r w:rsidR="00D765A3">
        <w:rPr>
          <w:rFonts w:ascii="Times New Roman" w:hAnsi="Times New Roman" w:cs="Times New Roman"/>
        </w:rPr>
        <w:t xml:space="preserve"> This would reduce delays in disbursements to partners and subsequently their ability to </w:t>
      </w:r>
      <w:r w:rsidR="009361C0">
        <w:rPr>
          <w:rFonts w:ascii="Times New Roman" w:hAnsi="Times New Roman" w:cs="Times New Roman"/>
        </w:rPr>
        <w:t>achieve</w:t>
      </w:r>
      <w:r w:rsidR="00D765A3">
        <w:rPr>
          <w:rFonts w:ascii="Times New Roman" w:hAnsi="Times New Roman" w:cs="Times New Roman"/>
        </w:rPr>
        <w:t xml:space="preserve"> their targets.</w:t>
      </w:r>
    </w:p>
    <w:p w:rsidR="00D765A3" w:rsidRPr="00F84101" w:rsidRDefault="00D765A3" w:rsidP="00AF4D0C">
      <w:pPr>
        <w:pStyle w:val="Default"/>
        <w:widowControl/>
        <w:numPr>
          <w:ilvl w:val="0"/>
          <w:numId w:val="29"/>
        </w:numPr>
        <w:jc w:val="both"/>
        <w:rPr>
          <w:rFonts w:ascii="Times New Roman" w:hAnsi="Times New Roman" w:cs="Times New Roman"/>
        </w:rPr>
      </w:pPr>
      <w:r>
        <w:rPr>
          <w:rFonts w:ascii="Times New Roman" w:hAnsi="Times New Roman" w:cs="Times New Roman"/>
        </w:rPr>
        <w:t xml:space="preserve">Procurement procedures would benefit from clearly written instructions and circulars, and flow charts and check lists. </w:t>
      </w:r>
    </w:p>
    <w:p w:rsidR="00A54F36" w:rsidRPr="00F84101" w:rsidRDefault="00A54F36" w:rsidP="00AF4D0C">
      <w:pPr>
        <w:pStyle w:val="BodyText"/>
        <w:jc w:val="both"/>
        <w:rPr>
          <w:rFonts w:ascii="Times New Roman" w:hAnsi="Times New Roman" w:cs="Times New Roman"/>
          <w:sz w:val="24"/>
          <w:szCs w:val="24"/>
          <w:highlight w:val="yellow"/>
        </w:rPr>
      </w:pPr>
    </w:p>
    <w:p w:rsidR="00AB0274" w:rsidRPr="001E30F0" w:rsidRDefault="00AB0274" w:rsidP="00AF4D0C">
      <w:pPr>
        <w:pStyle w:val="Heading2"/>
        <w:jc w:val="both"/>
        <w:rPr>
          <w:b w:val="0"/>
          <w:bCs w:val="0"/>
          <w:iCs/>
          <w:sz w:val="24"/>
          <w:u w:val="single"/>
        </w:rPr>
      </w:pPr>
      <w:bookmarkStart w:id="21" w:name="_Toc288468706"/>
      <w:bookmarkStart w:id="22" w:name="_Toc288486045"/>
      <w:r w:rsidRPr="001E30F0">
        <w:rPr>
          <w:b w:val="0"/>
          <w:bCs w:val="0"/>
          <w:iCs/>
          <w:sz w:val="24"/>
          <w:u w:val="single"/>
        </w:rPr>
        <w:t>Human Resources:</w:t>
      </w:r>
      <w:bookmarkEnd w:id="21"/>
      <w:bookmarkEnd w:id="22"/>
    </w:p>
    <w:p w:rsidR="005D7401" w:rsidRDefault="002A1459" w:rsidP="00AF4D0C">
      <w:pPr>
        <w:pStyle w:val="BodyText"/>
        <w:jc w:val="both"/>
        <w:rPr>
          <w:rFonts w:ascii="Times New Roman" w:hAnsi="Times New Roman" w:cs="Times New Roman"/>
          <w:sz w:val="24"/>
          <w:szCs w:val="24"/>
        </w:rPr>
      </w:pPr>
      <w:r w:rsidRPr="004E0969">
        <w:rPr>
          <w:rFonts w:ascii="Times New Roman" w:hAnsi="Times New Roman" w:cs="Times New Roman"/>
          <w:sz w:val="24"/>
          <w:szCs w:val="24"/>
        </w:rPr>
        <w:t>During 2010, t</w:t>
      </w:r>
      <w:r w:rsidR="004E45BF" w:rsidRPr="004E0969">
        <w:rPr>
          <w:rFonts w:ascii="Times New Roman" w:hAnsi="Times New Roman" w:cs="Times New Roman"/>
          <w:sz w:val="24"/>
          <w:szCs w:val="24"/>
        </w:rPr>
        <w:t xml:space="preserve">he INFUSE </w:t>
      </w:r>
      <w:r w:rsidR="0085272C" w:rsidRPr="004E0969">
        <w:rPr>
          <w:rFonts w:ascii="Times New Roman" w:hAnsi="Times New Roman" w:cs="Times New Roman"/>
          <w:sz w:val="24"/>
          <w:szCs w:val="24"/>
        </w:rPr>
        <w:t>program</w:t>
      </w:r>
      <w:r w:rsidRPr="004E0969">
        <w:rPr>
          <w:rFonts w:ascii="Times New Roman" w:hAnsi="Times New Roman" w:cs="Times New Roman"/>
          <w:sz w:val="24"/>
          <w:szCs w:val="24"/>
        </w:rPr>
        <w:t xml:space="preserve"> implementation unit (PIU) comprised the following staff</w:t>
      </w:r>
      <w:r w:rsidR="004E45BF" w:rsidRPr="004E0969">
        <w:rPr>
          <w:rFonts w:ascii="Times New Roman" w:hAnsi="Times New Roman" w:cs="Times New Roman"/>
          <w:sz w:val="24"/>
          <w:szCs w:val="24"/>
        </w:rPr>
        <w:t>:</w:t>
      </w:r>
      <w:r w:rsidR="004E0969" w:rsidRPr="004E0969">
        <w:rPr>
          <w:rFonts w:ascii="Times New Roman" w:hAnsi="Times New Roman" w:cs="Times New Roman"/>
          <w:sz w:val="24"/>
          <w:szCs w:val="24"/>
        </w:rPr>
        <w:t xml:space="preserve"> </w:t>
      </w:r>
    </w:p>
    <w:p w:rsidR="005D7401" w:rsidRPr="00713BDF" w:rsidRDefault="00713BDF" w:rsidP="00D8365F">
      <w:pPr>
        <w:pStyle w:val="Default"/>
        <w:widowControl/>
        <w:numPr>
          <w:ilvl w:val="0"/>
          <w:numId w:val="29"/>
        </w:numPr>
        <w:jc w:val="both"/>
        <w:rPr>
          <w:rFonts w:ascii="Times New Roman" w:hAnsi="Times New Roman" w:cs="Times New Roman"/>
        </w:rPr>
      </w:pPr>
      <w:r w:rsidRPr="00713BDF">
        <w:rPr>
          <w:rFonts w:ascii="Times New Roman" w:hAnsi="Times New Roman" w:cs="Times New Roman"/>
        </w:rPr>
        <w:t xml:space="preserve">International </w:t>
      </w:r>
      <w:r w:rsidR="004E45BF" w:rsidRPr="00713BDF">
        <w:rPr>
          <w:rFonts w:ascii="Times New Roman" w:hAnsi="Times New Roman" w:cs="Times New Roman"/>
        </w:rPr>
        <w:t>Chief Technical Advisor</w:t>
      </w:r>
      <w:r w:rsidR="004E0969" w:rsidRPr="00713BDF">
        <w:rPr>
          <w:rFonts w:ascii="Times New Roman" w:hAnsi="Times New Roman" w:cs="Times New Roman"/>
        </w:rPr>
        <w:t xml:space="preserve">; </w:t>
      </w:r>
      <w:r w:rsidR="005D7401" w:rsidRPr="00713BDF">
        <w:rPr>
          <w:rFonts w:ascii="Times New Roman" w:hAnsi="Times New Roman" w:cs="Times New Roman"/>
        </w:rPr>
        <w:t xml:space="preserve">since September 2008 who’s contract expired 31 December 2010.  The position </w:t>
      </w:r>
      <w:r w:rsidR="009E581F">
        <w:rPr>
          <w:rFonts w:ascii="Times New Roman" w:hAnsi="Times New Roman" w:cs="Times New Roman"/>
        </w:rPr>
        <w:t>was</w:t>
      </w:r>
      <w:r w:rsidR="005D7401" w:rsidRPr="00713BDF">
        <w:rPr>
          <w:rFonts w:ascii="Times New Roman" w:hAnsi="Times New Roman" w:cs="Times New Roman"/>
        </w:rPr>
        <w:t xml:space="preserve"> converted from ALD to a Fixed Term Contract starting in 2011.</w:t>
      </w:r>
    </w:p>
    <w:p w:rsidR="005D7401" w:rsidRPr="00713BDF" w:rsidRDefault="00713BDF" w:rsidP="00D8365F">
      <w:pPr>
        <w:pStyle w:val="Default"/>
        <w:widowControl/>
        <w:numPr>
          <w:ilvl w:val="0"/>
          <w:numId w:val="29"/>
        </w:numPr>
        <w:jc w:val="both"/>
        <w:rPr>
          <w:rFonts w:ascii="Times New Roman" w:hAnsi="Times New Roman" w:cs="Times New Roman"/>
        </w:rPr>
      </w:pPr>
      <w:r w:rsidRPr="00713BDF">
        <w:rPr>
          <w:rFonts w:ascii="Times New Roman" w:hAnsi="Times New Roman" w:cs="Times New Roman"/>
        </w:rPr>
        <w:t xml:space="preserve">International </w:t>
      </w:r>
      <w:r w:rsidR="004E0969" w:rsidRPr="00713BDF">
        <w:rPr>
          <w:rFonts w:ascii="Times New Roman" w:hAnsi="Times New Roman" w:cs="Times New Roman"/>
        </w:rPr>
        <w:t xml:space="preserve">Programme Officer; </w:t>
      </w:r>
      <w:r w:rsidRPr="00713BDF">
        <w:rPr>
          <w:rFonts w:ascii="Times New Roman" w:hAnsi="Times New Roman" w:cs="Times New Roman"/>
        </w:rPr>
        <w:t xml:space="preserve">converted from Australian Youth Ambassador Volunteer to Locally Identified U.N. Volunteer in 2010 for a second year.  </w:t>
      </w:r>
    </w:p>
    <w:p w:rsidR="00713BDF" w:rsidRPr="00713BDF" w:rsidRDefault="004E45BF" w:rsidP="00D8365F">
      <w:pPr>
        <w:pStyle w:val="Default"/>
        <w:widowControl/>
        <w:numPr>
          <w:ilvl w:val="0"/>
          <w:numId w:val="29"/>
        </w:numPr>
        <w:jc w:val="both"/>
        <w:rPr>
          <w:rFonts w:ascii="Times New Roman" w:hAnsi="Times New Roman" w:cs="Times New Roman"/>
        </w:rPr>
      </w:pPr>
      <w:r w:rsidRPr="00713BDF">
        <w:rPr>
          <w:rFonts w:ascii="Times New Roman" w:hAnsi="Times New Roman" w:cs="Times New Roman"/>
        </w:rPr>
        <w:t>National Programme Officer</w:t>
      </w:r>
      <w:r w:rsidR="004E0969" w:rsidRPr="00713BDF">
        <w:rPr>
          <w:rFonts w:ascii="Times New Roman" w:hAnsi="Times New Roman" w:cs="Times New Roman"/>
        </w:rPr>
        <w:t xml:space="preserve">; </w:t>
      </w:r>
      <w:r w:rsidR="00713BDF" w:rsidRPr="00713BDF">
        <w:rPr>
          <w:rFonts w:ascii="Times New Roman" w:hAnsi="Times New Roman" w:cs="Times New Roman"/>
        </w:rPr>
        <w:t>position was filled in July after nine months and three rounds of recruitment due to</w:t>
      </w:r>
      <w:r w:rsidR="00D8365F">
        <w:rPr>
          <w:rFonts w:ascii="Times New Roman" w:hAnsi="Times New Roman" w:cs="Times New Roman"/>
        </w:rPr>
        <w:t xml:space="preserve"> the</w:t>
      </w:r>
      <w:r w:rsidR="00713BDF" w:rsidRPr="00713BDF">
        <w:rPr>
          <w:rFonts w:ascii="Times New Roman" w:hAnsi="Times New Roman" w:cs="Times New Roman"/>
        </w:rPr>
        <w:t xml:space="preserve"> lack of minimally qualified applicants.  </w:t>
      </w:r>
    </w:p>
    <w:p w:rsidR="00713BDF" w:rsidRPr="00713BDF" w:rsidRDefault="004E45BF" w:rsidP="00D8365F">
      <w:pPr>
        <w:pStyle w:val="Default"/>
        <w:widowControl/>
        <w:numPr>
          <w:ilvl w:val="0"/>
          <w:numId w:val="29"/>
        </w:numPr>
        <w:jc w:val="both"/>
        <w:rPr>
          <w:rFonts w:ascii="Times New Roman" w:hAnsi="Times New Roman" w:cs="Times New Roman"/>
        </w:rPr>
      </w:pPr>
      <w:r w:rsidRPr="00713BDF">
        <w:rPr>
          <w:rFonts w:ascii="Times New Roman" w:hAnsi="Times New Roman" w:cs="Times New Roman"/>
        </w:rPr>
        <w:t>National</w:t>
      </w:r>
      <w:r w:rsidR="004E0969" w:rsidRPr="00713BDF">
        <w:rPr>
          <w:rFonts w:ascii="Times New Roman" w:hAnsi="Times New Roman" w:cs="Times New Roman"/>
        </w:rPr>
        <w:t xml:space="preserve"> Administration/Finance Officer; </w:t>
      </w:r>
      <w:r w:rsidR="00713BDF" w:rsidRPr="00713BDF">
        <w:rPr>
          <w:rFonts w:ascii="Times New Roman" w:hAnsi="Times New Roman" w:cs="Times New Roman"/>
        </w:rPr>
        <w:t>since September 2008</w:t>
      </w:r>
    </w:p>
    <w:p w:rsidR="00713BDF" w:rsidRPr="00713BDF" w:rsidRDefault="00713BDF" w:rsidP="00D8365F">
      <w:pPr>
        <w:pStyle w:val="Default"/>
        <w:widowControl/>
        <w:numPr>
          <w:ilvl w:val="0"/>
          <w:numId w:val="29"/>
        </w:numPr>
        <w:jc w:val="both"/>
        <w:rPr>
          <w:rFonts w:ascii="Times New Roman" w:hAnsi="Times New Roman" w:cs="Times New Roman"/>
        </w:rPr>
      </w:pPr>
      <w:r w:rsidRPr="00713BDF">
        <w:rPr>
          <w:rFonts w:ascii="Times New Roman" w:hAnsi="Times New Roman" w:cs="Times New Roman"/>
        </w:rPr>
        <w:t>National Driver/Clerk; since September 20008</w:t>
      </w:r>
    </w:p>
    <w:p w:rsidR="002A1459" w:rsidRDefault="00713BDF" w:rsidP="00D8365F">
      <w:pPr>
        <w:pStyle w:val="Default"/>
        <w:widowControl/>
        <w:numPr>
          <w:ilvl w:val="0"/>
          <w:numId w:val="29"/>
        </w:numPr>
        <w:jc w:val="both"/>
        <w:rPr>
          <w:rFonts w:ascii="Times New Roman" w:hAnsi="Times New Roman" w:cs="Times New Roman"/>
        </w:rPr>
      </w:pPr>
      <w:r w:rsidRPr="00713BDF">
        <w:rPr>
          <w:rFonts w:ascii="Times New Roman" w:hAnsi="Times New Roman" w:cs="Times New Roman"/>
        </w:rPr>
        <w:t xml:space="preserve">Two International Interns:  </w:t>
      </w:r>
      <w:r>
        <w:rPr>
          <w:rFonts w:ascii="Times New Roman" w:hAnsi="Times New Roman" w:cs="Times New Roman"/>
        </w:rPr>
        <w:t>one and three-</w:t>
      </w:r>
      <w:r w:rsidR="0019278B" w:rsidRPr="00713BDF">
        <w:rPr>
          <w:rFonts w:ascii="Times New Roman" w:hAnsi="Times New Roman" w:cs="Times New Roman"/>
        </w:rPr>
        <w:t xml:space="preserve">month </w:t>
      </w:r>
      <w:r w:rsidR="005426FF" w:rsidRPr="00713BDF">
        <w:rPr>
          <w:rFonts w:ascii="Times New Roman" w:hAnsi="Times New Roman" w:cs="Times New Roman"/>
        </w:rPr>
        <w:t>independent interns</w:t>
      </w:r>
      <w:r w:rsidR="0019278B" w:rsidRPr="00713BDF">
        <w:rPr>
          <w:rFonts w:ascii="Times New Roman" w:hAnsi="Times New Roman" w:cs="Times New Roman"/>
        </w:rPr>
        <w:t xml:space="preserve"> in March and </w:t>
      </w:r>
      <w:r w:rsidR="005426FF" w:rsidRPr="00713BDF">
        <w:rPr>
          <w:rFonts w:ascii="Times New Roman" w:hAnsi="Times New Roman" w:cs="Times New Roman"/>
        </w:rPr>
        <w:t>December,</w:t>
      </w:r>
      <w:r w:rsidR="0019278B" w:rsidRPr="00713BDF">
        <w:rPr>
          <w:rFonts w:ascii="Times New Roman" w:hAnsi="Times New Roman" w:cs="Times New Roman"/>
        </w:rPr>
        <w:t xml:space="preserve"> respectively. </w:t>
      </w:r>
    </w:p>
    <w:p w:rsidR="009C5860" w:rsidRPr="00713BDF" w:rsidRDefault="009C5860" w:rsidP="00D8365F">
      <w:pPr>
        <w:pStyle w:val="Default"/>
        <w:widowControl/>
        <w:jc w:val="both"/>
        <w:rPr>
          <w:rFonts w:ascii="Times New Roman" w:hAnsi="Times New Roman" w:cs="Times New Roman"/>
        </w:rPr>
      </w:pPr>
      <w:r>
        <w:rPr>
          <w:rFonts w:ascii="Times New Roman" w:hAnsi="Times New Roman" w:cs="Times New Roman"/>
        </w:rPr>
        <w:t xml:space="preserve">In addition, the </w:t>
      </w:r>
      <w:r w:rsidR="0085272C">
        <w:rPr>
          <w:rFonts w:ascii="Times New Roman" w:hAnsi="Times New Roman" w:cs="Times New Roman"/>
        </w:rPr>
        <w:t>program</w:t>
      </w:r>
      <w:r>
        <w:rPr>
          <w:rFonts w:ascii="Times New Roman" w:hAnsi="Times New Roman" w:cs="Times New Roman"/>
        </w:rPr>
        <w:t xml:space="preserve"> receives support from the following:</w:t>
      </w:r>
    </w:p>
    <w:p w:rsidR="00045672" w:rsidRPr="00713BDF" w:rsidRDefault="00045672" w:rsidP="00D8365F">
      <w:pPr>
        <w:pStyle w:val="Default"/>
        <w:widowControl/>
        <w:numPr>
          <w:ilvl w:val="0"/>
          <w:numId w:val="29"/>
        </w:numPr>
        <w:jc w:val="both"/>
        <w:rPr>
          <w:rFonts w:ascii="Times New Roman" w:hAnsi="Times New Roman" w:cs="Times New Roman"/>
        </w:rPr>
      </w:pPr>
      <w:r w:rsidRPr="00713BDF">
        <w:rPr>
          <w:rFonts w:ascii="Times New Roman" w:hAnsi="Times New Roman" w:cs="Times New Roman"/>
        </w:rPr>
        <w:t xml:space="preserve">Technical oversight and guidance to the Programme </w:t>
      </w:r>
      <w:r w:rsidR="00D8365F">
        <w:rPr>
          <w:rFonts w:ascii="Times New Roman" w:hAnsi="Times New Roman" w:cs="Times New Roman"/>
        </w:rPr>
        <w:t>was</w:t>
      </w:r>
      <w:r w:rsidRPr="00713BDF">
        <w:rPr>
          <w:rFonts w:ascii="Times New Roman" w:hAnsi="Times New Roman" w:cs="Times New Roman"/>
        </w:rPr>
        <w:t xml:space="preserve"> provided </w:t>
      </w:r>
      <w:r w:rsidRPr="00D8365F">
        <w:rPr>
          <w:rFonts w:ascii="Times New Roman" w:hAnsi="Times New Roman" w:cs="Times New Roman"/>
        </w:rPr>
        <w:t xml:space="preserve">by an UNCDF Regional Technical Advisor based at the Pacific Financial Inclusion Programme (PFIP) in Suva, Fiji. </w:t>
      </w:r>
    </w:p>
    <w:p w:rsidR="00987ECD" w:rsidRPr="00713BDF" w:rsidRDefault="000252EE" w:rsidP="00D8365F">
      <w:pPr>
        <w:pStyle w:val="Default"/>
        <w:widowControl/>
        <w:numPr>
          <w:ilvl w:val="0"/>
          <w:numId w:val="29"/>
        </w:numPr>
        <w:jc w:val="both"/>
        <w:rPr>
          <w:rFonts w:ascii="Times New Roman" w:hAnsi="Times New Roman" w:cs="Times New Roman"/>
        </w:rPr>
      </w:pPr>
      <w:r w:rsidRPr="00713BDF">
        <w:rPr>
          <w:rFonts w:ascii="Times New Roman" w:hAnsi="Times New Roman" w:cs="Times New Roman"/>
        </w:rPr>
        <w:t xml:space="preserve">Project Assurance </w:t>
      </w:r>
      <w:r w:rsidR="00713BDF" w:rsidRPr="00713BDF">
        <w:rPr>
          <w:rFonts w:ascii="Times New Roman" w:hAnsi="Times New Roman" w:cs="Times New Roman"/>
        </w:rPr>
        <w:t xml:space="preserve">was </w:t>
      </w:r>
      <w:r w:rsidR="00C35A31">
        <w:rPr>
          <w:rFonts w:ascii="Times New Roman" w:hAnsi="Times New Roman" w:cs="Times New Roman"/>
        </w:rPr>
        <w:t>provided by an UNCDF Program</w:t>
      </w:r>
      <w:r w:rsidRPr="00713BDF">
        <w:rPr>
          <w:rFonts w:ascii="Times New Roman" w:hAnsi="Times New Roman" w:cs="Times New Roman"/>
        </w:rPr>
        <w:t xml:space="preserve"> Officer backstopped by a </w:t>
      </w:r>
      <w:r w:rsidR="00713BDF" w:rsidRPr="00713BDF">
        <w:rPr>
          <w:rFonts w:ascii="Times New Roman" w:hAnsi="Times New Roman" w:cs="Times New Roman"/>
        </w:rPr>
        <w:t xml:space="preserve">UNCDF </w:t>
      </w:r>
      <w:r w:rsidR="00C35A31">
        <w:rPr>
          <w:rFonts w:ascii="Times New Roman" w:hAnsi="Times New Roman" w:cs="Times New Roman"/>
        </w:rPr>
        <w:t>Program</w:t>
      </w:r>
      <w:r w:rsidRPr="00713BDF">
        <w:rPr>
          <w:rFonts w:ascii="Times New Roman" w:hAnsi="Times New Roman" w:cs="Times New Roman"/>
        </w:rPr>
        <w:t xml:space="preserve"> </w:t>
      </w:r>
      <w:r w:rsidR="00713BDF" w:rsidRPr="00713BDF">
        <w:rPr>
          <w:rFonts w:ascii="Times New Roman" w:hAnsi="Times New Roman" w:cs="Times New Roman"/>
        </w:rPr>
        <w:t>Assistant</w:t>
      </w:r>
      <w:r w:rsidR="00D8365F">
        <w:rPr>
          <w:rFonts w:ascii="Times New Roman" w:hAnsi="Times New Roman" w:cs="Times New Roman"/>
        </w:rPr>
        <w:t>, based in Dili.</w:t>
      </w:r>
      <w:r w:rsidRPr="00713BDF">
        <w:rPr>
          <w:rFonts w:ascii="Times New Roman" w:hAnsi="Times New Roman" w:cs="Times New Roman"/>
        </w:rPr>
        <w:t xml:space="preserve"> </w:t>
      </w:r>
    </w:p>
    <w:p w:rsidR="00987ECD" w:rsidRPr="00713BDF" w:rsidRDefault="00BA2B56" w:rsidP="00D8365F">
      <w:pPr>
        <w:pStyle w:val="Default"/>
        <w:widowControl/>
        <w:numPr>
          <w:ilvl w:val="0"/>
          <w:numId w:val="29"/>
        </w:numPr>
        <w:jc w:val="both"/>
        <w:rPr>
          <w:rFonts w:ascii="Times New Roman" w:hAnsi="Times New Roman" w:cs="Times New Roman"/>
        </w:rPr>
      </w:pPr>
      <w:r w:rsidRPr="00D8365F">
        <w:rPr>
          <w:rFonts w:ascii="Times New Roman" w:hAnsi="Times New Roman" w:cs="Times New Roman"/>
        </w:rPr>
        <w:t xml:space="preserve">The regional </w:t>
      </w:r>
      <w:r w:rsidR="000252EE" w:rsidRPr="00D8365F">
        <w:rPr>
          <w:rFonts w:ascii="Times New Roman" w:hAnsi="Times New Roman" w:cs="Times New Roman"/>
        </w:rPr>
        <w:t xml:space="preserve">UNCDF </w:t>
      </w:r>
      <w:r w:rsidR="00D8365F">
        <w:rPr>
          <w:rFonts w:ascii="Times New Roman" w:hAnsi="Times New Roman" w:cs="Times New Roman"/>
        </w:rPr>
        <w:t>office in Bangkok provided</w:t>
      </w:r>
      <w:r w:rsidRPr="00D8365F">
        <w:rPr>
          <w:rFonts w:ascii="Times New Roman" w:hAnsi="Times New Roman" w:cs="Times New Roman"/>
        </w:rPr>
        <w:t xml:space="preserve"> administrative and financial guidance.</w:t>
      </w:r>
    </w:p>
    <w:p w:rsidR="000252EE" w:rsidRDefault="000252EE" w:rsidP="00BA0310">
      <w:pPr>
        <w:pStyle w:val="Default"/>
        <w:rPr>
          <w:rFonts w:ascii="Times New Roman" w:hAnsi="Times New Roman" w:cs="Times New Roman"/>
        </w:rPr>
      </w:pPr>
    </w:p>
    <w:p w:rsidR="00924249" w:rsidRDefault="00924249" w:rsidP="00DE7117">
      <w:pPr>
        <w:pStyle w:val="Heading1"/>
        <w:numPr>
          <w:ilvl w:val="0"/>
          <w:numId w:val="42"/>
        </w:numPr>
      </w:pPr>
      <w:bookmarkStart w:id="23" w:name="_Toc288486046"/>
      <w:r w:rsidRPr="00F84101">
        <w:t xml:space="preserve">Implementation and </w:t>
      </w:r>
      <w:r w:rsidRPr="00DE7117">
        <w:t>Monitoring</w:t>
      </w:r>
      <w:r w:rsidRPr="00F84101">
        <w:t xml:space="preserve"> Arrangements</w:t>
      </w:r>
      <w:bookmarkEnd w:id="23"/>
      <w:r w:rsidRPr="00F84101">
        <w:t xml:space="preserve"> </w:t>
      </w:r>
    </w:p>
    <w:p w:rsidR="00924249" w:rsidRPr="00F84101" w:rsidRDefault="00924249" w:rsidP="00BA0310">
      <w:pPr>
        <w:pStyle w:val="Default"/>
        <w:rPr>
          <w:rFonts w:ascii="Times New Roman" w:hAnsi="Times New Roman" w:cs="Times New Roman"/>
        </w:rPr>
      </w:pPr>
    </w:p>
    <w:p w:rsidR="00F70ABD" w:rsidRPr="001E30F0" w:rsidRDefault="00C35A31" w:rsidP="00304CE1">
      <w:pPr>
        <w:pStyle w:val="Heading2"/>
        <w:rPr>
          <w:b w:val="0"/>
          <w:bCs w:val="0"/>
          <w:iCs/>
          <w:sz w:val="24"/>
          <w:u w:val="single"/>
        </w:rPr>
      </w:pPr>
      <w:bookmarkStart w:id="24" w:name="_Toc288468708"/>
      <w:bookmarkStart w:id="25" w:name="_Toc288486047"/>
      <w:r>
        <w:rPr>
          <w:b w:val="0"/>
          <w:bCs w:val="0"/>
          <w:iCs/>
          <w:sz w:val="24"/>
          <w:u w:val="single"/>
        </w:rPr>
        <w:t>Program</w:t>
      </w:r>
      <w:r w:rsidR="00C318F5" w:rsidRPr="001E30F0">
        <w:rPr>
          <w:b w:val="0"/>
          <w:bCs w:val="0"/>
          <w:iCs/>
          <w:sz w:val="24"/>
          <w:u w:val="single"/>
        </w:rPr>
        <w:t xml:space="preserve"> </w:t>
      </w:r>
      <w:r w:rsidR="00F70ABD" w:rsidRPr="001E30F0">
        <w:rPr>
          <w:b w:val="0"/>
          <w:bCs w:val="0"/>
          <w:iCs/>
          <w:sz w:val="24"/>
          <w:u w:val="single"/>
        </w:rPr>
        <w:t>Implementation</w:t>
      </w:r>
      <w:bookmarkEnd w:id="24"/>
      <w:bookmarkEnd w:id="25"/>
    </w:p>
    <w:p w:rsidR="004538E9" w:rsidRPr="00F84101" w:rsidRDefault="007807DB" w:rsidP="00460BDE">
      <w:pPr>
        <w:jc w:val="both"/>
      </w:pPr>
      <w:r w:rsidRPr="00F84101">
        <w:t xml:space="preserve">INFUSE is </w:t>
      </w:r>
      <w:r w:rsidR="00507DDC">
        <w:t xml:space="preserve">an UNCDF-led </w:t>
      </w:r>
      <w:r w:rsidR="00620C25">
        <w:t>program</w:t>
      </w:r>
      <w:r w:rsidR="003B482C">
        <w:t xml:space="preserve"> </w:t>
      </w:r>
      <w:r w:rsidR="003B482C" w:rsidRPr="00F84101">
        <w:t xml:space="preserve">implemented jointly </w:t>
      </w:r>
      <w:r w:rsidR="003B482C">
        <w:t>with</w:t>
      </w:r>
      <w:r w:rsidRPr="00F84101">
        <w:t xml:space="preserve"> UNDP. UNDP</w:t>
      </w:r>
      <w:r w:rsidRPr="00F84101">
        <w:rPr>
          <w:rFonts w:ascii="Calibri" w:hAnsi="Calibri"/>
        </w:rPr>
        <w:t>‐</w:t>
      </w:r>
      <w:r w:rsidRPr="00F84101">
        <w:t xml:space="preserve">Timor Leste, </w:t>
      </w:r>
      <w:r w:rsidR="00E425B3">
        <w:t>the</w:t>
      </w:r>
      <w:r w:rsidR="00E425B3" w:rsidRPr="00F84101">
        <w:t xml:space="preserve"> </w:t>
      </w:r>
      <w:r w:rsidRPr="00F84101">
        <w:t xml:space="preserve">Administrative Agent, is established in country with support units (HR, procurement, etc.) that </w:t>
      </w:r>
      <w:r w:rsidR="003B482C">
        <w:t xml:space="preserve">the </w:t>
      </w:r>
      <w:r w:rsidRPr="00F84101">
        <w:t xml:space="preserve">INFUSE </w:t>
      </w:r>
      <w:r w:rsidR="00620C25">
        <w:t>Program</w:t>
      </w:r>
      <w:r w:rsidR="00164BD8">
        <w:t xml:space="preserve"> Implementation Unit (</w:t>
      </w:r>
      <w:r w:rsidRPr="00F84101">
        <w:t>PIU</w:t>
      </w:r>
      <w:r w:rsidR="00164BD8">
        <w:t>)</w:t>
      </w:r>
      <w:r w:rsidRPr="00F84101">
        <w:t xml:space="preserve"> accesses</w:t>
      </w:r>
      <w:r w:rsidR="003B482C">
        <w:t>.</w:t>
      </w:r>
      <w:r w:rsidRPr="00F84101">
        <w:t xml:space="preserve"> UNCDF provides technical assistance and manages the </w:t>
      </w:r>
      <w:r w:rsidR="00620C25">
        <w:t>p</w:t>
      </w:r>
      <w:r w:rsidR="00620C25" w:rsidRPr="00F84101">
        <w:t>rogram</w:t>
      </w:r>
      <w:r w:rsidRPr="00F84101">
        <w:t>. In order to harmonize funding and ensure effective co</w:t>
      </w:r>
      <w:r w:rsidRPr="00F84101">
        <w:rPr>
          <w:rFonts w:ascii="Calibri" w:hAnsi="Calibri"/>
        </w:rPr>
        <w:t>‐</w:t>
      </w:r>
      <w:r w:rsidRPr="00F84101">
        <w:t xml:space="preserve">ordination in </w:t>
      </w:r>
      <w:r w:rsidR="00620C25" w:rsidRPr="00F84101">
        <w:t>program</w:t>
      </w:r>
      <w:r w:rsidRPr="00F84101">
        <w:t xml:space="preserve"> implementation, both UNCDF and UNDP roles in the </w:t>
      </w:r>
      <w:r w:rsidR="00620C25" w:rsidRPr="00F84101">
        <w:t>program</w:t>
      </w:r>
      <w:r w:rsidRPr="00F84101">
        <w:t xml:space="preserve"> are outlined according to regulations defined by the </w:t>
      </w:r>
      <w:r w:rsidR="004D1B3C">
        <w:t xml:space="preserve">2003 </w:t>
      </w:r>
      <w:r w:rsidRPr="00F84101">
        <w:t xml:space="preserve">UN Development Group (UNDG) </w:t>
      </w:r>
      <w:r w:rsidR="003B482C">
        <w:t>Guidance Note on Joint Programming</w:t>
      </w:r>
      <w:r w:rsidR="004D1B3C">
        <w:t xml:space="preserve"> with further clarification in the UNCDF-UNDP Guidance Note dated 2 November 2007</w:t>
      </w:r>
      <w:r w:rsidRPr="00F84101">
        <w:t xml:space="preserve">. In the course of implementation of this </w:t>
      </w:r>
      <w:r w:rsidR="00620C25" w:rsidRPr="00F84101">
        <w:t>program</w:t>
      </w:r>
      <w:r w:rsidRPr="00F84101">
        <w:t>, and in monitoring and reporting on progress, UNCDF, UNDP and other future associated UN agencies will collaborate a</w:t>
      </w:r>
      <w:r w:rsidR="00020C13" w:rsidRPr="00F84101">
        <w:t>ccording to the</w:t>
      </w:r>
      <w:r w:rsidR="004D1B3C">
        <w:t>se</w:t>
      </w:r>
      <w:r w:rsidR="00020C13" w:rsidRPr="00F84101">
        <w:t xml:space="preserve"> Joint Programme</w:t>
      </w:r>
      <w:r w:rsidRPr="00F84101">
        <w:t xml:space="preserve"> </w:t>
      </w:r>
      <w:r w:rsidR="00507DDC">
        <w:t>r</w:t>
      </w:r>
      <w:r w:rsidRPr="00F84101">
        <w:t xml:space="preserve">egulations </w:t>
      </w:r>
      <w:r w:rsidR="00C56517">
        <w:t xml:space="preserve">and Standard Administrative Agreements already in place. </w:t>
      </w:r>
    </w:p>
    <w:p w:rsidR="004538E9" w:rsidRPr="00F84101" w:rsidRDefault="004538E9" w:rsidP="00460BDE">
      <w:pPr>
        <w:pStyle w:val="BodyText"/>
        <w:jc w:val="both"/>
        <w:rPr>
          <w:rFonts w:ascii="Times New Roman" w:hAnsi="Times New Roman" w:cs="Times New Roman"/>
          <w:sz w:val="24"/>
          <w:szCs w:val="24"/>
        </w:rPr>
      </w:pPr>
    </w:p>
    <w:p w:rsidR="000040FC" w:rsidRDefault="007807DB" w:rsidP="00460BDE">
      <w:pPr>
        <w:pStyle w:val="BodyText"/>
        <w:jc w:val="both"/>
        <w:rPr>
          <w:rFonts w:ascii="Times New Roman" w:hAnsi="Times New Roman" w:cs="Times New Roman"/>
          <w:sz w:val="24"/>
          <w:szCs w:val="24"/>
        </w:rPr>
      </w:pPr>
      <w:r w:rsidRPr="00F84101">
        <w:rPr>
          <w:rFonts w:ascii="Times New Roman" w:hAnsi="Times New Roman" w:cs="Times New Roman"/>
          <w:sz w:val="24"/>
          <w:szCs w:val="24"/>
        </w:rPr>
        <w:lastRenderedPageBreak/>
        <w:t xml:space="preserve">Although each of the implementing agencies have their own roles in the implementation of the Joint Programme as governed by </w:t>
      </w:r>
      <w:r w:rsidR="004D1B3C">
        <w:rPr>
          <w:rFonts w:ascii="Times New Roman" w:hAnsi="Times New Roman" w:cs="Times New Roman"/>
          <w:sz w:val="24"/>
          <w:szCs w:val="24"/>
        </w:rPr>
        <w:t>these aforementioned guidance notes</w:t>
      </w:r>
      <w:r w:rsidRPr="00F84101">
        <w:rPr>
          <w:rFonts w:ascii="Times New Roman" w:hAnsi="Times New Roman" w:cs="Times New Roman"/>
          <w:sz w:val="24"/>
          <w:szCs w:val="24"/>
        </w:rPr>
        <w:t xml:space="preserve">, each of the agencies will have to agree and understand that the administration of this </w:t>
      </w:r>
      <w:r w:rsidR="00620C25" w:rsidRPr="00F84101">
        <w:rPr>
          <w:rFonts w:ascii="Times New Roman" w:hAnsi="Times New Roman" w:cs="Times New Roman"/>
          <w:sz w:val="24"/>
          <w:szCs w:val="24"/>
        </w:rPr>
        <w:t>program</w:t>
      </w:r>
      <w:r w:rsidRPr="00F84101">
        <w:rPr>
          <w:rFonts w:ascii="Times New Roman" w:hAnsi="Times New Roman" w:cs="Times New Roman"/>
          <w:sz w:val="24"/>
          <w:szCs w:val="24"/>
        </w:rPr>
        <w:t xml:space="preserve"> shall be governed by UNDP rules and regulations, which UNCDF also adopts, as defined in the Resource Management Guide within the policy context defined by the Executive Board.</w:t>
      </w:r>
    </w:p>
    <w:p w:rsidR="00C94AE2" w:rsidRDefault="00C94AE2" w:rsidP="00460BDE">
      <w:pPr>
        <w:pStyle w:val="BodyText"/>
        <w:jc w:val="both"/>
        <w:rPr>
          <w:rFonts w:ascii="Times New Roman" w:hAnsi="Times New Roman" w:cs="Times New Roman"/>
          <w:sz w:val="24"/>
          <w:szCs w:val="24"/>
        </w:rPr>
      </w:pPr>
    </w:p>
    <w:p w:rsidR="004233D8" w:rsidRDefault="003363DA" w:rsidP="00C94AE2">
      <w:pPr>
        <w:pStyle w:val="BodyTextIndent"/>
        <w:ind w:left="0" w:firstLine="0"/>
        <w:jc w:val="both"/>
        <w:rPr>
          <w:rFonts w:ascii="Times New Roman" w:hAnsi="Times New Roman" w:cs="Times New Roman"/>
          <w:b w:val="0"/>
          <w:sz w:val="24"/>
          <w:szCs w:val="24"/>
        </w:rPr>
      </w:pPr>
      <w:r>
        <w:rPr>
          <w:rFonts w:ascii="Times New Roman" w:hAnsi="Times New Roman" w:cs="Times New Roman"/>
          <w:b w:val="0"/>
          <w:sz w:val="24"/>
          <w:szCs w:val="24"/>
        </w:rPr>
        <w:t>T</w:t>
      </w:r>
      <w:r w:rsidR="00C94AE2">
        <w:rPr>
          <w:rFonts w:ascii="Times New Roman" w:hAnsi="Times New Roman" w:cs="Times New Roman"/>
          <w:b w:val="0"/>
          <w:sz w:val="24"/>
          <w:szCs w:val="24"/>
        </w:rPr>
        <w:t xml:space="preserve">he </w:t>
      </w:r>
      <w:r w:rsidR="004D1B3C">
        <w:rPr>
          <w:rFonts w:ascii="Times New Roman" w:hAnsi="Times New Roman" w:cs="Times New Roman"/>
          <w:b w:val="0"/>
          <w:sz w:val="24"/>
          <w:szCs w:val="24"/>
        </w:rPr>
        <w:t xml:space="preserve">investment committee which is called the INFUSE </w:t>
      </w:r>
      <w:r w:rsidR="00C94AE2">
        <w:rPr>
          <w:rFonts w:ascii="Times New Roman" w:hAnsi="Times New Roman" w:cs="Times New Roman"/>
          <w:b w:val="0"/>
          <w:sz w:val="24"/>
          <w:szCs w:val="24"/>
        </w:rPr>
        <w:t>Management Committee for Inclusive Finance (MCIF)</w:t>
      </w:r>
      <w:r>
        <w:rPr>
          <w:rFonts w:ascii="Times New Roman" w:hAnsi="Times New Roman" w:cs="Times New Roman"/>
          <w:b w:val="0"/>
          <w:sz w:val="24"/>
          <w:szCs w:val="24"/>
        </w:rPr>
        <w:t>, comprising donors to the Programme</w:t>
      </w:r>
      <w:r>
        <w:rPr>
          <w:rStyle w:val="FootnoteReference"/>
          <w:rFonts w:ascii="Times New Roman" w:hAnsi="Times New Roman" w:cs="Times New Roman"/>
          <w:b w:val="0"/>
          <w:sz w:val="24"/>
          <w:szCs w:val="24"/>
        </w:rPr>
        <w:footnoteReference w:id="4"/>
      </w:r>
      <w:r>
        <w:rPr>
          <w:rFonts w:ascii="Times New Roman" w:hAnsi="Times New Roman" w:cs="Times New Roman"/>
          <w:b w:val="0"/>
          <w:sz w:val="24"/>
          <w:szCs w:val="24"/>
        </w:rPr>
        <w:t>,</w:t>
      </w:r>
      <w:r w:rsidRPr="003363DA">
        <w:rPr>
          <w:rFonts w:ascii="Times New Roman" w:hAnsi="Times New Roman" w:cs="Times New Roman"/>
          <w:b w:val="0"/>
          <w:sz w:val="24"/>
          <w:szCs w:val="24"/>
        </w:rPr>
        <w:t xml:space="preserve"> </w:t>
      </w:r>
      <w:r>
        <w:rPr>
          <w:rFonts w:ascii="Times New Roman" w:hAnsi="Times New Roman" w:cs="Times New Roman"/>
          <w:b w:val="0"/>
          <w:sz w:val="24"/>
          <w:szCs w:val="24"/>
        </w:rPr>
        <w:t>oversees the</w:t>
      </w:r>
      <w:r w:rsidRPr="00C94AE2">
        <w:rPr>
          <w:rFonts w:ascii="Times New Roman" w:hAnsi="Times New Roman" w:cs="Times New Roman"/>
          <w:b w:val="0"/>
          <w:sz w:val="24"/>
          <w:szCs w:val="24"/>
        </w:rPr>
        <w:t xml:space="preserve"> </w:t>
      </w:r>
      <w:r w:rsidR="00446826">
        <w:rPr>
          <w:rFonts w:ascii="Times New Roman" w:hAnsi="Times New Roman" w:cs="Times New Roman"/>
          <w:b w:val="0"/>
          <w:sz w:val="24"/>
          <w:szCs w:val="24"/>
        </w:rPr>
        <w:t xml:space="preserve">INFUSE </w:t>
      </w:r>
      <w:r w:rsidRPr="00C94AE2">
        <w:rPr>
          <w:rFonts w:ascii="Times New Roman" w:hAnsi="Times New Roman" w:cs="Times New Roman"/>
          <w:b w:val="0"/>
          <w:sz w:val="24"/>
          <w:szCs w:val="24"/>
        </w:rPr>
        <w:t>Fund for Inclusive Finance (FIF)</w:t>
      </w:r>
      <w:r w:rsidR="00E858A7">
        <w:rPr>
          <w:rFonts w:ascii="Times New Roman" w:hAnsi="Times New Roman" w:cs="Times New Roman"/>
          <w:b w:val="0"/>
          <w:sz w:val="24"/>
          <w:szCs w:val="24"/>
        </w:rPr>
        <w:t>.  The MCIF meets biannually to approve funding of specific</w:t>
      </w:r>
      <w:r w:rsidR="004D1B3C">
        <w:rPr>
          <w:rFonts w:ascii="Times New Roman" w:hAnsi="Times New Roman" w:cs="Times New Roman"/>
          <w:b w:val="0"/>
          <w:sz w:val="24"/>
          <w:szCs w:val="24"/>
        </w:rPr>
        <w:t xml:space="preserve"> activities that promote inclusive finance through </w:t>
      </w:r>
      <w:r w:rsidR="004233D8">
        <w:rPr>
          <w:rFonts w:ascii="Times New Roman" w:hAnsi="Times New Roman" w:cs="Times New Roman"/>
          <w:b w:val="0"/>
          <w:sz w:val="24"/>
          <w:szCs w:val="24"/>
        </w:rPr>
        <w:t xml:space="preserve">using a variety of funding </w:t>
      </w:r>
      <w:r w:rsidR="004D1B3C">
        <w:rPr>
          <w:rFonts w:ascii="Times New Roman" w:hAnsi="Times New Roman" w:cs="Times New Roman"/>
          <w:b w:val="0"/>
          <w:sz w:val="24"/>
          <w:szCs w:val="24"/>
        </w:rPr>
        <w:t xml:space="preserve">mechanisms </w:t>
      </w:r>
      <w:r w:rsidR="004233D8">
        <w:rPr>
          <w:rFonts w:ascii="Times New Roman" w:hAnsi="Times New Roman" w:cs="Times New Roman"/>
          <w:b w:val="0"/>
          <w:sz w:val="24"/>
          <w:szCs w:val="24"/>
        </w:rPr>
        <w:t>including</w:t>
      </w:r>
      <w:r w:rsidR="004D1B3C">
        <w:rPr>
          <w:rFonts w:ascii="Times New Roman" w:hAnsi="Times New Roman" w:cs="Times New Roman"/>
          <w:b w:val="0"/>
          <w:sz w:val="24"/>
          <w:szCs w:val="24"/>
        </w:rPr>
        <w:t xml:space="preserve"> grants, loans, and </w:t>
      </w:r>
      <w:r w:rsidR="004233D8">
        <w:rPr>
          <w:rFonts w:ascii="Times New Roman" w:hAnsi="Times New Roman" w:cs="Times New Roman"/>
          <w:b w:val="0"/>
          <w:sz w:val="24"/>
          <w:szCs w:val="24"/>
        </w:rPr>
        <w:t xml:space="preserve">direct </w:t>
      </w:r>
      <w:r w:rsidR="00E858A7">
        <w:rPr>
          <w:rFonts w:ascii="Times New Roman" w:hAnsi="Times New Roman" w:cs="Times New Roman"/>
          <w:b w:val="0"/>
          <w:sz w:val="24"/>
          <w:szCs w:val="24"/>
        </w:rPr>
        <w:t xml:space="preserve">procured </w:t>
      </w:r>
      <w:r w:rsidR="004D1B3C">
        <w:rPr>
          <w:rFonts w:ascii="Times New Roman" w:hAnsi="Times New Roman" w:cs="Times New Roman"/>
          <w:b w:val="0"/>
          <w:sz w:val="24"/>
          <w:szCs w:val="24"/>
        </w:rPr>
        <w:t xml:space="preserve">technical assistance.  </w:t>
      </w:r>
      <w:r w:rsidR="00E858A7">
        <w:rPr>
          <w:rFonts w:ascii="Times New Roman" w:hAnsi="Times New Roman" w:cs="Times New Roman"/>
          <w:b w:val="0"/>
          <w:sz w:val="24"/>
          <w:szCs w:val="24"/>
        </w:rPr>
        <w:t xml:space="preserve">This flexibility allows for the </w:t>
      </w:r>
      <w:r w:rsidR="004233D8">
        <w:rPr>
          <w:rFonts w:ascii="Times New Roman" w:hAnsi="Times New Roman" w:cs="Times New Roman"/>
          <w:b w:val="0"/>
          <w:sz w:val="24"/>
          <w:szCs w:val="24"/>
        </w:rPr>
        <w:t xml:space="preserve">PIU to accept proposals, develop partnerships, and identify needs for targeted technical assistance.  And it engages the </w:t>
      </w:r>
      <w:r w:rsidR="00E858A7">
        <w:rPr>
          <w:rFonts w:ascii="Times New Roman" w:hAnsi="Times New Roman" w:cs="Times New Roman"/>
          <w:b w:val="0"/>
          <w:sz w:val="24"/>
          <w:szCs w:val="24"/>
        </w:rPr>
        <w:t xml:space="preserve">MCIF to </w:t>
      </w:r>
      <w:r w:rsidR="004233D8">
        <w:rPr>
          <w:rFonts w:ascii="Times New Roman" w:hAnsi="Times New Roman" w:cs="Times New Roman"/>
          <w:b w:val="0"/>
          <w:sz w:val="24"/>
          <w:szCs w:val="24"/>
        </w:rPr>
        <w:t>evaluate</w:t>
      </w:r>
      <w:r w:rsidR="00E858A7">
        <w:rPr>
          <w:rFonts w:ascii="Times New Roman" w:hAnsi="Times New Roman" w:cs="Times New Roman"/>
          <w:b w:val="0"/>
          <w:sz w:val="24"/>
          <w:szCs w:val="24"/>
        </w:rPr>
        <w:t xml:space="preserve"> and </w:t>
      </w:r>
      <w:r w:rsidR="004233D8">
        <w:rPr>
          <w:rFonts w:ascii="Times New Roman" w:hAnsi="Times New Roman" w:cs="Times New Roman"/>
          <w:b w:val="0"/>
          <w:sz w:val="24"/>
          <w:szCs w:val="24"/>
        </w:rPr>
        <w:t>provide feedback on</w:t>
      </w:r>
      <w:r w:rsidR="00E858A7">
        <w:rPr>
          <w:rFonts w:ascii="Times New Roman" w:hAnsi="Times New Roman" w:cs="Times New Roman"/>
          <w:b w:val="0"/>
          <w:sz w:val="24"/>
          <w:szCs w:val="24"/>
        </w:rPr>
        <w:t xml:space="preserve"> </w:t>
      </w:r>
      <w:r w:rsidR="00620C25">
        <w:rPr>
          <w:rFonts w:ascii="Times New Roman" w:hAnsi="Times New Roman" w:cs="Times New Roman"/>
          <w:b w:val="0"/>
          <w:sz w:val="24"/>
          <w:szCs w:val="24"/>
        </w:rPr>
        <w:t>program</w:t>
      </w:r>
      <w:r w:rsidR="00E858A7">
        <w:rPr>
          <w:rFonts w:ascii="Times New Roman" w:hAnsi="Times New Roman" w:cs="Times New Roman"/>
          <w:b w:val="0"/>
          <w:sz w:val="24"/>
          <w:szCs w:val="24"/>
        </w:rPr>
        <w:t xml:space="preserve"> activities.</w:t>
      </w:r>
    </w:p>
    <w:p w:rsidR="004233D8" w:rsidRPr="00396A41" w:rsidRDefault="004233D8" w:rsidP="00396A41">
      <w:pPr>
        <w:pStyle w:val="Heading2"/>
        <w:rPr>
          <w:b w:val="0"/>
          <w:bCs w:val="0"/>
          <w:i/>
          <w:iCs/>
          <w:sz w:val="24"/>
        </w:rPr>
      </w:pPr>
    </w:p>
    <w:p w:rsidR="006000A9" w:rsidRPr="00DE7117" w:rsidRDefault="006000A9" w:rsidP="00DE7117">
      <w:pPr>
        <w:pStyle w:val="Heading2"/>
        <w:rPr>
          <w:b w:val="0"/>
          <w:bCs w:val="0"/>
          <w:iCs/>
          <w:sz w:val="22"/>
          <w:u w:val="single"/>
        </w:rPr>
      </w:pPr>
      <w:bookmarkStart w:id="26" w:name="_Toc288468709"/>
      <w:bookmarkStart w:id="27" w:name="_Toc288486048"/>
      <w:r w:rsidRPr="00DE7117">
        <w:rPr>
          <w:b w:val="0"/>
          <w:bCs w:val="0"/>
          <w:iCs/>
          <w:sz w:val="22"/>
          <w:u w:val="single"/>
        </w:rPr>
        <w:t>Monitoring and Evaluation</w:t>
      </w:r>
      <w:bookmarkEnd w:id="26"/>
      <w:bookmarkEnd w:id="27"/>
    </w:p>
    <w:p w:rsidR="006000A9" w:rsidRPr="009E2D76" w:rsidRDefault="006000A9" w:rsidP="006000A9">
      <w:pPr>
        <w:pStyle w:val="BodyText"/>
        <w:jc w:val="both"/>
        <w:rPr>
          <w:rFonts w:ascii="Times New Roman" w:hAnsi="Times New Roman" w:cs="Times New Roman"/>
          <w:color w:val="000000"/>
          <w:sz w:val="24"/>
          <w:szCs w:val="24"/>
        </w:rPr>
      </w:pPr>
      <w:r w:rsidRPr="009E2D76">
        <w:rPr>
          <w:rFonts w:ascii="Times New Roman" w:hAnsi="Times New Roman" w:cs="Times New Roman"/>
          <w:color w:val="000000"/>
          <w:sz w:val="24"/>
          <w:szCs w:val="24"/>
        </w:rPr>
        <w:t xml:space="preserve">Monitoring </w:t>
      </w:r>
      <w:r>
        <w:rPr>
          <w:rFonts w:ascii="Times New Roman" w:hAnsi="Times New Roman" w:cs="Times New Roman"/>
          <w:color w:val="000000"/>
          <w:sz w:val="24"/>
          <w:szCs w:val="24"/>
        </w:rPr>
        <w:t xml:space="preserve">is conducted at two levels: </w:t>
      </w:r>
      <w:r w:rsidR="00620C25">
        <w:rPr>
          <w:rFonts w:ascii="Times New Roman" w:hAnsi="Times New Roman" w:cs="Times New Roman"/>
          <w:color w:val="000000"/>
          <w:sz w:val="24"/>
          <w:szCs w:val="24"/>
        </w:rPr>
        <w:t>program</w:t>
      </w:r>
      <w:r>
        <w:rPr>
          <w:rFonts w:ascii="Times New Roman" w:hAnsi="Times New Roman" w:cs="Times New Roman"/>
          <w:color w:val="000000"/>
          <w:sz w:val="24"/>
          <w:szCs w:val="24"/>
        </w:rPr>
        <w:t xml:space="preserve"> progress is monitored</w:t>
      </w:r>
      <w:r w:rsidR="00D5196F">
        <w:rPr>
          <w:rFonts w:ascii="Times New Roman" w:hAnsi="Times New Roman" w:cs="Times New Roman"/>
          <w:color w:val="000000"/>
          <w:sz w:val="24"/>
          <w:szCs w:val="24"/>
        </w:rPr>
        <w:t xml:space="preserve"> by UNCDF, UNDP and the </w:t>
      </w:r>
      <w:r w:rsidR="004D1B3C">
        <w:rPr>
          <w:rFonts w:ascii="Times New Roman" w:hAnsi="Times New Roman" w:cs="Times New Roman"/>
          <w:color w:val="000000"/>
          <w:sz w:val="24"/>
          <w:szCs w:val="24"/>
        </w:rPr>
        <w:t>MCIF</w:t>
      </w:r>
      <w:r>
        <w:rPr>
          <w:rFonts w:ascii="Times New Roman" w:hAnsi="Times New Roman" w:cs="Times New Roman"/>
          <w:color w:val="000000"/>
          <w:sz w:val="24"/>
          <w:szCs w:val="24"/>
        </w:rPr>
        <w:t xml:space="preserve">; and the PIU monitors progress of partners and activities. The following </w:t>
      </w:r>
      <w:r w:rsidR="00D5196F">
        <w:rPr>
          <w:rFonts w:ascii="Times New Roman" w:hAnsi="Times New Roman" w:cs="Times New Roman"/>
          <w:color w:val="000000"/>
          <w:sz w:val="24"/>
          <w:szCs w:val="24"/>
        </w:rPr>
        <w:t xml:space="preserve">monitoring </w:t>
      </w:r>
      <w:r>
        <w:rPr>
          <w:rFonts w:ascii="Times New Roman" w:hAnsi="Times New Roman" w:cs="Times New Roman"/>
          <w:color w:val="000000"/>
          <w:sz w:val="24"/>
          <w:szCs w:val="24"/>
        </w:rPr>
        <w:t xml:space="preserve">mechanisms are in place. </w:t>
      </w:r>
    </w:p>
    <w:p w:rsidR="006000A9" w:rsidRPr="00F84101" w:rsidRDefault="006000A9" w:rsidP="006000A9">
      <w:pPr>
        <w:pStyle w:val="BodyText"/>
        <w:numPr>
          <w:ilvl w:val="0"/>
          <w:numId w:val="30"/>
        </w:numPr>
        <w:jc w:val="both"/>
        <w:rPr>
          <w:rFonts w:ascii="Times New Roman" w:hAnsi="Times New Roman" w:cs="Times New Roman"/>
          <w:color w:val="000000"/>
          <w:sz w:val="24"/>
          <w:szCs w:val="24"/>
        </w:rPr>
      </w:pPr>
      <w:r w:rsidRPr="00F84101">
        <w:rPr>
          <w:rFonts w:ascii="Times New Roman" w:hAnsi="Times New Roman" w:cs="Times New Roman"/>
          <w:color w:val="000000"/>
          <w:sz w:val="24"/>
          <w:szCs w:val="24"/>
        </w:rPr>
        <w:t xml:space="preserve">On a biannual basis, </w:t>
      </w:r>
      <w:r w:rsidR="00620C25" w:rsidRPr="00F84101">
        <w:rPr>
          <w:rFonts w:ascii="Times New Roman" w:hAnsi="Times New Roman" w:cs="Times New Roman"/>
          <w:color w:val="000000"/>
          <w:sz w:val="24"/>
          <w:szCs w:val="24"/>
        </w:rPr>
        <w:t>program</w:t>
      </w:r>
      <w:r w:rsidRPr="00F84101">
        <w:rPr>
          <w:rFonts w:ascii="Times New Roman" w:hAnsi="Times New Roman" w:cs="Times New Roman"/>
          <w:color w:val="000000"/>
          <w:sz w:val="24"/>
          <w:szCs w:val="24"/>
        </w:rPr>
        <w:t xml:space="preserve"> progress is reported against pre-determined ta</w:t>
      </w:r>
      <w:r>
        <w:rPr>
          <w:rFonts w:ascii="Times New Roman" w:hAnsi="Times New Roman" w:cs="Times New Roman"/>
          <w:color w:val="000000"/>
          <w:sz w:val="24"/>
          <w:szCs w:val="24"/>
        </w:rPr>
        <w:t xml:space="preserve">rget outputs and activities, </w:t>
      </w:r>
      <w:r w:rsidR="00507DDC">
        <w:rPr>
          <w:rFonts w:ascii="Times New Roman" w:hAnsi="Times New Roman" w:cs="Times New Roman"/>
          <w:color w:val="000000"/>
          <w:sz w:val="24"/>
          <w:szCs w:val="24"/>
        </w:rPr>
        <w:t xml:space="preserve">and </w:t>
      </w:r>
      <w:r w:rsidRPr="00F84101">
        <w:rPr>
          <w:rFonts w:ascii="Times New Roman" w:hAnsi="Times New Roman" w:cs="Times New Roman"/>
          <w:color w:val="000000"/>
          <w:sz w:val="24"/>
          <w:szCs w:val="24"/>
        </w:rPr>
        <w:t xml:space="preserve">challenges and issues are identified in these consolidated reports. This annual report, which includes a narrative and financial component, is prepared and shared with INFUSE donors and contains information on the achievements, challenges and lessons learned during the year. </w:t>
      </w:r>
    </w:p>
    <w:p w:rsidR="006000A9" w:rsidRPr="00460BDE" w:rsidRDefault="006000A9" w:rsidP="006000A9">
      <w:pPr>
        <w:pStyle w:val="BodyText"/>
        <w:numPr>
          <w:ilvl w:val="0"/>
          <w:numId w:val="30"/>
        </w:numPr>
        <w:jc w:val="both"/>
        <w:rPr>
          <w:rFonts w:ascii="Times New Roman" w:hAnsi="Times New Roman" w:cs="Times New Roman"/>
          <w:color w:val="000000"/>
          <w:sz w:val="24"/>
          <w:szCs w:val="24"/>
        </w:rPr>
      </w:pPr>
      <w:r w:rsidRPr="00F84101">
        <w:rPr>
          <w:rFonts w:ascii="Times New Roman" w:hAnsi="Times New Roman" w:cs="Times New Roman"/>
          <w:sz w:val="24"/>
          <w:szCs w:val="24"/>
          <w:lang w:val="en-GB"/>
        </w:rPr>
        <w:t>The MCIF</w:t>
      </w:r>
      <w:r w:rsidR="00543E8C">
        <w:rPr>
          <w:rFonts w:ascii="Times New Roman" w:hAnsi="Times New Roman" w:cs="Times New Roman"/>
          <w:sz w:val="24"/>
          <w:szCs w:val="24"/>
          <w:lang w:val="en-GB"/>
        </w:rPr>
        <w:t xml:space="preserve"> is responsible for</w:t>
      </w:r>
      <w:r w:rsidRPr="00F84101">
        <w:rPr>
          <w:rFonts w:ascii="Times New Roman" w:hAnsi="Times New Roman" w:cs="Times New Roman"/>
          <w:sz w:val="24"/>
          <w:szCs w:val="24"/>
          <w:lang w:val="en-GB"/>
        </w:rPr>
        <w:t xml:space="preserve"> monitor</w:t>
      </w:r>
      <w:r w:rsidR="00543E8C">
        <w:rPr>
          <w:rFonts w:ascii="Times New Roman" w:hAnsi="Times New Roman" w:cs="Times New Roman"/>
          <w:sz w:val="24"/>
          <w:szCs w:val="24"/>
          <w:lang w:val="en-GB"/>
        </w:rPr>
        <w:t>ing</w:t>
      </w:r>
      <w:r w:rsidRPr="00F84101">
        <w:rPr>
          <w:rFonts w:ascii="Times New Roman" w:hAnsi="Times New Roman" w:cs="Times New Roman"/>
          <w:sz w:val="24"/>
          <w:szCs w:val="24"/>
          <w:lang w:val="en-GB"/>
        </w:rPr>
        <w:t xml:space="preserve"> programme progress at bi-annual </w:t>
      </w:r>
      <w:r w:rsidR="000050A5" w:rsidRPr="00F84101">
        <w:rPr>
          <w:rFonts w:ascii="Times New Roman" w:hAnsi="Times New Roman" w:cs="Times New Roman"/>
          <w:sz w:val="24"/>
          <w:szCs w:val="24"/>
          <w:lang w:val="en-GB"/>
        </w:rPr>
        <w:t xml:space="preserve">meetings, </w:t>
      </w:r>
      <w:r w:rsidR="000050A5">
        <w:rPr>
          <w:rFonts w:ascii="Times New Roman" w:hAnsi="Times New Roman" w:cs="Times New Roman"/>
          <w:sz w:val="24"/>
          <w:szCs w:val="24"/>
          <w:lang w:val="en-GB"/>
        </w:rPr>
        <w:t>which</w:t>
      </w:r>
      <w:r w:rsidR="00543E8C">
        <w:rPr>
          <w:rFonts w:ascii="Times New Roman" w:hAnsi="Times New Roman" w:cs="Times New Roman"/>
          <w:sz w:val="24"/>
          <w:szCs w:val="24"/>
          <w:lang w:val="en-GB"/>
        </w:rPr>
        <w:t xml:space="preserve"> occurred </w:t>
      </w:r>
      <w:r w:rsidRPr="00F84101">
        <w:rPr>
          <w:rFonts w:ascii="Times New Roman" w:hAnsi="Times New Roman" w:cs="Times New Roman"/>
          <w:sz w:val="24"/>
          <w:szCs w:val="24"/>
          <w:lang w:val="en-GB"/>
        </w:rPr>
        <w:t xml:space="preserve">in March and November in 2010. </w:t>
      </w:r>
    </w:p>
    <w:p w:rsidR="001054B9" w:rsidRPr="009E581F" w:rsidRDefault="001054B9" w:rsidP="001054B9">
      <w:pPr>
        <w:pStyle w:val="BodyText"/>
        <w:numPr>
          <w:ilvl w:val="0"/>
          <w:numId w:val="30"/>
        </w:numPr>
        <w:jc w:val="both"/>
        <w:rPr>
          <w:rFonts w:ascii="Times New Roman" w:hAnsi="Times New Roman" w:cs="Times New Roman"/>
          <w:color w:val="000000"/>
          <w:sz w:val="24"/>
          <w:szCs w:val="24"/>
        </w:rPr>
      </w:pPr>
      <w:r w:rsidRPr="00F84101">
        <w:rPr>
          <w:rFonts w:ascii="Times New Roman" w:hAnsi="Times New Roman" w:cs="Times New Roman"/>
          <w:sz w:val="24"/>
          <w:szCs w:val="24"/>
          <w:lang w:val="en-GB" w:eastAsia="ja-JP"/>
        </w:rPr>
        <w:t xml:space="preserve">The INFUSE PIU monitors recipients of grant funding and loan capital against specific </w:t>
      </w:r>
      <w:r>
        <w:rPr>
          <w:rFonts w:ascii="Times New Roman" w:hAnsi="Times New Roman" w:cs="Times New Roman"/>
          <w:sz w:val="24"/>
          <w:szCs w:val="24"/>
          <w:lang w:val="en-GB" w:eastAsia="ja-JP"/>
        </w:rPr>
        <w:t xml:space="preserve">targets, </w:t>
      </w:r>
      <w:r w:rsidRPr="00F84101">
        <w:rPr>
          <w:rFonts w:ascii="Times New Roman" w:hAnsi="Times New Roman" w:cs="Times New Roman"/>
          <w:sz w:val="24"/>
          <w:szCs w:val="24"/>
          <w:lang w:val="en-GB" w:eastAsia="ja-JP"/>
        </w:rPr>
        <w:t xml:space="preserve">disbursement conditions and </w:t>
      </w:r>
      <w:r w:rsidRPr="00F84101">
        <w:rPr>
          <w:rFonts w:ascii="Times New Roman" w:hAnsi="Times New Roman" w:cs="Times New Roman"/>
          <w:sz w:val="24"/>
          <w:szCs w:val="24"/>
        </w:rPr>
        <w:t xml:space="preserve">reporting requirements </w:t>
      </w:r>
      <w:r>
        <w:rPr>
          <w:rFonts w:ascii="Times New Roman" w:hAnsi="Times New Roman" w:cs="Times New Roman"/>
          <w:sz w:val="24"/>
          <w:szCs w:val="24"/>
        </w:rPr>
        <w:t xml:space="preserve">outlined </w:t>
      </w:r>
      <w:r w:rsidRPr="00F84101">
        <w:rPr>
          <w:rFonts w:ascii="Times New Roman" w:hAnsi="Times New Roman" w:cs="Times New Roman"/>
          <w:sz w:val="24"/>
          <w:szCs w:val="24"/>
        </w:rPr>
        <w:t xml:space="preserve">in the Performance Based Agreements (PBAs) with </w:t>
      </w:r>
      <w:r>
        <w:rPr>
          <w:rFonts w:ascii="Times New Roman" w:hAnsi="Times New Roman" w:cs="Times New Roman"/>
          <w:sz w:val="24"/>
          <w:szCs w:val="24"/>
        </w:rPr>
        <w:t>FSPs</w:t>
      </w:r>
      <w:r w:rsidRPr="00F84101">
        <w:rPr>
          <w:rFonts w:ascii="Times New Roman" w:hAnsi="Times New Roman" w:cs="Times New Roman"/>
          <w:sz w:val="24"/>
          <w:szCs w:val="24"/>
        </w:rPr>
        <w:t xml:space="preserve"> and </w:t>
      </w:r>
      <w:r w:rsidR="00507DDC">
        <w:rPr>
          <w:rFonts w:ascii="Times New Roman" w:hAnsi="Times New Roman" w:cs="Times New Roman"/>
          <w:sz w:val="24"/>
          <w:szCs w:val="24"/>
        </w:rPr>
        <w:t>Technical Service Providers (</w:t>
      </w:r>
      <w:r w:rsidRPr="00F84101">
        <w:rPr>
          <w:rFonts w:ascii="Times New Roman" w:hAnsi="Times New Roman" w:cs="Times New Roman"/>
          <w:sz w:val="24"/>
          <w:szCs w:val="24"/>
        </w:rPr>
        <w:t>TSPs</w:t>
      </w:r>
      <w:r w:rsidR="00507DDC">
        <w:rPr>
          <w:rFonts w:ascii="Times New Roman" w:hAnsi="Times New Roman" w:cs="Times New Roman"/>
          <w:sz w:val="24"/>
          <w:szCs w:val="24"/>
        </w:rPr>
        <w:t>)</w:t>
      </w:r>
      <w:r w:rsidRPr="00F84101">
        <w:rPr>
          <w:rFonts w:ascii="Times New Roman" w:hAnsi="Times New Roman" w:cs="Times New Roman"/>
          <w:sz w:val="24"/>
          <w:szCs w:val="24"/>
        </w:rPr>
        <w:t>.</w:t>
      </w:r>
      <w:r w:rsidRPr="006000A9">
        <w:rPr>
          <w:rFonts w:ascii="Times New Roman" w:hAnsi="Times New Roman" w:cs="Times New Roman"/>
          <w:sz w:val="24"/>
          <w:szCs w:val="24"/>
        </w:rPr>
        <w:t xml:space="preserve"> </w:t>
      </w:r>
      <w:r>
        <w:rPr>
          <w:rFonts w:ascii="Times New Roman" w:hAnsi="Times New Roman" w:cs="Times New Roman"/>
          <w:sz w:val="24"/>
          <w:szCs w:val="24"/>
        </w:rPr>
        <w:t xml:space="preserve"> All supported FSPs report on a quarterly basis adhering to the UNCDF standard requirements</w:t>
      </w:r>
      <w:r w:rsidR="00507DDC">
        <w:rPr>
          <w:rFonts w:ascii="Times New Roman" w:hAnsi="Times New Roman" w:cs="Times New Roman"/>
          <w:sz w:val="24"/>
          <w:szCs w:val="24"/>
        </w:rPr>
        <w:t xml:space="preserve"> and formats </w:t>
      </w:r>
      <w:r w:rsidR="00FA2CEB">
        <w:rPr>
          <w:rFonts w:ascii="Times New Roman" w:hAnsi="Times New Roman" w:cs="Times New Roman"/>
          <w:sz w:val="24"/>
          <w:szCs w:val="24"/>
        </w:rPr>
        <w:t>for</w:t>
      </w:r>
      <w:r w:rsidR="00507DDC">
        <w:rPr>
          <w:rFonts w:ascii="Times New Roman" w:hAnsi="Times New Roman" w:cs="Times New Roman"/>
          <w:sz w:val="24"/>
          <w:szCs w:val="24"/>
        </w:rPr>
        <w:t xml:space="preserve"> Inclusive Finance</w:t>
      </w:r>
      <w:r>
        <w:rPr>
          <w:rFonts w:ascii="Times New Roman" w:hAnsi="Times New Roman" w:cs="Times New Roman"/>
          <w:sz w:val="24"/>
          <w:szCs w:val="24"/>
        </w:rPr>
        <w:t>.</w:t>
      </w:r>
    </w:p>
    <w:p w:rsidR="009E581F" w:rsidRPr="006000A9" w:rsidRDefault="009E581F" w:rsidP="001054B9">
      <w:pPr>
        <w:pStyle w:val="BodyText"/>
        <w:numPr>
          <w:ilvl w:val="0"/>
          <w:numId w:val="30"/>
        </w:numPr>
        <w:jc w:val="both"/>
        <w:rPr>
          <w:rFonts w:ascii="Times New Roman" w:hAnsi="Times New Roman" w:cs="Times New Roman"/>
          <w:color w:val="000000"/>
          <w:sz w:val="24"/>
          <w:szCs w:val="24"/>
        </w:rPr>
      </w:pPr>
      <w:r>
        <w:rPr>
          <w:rFonts w:ascii="Times New Roman" w:hAnsi="Times New Roman" w:cs="Times New Roman"/>
          <w:sz w:val="24"/>
          <w:szCs w:val="24"/>
        </w:rPr>
        <w:t xml:space="preserve">Can we include a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about the field monitoring visits done by Till as the regional technical advisor?</w:t>
      </w:r>
    </w:p>
    <w:p w:rsidR="006000A9" w:rsidRPr="00F84101" w:rsidRDefault="006000A9" w:rsidP="006000A9">
      <w:pPr>
        <w:pStyle w:val="BodyText"/>
        <w:numPr>
          <w:ilvl w:val="0"/>
          <w:numId w:val="30"/>
        </w:numPr>
        <w:jc w:val="both"/>
        <w:rPr>
          <w:rFonts w:ascii="Times New Roman" w:hAnsi="Times New Roman" w:cs="Times New Roman"/>
          <w:color w:val="000000"/>
          <w:sz w:val="24"/>
          <w:szCs w:val="24"/>
        </w:rPr>
      </w:pPr>
      <w:r w:rsidRPr="00F84101">
        <w:rPr>
          <w:rFonts w:ascii="Times New Roman" w:hAnsi="Times New Roman" w:cs="Times New Roman"/>
          <w:sz w:val="24"/>
          <w:szCs w:val="24"/>
        </w:rPr>
        <w:t>The mid-term evaluation of INFUSE took place in August 2010. The main objectives were to: evaluate Programme performance thus far against its stated objectives and make recommendations to improve implementation going forward; an</w:t>
      </w:r>
      <w:bookmarkStart w:id="28" w:name="_GoBack"/>
      <w:bookmarkEnd w:id="28"/>
      <w:r w:rsidRPr="00F84101">
        <w:rPr>
          <w:rFonts w:ascii="Times New Roman" w:hAnsi="Times New Roman" w:cs="Times New Roman"/>
          <w:sz w:val="24"/>
          <w:szCs w:val="24"/>
        </w:rPr>
        <w:t xml:space="preserve">d to assess Programme performance </w:t>
      </w:r>
      <w:r w:rsidRPr="00F84101">
        <w:rPr>
          <w:rFonts w:ascii="Times New Roman" w:hAnsi="Times New Roman" w:cs="Times New Roman"/>
          <w:sz w:val="24"/>
          <w:szCs w:val="24"/>
          <w:lang w:val="en-GB"/>
        </w:rPr>
        <w:t xml:space="preserve">against the UNCDF’s global corporate strategy objectives and draw lessons to inform UNCDF’s future strategy debates. </w:t>
      </w:r>
    </w:p>
    <w:p w:rsidR="00D95AE1" w:rsidRPr="00F84101" w:rsidRDefault="00D95AE1" w:rsidP="00460BDE">
      <w:pPr>
        <w:pStyle w:val="BodyText"/>
        <w:jc w:val="both"/>
        <w:rPr>
          <w:rFonts w:ascii="Times New Roman" w:hAnsi="Times New Roman" w:cs="Times New Roman"/>
          <w:b/>
          <w:sz w:val="24"/>
          <w:szCs w:val="24"/>
        </w:rPr>
      </w:pPr>
    </w:p>
    <w:p w:rsidR="00AB0274" w:rsidRPr="00F84101" w:rsidRDefault="00AB0274" w:rsidP="00DE7117">
      <w:pPr>
        <w:pStyle w:val="Heading1"/>
        <w:numPr>
          <w:ilvl w:val="0"/>
          <w:numId w:val="42"/>
        </w:numPr>
      </w:pPr>
      <w:bookmarkStart w:id="29" w:name="_Toc249364486"/>
      <w:bookmarkStart w:id="30" w:name="_Toc288467978"/>
      <w:bookmarkStart w:id="31" w:name="_Toc288468710"/>
      <w:bookmarkStart w:id="32" w:name="_Toc288486049"/>
      <w:r w:rsidRPr="00DE7117">
        <w:t>Results</w:t>
      </w:r>
      <w:bookmarkEnd w:id="29"/>
      <w:bookmarkEnd w:id="30"/>
      <w:bookmarkEnd w:id="31"/>
      <w:bookmarkEnd w:id="32"/>
      <w:r w:rsidRPr="00F84101">
        <w:t xml:space="preserve"> </w:t>
      </w:r>
    </w:p>
    <w:p w:rsidR="006B25D4" w:rsidRPr="00F84101" w:rsidRDefault="006B25D4" w:rsidP="00AB0274">
      <w:pPr>
        <w:pStyle w:val="BodyText"/>
        <w:ind w:left="360"/>
        <w:rPr>
          <w:rFonts w:ascii="Times New Roman" w:hAnsi="Times New Roman" w:cs="Times New Roman"/>
          <w:sz w:val="24"/>
          <w:szCs w:val="24"/>
        </w:rPr>
      </w:pPr>
    </w:p>
    <w:p w:rsidR="00304CE1" w:rsidRDefault="00304CE1" w:rsidP="006B25D4">
      <w:pPr>
        <w:pBdr>
          <w:top w:val="single" w:sz="4" w:space="1" w:color="auto"/>
          <w:left w:val="single" w:sz="4" w:space="4" w:color="auto"/>
          <w:bottom w:val="single" w:sz="4" w:space="1" w:color="auto"/>
          <w:right w:val="single" w:sz="4" w:space="4" w:color="auto"/>
        </w:pBdr>
        <w:shd w:val="clear" w:color="auto" w:fill="CCCCCC"/>
        <w:jc w:val="both"/>
        <w:rPr>
          <w:b/>
          <w:bCs/>
        </w:rPr>
      </w:pPr>
    </w:p>
    <w:p w:rsidR="006B25D4" w:rsidRPr="00F84101" w:rsidRDefault="006B25D4" w:rsidP="006B25D4">
      <w:pPr>
        <w:pBdr>
          <w:top w:val="single" w:sz="4" w:space="1" w:color="auto"/>
          <w:left w:val="single" w:sz="4" w:space="4" w:color="auto"/>
          <w:bottom w:val="single" w:sz="4" w:space="1" w:color="auto"/>
          <w:right w:val="single" w:sz="4" w:space="4" w:color="auto"/>
        </w:pBdr>
        <w:shd w:val="clear" w:color="auto" w:fill="CCCCCC"/>
        <w:jc w:val="both"/>
        <w:rPr>
          <w:b/>
          <w:caps/>
          <w:lang w:eastAsia="ja-JP"/>
        </w:rPr>
      </w:pPr>
      <w:r w:rsidRPr="00F84101">
        <w:rPr>
          <w:b/>
          <w:bCs/>
        </w:rPr>
        <w:t xml:space="preserve">OUTPUT 1: </w:t>
      </w:r>
      <w:r w:rsidRPr="00F84101">
        <w:rPr>
          <w:b/>
          <w:caps/>
        </w:rPr>
        <w:t>ACHIEVING A POLICY</w:t>
      </w:r>
      <w:r w:rsidRPr="00F84101">
        <w:rPr>
          <w:b/>
          <w:caps/>
          <w:lang w:eastAsia="ja-JP"/>
        </w:rPr>
        <w:t xml:space="preserve"> </w:t>
      </w:r>
      <w:r w:rsidRPr="00F84101">
        <w:rPr>
          <w:b/>
          <w:caps/>
        </w:rPr>
        <w:t>/</w:t>
      </w:r>
      <w:r w:rsidRPr="00F84101">
        <w:rPr>
          <w:b/>
          <w:caps/>
          <w:lang w:eastAsia="ja-JP"/>
        </w:rPr>
        <w:t xml:space="preserve"> </w:t>
      </w:r>
      <w:r w:rsidRPr="00F84101">
        <w:rPr>
          <w:b/>
          <w:caps/>
        </w:rPr>
        <w:t>VISION STATEMENT</w:t>
      </w:r>
      <w:r w:rsidRPr="00F84101">
        <w:rPr>
          <w:b/>
          <w:caps/>
          <w:lang w:eastAsia="ja-JP"/>
        </w:rPr>
        <w:t xml:space="preserve"> </w:t>
      </w:r>
    </w:p>
    <w:p w:rsidR="006B25D4" w:rsidRPr="00304CE1" w:rsidRDefault="006B25D4" w:rsidP="006B25D4">
      <w:pPr>
        <w:pBdr>
          <w:top w:val="single" w:sz="4" w:space="1" w:color="auto"/>
          <w:left w:val="single" w:sz="4" w:space="4" w:color="auto"/>
          <w:bottom w:val="single" w:sz="4" w:space="1" w:color="auto"/>
          <w:right w:val="single" w:sz="4" w:space="4" w:color="auto"/>
        </w:pBdr>
        <w:shd w:val="clear" w:color="auto" w:fill="CCCCCC"/>
        <w:jc w:val="both"/>
        <w:rPr>
          <w:b/>
          <w:lang w:val="x-none"/>
        </w:rPr>
      </w:pPr>
    </w:p>
    <w:p w:rsidR="006B25D4" w:rsidRPr="00F84101" w:rsidRDefault="006B25D4" w:rsidP="006B25D4">
      <w:pPr>
        <w:pStyle w:val="Default"/>
        <w:jc w:val="both"/>
        <w:rPr>
          <w:rFonts w:ascii="Times New Roman" w:hAnsi="Times New Roman" w:cs="Times New Roman"/>
          <w:b/>
          <w:bCs/>
          <w:color w:val="auto"/>
          <w:lang w:val="en-GB" w:eastAsia="ja-JP"/>
        </w:rPr>
      </w:pPr>
    </w:p>
    <w:p w:rsidR="006B25D4" w:rsidRPr="00F84101" w:rsidRDefault="006B25D4" w:rsidP="006B25D4">
      <w:pPr>
        <w:pStyle w:val="Default"/>
        <w:pBdr>
          <w:top w:val="single" w:sz="4" w:space="1" w:color="auto"/>
          <w:left w:val="single" w:sz="4" w:space="4" w:color="auto"/>
          <w:bottom w:val="single" w:sz="4" w:space="1" w:color="auto"/>
          <w:right w:val="single" w:sz="4" w:space="4" w:color="auto"/>
        </w:pBdr>
        <w:shd w:val="clear" w:color="auto" w:fill="F3F3F3"/>
        <w:jc w:val="both"/>
        <w:rPr>
          <w:rFonts w:ascii="Times New Roman" w:hAnsi="Times New Roman" w:cs="Times New Roman"/>
          <w:b/>
          <w:i/>
          <w:lang w:val="en-GB" w:eastAsia="ja-JP"/>
        </w:rPr>
      </w:pPr>
    </w:p>
    <w:p w:rsidR="006B25D4" w:rsidRPr="00F84101" w:rsidRDefault="006B25D4" w:rsidP="006B25D4">
      <w:pPr>
        <w:pStyle w:val="Default"/>
        <w:pBdr>
          <w:top w:val="single" w:sz="4" w:space="1" w:color="auto"/>
          <w:left w:val="single" w:sz="4" w:space="4" w:color="auto"/>
          <w:bottom w:val="single" w:sz="4" w:space="1" w:color="auto"/>
          <w:right w:val="single" w:sz="4" w:space="4" w:color="auto"/>
        </w:pBdr>
        <w:shd w:val="clear" w:color="auto" w:fill="F3F3F3"/>
        <w:jc w:val="both"/>
        <w:rPr>
          <w:rFonts w:ascii="Times New Roman" w:hAnsi="Times New Roman" w:cs="Times New Roman"/>
          <w:b/>
          <w:i/>
          <w:lang w:val="en-GB" w:eastAsia="ja-JP"/>
        </w:rPr>
      </w:pPr>
      <w:r w:rsidRPr="00F84101">
        <w:rPr>
          <w:rFonts w:ascii="Times New Roman" w:hAnsi="Times New Roman" w:cs="Times New Roman"/>
          <w:b/>
          <w:i/>
          <w:lang w:val="en-GB"/>
        </w:rPr>
        <w:t xml:space="preserve">A national policy/vision statement for inclusive finance is developed, consulted and adopted by </w:t>
      </w:r>
      <w:r w:rsidRPr="00F84101">
        <w:rPr>
          <w:rFonts w:ascii="Times New Roman" w:hAnsi="Times New Roman" w:cs="Times New Roman"/>
          <w:b/>
          <w:i/>
          <w:lang w:val="en-GB"/>
        </w:rPr>
        <w:lastRenderedPageBreak/>
        <w:t>GoTL, and enabling legislation is in place to support the expansion and consolidation of the financial sector. Coherent, effective and synergetic donor funding based on the national policy framework has been provided.</w:t>
      </w:r>
    </w:p>
    <w:p w:rsidR="006B25D4" w:rsidRPr="00F84101" w:rsidRDefault="006B25D4" w:rsidP="006B25D4">
      <w:pPr>
        <w:pStyle w:val="Default"/>
        <w:pBdr>
          <w:top w:val="single" w:sz="4" w:space="1" w:color="auto"/>
          <w:left w:val="single" w:sz="4" w:space="4" w:color="auto"/>
          <w:bottom w:val="single" w:sz="4" w:space="1" w:color="auto"/>
          <w:right w:val="single" w:sz="4" w:space="4" w:color="auto"/>
        </w:pBdr>
        <w:shd w:val="clear" w:color="auto" w:fill="F3F3F3"/>
        <w:jc w:val="both"/>
        <w:rPr>
          <w:rFonts w:ascii="Times New Roman" w:hAnsi="Times New Roman" w:cs="Times New Roman"/>
          <w:bCs/>
          <w:i/>
          <w:color w:val="auto"/>
          <w:lang w:val="en-GB" w:eastAsia="ja-JP"/>
        </w:rPr>
      </w:pPr>
    </w:p>
    <w:p w:rsidR="006B25D4" w:rsidRPr="00E66359" w:rsidRDefault="006B25D4" w:rsidP="006B25D4">
      <w:pPr>
        <w:pStyle w:val="Default"/>
        <w:jc w:val="both"/>
        <w:rPr>
          <w:rFonts w:ascii="Times New Roman" w:hAnsi="Times New Roman" w:cs="Times New Roman"/>
          <w:b/>
          <w:bCs/>
          <w:color w:val="auto"/>
          <w:lang w:val="en-GB" w:eastAsia="ja-JP"/>
        </w:rPr>
      </w:pPr>
    </w:p>
    <w:p w:rsidR="006B25D4" w:rsidRPr="002541D7" w:rsidRDefault="006B25D4" w:rsidP="00396A41">
      <w:pPr>
        <w:pStyle w:val="Heading2"/>
        <w:rPr>
          <w:b w:val="0"/>
          <w:bCs w:val="0"/>
          <w:i/>
          <w:iCs/>
          <w:sz w:val="24"/>
        </w:rPr>
      </w:pPr>
      <w:bookmarkStart w:id="33" w:name="_Toc288486050"/>
      <w:r w:rsidRPr="002541D7">
        <w:rPr>
          <w:b w:val="0"/>
          <w:bCs w:val="0"/>
          <w:i/>
          <w:iCs/>
          <w:sz w:val="24"/>
        </w:rPr>
        <w:t xml:space="preserve">The following </w:t>
      </w:r>
      <w:r w:rsidR="00C03FD2" w:rsidRPr="002541D7">
        <w:rPr>
          <w:b w:val="0"/>
          <w:bCs w:val="0"/>
          <w:i/>
          <w:iCs/>
          <w:sz w:val="24"/>
        </w:rPr>
        <w:t xml:space="preserve">key </w:t>
      </w:r>
      <w:r w:rsidR="00193774" w:rsidRPr="002541D7">
        <w:rPr>
          <w:b w:val="0"/>
          <w:bCs w:val="0"/>
          <w:i/>
          <w:iCs/>
          <w:sz w:val="24"/>
        </w:rPr>
        <w:t>activities implemented</w:t>
      </w:r>
      <w:r w:rsidRPr="002541D7">
        <w:rPr>
          <w:b w:val="0"/>
          <w:bCs w:val="0"/>
          <w:i/>
          <w:iCs/>
          <w:sz w:val="24"/>
        </w:rPr>
        <w:t xml:space="preserve"> </w:t>
      </w:r>
      <w:r w:rsidR="00B407FE" w:rsidRPr="002541D7">
        <w:rPr>
          <w:b w:val="0"/>
          <w:bCs w:val="0"/>
          <w:i/>
          <w:iCs/>
          <w:sz w:val="24"/>
        </w:rPr>
        <w:t xml:space="preserve">in support of Output 1 </w:t>
      </w:r>
      <w:r w:rsidR="00820CC4" w:rsidRPr="002541D7">
        <w:rPr>
          <w:b w:val="0"/>
          <w:bCs w:val="0"/>
          <w:i/>
          <w:iCs/>
          <w:sz w:val="24"/>
        </w:rPr>
        <w:t>from January – December</w:t>
      </w:r>
      <w:r w:rsidRPr="002541D7">
        <w:rPr>
          <w:b w:val="0"/>
          <w:bCs w:val="0"/>
          <w:i/>
          <w:iCs/>
          <w:sz w:val="24"/>
        </w:rPr>
        <w:t xml:space="preserve"> 2010:</w:t>
      </w:r>
      <w:bookmarkEnd w:id="33"/>
    </w:p>
    <w:p w:rsidR="006B25D4" w:rsidRDefault="006B25D4" w:rsidP="006B25D4">
      <w:pPr>
        <w:jc w:val="both"/>
        <w:rPr>
          <w:lang w:eastAsia="ja-JP"/>
        </w:rPr>
      </w:pPr>
    </w:p>
    <w:p w:rsidR="002E1687" w:rsidRDefault="002E1687" w:rsidP="00164BD8">
      <w:pPr>
        <w:jc w:val="both"/>
        <w:rPr>
          <w:szCs w:val="23"/>
        </w:rPr>
      </w:pPr>
      <w:r w:rsidRPr="00881F78">
        <w:rPr>
          <w:szCs w:val="23"/>
        </w:rPr>
        <w:t xml:space="preserve">INFUSE </w:t>
      </w:r>
      <w:r>
        <w:rPr>
          <w:szCs w:val="23"/>
        </w:rPr>
        <w:t>has established key partnerships</w:t>
      </w:r>
      <w:r w:rsidRPr="00881F78">
        <w:rPr>
          <w:szCs w:val="23"/>
        </w:rPr>
        <w:t xml:space="preserve"> with the MoED</w:t>
      </w:r>
      <w:r w:rsidR="009A24A4">
        <w:rPr>
          <w:szCs w:val="23"/>
        </w:rPr>
        <w:t xml:space="preserve"> </w:t>
      </w:r>
      <w:r w:rsidR="00396A41">
        <w:rPr>
          <w:szCs w:val="23"/>
        </w:rPr>
        <w:t>whose Minister</w:t>
      </w:r>
      <w:r w:rsidR="009A24A4">
        <w:rPr>
          <w:szCs w:val="23"/>
        </w:rPr>
        <w:t xml:space="preserve"> chairs the MCIF.  In addition </w:t>
      </w:r>
      <w:r w:rsidR="00164BD8">
        <w:rPr>
          <w:szCs w:val="23"/>
        </w:rPr>
        <w:t xml:space="preserve">during 2010, </w:t>
      </w:r>
      <w:r w:rsidR="009A24A4">
        <w:rPr>
          <w:szCs w:val="23"/>
        </w:rPr>
        <w:t xml:space="preserve">INFUSE </w:t>
      </w:r>
      <w:r w:rsidR="00164BD8">
        <w:rPr>
          <w:szCs w:val="23"/>
        </w:rPr>
        <w:t>enhanced</w:t>
      </w:r>
      <w:r w:rsidR="009A24A4">
        <w:rPr>
          <w:szCs w:val="23"/>
        </w:rPr>
        <w:t xml:space="preserve"> relations with </w:t>
      </w:r>
      <w:r w:rsidRPr="00881F78">
        <w:rPr>
          <w:szCs w:val="23"/>
        </w:rPr>
        <w:t xml:space="preserve">the </w:t>
      </w:r>
      <w:r w:rsidR="00EE36BE" w:rsidRPr="00F84101">
        <w:t xml:space="preserve">Banking and Payments Authority </w:t>
      </w:r>
      <w:r w:rsidR="00EE36BE">
        <w:t>(</w:t>
      </w:r>
      <w:r w:rsidRPr="00881F78">
        <w:rPr>
          <w:szCs w:val="23"/>
        </w:rPr>
        <w:t>BPA</w:t>
      </w:r>
      <w:r w:rsidR="00EE36BE">
        <w:rPr>
          <w:szCs w:val="23"/>
        </w:rPr>
        <w:t>)</w:t>
      </w:r>
      <w:r w:rsidR="009A24A4">
        <w:rPr>
          <w:szCs w:val="23"/>
        </w:rPr>
        <w:t xml:space="preserve"> </w:t>
      </w:r>
      <w:r w:rsidR="00164BD8">
        <w:t>which is the precursor to the central bank</w:t>
      </w:r>
      <w:r w:rsidR="009A24A4">
        <w:rPr>
          <w:szCs w:val="23"/>
        </w:rPr>
        <w:t>. Finally, INFUSE’s</w:t>
      </w:r>
      <w:r w:rsidRPr="00881F78">
        <w:rPr>
          <w:szCs w:val="23"/>
        </w:rPr>
        <w:t xml:space="preserve"> participation in the National Priority Working Groups (NPWG) generated a greater awareness of inclusive finance issues.  </w:t>
      </w:r>
    </w:p>
    <w:p w:rsidR="002E1687" w:rsidRPr="00F84101" w:rsidRDefault="002E1687" w:rsidP="00164BD8">
      <w:pPr>
        <w:jc w:val="both"/>
        <w:rPr>
          <w:lang w:eastAsia="ja-JP"/>
        </w:rPr>
      </w:pPr>
    </w:p>
    <w:p w:rsidR="00EE36BE" w:rsidRPr="00EE36BE" w:rsidRDefault="0054043E" w:rsidP="00164BD8">
      <w:pPr>
        <w:numPr>
          <w:ilvl w:val="0"/>
          <w:numId w:val="24"/>
        </w:numPr>
        <w:tabs>
          <w:tab w:val="clear" w:pos="720"/>
          <w:tab w:val="num" w:pos="360"/>
        </w:tabs>
        <w:ind w:left="360"/>
        <w:jc w:val="both"/>
        <w:rPr>
          <w:i/>
        </w:rPr>
      </w:pPr>
      <w:r w:rsidRPr="00F84101">
        <w:t>INFUSE procured the services of a</w:t>
      </w:r>
      <w:r w:rsidR="00EE36BE">
        <w:t xml:space="preserve">n expert in microfinance policy and regulations to provide </w:t>
      </w:r>
      <w:r w:rsidRPr="00F84101">
        <w:t xml:space="preserve">technical </w:t>
      </w:r>
      <w:r w:rsidR="00EE36BE">
        <w:t>assistance</w:t>
      </w:r>
      <w:r w:rsidR="00EE36BE" w:rsidRPr="00F84101">
        <w:t xml:space="preserve"> </w:t>
      </w:r>
      <w:r w:rsidRPr="00F84101">
        <w:t xml:space="preserve">to the </w:t>
      </w:r>
      <w:r w:rsidR="00164BD8">
        <w:t xml:space="preserve">BPA </w:t>
      </w:r>
      <w:r w:rsidR="00EE36BE">
        <w:t>for</w:t>
      </w:r>
      <w:r w:rsidR="00EE36BE" w:rsidRPr="00F84101">
        <w:t xml:space="preserve"> </w:t>
      </w:r>
      <w:r w:rsidR="0032219D" w:rsidRPr="00F84101">
        <w:t xml:space="preserve">development of an enabling </w:t>
      </w:r>
      <w:r w:rsidR="00A1312E" w:rsidRPr="00F84101">
        <w:t>r</w:t>
      </w:r>
      <w:r w:rsidR="0032219D" w:rsidRPr="00F84101">
        <w:t xml:space="preserve">egulatory </w:t>
      </w:r>
      <w:r w:rsidR="00A1312E" w:rsidRPr="00F84101">
        <w:t>f</w:t>
      </w:r>
      <w:r w:rsidR="0032219D" w:rsidRPr="00F84101">
        <w:t>ramework for microfinance</w:t>
      </w:r>
      <w:r w:rsidRPr="00F84101">
        <w:t xml:space="preserve">. The consultant </w:t>
      </w:r>
      <w:r w:rsidR="00EE36BE">
        <w:t>provided support remotely and in country between May and December to:</w:t>
      </w:r>
    </w:p>
    <w:p w:rsidR="00EE36BE" w:rsidRPr="00EE36BE" w:rsidRDefault="00EE36BE" w:rsidP="00164BD8">
      <w:pPr>
        <w:numPr>
          <w:ilvl w:val="1"/>
          <w:numId w:val="24"/>
        </w:numPr>
        <w:jc w:val="both"/>
        <w:rPr>
          <w:i/>
        </w:rPr>
      </w:pPr>
      <w:r>
        <w:t>Conduct a policy diagnostic to evaluate the regulatory environment and advise on appropriate interventions.</w:t>
      </w:r>
    </w:p>
    <w:p w:rsidR="00EE36BE" w:rsidRPr="00EE36BE" w:rsidRDefault="00EE36BE" w:rsidP="00164BD8">
      <w:pPr>
        <w:numPr>
          <w:ilvl w:val="1"/>
          <w:numId w:val="24"/>
        </w:numPr>
        <w:jc w:val="both"/>
        <w:rPr>
          <w:i/>
        </w:rPr>
      </w:pPr>
      <w:r>
        <w:t xml:space="preserve">Provide inputs into the new draft document </w:t>
      </w:r>
    </w:p>
    <w:p w:rsidR="00EE36BE" w:rsidRPr="00EE36BE" w:rsidRDefault="00EE36BE" w:rsidP="00164BD8">
      <w:pPr>
        <w:numPr>
          <w:ilvl w:val="1"/>
          <w:numId w:val="24"/>
        </w:numPr>
        <w:jc w:val="both"/>
        <w:rPr>
          <w:i/>
        </w:rPr>
      </w:pPr>
      <w:r>
        <w:t>Incorporate parallel policy work being undertaken around branchless banking.</w:t>
      </w:r>
    </w:p>
    <w:p w:rsidR="00564823" w:rsidRPr="00F84101" w:rsidRDefault="00EE36BE" w:rsidP="00164BD8">
      <w:pPr>
        <w:ind w:left="360"/>
        <w:jc w:val="both"/>
        <w:rPr>
          <w:i/>
        </w:rPr>
      </w:pPr>
      <w:r>
        <w:t xml:space="preserve">The result of this technical assistance was the </w:t>
      </w:r>
      <w:r w:rsidR="0054043E" w:rsidRPr="00F84101">
        <w:t xml:space="preserve">BPA Governing Board Resolution No. 11/2010 approved Public Instruction No. 06/2010 </w:t>
      </w:r>
      <w:r w:rsidR="0054043E" w:rsidRPr="00F84101">
        <w:rPr>
          <w:i/>
        </w:rPr>
        <w:t xml:space="preserve">On the </w:t>
      </w:r>
      <w:r w:rsidR="0054043E" w:rsidRPr="00C35A31">
        <w:rPr>
          <w:i/>
        </w:rPr>
        <w:t>Licensing and Supervision of Other Deposit Taking Institutions (ODTIs</w:t>
      </w:r>
      <w:r w:rsidRPr="00C35A31">
        <w:t>) approved on December 17, 2010</w:t>
      </w:r>
      <w:r w:rsidR="00C35A31" w:rsidRPr="00C35A31">
        <w:t xml:space="preserve"> and available for download at </w:t>
      </w:r>
      <w:hyperlink r:id="rId18" w:history="1">
        <w:r w:rsidR="00C35A31" w:rsidRPr="00C35A31">
          <w:rPr>
            <w:rStyle w:val="Hyperlink"/>
            <w:color w:val="auto"/>
          </w:rPr>
          <w:t>http://www.bancocentral.tl/Download/Instructions/Pub_Inst_6_2010_en.pdf</w:t>
        </w:r>
      </w:hyperlink>
      <w:r w:rsidRPr="00C35A31">
        <w:t>.</w:t>
      </w:r>
      <w:r w:rsidR="00C35A31" w:rsidRPr="00C35A31">
        <w:t xml:space="preserve"> </w:t>
      </w:r>
      <w:r w:rsidR="005346BD" w:rsidRPr="00C35A31">
        <w:t>The implications are that the NGO-MFIs will be restricted from mediating savings</w:t>
      </w:r>
      <w:r w:rsidR="00164BD8" w:rsidRPr="00C35A31">
        <w:t xml:space="preserve"> deposits unless they obtain an</w:t>
      </w:r>
      <w:r w:rsidR="005346BD" w:rsidRPr="00C35A31">
        <w:t xml:space="preserve"> ODTI license.  To apply for such a license, the NGO</w:t>
      </w:r>
      <w:r w:rsidR="00164BD8" w:rsidRPr="00C35A31">
        <w:t>-MFIs</w:t>
      </w:r>
      <w:r w:rsidR="005346BD">
        <w:t xml:space="preserve"> will be req</w:t>
      </w:r>
      <w:r w:rsidR="00164BD8">
        <w:t xml:space="preserve">uired to first transform into companies </w:t>
      </w:r>
      <w:r w:rsidR="005346BD">
        <w:t xml:space="preserve">as per the commercial companies law.  The instruction states current interested MFIs must apply by June 2011 which will require additional technical support and legal advice in the coming months.  </w:t>
      </w:r>
    </w:p>
    <w:p w:rsidR="006B25D4" w:rsidRPr="00F84101" w:rsidRDefault="006B25D4" w:rsidP="00164BD8">
      <w:pPr>
        <w:ind w:left="360"/>
        <w:jc w:val="both"/>
      </w:pPr>
    </w:p>
    <w:p w:rsidR="00C66E29" w:rsidRPr="00F84101" w:rsidRDefault="00E74F0D" w:rsidP="00164BD8">
      <w:pPr>
        <w:widowControl w:val="0"/>
        <w:numPr>
          <w:ilvl w:val="0"/>
          <w:numId w:val="23"/>
        </w:numPr>
        <w:tabs>
          <w:tab w:val="clear" w:pos="720"/>
          <w:tab w:val="num" w:pos="360"/>
          <w:tab w:val="left" w:pos="5940"/>
        </w:tabs>
        <w:ind w:left="360"/>
        <w:jc w:val="both"/>
      </w:pPr>
      <w:r w:rsidRPr="00F84101">
        <w:rPr>
          <w:bCs/>
          <w:lang w:eastAsia="ja-JP"/>
        </w:rPr>
        <w:t xml:space="preserve">INFUSE linked the BPA to the Alliance for Financial Inclusion (AFI), </w:t>
      </w:r>
      <w:r w:rsidRPr="00F84101">
        <w:t>a global network of financial regulators</w:t>
      </w:r>
      <w:r w:rsidR="00342343" w:rsidRPr="00F84101">
        <w:t xml:space="preserve"> from over 80 countries</w:t>
      </w:r>
      <w:r w:rsidR="00E0327C">
        <w:t>,</w:t>
      </w:r>
      <w:r w:rsidRPr="00F84101">
        <w:t xml:space="preserve"> </w:t>
      </w:r>
      <w:r w:rsidR="001D13E2" w:rsidRPr="00F84101">
        <w:t>which promotes</w:t>
      </w:r>
      <w:r w:rsidRPr="00F84101">
        <w:t xml:space="preserve"> knowledge-exchange </w:t>
      </w:r>
      <w:r w:rsidR="001D13E2" w:rsidRPr="00F84101">
        <w:t xml:space="preserve">and dialogue </w:t>
      </w:r>
      <w:r w:rsidR="00527AE5" w:rsidRPr="00F84101">
        <w:t xml:space="preserve">on key issues through participation in various working groups, </w:t>
      </w:r>
      <w:r w:rsidR="001D13E2" w:rsidRPr="00F84101">
        <w:t xml:space="preserve">with </w:t>
      </w:r>
      <w:r w:rsidR="003A7EA6" w:rsidRPr="00F84101">
        <w:t xml:space="preserve">the </w:t>
      </w:r>
      <w:r w:rsidR="00A5339B" w:rsidRPr="00F84101">
        <w:t>goal of instilling best practices</w:t>
      </w:r>
      <w:r w:rsidRPr="00F84101">
        <w:t xml:space="preserve"> </w:t>
      </w:r>
      <w:r w:rsidR="00527AE5" w:rsidRPr="00F84101">
        <w:t>amongst policymakers</w:t>
      </w:r>
      <w:r w:rsidR="001D13E2" w:rsidRPr="00F84101">
        <w:t xml:space="preserve">. </w:t>
      </w:r>
      <w:r w:rsidR="00C66E29" w:rsidRPr="00F84101">
        <w:t>Subsequently, the BPA formally registered as a member of AFI</w:t>
      </w:r>
      <w:r w:rsidR="00C66E29" w:rsidRPr="00F84101">
        <w:rPr>
          <w:bCs/>
          <w:lang w:eastAsia="ja-JP"/>
        </w:rPr>
        <w:t xml:space="preserve">. </w:t>
      </w:r>
      <w:r w:rsidR="00E9019B" w:rsidRPr="00F84101">
        <w:rPr>
          <w:bCs/>
          <w:lang w:eastAsia="ja-JP"/>
        </w:rPr>
        <w:t xml:space="preserve"> </w:t>
      </w:r>
      <w:r w:rsidR="00C66E29" w:rsidRPr="00F84101">
        <w:rPr>
          <w:bCs/>
          <w:lang w:eastAsia="ja-JP"/>
        </w:rPr>
        <w:t xml:space="preserve">In 2010, </w:t>
      </w:r>
      <w:r w:rsidR="006B25D4" w:rsidRPr="00F84101">
        <w:rPr>
          <w:bCs/>
          <w:lang w:eastAsia="ja-JP"/>
        </w:rPr>
        <w:t>I</w:t>
      </w:r>
      <w:r w:rsidR="006B25D4" w:rsidRPr="00F84101">
        <w:t>NFUSE sponsored</w:t>
      </w:r>
      <w:r w:rsidR="00C66E29" w:rsidRPr="00F84101">
        <w:t xml:space="preserve"> the following exposure vis</w:t>
      </w:r>
      <w:r w:rsidR="00E9019B" w:rsidRPr="00F84101">
        <w:t>its and trainings for BPA staff:</w:t>
      </w:r>
    </w:p>
    <w:p w:rsidR="00C66E29" w:rsidRPr="00F84101" w:rsidRDefault="00C66E29" w:rsidP="0084267F">
      <w:pPr>
        <w:numPr>
          <w:ilvl w:val="1"/>
          <w:numId w:val="24"/>
        </w:numPr>
        <w:jc w:val="both"/>
      </w:pPr>
      <w:r w:rsidRPr="00F84101">
        <w:t>T</w:t>
      </w:r>
      <w:r w:rsidR="00E9019B" w:rsidRPr="00F84101">
        <w:t>wo senior staff members’ participation</w:t>
      </w:r>
      <w:r w:rsidR="006B25D4" w:rsidRPr="00F84101">
        <w:t xml:space="preserve"> in</w:t>
      </w:r>
      <w:r w:rsidR="00691CFC" w:rsidRPr="00F84101">
        <w:t xml:space="preserve"> a</w:t>
      </w:r>
      <w:r w:rsidR="006B25D4" w:rsidRPr="00F84101">
        <w:t xml:space="preserve"> </w:t>
      </w:r>
      <w:r w:rsidR="00A5339B" w:rsidRPr="00F84101">
        <w:t xml:space="preserve">knowledge exchange visit </w:t>
      </w:r>
      <w:r w:rsidR="009B75E0" w:rsidRPr="00F84101">
        <w:t xml:space="preserve">to the Philippines </w:t>
      </w:r>
      <w:r w:rsidR="00E9019B" w:rsidRPr="00F84101">
        <w:t xml:space="preserve">in June </w:t>
      </w:r>
      <w:r w:rsidR="009B75E0" w:rsidRPr="00F84101">
        <w:t>regarding the development of policy approaches for mobile phone financial services</w:t>
      </w:r>
      <w:r w:rsidR="00A5339B" w:rsidRPr="00F84101">
        <w:t xml:space="preserve"> with the </w:t>
      </w:r>
      <w:r w:rsidR="00635036" w:rsidRPr="00F84101">
        <w:t xml:space="preserve">AFI </w:t>
      </w:r>
      <w:r w:rsidR="00191602" w:rsidRPr="00F84101">
        <w:t>Pacific Islands Working Group</w:t>
      </w:r>
      <w:r w:rsidR="00E9019B" w:rsidRPr="00F84101">
        <w:t>;</w:t>
      </w:r>
    </w:p>
    <w:p w:rsidR="00C66E29" w:rsidRPr="00F84101" w:rsidRDefault="00E9019B" w:rsidP="0084267F">
      <w:pPr>
        <w:numPr>
          <w:ilvl w:val="1"/>
          <w:numId w:val="24"/>
        </w:numPr>
        <w:jc w:val="both"/>
      </w:pPr>
      <w:r w:rsidRPr="00F84101">
        <w:t>O</w:t>
      </w:r>
      <w:r w:rsidR="00C66E29" w:rsidRPr="00F84101">
        <w:t>ne senior staff member</w:t>
      </w:r>
      <w:r w:rsidRPr="00F84101">
        <w:t>’s attendance at the AFI Pacific Islands Working Group</w:t>
      </w:r>
      <w:r w:rsidR="00C66E29" w:rsidRPr="00F84101">
        <w:t xml:space="preserve"> follow-up workshop </w:t>
      </w:r>
      <w:r w:rsidR="00E0327C">
        <w:t xml:space="preserve">to the exposure visit </w:t>
      </w:r>
      <w:r w:rsidR="00C66E29" w:rsidRPr="00F84101">
        <w:t>in Fiji in August</w:t>
      </w:r>
      <w:r w:rsidRPr="00F84101">
        <w:t>; and</w:t>
      </w:r>
    </w:p>
    <w:p w:rsidR="00E9019B" w:rsidRPr="00F84101" w:rsidRDefault="00527AE5" w:rsidP="0084267F">
      <w:pPr>
        <w:numPr>
          <w:ilvl w:val="1"/>
          <w:numId w:val="24"/>
        </w:numPr>
        <w:jc w:val="both"/>
      </w:pPr>
      <w:r w:rsidRPr="00F84101">
        <w:t>BPA General Manager</w:t>
      </w:r>
      <w:r w:rsidR="00E9019B" w:rsidRPr="00F84101">
        <w:t>’s attendance at</w:t>
      </w:r>
      <w:r w:rsidR="00635036" w:rsidRPr="00F84101">
        <w:t xml:space="preserve"> </w:t>
      </w:r>
      <w:r w:rsidR="00342343" w:rsidRPr="00F84101">
        <w:t xml:space="preserve">the AFI Global Policy Forum in </w:t>
      </w:r>
      <w:r w:rsidR="009D3593" w:rsidRPr="00F84101">
        <w:t>Bali</w:t>
      </w:r>
      <w:r w:rsidR="00E9019B" w:rsidRPr="00F84101">
        <w:t xml:space="preserve"> in September</w:t>
      </w:r>
      <w:r w:rsidR="00342343" w:rsidRPr="00F84101">
        <w:t xml:space="preserve">, which </w:t>
      </w:r>
      <w:r w:rsidR="009D3593" w:rsidRPr="00F84101">
        <w:t xml:space="preserve">brought together financial sector policy makers to share experience and explore how to increase access to finance through innovative policy. </w:t>
      </w:r>
    </w:p>
    <w:p w:rsidR="0048416E" w:rsidRPr="00F84101" w:rsidRDefault="0048416E" w:rsidP="0048416E">
      <w:pPr>
        <w:widowControl w:val="0"/>
        <w:tabs>
          <w:tab w:val="left" w:pos="5940"/>
        </w:tabs>
        <w:jc w:val="both"/>
      </w:pPr>
    </w:p>
    <w:p w:rsidR="00743985" w:rsidRPr="00F84101" w:rsidRDefault="006B25D4" w:rsidP="00875343">
      <w:pPr>
        <w:widowControl w:val="0"/>
        <w:numPr>
          <w:ilvl w:val="0"/>
          <w:numId w:val="23"/>
        </w:numPr>
        <w:tabs>
          <w:tab w:val="clear" w:pos="720"/>
          <w:tab w:val="num" w:pos="360"/>
        </w:tabs>
        <w:ind w:left="360"/>
        <w:jc w:val="both"/>
      </w:pPr>
      <w:r w:rsidRPr="00F84101">
        <w:t xml:space="preserve">INFUSE participated in the </w:t>
      </w:r>
      <w:r w:rsidR="002E0FDA" w:rsidRPr="00F84101">
        <w:t xml:space="preserve">GoTL’s </w:t>
      </w:r>
      <w:r w:rsidR="0021723A" w:rsidRPr="00F84101">
        <w:t>2010 Natio</w:t>
      </w:r>
      <w:r w:rsidRPr="00F84101">
        <w:t>nal Priority Working Group (NPWG1) for Infrastructure</w:t>
      </w:r>
      <w:r w:rsidR="00CB239D" w:rsidRPr="00F84101">
        <w:t xml:space="preserve"> (</w:t>
      </w:r>
      <w:r w:rsidR="00E0327C">
        <w:t>Private Sector Development</w:t>
      </w:r>
      <w:r w:rsidR="00CB239D" w:rsidRPr="00F84101">
        <w:t>)</w:t>
      </w:r>
      <w:r w:rsidR="00A25F10" w:rsidRPr="00F84101">
        <w:t xml:space="preserve">. </w:t>
      </w:r>
      <w:r w:rsidR="00E0327C">
        <w:t xml:space="preserve">Private sector development was one of the key </w:t>
      </w:r>
      <w:r w:rsidR="00E0327C">
        <w:lastRenderedPageBreak/>
        <w:t>goals</w:t>
      </w:r>
      <w:r w:rsidRPr="00F84101">
        <w:t xml:space="preserve">, and </w:t>
      </w:r>
      <w:r w:rsidR="009154E6" w:rsidRPr="00F84101">
        <w:t xml:space="preserve">INFUSE advocated </w:t>
      </w:r>
      <w:r w:rsidR="00A46092" w:rsidRPr="00F84101">
        <w:t>for</w:t>
      </w:r>
      <w:r w:rsidR="009154E6" w:rsidRPr="00F84101">
        <w:t xml:space="preserve"> </w:t>
      </w:r>
      <w:r w:rsidR="0048416E" w:rsidRPr="00F84101">
        <w:t xml:space="preserve">increased </w:t>
      </w:r>
      <w:r w:rsidRPr="00F84101">
        <w:t>access to financial services</w:t>
      </w:r>
      <w:r w:rsidR="00A46092" w:rsidRPr="00F84101">
        <w:t xml:space="preserve"> to</w:t>
      </w:r>
      <w:r w:rsidRPr="00F84101">
        <w:t xml:space="preserve"> </w:t>
      </w:r>
      <w:r w:rsidR="009154E6" w:rsidRPr="00F84101">
        <w:t>be</w:t>
      </w:r>
      <w:r w:rsidRPr="00F84101">
        <w:t xml:space="preserve"> incorporated as a target</w:t>
      </w:r>
      <w:r w:rsidR="000678F5" w:rsidRPr="00F84101">
        <w:t xml:space="preserve"> under this objective</w:t>
      </w:r>
      <w:r w:rsidR="00A46092" w:rsidRPr="00F84101">
        <w:t xml:space="preserve"> and reported on progress quarterly</w:t>
      </w:r>
      <w:r w:rsidRPr="00F84101">
        <w:t>.</w:t>
      </w:r>
      <w:r w:rsidR="00A25F10" w:rsidRPr="00F84101">
        <w:t xml:space="preserve"> Participation in this forum </w:t>
      </w:r>
      <w:r w:rsidR="00E0327C">
        <w:t>gave</w:t>
      </w:r>
      <w:r w:rsidR="00E0327C" w:rsidRPr="00F84101">
        <w:t xml:space="preserve"> </w:t>
      </w:r>
      <w:r w:rsidR="00A25F10" w:rsidRPr="00F84101">
        <w:t xml:space="preserve">INFUSE the opportunity to </w:t>
      </w:r>
      <w:r w:rsidR="00E0327C">
        <w:t>promote</w:t>
      </w:r>
      <w:r w:rsidR="00E0327C" w:rsidRPr="00F84101">
        <w:t xml:space="preserve"> </w:t>
      </w:r>
      <w:r w:rsidR="00A25F10" w:rsidRPr="00F84101">
        <w:t xml:space="preserve">awareness of </w:t>
      </w:r>
      <w:r w:rsidR="003A5719" w:rsidRPr="00F84101">
        <w:t xml:space="preserve">issues pertaining to </w:t>
      </w:r>
      <w:r w:rsidR="00A25F10" w:rsidRPr="00F84101">
        <w:t>microfinance</w:t>
      </w:r>
      <w:r w:rsidR="00E0327C">
        <w:t xml:space="preserve"> amongst a forum of different government agencies, donors, and development partners</w:t>
      </w:r>
      <w:r w:rsidR="00A25F10" w:rsidRPr="00F84101">
        <w:t xml:space="preserve">. </w:t>
      </w:r>
    </w:p>
    <w:p w:rsidR="004470A5" w:rsidRPr="00F84101" w:rsidRDefault="004470A5" w:rsidP="004470A5">
      <w:pPr>
        <w:widowControl w:val="0"/>
        <w:jc w:val="both"/>
      </w:pPr>
    </w:p>
    <w:p w:rsidR="004470A5" w:rsidRPr="002541D7" w:rsidRDefault="004470A5" w:rsidP="004470A5">
      <w:pPr>
        <w:pStyle w:val="Default"/>
        <w:jc w:val="both"/>
        <w:rPr>
          <w:rFonts w:ascii="Times New Roman" w:hAnsi="Times New Roman" w:cs="Times New Roman"/>
          <w:bCs/>
          <w:i/>
          <w:color w:val="auto"/>
          <w:lang w:val="en-GB" w:eastAsia="ja-JP"/>
        </w:rPr>
      </w:pPr>
      <w:r w:rsidRPr="002541D7">
        <w:rPr>
          <w:rFonts w:ascii="Times New Roman" w:hAnsi="Times New Roman" w:cs="Times New Roman"/>
          <w:bCs/>
          <w:i/>
          <w:color w:val="auto"/>
          <w:lang w:val="en-GB" w:eastAsia="ja-JP"/>
        </w:rPr>
        <w:t xml:space="preserve">Progress </w:t>
      </w:r>
      <w:r w:rsidR="00B407FE" w:rsidRPr="002541D7">
        <w:rPr>
          <w:rFonts w:ascii="Times New Roman" w:hAnsi="Times New Roman" w:cs="Times New Roman"/>
          <w:bCs/>
          <w:i/>
          <w:color w:val="auto"/>
          <w:lang w:val="en-GB" w:eastAsia="ja-JP"/>
        </w:rPr>
        <w:t xml:space="preserve">made </w:t>
      </w:r>
      <w:r w:rsidRPr="002541D7">
        <w:rPr>
          <w:rFonts w:ascii="Times New Roman" w:hAnsi="Times New Roman" w:cs="Times New Roman"/>
          <w:bCs/>
          <w:i/>
          <w:color w:val="auto"/>
          <w:lang w:val="en-GB" w:eastAsia="ja-JP"/>
        </w:rPr>
        <w:t>towards achievement of Output 1</w:t>
      </w:r>
      <w:r w:rsidR="00B407FE" w:rsidRPr="002541D7">
        <w:rPr>
          <w:rFonts w:ascii="Times New Roman" w:hAnsi="Times New Roman" w:cs="Times New Roman"/>
          <w:bCs/>
          <w:i/>
          <w:color w:val="auto"/>
          <w:lang w:val="en-GB" w:eastAsia="ja-JP"/>
        </w:rPr>
        <w:t xml:space="preserve"> </w:t>
      </w:r>
      <w:r w:rsidR="00750733" w:rsidRPr="002541D7">
        <w:rPr>
          <w:rFonts w:ascii="Times New Roman" w:hAnsi="Times New Roman" w:cs="Times New Roman"/>
          <w:bCs/>
          <w:i/>
          <w:color w:val="auto"/>
          <w:lang w:val="en-GB" w:eastAsia="ja-JP"/>
        </w:rPr>
        <w:t xml:space="preserve">targets </w:t>
      </w:r>
      <w:r w:rsidR="00B407FE" w:rsidRPr="002541D7">
        <w:rPr>
          <w:rFonts w:ascii="Times New Roman" w:hAnsi="Times New Roman" w:cs="Times New Roman"/>
          <w:bCs/>
          <w:i/>
          <w:color w:val="auto"/>
          <w:lang w:val="en-GB" w:eastAsia="ja-JP"/>
        </w:rPr>
        <w:t>during January – December 2010</w:t>
      </w:r>
      <w:r w:rsidRPr="002541D7">
        <w:rPr>
          <w:rFonts w:ascii="Times New Roman" w:hAnsi="Times New Roman" w:cs="Times New Roman"/>
          <w:bCs/>
          <w:i/>
          <w:color w:val="auto"/>
          <w:lang w:val="en-GB" w:eastAsia="ja-JP"/>
        </w:rPr>
        <w:t>:</w:t>
      </w:r>
    </w:p>
    <w:p w:rsidR="00DC1B47" w:rsidRPr="00F84101" w:rsidRDefault="00DC1B47" w:rsidP="00DC1B47">
      <w:pPr>
        <w:widowControl w:val="0"/>
        <w:jc w:val="both"/>
        <w:rPr>
          <w:lang w:val="en-GB"/>
        </w:rPr>
      </w:pPr>
    </w:p>
    <w:p w:rsidR="001B704D" w:rsidRPr="00F84101" w:rsidRDefault="001B704D" w:rsidP="00EE2FEF">
      <w:pPr>
        <w:widowControl w:val="0"/>
        <w:jc w:val="both"/>
      </w:pPr>
      <w:r w:rsidRPr="00F84101">
        <w:t xml:space="preserve">Enabling regulation to support the development of the financial sector was promulgated in December. The ODTI Instruction will promote integration of microfinance into the regulated financial system. This goal is clearly </w:t>
      </w:r>
      <w:r w:rsidR="009A24A4">
        <w:t>explained</w:t>
      </w:r>
      <w:r w:rsidRPr="00F84101">
        <w:t xml:space="preserve"> in the preamble to the Instruction, which takes into account that:</w:t>
      </w:r>
    </w:p>
    <w:p w:rsidR="001B704D" w:rsidRPr="00F84101" w:rsidRDefault="001B704D" w:rsidP="00EE2FEF">
      <w:pPr>
        <w:numPr>
          <w:ilvl w:val="0"/>
          <w:numId w:val="23"/>
        </w:numPr>
        <w:tabs>
          <w:tab w:val="clear" w:pos="720"/>
          <w:tab w:val="num" w:pos="600"/>
        </w:tabs>
        <w:ind w:left="600" w:hanging="240"/>
        <w:jc w:val="both"/>
        <w:rPr>
          <w:i/>
        </w:rPr>
      </w:pPr>
      <w:r w:rsidRPr="00F84101">
        <w:rPr>
          <w:i/>
        </w:rPr>
        <w:t>All residents of Timor-Leste can benefit from access to financial services;</w:t>
      </w:r>
    </w:p>
    <w:p w:rsidR="001B704D" w:rsidRPr="00F84101" w:rsidRDefault="001B704D" w:rsidP="00EE2FEF">
      <w:pPr>
        <w:numPr>
          <w:ilvl w:val="0"/>
          <w:numId w:val="24"/>
        </w:numPr>
        <w:tabs>
          <w:tab w:val="clear" w:pos="720"/>
          <w:tab w:val="num" w:pos="600"/>
        </w:tabs>
        <w:ind w:left="600" w:hanging="240"/>
        <w:jc w:val="both"/>
        <w:rPr>
          <w:i/>
        </w:rPr>
      </w:pPr>
      <w:r w:rsidRPr="00F84101">
        <w:rPr>
          <w:i/>
        </w:rPr>
        <w:t xml:space="preserve">organizations that specialize in providing financial services to low income populations require regulation that is specific to the risks associated with those services; </w:t>
      </w:r>
    </w:p>
    <w:p w:rsidR="001B704D" w:rsidRPr="00F84101" w:rsidRDefault="001B704D" w:rsidP="00EE2FEF">
      <w:pPr>
        <w:numPr>
          <w:ilvl w:val="0"/>
          <w:numId w:val="24"/>
        </w:numPr>
        <w:tabs>
          <w:tab w:val="clear" w:pos="720"/>
          <w:tab w:val="num" w:pos="600"/>
        </w:tabs>
        <w:ind w:left="600" w:hanging="240"/>
        <w:jc w:val="both"/>
        <w:rPr>
          <w:i/>
        </w:rPr>
      </w:pPr>
      <w:r w:rsidRPr="00F84101">
        <w:rPr>
          <w:i/>
        </w:rPr>
        <w:t xml:space="preserve">specialized regulation for ODTIs will facilitate their organizational development and their ability to grow in a safe and sound manner; </w:t>
      </w:r>
    </w:p>
    <w:p w:rsidR="001B704D" w:rsidRPr="00F84101" w:rsidRDefault="001B704D" w:rsidP="00EE2FEF">
      <w:pPr>
        <w:numPr>
          <w:ilvl w:val="0"/>
          <w:numId w:val="24"/>
        </w:numPr>
        <w:tabs>
          <w:tab w:val="clear" w:pos="720"/>
          <w:tab w:val="num" w:pos="600"/>
        </w:tabs>
        <w:ind w:left="600" w:hanging="240"/>
        <w:jc w:val="both"/>
        <w:rPr>
          <w:i/>
        </w:rPr>
      </w:pPr>
      <w:r w:rsidRPr="00F84101">
        <w:rPr>
          <w:i/>
        </w:rPr>
        <w:t xml:space="preserve">specialized regulation for ODTIs helps protect the banking system against money laundering and criminal activities; </w:t>
      </w:r>
    </w:p>
    <w:p w:rsidR="001B704D" w:rsidRPr="00F84101" w:rsidRDefault="001B704D" w:rsidP="00EE2FEF">
      <w:pPr>
        <w:numPr>
          <w:ilvl w:val="0"/>
          <w:numId w:val="24"/>
        </w:numPr>
        <w:tabs>
          <w:tab w:val="clear" w:pos="720"/>
          <w:tab w:val="num" w:pos="600"/>
        </w:tabs>
        <w:ind w:left="600" w:hanging="240"/>
        <w:jc w:val="both"/>
        <w:rPr>
          <w:i/>
        </w:rPr>
      </w:pPr>
      <w:r w:rsidRPr="00F84101">
        <w:rPr>
          <w:i/>
        </w:rPr>
        <w:t>specialized regulation for ODTIs provides protection to their customers and members; and</w:t>
      </w:r>
    </w:p>
    <w:p w:rsidR="001B704D" w:rsidRPr="00F84101" w:rsidRDefault="001B704D" w:rsidP="00EE2FEF">
      <w:pPr>
        <w:numPr>
          <w:ilvl w:val="0"/>
          <w:numId w:val="24"/>
        </w:numPr>
        <w:tabs>
          <w:tab w:val="clear" w:pos="720"/>
          <w:tab w:val="num" w:pos="600"/>
        </w:tabs>
        <w:ind w:left="600" w:hanging="240"/>
        <w:jc w:val="both"/>
        <w:rPr>
          <w:i/>
        </w:rPr>
      </w:pPr>
      <w:proofErr w:type="gramStart"/>
      <w:r w:rsidRPr="00F84101">
        <w:rPr>
          <w:i/>
        </w:rPr>
        <w:t>wider</w:t>
      </w:r>
      <w:proofErr w:type="gramEnd"/>
      <w:r w:rsidRPr="00F84101">
        <w:rPr>
          <w:i/>
        </w:rPr>
        <w:t xml:space="preserve"> consultations with relevant stakeholders have been conducted.</w:t>
      </w:r>
    </w:p>
    <w:p w:rsidR="00E0327C" w:rsidRDefault="00E0327C" w:rsidP="00EE2FEF">
      <w:pPr>
        <w:pStyle w:val="BodyText"/>
        <w:ind w:left="360"/>
        <w:jc w:val="both"/>
        <w:rPr>
          <w:rFonts w:ascii="Times New Roman" w:hAnsi="Times New Roman" w:cs="Times New Roman"/>
          <w:sz w:val="24"/>
          <w:szCs w:val="24"/>
        </w:rPr>
      </w:pPr>
    </w:p>
    <w:p w:rsidR="00E0327C" w:rsidRPr="001E30F0" w:rsidRDefault="00E0327C" w:rsidP="00EE2FEF">
      <w:pPr>
        <w:pStyle w:val="BodyText"/>
        <w:jc w:val="both"/>
        <w:rPr>
          <w:rFonts w:ascii="Times New Roman" w:hAnsi="Times New Roman" w:cs="Times New Roman"/>
          <w:sz w:val="24"/>
          <w:szCs w:val="24"/>
          <w:u w:val="single"/>
        </w:rPr>
      </w:pPr>
      <w:r w:rsidRPr="001E30F0">
        <w:rPr>
          <w:rFonts w:ascii="Times New Roman" w:hAnsi="Times New Roman" w:cs="Times New Roman"/>
          <w:sz w:val="24"/>
          <w:szCs w:val="24"/>
          <w:u w:val="single"/>
        </w:rPr>
        <w:t>Challenges and Lessons Learned</w:t>
      </w:r>
    </w:p>
    <w:p w:rsidR="00CE5C9D" w:rsidRDefault="00E0327C" w:rsidP="00EE2FEF">
      <w:pPr>
        <w:pStyle w:val="BodyText"/>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Procurement of technical services for the work with the BPA </w:t>
      </w:r>
      <w:r w:rsidR="00EE2FEF">
        <w:rPr>
          <w:rFonts w:ascii="Times New Roman" w:hAnsi="Times New Roman" w:cs="Times New Roman"/>
          <w:sz w:val="24"/>
          <w:szCs w:val="24"/>
        </w:rPr>
        <w:t xml:space="preserve">on enabling regulation </w:t>
      </w:r>
      <w:r>
        <w:rPr>
          <w:rFonts w:ascii="Times New Roman" w:hAnsi="Times New Roman" w:cs="Times New Roman"/>
          <w:sz w:val="24"/>
          <w:szCs w:val="24"/>
        </w:rPr>
        <w:t xml:space="preserve">was delayed </w:t>
      </w:r>
      <w:r w:rsidR="00EE2FEF">
        <w:rPr>
          <w:rFonts w:ascii="Times New Roman" w:hAnsi="Times New Roman" w:cs="Times New Roman"/>
          <w:sz w:val="24"/>
          <w:szCs w:val="24"/>
        </w:rPr>
        <w:t xml:space="preserve">for reasons already mentioned in Section II.  The resulting </w:t>
      </w:r>
      <w:r w:rsidR="0017224B">
        <w:rPr>
          <w:rFonts w:ascii="Times New Roman" w:hAnsi="Times New Roman" w:cs="Times New Roman"/>
          <w:sz w:val="24"/>
          <w:szCs w:val="24"/>
        </w:rPr>
        <w:t>complexity</w:t>
      </w:r>
      <w:r w:rsidR="00EE2FEF">
        <w:rPr>
          <w:rFonts w:ascii="Times New Roman" w:hAnsi="Times New Roman" w:cs="Times New Roman"/>
          <w:sz w:val="24"/>
          <w:szCs w:val="24"/>
        </w:rPr>
        <w:t xml:space="preserve"> to re-schedule the in-country work with the BPA, and the need to seek co-funding (eventually IFC agreed to co-fund), impacted on the final outcome of this </w:t>
      </w:r>
      <w:r w:rsidR="0017224B">
        <w:rPr>
          <w:rFonts w:ascii="Times New Roman" w:hAnsi="Times New Roman" w:cs="Times New Roman"/>
          <w:sz w:val="24"/>
          <w:szCs w:val="24"/>
        </w:rPr>
        <w:t>key output</w:t>
      </w:r>
      <w:r w:rsidR="00EE2FEF">
        <w:rPr>
          <w:rFonts w:ascii="Times New Roman" w:hAnsi="Times New Roman" w:cs="Times New Roman"/>
          <w:sz w:val="24"/>
          <w:szCs w:val="24"/>
        </w:rPr>
        <w:t xml:space="preserve"> by preventing </w:t>
      </w:r>
      <w:r>
        <w:rPr>
          <w:rFonts w:ascii="Times New Roman" w:hAnsi="Times New Roman" w:cs="Times New Roman"/>
          <w:sz w:val="24"/>
          <w:szCs w:val="24"/>
        </w:rPr>
        <w:t xml:space="preserve">INFUSE from </w:t>
      </w:r>
      <w:r w:rsidR="00EE2FEF">
        <w:rPr>
          <w:rFonts w:ascii="Times New Roman" w:hAnsi="Times New Roman" w:cs="Times New Roman"/>
          <w:sz w:val="24"/>
          <w:szCs w:val="24"/>
        </w:rPr>
        <w:t>the</w:t>
      </w:r>
      <w:r>
        <w:rPr>
          <w:rFonts w:ascii="Times New Roman" w:hAnsi="Times New Roman" w:cs="Times New Roman"/>
          <w:sz w:val="24"/>
          <w:szCs w:val="24"/>
        </w:rPr>
        <w:t xml:space="preserve"> opportunity to influence the </w:t>
      </w:r>
      <w:r w:rsidR="00CE5C9D">
        <w:rPr>
          <w:rFonts w:ascii="Times New Roman" w:hAnsi="Times New Roman" w:cs="Times New Roman"/>
          <w:sz w:val="24"/>
          <w:szCs w:val="24"/>
        </w:rPr>
        <w:t xml:space="preserve">strategic </w:t>
      </w:r>
      <w:r>
        <w:rPr>
          <w:rFonts w:ascii="Times New Roman" w:hAnsi="Times New Roman" w:cs="Times New Roman"/>
          <w:sz w:val="24"/>
          <w:szCs w:val="24"/>
        </w:rPr>
        <w:t>d</w:t>
      </w:r>
      <w:r w:rsidR="00EE2FEF">
        <w:rPr>
          <w:rFonts w:ascii="Times New Roman" w:hAnsi="Times New Roman" w:cs="Times New Roman"/>
          <w:sz w:val="24"/>
          <w:szCs w:val="24"/>
        </w:rPr>
        <w:t>irection of the legal framework, rather than being reactive and trying to revise the completed instruction</w:t>
      </w:r>
      <w:r w:rsidR="00CE5C9D">
        <w:rPr>
          <w:rFonts w:ascii="Times New Roman" w:hAnsi="Times New Roman" w:cs="Times New Roman"/>
          <w:sz w:val="24"/>
          <w:szCs w:val="24"/>
        </w:rPr>
        <w:t xml:space="preserve">.   It is anticipated that </w:t>
      </w:r>
      <w:r w:rsidR="009A24A4">
        <w:rPr>
          <w:rFonts w:ascii="Times New Roman" w:hAnsi="Times New Roman" w:cs="Times New Roman"/>
          <w:sz w:val="24"/>
          <w:szCs w:val="24"/>
        </w:rPr>
        <w:t xml:space="preserve">next year </w:t>
      </w:r>
      <w:r w:rsidR="00CE5C9D">
        <w:rPr>
          <w:rFonts w:ascii="Times New Roman" w:hAnsi="Times New Roman" w:cs="Times New Roman"/>
          <w:sz w:val="24"/>
          <w:szCs w:val="24"/>
        </w:rPr>
        <w:t>the Pacific region will recruit a Deputy Programme Manager</w:t>
      </w:r>
      <w:r w:rsidR="00E34906">
        <w:rPr>
          <w:rFonts w:ascii="Times New Roman" w:hAnsi="Times New Roman" w:cs="Times New Roman"/>
          <w:sz w:val="24"/>
          <w:szCs w:val="24"/>
        </w:rPr>
        <w:t xml:space="preserve"> (DPM)</w:t>
      </w:r>
      <w:r w:rsidR="00CE5C9D">
        <w:rPr>
          <w:rFonts w:ascii="Times New Roman" w:hAnsi="Times New Roman" w:cs="Times New Roman"/>
          <w:sz w:val="24"/>
          <w:szCs w:val="24"/>
        </w:rPr>
        <w:t xml:space="preserve"> to cover the Pacific Financial Inclusion Program (PFIP) </w:t>
      </w:r>
      <w:r w:rsidR="009A24A4">
        <w:rPr>
          <w:rFonts w:ascii="Times New Roman" w:hAnsi="Times New Roman" w:cs="Times New Roman"/>
          <w:sz w:val="24"/>
          <w:szCs w:val="24"/>
        </w:rPr>
        <w:t xml:space="preserve">(70%) </w:t>
      </w:r>
      <w:r w:rsidR="00CE5C9D">
        <w:rPr>
          <w:rFonts w:ascii="Times New Roman" w:hAnsi="Times New Roman" w:cs="Times New Roman"/>
          <w:sz w:val="24"/>
          <w:szCs w:val="24"/>
        </w:rPr>
        <w:t xml:space="preserve">and INFUSE (30%) which will provide </w:t>
      </w:r>
      <w:r w:rsidR="00EE2FEF">
        <w:rPr>
          <w:rFonts w:ascii="Times New Roman" w:hAnsi="Times New Roman" w:cs="Times New Roman"/>
          <w:sz w:val="24"/>
          <w:szCs w:val="24"/>
        </w:rPr>
        <w:t xml:space="preserve">much needed operational support, and facilitate </w:t>
      </w:r>
      <w:r w:rsidR="00CE5C9D">
        <w:rPr>
          <w:rFonts w:ascii="Times New Roman" w:hAnsi="Times New Roman" w:cs="Times New Roman"/>
          <w:sz w:val="24"/>
          <w:szCs w:val="24"/>
        </w:rPr>
        <w:t xml:space="preserve">access to services procurement </w:t>
      </w:r>
      <w:r w:rsidR="00EE2FEF">
        <w:rPr>
          <w:rFonts w:ascii="Times New Roman" w:hAnsi="Times New Roman" w:cs="Times New Roman"/>
          <w:sz w:val="24"/>
          <w:szCs w:val="24"/>
        </w:rPr>
        <w:t>through</w:t>
      </w:r>
      <w:r w:rsidR="00CE5C9D">
        <w:rPr>
          <w:rFonts w:ascii="Times New Roman" w:hAnsi="Times New Roman" w:cs="Times New Roman"/>
          <w:sz w:val="24"/>
          <w:szCs w:val="24"/>
        </w:rPr>
        <w:t xml:space="preserve"> the Pacific regional office.  </w:t>
      </w:r>
    </w:p>
    <w:p w:rsidR="00CE5C9D" w:rsidRDefault="009A24A4" w:rsidP="00EE2FEF">
      <w:pPr>
        <w:pStyle w:val="BodyText"/>
        <w:numPr>
          <w:ilvl w:val="0"/>
          <w:numId w:val="38"/>
        </w:numPr>
        <w:jc w:val="both"/>
        <w:rPr>
          <w:rFonts w:ascii="Times New Roman" w:hAnsi="Times New Roman" w:cs="Times New Roman"/>
          <w:sz w:val="24"/>
          <w:szCs w:val="24"/>
        </w:rPr>
      </w:pPr>
      <w:r>
        <w:rPr>
          <w:rFonts w:ascii="Times New Roman" w:hAnsi="Times New Roman" w:cs="Times New Roman"/>
          <w:sz w:val="24"/>
          <w:szCs w:val="24"/>
        </w:rPr>
        <w:t>Development of a</w:t>
      </w:r>
      <w:r w:rsidR="00CE5C9D">
        <w:rPr>
          <w:rFonts w:ascii="Times New Roman" w:hAnsi="Times New Roman" w:cs="Times New Roman"/>
          <w:sz w:val="24"/>
          <w:szCs w:val="24"/>
        </w:rPr>
        <w:t xml:space="preserve"> national policy/vision statement has yet to be initiated with GoTL.  </w:t>
      </w:r>
      <w:r w:rsidR="00D02552">
        <w:rPr>
          <w:rFonts w:ascii="Times New Roman" w:hAnsi="Times New Roman" w:cs="Times New Roman"/>
          <w:sz w:val="24"/>
          <w:szCs w:val="24"/>
        </w:rPr>
        <w:t xml:space="preserve">Given the small technical team (i.e. the CTA and UNV) in the PIU </w:t>
      </w:r>
      <w:r w:rsidR="009F6088">
        <w:rPr>
          <w:rFonts w:ascii="Times New Roman" w:hAnsi="Times New Roman" w:cs="Times New Roman"/>
          <w:sz w:val="24"/>
          <w:szCs w:val="24"/>
        </w:rPr>
        <w:t>with much time devoted to operations and other</w:t>
      </w:r>
      <w:r w:rsidR="00D02552">
        <w:rPr>
          <w:rFonts w:ascii="Times New Roman" w:hAnsi="Times New Roman" w:cs="Times New Roman"/>
          <w:sz w:val="24"/>
          <w:szCs w:val="24"/>
        </w:rPr>
        <w:t xml:space="preserve"> ongoing activities,</w:t>
      </w:r>
      <w:r>
        <w:rPr>
          <w:rFonts w:ascii="Times New Roman" w:hAnsi="Times New Roman" w:cs="Times New Roman"/>
          <w:sz w:val="24"/>
          <w:szCs w:val="24"/>
        </w:rPr>
        <w:t xml:space="preserve"> this </w:t>
      </w:r>
      <w:r w:rsidR="00CE5C9D">
        <w:rPr>
          <w:rFonts w:ascii="Times New Roman" w:hAnsi="Times New Roman" w:cs="Times New Roman"/>
          <w:sz w:val="24"/>
          <w:szCs w:val="24"/>
        </w:rPr>
        <w:t xml:space="preserve">was not </w:t>
      </w:r>
      <w:r w:rsidR="00EE2FEF">
        <w:rPr>
          <w:rFonts w:ascii="Times New Roman" w:hAnsi="Times New Roman" w:cs="Times New Roman"/>
          <w:sz w:val="24"/>
          <w:szCs w:val="24"/>
        </w:rPr>
        <w:t>deemed</w:t>
      </w:r>
      <w:r w:rsidR="00CE5C9D">
        <w:rPr>
          <w:rFonts w:ascii="Times New Roman" w:hAnsi="Times New Roman" w:cs="Times New Roman"/>
          <w:sz w:val="24"/>
          <w:szCs w:val="24"/>
        </w:rPr>
        <w:t xml:space="preserve"> top priority in 2010.  </w:t>
      </w:r>
      <w:r w:rsidR="00E34906">
        <w:rPr>
          <w:rFonts w:ascii="Times New Roman" w:hAnsi="Times New Roman" w:cs="Times New Roman"/>
          <w:sz w:val="24"/>
          <w:szCs w:val="24"/>
        </w:rPr>
        <w:t xml:space="preserve">It is anticipated that the support from the DPM will alleviate time spent on administration and operations from the INFUSE technical staff who can </w:t>
      </w:r>
      <w:r w:rsidR="0017224B">
        <w:rPr>
          <w:rFonts w:ascii="Times New Roman" w:hAnsi="Times New Roman" w:cs="Times New Roman"/>
          <w:sz w:val="24"/>
          <w:szCs w:val="24"/>
        </w:rPr>
        <w:t>direct</w:t>
      </w:r>
      <w:r w:rsidR="00E34906">
        <w:rPr>
          <w:rFonts w:ascii="Times New Roman" w:hAnsi="Times New Roman" w:cs="Times New Roman"/>
          <w:sz w:val="24"/>
          <w:szCs w:val="24"/>
        </w:rPr>
        <w:t xml:space="preserve"> more </w:t>
      </w:r>
      <w:r w:rsidR="000246EC">
        <w:rPr>
          <w:rFonts w:ascii="Times New Roman" w:hAnsi="Times New Roman" w:cs="Times New Roman"/>
          <w:sz w:val="24"/>
          <w:szCs w:val="24"/>
        </w:rPr>
        <w:t xml:space="preserve">time </w:t>
      </w:r>
      <w:r w:rsidR="0017224B">
        <w:rPr>
          <w:rFonts w:ascii="Times New Roman" w:hAnsi="Times New Roman" w:cs="Times New Roman"/>
          <w:sz w:val="24"/>
          <w:szCs w:val="24"/>
        </w:rPr>
        <w:t>towards</w:t>
      </w:r>
      <w:r w:rsidR="00E34906">
        <w:rPr>
          <w:rFonts w:ascii="Times New Roman" w:hAnsi="Times New Roman" w:cs="Times New Roman"/>
          <w:sz w:val="24"/>
          <w:szCs w:val="24"/>
        </w:rPr>
        <w:t xml:space="preserve"> programmatic </w:t>
      </w:r>
      <w:r w:rsidR="009F6088">
        <w:rPr>
          <w:rFonts w:ascii="Times New Roman" w:hAnsi="Times New Roman" w:cs="Times New Roman"/>
          <w:sz w:val="24"/>
          <w:szCs w:val="24"/>
        </w:rPr>
        <w:t>activities</w:t>
      </w:r>
      <w:r w:rsidR="00E34906">
        <w:rPr>
          <w:rFonts w:ascii="Times New Roman" w:hAnsi="Times New Roman" w:cs="Times New Roman"/>
          <w:sz w:val="24"/>
          <w:szCs w:val="24"/>
        </w:rPr>
        <w:t xml:space="preserve"> </w:t>
      </w:r>
      <w:r w:rsidR="000246EC">
        <w:rPr>
          <w:rFonts w:ascii="Times New Roman" w:hAnsi="Times New Roman" w:cs="Times New Roman"/>
          <w:sz w:val="24"/>
          <w:szCs w:val="24"/>
        </w:rPr>
        <w:t xml:space="preserve">such as this </w:t>
      </w:r>
      <w:r w:rsidR="00E34906">
        <w:rPr>
          <w:rFonts w:ascii="Times New Roman" w:hAnsi="Times New Roman" w:cs="Times New Roman"/>
          <w:sz w:val="24"/>
          <w:szCs w:val="24"/>
        </w:rPr>
        <w:t xml:space="preserve">in the coming year.  </w:t>
      </w:r>
    </w:p>
    <w:p w:rsidR="001E30F0" w:rsidRPr="00F84101" w:rsidRDefault="001E30F0" w:rsidP="006B25D4">
      <w:pPr>
        <w:pStyle w:val="Default"/>
        <w:jc w:val="both"/>
        <w:rPr>
          <w:rFonts w:ascii="Times New Roman" w:hAnsi="Times New Roman" w:cs="Times New Roman"/>
          <w:lang w:val="en-GB" w:eastAsia="ja-JP"/>
        </w:rPr>
      </w:pPr>
    </w:p>
    <w:p w:rsidR="006B25D4" w:rsidRPr="00F84101" w:rsidRDefault="006B25D4" w:rsidP="006B25D4">
      <w:pPr>
        <w:pBdr>
          <w:top w:val="single" w:sz="4" w:space="2" w:color="auto"/>
          <w:left w:val="single" w:sz="4" w:space="4" w:color="auto"/>
          <w:bottom w:val="single" w:sz="4" w:space="1" w:color="auto"/>
          <w:right w:val="single" w:sz="4" w:space="4" w:color="auto"/>
        </w:pBdr>
        <w:shd w:val="clear" w:color="auto" w:fill="CCCCCC"/>
        <w:jc w:val="both"/>
        <w:rPr>
          <w:lang w:eastAsia="ja-JP"/>
        </w:rPr>
      </w:pPr>
    </w:p>
    <w:p w:rsidR="006B25D4" w:rsidRPr="00F84101" w:rsidRDefault="006B25D4" w:rsidP="006B25D4">
      <w:pPr>
        <w:pBdr>
          <w:top w:val="single" w:sz="4" w:space="2" w:color="auto"/>
          <w:left w:val="single" w:sz="4" w:space="4" w:color="auto"/>
          <w:bottom w:val="single" w:sz="4" w:space="1" w:color="auto"/>
          <w:right w:val="single" w:sz="4" w:space="4" w:color="auto"/>
        </w:pBdr>
        <w:shd w:val="clear" w:color="auto" w:fill="CCCCCC"/>
        <w:jc w:val="both"/>
        <w:rPr>
          <w:b/>
          <w:lang w:eastAsia="ja-JP"/>
        </w:rPr>
      </w:pPr>
      <w:r w:rsidRPr="00F84101">
        <w:rPr>
          <w:b/>
          <w:lang w:eastAsia="ja-JP"/>
        </w:rPr>
        <w:t>OUTPUT 2: INCREASED OUTREACH OF SUSTAINABLE FINANCIAL SERVICES</w:t>
      </w:r>
    </w:p>
    <w:p w:rsidR="006B25D4" w:rsidRPr="00F84101" w:rsidRDefault="006B25D4" w:rsidP="006B25D4">
      <w:pPr>
        <w:pBdr>
          <w:top w:val="single" w:sz="4" w:space="2" w:color="auto"/>
          <w:left w:val="single" w:sz="4" w:space="4" w:color="auto"/>
          <w:bottom w:val="single" w:sz="4" w:space="1" w:color="auto"/>
          <w:right w:val="single" w:sz="4" w:space="4" w:color="auto"/>
        </w:pBdr>
        <w:shd w:val="clear" w:color="auto" w:fill="CCCCCC"/>
        <w:jc w:val="both"/>
        <w:rPr>
          <w:b/>
          <w:lang w:eastAsia="ja-JP"/>
        </w:rPr>
      </w:pPr>
    </w:p>
    <w:p w:rsidR="006B25D4" w:rsidRPr="00F84101" w:rsidRDefault="006B25D4" w:rsidP="006B25D4">
      <w:pPr>
        <w:pStyle w:val="Default"/>
        <w:jc w:val="both"/>
        <w:rPr>
          <w:rFonts w:ascii="Times New Roman" w:hAnsi="Times New Roman" w:cs="Times New Roman"/>
          <w:b/>
          <w:lang w:val="en-GB" w:eastAsia="ja-JP"/>
        </w:rPr>
      </w:pPr>
    </w:p>
    <w:p w:rsidR="006B25D4" w:rsidRPr="00F84101" w:rsidRDefault="006B25D4" w:rsidP="006B25D4">
      <w:pPr>
        <w:pBdr>
          <w:top w:val="single" w:sz="4" w:space="1" w:color="auto"/>
          <w:left w:val="single" w:sz="4" w:space="4" w:color="auto"/>
          <w:bottom w:val="single" w:sz="4" w:space="1" w:color="auto"/>
          <w:right w:val="single" w:sz="4" w:space="4" w:color="auto"/>
        </w:pBdr>
        <w:shd w:val="clear" w:color="auto" w:fill="F3F3F3"/>
        <w:jc w:val="both"/>
        <w:rPr>
          <w:b/>
          <w:i/>
          <w:lang w:eastAsia="ja-JP"/>
        </w:rPr>
      </w:pPr>
    </w:p>
    <w:p w:rsidR="006B25D4" w:rsidRPr="00F84101" w:rsidRDefault="006B25D4" w:rsidP="006B25D4">
      <w:pPr>
        <w:pBdr>
          <w:top w:val="single" w:sz="4" w:space="1" w:color="auto"/>
          <w:left w:val="single" w:sz="4" w:space="4" w:color="auto"/>
          <w:bottom w:val="single" w:sz="4" w:space="1" w:color="auto"/>
          <w:right w:val="single" w:sz="4" w:space="4" w:color="auto"/>
        </w:pBdr>
        <w:shd w:val="clear" w:color="auto" w:fill="F3F3F3"/>
        <w:jc w:val="both"/>
        <w:rPr>
          <w:b/>
          <w:i/>
          <w:lang w:eastAsia="ja-JP"/>
        </w:rPr>
      </w:pPr>
      <w:r w:rsidRPr="00F84101">
        <w:rPr>
          <w:b/>
          <w:i/>
        </w:rPr>
        <w:t xml:space="preserve">Good practice-based Financial Services Providers (FSPs) serving primarily the poor and low-income market make progress towards sustainability and increase their outreach, while maintaining a high portfolio quality. </w:t>
      </w:r>
    </w:p>
    <w:p w:rsidR="006B25D4" w:rsidRPr="00F84101" w:rsidRDefault="006B25D4" w:rsidP="006B25D4">
      <w:pPr>
        <w:pBdr>
          <w:top w:val="single" w:sz="4" w:space="1" w:color="auto"/>
          <w:left w:val="single" w:sz="4" w:space="4" w:color="auto"/>
          <w:bottom w:val="single" w:sz="4" w:space="1" w:color="auto"/>
          <w:right w:val="single" w:sz="4" w:space="4" w:color="auto"/>
        </w:pBdr>
        <w:shd w:val="clear" w:color="auto" w:fill="F3F3F3"/>
        <w:jc w:val="both"/>
        <w:rPr>
          <w:b/>
          <w:i/>
          <w:lang w:eastAsia="ja-JP"/>
        </w:rPr>
      </w:pPr>
    </w:p>
    <w:p w:rsidR="006B25D4" w:rsidRPr="00F84101" w:rsidRDefault="006B25D4" w:rsidP="006B25D4">
      <w:pPr>
        <w:pStyle w:val="Default"/>
        <w:jc w:val="both"/>
        <w:rPr>
          <w:rFonts w:ascii="Times New Roman" w:hAnsi="Times New Roman" w:cs="Times New Roman"/>
          <w:i/>
          <w:u w:val="single"/>
          <w:lang w:val="en-GB" w:eastAsia="ja-JP"/>
        </w:rPr>
      </w:pPr>
    </w:p>
    <w:p w:rsidR="00B407FE" w:rsidRPr="002541D7" w:rsidRDefault="00B407FE" w:rsidP="00396A41">
      <w:pPr>
        <w:pStyle w:val="Heading2"/>
        <w:rPr>
          <w:b w:val="0"/>
          <w:bCs w:val="0"/>
          <w:i/>
          <w:iCs/>
          <w:sz w:val="24"/>
        </w:rPr>
      </w:pPr>
      <w:bookmarkStart w:id="34" w:name="_Toc288486051"/>
      <w:r w:rsidRPr="002541D7">
        <w:rPr>
          <w:b w:val="0"/>
          <w:bCs w:val="0"/>
          <w:i/>
          <w:iCs/>
          <w:sz w:val="24"/>
        </w:rPr>
        <w:t>The following key activities implemented in support of Output 2 from January – December 2010:</w:t>
      </w:r>
      <w:bookmarkEnd w:id="34"/>
    </w:p>
    <w:p w:rsidR="009F6088" w:rsidRDefault="009F6088" w:rsidP="009F6088">
      <w:pPr>
        <w:autoSpaceDE w:val="0"/>
        <w:autoSpaceDN w:val="0"/>
        <w:adjustRightInd w:val="0"/>
        <w:jc w:val="both"/>
        <w:rPr>
          <w:lang w:eastAsia="ja-JP"/>
        </w:rPr>
      </w:pPr>
    </w:p>
    <w:p w:rsidR="00380260" w:rsidRDefault="006B25D4" w:rsidP="00875343">
      <w:pPr>
        <w:numPr>
          <w:ilvl w:val="0"/>
          <w:numId w:val="21"/>
        </w:numPr>
        <w:tabs>
          <w:tab w:val="clear" w:pos="720"/>
          <w:tab w:val="num" w:pos="360"/>
        </w:tabs>
        <w:autoSpaceDE w:val="0"/>
        <w:autoSpaceDN w:val="0"/>
        <w:adjustRightInd w:val="0"/>
        <w:ind w:left="360"/>
        <w:jc w:val="both"/>
        <w:rPr>
          <w:lang w:eastAsia="ja-JP"/>
        </w:rPr>
      </w:pPr>
      <w:r w:rsidRPr="00F84101">
        <w:rPr>
          <w:lang w:eastAsia="ja-JP"/>
        </w:rPr>
        <w:t xml:space="preserve">The third </w:t>
      </w:r>
      <w:r w:rsidR="00FD5324" w:rsidRPr="00F84101">
        <w:rPr>
          <w:lang w:eastAsia="ja-JP"/>
        </w:rPr>
        <w:t xml:space="preserve">and fourth </w:t>
      </w:r>
      <w:r w:rsidRPr="00F84101">
        <w:rPr>
          <w:lang w:eastAsia="ja-JP"/>
        </w:rPr>
        <w:t>meeting</w:t>
      </w:r>
      <w:r w:rsidR="00FD5324" w:rsidRPr="00F84101">
        <w:rPr>
          <w:lang w:eastAsia="ja-JP"/>
        </w:rPr>
        <w:t>s</w:t>
      </w:r>
      <w:r w:rsidRPr="00F84101">
        <w:rPr>
          <w:lang w:eastAsia="ja-JP"/>
        </w:rPr>
        <w:t xml:space="preserve"> of the MCIF took place in March </w:t>
      </w:r>
      <w:r w:rsidR="00FD5324" w:rsidRPr="00F84101">
        <w:rPr>
          <w:lang w:eastAsia="ja-JP"/>
        </w:rPr>
        <w:t xml:space="preserve">and November respectively, </w:t>
      </w:r>
      <w:r w:rsidRPr="00F84101">
        <w:rPr>
          <w:lang w:eastAsia="ja-JP"/>
        </w:rPr>
        <w:t>which resulted in approval of the detailed 2010 annual work plan and several funding investments for FSPs</w:t>
      </w:r>
      <w:r w:rsidR="00FD5324" w:rsidRPr="00F84101">
        <w:rPr>
          <w:lang w:eastAsia="ja-JP"/>
        </w:rPr>
        <w:t xml:space="preserve"> and TSPs</w:t>
      </w:r>
      <w:r w:rsidRPr="00F84101">
        <w:rPr>
          <w:lang w:eastAsia="ja-JP"/>
        </w:rPr>
        <w:t xml:space="preserve">. </w:t>
      </w:r>
      <w:r w:rsidR="00C358C9">
        <w:rPr>
          <w:lang w:eastAsia="ja-JP"/>
        </w:rPr>
        <w:t xml:space="preserve"> </w:t>
      </w:r>
      <w:r w:rsidRPr="00F84101">
        <w:rPr>
          <w:lang w:eastAsia="ja-JP"/>
        </w:rPr>
        <w:t>Details of these i</w:t>
      </w:r>
      <w:r w:rsidR="002E1687">
        <w:rPr>
          <w:lang w:eastAsia="ja-JP"/>
        </w:rPr>
        <w:t xml:space="preserve">nvestments are described below. </w:t>
      </w:r>
    </w:p>
    <w:p w:rsidR="00C04E18" w:rsidRPr="00F84101" w:rsidRDefault="002E1687" w:rsidP="00875343">
      <w:pPr>
        <w:numPr>
          <w:ilvl w:val="0"/>
          <w:numId w:val="21"/>
        </w:numPr>
        <w:tabs>
          <w:tab w:val="clear" w:pos="720"/>
          <w:tab w:val="num" w:pos="360"/>
        </w:tabs>
        <w:autoSpaceDE w:val="0"/>
        <w:autoSpaceDN w:val="0"/>
        <w:adjustRightInd w:val="0"/>
        <w:ind w:left="360"/>
        <w:jc w:val="both"/>
        <w:rPr>
          <w:lang w:eastAsia="ja-JP"/>
        </w:rPr>
      </w:pPr>
      <w:r>
        <w:rPr>
          <w:lang w:eastAsia="ja-JP"/>
        </w:rPr>
        <w:t xml:space="preserve">INFUSE </w:t>
      </w:r>
      <w:r w:rsidR="00380260">
        <w:rPr>
          <w:lang w:eastAsia="ja-JP"/>
        </w:rPr>
        <w:t xml:space="preserve">continues to </w:t>
      </w:r>
      <w:r w:rsidR="00C358C9">
        <w:rPr>
          <w:lang w:eastAsia="ja-JP"/>
        </w:rPr>
        <w:t>sustain</w:t>
      </w:r>
      <w:r w:rsidR="00380260">
        <w:rPr>
          <w:lang w:eastAsia="ja-JP"/>
        </w:rPr>
        <w:t xml:space="preserve"> key</w:t>
      </w:r>
      <w:r>
        <w:rPr>
          <w:lang w:eastAsia="ja-JP"/>
        </w:rPr>
        <w:t xml:space="preserve"> partnerships </w:t>
      </w:r>
      <w:r w:rsidR="00F55310">
        <w:rPr>
          <w:lang w:eastAsia="ja-JP"/>
        </w:rPr>
        <w:t xml:space="preserve">with </w:t>
      </w:r>
      <w:r w:rsidR="00380260">
        <w:rPr>
          <w:lang w:eastAsia="ja-JP"/>
        </w:rPr>
        <w:t xml:space="preserve">two </w:t>
      </w:r>
      <w:r w:rsidR="00F55310">
        <w:rPr>
          <w:lang w:eastAsia="ja-JP"/>
        </w:rPr>
        <w:t>Microfinance Institutions</w:t>
      </w:r>
      <w:r w:rsidR="00380260">
        <w:rPr>
          <w:lang w:eastAsia="ja-JP"/>
        </w:rPr>
        <w:t xml:space="preserve"> (MFIs)</w:t>
      </w:r>
      <w:r w:rsidR="00F55310">
        <w:rPr>
          <w:lang w:eastAsia="ja-JP"/>
        </w:rPr>
        <w:t>, Moris Rasik and Tuba Rai Metin (TRM)</w:t>
      </w:r>
      <w:r w:rsidR="00380260">
        <w:rPr>
          <w:lang w:eastAsia="ja-JP"/>
        </w:rPr>
        <w:t>, and</w:t>
      </w:r>
      <w:r w:rsidR="00F55310">
        <w:rPr>
          <w:lang w:eastAsia="ja-JP"/>
        </w:rPr>
        <w:t xml:space="preserve"> details of </w:t>
      </w:r>
      <w:r w:rsidR="00380260">
        <w:rPr>
          <w:lang w:eastAsia="ja-JP"/>
        </w:rPr>
        <w:t xml:space="preserve">this </w:t>
      </w:r>
      <w:r w:rsidR="00F55310">
        <w:rPr>
          <w:lang w:eastAsia="ja-JP"/>
        </w:rPr>
        <w:t xml:space="preserve">support during the reporting period are outlined below. </w:t>
      </w:r>
    </w:p>
    <w:p w:rsidR="004D63B9" w:rsidRDefault="004D63B9" w:rsidP="004D63B9">
      <w:pPr>
        <w:autoSpaceDE w:val="0"/>
        <w:autoSpaceDN w:val="0"/>
        <w:adjustRightInd w:val="0"/>
        <w:jc w:val="both"/>
        <w:rPr>
          <w:lang w:eastAsia="ja-JP"/>
        </w:rPr>
      </w:pPr>
    </w:p>
    <w:p w:rsidR="004D63B9" w:rsidRPr="006D2161" w:rsidRDefault="002E1687" w:rsidP="004D63B9">
      <w:pPr>
        <w:autoSpaceDE w:val="0"/>
        <w:autoSpaceDN w:val="0"/>
        <w:adjustRightInd w:val="0"/>
        <w:jc w:val="both"/>
        <w:rPr>
          <w:u w:val="single"/>
          <w:lang w:eastAsia="ja-JP"/>
        </w:rPr>
      </w:pPr>
      <w:r w:rsidRPr="006D2161">
        <w:rPr>
          <w:u w:val="single"/>
          <w:lang w:eastAsia="ja-JP"/>
        </w:rPr>
        <w:t>Support</w:t>
      </w:r>
      <w:r w:rsidR="00C04E18" w:rsidRPr="006D2161">
        <w:rPr>
          <w:u w:val="single"/>
          <w:lang w:eastAsia="ja-JP"/>
        </w:rPr>
        <w:t xml:space="preserve"> to </w:t>
      </w:r>
      <w:r w:rsidR="00F55310" w:rsidRPr="006D2161">
        <w:rPr>
          <w:u w:val="single"/>
          <w:lang w:eastAsia="ja-JP"/>
        </w:rPr>
        <w:t>Moris Rasik</w:t>
      </w:r>
      <w:r w:rsidR="006B25D4" w:rsidRPr="006D2161">
        <w:rPr>
          <w:u w:val="single"/>
          <w:lang w:eastAsia="ja-JP"/>
        </w:rPr>
        <w:t xml:space="preserve">:  </w:t>
      </w:r>
    </w:p>
    <w:p w:rsidR="002059DA" w:rsidRDefault="007F630E" w:rsidP="002059DA">
      <w:pPr>
        <w:numPr>
          <w:ilvl w:val="0"/>
          <w:numId w:val="21"/>
        </w:numPr>
        <w:tabs>
          <w:tab w:val="clear" w:pos="720"/>
          <w:tab w:val="num" w:pos="360"/>
        </w:tabs>
        <w:autoSpaceDE w:val="0"/>
        <w:autoSpaceDN w:val="0"/>
        <w:adjustRightInd w:val="0"/>
        <w:ind w:left="360"/>
        <w:jc w:val="both"/>
        <w:rPr>
          <w:lang w:eastAsia="ja-JP"/>
        </w:rPr>
      </w:pPr>
      <w:r w:rsidRPr="00F84101">
        <w:rPr>
          <w:lang w:eastAsia="ja-JP"/>
        </w:rPr>
        <w:t>A</w:t>
      </w:r>
      <w:r w:rsidR="006B25D4" w:rsidRPr="00F84101">
        <w:rPr>
          <w:lang w:eastAsia="ja-JP"/>
        </w:rPr>
        <w:t xml:space="preserve"> </w:t>
      </w:r>
      <w:r w:rsidR="002059DA">
        <w:rPr>
          <w:lang w:eastAsia="ja-JP"/>
        </w:rPr>
        <w:t xml:space="preserve">tripartite Performance Based Agreement (PBA) was signed in May for a two year grant of </w:t>
      </w:r>
      <w:r w:rsidRPr="00F84101">
        <w:rPr>
          <w:lang w:eastAsia="ja-JP"/>
        </w:rPr>
        <w:t>US</w:t>
      </w:r>
      <w:r w:rsidR="00380260">
        <w:rPr>
          <w:lang w:eastAsia="ja-JP"/>
        </w:rPr>
        <w:t>D</w:t>
      </w:r>
      <w:r w:rsidR="006B25D4" w:rsidRPr="00F84101">
        <w:rPr>
          <w:lang w:eastAsia="ja-JP"/>
        </w:rPr>
        <w:t xml:space="preserve">$585,000 for institutional capacity building </w:t>
      </w:r>
      <w:r w:rsidR="00BA3D56">
        <w:rPr>
          <w:lang w:eastAsia="ja-JP"/>
        </w:rPr>
        <w:t xml:space="preserve">of Moris Rasik </w:t>
      </w:r>
      <w:r w:rsidR="00776973">
        <w:rPr>
          <w:lang w:eastAsia="ja-JP"/>
        </w:rPr>
        <w:t>implemented</w:t>
      </w:r>
      <w:r w:rsidR="00776973" w:rsidRPr="00F84101">
        <w:rPr>
          <w:lang w:eastAsia="ja-JP"/>
        </w:rPr>
        <w:t xml:space="preserve"> </w:t>
      </w:r>
      <w:r w:rsidR="006B25D4" w:rsidRPr="00F84101">
        <w:rPr>
          <w:lang w:eastAsia="ja-JP"/>
        </w:rPr>
        <w:t xml:space="preserve">with their </w:t>
      </w:r>
      <w:r w:rsidR="00C358C9">
        <w:rPr>
          <w:lang w:eastAsia="ja-JP"/>
        </w:rPr>
        <w:t>TSP</w:t>
      </w:r>
      <w:r w:rsidR="006B25D4" w:rsidRPr="00F84101">
        <w:rPr>
          <w:lang w:eastAsia="ja-JP"/>
        </w:rPr>
        <w:t xml:space="preserve"> World Education Australia Ltd (WEAL). </w:t>
      </w:r>
      <w:r w:rsidR="00283C74" w:rsidRPr="00F84101">
        <w:t xml:space="preserve">The proposal </w:t>
      </w:r>
      <w:r w:rsidR="002059DA">
        <w:t>totaled</w:t>
      </w:r>
      <w:r w:rsidR="00283C74" w:rsidRPr="00F84101">
        <w:t xml:space="preserve"> US$894,000, including US$585,000 </w:t>
      </w:r>
      <w:r w:rsidR="002059DA">
        <w:t>to be funded by</w:t>
      </w:r>
      <w:r w:rsidR="002059DA" w:rsidRPr="00F84101">
        <w:t xml:space="preserve"> </w:t>
      </w:r>
      <w:r w:rsidR="00283C74" w:rsidRPr="00F84101">
        <w:t xml:space="preserve">INFUSE and US$309,000 </w:t>
      </w:r>
      <w:r w:rsidR="002059DA">
        <w:t xml:space="preserve">by </w:t>
      </w:r>
      <w:r w:rsidR="00283C74" w:rsidRPr="00F84101">
        <w:t>WEA</w:t>
      </w:r>
      <w:r w:rsidR="002059DA">
        <w:t xml:space="preserve">L, </w:t>
      </w:r>
      <w:r w:rsidR="00BA3D56">
        <w:t xml:space="preserve">and </w:t>
      </w:r>
      <w:r w:rsidR="00283C74" w:rsidRPr="00F84101">
        <w:t xml:space="preserve">was </w:t>
      </w:r>
      <w:r w:rsidR="002059DA">
        <w:t>approved</w:t>
      </w:r>
      <w:r w:rsidR="002059DA" w:rsidRPr="00F84101">
        <w:t xml:space="preserve"> </w:t>
      </w:r>
      <w:r w:rsidR="002059DA">
        <w:t>by</w:t>
      </w:r>
      <w:r w:rsidR="002059DA" w:rsidRPr="00F84101">
        <w:t xml:space="preserve"> </w:t>
      </w:r>
      <w:r w:rsidR="00283C74" w:rsidRPr="00F84101">
        <w:t>the MCIF in March 2010</w:t>
      </w:r>
      <w:r w:rsidR="002059DA">
        <w:t>. To be disbursed in tranches as per targets and milestones achieved, the first two tranches of US</w:t>
      </w:r>
      <w:r w:rsidR="00283C74" w:rsidRPr="00F84101">
        <w:t xml:space="preserve"> US$300,000 </w:t>
      </w:r>
      <w:r w:rsidR="002059DA">
        <w:t>were disbursed in</w:t>
      </w:r>
      <w:r w:rsidR="002059DA" w:rsidRPr="00F84101">
        <w:t xml:space="preserve"> </w:t>
      </w:r>
      <w:r w:rsidR="00283C74" w:rsidRPr="00F84101">
        <w:t>2010</w:t>
      </w:r>
      <w:r w:rsidR="002059DA">
        <w:t xml:space="preserve">. </w:t>
      </w:r>
      <w:r w:rsidR="00283C74" w:rsidRPr="00F84101">
        <w:t xml:space="preserve"> </w:t>
      </w:r>
    </w:p>
    <w:p w:rsidR="00F51BE1" w:rsidRPr="00F84101" w:rsidRDefault="006B25D4" w:rsidP="002059DA">
      <w:pPr>
        <w:numPr>
          <w:ilvl w:val="0"/>
          <w:numId w:val="21"/>
        </w:numPr>
        <w:tabs>
          <w:tab w:val="clear" w:pos="720"/>
          <w:tab w:val="num" w:pos="360"/>
        </w:tabs>
        <w:autoSpaceDE w:val="0"/>
        <w:autoSpaceDN w:val="0"/>
        <w:adjustRightInd w:val="0"/>
        <w:ind w:left="360"/>
        <w:jc w:val="both"/>
        <w:rPr>
          <w:lang w:eastAsia="ja-JP"/>
        </w:rPr>
      </w:pPr>
      <w:r w:rsidRPr="00F84101">
        <w:rPr>
          <w:lang w:eastAsia="ja-JP"/>
        </w:rPr>
        <w:t xml:space="preserve">The first tranche of </w:t>
      </w:r>
      <w:r w:rsidR="007F630E" w:rsidRPr="00F84101">
        <w:rPr>
          <w:lang w:eastAsia="ja-JP"/>
        </w:rPr>
        <w:t xml:space="preserve">US </w:t>
      </w:r>
      <w:r w:rsidRPr="00F84101">
        <w:rPr>
          <w:lang w:eastAsia="ja-JP"/>
        </w:rPr>
        <w:t>$100,000 was disbursed in June</w:t>
      </w:r>
      <w:r w:rsidR="00A830AC" w:rsidRPr="00F84101">
        <w:rPr>
          <w:lang w:eastAsia="ja-JP"/>
        </w:rPr>
        <w:t xml:space="preserve"> to fund the following</w:t>
      </w:r>
      <w:r w:rsidR="004D63B9">
        <w:rPr>
          <w:lang w:eastAsia="ja-JP"/>
        </w:rPr>
        <w:t xml:space="preserve"> set of activities.</w:t>
      </w:r>
    </w:p>
    <w:p w:rsidR="00F51BE1" w:rsidRPr="00F84101" w:rsidRDefault="00A830AC" w:rsidP="00875343">
      <w:pPr>
        <w:numPr>
          <w:ilvl w:val="0"/>
          <w:numId w:val="27"/>
        </w:numPr>
        <w:autoSpaceDE w:val="0"/>
        <w:autoSpaceDN w:val="0"/>
        <w:adjustRightInd w:val="0"/>
        <w:ind w:hanging="480"/>
        <w:jc w:val="both"/>
      </w:pPr>
      <w:r w:rsidRPr="00F84101">
        <w:t xml:space="preserve">Development of </w:t>
      </w:r>
      <w:r w:rsidR="00C358C9">
        <w:t xml:space="preserve">a </w:t>
      </w:r>
      <w:r w:rsidRPr="00F84101">
        <w:t>c</w:t>
      </w:r>
      <w:r w:rsidR="00F51BE1" w:rsidRPr="00F84101">
        <w:t>omprehensive Direct Implementation Plan</w:t>
      </w:r>
      <w:r w:rsidR="004D63B9">
        <w:t xml:space="preserve"> (DIP)</w:t>
      </w:r>
      <w:r w:rsidR="00F51BE1" w:rsidRPr="00F84101">
        <w:t xml:space="preserve"> for organizational capacity building, based on staff training needs assessment.</w:t>
      </w:r>
    </w:p>
    <w:p w:rsidR="00F51BE1" w:rsidRPr="00F84101" w:rsidRDefault="00A830AC" w:rsidP="00875343">
      <w:pPr>
        <w:numPr>
          <w:ilvl w:val="0"/>
          <w:numId w:val="27"/>
        </w:numPr>
        <w:autoSpaceDE w:val="0"/>
        <w:autoSpaceDN w:val="0"/>
        <w:adjustRightInd w:val="0"/>
        <w:ind w:hanging="480"/>
        <w:jc w:val="both"/>
        <w:rPr>
          <w:lang w:eastAsia="ja-JP"/>
        </w:rPr>
      </w:pPr>
      <w:r w:rsidRPr="00F84101">
        <w:t>Identification of a</w:t>
      </w:r>
      <w:r w:rsidR="00F51BE1" w:rsidRPr="00F84101">
        <w:t xml:space="preserve">ppropriate MIS package identified </w:t>
      </w:r>
      <w:r w:rsidR="00C358C9">
        <w:t>with</w:t>
      </w:r>
      <w:r w:rsidRPr="00F84101">
        <w:t xml:space="preserve"> </w:t>
      </w:r>
      <w:r w:rsidR="00C358C9">
        <w:t>a plan for implementation.</w:t>
      </w:r>
    </w:p>
    <w:p w:rsidR="00A830AC" w:rsidRPr="00F84101" w:rsidRDefault="00CD66A8" w:rsidP="00875343">
      <w:pPr>
        <w:numPr>
          <w:ilvl w:val="0"/>
          <w:numId w:val="27"/>
        </w:numPr>
        <w:autoSpaceDE w:val="0"/>
        <w:autoSpaceDN w:val="0"/>
        <w:adjustRightInd w:val="0"/>
        <w:ind w:hanging="480"/>
        <w:jc w:val="both"/>
        <w:rPr>
          <w:lang w:eastAsia="ja-JP"/>
        </w:rPr>
      </w:pPr>
      <w:r w:rsidRPr="00F84101">
        <w:t>Finalization</w:t>
      </w:r>
      <w:r w:rsidR="00F51BE1" w:rsidRPr="00F84101">
        <w:t xml:space="preserve"> of five year business plan and strategic plan, including projections </w:t>
      </w:r>
      <w:r w:rsidR="00C358C9">
        <w:t>and</w:t>
      </w:r>
      <w:r w:rsidR="00F51BE1" w:rsidRPr="00F84101">
        <w:t xml:space="preserve"> performance </w:t>
      </w:r>
      <w:r w:rsidR="00620C25" w:rsidRPr="00F84101">
        <w:t xml:space="preserve">targets. </w:t>
      </w:r>
    </w:p>
    <w:p w:rsidR="00E7567C" w:rsidRPr="00F84101" w:rsidRDefault="00A830AC" w:rsidP="00875343">
      <w:pPr>
        <w:numPr>
          <w:ilvl w:val="0"/>
          <w:numId w:val="27"/>
        </w:numPr>
        <w:autoSpaceDE w:val="0"/>
        <w:autoSpaceDN w:val="0"/>
        <w:adjustRightInd w:val="0"/>
        <w:ind w:hanging="480"/>
        <w:jc w:val="both"/>
        <w:rPr>
          <w:lang w:eastAsia="ja-JP"/>
        </w:rPr>
      </w:pPr>
      <w:r w:rsidRPr="00F84101">
        <w:rPr>
          <w:lang w:eastAsia="ja-JP"/>
        </w:rPr>
        <w:t xml:space="preserve">Staff </w:t>
      </w:r>
      <w:r w:rsidR="006B25D4" w:rsidRPr="00F84101">
        <w:rPr>
          <w:lang w:eastAsia="ja-JP"/>
        </w:rPr>
        <w:t xml:space="preserve">training and capacity building in key areas of financial management, governance, and operational management. </w:t>
      </w:r>
    </w:p>
    <w:p w:rsidR="00213CC8" w:rsidRPr="00F84101" w:rsidRDefault="00E7567C" w:rsidP="002059DA">
      <w:pPr>
        <w:numPr>
          <w:ilvl w:val="0"/>
          <w:numId w:val="21"/>
        </w:numPr>
        <w:tabs>
          <w:tab w:val="clear" w:pos="720"/>
          <w:tab w:val="num" w:pos="360"/>
        </w:tabs>
        <w:autoSpaceDE w:val="0"/>
        <w:autoSpaceDN w:val="0"/>
        <w:adjustRightInd w:val="0"/>
        <w:ind w:left="360"/>
        <w:jc w:val="both"/>
        <w:rPr>
          <w:lang w:eastAsia="ja-JP"/>
        </w:rPr>
      </w:pPr>
      <w:r w:rsidRPr="00F84101">
        <w:rPr>
          <w:lang w:eastAsia="ja-JP"/>
        </w:rPr>
        <w:t>A</w:t>
      </w:r>
      <w:r w:rsidR="00F51BE1" w:rsidRPr="00F84101">
        <w:rPr>
          <w:lang w:eastAsia="ja-JP"/>
        </w:rPr>
        <w:t xml:space="preserve"> second tranche of US $200,000 was disbursed in November upon completion of the </w:t>
      </w:r>
      <w:r w:rsidRPr="00F84101">
        <w:rPr>
          <w:lang w:eastAsia="ja-JP"/>
        </w:rPr>
        <w:t xml:space="preserve">above listed </w:t>
      </w:r>
      <w:r w:rsidR="00F51BE1" w:rsidRPr="00F84101">
        <w:rPr>
          <w:lang w:eastAsia="ja-JP"/>
        </w:rPr>
        <w:t>activities</w:t>
      </w:r>
      <w:r w:rsidR="00213CC8" w:rsidRPr="00F84101">
        <w:rPr>
          <w:lang w:eastAsia="ja-JP"/>
        </w:rPr>
        <w:t xml:space="preserve"> in order</w:t>
      </w:r>
      <w:r w:rsidR="00C92554" w:rsidRPr="00F84101">
        <w:rPr>
          <w:lang w:eastAsia="ja-JP"/>
        </w:rPr>
        <w:t xml:space="preserve"> to s</w:t>
      </w:r>
      <w:r w:rsidR="00A10418" w:rsidRPr="00F84101">
        <w:rPr>
          <w:lang w:eastAsia="ja-JP"/>
        </w:rPr>
        <w:t>upport:</w:t>
      </w:r>
      <w:r w:rsidR="00C92554" w:rsidRPr="00F84101">
        <w:rPr>
          <w:lang w:eastAsia="ja-JP"/>
        </w:rPr>
        <w:t xml:space="preserve"> </w:t>
      </w:r>
    </w:p>
    <w:p w:rsidR="00213CC8" w:rsidRPr="00F84101" w:rsidRDefault="00213CC8" w:rsidP="00875343">
      <w:pPr>
        <w:numPr>
          <w:ilvl w:val="0"/>
          <w:numId w:val="27"/>
        </w:numPr>
        <w:autoSpaceDE w:val="0"/>
        <w:autoSpaceDN w:val="0"/>
        <w:adjustRightInd w:val="0"/>
        <w:ind w:hanging="480"/>
        <w:jc w:val="both"/>
        <w:rPr>
          <w:lang w:eastAsia="ja-JP"/>
        </w:rPr>
      </w:pPr>
      <w:r w:rsidRPr="00F84101">
        <w:rPr>
          <w:lang w:eastAsia="ja-JP"/>
        </w:rPr>
        <w:t>Implementation</w:t>
      </w:r>
      <w:r w:rsidR="00C92554" w:rsidRPr="00F84101">
        <w:rPr>
          <w:lang w:eastAsia="ja-JP"/>
        </w:rPr>
        <w:t xml:space="preserve"> of the </w:t>
      </w:r>
      <w:r w:rsidR="00DE6E83">
        <w:rPr>
          <w:lang w:eastAsia="ja-JP"/>
        </w:rPr>
        <w:t>Management Information System (</w:t>
      </w:r>
      <w:r w:rsidR="00C92554" w:rsidRPr="00F84101">
        <w:rPr>
          <w:lang w:eastAsia="ja-JP"/>
        </w:rPr>
        <w:t>MIS</w:t>
      </w:r>
      <w:r w:rsidR="00DE6E83">
        <w:rPr>
          <w:lang w:eastAsia="ja-JP"/>
        </w:rPr>
        <w:t>)</w:t>
      </w:r>
      <w:r w:rsidR="00A10418" w:rsidRPr="00F84101">
        <w:rPr>
          <w:lang w:eastAsia="ja-JP"/>
        </w:rPr>
        <w:t>;</w:t>
      </w:r>
    </w:p>
    <w:p w:rsidR="00213CC8" w:rsidRPr="00F84101" w:rsidRDefault="00213CC8" w:rsidP="00875343">
      <w:pPr>
        <w:numPr>
          <w:ilvl w:val="0"/>
          <w:numId w:val="27"/>
        </w:numPr>
        <w:autoSpaceDE w:val="0"/>
        <w:autoSpaceDN w:val="0"/>
        <w:adjustRightInd w:val="0"/>
        <w:ind w:hanging="480"/>
        <w:jc w:val="both"/>
        <w:rPr>
          <w:color w:val="000000"/>
        </w:rPr>
      </w:pPr>
      <w:r w:rsidRPr="00F84101">
        <w:rPr>
          <w:lang w:eastAsia="ja-JP"/>
        </w:rPr>
        <w:t>S</w:t>
      </w:r>
      <w:r w:rsidR="00A10418" w:rsidRPr="00F84101">
        <w:rPr>
          <w:lang w:eastAsia="ja-JP"/>
        </w:rPr>
        <w:t>trengthened H</w:t>
      </w:r>
      <w:r w:rsidR="00C92554" w:rsidRPr="00F84101">
        <w:rPr>
          <w:color w:val="000000"/>
        </w:rPr>
        <w:t xml:space="preserve">uman Resource </w:t>
      </w:r>
      <w:r w:rsidRPr="00F84101">
        <w:rPr>
          <w:color w:val="000000"/>
        </w:rPr>
        <w:t>M</w:t>
      </w:r>
      <w:r w:rsidR="00C92554" w:rsidRPr="00F84101">
        <w:rPr>
          <w:color w:val="000000"/>
        </w:rPr>
        <w:t>anagement</w:t>
      </w:r>
      <w:r w:rsidRPr="00F84101">
        <w:rPr>
          <w:color w:val="000000"/>
        </w:rPr>
        <w:t xml:space="preserve"> through completion of a</w:t>
      </w:r>
      <w:r w:rsidR="00A10418" w:rsidRPr="00F84101">
        <w:rPr>
          <w:color w:val="000000"/>
        </w:rPr>
        <w:t xml:space="preserve"> </w:t>
      </w:r>
      <w:r w:rsidR="00C92554" w:rsidRPr="00F84101">
        <w:rPr>
          <w:color w:val="000000"/>
        </w:rPr>
        <w:t xml:space="preserve">training needs assessment for staff, </w:t>
      </w:r>
      <w:r w:rsidR="00A10418" w:rsidRPr="00F84101">
        <w:rPr>
          <w:color w:val="000000"/>
        </w:rPr>
        <w:t xml:space="preserve">development of </w:t>
      </w:r>
      <w:r w:rsidR="00C92554" w:rsidRPr="00F84101">
        <w:rPr>
          <w:color w:val="000000"/>
        </w:rPr>
        <w:t xml:space="preserve">job descriptions, and </w:t>
      </w:r>
      <w:r w:rsidR="00A10418" w:rsidRPr="00F84101">
        <w:rPr>
          <w:color w:val="000000"/>
        </w:rPr>
        <w:t>finalization of a HR policy;</w:t>
      </w:r>
    </w:p>
    <w:p w:rsidR="00213CC8" w:rsidRPr="00F84101" w:rsidRDefault="00213CC8" w:rsidP="00875343">
      <w:pPr>
        <w:numPr>
          <w:ilvl w:val="0"/>
          <w:numId w:val="27"/>
        </w:numPr>
        <w:autoSpaceDE w:val="0"/>
        <w:autoSpaceDN w:val="0"/>
        <w:adjustRightInd w:val="0"/>
        <w:ind w:hanging="480"/>
        <w:jc w:val="both"/>
        <w:rPr>
          <w:color w:val="000000"/>
        </w:rPr>
      </w:pPr>
      <w:r w:rsidRPr="00F84101">
        <w:rPr>
          <w:color w:val="000000"/>
        </w:rPr>
        <w:t>I</w:t>
      </w:r>
      <w:r w:rsidR="00A10418" w:rsidRPr="00F84101">
        <w:rPr>
          <w:color w:val="000000"/>
        </w:rPr>
        <w:t>ncreased capacity in the area of financial management</w:t>
      </w:r>
      <w:r w:rsidR="00AD24BC" w:rsidRPr="00F84101">
        <w:rPr>
          <w:color w:val="000000"/>
        </w:rPr>
        <w:t xml:space="preserve"> through workshops and training</w:t>
      </w:r>
      <w:r w:rsidRPr="00F84101">
        <w:rPr>
          <w:color w:val="000000"/>
        </w:rPr>
        <w:t xml:space="preserve"> conducted on cash flow and liquidity management and internal audit and controls</w:t>
      </w:r>
      <w:r w:rsidR="00AD24BC" w:rsidRPr="00F84101">
        <w:rPr>
          <w:color w:val="000000"/>
        </w:rPr>
        <w:t xml:space="preserve">; </w:t>
      </w:r>
    </w:p>
    <w:p w:rsidR="00213CC8" w:rsidRPr="00F84101" w:rsidRDefault="00213CC8" w:rsidP="00875343">
      <w:pPr>
        <w:numPr>
          <w:ilvl w:val="0"/>
          <w:numId w:val="27"/>
        </w:numPr>
        <w:autoSpaceDE w:val="0"/>
        <w:autoSpaceDN w:val="0"/>
        <w:adjustRightInd w:val="0"/>
        <w:ind w:hanging="480"/>
        <w:jc w:val="both"/>
        <w:rPr>
          <w:color w:val="000000"/>
        </w:rPr>
      </w:pPr>
      <w:r w:rsidRPr="00F84101">
        <w:rPr>
          <w:color w:val="000000"/>
        </w:rPr>
        <w:t xml:space="preserve">Strengthened governance; and </w:t>
      </w:r>
    </w:p>
    <w:p w:rsidR="00C92554" w:rsidRPr="00F84101" w:rsidRDefault="00213CC8" w:rsidP="00875343">
      <w:pPr>
        <w:numPr>
          <w:ilvl w:val="0"/>
          <w:numId w:val="27"/>
        </w:numPr>
        <w:autoSpaceDE w:val="0"/>
        <w:autoSpaceDN w:val="0"/>
        <w:adjustRightInd w:val="0"/>
        <w:ind w:hanging="480"/>
        <w:jc w:val="both"/>
        <w:rPr>
          <w:color w:val="000000"/>
        </w:rPr>
      </w:pPr>
      <w:r w:rsidRPr="00F84101">
        <w:rPr>
          <w:color w:val="000000"/>
        </w:rPr>
        <w:t>E</w:t>
      </w:r>
      <w:r w:rsidR="00AD24BC" w:rsidRPr="00F84101">
        <w:rPr>
          <w:color w:val="000000"/>
        </w:rPr>
        <w:t xml:space="preserve">nhanced </w:t>
      </w:r>
      <w:r w:rsidRPr="00F84101">
        <w:t>client-orientated</w:t>
      </w:r>
      <w:r w:rsidR="00AD24BC" w:rsidRPr="00F84101">
        <w:t xml:space="preserve"> services and effective communications, through </w:t>
      </w:r>
      <w:r w:rsidR="00C92554" w:rsidRPr="00F84101">
        <w:rPr>
          <w:color w:val="000000"/>
        </w:rPr>
        <w:t>workshops</w:t>
      </w:r>
      <w:r w:rsidRPr="00F84101">
        <w:rPr>
          <w:color w:val="000000"/>
        </w:rPr>
        <w:t xml:space="preserve"> conducted</w:t>
      </w:r>
      <w:r w:rsidR="00C92554" w:rsidRPr="00F84101">
        <w:rPr>
          <w:color w:val="000000"/>
        </w:rPr>
        <w:t xml:space="preserve"> on market research, product development, and development of promotional materials. </w:t>
      </w:r>
    </w:p>
    <w:p w:rsidR="004D63B9" w:rsidRPr="00F84101" w:rsidRDefault="004D63B9" w:rsidP="00875343">
      <w:pPr>
        <w:numPr>
          <w:ilvl w:val="0"/>
          <w:numId w:val="18"/>
        </w:numPr>
        <w:tabs>
          <w:tab w:val="left" w:pos="360"/>
        </w:tabs>
        <w:autoSpaceDE w:val="0"/>
        <w:autoSpaceDN w:val="0"/>
        <w:adjustRightInd w:val="0"/>
        <w:ind w:left="360"/>
        <w:jc w:val="both"/>
        <w:rPr>
          <w:lang w:eastAsia="ja-JP"/>
        </w:rPr>
      </w:pPr>
      <w:r w:rsidRPr="00F84101">
        <w:rPr>
          <w:lang w:eastAsia="ja-JP"/>
        </w:rPr>
        <w:t xml:space="preserve">INFUSE also facilitated the development of a partnership between Moris Rasik with Monaco Asia Society (MAS) and the Monaco </w:t>
      </w:r>
      <w:r w:rsidR="00CD66A8">
        <w:rPr>
          <w:lang w:eastAsia="ja-JP"/>
        </w:rPr>
        <w:t>I</w:t>
      </w:r>
      <w:r w:rsidR="00CD66A8" w:rsidRPr="00F84101">
        <w:rPr>
          <w:lang w:eastAsia="ja-JP"/>
        </w:rPr>
        <w:t xml:space="preserve">nternational </w:t>
      </w:r>
      <w:r w:rsidR="00E34E0B">
        <w:rPr>
          <w:lang w:eastAsia="ja-JP"/>
        </w:rPr>
        <w:t>Cooperation</w:t>
      </w:r>
      <w:r w:rsidRPr="00F84101">
        <w:rPr>
          <w:lang w:eastAsia="ja-JP"/>
        </w:rPr>
        <w:t xml:space="preserve">.  In May, MAS and Monaco pledged their commitment to </w:t>
      </w:r>
      <w:r w:rsidR="00C358C9">
        <w:rPr>
          <w:lang w:eastAsia="ja-JP"/>
        </w:rPr>
        <w:t>guarantee</w:t>
      </w:r>
      <w:r w:rsidRPr="00F84101">
        <w:rPr>
          <w:lang w:eastAsia="ja-JP"/>
        </w:rPr>
        <w:t xml:space="preserve"> financing for loan capital </w:t>
      </w:r>
      <w:r w:rsidR="00F42D8B">
        <w:rPr>
          <w:lang w:eastAsia="ja-JP"/>
        </w:rPr>
        <w:t xml:space="preserve">from </w:t>
      </w:r>
      <w:r w:rsidR="00F42D8B" w:rsidRPr="00F84101">
        <w:rPr>
          <w:lang w:eastAsia="ja-JP"/>
        </w:rPr>
        <w:t xml:space="preserve">Credit Agricole </w:t>
      </w:r>
      <w:r w:rsidR="00F42D8B">
        <w:rPr>
          <w:lang w:eastAsia="ja-JP"/>
        </w:rPr>
        <w:t>with a $500,000 line of credit</w:t>
      </w:r>
      <w:r w:rsidR="004745A7">
        <w:rPr>
          <w:lang w:eastAsia="ja-JP"/>
        </w:rPr>
        <w:t xml:space="preserve"> that became available in December</w:t>
      </w:r>
      <w:r w:rsidR="00F42D8B">
        <w:rPr>
          <w:lang w:eastAsia="ja-JP"/>
        </w:rPr>
        <w:t xml:space="preserve">, </w:t>
      </w:r>
      <w:r w:rsidRPr="00F84101">
        <w:rPr>
          <w:lang w:eastAsia="ja-JP"/>
        </w:rPr>
        <w:t xml:space="preserve">and </w:t>
      </w:r>
      <w:r w:rsidR="004745A7">
        <w:rPr>
          <w:lang w:eastAsia="ja-JP"/>
        </w:rPr>
        <w:t xml:space="preserve">for </w:t>
      </w:r>
      <w:r w:rsidRPr="00F84101">
        <w:rPr>
          <w:lang w:eastAsia="ja-JP"/>
        </w:rPr>
        <w:t xml:space="preserve">technical assistance </w:t>
      </w:r>
      <w:r w:rsidR="00F42D8B">
        <w:rPr>
          <w:lang w:eastAsia="ja-JP"/>
        </w:rPr>
        <w:t xml:space="preserve">($60,000 over two years) for staff capacity building on new product development </w:t>
      </w:r>
      <w:r w:rsidRPr="00F84101">
        <w:rPr>
          <w:lang w:eastAsia="ja-JP"/>
        </w:rPr>
        <w:t xml:space="preserve">through their relationship with the Grameen Foundation </w:t>
      </w:r>
      <w:r w:rsidR="00F42D8B">
        <w:rPr>
          <w:lang w:eastAsia="ja-JP"/>
        </w:rPr>
        <w:t xml:space="preserve">and for communication technology through a </w:t>
      </w:r>
      <w:r w:rsidR="004745A7">
        <w:rPr>
          <w:lang w:eastAsia="ja-JP"/>
        </w:rPr>
        <w:t xml:space="preserve">Catalpa International, a Timor-Leste </w:t>
      </w:r>
      <w:proofErr w:type="gramStart"/>
      <w:r w:rsidR="004745A7">
        <w:rPr>
          <w:lang w:eastAsia="ja-JP"/>
        </w:rPr>
        <w:t xml:space="preserve">based </w:t>
      </w:r>
      <w:r w:rsidR="00F42D8B">
        <w:rPr>
          <w:lang w:eastAsia="ja-JP"/>
        </w:rPr>
        <w:t xml:space="preserve"> NGO</w:t>
      </w:r>
      <w:proofErr w:type="gramEnd"/>
      <w:r w:rsidRPr="00F84101">
        <w:rPr>
          <w:lang w:eastAsia="ja-JP"/>
        </w:rPr>
        <w:t xml:space="preserve">.  </w:t>
      </w:r>
      <w:r w:rsidR="004745A7">
        <w:rPr>
          <w:lang w:eastAsia="ja-JP"/>
        </w:rPr>
        <w:t xml:space="preserve">These activities are in the planning stage. </w:t>
      </w:r>
    </w:p>
    <w:p w:rsidR="00F51BE1" w:rsidRDefault="00BA3D56" w:rsidP="00BA3D56">
      <w:pPr>
        <w:numPr>
          <w:ilvl w:val="0"/>
          <w:numId w:val="18"/>
        </w:numPr>
        <w:autoSpaceDE w:val="0"/>
        <w:autoSpaceDN w:val="0"/>
        <w:adjustRightInd w:val="0"/>
        <w:ind w:left="360"/>
        <w:jc w:val="both"/>
        <w:rPr>
          <w:lang w:eastAsia="ja-JP"/>
        </w:rPr>
      </w:pPr>
      <w:r>
        <w:rPr>
          <w:lang w:eastAsia="ja-JP"/>
        </w:rPr>
        <w:t xml:space="preserve">Moris Rasik has achieved the minimum targets and milestones set forth in the </w:t>
      </w:r>
      <w:r w:rsidR="00DE6E83">
        <w:rPr>
          <w:lang w:eastAsia="ja-JP"/>
        </w:rPr>
        <w:t xml:space="preserve">PBA with the exception of two areas that have been delayed.  The implementation of the MIS has proven to be more challenging to roll out given the limitation </w:t>
      </w:r>
      <w:r w:rsidR="00C358C9">
        <w:rPr>
          <w:lang w:eastAsia="ja-JP"/>
        </w:rPr>
        <w:t xml:space="preserve">of staff capacity in accounting and </w:t>
      </w:r>
      <w:r w:rsidR="00DE6E83">
        <w:rPr>
          <w:lang w:eastAsia="ja-JP"/>
        </w:rPr>
        <w:t>finance procedures</w:t>
      </w:r>
      <w:r w:rsidR="00C358C9">
        <w:rPr>
          <w:lang w:eastAsia="ja-JP"/>
        </w:rPr>
        <w:t>,</w:t>
      </w:r>
      <w:r w:rsidR="00DE6E83">
        <w:rPr>
          <w:lang w:eastAsia="ja-JP"/>
        </w:rPr>
        <w:t xml:space="preserve"> and computer technology.  Additional expertise will be sought in the </w:t>
      </w:r>
      <w:r w:rsidR="00DE6E83">
        <w:rPr>
          <w:lang w:eastAsia="ja-JP"/>
        </w:rPr>
        <w:lastRenderedPageBreak/>
        <w:t xml:space="preserve">coming year.  The recruitment of new Board of Director members has been deferred due to the new ODTI regulation which will impact the type of board directors MR should recruit. </w:t>
      </w:r>
    </w:p>
    <w:p w:rsidR="00DE6E83" w:rsidRDefault="00DE6E83" w:rsidP="00DE6E83">
      <w:pPr>
        <w:autoSpaceDE w:val="0"/>
        <w:autoSpaceDN w:val="0"/>
        <w:adjustRightInd w:val="0"/>
        <w:jc w:val="both"/>
        <w:rPr>
          <w:lang w:eastAsia="ja-JP"/>
        </w:rPr>
      </w:pPr>
    </w:p>
    <w:p w:rsidR="009F6088" w:rsidRDefault="009F6088" w:rsidP="00DE6E83">
      <w:pPr>
        <w:autoSpaceDE w:val="0"/>
        <w:autoSpaceDN w:val="0"/>
        <w:adjustRightInd w:val="0"/>
        <w:jc w:val="both"/>
        <w:rPr>
          <w:lang w:eastAsia="ja-JP"/>
        </w:rPr>
      </w:pPr>
    </w:p>
    <w:p w:rsidR="009F6088" w:rsidRDefault="009F6088" w:rsidP="00DE6E83">
      <w:pPr>
        <w:autoSpaceDE w:val="0"/>
        <w:autoSpaceDN w:val="0"/>
        <w:adjustRightInd w:val="0"/>
        <w:jc w:val="both"/>
        <w:rPr>
          <w:lang w:eastAsia="ja-JP"/>
        </w:rPr>
      </w:pPr>
    </w:p>
    <w:p w:rsidR="009F6088" w:rsidRPr="00F84101" w:rsidRDefault="009F6088" w:rsidP="00DE6E83">
      <w:pPr>
        <w:autoSpaceDE w:val="0"/>
        <w:autoSpaceDN w:val="0"/>
        <w:adjustRightInd w:val="0"/>
        <w:jc w:val="both"/>
        <w:rPr>
          <w:lang w:eastAsia="ja-JP"/>
        </w:rPr>
      </w:pPr>
    </w:p>
    <w:p w:rsidR="000C6EE2" w:rsidRPr="006D2161" w:rsidRDefault="002E1687" w:rsidP="004D63B9">
      <w:pPr>
        <w:autoSpaceDE w:val="0"/>
        <w:autoSpaceDN w:val="0"/>
        <w:adjustRightInd w:val="0"/>
        <w:jc w:val="both"/>
        <w:rPr>
          <w:u w:val="single"/>
          <w:lang w:eastAsia="ja-JP"/>
        </w:rPr>
      </w:pPr>
      <w:r w:rsidRPr="006D2161">
        <w:rPr>
          <w:u w:val="single"/>
          <w:lang w:eastAsia="ja-JP"/>
        </w:rPr>
        <w:t xml:space="preserve">Support to </w:t>
      </w:r>
      <w:r w:rsidR="00DE6E83" w:rsidRPr="006D2161">
        <w:rPr>
          <w:u w:val="single"/>
          <w:lang w:eastAsia="ja-JP"/>
        </w:rPr>
        <w:t>Tuba Rai Metin (</w:t>
      </w:r>
      <w:r w:rsidR="00F55310" w:rsidRPr="006D2161">
        <w:rPr>
          <w:u w:val="single"/>
          <w:lang w:eastAsia="ja-JP"/>
        </w:rPr>
        <w:t>TRM</w:t>
      </w:r>
      <w:r w:rsidR="00757C2E">
        <w:rPr>
          <w:u w:val="single"/>
          <w:lang w:eastAsia="ja-JP"/>
        </w:rPr>
        <w:t>)</w:t>
      </w:r>
      <w:r w:rsidR="006B25D4" w:rsidRPr="006D2161">
        <w:rPr>
          <w:u w:val="single"/>
          <w:lang w:eastAsia="ja-JP"/>
        </w:rPr>
        <w:t xml:space="preserve">: </w:t>
      </w:r>
    </w:p>
    <w:p w:rsidR="00EC5BB0" w:rsidRDefault="00757C2E" w:rsidP="00757C2E">
      <w:pPr>
        <w:numPr>
          <w:ilvl w:val="2"/>
          <w:numId w:val="18"/>
        </w:numPr>
        <w:tabs>
          <w:tab w:val="clear" w:pos="2160"/>
          <w:tab w:val="left" w:pos="720"/>
        </w:tabs>
        <w:autoSpaceDE w:val="0"/>
        <w:autoSpaceDN w:val="0"/>
        <w:adjustRightInd w:val="0"/>
        <w:ind w:left="720" w:hanging="480"/>
        <w:jc w:val="both"/>
        <w:rPr>
          <w:lang w:eastAsia="ja-JP"/>
        </w:rPr>
      </w:pPr>
      <w:r>
        <w:t xml:space="preserve">As per the </w:t>
      </w:r>
      <w:r w:rsidR="00620C25">
        <w:t>tripartite</w:t>
      </w:r>
      <w:r>
        <w:t xml:space="preserve"> PBA between INFUSE, Basix and TRM approved in </w:t>
      </w:r>
      <w:r w:rsidRPr="00F84101">
        <w:t>September 2009</w:t>
      </w:r>
      <w:r>
        <w:t xml:space="preserve">, </w:t>
      </w:r>
      <w:r w:rsidR="00EC5BB0">
        <w:t xml:space="preserve">MicroLead agreed to fund Basix $897.595 total for technical assistance, while </w:t>
      </w:r>
      <w:r>
        <w:t xml:space="preserve">INFUSE </w:t>
      </w:r>
      <w:r w:rsidR="00EC5BB0">
        <w:t xml:space="preserve">agreed to fund TRM $271,728 for technical assistance and </w:t>
      </w:r>
      <w:r w:rsidRPr="00F84101">
        <w:t>up to US$ 1.48 milli</w:t>
      </w:r>
      <w:r>
        <w:t xml:space="preserve">on in loans and loan guarantees.  </w:t>
      </w:r>
    </w:p>
    <w:p w:rsidR="004D63B9" w:rsidRDefault="00EC5BB0" w:rsidP="00757C2E">
      <w:pPr>
        <w:numPr>
          <w:ilvl w:val="2"/>
          <w:numId w:val="18"/>
        </w:numPr>
        <w:tabs>
          <w:tab w:val="clear" w:pos="2160"/>
          <w:tab w:val="left" w:pos="720"/>
        </w:tabs>
        <w:autoSpaceDE w:val="0"/>
        <w:autoSpaceDN w:val="0"/>
        <w:adjustRightInd w:val="0"/>
        <w:ind w:left="720" w:hanging="480"/>
        <w:jc w:val="both"/>
        <w:rPr>
          <w:lang w:eastAsia="ja-JP"/>
        </w:rPr>
      </w:pPr>
      <w:r>
        <w:t>Based on compliance with targets and milestones</w:t>
      </w:r>
      <w:r w:rsidR="00757C2E">
        <w:t>, the</w:t>
      </w:r>
      <w:r w:rsidR="006B25D4" w:rsidRPr="00F84101">
        <w:rPr>
          <w:lang w:eastAsia="ja-JP"/>
        </w:rPr>
        <w:t xml:space="preserve"> first loan </w:t>
      </w:r>
      <w:r w:rsidR="00DE6E83">
        <w:rPr>
          <w:lang w:eastAsia="ja-JP"/>
        </w:rPr>
        <w:t xml:space="preserve">of </w:t>
      </w:r>
      <w:r w:rsidR="003B1B5C" w:rsidRPr="00F84101">
        <w:t>US $</w:t>
      </w:r>
      <w:r w:rsidR="006B25D4" w:rsidRPr="00F84101">
        <w:rPr>
          <w:lang w:eastAsia="ja-JP"/>
        </w:rPr>
        <w:t xml:space="preserve">150,000 was initiated for disbursement in June and </w:t>
      </w:r>
      <w:r w:rsidR="000C6EE2" w:rsidRPr="00F84101">
        <w:rPr>
          <w:lang w:eastAsia="ja-JP"/>
        </w:rPr>
        <w:t xml:space="preserve">transferred in </w:t>
      </w:r>
      <w:r w:rsidR="002109A3" w:rsidRPr="00F84101">
        <w:rPr>
          <w:lang w:eastAsia="ja-JP"/>
        </w:rPr>
        <w:t>August</w:t>
      </w:r>
      <w:r>
        <w:rPr>
          <w:lang w:eastAsia="ja-JP"/>
        </w:rPr>
        <w:t xml:space="preserve"> 2010</w:t>
      </w:r>
      <w:r w:rsidR="006B25D4" w:rsidRPr="00F84101">
        <w:rPr>
          <w:lang w:eastAsia="ja-JP"/>
        </w:rPr>
        <w:t>.</w:t>
      </w:r>
      <w:r w:rsidR="00757C2E">
        <w:rPr>
          <w:lang w:eastAsia="ja-JP"/>
        </w:rPr>
        <w:t xml:space="preserve">  Followed by a</w:t>
      </w:r>
      <w:r w:rsidR="000C6EE2" w:rsidRPr="00F84101">
        <w:rPr>
          <w:lang w:eastAsia="ja-JP"/>
        </w:rPr>
        <w:t xml:space="preserve"> second</w:t>
      </w:r>
      <w:r w:rsidR="003B1B5C" w:rsidRPr="00F84101">
        <w:t xml:space="preserve"> loan of US$</w:t>
      </w:r>
      <w:r w:rsidR="000C6EE2" w:rsidRPr="00F84101">
        <w:t xml:space="preserve"> 150,000 </w:t>
      </w:r>
      <w:r w:rsidR="00757C2E">
        <w:t>that was</w:t>
      </w:r>
      <w:r w:rsidR="000C6EE2" w:rsidRPr="00F84101">
        <w:t xml:space="preserve"> approved </w:t>
      </w:r>
      <w:r w:rsidR="00DE6E83">
        <w:t xml:space="preserve">for disbursement </w:t>
      </w:r>
      <w:r w:rsidR="00757C2E">
        <w:t xml:space="preserve">by the MCIF in November and will be disbursed </w:t>
      </w:r>
      <w:r>
        <w:t>in 2011</w:t>
      </w:r>
      <w:r w:rsidR="00757C2E">
        <w:t>.</w:t>
      </w:r>
    </w:p>
    <w:p w:rsidR="004D63B9" w:rsidRDefault="00913402" w:rsidP="00875343">
      <w:pPr>
        <w:numPr>
          <w:ilvl w:val="2"/>
          <w:numId w:val="18"/>
        </w:numPr>
        <w:tabs>
          <w:tab w:val="clear" w:pos="2160"/>
          <w:tab w:val="left" w:pos="720"/>
        </w:tabs>
        <w:autoSpaceDE w:val="0"/>
        <w:autoSpaceDN w:val="0"/>
        <w:adjustRightInd w:val="0"/>
        <w:ind w:left="720" w:hanging="480"/>
        <w:jc w:val="both"/>
        <w:rPr>
          <w:lang w:eastAsia="ja-JP"/>
        </w:rPr>
      </w:pPr>
      <w:r w:rsidRPr="00F84101">
        <w:t xml:space="preserve">The second </w:t>
      </w:r>
      <w:r w:rsidR="00DE0F3B">
        <w:t xml:space="preserve">grant </w:t>
      </w:r>
      <w:r w:rsidRPr="00F84101">
        <w:t xml:space="preserve">tranche </w:t>
      </w:r>
      <w:r w:rsidR="00DE0F3B">
        <w:t xml:space="preserve">from INFUSE to TRM, </w:t>
      </w:r>
      <w:r w:rsidRPr="00F84101">
        <w:t>US$ 84,405</w:t>
      </w:r>
      <w:r w:rsidR="00866324" w:rsidRPr="00F84101">
        <w:t>,</w:t>
      </w:r>
      <w:r w:rsidRPr="00F84101">
        <w:t xml:space="preserve"> was disbursed in November</w:t>
      </w:r>
      <w:r w:rsidR="00666503" w:rsidRPr="00F84101">
        <w:t xml:space="preserve"> upon completion of the following </w:t>
      </w:r>
      <w:r w:rsidR="00AD7623" w:rsidRPr="00F84101">
        <w:t>activities</w:t>
      </w:r>
      <w:r w:rsidR="004D63B9">
        <w:t>.</w:t>
      </w:r>
      <w:r w:rsidR="00DE0F3B">
        <w:t xml:space="preserve">  Simultaneously, MicroLead disbursed their second tranche to Basix $279,953 for technical assistance towards supporting these same activities.  </w:t>
      </w:r>
    </w:p>
    <w:p w:rsidR="004D63B9" w:rsidRDefault="00866324" w:rsidP="00875343">
      <w:pPr>
        <w:numPr>
          <w:ilvl w:val="0"/>
          <w:numId w:val="33"/>
        </w:numPr>
        <w:tabs>
          <w:tab w:val="left" w:pos="720"/>
        </w:tabs>
        <w:autoSpaceDE w:val="0"/>
        <w:autoSpaceDN w:val="0"/>
        <w:adjustRightInd w:val="0"/>
        <w:jc w:val="both"/>
        <w:rPr>
          <w:lang w:eastAsia="ja-JP"/>
        </w:rPr>
      </w:pPr>
      <w:r w:rsidRPr="00F84101">
        <w:t>Competent Board of Directors in place and trained</w:t>
      </w:r>
      <w:r w:rsidR="00666503" w:rsidRPr="00F84101">
        <w:t xml:space="preserve">; </w:t>
      </w:r>
    </w:p>
    <w:p w:rsidR="004D63B9" w:rsidRDefault="00866324" w:rsidP="00875343">
      <w:pPr>
        <w:numPr>
          <w:ilvl w:val="0"/>
          <w:numId w:val="33"/>
        </w:numPr>
        <w:tabs>
          <w:tab w:val="left" w:pos="720"/>
        </w:tabs>
        <w:autoSpaceDE w:val="0"/>
        <w:autoSpaceDN w:val="0"/>
        <w:adjustRightInd w:val="0"/>
        <w:jc w:val="both"/>
        <w:rPr>
          <w:lang w:eastAsia="ja-JP"/>
        </w:rPr>
      </w:pPr>
      <w:r w:rsidRPr="00F84101">
        <w:t>Competent Internal Auditors in place and trained</w:t>
      </w:r>
      <w:r w:rsidR="00666503" w:rsidRPr="00F84101">
        <w:t xml:space="preserve">; </w:t>
      </w:r>
    </w:p>
    <w:p w:rsidR="004D63B9" w:rsidRDefault="00866324" w:rsidP="00875343">
      <w:pPr>
        <w:numPr>
          <w:ilvl w:val="0"/>
          <w:numId w:val="33"/>
        </w:numPr>
        <w:tabs>
          <w:tab w:val="left" w:pos="720"/>
        </w:tabs>
        <w:autoSpaceDE w:val="0"/>
        <w:autoSpaceDN w:val="0"/>
        <w:adjustRightInd w:val="0"/>
        <w:jc w:val="both"/>
        <w:rPr>
          <w:lang w:eastAsia="ja-JP"/>
        </w:rPr>
      </w:pPr>
      <w:r w:rsidRPr="00F84101">
        <w:t>Key financial policies refined and/ or formulated and put in place including: write-off policy, cash flow analysis, asset-liability management, r</w:t>
      </w:r>
      <w:r w:rsidR="00666503" w:rsidRPr="00F84101">
        <w:t>eserve, and ageing of portfolio; and</w:t>
      </w:r>
      <w:r w:rsidRPr="00F84101">
        <w:t xml:space="preserve"> </w:t>
      </w:r>
    </w:p>
    <w:p w:rsidR="00CE07F0" w:rsidRDefault="00866324" w:rsidP="00875343">
      <w:pPr>
        <w:numPr>
          <w:ilvl w:val="0"/>
          <w:numId w:val="33"/>
        </w:numPr>
        <w:tabs>
          <w:tab w:val="left" w:pos="720"/>
        </w:tabs>
        <w:autoSpaceDE w:val="0"/>
        <w:autoSpaceDN w:val="0"/>
        <w:adjustRightInd w:val="0"/>
        <w:jc w:val="both"/>
        <w:rPr>
          <w:lang w:eastAsia="ja-JP"/>
        </w:rPr>
      </w:pPr>
      <w:r w:rsidRPr="00F84101">
        <w:t>Trainings completed as per DIP</w:t>
      </w:r>
      <w:r w:rsidR="00CE07F0" w:rsidRPr="00F84101">
        <w:t xml:space="preserve">; </w:t>
      </w:r>
    </w:p>
    <w:p w:rsidR="00CE07F0" w:rsidRDefault="00CE07F0" w:rsidP="00875343">
      <w:pPr>
        <w:numPr>
          <w:ilvl w:val="0"/>
          <w:numId w:val="33"/>
        </w:numPr>
        <w:tabs>
          <w:tab w:val="left" w:pos="720"/>
        </w:tabs>
        <w:autoSpaceDE w:val="0"/>
        <w:autoSpaceDN w:val="0"/>
        <w:adjustRightInd w:val="0"/>
        <w:jc w:val="both"/>
        <w:rPr>
          <w:lang w:eastAsia="ja-JP"/>
        </w:rPr>
      </w:pPr>
      <w:r w:rsidRPr="00F84101">
        <w:t>MIS</w:t>
      </w:r>
      <w:r w:rsidR="00866324" w:rsidRPr="00F84101">
        <w:t xml:space="preserve"> system upgrade </w:t>
      </w:r>
      <w:r w:rsidR="00666503" w:rsidRPr="00F84101">
        <w:t xml:space="preserve">in progress; </w:t>
      </w:r>
    </w:p>
    <w:p w:rsidR="00866324" w:rsidRPr="00F84101" w:rsidRDefault="00DE6E83" w:rsidP="00875343">
      <w:pPr>
        <w:numPr>
          <w:ilvl w:val="0"/>
          <w:numId w:val="33"/>
        </w:numPr>
        <w:tabs>
          <w:tab w:val="left" w:pos="720"/>
        </w:tabs>
        <w:autoSpaceDE w:val="0"/>
        <w:autoSpaceDN w:val="0"/>
        <w:adjustRightInd w:val="0"/>
        <w:jc w:val="both"/>
        <w:rPr>
          <w:lang w:eastAsia="ja-JP"/>
        </w:rPr>
      </w:pPr>
      <w:r>
        <w:t>P</w:t>
      </w:r>
      <w:r w:rsidR="00666503" w:rsidRPr="00F84101">
        <w:t xml:space="preserve">lans for introduction of new products in place. </w:t>
      </w:r>
    </w:p>
    <w:p w:rsidR="004D63B9" w:rsidRPr="00F84101" w:rsidRDefault="004D63B9" w:rsidP="00695E3F">
      <w:pPr>
        <w:numPr>
          <w:ilvl w:val="0"/>
          <w:numId w:val="34"/>
        </w:numPr>
        <w:autoSpaceDE w:val="0"/>
        <w:autoSpaceDN w:val="0"/>
        <w:adjustRightInd w:val="0"/>
        <w:ind w:hanging="480"/>
        <w:jc w:val="both"/>
        <w:rPr>
          <w:lang w:eastAsia="ja-JP"/>
        </w:rPr>
      </w:pPr>
      <w:r w:rsidRPr="00F84101">
        <w:rPr>
          <w:lang w:eastAsia="ja-JP"/>
        </w:rPr>
        <w:t xml:space="preserve">INFUSE continues to coordinate and monitor the MicroLead Program partnership between Basix, the </w:t>
      </w:r>
      <w:r w:rsidR="00695E3F">
        <w:rPr>
          <w:lang w:eastAsia="ja-JP"/>
        </w:rPr>
        <w:t>TSP</w:t>
      </w:r>
      <w:r w:rsidRPr="00F84101">
        <w:rPr>
          <w:lang w:eastAsia="ja-JP"/>
        </w:rPr>
        <w:t xml:space="preserve">, and </w:t>
      </w:r>
      <w:r w:rsidR="00DE6E83">
        <w:rPr>
          <w:lang w:eastAsia="ja-JP"/>
        </w:rPr>
        <w:t>TRM</w:t>
      </w:r>
      <w:r w:rsidRPr="00F84101">
        <w:rPr>
          <w:lang w:eastAsia="ja-JP"/>
        </w:rPr>
        <w:t xml:space="preserve">, meeting at minimum every two months to review the progress as per the 4.5 year detailed implementation plan.   </w:t>
      </w:r>
    </w:p>
    <w:p w:rsidR="006D2161" w:rsidRDefault="006D2161" w:rsidP="006D2161">
      <w:pPr>
        <w:numPr>
          <w:ilvl w:val="0"/>
          <w:numId w:val="18"/>
        </w:numPr>
        <w:autoSpaceDE w:val="0"/>
        <w:autoSpaceDN w:val="0"/>
        <w:adjustRightInd w:val="0"/>
        <w:ind w:left="360"/>
        <w:jc w:val="both"/>
        <w:rPr>
          <w:lang w:eastAsia="ja-JP"/>
        </w:rPr>
      </w:pPr>
      <w:r>
        <w:rPr>
          <w:lang w:eastAsia="ja-JP"/>
        </w:rPr>
        <w:t xml:space="preserve">TRM has achieved the minimum targets and milestones set forth in the PBA with the exception of two areas that have been delayed.  The implementation of the MIS has also been delayed for the same reasons cited for Moris Rasik.  And new product development has been delayed though a plan is in place to develop an agriculture loan product, while the savings products have been deferred due to the introduction of the new ODTI instruction which will require NGO-MFIs to transform into companies should they choose to mediate savings.  </w:t>
      </w:r>
    </w:p>
    <w:p w:rsidR="004745A7" w:rsidRDefault="00695E3F" w:rsidP="00695E3F">
      <w:pPr>
        <w:numPr>
          <w:ilvl w:val="0"/>
          <w:numId w:val="18"/>
        </w:numPr>
        <w:autoSpaceDE w:val="0"/>
        <w:autoSpaceDN w:val="0"/>
        <w:adjustRightInd w:val="0"/>
        <w:ind w:left="360"/>
        <w:jc w:val="both"/>
        <w:rPr>
          <w:lang w:eastAsia="ja-JP"/>
        </w:rPr>
      </w:pPr>
      <w:r w:rsidRPr="00F84101">
        <w:rPr>
          <w:lang w:eastAsia="ja-JP"/>
        </w:rPr>
        <w:t xml:space="preserve">INFUSE continues to assist the MFIs in their search for external financing, and facilitated discussions between TRM and </w:t>
      </w:r>
      <w:r>
        <w:rPr>
          <w:lang w:eastAsia="ja-JP"/>
        </w:rPr>
        <w:t>three</w:t>
      </w:r>
      <w:r w:rsidRPr="00F84101">
        <w:rPr>
          <w:lang w:eastAsia="ja-JP"/>
        </w:rPr>
        <w:t xml:space="preserve"> microfinance investment vehicles (Triodos, Blue Orchard, PlaNis).  </w:t>
      </w:r>
    </w:p>
    <w:p w:rsidR="006D2161" w:rsidRDefault="006B25D4" w:rsidP="00875343">
      <w:pPr>
        <w:numPr>
          <w:ilvl w:val="0"/>
          <w:numId w:val="18"/>
        </w:numPr>
        <w:autoSpaceDE w:val="0"/>
        <w:autoSpaceDN w:val="0"/>
        <w:adjustRightInd w:val="0"/>
        <w:ind w:left="360"/>
        <w:jc w:val="both"/>
        <w:rPr>
          <w:lang w:eastAsia="ja-JP"/>
        </w:rPr>
      </w:pPr>
      <w:r w:rsidRPr="00F84101">
        <w:rPr>
          <w:lang w:eastAsia="ja-JP"/>
        </w:rPr>
        <w:t xml:space="preserve">Direct technical assistance was provided by the INFUSE to both Moris Rasik and Tuba Rai Metin to assess and identify an appropriate off-the-shelf </w:t>
      </w:r>
      <w:r w:rsidR="005346BD">
        <w:rPr>
          <w:lang w:eastAsia="ja-JP"/>
        </w:rPr>
        <w:t>MIS</w:t>
      </w:r>
      <w:r w:rsidRPr="00F84101">
        <w:rPr>
          <w:lang w:eastAsia="ja-JP"/>
        </w:rPr>
        <w:t xml:space="preserve"> package that will formalize the institution’s financial and portfolio systems and reporting.  INFUSE is providing funding support to both MFIs for the purchase and installation.  After much coordination and negotiation, both MFIs agreed to jointly purchase the same package (Abacus from Fern Software) which will result in additional benefits of cost-sharing and human resource capacity building.  </w:t>
      </w:r>
    </w:p>
    <w:p w:rsidR="004D63B9" w:rsidRDefault="004D63B9" w:rsidP="004D63B9">
      <w:pPr>
        <w:autoSpaceDE w:val="0"/>
        <w:autoSpaceDN w:val="0"/>
        <w:adjustRightInd w:val="0"/>
        <w:jc w:val="both"/>
      </w:pPr>
    </w:p>
    <w:p w:rsidR="00AC28A8" w:rsidRPr="006D2161" w:rsidRDefault="00AC28A8" w:rsidP="00AC28A8">
      <w:pPr>
        <w:autoSpaceDE w:val="0"/>
        <w:autoSpaceDN w:val="0"/>
        <w:adjustRightInd w:val="0"/>
        <w:rPr>
          <w:color w:val="000000"/>
          <w:u w:val="single"/>
        </w:rPr>
      </w:pPr>
      <w:r w:rsidRPr="006D2161">
        <w:rPr>
          <w:color w:val="000000"/>
          <w:u w:val="single"/>
        </w:rPr>
        <w:t>Support to Credit Union Foundation Australia (CUFA)</w:t>
      </w:r>
    </w:p>
    <w:p w:rsidR="00AC28A8" w:rsidRPr="00AC28A8" w:rsidRDefault="00AC28A8" w:rsidP="00875343">
      <w:pPr>
        <w:pStyle w:val="Default"/>
        <w:numPr>
          <w:ilvl w:val="0"/>
          <w:numId w:val="34"/>
        </w:numPr>
        <w:ind w:left="360"/>
        <w:jc w:val="both"/>
        <w:rPr>
          <w:rFonts w:ascii="Times New Roman" w:eastAsia="Times New Roman" w:hAnsi="Times New Roman" w:cs="Times New Roman"/>
        </w:rPr>
      </w:pPr>
      <w:r w:rsidRPr="00AC28A8">
        <w:rPr>
          <w:rFonts w:ascii="Times New Roman" w:hAnsi="Times New Roman" w:cs="Times New Roman"/>
        </w:rPr>
        <w:lastRenderedPageBreak/>
        <w:t xml:space="preserve">INFUSE provided a small grant of $5,000 to CUFA </w:t>
      </w:r>
      <w:r w:rsidR="00695E3F">
        <w:rPr>
          <w:rFonts w:ascii="Times New Roman" w:hAnsi="Times New Roman" w:cs="Times New Roman"/>
        </w:rPr>
        <w:t xml:space="preserve">to </w:t>
      </w:r>
      <w:r w:rsidR="00776973">
        <w:rPr>
          <w:rFonts w:ascii="Times New Roman" w:hAnsi="Times New Roman" w:cs="Times New Roman"/>
        </w:rPr>
        <w:t>initiate and</w:t>
      </w:r>
      <w:r w:rsidRPr="00AC28A8">
        <w:rPr>
          <w:rFonts w:ascii="Times New Roman" w:hAnsi="Times New Roman" w:cs="Times New Roman"/>
        </w:rPr>
        <w:t xml:space="preserve"> </w:t>
      </w:r>
      <w:r w:rsidR="00610153">
        <w:rPr>
          <w:rFonts w:ascii="Times New Roman" w:hAnsi="Times New Roman" w:cs="Times New Roman"/>
        </w:rPr>
        <w:t>lead</w:t>
      </w:r>
      <w:r w:rsidR="00610153" w:rsidRPr="00AC28A8">
        <w:rPr>
          <w:rFonts w:ascii="Times New Roman" w:hAnsi="Times New Roman" w:cs="Times New Roman"/>
        </w:rPr>
        <w:t xml:space="preserve"> </w:t>
      </w:r>
      <w:r w:rsidRPr="00AC28A8">
        <w:rPr>
          <w:rFonts w:ascii="Times New Roman" w:hAnsi="Times New Roman" w:cs="Times New Roman"/>
        </w:rPr>
        <w:t>a strategic planning process</w:t>
      </w:r>
      <w:r w:rsidR="00610153">
        <w:rPr>
          <w:rFonts w:ascii="Times New Roman" w:hAnsi="Times New Roman" w:cs="Times New Roman"/>
        </w:rPr>
        <w:t xml:space="preserve"> </w:t>
      </w:r>
      <w:r w:rsidRPr="00AC28A8">
        <w:rPr>
          <w:rFonts w:ascii="Times New Roman" w:hAnsi="Times New Roman" w:cs="Times New Roman"/>
        </w:rPr>
        <w:t xml:space="preserve">with all relevant stakeholders involved in </w:t>
      </w:r>
      <w:r w:rsidR="00610153">
        <w:rPr>
          <w:rFonts w:ascii="Times New Roman" w:hAnsi="Times New Roman" w:cs="Times New Roman"/>
        </w:rPr>
        <w:t xml:space="preserve">supporting the </w:t>
      </w:r>
      <w:r w:rsidRPr="00AC28A8">
        <w:rPr>
          <w:rFonts w:ascii="Times New Roman" w:hAnsi="Times New Roman" w:cs="Times New Roman"/>
        </w:rPr>
        <w:t xml:space="preserve">credit unions (CUs) including the </w:t>
      </w:r>
      <w:r w:rsidR="00776973">
        <w:rPr>
          <w:rFonts w:ascii="Times New Roman" w:hAnsi="Times New Roman" w:cs="Times New Roman"/>
        </w:rPr>
        <w:t xml:space="preserve">GoTL’s </w:t>
      </w:r>
      <w:r w:rsidRPr="00AC28A8">
        <w:rPr>
          <w:rFonts w:ascii="Times New Roman" w:hAnsi="Times New Roman" w:cs="Times New Roman"/>
        </w:rPr>
        <w:t xml:space="preserve">Diresaun Nasional Cooperativos (DNC), the Federation of CUs, and several CU </w:t>
      </w:r>
      <w:r w:rsidR="00776973">
        <w:rPr>
          <w:rFonts w:ascii="Times New Roman" w:hAnsi="Times New Roman" w:cs="Times New Roman"/>
        </w:rPr>
        <w:t>representatives</w:t>
      </w:r>
      <w:r w:rsidRPr="00AC28A8">
        <w:rPr>
          <w:rFonts w:ascii="Times New Roman" w:hAnsi="Times New Roman" w:cs="Times New Roman"/>
        </w:rPr>
        <w:t xml:space="preserve">. </w:t>
      </w:r>
      <w:r w:rsidR="00610153">
        <w:rPr>
          <w:rFonts w:ascii="Times New Roman" w:hAnsi="Times New Roman" w:cs="Times New Roman"/>
        </w:rPr>
        <w:t>Following on a workshop that took place in November 2009 to initiate the planning process, CUFA drafted a</w:t>
      </w:r>
      <w:r w:rsidRPr="00AC28A8">
        <w:rPr>
          <w:rFonts w:ascii="Times New Roman" w:hAnsi="Times New Roman" w:cs="Times New Roman"/>
        </w:rPr>
        <w:t xml:space="preserve"> 7</w:t>
      </w:r>
      <w:r w:rsidRPr="00AC28A8">
        <w:rPr>
          <w:rFonts w:ascii="Calibri" w:hAnsi="Calibri" w:cs="Times New Roman"/>
        </w:rPr>
        <w:t>‐</w:t>
      </w:r>
      <w:r w:rsidRPr="00AC28A8">
        <w:rPr>
          <w:rFonts w:ascii="Times New Roman" w:hAnsi="Times New Roman" w:cs="Times New Roman"/>
        </w:rPr>
        <w:t xml:space="preserve">year strategic plan </w:t>
      </w:r>
      <w:r w:rsidR="00610153">
        <w:rPr>
          <w:rFonts w:ascii="Times New Roman" w:hAnsi="Times New Roman" w:cs="Times New Roman"/>
        </w:rPr>
        <w:t>including</w:t>
      </w:r>
      <w:r w:rsidR="00610153" w:rsidRPr="00AC28A8">
        <w:rPr>
          <w:rFonts w:ascii="Times New Roman" w:hAnsi="Times New Roman" w:cs="Times New Roman"/>
        </w:rPr>
        <w:t xml:space="preserve"> </w:t>
      </w:r>
      <w:r w:rsidRPr="00AC28A8">
        <w:rPr>
          <w:rFonts w:ascii="Times New Roman" w:hAnsi="Times New Roman" w:cs="Times New Roman"/>
        </w:rPr>
        <w:t xml:space="preserve">a detailed implementation plan and submitted to INFUSE in February. However after several rounds of </w:t>
      </w:r>
      <w:r w:rsidR="00610153">
        <w:rPr>
          <w:rFonts w:ascii="Times New Roman" w:hAnsi="Times New Roman" w:cs="Times New Roman"/>
        </w:rPr>
        <w:t>negotiations</w:t>
      </w:r>
      <w:r w:rsidRPr="00AC28A8">
        <w:rPr>
          <w:rFonts w:ascii="Times New Roman" w:hAnsi="Times New Roman" w:cs="Times New Roman"/>
        </w:rPr>
        <w:t xml:space="preserve"> with CUFA, INFUSE considers this still to be in draft form</w:t>
      </w:r>
      <w:r w:rsidR="00610153">
        <w:rPr>
          <w:rFonts w:ascii="Times New Roman" w:hAnsi="Times New Roman" w:cs="Times New Roman"/>
        </w:rPr>
        <w:t xml:space="preserve"> as it lacked </w:t>
      </w:r>
      <w:r w:rsidR="00695E3F">
        <w:rPr>
          <w:rFonts w:ascii="Times New Roman" w:hAnsi="Times New Roman" w:cs="Times New Roman"/>
        </w:rPr>
        <w:t>realistic analysis of the sector, clear</w:t>
      </w:r>
      <w:r w:rsidR="00610153">
        <w:rPr>
          <w:rFonts w:ascii="Times New Roman" w:hAnsi="Times New Roman" w:cs="Times New Roman"/>
        </w:rPr>
        <w:t xml:space="preserve"> objectives</w:t>
      </w:r>
      <w:r w:rsidR="00695E3F">
        <w:rPr>
          <w:rFonts w:ascii="Times New Roman" w:hAnsi="Times New Roman" w:cs="Times New Roman"/>
        </w:rPr>
        <w:t>, or a plan for robust technical and managerial expertise to implement the plan. Most import</w:t>
      </w:r>
      <w:r w:rsidR="00610153">
        <w:rPr>
          <w:rFonts w:ascii="Times New Roman" w:hAnsi="Times New Roman" w:cs="Times New Roman"/>
        </w:rPr>
        <w:t>antly, the stakeholder</w:t>
      </w:r>
      <w:r w:rsidR="00776973">
        <w:rPr>
          <w:rFonts w:ascii="Times New Roman" w:hAnsi="Times New Roman" w:cs="Times New Roman"/>
        </w:rPr>
        <w:t>s</w:t>
      </w:r>
      <w:r w:rsidR="00610153">
        <w:rPr>
          <w:rFonts w:ascii="Times New Roman" w:hAnsi="Times New Roman" w:cs="Times New Roman"/>
        </w:rPr>
        <w:t xml:space="preserve"> refused to endorse it</w:t>
      </w:r>
      <w:r w:rsidR="00695E3F">
        <w:rPr>
          <w:rFonts w:ascii="Times New Roman" w:hAnsi="Times New Roman" w:cs="Times New Roman"/>
        </w:rPr>
        <w:t>.</w:t>
      </w:r>
      <w:r w:rsidRPr="00AC28A8">
        <w:rPr>
          <w:rFonts w:ascii="Times New Roman" w:hAnsi="Times New Roman" w:cs="Times New Roman"/>
        </w:rPr>
        <w:t xml:space="preserve">  </w:t>
      </w:r>
      <w:r w:rsidR="00610153">
        <w:rPr>
          <w:rFonts w:ascii="Times New Roman" w:hAnsi="Times New Roman" w:cs="Times New Roman"/>
        </w:rPr>
        <w:t>Subsequently</w:t>
      </w:r>
      <w:r w:rsidR="00610153" w:rsidRPr="00AC28A8">
        <w:rPr>
          <w:rFonts w:ascii="Times New Roman" w:hAnsi="Times New Roman" w:cs="Times New Roman"/>
        </w:rPr>
        <w:t xml:space="preserve">, CUFA </w:t>
      </w:r>
      <w:r w:rsidR="00610153">
        <w:rPr>
          <w:rFonts w:ascii="Times New Roman" w:hAnsi="Times New Roman" w:cs="Times New Roman"/>
        </w:rPr>
        <w:t>chose</w:t>
      </w:r>
      <w:r w:rsidR="00610153" w:rsidRPr="00AC28A8">
        <w:rPr>
          <w:rFonts w:ascii="Times New Roman" w:hAnsi="Times New Roman" w:cs="Times New Roman"/>
        </w:rPr>
        <w:t xml:space="preserve"> not t</w:t>
      </w:r>
      <w:r w:rsidR="00610153">
        <w:rPr>
          <w:rFonts w:ascii="Times New Roman" w:hAnsi="Times New Roman" w:cs="Times New Roman"/>
        </w:rPr>
        <w:t xml:space="preserve">o continue developing it further, and thus INFUSE did not solicit a follow on proposal from CUFA as the </w:t>
      </w:r>
      <w:r w:rsidR="00695E3F">
        <w:rPr>
          <w:rFonts w:ascii="Times New Roman" w:hAnsi="Times New Roman" w:cs="Times New Roman"/>
        </w:rPr>
        <w:t>TSP</w:t>
      </w:r>
      <w:r w:rsidR="00610153">
        <w:rPr>
          <w:rFonts w:ascii="Times New Roman" w:hAnsi="Times New Roman" w:cs="Times New Roman"/>
        </w:rPr>
        <w:t xml:space="preserve"> to implement the plan.  INFUSE will continue to identify strategies that might support </w:t>
      </w:r>
      <w:r w:rsidR="00695E3F">
        <w:rPr>
          <w:rFonts w:ascii="Times New Roman" w:hAnsi="Times New Roman" w:cs="Times New Roman"/>
        </w:rPr>
        <w:t>the CU</w:t>
      </w:r>
      <w:r w:rsidR="00610153">
        <w:rPr>
          <w:rFonts w:ascii="Times New Roman" w:hAnsi="Times New Roman" w:cs="Times New Roman"/>
        </w:rPr>
        <w:t xml:space="preserve"> development.  The challenge being that the majority </w:t>
      </w:r>
      <w:r w:rsidR="00776973">
        <w:rPr>
          <w:rFonts w:ascii="Times New Roman" w:hAnsi="Times New Roman" w:cs="Times New Roman"/>
        </w:rPr>
        <w:t xml:space="preserve">of the CUs </w:t>
      </w:r>
      <w:r w:rsidR="00610153">
        <w:rPr>
          <w:rFonts w:ascii="Times New Roman" w:hAnsi="Times New Roman" w:cs="Times New Roman"/>
        </w:rPr>
        <w:t xml:space="preserve">are very small, remote, </w:t>
      </w:r>
      <w:r w:rsidR="0017224B">
        <w:rPr>
          <w:rFonts w:ascii="Times New Roman" w:hAnsi="Times New Roman" w:cs="Times New Roman"/>
        </w:rPr>
        <w:t>with</w:t>
      </w:r>
      <w:r w:rsidR="00610153">
        <w:rPr>
          <w:rFonts w:ascii="Times New Roman" w:hAnsi="Times New Roman" w:cs="Times New Roman"/>
        </w:rPr>
        <w:t xml:space="preserve"> weak governance </w:t>
      </w:r>
      <w:r w:rsidR="00695E3F">
        <w:rPr>
          <w:rFonts w:ascii="Times New Roman" w:hAnsi="Times New Roman" w:cs="Times New Roman"/>
        </w:rPr>
        <w:t>and</w:t>
      </w:r>
      <w:r w:rsidR="00610153">
        <w:rPr>
          <w:rFonts w:ascii="Times New Roman" w:hAnsi="Times New Roman" w:cs="Times New Roman"/>
        </w:rPr>
        <w:t xml:space="preserve"> </w:t>
      </w:r>
      <w:r w:rsidR="00776973">
        <w:rPr>
          <w:rFonts w:ascii="Times New Roman" w:hAnsi="Times New Roman" w:cs="Times New Roman"/>
        </w:rPr>
        <w:t xml:space="preserve">low </w:t>
      </w:r>
      <w:r w:rsidR="00695E3F">
        <w:rPr>
          <w:rFonts w:ascii="Times New Roman" w:hAnsi="Times New Roman" w:cs="Times New Roman"/>
        </w:rPr>
        <w:t xml:space="preserve">member confidence which would </w:t>
      </w:r>
      <w:r w:rsidR="0017224B">
        <w:rPr>
          <w:rFonts w:ascii="Times New Roman" w:hAnsi="Times New Roman" w:cs="Times New Roman"/>
        </w:rPr>
        <w:t>demand</w:t>
      </w:r>
      <w:r w:rsidR="00695E3F">
        <w:rPr>
          <w:rFonts w:ascii="Times New Roman" w:hAnsi="Times New Roman" w:cs="Times New Roman"/>
        </w:rPr>
        <w:t xml:space="preserve"> significant</w:t>
      </w:r>
      <w:r w:rsidR="0017224B">
        <w:rPr>
          <w:rFonts w:ascii="Times New Roman" w:hAnsi="Times New Roman" w:cs="Times New Roman"/>
        </w:rPr>
        <w:t xml:space="preserve"> technical expertise and</w:t>
      </w:r>
      <w:r w:rsidR="00695E3F">
        <w:rPr>
          <w:rFonts w:ascii="Times New Roman" w:hAnsi="Times New Roman" w:cs="Times New Roman"/>
        </w:rPr>
        <w:t xml:space="preserve"> investment in capacity building.</w:t>
      </w:r>
    </w:p>
    <w:p w:rsidR="00AC28A8" w:rsidRDefault="00AC28A8" w:rsidP="004D63B9">
      <w:pPr>
        <w:autoSpaceDE w:val="0"/>
        <w:autoSpaceDN w:val="0"/>
        <w:adjustRightInd w:val="0"/>
        <w:jc w:val="both"/>
      </w:pPr>
    </w:p>
    <w:p w:rsidR="00564A61" w:rsidRPr="004D63B9" w:rsidRDefault="00564A61" w:rsidP="0017224B">
      <w:pPr>
        <w:numPr>
          <w:ilvl w:val="0"/>
          <w:numId w:val="18"/>
        </w:numPr>
        <w:autoSpaceDE w:val="0"/>
        <w:autoSpaceDN w:val="0"/>
        <w:adjustRightInd w:val="0"/>
        <w:ind w:left="360"/>
        <w:jc w:val="both"/>
        <w:rPr>
          <w:lang w:eastAsia="ja-JP"/>
        </w:rPr>
      </w:pPr>
      <w:r w:rsidRPr="00F84101">
        <w:t>In November, t</w:t>
      </w:r>
      <w:r w:rsidR="00931D94" w:rsidRPr="00F84101">
        <w:t xml:space="preserve">he </w:t>
      </w:r>
      <w:r w:rsidRPr="00F84101">
        <w:t>MCIF reviewed and approved a</w:t>
      </w:r>
      <w:r w:rsidR="00B86410" w:rsidRPr="00F84101">
        <w:t xml:space="preserve"> detailed</w:t>
      </w:r>
      <w:r w:rsidRPr="00F84101">
        <w:t xml:space="preserve"> proposal from Mercy Corps</w:t>
      </w:r>
      <w:r w:rsidR="00C40491" w:rsidRPr="00F84101">
        <w:t xml:space="preserve"> </w:t>
      </w:r>
      <w:r w:rsidR="00834838" w:rsidRPr="00F84101">
        <w:t xml:space="preserve">(MC) </w:t>
      </w:r>
      <w:r w:rsidR="00C40491" w:rsidRPr="00F84101">
        <w:t>for US$ 165,205 grant funding</w:t>
      </w:r>
      <w:r w:rsidR="00E75D68" w:rsidRPr="00F84101">
        <w:t>, to be disbursed in 3 tranches</w:t>
      </w:r>
      <w:r w:rsidR="00C40491" w:rsidRPr="00F84101">
        <w:t xml:space="preserve"> over 2 years</w:t>
      </w:r>
      <w:r w:rsidR="00E75D68" w:rsidRPr="00F84101">
        <w:t>,</w:t>
      </w:r>
      <w:r w:rsidR="00C40491" w:rsidRPr="00F84101">
        <w:t xml:space="preserve"> for development and implementation of a </w:t>
      </w:r>
      <w:r w:rsidR="00CA6F99">
        <w:t xml:space="preserve">social performance </w:t>
      </w:r>
      <w:r w:rsidR="00695E3F">
        <w:t xml:space="preserve">measurement tool—i.e. </w:t>
      </w:r>
      <w:r w:rsidR="00CA6F99" w:rsidRPr="00F84101">
        <w:t>the Grameen Foundation Pro</w:t>
      </w:r>
      <w:r w:rsidR="00695E3F">
        <w:t>gress out of Poverty (PPI) Tool</w:t>
      </w:r>
      <w:r w:rsidR="00CA6F99">
        <w:t xml:space="preserve"> </w:t>
      </w:r>
      <w:r w:rsidR="00CA6F99" w:rsidRPr="00F84101">
        <w:t xml:space="preserve">which is internationally </w:t>
      </w:r>
      <w:r w:rsidR="00695E3F" w:rsidRPr="00F84101">
        <w:t>recognized</w:t>
      </w:r>
      <w:r w:rsidR="00CA6F99" w:rsidRPr="00F84101">
        <w:t>, si</w:t>
      </w:r>
      <w:r w:rsidR="00CA6F99">
        <w:t xml:space="preserve">mple to use and non-proprietary.  </w:t>
      </w:r>
      <w:r w:rsidR="0017224B">
        <w:t>MC</w:t>
      </w:r>
      <w:r w:rsidR="00CA6F99">
        <w:t xml:space="preserve"> will create MOUs to pilot this with TRM and Moris Rasik so they can </w:t>
      </w:r>
      <w:r w:rsidR="00C40491" w:rsidRPr="00F84101">
        <w:t xml:space="preserve">measure the social impact of their products and services in terms of alleviating the poverty levels of clients. </w:t>
      </w:r>
      <w:r w:rsidR="00834838" w:rsidRPr="00F84101">
        <w:t xml:space="preserve">MC </w:t>
      </w:r>
      <w:r w:rsidR="00CA6F99">
        <w:t xml:space="preserve">implemented this tool in Indonesia and will now </w:t>
      </w:r>
      <w:r w:rsidR="00834838" w:rsidRPr="00F84101">
        <w:t xml:space="preserve">adapt </w:t>
      </w:r>
      <w:r w:rsidR="00CA6F99">
        <w:t>it</w:t>
      </w:r>
      <w:r w:rsidR="00834838" w:rsidRPr="00F84101">
        <w:t xml:space="preserve"> for </w:t>
      </w:r>
      <w:r w:rsidR="00695E3F">
        <w:t xml:space="preserve">the </w:t>
      </w:r>
      <w:r w:rsidR="00834838" w:rsidRPr="00F84101">
        <w:t xml:space="preserve">TL </w:t>
      </w:r>
      <w:r w:rsidR="00695E3F">
        <w:t>context</w:t>
      </w:r>
      <w:r w:rsidR="00834838" w:rsidRPr="00F84101">
        <w:t xml:space="preserve">. </w:t>
      </w:r>
      <w:r w:rsidRPr="00F84101">
        <w:t xml:space="preserve">By using the </w:t>
      </w:r>
      <w:r w:rsidR="00E75D68" w:rsidRPr="00F84101">
        <w:t>PPI</w:t>
      </w:r>
      <w:r w:rsidRPr="00F84101">
        <w:t xml:space="preserve"> over time, MFIs in Timor-Leste would be able to:</w:t>
      </w:r>
    </w:p>
    <w:p w:rsidR="00564A61" w:rsidRPr="00F84101" w:rsidRDefault="00564A61" w:rsidP="0017224B">
      <w:pPr>
        <w:widowControl w:val="0"/>
        <w:numPr>
          <w:ilvl w:val="0"/>
          <w:numId w:val="28"/>
        </w:numPr>
        <w:autoSpaceDE w:val="0"/>
        <w:autoSpaceDN w:val="0"/>
        <w:adjustRightInd w:val="0"/>
        <w:ind w:left="720"/>
        <w:jc w:val="both"/>
      </w:pPr>
      <w:r w:rsidRPr="00F84101">
        <w:t>Better define and adhere to their missions;</w:t>
      </w:r>
    </w:p>
    <w:p w:rsidR="00564A61" w:rsidRPr="00F84101" w:rsidRDefault="00564A61" w:rsidP="0017224B">
      <w:pPr>
        <w:widowControl w:val="0"/>
        <w:numPr>
          <w:ilvl w:val="0"/>
          <w:numId w:val="28"/>
        </w:numPr>
        <w:autoSpaceDE w:val="0"/>
        <w:autoSpaceDN w:val="0"/>
        <w:adjustRightInd w:val="0"/>
        <w:ind w:left="720"/>
        <w:jc w:val="both"/>
      </w:pPr>
      <w:r w:rsidRPr="00F84101">
        <w:rPr>
          <w:rFonts w:eastAsia="Calibri"/>
        </w:rPr>
        <w:t xml:space="preserve">Monitor the poverty status of their clients, review impact of their services on client poverty levels, and </w:t>
      </w:r>
      <w:r w:rsidR="00CA6F99">
        <w:rPr>
          <w:rFonts w:eastAsia="Calibri"/>
        </w:rPr>
        <w:t xml:space="preserve">better </w:t>
      </w:r>
      <w:r w:rsidRPr="00F84101">
        <w:rPr>
          <w:rFonts w:eastAsia="Calibri"/>
        </w:rPr>
        <w:t xml:space="preserve">design and deliver appropriate financial products and services for the </w:t>
      </w:r>
      <w:r w:rsidR="00CA6F99">
        <w:rPr>
          <w:rFonts w:eastAsia="Calibri"/>
        </w:rPr>
        <w:t>poor</w:t>
      </w:r>
      <w:r w:rsidRPr="00F84101">
        <w:rPr>
          <w:rFonts w:eastAsia="Calibri"/>
        </w:rPr>
        <w:t xml:space="preserve">; </w:t>
      </w:r>
    </w:p>
    <w:p w:rsidR="00564A61" w:rsidRPr="00F84101" w:rsidRDefault="00564A61" w:rsidP="0017224B">
      <w:pPr>
        <w:widowControl w:val="0"/>
        <w:numPr>
          <w:ilvl w:val="0"/>
          <w:numId w:val="28"/>
        </w:numPr>
        <w:autoSpaceDE w:val="0"/>
        <w:autoSpaceDN w:val="0"/>
        <w:adjustRightInd w:val="0"/>
        <w:ind w:left="720"/>
        <w:jc w:val="both"/>
      </w:pPr>
      <w:r w:rsidRPr="00F84101">
        <w:t>Increase their competitive edge, profitability, and ability to retain clients</w:t>
      </w:r>
      <w:r w:rsidR="0017224B">
        <w:t>;</w:t>
      </w:r>
      <w:r w:rsidRPr="00F84101">
        <w:t xml:space="preserve"> </w:t>
      </w:r>
    </w:p>
    <w:p w:rsidR="00564A61" w:rsidRPr="00F84101" w:rsidRDefault="00564A61" w:rsidP="0017224B">
      <w:pPr>
        <w:numPr>
          <w:ilvl w:val="0"/>
          <w:numId w:val="28"/>
        </w:numPr>
        <w:shd w:val="clear" w:color="auto" w:fill="FFFFFF"/>
        <w:ind w:left="720"/>
        <w:jc w:val="both"/>
        <w:rPr>
          <w:lang w:val="en"/>
        </w:rPr>
      </w:pPr>
      <w:r w:rsidRPr="00F84101">
        <w:t>Provide timely and accurate information to investors</w:t>
      </w:r>
      <w:r w:rsidRPr="00F84101">
        <w:rPr>
          <w:lang w:val="en"/>
        </w:rPr>
        <w:t>.</w:t>
      </w:r>
    </w:p>
    <w:p w:rsidR="00B419F9" w:rsidRPr="00F84101" w:rsidRDefault="00B419F9" w:rsidP="0017224B">
      <w:pPr>
        <w:shd w:val="clear" w:color="auto" w:fill="FFFFFF"/>
        <w:jc w:val="both"/>
        <w:rPr>
          <w:lang w:val="en"/>
        </w:rPr>
      </w:pPr>
    </w:p>
    <w:p w:rsidR="00872A76" w:rsidRDefault="004D63B9" w:rsidP="006B25D4">
      <w:pPr>
        <w:pStyle w:val="Default"/>
        <w:jc w:val="both"/>
        <w:rPr>
          <w:bCs/>
          <w:i/>
          <w:color w:val="auto"/>
          <w:lang w:val="en-GB" w:eastAsia="ja-JP"/>
        </w:rPr>
      </w:pPr>
      <w:r w:rsidRPr="00872A76">
        <w:rPr>
          <w:rFonts w:ascii="Times New Roman" w:hAnsi="Times New Roman" w:cs="Times New Roman"/>
          <w:lang w:eastAsia="ja-JP"/>
        </w:rPr>
        <w:t xml:space="preserve">With support from </w:t>
      </w:r>
      <w:r w:rsidR="003E3B3B" w:rsidRPr="00872A76">
        <w:rPr>
          <w:rFonts w:ascii="Times New Roman" w:hAnsi="Times New Roman" w:cs="Times New Roman"/>
          <w:lang w:eastAsia="ja-JP"/>
        </w:rPr>
        <w:t>the UNMIT GIS Unit</w:t>
      </w:r>
      <w:r w:rsidR="00695E3F" w:rsidRPr="00872A76">
        <w:rPr>
          <w:rFonts w:ascii="Times New Roman" w:hAnsi="Times New Roman" w:cs="Times New Roman"/>
          <w:lang w:eastAsia="ja-JP"/>
        </w:rPr>
        <w:t>, INFUSE</w:t>
      </w:r>
      <w:r w:rsidR="003E3B3B" w:rsidRPr="00872A76">
        <w:rPr>
          <w:rFonts w:ascii="Times New Roman" w:hAnsi="Times New Roman" w:cs="Times New Roman"/>
          <w:lang w:eastAsia="ja-JP"/>
        </w:rPr>
        <w:t xml:space="preserve"> developed a map displaying access points of financial services at </w:t>
      </w:r>
      <w:r w:rsidR="00512A1A" w:rsidRPr="00872A76">
        <w:rPr>
          <w:rFonts w:ascii="Times New Roman" w:hAnsi="Times New Roman" w:cs="Times New Roman"/>
          <w:lang w:eastAsia="ja-JP"/>
        </w:rPr>
        <w:t xml:space="preserve">village </w:t>
      </w:r>
      <w:r w:rsidR="003E3B3B" w:rsidRPr="00872A76">
        <w:rPr>
          <w:rFonts w:ascii="Times New Roman" w:hAnsi="Times New Roman" w:cs="Times New Roman"/>
          <w:lang w:eastAsia="ja-JP"/>
        </w:rPr>
        <w:t xml:space="preserve">level, where </w:t>
      </w:r>
      <w:r w:rsidR="00512A1A" w:rsidRPr="00872A76">
        <w:rPr>
          <w:rFonts w:ascii="Times New Roman" w:hAnsi="Times New Roman" w:cs="Times New Roman"/>
          <w:lang w:eastAsia="ja-JP"/>
        </w:rPr>
        <w:t>FSPs</w:t>
      </w:r>
      <w:r w:rsidR="003E3B3B" w:rsidRPr="00872A76">
        <w:rPr>
          <w:rFonts w:ascii="Times New Roman" w:hAnsi="Times New Roman" w:cs="Times New Roman"/>
          <w:lang w:eastAsia="ja-JP"/>
        </w:rPr>
        <w:t xml:space="preserve"> including commercial banks, </w:t>
      </w:r>
      <w:r w:rsidR="00512A1A" w:rsidRPr="00872A76">
        <w:rPr>
          <w:rFonts w:ascii="Times New Roman" w:hAnsi="Times New Roman" w:cs="Times New Roman"/>
          <w:lang w:eastAsia="ja-JP"/>
        </w:rPr>
        <w:t>MFIs and CUs</w:t>
      </w:r>
      <w:r w:rsidR="003E3B3B" w:rsidRPr="00872A76">
        <w:rPr>
          <w:rFonts w:ascii="Times New Roman" w:hAnsi="Times New Roman" w:cs="Times New Roman"/>
          <w:lang w:eastAsia="ja-JP"/>
        </w:rPr>
        <w:t xml:space="preserve"> are operating in Timor-Leste as of 31 December 2009.  Expected to have a variety of applications, the map can assist FSPs in strategically planning provision of their services in new markets; can indicate to potential customers the location of the nearest access point, and provide a baseline to monitor progress of geographic expansion of financial services in Timor Leste.  It can be viewed at: </w:t>
      </w:r>
      <w:hyperlink r:id="rId19" w:tooltip="blocked::http://microfinance-pasifika.org/infuse-access-points-in-timor-leste-as-of-31-dec-209.html" w:history="1">
        <w:r w:rsidR="003E3B3B" w:rsidRPr="00872A76">
          <w:rPr>
            <w:rFonts w:ascii="Times New Roman" w:hAnsi="Times New Roman" w:cs="Times New Roman"/>
            <w:lang w:eastAsia="ja-JP"/>
          </w:rPr>
          <w:t>http://microfinance-pasifika.org/infuse-access-points-in-timor-leste-as-of-31-dec-209.html</w:t>
        </w:r>
      </w:hyperlink>
      <w:r w:rsidR="003E3B3B" w:rsidRPr="00872A76">
        <w:rPr>
          <w:rFonts w:ascii="Times New Roman" w:hAnsi="Times New Roman" w:cs="Times New Roman"/>
          <w:lang w:eastAsia="ja-JP"/>
        </w:rPr>
        <w:t xml:space="preserve">. </w:t>
      </w:r>
      <w:r w:rsidR="00512A1A" w:rsidRPr="00872A76">
        <w:rPr>
          <w:rFonts w:ascii="Times New Roman" w:hAnsi="Times New Roman" w:cs="Times New Roman"/>
          <w:lang w:eastAsia="ja-JP"/>
        </w:rPr>
        <w:t xml:space="preserve"> The map was widely disseminated to stakeholders in April</w:t>
      </w:r>
    </w:p>
    <w:p w:rsidR="004A0DE6" w:rsidRPr="00872A76" w:rsidRDefault="004A0DE6" w:rsidP="006B25D4">
      <w:pPr>
        <w:pStyle w:val="Default"/>
        <w:jc w:val="both"/>
        <w:rPr>
          <w:rFonts w:ascii="Times New Roman" w:hAnsi="Times New Roman" w:cs="Times New Roman"/>
          <w:bCs/>
          <w:i/>
          <w:color w:val="auto"/>
          <w:lang w:val="en-GB" w:eastAsia="ja-JP"/>
        </w:rPr>
      </w:pPr>
    </w:p>
    <w:p w:rsidR="00B407FE" w:rsidRPr="002541D7" w:rsidRDefault="00B407FE" w:rsidP="00B407FE">
      <w:pPr>
        <w:pStyle w:val="Default"/>
        <w:jc w:val="both"/>
        <w:rPr>
          <w:rFonts w:ascii="Times New Roman" w:hAnsi="Times New Roman" w:cs="Times New Roman"/>
          <w:bCs/>
          <w:i/>
          <w:color w:val="auto"/>
          <w:lang w:val="en-GB" w:eastAsia="ja-JP"/>
        </w:rPr>
      </w:pPr>
      <w:r w:rsidRPr="002541D7">
        <w:rPr>
          <w:rFonts w:ascii="Times New Roman" w:hAnsi="Times New Roman" w:cs="Times New Roman"/>
          <w:bCs/>
          <w:i/>
          <w:color w:val="auto"/>
          <w:lang w:val="en-GB" w:eastAsia="ja-JP"/>
        </w:rPr>
        <w:t xml:space="preserve">Progress made towards achievement of Output </w:t>
      </w:r>
      <w:r w:rsidR="00E66359" w:rsidRPr="002541D7">
        <w:rPr>
          <w:rFonts w:ascii="Times New Roman" w:hAnsi="Times New Roman" w:cs="Times New Roman"/>
          <w:bCs/>
          <w:i/>
          <w:color w:val="auto"/>
          <w:lang w:val="en-GB" w:eastAsia="ja-JP"/>
        </w:rPr>
        <w:t>2</w:t>
      </w:r>
      <w:r w:rsidR="00750733" w:rsidRPr="002541D7">
        <w:rPr>
          <w:rFonts w:ascii="Times New Roman" w:hAnsi="Times New Roman" w:cs="Times New Roman"/>
          <w:bCs/>
          <w:i/>
          <w:color w:val="auto"/>
          <w:lang w:val="en-GB" w:eastAsia="ja-JP"/>
        </w:rPr>
        <w:t xml:space="preserve"> targets during</w:t>
      </w:r>
      <w:r w:rsidRPr="002541D7">
        <w:rPr>
          <w:rFonts w:ascii="Times New Roman" w:hAnsi="Times New Roman" w:cs="Times New Roman"/>
          <w:bCs/>
          <w:i/>
          <w:color w:val="auto"/>
          <w:lang w:val="en-GB" w:eastAsia="ja-JP"/>
        </w:rPr>
        <w:t xml:space="preserve"> January – December 2010:</w:t>
      </w:r>
    </w:p>
    <w:p w:rsidR="00E66359" w:rsidRDefault="00E66359" w:rsidP="006B25D4">
      <w:pPr>
        <w:pStyle w:val="Default"/>
        <w:jc w:val="both"/>
        <w:rPr>
          <w:rFonts w:ascii="Times New Roman" w:hAnsi="Times New Roman" w:cs="Times New Roman"/>
          <w:u w:val="single"/>
          <w:lang w:eastAsia="ja-JP"/>
        </w:rPr>
      </w:pPr>
    </w:p>
    <w:p w:rsidR="006B4115" w:rsidRPr="00512A1A" w:rsidRDefault="009467D7" w:rsidP="006B25D4">
      <w:pPr>
        <w:pStyle w:val="Default"/>
        <w:jc w:val="both"/>
        <w:rPr>
          <w:rFonts w:ascii="Times New Roman" w:hAnsi="Times New Roman" w:cs="Times New Roman"/>
          <w:u w:val="single"/>
          <w:lang w:eastAsia="ja-JP"/>
        </w:rPr>
      </w:pPr>
      <w:r w:rsidRPr="00512A1A">
        <w:rPr>
          <w:rFonts w:ascii="Times New Roman" w:hAnsi="Times New Roman" w:cs="Times New Roman"/>
          <w:u w:val="single"/>
          <w:lang w:eastAsia="ja-JP"/>
        </w:rPr>
        <w:t>Outreach</w:t>
      </w:r>
      <w:r w:rsidR="006B4115" w:rsidRPr="00512A1A">
        <w:rPr>
          <w:rFonts w:ascii="Times New Roman" w:hAnsi="Times New Roman" w:cs="Times New Roman"/>
          <w:u w:val="single"/>
          <w:lang w:eastAsia="ja-JP"/>
        </w:rPr>
        <w:t xml:space="preserve"> </w:t>
      </w:r>
    </w:p>
    <w:p w:rsidR="0018095F" w:rsidRDefault="0018095F" w:rsidP="0018095F">
      <w:pPr>
        <w:pStyle w:val="Default"/>
        <w:jc w:val="both"/>
        <w:rPr>
          <w:rFonts w:ascii="Times New Roman" w:hAnsi="Times New Roman" w:cs="Times New Roman"/>
          <w:lang w:val="en-GB" w:eastAsia="ja-JP"/>
        </w:rPr>
      </w:pPr>
    </w:p>
    <w:p w:rsidR="00382EA8" w:rsidRPr="009A7E9A" w:rsidRDefault="006B25D4" w:rsidP="0018095F">
      <w:pPr>
        <w:pStyle w:val="Default"/>
        <w:jc w:val="both"/>
        <w:rPr>
          <w:rFonts w:ascii="Times New Roman" w:hAnsi="Times New Roman" w:cs="Times New Roman"/>
          <w:lang w:val="en-GB" w:eastAsia="ja-JP"/>
        </w:rPr>
      </w:pPr>
      <w:r w:rsidRPr="009A7E9A">
        <w:rPr>
          <w:rFonts w:ascii="Times New Roman" w:hAnsi="Times New Roman" w:cs="Times New Roman"/>
          <w:lang w:val="en-GB" w:eastAsia="ja-JP"/>
        </w:rPr>
        <w:t xml:space="preserve">As seen in table </w:t>
      </w:r>
      <w:r w:rsidR="009467D7" w:rsidRPr="009A7E9A">
        <w:rPr>
          <w:rFonts w:ascii="Times New Roman" w:hAnsi="Times New Roman" w:cs="Times New Roman"/>
          <w:lang w:val="en-GB" w:eastAsia="ja-JP"/>
        </w:rPr>
        <w:t>2</w:t>
      </w:r>
      <w:r w:rsidR="009A7E9A">
        <w:rPr>
          <w:rFonts w:ascii="Times New Roman" w:hAnsi="Times New Roman" w:cs="Times New Roman"/>
          <w:lang w:val="en-GB" w:eastAsia="ja-JP"/>
        </w:rPr>
        <w:t xml:space="preserve"> below</w:t>
      </w:r>
      <w:r w:rsidRPr="009A7E9A">
        <w:rPr>
          <w:rFonts w:ascii="Times New Roman" w:hAnsi="Times New Roman" w:cs="Times New Roman"/>
          <w:lang w:val="en-GB" w:eastAsia="ja-JP"/>
        </w:rPr>
        <w:t xml:space="preserve">, growth in total number of clients at </w:t>
      </w:r>
      <w:r w:rsidR="00776973" w:rsidRPr="009A7E9A">
        <w:rPr>
          <w:rFonts w:ascii="Times New Roman" w:hAnsi="Times New Roman" w:cs="Times New Roman"/>
          <w:lang w:val="en-GB" w:eastAsia="ja-JP"/>
        </w:rPr>
        <w:t xml:space="preserve">all </w:t>
      </w:r>
      <w:r w:rsidR="009A7E9A" w:rsidRPr="009A7E9A">
        <w:rPr>
          <w:rFonts w:ascii="Times New Roman" w:hAnsi="Times New Roman" w:cs="Times New Roman"/>
          <w:lang w:val="en-GB" w:eastAsia="ja-JP"/>
        </w:rPr>
        <w:t>FSPs</w:t>
      </w:r>
      <w:r w:rsidRPr="009A7E9A">
        <w:rPr>
          <w:rFonts w:ascii="Times New Roman" w:hAnsi="Times New Roman" w:cs="Times New Roman"/>
          <w:lang w:val="en-GB" w:eastAsia="ja-JP"/>
        </w:rPr>
        <w:t xml:space="preserve"> serving the low income segment of the market (CUFA, IMfTL, Moris Rasik, T</w:t>
      </w:r>
      <w:r w:rsidR="002163FC" w:rsidRPr="009A7E9A">
        <w:rPr>
          <w:rFonts w:ascii="Times New Roman" w:hAnsi="Times New Roman" w:cs="Times New Roman"/>
          <w:lang w:val="en-GB" w:eastAsia="ja-JP"/>
        </w:rPr>
        <w:t xml:space="preserve">RM) actually </w:t>
      </w:r>
      <w:r w:rsidR="009A7E9A" w:rsidRPr="009A7E9A">
        <w:rPr>
          <w:rFonts w:ascii="Times New Roman" w:hAnsi="Times New Roman" w:cs="Times New Roman"/>
          <w:lang w:val="en-GB" w:eastAsia="ja-JP"/>
        </w:rPr>
        <w:t>declined</w:t>
      </w:r>
      <w:r w:rsidR="002163FC" w:rsidRPr="009A7E9A">
        <w:rPr>
          <w:rFonts w:ascii="Times New Roman" w:hAnsi="Times New Roman" w:cs="Times New Roman"/>
          <w:lang w:val="en-GB" w:eastAsia="ja-JP"/>
        </w:rPr>
        <w:t xml:space="preserve"> between </w:t>
      </w:r>
      <w:r w:rsidR="00C64D44" w:rsidRPr="009A7E9A">
        <w:rPr>
          <w:rFonts w:ascii="Times New Roman" w:hAnsi="Times New Roman" w:cs="Times New Roman"/>
          <w:lang w:val="en-GB" w:eastAsia="ja-JP"/>
        </w:rPr>
        <w:t>January</w:t>
      </w:r>
      <w:r w:rsidR="002163FC" w:rsidRPr="009A7E9A">
        <w:rPr>
          <w:rFonts w:ascii="Times New Roman" w:hAnsi="Times New Roman" w:cs="Times New Roman"/>
          <w:lang w:val="en-GB" w:eastAsia="ja-JP"/>
        </w:rPr>
        <w:t xml:space="preserve"> </w:t>
      </w:r>
      <w:r w:rsidRPr="009A7E9A">
        <w:rPr>
          <w:rFonts w:ascii="Times New Roman" w:hAnsi="Times New Roman" w:cs="Times New Roman"/>
          <w:lang w:val="en-GB" w:eastAsia="ja-JP"/>
        </w:rPr>
        <w:t xml:space="preserve">and </w:t>
      </w:r>
      <w:r w:rsidR="00C64D44" w:rsidRPr="009A7E9A">
        <w:rPr>
          <w:rFonts w:ascii="Times New Roman" w:hAnsi="Times New Roman" w:cs="Times New Roman"/>
          <w:lang w:val="en-GB" w:eastAsia="ja-JP"/>
        </w:rPr>
        <w:t>December</w:t>
      </w:r>
      <w:r w:rsidRPr="009A7E9A">
        <w:rPr>
          <w:rFonts w:ascii="Times New Roman" w:hAnsi="Times New Roman" w:cs="Times New Roman"/>
          <w:lang w:val="en-GB" w:eastAsia="ja-JP"/>
        </w:rPr>
        <w:t xml:space="preserve"> 2010.  </w:t>
      </w:r>
      <w:r w:rsidR="0017224B">
        <w:rPr>
          <w:rFonts w:ascii="Times New Roman" w:hAnsi="Times New Roman" w:cs="Times New Roman"/>
          <w:lang w:val="en-GB" w:eastAsia="ja-JP"/>
        </w:rPr>
        <w:t>T</w:t>
      </w:r>
      <w:r w:rsidR="0018095F">
        <w:rPr>
          <w:rFonts w:ascii="Times New Roman" w:hAnsi="Times New Roman" w:cs="Times New Roman"/>
          <w:lang w:val="en-GB" w:eastAsia="ja-JP"/>
        </w:rPr>
        <w:t xml:space="preserve">here was a </w:t>
      </w:r>
      <w:r w:rsidR="00382EA8" w:rsidRPr="009A7E9A">
        <w:rPr>
          <w:rFonts w:ascii="Times New Roman" w:hAnsi="Times New Roman" w:cs="Times New Roman"/>
          <w:lang w:val="en-GB" w:eastAsia="ja-JP"/>
        </w:rPr>
        <w:t xml:space="preserve">spike in client numbers at IMfTL ending December 2009 </w:t>
      </w:r>
      <w:r w:rsidR="0017224B">
        <w:rPr>
          <w:rFonts w:ascii="Times New Roman" w:hAnsi="Times New Roman" w:cs="Times New Roman"/>
          <w:lang w:val="en-GB" w:eastAsia="ja-JP"/>
        </w:rPr>
        <w:t>resulting from the</w:t>
      </w:r>
      <w:r w:rsidR="00382EA8" w:rsidRPr="009A7E9A">
        <w:rPr>
          <w:rFonts w:ascii="Times New Roman" w:hAnsi="Times New Roman" w:cs="Times New Roman"/>
          <w:lang w:val="en-GB" w:eastAsia="ja-JP"/>
        </w:rPr>
        <w:t xml:space="preserve"> GoTL’s one-time Referendum Funding Package </w:t>
      </w:r>
      <w:r w:rsidR="0017224B">
        <w:rPr>
          <w:rFonts w:ascii="Times New Roman" w:hAnsi="Times New Roman" w:cs="Times New Roman"/>
          <w:lang w:val="en-GB" w:eastAsia="ja-JP"/>
        </w:rPr>
        <w:t>that disbursed</w:t>
      </w:r>
      <w:r w:rsidR="00382EA8" w:rsidRPr="009A7E9A">
        <w:rPr>
          <w:rFonts w:ascii="Times New Roman" w:hAnsi="Times New Roman" w:cs="Times New Roman"/>
          <w:lang w:val="en-GB" w:eastAsia="ja-JP"/>
        </w:rPr>
        <w:t xml:space="preserve"> funds to small </w:t>
      </w:r>
      <w:r w:rsidR="00382EA8" w:rsidRPr="009A7E9A">
        <w:rPr>
          <w:rFonts w:ascii="Times New Roman" w:hAnsi="Times New Roman" w:cs="Times New Roman"/>
          <w:lang w:val="en-GB" w:eastAsia="ja-JP"/>
        </w:rPr>
        <w:lastRenderedPageBreak/>
        <w:t xml:space="preserve">contractors </w:t>
      </w:r>
      <w:r w:rsidR="0017224B">
        <w:rPr>
          <w:rFonts w:ascii="Times New Roman" w:hAnsi="Times New Roman" w:cs="Times New Roman"/>
          <w:lang w:val="en-GB" w:eastAsia="ja-JP"/>
        </w:rPr>
        <w:t>through</w:t>
      </w:r>
      <w:r w:rsidR="00382EA8" w:rsidRPr="009A7E9A">
        <w:rPr>
          <w:rFonts w:ascii="Times New Roman" w:hAnsi="Times New Roman" w:cs="Times New Roman"/>
          <w:lang w:val="en-GB" w:eastAsia="ja-JP"/>
        </w:rPr>
        <w:t xml:space="preserve"> IMfTL.  Large numbers of accounts were opened for individuals to receive their funds but subsequently closed within a few months.  This resulted in an artificially high number of clients at the end of 2009 / beginning of 2010*.</w:t>
      </w:r>
    </w:p>
    <w:p w:rsidR="00C64D44" w:rsidRDefault="00C64D44" w:rsidP="006B25D4">
      <w:pPr>
        <w:pStyle w:val="Default"/>
        <w:jc w:val="both"/>
        <w:rPr>
          <w:rFonts w:ascii="Times New Roman" w:hAnsi="Times New Roman" w:cs="Times New Roman"/>
          <w:lang w:val="en-GB" w:eastAsia="ja-JP"/>
        </w:rPr>
      </w:pPr>
    </w:p>
    <w:p w:rsidR="009A7E9A" w:rsidRDefault="009A7E9A" w:rsidP="006B25D4">
      <w:pPr>
        <w:pStyle w:val="Default"/>
        <w:jc w:val="both"/>
        <w:rPr>
          <w:rFonts w:ascii="Times New Roman" w:hAnsi="Times New Roman" w:cs="Times New Roman"/>
          <w:lang w:val="en-GB" w:eastAsia="ja-JP"/>
        </w:rPr>
      </w:pPr>
    </w:p>
    <w:p w:rsidR="009A7E9A" w:rsidRDefault="009A7E9A" w:rsidP="006B25D4">
      <w:pPr>
        <w:pStyle w:val="Default"/>
        <w:jc w:val="both"/>
        <w:rPr>
          <w:rFonts w:ascii="Times New Roman" w:hAnsi="Times New Roman" w:cs="Times New Roman"/>
          <w:lang w:val="en-GB" w:eastAsia="ja-JP"/>
        </w:rPr>
      </w:pPr>
    </w:p>
    <w:p w:rsidR="009A7E9A" w:rsidRDefault="009A7E9A" w:rsidP="006B25D4">
      <w:pPr>
        <w:pStyle w:val="Default"/>
        <w:jc w:val="both"/>
        <w:rPr>
          <w:rFonts w:ascii="Times New Roman" w:hAnsi="Times New Roman" w:cs="Times New Roman"/>
          <w:lang w:val="en-GB" w:eastAsia="ja-JP"/>
        </w:rPr>
      </w:pPr>
    </w:p>
    <w:p w:rsidR="000F1E18" w:rsidRPr="00AF4D0C" w:rsidRDefault="009467D7" w:rsidP="006B25D4">
      <w:pPr>
        <w:pStyle w:val="Default"/>
        <w:jc w:val="both"/>
        <w:rPr>
          <w:rFonts w:ascii="Times New Roman" w:hAnsi="Times New Roman" w:cs="Times New Roman"/>
          <w:sz w:val="22"/>
          <w:szCs w:val="22"/>
          <w:lang w:val="en-GB" w:eastAsia="ja-JP"/>
        </w:rPr>
      </w:pPr>
      <w:r w:rsidRPr="00AF4D0C">
        <w:rPr>
          <w:rFonts w:ascii="Times New Roman" w:hAnsi="Times New Roman" w:cs="Times New Roman"/>
          <w:sz w:val="22"/>
          <w:szCs w:val="22"/>
          <w:lang w:val="en-GB" w:eastAsia="ja-JP"/>
        </w:rPr>
        <w:t>Table 2</w:t>
      </w:r>
      <w:r w:rsidR="00B44323" w:rsidRPr="00AF4D0C">
        <w:rPr>
          <w:rFonts w:ascii="Times New Roman" w:hAnsi="Times New Roman" w:cs="Times New Roman"/>
          <w:sz w:val="22"/>
          <w:szCs w:val="22"/>
          <w:lang w:val="en-GB" w:eastAsia="ja-JP"/>
        </w:rPr>
        <w:t xml:space="preserve">: Growth in outreach of financial services for institutions serving the </w:t>
      </w:r>
      <w:r w:rsidR="00B008A0">
        <w:rPr>
          <w:rFonts w:ascii="Times New Roman" w:hAnsi="Times New Roman" w:cs="Times New Roman"/>
          <w:sz w:val="22"/>
          <w:szCs w:val="22"/>
          <w:lang w:val="en-GB" w:eastAsia="ja-JP"/>
        </w:rPr>
        <w:t>bottom</w:t>
      </w:r>
      <w:r w:rsidR="00B44323" w:rsidRPr="00AF4D0C">
        <w:rPr>
          <w:rFonts w:ascii="Times New Roman" w:hAnsi="Times New Roman" w:cs="Times New Roman"/>
          <w:sz w:val="22"/>
          <w:szCs w:val="22"/>
          <w:lang w:val="en-GB" w:eastAsia="ja-JP"/>
        </w:rPr>
        <w:t xml:space="preserve"> </w:t>
      </w:r>
      <w:r w:rsidR="00B008A0">
        <w:rPr>
          <w:rFonts w:ascii="Times New Roman" w:hAnsi="Times New Roman" w:cs="Times New Roman"/>
          <w:sz w:val="22"/>
          <w:szCs w:val="22"/>
          <w:lang w:val="en-GB" w:eastAsia="ja-JP"/>
        </w:rPr>
        <w:t>end</w:t>
      </w:r>
      <w:r w:rsidR="00B44323" w:rsidRPr="00AF4D0C">
        <w:rPr>
          <w:rFonts w:ascii="Times New Roman" w:hAnsi="Times New Roman" w:cs="Times New Roman"/>
          <w:sz w:val="22"/>
          <w:szCs w:val="22"/>
          <w:lang w:val="en-GB" w:eastAsia="ja-JP"/>
        </w:rPr>
        <w:t xml:space="preserve"> of the market:</w:t>
      </w:r>
    </w:p>
    <w:tbl>
      <w:tblPr>
        <w:tblW w:w="9460" w:type="dxa"/>
        <w:tblInd w:w="93" w:type="dxa"/>
        <w:tblLook w:val="0000" w:firstRow="0" w:lastRow="0" w:firstColumn="0" w:lastColumn="0" w:noHBand="0" w:noVBand="0"/>
      </w:tblPr>
      <w:tblGrid>
        <w:gridCol w:w="2100"/>
        <w:gridCol w:w="1660"/>
        <w:gridCol w:w="1660"/>
        <w:gridCol w:w="1660"/>
        <w:gridCol w:w="2380"/>
      </w:tblGrid>
      <w:tr w:rsidR="00D77F90" w:rsidRPr="00AF4D0C" w:rsidTr="00D77F90">
        <w:trPr>
          <w:trHeight w:val="555"/>
        </w:trPr>
        <w:tc>
          <w:tcPr>
            <w:tcW w:w="21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77F90" w:rsidRPr="00AF4D0C" w:rsidRDefault="00D77F90">
            <w:pPr>
              <w:jc w:val="center"/>
              <w:rPr>
                <w:b/>
                <w:bCs/>
                <w:sz w:val="22"/>
                <w:szCs w:val="22"/>
              </w:rPr>
            </w:pPr>
            <w:r w:rsidRPr="00AF4D0C">
              <w:rPr>
                <w:b/>
                <w:bCs/>
                <w:sz w:val="22"/>
                <w:szCs w:val="22"/>
              </w:rPr>
              <w:t>Indicator</w:t>
            </w:r>
          </w:p>
        </w:tc>
        <w:tc>
          <w:tcPr>
            <w:tcW w:w="4980" w:type="dxa"/>
            <w:gridSpan w:val="3"/>
            <w:tcBorders>
              <w:top w:val="single" w:sz="8" w:space="0" w:color="auto"/>
              <w:left w:val="nil"/>
              <w:bottom w:val="single" w:sz="8" w:space="0" w:color="auto"/>
              <w:right w:val="nil"/>
            </w:tcBorders>
            <w:shd w:val="clear" w:color="auto" w:fill="auto"/>
            <w:vAlign w:val="bottom"/>
          </w:tcPr>
          <w:p w:rsidR="00D77F90" w:rsidRPr="00AF4D0C" w:rsidRDefault="00D77F90">
            <w:pPr>
              <w:jc w:val="center"/>
              <w:rPr>
                <w:b/>
                <w:bCs/>
                <w:sz w:val="22"/>
                <w:szCs w:val="22"/>
              </w:rPr>
            </w:pPr>
            <w:r w:rsidRPr="00AF4D0C">
              <w:rPr>
                <w:b/>
                <w:bCs/>
                <w:sz w:val="22"/>
                <w:szCs w:val="22"/>
              </w:rPr>
              <w:t>Number of Microfinance Clients (as at)</w:t>
            </w:r>
          </w:p>
        </w:tc>
        <w:tc>
          <w:tcPr>
            <w:tcW w:w="2380" w:type="dxa"/>
            <w:tcBorders>
              <w:top w:val="single" w:sz="8" w:space="0" w:color="auto"/>
              <w:left w:val="single" w:sz="8" w:space="0" w:color="auto"/>
              <w:bottom w:val="single" w:sz="8" w:space="0" w:color="auto"/>
              <w:right w:val="single" w:sz="8" w:space="0" w:color="000000"/>
            </w:tcBorders>
            <w:shd w:val="clear" w:color="auto" w:fill="auto"/>
            <w:vAlign w:val="bottom"/>
          </w:tcPr>
          <w:p w:rsidR="00D77F90" w:rsidRPr="00AF4D0C" w:rsidRDefault="00D77F90">
            <w:pPr>
              <w:jc w:val="center"/>
              <w:rPr>
                <w:b/>
                <w:bCs/>
                <w:sz w:val="22"/>
                <w:szCs w:val="22"/>
              </w:rPr>
            </w:pPr>
            <w:r w:rsidRPr="00AF4D0C">
              <w:rPr>
                <w:b/>
                <w:bCs/>
                <w:sz w:val="22"/>
                <w:szCs w:val="22"/>
              </w:rPr>
              <w:t>Change in Client Numbers</w:t>
            </w:r>
          </w:p>
        </w:tc>
      </w:tr>
      <w:tr w:rsidR="00D77F90" w:rsidRPr="00AF4D0C" w:rsidTr="00D77F90">
        <w:trPr>
          <w:trHeight w:val="525"/>
        </w:trPr>
        <w:tc>
          <w:tcPr>
            <w:tcW w:w="2100" w:type="dxa"/>
            <w:vMerge/>
            <w:tcBorders>
              <w:top w:val="single" w:sz="8" w:space="0" w:color="auto"/>
              <w:left w:val="single" w:sz="8" w:space="0" w:color="auto"/>
              <w:bottom w:val="single" w:sz="8" w:space="0" w:color="000000"/>
              <w:right w:val="single" w:sz="8" w:space="0" w:color="auto"/>
            </w:tcBorders>
            <w:vAlign w:val="center"/>
          </w:tcPr>
          <w:p w:rsidR="00D77F90" w:rsidRPr="00AF4D0C" w:rsidRDefault="00D77F90">
            <w:pPr>
              <w:rPr>
                <w:b/>
                <w:bCs/>
                <w:sz w:val="22"/>
                <w:szCs w:val="22"/>
              </w:rPr>
            </w:pPr>
          </w:p>
        </w:tc>
        <w:tc>
          <w:tcPr>
            <w:tcW w:w="1660" w:type="dxa"/>
            <w:tcBorders>
              <w:top w:val="nil"/>
              <w:left w:val="nil"/>
              <w:bottom w:val="single" w:sz="8" w:space="0" w:color="auto"/>
              <w:right w:val="nil"/>
            </w:tcBorders>
            <w:shd w:val="clear" w:color="auto" w:fill="auto"/>
            <w:vAlign w:val="center"/>
          </w:tcPr>
          <w:p w:rsidR="00D77F90" w:rsidRPr="00AF4D0C" w:rsidRDefault="00D77F90">
            <w:pPr>
              <w:jc w:val="center"/>
              <w:rPr>
                <w:b/>
                <w:bCs/>
                <w:sz w:val="22"/>
                <w:szCs w:val="22"/>
              </w:rPr>
            </w:pPr>
            <w:r w:rsidRPr="00AF4D0C">
              <w:rPr>
                <w:b/>
                <w:bCs/>
                <w:sz w:val="22"/>
                <w:szCs w:val="22"/>
              </w:rPr>
              <w:t xml:space="preserve"> 31 Dec 2008</w:t>
            </w:r>
          </w:p>
        </w:tc>
        <w:tc>
          <w:tcPr>
            <w:tcW w:w="1660" w:type="dxa"/>
            <w:tcBorders>
              <w:top w:val="nil"/>
              <w:left w:val="single" w:sz="4" w:space="0" w:color="auto"/>
              <w:bottom w:val="single" w:sz="8" w:space="0" w:color="auto"/>
              <w:right w:val="single" w:sz="4" w:space="0" w:color="auto"/>
            </w:tcBorders>
            <w:shd w:val="clear" w:color="auto" w:fill="auto"/>
            <w:vAlign w:val="center"/>
          </w:tcPr>
          <w:p w:rsidR="00D77F90" w:rsidRPr="00AF4D0C" w:rsidRDefault="00D77F90">
            <w:pPr>
              <w:jc w:val="center"/>
              <w:rPr>
                <w:b/>
                <w:bCs/>
                <w:sz w:val="22"/>
                <w:szCs w:val="22"/>
              </w:rPr>
            </w:pPr>
            <w:r w:rsidRPr="00AF4D0C">
              <w:rPr>
                <w:b/>
                <w:bCs/>
                <w:sz w:val="22"/>
                <w:szCs w:val="22"/>
              </w:rPr>
              <w:t xml:space="preserve"> 31 Dec 2009</w:t>
            </w:r>
          </w:p>
        </w:tc>
        <w:tc>
          <w:tcPr>
            <w:tcW w:w="1660" w:type="dxa"/>
            <w:tcBorders>
              <w:top w:val="nil"/>
              <w:left w:val="nil"/>
              <w:bottom w:val="single" w:sz="8" w:space="0" w:color="auto"/>
              <w:right w:val="single" w:sz="8" w:space="0" w:color="auto"/>
            </w:tcBorders>
            <w:shd w:val="clear" w:color="auto" w:fill="auto"/>
            <w:vAlign w:val="center"/>
          </w:tcPr>
          <w:p w:rsidR="00D77F90" w:rsidRPr="00AF4D0C" w:rsidRDefault="00D77F90">
            <w:pPr>
              <w:jc w:val="center"/>
              <w:rPr>
                <w:b/>
                <w:bCs/>
                <w:sz w:val="22"/>
                <w:szCs w:val="22"/>
              </w:rPr>
            </w:pPr>
            <w:r w:rsidRPr="00AF4D0C">
              <w:rPr>
                <w:b/>
                <w:bCs/>
                <w:sz w:val="22"/>
                <w:szCs w:val="22"/>
              </w:rPr>
              <w:t xml:space="preserve"> 31 Dec 2010</w:t>
            </w:r>
          </w:p>
        </w:tc>
        <w:tc>
          <w:tcPr>
            <w:tcW w:w="2380" w:type="dxa"/>
            <w:tcBorders>
              <w:top w:val="nil"/>
              <w:left w:val="nil"/>
              <w:bottom w:val="single" w:sz="8" w:space="0" w:color="auto"/>
              <w:right w:val="single" w:sz="8" w:space="0" w:color="auto"/>
            </w:tcBorders>
            <w:shd w:val="clear" w:color="auto" w:fill="auto"/>
            <w:vAlign w:val="center"/>
          </w:tcPr>
          <w:p w:rsidR="00D77F90" w:rsidRPr="00AF4D0C" w:rsidRDefault="00D77F90">
            <w:pPr>
              <w:jc w:val="center"/>
              <w:rPr>
                <w:b/>
                <w:bCs/>
                <w:sz w:val="22"/>
                <w:szCs w:val="22"/>
              </w:rPr>
            </w:pPr>
            <w:r w:rsidRPr="00AF4D0C">
              <w:rPr>
                <w:b/>
                <w:bCs/>
                <w:sz w:val="22"/>
                <w:szCs w:val="22"/>
              </w:rPr>
              <w:t xml:space="preserve"> 31 Dec 2008 -  31 Dec 2010</w:t>
            </w:r>
          </w:p>
        </w:tc>
      </w:tr>
      <w:tr w:rsidR="00D77F90" w:rsidRPr="00AF4D0C" w:rsidTr="00D77F90">
        <w:trPr>
          <w:trHeight w:val="255"/>
        </w:trPr>
        <w:tc>
          <w:tcPr>
            <w:tcW w:w="2100" w:type="dxa"/>
            <w:tcBorders>
              <w:top w:val="nil"/>
              <w:left w:val="single" w:sz="8" w:space="0" w:color="auto"/>
              <w:bottom w:val="single" w:sz="4" w:space="0" w:color="auto"/>
              <w:right w:val="single" w:sz="8" w:space="0" w:color="auto"/>
            </w:tcBorders>
            <w:shd w:val="clear" w:color="auto" w:fill="auto"/>
            <w:noWrap/>
            <w:vAlign w:val="bottom"/>
          </w:tcPr>
          <w:p w:rsidR="00D77F90" w:rsidRPr="00AF4D0C" w:rsidRDefault="00D77F90">
            <w:pPr>
              <w:rPr>
                <w:b/>
                <w:bCs/>
                <w:sz w:val="22"/>
                <w:szCs w:val="22"/>
              </w:rPr>
            </w:pPr>
            <w:r w:rsidRPr="00AF4D0C">
              <w:rPr>
                <w:b/>
                <w:bCs/>
                <w:sz w:val="22"/>
                <w:szCs w:val="22"/>
              </w:rPr>
              <w:t>Active Clients</w:t>
            </w:r>
          </w:p>
        </w:tc>
        <w:tc>
          <w:tcPr>
            <w:tcW w:w="1660" w:type="dxa"/>
            <w:tcBorders>
              <w:top w:val="nil"/>
              <w:left w:val="nil"/>
              <w:bottom w:val="single" w:sz="4" w:space="0" w:color="auto"/>
              <w:right w:val="nil"/>
            </w:tcBorders>
            <w:shd w:val="clear" w:color="auto" w:fill="auto"/>
            <w:noWrap/>
            <w:vAlign w:val="bottom"/>
          </w:tcPr>
          <w:p w:rsidR="00D77F90" w:rsidRPr="00AF4D0C" w:rsidRDefault="00D77F90">
            <w:pPr>
              <w:rPr>
                <w:b/>
                <w:bCs/>
                <w:sz w:val="22"/>
                <w:szCs w:val="22"/>
              </w:rPr>
            </w:pPr>
            <w:r w:rsidRPr="00AF4D0C">
              <w:rPr>
                <w:b/>
                <w:bCs/>
                <w:sz w:val="22"/>
                <w:szCs w:val="22"/>
              </w:rPr>
              <w:t xml:space="preserve">               35,369 </w:t>
            </w:r>
          </w:p>
        </w:tc>
        <w:tc>
          <w:tcPr>
            <w:tcW w:w="1660" w:type="dxa"/>
            <w:tcBorders>
              <w:top w:val="nil"/>
              <w:left w:val="single" w:sz="4" w:space="0" w:color="auto"/>
              <w:bottom w:val="single" w:sz="4" w:space="0" w:color="auto"/>
              <w:right w:val="single" w:sz="4" w:space="0" w:color="auto"/>
            </w:tcBorders>
            <w:shd w:val="clear" w:color="auto" w:fill="auto"/>
            <w:noWrap/>
            <w:vAlign w:val="bottom"/>
          </w:tcPr>
          <w:p w:rsidR="00D77F90" w:rsidRPr="00AF4D0C" w:rsidRDefault="00D77F90" w:rsidP="009A7E9A">
            <w:pPr>
              <w:jc w:val="right"/>
              <w:rPr>
                <w:b/>
                <w:bCs/>
                <w:sz w:val="22"/>
                <w:szCs w:val="22"/>
              </w:rPr>
            </w:pPr>
            <w:r w:rsidRPr="00AF4D0C">
              <w:rPr>
                <w:b/>
                <w:bCs/>
                <w:sz w:val="22"/>
                <w:szCs w:val="22"/>
              </w:rPr>
              <w:t xml:space="preserve">               58,666* </w:t>
            </w:r>
          </w:p>
        </w:tc>
        <w:tc>
          <w:tcPr>
            <w:tcW w:w="1660" w:type="dxa"/>
            <w:tcBorders>
              <w:top w:val="nil"/>
              <w:left w:val="nil"/>
              <w:bottom w:val="single" w:sz="4" w:space="0" w:color="auto"/>
              <w:right w:val="single" w:sz="4" w:space="0" w:color="auto"/>
            </w:tcBorders>
            <w:shd w:val="clear" w:color="auto" w:fill="auto"/>
            <w:noWrap/>
            <w:vAlign w:val="bottom"/>
          </w:tcPr>
          <w:p w:rsidR="00D77F90" w:rsidRPr="00AF4D0C" w:rsidRDefault="00D77F90">
            <w:pPr>
              <w:rPr>
                <w:b/>
                <w:bCs/>
                <w:sz w:val="22"/>
                <w:szCs w:val="22"/>
              </w:rPr>
            </w:pPr>
            <w:r w:rsidRPr="00AF4D0C">
              <w:rPr>
                <w:b/>
                <w:bCs/>
                <w:sz w:val="22"/>
                <w:szCs w:val="22"/>
              </w:rPr>
              <w:t xml:space="preserve">               55,851 </w:t>
            </w:r>
          </w:p>
        </w:tc>
        <w:tc>
          <w:tcPr>
            <w:tcW w:w="2380" w:type="dxa"/>
            <w:tcBorders>
              <w:top w:val="nil"/>
              <w:left w:val="nil"/>
              <w:bottom w:val="single" w:sz="4" w:space="0" w:color="auto"/>
              <w:right w:val="single" w:sz="8" w:space="0" w:color="auto"/>
            </w:tcBorders>
            <w:shd w:val="clear" w:color="auto" w:fill="auto"/>
            <w:noWrap/>
            <w:vAlign w:val="bottom"/>
          </w:tcPr>
          <w:p w:rsidR="00D77F90" w:rsidRPr="00AF4D0C" w:rsidRDefault="00D77F90">
            <w:pPr>
              <w:rPr>
                <w:b/>
                <w:bCs/>
                <w:sz w:val="22"/>
                <w:szCs w:val="22"/>
              </w:rPr>
            </w:pPr>
            <w:r w:rsidRPr="00AF4D0C">
              <w:rPr>
                <w:b/>
                <w:bCs/>
                <w:sz w:val="22"/>
                <w:szCs w:val="22"/>
              </w:rPr>
              <w:t xml:space="preserve">              20,482 </w:t>
            </w:r>
          </w:p>
        </w:tc>
      </w:tr>
      <w:tr w:rsidR="00D77F90" w:rsidRPr="00AF4D0C" w:rsidTr="00D77F90">
        <w:trPr>
          <w:trHeight w:val="255"/>
        </w:trPr>
        <w:tc>
          <w:tcPr>
            <w:tcW w:w="2100" w:type="dxa"/>
            <w:tcBorders>
              <w:top w:val="nil"/>
              <w:left w:val="single" w:sz="8" w:space="0" w:color="auto"/>
              <w:bottom w:val="single" w:sz="4" w:space="0" w:color="auto"/>
              <w:right w:val="single" w:sz="8" w:space="0" w:color="auto"/>
            </w:tcBorders>
            <w:shd w:val="clear" w:color="auto" w:fill="auto"/>
            <w:noWrap/>
            <w:vAlign w:val="bottom"/>
          </w:tcPr>
          <w:p w:rsidR="00D77F90" w:rsidRPr="00AF4D0C" w:rsidRDefault="00D77F90">
            <w:pPr>
              <w:rPr>
                <w:b/>
                <w:bCs/>
                <w:sz w:val="22"/>
                <w:szCs w:val="22"/>
              </w:rPr>
            </w:pPr>
            <w:r w:rsidRPr="00AF4D0C">
              <w:rPr>
                <w:b/>
                <w:bCs/>
                <w:sz w:val="22"/>
                <w:szCs w:val="22"/>
              </w:rPr>
              <w:t>Borrowers</w:t>
            </w:r>
          </w:p>
        </w:tc>
        <w:tc>
          <w:tcPr>
            <w:tcW w:w="1660" w:type="dxa"/>
            <w:tcBorders>
              <w:top w:val="nil"/>
              <w:left w:val="nil"/>
              <w:bottom w:val="single" w:sz="4" w:space="0" w:color="auto"/>
              <w:right w:val="nil"/>
            </w:tcBorders>
            <w:shd w:val="clear" w:color="auto" w:fill="auto"/>
            <w:noWrap/>
            <w:vAlign w:val="bottom"/>
          </w:tcPr>
          <w:p w:rsidR="00D77F90" w:rsidRPr="00AF4D0C" w:rsidRDefault="00D77F90">
            <w:pPr>
              <w:rPr>
                <w:b/>
                <w:bCs/>
                <w:sz w:val="22"/>
                <w:szCs w:val="22"/>
              </w:rPr>
            </w:pPr>
            <w:r w:rsidRPr="00AF4D0C">
              <w:rPr>
                <w:b/>
                <w:bCs/>
                <w:sz w:val="22"/>
                <w:szCs w:val="22"/>
              </w:rPr>
              <w:t xml:space="preserve">               22,707 </w:t>
            </w:r>
          </w:p>
        </w:tc>
        <w:tc>
          <w:tcPr>
            <w:tcW w:w="1660" w:type="dxa"/>
            <w:tcBorders>
              <w:top w:val="nil"/>
              <w:left w:val="single" w:sz="4" w:space="0" w:color="auto"/>
              <w:bottom w:val="single" w:sz="4" w:space="0" w:color="auto"/>
              <w:right w:val="single" w:sz="4" w:space="0" w:color="auto"/>
            </w:tcBorders>
            <w:shd w:val="clear" w:color="auto" w:fill="auto"/>
            <w:noWrap/>
            <w:vAlign w:val="bottom"/>
          </w:tcPr>
          <w:p w:rsidR="00D77F90" w:rsidRPr="00AF4D0C" w:rsidRDefault="00D77F90" w:rsidP="009A7E9A">
            <w:pPr>
              <w:jc w:val="right"/>
              <w:rPr>
                <w:b/>
                <w:bCs/>
                <w:sz w:val="22"/>
                <w:szCs w:val="22"/>
              </w:rPr>
            </w:pPr>
            <w:r w:rsidRPr="00AF4D0C">
              <w:rPr>
                <w:b/>
                <w:bCs/>
                <w:sz w:val="22"/>
                <w:szCs w:val="22"/>
              </w:rPr>
              <w:t xml:space="preserve">               24,519 </w:t>
            </w:r>
          </w:p>
        </w:tc>
        <w:tc>
          <w:tcPr>
            <w:tcW w:w="1660" w:type="dxa"/>
            <w:tcBorders>
              <w:top w:val="nil"/>
              <w:left w:val="nil"/>
              <w:bottom w:val="single" w:sz="4" w:space="0" w:color="auto"/>
              <w:right w:val="single" w:sz="4" w:space="0" w:color="auto"/>
            </w:tcBorders>
            <w:shd w:val="clear" w:color="auto" w:fill="auto"/>
            <w:noWrap/>
            <w:vAlign w:val="bottom"/>
          </w:tcPr>
          <w:p w:rsidR="00D77F90" w:rsidRPr="00AF4D0C" w:rsidRDefault="00D77F90">
            <w:pPr>
              <w:rPr>
                <w:b/>
                <w:bCs/>
                <w:sz w:val="22"/>
                <w:szCs w:val="22"/>
              </w:rPr>
            </w:pPr>
            <w:r w:rsidRPr="00AF4D0C">
              <w:rPr>
                <w:b/>
                <w:bCs/>
                <w:sz w:val="22"/>
                <w:szCs w:val="22"/>
              </w:rPr>
              <w:t xml:space="preserve">               27,455 </w:t>
            </w:r>
          </w:p>
        </w:tc>
        <w:tc>
          <w:tcPr>
            <w:tcW w:w="2380" w:type="dxa"/>
            <w:tcBorders>
              <w:top w:val="nil"/>
              <w:left w:val="nil"/>
              <w:bottom w:val="single" w:sz="4" w:space="0" w:color="auto"/>
              <w:right w:val="single" w:sz="8" w:space="0" w:color="auto"/>
            </w:tcBorders>
            <w:shd w:val="clear" w:color="auto" w:fill="auto"/>
            <w:noWrap/>
            <w:vAlign w:val="bottom"/>
          </w:tcPr>
          <w:p w:rsidR="00D77F90" w:rsidRPr="00AF4D0C" w:rsidRDefault="00D77F90">
            <w:pPr>
              <w:rPr>
                <w:b/>
                <w:bCs/>
                <w:sz w:val="22"/>
                <w:szCs w:val="22"/>
              </w:rPr>
            </w:pPr>
            <w:r w:rsidRPr="00AF4D0C">
              <w:rPr>
                <w:b/>
                <w:bCs/>
                <w:sz w:val="22"/>
                <w:szCs w:val="22"/>
              </w:rPr>
              <w:t xml:space="preserve">               4,748 </w:t>
            </w:r>
          </w:p>
        </w:tc>
      </w:tr>
      <w:tr w:rsidR="00D77F90" w:rsidRPr="00AF4D0C" w:rsidTr="00D77F90">
        <w:trPr>
          <w:trHeight w:val="255"/>
        </w:trPr>
        <w:tc>
          <w:tcPr>
            <w:tcW w:w="2100" w:type="dxa"/>
            <w:tcBorders>
              <w:top w:val="nil"/>
              <w:left w:val="single" w:sz="8" w:space="0" w:color="auto"/>
              <w:bottom w:val="single" w:sz="4" w:space="0" w:color="auto"/>
              <w:right w:val="single" w:sz="8" w:space="0" w:color="auto"/>
            </w:tcBorders>
            <w:shd w:val="clear" w:color="auto" w:fill="auto"/>
            <w:noWrap/>
            <w:vAlign w:val="bottom"/>
          </w:tcPr>
          <w:p w:rsidR="00D77F90" w:rsidRPr="00AF4D0C" w:rsidRDefault="00D77F90">
            <w:pPr>
              <w:rPr>
                <w:b/>
                <w:bCs/>
                <w:sz w:val="22"/>
                <w:szCs w:val="22"/>
              </w:rPr>
            </w:pPr>
            <w:r w:rsidRPr="00AF4D0C">
              <w:rPr>
                <w:b/>
                <w:bCs/>
                <w:sz w:val="22"/>
                <w:szCs w:val="22"/>
              </w:rPr>
              <w:t>Women Borrowers</w:t>
            </w:r>
          </w:p>
        </w:tc>
        <w:tc>
          <w:tcPr>
            <w:tcW w:w="1660" w:type="dxa"/>
            <w:tcBorders>
              <w:top w:val="nil"/>
              <w:left w:val="nil"/>
              <w:bottom w:val="single" w:sz="4" w:space="0" w:color="auto"/>
              <w:right w:val="nil"/>
            </w:tcBorders>
            <w:shd w:val="clear" w:color="auto" w:fill="auto"/>
            <w:noWrap/>
            <w:vAlign w:val="bottom"/>
          </w:tcPr>
          <w:p w:rsidR="00D77F90" w:rsidRPr="00AF4D0C" w:rsidRDefault="00D77F90">
            <w:pPr>
              <w:rPr>
                <w:b/>
                <w:bCs/>
                <w:sz w:val="22"/>
                <w:szCs w:val="22"/>
              </w:rPr>
            </w:pPr>
            <w:r w:rsidRPr="00AF4D0C">
              <w:rPr>
                <w:b/>
                <w:bCs/>
                <w:sz w:val="22"/>
                <w:szCs w:val="22"/>
              </w:rPr>
              <w:t xml:space="preserve">               14,028 </w:t>
            </w:r>
          </w:p>
        </w:tc>
        <w:tc>
          <w:tcPr>
            <w:tcW w:w="1660" w:type="dxa"/>
            <w:tcBorders>
              <w:top w:val="nil"/>
              <w:left w:val="single" w:sz="4" w:space="0" w:color="auto"/>
              <w:bottom w:val="single" w:sz="4" w:space="0" w:color="auto"/>
              <w:right w:val="single" w:sz="4" w:space="0" w:color="auto"/>
            </w:tcBorders>
            <w:shd w:val="clear" w:color="auto" w:fill="auto"/>
            <w:noWrap/>
            <w:vAlign w:val="bottom"/>
          </w:tcPr>
          <w:p w:rsidR="00D77F90" w:rsidRPr="00AF4D0C" w:rsidRDefault="00D77F90">
            <w:pPr>
              <w:rPr>
                <w:b/>
                <w:bCs/>
                <w:sz w:val="22"/>
                <w:szCs w:val="22"/>
              </w:rPr>
            </w:pPr>
            <w:r w:rsidRPr="00AF4D0C">
              <w:rPr>
                <w:b/>
                <w:bCs/>
                <w:sz w:val="22"/>
                <w:szCs w:val="22"/>
              </w:rPr>
              <w:t xml:space="preserve">               18,028 </w:t>
            </w:r>
          </w:p>
        </w:tc>
        <w:tc>
          <w:tcPr>
            <w:tcW w:w="1660" w:type="dxa"/>
            <w:tcBorders>
              <w:top w:val="nil"/>
              <w:left w:val="nil"/>
              <w:bottom w:val="single" w:sz="4" w:space="0" w:color="auto"/>
              <w:right w:val="single" w:sz="4" w:space="0" w:color="auto"/>
            </w:tcBorders>
            <w:shd w:val="clear" w:color="auto" w:fill="auto"/>
            <w:noWrap/>
            <w:vAlign w:val="bottom"/>
          </w:tcPr>
          <w:p w:rsidR="00D77F90" w:rsidRPr="00AF4D0C" w:rsidRDefault="00D77F90">
            <w:pPr>
              <w:rPr>
                <w:b/>
                <w:bCs/>
                <w:sz w:val="22"/>
                <w:szCs w:val="22"/>
              </w:rPr>
            </w:pPr>
            <w:r w:rsidRPr="00AF4D0C">
              <w:rPr>
                <w:b/>
                <w:bCs/>
                <w:sz w:val="22"/>
                <w:szCs w:val="22"/>
              </w:rPr>
              <w:t xml:space="preserve">               19,794 </w:t>
            </w:r>
          </w:p>
        </w:tc>
        <w:tc>
          <w:tcPr>
            <w:tcW w:w="2380" w:type="dxa"/>
            <w:tcBorders>
              <w:top w:val="nil"/>
              <w:left w:val="nil"/>
              <w:bottom w:val="single" w:sz="4" w:space="0" w:color="auto"/>
              <w:right w:val="single" w:sz="8" w:space="0" w:color="auto"/>
            </w:tcBorders>
            <w:shd w:val="clear" w:color="auto" w:fill="auto"/>
            <w:noWrap/>
            <w:vAlign w:val="bottom"/>
          </w:tcPr>
          <w:p w:rsidR="00D77F90" w:rsidRPr="00AF4D0C" w:rsidRDefault="00D77F90">
            <w:pPr>
              <w:rPr>
                <w:b/>
                <w:bCs/>
                <w:sz w:val="22"/>
                <w:szCs w:val="22"/>
              </w:rPr>
            </w:pPr>
            <w:r w:rsidRPr="00AF4D0C">
              <w:rPr>
                <w:b/>
                <w:bCs/>
                <w:sz w:val="22"/>
                <w:szCs w:val="22"/>
              </w:rPr>
              <w:t xml:space="preserve">               5,766 </w:t>
            </w:r>
          </w:p>
        </w:tc>
      </w:tr>
      <w:tr w:rsidR="00D77F90" w:rsidRPr="00AF4D0C" w:rsidTr="00D77F90">
        <w:trPr>
          <w:trHeight w:val="255"/>
        </w:trPr>
        <w:tc>
          <w:tcPr>
            <w:tcW w:w="2100" w:type="dxa"/>
            <w:tcBorders>
              <w:top w:val="nil"/>
              <w:left w:val="single" w:sz="8" w:space="0" w:color="auto"/>
              <w:bottom w:val="single" w:sz="4" w:space="0" w:color="auto"/>
              <w:right w:val="single" w:sz="8" w:space="0" w:color="auto"/>
            </w:tcBorders>
            <w:shd w:val="clear" w:color="auto" w:fill="auto"/>
            <w:noWrap/>
            <w:vAlign w:val="bottom"/>
          </w:tcPr>
          <w:p w:rsidR="00D77F90" w:rsidRPr="00AF4D0C" w:rsidRDefault="00D77F90">
            <w:pPr>
              <w:rPr>
                <w:b/>
                <w:bCs/>
                <w:sz w:val="22"/>
                <w:szCs w:val="22"/>
              </w:rPr>
            </w:pPr>
            <w:r w:rsidRPr="00AF4D0C">
              <w:rPr>
                <w:b/>
                <w:bCs/>
                <w:sz w:val="22"/>
                <w:szCs w:val="22"/>
              </w:rPr>
              <w:t>Savers</w:t>
            </w:r>
          </w:p>
        </w:tc>
        <w:tc>
          <w:tcPr>
            <w:tcW w:w="1660" w:type="dxa"/>
            <w:tcBorders>
              <w:top w:val="nil"/>
              <w:left w:val="nil"/>
              <w:bottom w:val="single" w:sz="4" w:space="0" w:color="auto"/>
              <w:right w:val="nil"/>
            </w:tcBorders>
            <w:shd w:val="clear" w:color="auto" w:fill="auto"/>
            <w:noWrap/>
            <w:vAlign w:val="bottom"/>
          </w:tcPr>
          <w:p w:rsidR="00D77F90" w:rsidRPr="00AF4D0C" w:rsidRDefault="00D77F90">
            <w:pPr>
              <w:rPr>
                <w:b/>
                <w:bCs/>
                <w:sz w:val="22"/>
                <w:szCs w:val="22"/>
              </w:rPr>
            </w:pPr>
            <w:r w:rsidRPr="00AF4D0C">
              <w:rPr>
                <w:b/>
                <w:bCs/>
                <w:sz w:val="22"/>
                <w:szCs w:val="22"/>
              </w:rPr>
              <w:t xml:space="preserve">               34,733 </w:t>
            </w:r>
          </w:p>
        </w:tc>
        <w:tc>
          <w:tcPr>
            <w:tcW w:w="1660" w:type="dxa"/>
            <w:tcBorders>
              <w:top w:val="nil"/>
              <w:left w:val="single" w:sz="4" w:space="0" w:color="auto"/>
              <w:bottom w:val="single" w:sz="4" w:space="0" w:color="auto"/>
              <w:right w:val="single" w:sz="4" w:space="0" w:color="auto"/>
            </w:tcBorders>
            <w:shd w:val="clear" w:color="auto" w:fill="auto"/>
            <w:noWrap/>
            <w:vAlign w:val="bottom"/>
          </w:tcPr>
          <w:p w:rsidR="00D77F90" w:rsidRPr="00AF4D0C" w:rsidRDefault="00D77F90">
            <w:pPr>
              <w:rPr>
                <w:b/>
                <w:bCs/>
                <w:sz w:val="22"/>
                <w:szCs w:val="22"/>
              </w:rPr>
            </w:pPr>
            <w:r w:rsidRPr="00AF4D0C">
              <w:rPr>
                <w:b/>
                <w:bCs/>
                <w:sz w:val="22"/>
                <w:szCs w:val="22"/>
              </w:rPr>
              <w:t xml:space="preserve">               58,575 </w:t>
            </w:r>
          </w:p>
        </w:tc>
        <w:tc>
          <w:tcPr>
            <w:tcW w:w="1660" w:type="dxa"/>
            <w:tcBorders>
              <w:top w:val="nil"/>
              <w:left w:val="nil"/>
              <w:bottom w:val="single" w:sz="4" w:space="0" w:color="auto"/>
              <w:right w:val="single" w:sz="4" w:space="0" w:color="auto"/>
            </w:tcBorders>
            <w:shd w:val="clear" w:color="auto" w:fill="auto"/>
            <w:noWrap/>
            <w:vAlign w:val="bottom"/>
          </w:tcPr>
          <w:p w:rsidR="00D77F90" w:rsidRPr="00AF4D0C" w:rsidRDefault="00D77F90">
            <w:pPr>
              <w:rPr>
                <w:b/>
                <w:bCs/>
                <w:sz w:val="22"/>
                <w:szCs w:val="22"/>
              </w:rPr>
            </w:pPr>
            <w:r w:rsidRPr="00AF4D0C">
              <w:rPr>
                <w:b/>
                <w:bCs/>
                <w:sz w:val="22"/>
                <w:szCs w:val="22"/>
              </w:rPr>
              <w:t xml:space="preserve">               55,851 </w:t>
            </w:r>
          </w:p>
        </w:tc>
        <w:tc>
          <w:tcPr>
            <w:tcW w:w="2380" w:type="dxa"/>
            <w:tcBorders>
              <w:top w:val="nil"/>
              <w:left w:val="nil"/>
              <w:bottom w:val="single" w:sz="4" w:space="0" w:color="auto"/>
              <w:right w:val="single" w:sz="8" w:space="0" w:color="auto"/>
            </w:tcBorders>
            <w:shd w:val="clear" w:color="auto" w:fill="auto"/>
            <w:noWrap/>
            <w:vAlign w:val="bottom"/>
          </w:tcPr>
          <w:p w:rsidR="00D77F90" w:rsidRPr="00AF4D0C" w:rsidRDefault="00D77F90">
            <w:pPr>
              <w:rPr>
                <w:b/>
                <w:bCs/>
                <w:sz w:val="22"/>
                <w:szCs w:val="22"/>
              </w:rPr>
            </w:pPr>
            <w:r w:rsidRPr="00AF4D0C">
              <w:rPr>
                <w:b/>
                <w:bCs/>
                <w:sz w:val="22"/>
                <w:szCs w:val="22"/>
              </w:rPr>
              <w:t xml:space="preserve">              21,118 </w:t>
            </w:r>
          </w:p>
        </w:tc>
      </w:tr>
      <w:tr w:rsidR="00D77F90" w:rsidRPr="00AF4D0C" w:rsidTr="00D77F90">
        <w:trPr>
          <w:trHeight w:val="270"/>
        </w:trPr>
        <w:tc>
          <w:tcPr>
            <w:tcW w:w="2100" w:type="dxa"/>
            <w:tcBorders>
              <w:top w:val="nil"/>
              <w:left w:val="single" w:sz="8" w:space="0" w:color="auto"/>
              <w:bottom w:val="single" w:sz="8" w:space="0" w:color="auto"/>
              <w:right w:val="single" w:sz="8" w:space="0" w:color="auto"/>
            </w:tcBorders>
            <w:shd w:val="clear" w:color="auto" w:fill="auto"/>
            <w:noWrap/>
            <w:vAlign w:val="bottom"/>
          </w:tcPr>
          <w:p w:rsidR="00D77F90" w:rsidRPr="00AF4D0C" w:rsidRDefault="00D77F90">
            <w:pPr>
              <w:rPr>
                <w:b/>
                <w:bCs/>
                <w:sz w:val="22"/>
                <w:szCs w:val="22"/>
              </w:rPr>
            </w:pPr>
            <w:r w:rsidRPr="00AF4D0C">
              <w:rPr>
                <w:b/>
                <w:bCs/>
                <w:sz w:val="22"/>
                <w:szCs w:val="22"/>
              </w:rPr>
              <w:t>Women Savers</w:t>
            </w:r>
          </w:p>
        </w:tc>
        <w:tc>
          <w:tcPr>
            <w:tcW w:w="1660" w:type="dxa"/>
            <w:tcBorders>
              <w:top w:val="nil"/>
              <w:left w:val="nil"/>
              <w:bottom w:val="single" w:sz="8" w:space="0" w:color="auto"/>
              <w:right w:val="nil"/>
            </w:tcBorders>
            <w:shd w:val="clear" w:color="auto" w:fill="auto"/>
            <w:noWrap/>
            <w:vAlign w:val="bottom"/>
          </w:tcPr>
          <w:p w:rsidR="00D77F90" w:rsidRPr="00AF4D0C" w:rsidRDefault="00D77F90">
            <w:pPr>
              <w:rPr>
                <w:b/>
                <w:bCs/>
                <w:sz w:val="22"/>
                <w:szCs w:val="22"/>
              </w:rPr>
            </w:pPr>
            <w:r w:rsidRPr="00AF4D0C">
              <w:rPr>
                <w:b/>
                <w:bCs/>
                <w:sz w:val="22"/>
                <w:szCs w:val="22"/>
              </w:rPr>
              <w:t xml:space="preserve">               23,812 </w:t>
            </w:r>
          </w:p>
        </w:tc>
        <w:tc>
          <w:tcPr>
            <w:tcW w:w="1660" w:type="dxa"/>
            <w:tcBorders>
              <w:top w:val="nil"/>
              <w:left w:val="single" w:sz="4" w:space="0" w:color="auto"/>
              <w:bottom w:val="single" w:sz="8" w:space="0" w:color="auto"/>
              <w:right w:val="single" w:sz="4" w:space="0" w:color="auto"/>
            </w:tcBorders>
            <w:shd w:val="clear" w:color="auto" w:fill="auto"/>
            <w:noWrap/>
            <w:vAlign w:val="bottom"/>
          </w:tcPr>
          <w:p w:rsidR="00D77F90" w:rsidRPr="00AF4D0C" w:rsidRDefault="00D77F90">
            <w:pPr>
              <w:rPr>
                <w:b/>
                <w:bCs/>
                <w:sz w:val="22"/>
                <w:szCs w:val="22"/>
              </w:rPr>
            </w:pPr>
            <w:r w:rsidRPr="00AF4D0C">
              <w:rPr>
                <w:b/>
                <w:bCs/>
                <w:sz w:val="22"/>
                <w:szCs w:val="22"/>
              </w:rPr>
              <w:t xml:space="preserve">               36,218 </w:t>
            </w:r>
          </w:p>
        </w:tc>
        <w:tc>
          <w:tcPr>
            <w:tcW w:w="1660" w:type="dxa"/>
            <w:tcBorders>
              <w:top w:val="nil"/>
              <w:left w:val="nil"/>
              <w:bottom w:val="single" w:sz="8" w:space="0" w:color="auto"/>
              <w:right w:val="single" w:sz="4" w:space="0" w:color="auto"/>
            </w:tcBorders>
            <w:shd w:val="clear" w:color="auto" w:fill="auto"/>
            <w:noWrap/>
            <w:vAlign w:val="bottom"/>
          </w:tcPr>
          <w:p w:rsidR="00D77F90" w:rsidRPr="00AF4D0C" w:rsidRDefault="00D77F90">
            <w:pPr>
              <w:rPr>
                <w:b/>
                <w:bCs/>
                <w:sz w:val="22"/>
                <w:szCs w:val="22"/>
              </w:rPr>
            </w:pPr>
            <w:r w:rsidRPr="00AF4D0C">
              <w:rPr>
                <w:b/>
                <w:bCs/>
                <w:sz w:val="22"/>
                <w:szCs w:val="22"/>
              </w:rPr>
              <w:t xml:space="preserve">               35,166 </w:t>
            </w:r>
          </w:p>
        </w:tc>
        <w:tc>
          <w:tcPr>
            <w:tcW w:w="2380" w:type="dxa"/>
            <w:tcBorders>
              <w:top w:val="nil"/>
              <w:left w:val="nil"/>
              <w:bottom w:val="single" w:sz="8" w:space="0" w:color="auto"/>
              <w:right w:val="single" w:sz="8" w:space="0" w:color="auto"/>
            </w:tcBorders>
            <w:shd w:val="clear" w:color="auto" w:fill="auto"/>
            <w:noWrap/>
            <w:vAlign w:val="bottom"/>
          </w:tcPr>
          <w:p w:rsidR="00D77F90" w:rsidRPr="00AF4D0C" w:rsidRDefault="00D77F90">
            <w:pPr>
              <w:rPr>
                <w:b/>
                <w:bCs/>
                <w:sz w:val="22"/>
                <w:szCs w:val="22"/>
              </w:rPr>
            </w:pPr>
            <w:r w:rsidRPr="00AF4D0C">
              <w:rPr>
                <w:b/>
                <w:bCs/>
                <w:sz w:val="22"/>
                <w:szCs w:val="22"/>
              </w:rPr>
              <w:t xml:space="preserve">              11,355 </w:t>
            </w:r>
          </w:p>
        </w:tc>
      </w:tr>
    </w:tbl>
    <w:p w:rsidR="00727AD5" w:rsidRPr="00AF4D0C" w:rsidRDefault="000F1E18" w:rsidP="006B25D4">
      <w:pPr>
        <w:pStyle w:val="Default"/>
        <w:jc w:val="both"/>
        <w:rPr>
          <w:rFonts w:ascii="Times New Roman" w:hAnsi="Times New Roman" w:cs="Times New Roman"/>
          <w:sz w:val="22"/>
          <w:szCs w:val="22"/>
        </w:rPr>
      </w:pPr>
      <w:r w:rsidRPr="00AF4D0C">
        <w:rPr>
          <w:rFonts w:ascii="Times New Roman" w:hAnsi="Times New Roman" w:cs="Times New Roman"/>
          <w:sz w:val="22"/>
          <w:szCs w:val="22"/>
        </w:rPr>
        <w:t>Notes:</w:t>
      </w:r>
    </w:p>
    <w:p w:rsidR="009467D7" w:rsidRPr="00AF4D0C" w:rsidRDefault="009467D7" w:rsidP="009467D7">
      <w:pPr>
        <w:pStyle w:val="Default"/>
        <w:numPr>
          <w:ilvl w:val="0"/>
          <w:numId w:val="28"/>
        </w:numPr>
        <w:jc w:val="both"/>
        <w:rPr>
          <w:rFonts w:ascii="Times New Roman" w:hAnsi="Times New Roman" w:cs="Times New Roman"/>
          <w:sz w:val="22"/>
          <w:szCs w:val="22"/>
        </w:rPr>
      </w:pPr>
      <w:r w:rsidRPr="00AF4D0C">
        <w:rPr>
          <w:rFonts w:ascii="Times New Roman" w:hAnsi="Times New Roman" w:cs="Times New Roman"/>
          <w:bCs/>
          <w:sz w:val="22"/>
          <w:szCs w:val="22"/>
        </w:rPr>
        <w:t>The table contains total number of clients for financial service providers engaged in microfinance activities in Timor-Leste as at 31 December 2010, along with 2009 and Baseline figures.  Data for total active clients is disaggregated by product type and client gender.</w:t>
      </w:r>
    </w:p>
    <w:p w:rsidR="00382EA8" w:rsidRPr="00AF4D0C" w:rsidRDefault="00F30250" w:rsidP="008022C7">
      <w:pPr>
        <w:pStyle w:val="Default"/>
        <w:numPr>
          <w:ilvl w:val="0"/>
          <w:numId w:val="28"/>
        </w:numPr>
        <w:jc w:val="both"/>
        <w:rPr>
          <w:rFonts w:ascii="Times New Roman" w:hAnsi="Times New Roman" w:cs="Times New Roman"/>
          <w:sz w:val="22"/>
          <w:szCs w:val="22"/>
        </w:rPr>
      </w:pPr>
      <w:r w:rsidRPr="00AF4D0C">
        <w:rPr>
          <w:rFonts w:ascii="Times New Roman" w:hAnsi="Times New Roman" w:cs="Times New Roman"/>
          <w:sz w:val="22"/>
          <w:szCs w:val="22"/>
        </w:rPr>
        <w:t>FSPs</w:t>
      </w:r>
      <w:r w:rsidR="000F1E18" w:rsidRPr="00AF4D0C">
        <w:rPr>
          <w:rFonts w:ascii="Times New Roman" w:hAnsi="Times New Roman" w:cs="Times New Roman"/>
          <w:sz w:val="22"/>
          <w:szCs w:val="22"/>
        </w:rPr>
        <w:t xml:space="preserve"> engaged in the provision of microfinance services include:</w:t>
      </w:r>
      <w:r w:rsidR="008022C7" w:rsidRPr="00AF4D0C">
        <w:rPr>
          <w:rFonts w:ascii="Times New Roman" w:hAnsi="Times New Roman" w:cs="Times New Roman"/>
          <w:sz w:val="22"/>
          <w:szCs w:val="22"/>
        </w:rPr>
        <w:t xml:space="preserve"> </w:t>
      </w:r>
      <w:r w:rsidR="00B44323" w:rsidRPr="00AF4D0C">
        <w:rPr>
          <w:rFonts w:ascii="Times New Roman" w:hAnsi="Times New Roman" w:cs="Times New Roman"/>
          <w:sz w:val="22"/>
          <w:szCs w:val="22"/>
        </w:rPr>
        <w:t xml:space="preserve">Moris Rasik, </w:t>
      </w:r>
      <w:r w:rsidR="008022C7" w:rsidRPr="00AF4D0C">
        <w:rPr>
          <w:rFonts w:ascii="Times New Roman" w:hAnsi="Times New Roman" w:cs="Times New Roman"/>
          <w:sz w:val="22"/>
          <w:szCs w:val="22"/>
        </w:rPr>
        <w:t xml:space="preserve">TRM </w:t>
      </w:r>
      <w:r w:rsidR="009A7E9A">
        <w:rPr>
          <w:rFonts w:ascii="Times New Roman" w:hAnsi="Times New Roman" w:cs="Times New Roman"/>
          <w:sz w:val="22"/>
          <w:szCs w:val="22"/>
        </w:rPr>
        <w:t>,</w:t>
      </w:r>
      <w:r w:rsidR="00B44323" w:rsidRPr="00AF4D0C">
        <w:rPr>
          <w:rFonts w:ascii="Times New Roman" w:hAnsi="Times New Roman" w:cs="Times New Roman"/>
          <w:sz w:val="22"/>
          <w:szCs w:val="22"/>
        </w:rPr>
        <w:t>I</w:t>
      </w:r>
      <w:r w:rsidR="009A7E9A">
        <w:rPr>
          <w:rFonts w:ascii="Times New Roman" w:hAnsi="Times New Roman" w:cs="Times New Roman"/>
          <w:sz w:val="22"/>
          <w:szCs w:val="22"/>
        </w:rPr>
        <w:t>M</w:t>
      </w:r>
      <w:r w:rsidR="00B44323" w:rsidRPr="00AF4D0C">
        <w:rPr>
          <w:rFonts w:ascii="Times New Roman" w:hAnsi="Times New Roman" w:cs="Times New Roman"/>
          <w:sz w:val="22"/>
          <w:szCs w:val="22"/>
        </w:rPr>
        <w:t>fTL</w:t>
      </w:r>
      <w:r w:rsidRPr="00AF4D0C">
        <w:rPr>
          <w:rFonts w:ascii="Times New Roman" w:hAnsi="Times New Roman" w:cs="Times New Roman"/>
          <w:sz w:val="22"/>
          <w:szCs w:val="22"/>
        </w:rPr>
        <w:t xml:space="preserve"> and CUs</w:t>
      </w:r>
      <w:r w:rsidR="008022C7" w:rsidRPr="00AF4D0C">
        <w:rPr>
          <w:rFonts w:ascii="Times New Roman" w:hAnsi="Times New Roman" w:cs="Times New Roman"/>
          <w:sz w:val="22"/>
          <w:szCs w:val="22"/>
        </w:rPr>
        <w:t xml:space="preserve"> </w:t>
      </w:r>
    </w:p>
    <w:p w:rsidR="004A2342" w:rsidRPr="00AF4D0C" w:rsidRDefault="004A2342" w:rsidP="000C71FC">
      <w:pPr>
        <w:pStyle w:val="Default"/>
        <w:jc w:val="both"/>
        <w:rPr>
          <w:rFonts w:ascii="Times New Roman" w:hAnsi="Times New Roman" w:cs="Times New Roman"/>
          <w:sz w:val="22"/>
          <w:szCs w:val="22"/>
          <w:lang w:val="en-GB" w:eastAsia="ja-JP"/>
        </w:rPr>
      </w:pPr>
    </w:p>
    <w:p w:rsidR="00A304E7" w:rsidRPr="00F84101" w:rsidRDefault="00A304E7" w:rsidP="00A304E7">
      <w:pPr>
        <w:pStyle w:val="Default"/>
        <w:jc w:val="both"/>
        <w:rPr>
          <w:rFonts w:ascii="Times New Roman" w:hAnsi="Times New Roman" w:cs="Times New Roman"/>
        </w:rPr>
      </w:pPr>
      <w:r>
        <w:rPr>
          <w:rFonts w:ascii="Times New Roman" w:hAnsi="Times New Roman" w:cs="Times New Roman"/>
          <w:lang w:val="en-GB" w:eastAsia="ja-JP"/>
        </w:rPr>
        <w:t xml:space="preserve">As shown in </w:t>
      </w:r>
      <w:r w:rsidRPr="002541D7">
        <w:rPr>
          <w:rFonts w:ascii="Times New Roman" w:hAnsi="Times New Roman" w:cs="Times New Roman"/>
          <w:lang w:val="en-GB" w:eastAsia="ja-JP"/>
        </w:rPr>
        <w:t xml:space="preserve">Table </w:t>
      </w:r>
      <w:r w:rsidR="00382EA8" w:rsidRPr="002541D7">
        <w:rPr>
          <w:rFonts w:ascii="Times New Roman" w:hAnsi="Times New Roman" w:cs="Times New Roman"/>
          <w:lang w:val="en-GB" w:eastAsia="ja-JP"/>
        </w:rPr>
        <w:t>3</w:t>
      </w:r>
      <w:r w:rsidRPr="002541D7">
        <w:rPr>
          <w:rFonts w:ascii="Times New Roman" w:hAnsi="Times New Roman" w:cs="Times New Roman"/>
          <w:lang w:val="en-GB" w:eastAsia="ja-JP"/>
        </w:rPr>
        <w:t xml:space="preserve">, </w:t>
      </w:r>
      <w:r w:rsidR="00E21350" w:rsidRPr="002541D7">
        <w:rPr>
          <w:rFonts w:ascii="Times New Roman" w:hAnsi="Times New Roman" w:cs="Times New Roman"/>
          <w:lang w:val="en-GB" w:eastAsia="ja-JP"/>
        </w:rPr>
        <w:t>if</w:t>
      </w:r>
      <w:r w:rsidR="00382EA8">
        <w:rPr>
          <w:rFonts w:ascii="Times New Roman" w:hAnsi="Times New Roman" w:cs="Times New Roman"/>
          <w:lang w:val="en-GB" w:eastAsia="ja-JP"/>
        </w:rPr>
        <w:t xml:space="preserve"> </w:t>
      </w:r>
      <w:r w:rsidRPr="00F84101">
        <w:rPr>
          <w:rFonts w:ascii="Times New Roman" w:hAnsi="Times New Roman" w:cs="Times New Roman"/>
          <w:lang w:val="en-GB" w:eastAsia="ja-JP"/>
        </w:rPr>
        <w:t>INFUSE</w:t>
      </w:r>
      <w:r w:rsidR="00382EA8">
        <w:rPr>
          <w:rFonts w:ascii="Times New Roman" w:hAnsi="Times New Roman" w:cs="Times New Roman"/>
          <w:lang w:val="en-GB" w:eastAsia="ja-JP"/>
        </w:rPr>
        <w:t xml:space="preserve"> consider</w:t>
      </w:r>
      <w:r w:rsidR="00E21350">
        <w:rPr>
          <w:rFonts w:ascii="Times New Roman" w:hAnsi="Times New Roman" w:cs="Times New Roman"/>
          <w:lang w:val="en-GB" w:eastAsia="ja-JP"/>
        </w:rPr>
        <w:t>s</w:t>
      </w:r>
      <w:r w:rsidR="00382EA8">
        <w:rPr>
          <w:rFonts w:ascii="Times New Roman" w:hAnsi="Times New Roman" w:cs="Times New Roman"/>
          <w:lang w:val="en-GB" w:eastAsia="ja-JP"/>
        </w:rPr>
        <w:t xml:space="preserve"> all FSPs in the target numbers, it</w:t>
      </w:r>
      <w:r w:rsidRPr="00F84101">
        <w:rPr>
          <w:rFonts w:ascii="Times New Roman" w:hAnsi="Times New Roman" w:cs="Times New Roman"/>
          <w:lang w:val="en-GB" w:eastAsia="ja-JP"/>
        </w:rPr>
        <w:t xml:space="preserve"> is on track to </w:t>
      </w:r>
      <w:r w:rsidR="009A7E9A" w:rsidRPr="00F84101">
        <w:rPr>
          <w:rFonts w:ascii="Times New Roman" w:hAnsi="Times New Roman" w:cs="Times New Roman"/>
          <w:lang w:val="en-GB" w:eastAsia="ja-JP"/>
        </w:rPr>
        <w:t>realize</w:t>
      </w:r>
      <w:r w:rsidRPr="00F84101">
        <w:rPr>
          <w:rFonts w:ascii="Times New Roman" w:hAnsi="Times New Roman" w:cs="Times New Roman"/>
          <w:lang w:val="en-GB" w:eastAsia="ja-JP"/>
        </w:rPr>
        <w:t xml:space="preserve"> the end of </w:t>
      </w:r>
      <w:r w:rsidR="009A7E9A">
        <w:rPr>
          <w:rFonts w:ascii="Times New Roman" w:hAnsi="Times New Roman" w:cs="Times New Roman"/>
          <w:lang w:val="en-GB" w:eastAsia="ja-JP"/>
        </w:rPr>
        <w:t>p</w:t>
      </w:r>
      <w:r w:rsidRPr="00F84101">
        <w:rPr>
          <w:rFonts w:ascii="Times New Roman" w:hAnsi="Times New Roman" w:cs="Times New Roman"/>
          <w:lang w:val="en-GB" w:eastAsia="ja-JP"/>
        </w:rPr>
        <w:t xml:space="preserve">rogramme outreach target of </w:t>
      </w:r>
      <w:r w:rsidRPr="00F84101">
        <w:rPr>
          <w:rFonts w:ascii="Times New Roman" w:hAnsi="Times New Roman" w:cs="Times New Roman"/>
        </w:rPr>
        <w:t xml:space="preserve">73,341 active clients, </w:t>
      </w:r>
      <w:r>
        <w:rPr>
          <w:rFonts w:ascii="Times New Roman" w:hAnsi="Times New Roman" w:cs="Times New Roman"/>
        </w:rPr>
        <w:t xml:space="preserve">which represents </w:t>
      </w:r>
      <w:r w:rsidRPr="00F84101">
        <w:rPr>
          <w:rFonts w:ascii="Times New Roman" w:hAnsi="Times New Roman" w:cs="Times New Roman"/>
          <w:lang w:val="en-GB" w:eastAsia="ja-JP"/>
        </w:rPr>
        <w:t>g</w:t>
      </w:r>
      <w:r>
        <w:rPr>
          <w:rFonts w:ascii="Times New Roman" w:hAnsi="Times New Roman" w:cs="Times New Roman"/>
          <w:lang w:val="en-GB" w:eastAsia="ja-JP"/>
        </w:rPr>
        <w:t>rowth in microfinance clients of</w:t>
      </w:r>
      <w:r w:rsidRPr="00F84101">
        <w:rPr>
          <w:rFonts w:ascii="Times New Roman" w:hAnsi="Times New Roman" w:cs="Times New Roman"/>
          <w:lang w:val="en-GB" w:eastAsia="ja-JP"/>
        </w:rPr>
        <w:t xml:space="preserve"> </w:t>
      </w:r>
      <w:r w:rsidR="00F30250">
        <w:rPr>
          <w:rFonts w:ascii="Times New Roman" w:hAnsi="Times New Roman" w:cs="Times New Roman"/>
          <w:lang w:val="en-GB" w:eastAsia="ja-JP"/>
        </w:rPr>
        <w:t xml:space="preserve">approximately </w:t>
      </w:r>
      <w:r w:rsidRPr="00F84101">
        <w:rPr>
          <w:rFonts w:ascii="Times New Roman" w:hAnsi="Times New Roman" w:cs="Times New Roman"/>
          <w:lang w:val="en-GB" w:eastAsia="ja-JP"/>
        </w:rPr>
        <w:t>20% p.a. compounded</w:t>
      </w:r>
      <w:r>
        <w:rPr>
          <w:rFonts w:ascii="Times New Roman" w:hAnsi="Times New Roman" w:cs="Times New Roman"/>
          <w:lang w:val="en-GB" w:eastAsia="ja-JP"/>
        </w:rPr>
        <w:t>, from baseline</w:t>
      </w:r>
      <w:r w:rsidRPr="00F84101">
        <w:rPr>
          <w:rFonts w:ascii="Times New Roman" w:hAnsi="Times New Roman" w:cs="Times New Roman"/>
          <w:lang w:val="en-GB" w:eastAsia="ja-JP"/>
        </w:rPr>
        <w:t xml:space="preserve">. </w:t>
      </w:r>
      <w:r w:rsidR="00382EA8">
        <w:rPr>
          <w:rFonts w:ascii="Times New Roman" w:hAnsi="Times New Roman" w:cs="Times New Roman"/>
          <w:lang w:val="en-GB" w:eastAsia="ja-JP"/>
        </w:rPr>
        <w:t xml:space="preserve"> However, as of 31 December 2010, direct support has only been provided to the two NGO-MFIs, Moris Rasik and Tuba Rai Metin both of which have experienced flat growth for the past two years due to a </w:t>
      </w:r>
      <w:r w:rsidR="00E8492D">
        <w:rPr>
          <w:rFonts w:ascii="Times New Roman" w:hAnsi="Times New Roman" w:cs="Times New Roman"/>
          <w:lang w:val="en-GB" w:eastAsia="ja-JP"/>
        </w:rPr>
        <w:t xml:space="preserve">many reasons, including a </w:t>
      </w:r>
      <w:r w:rsidR="00382EA8">
        <w:rPr>
          <w:rFonts w:ascii="Times New Roman" w:hAnsi="Times New Roman" w:cs="Times New Roman"/>
          <w:lang w:val="en-GB" w:eastAsia="ja-JP"/>
        </w:rPr>
        <w:t>focus on institution building –</w:t>
      </w:r>
      <w:r w:rsidR="00E8492D">
        <w:rPr>
          <w:rFonts w:ascii="Times New Roman" w:hAnsi="Times New Roman" w:cs="Times New Roman"/>
          <w:lang w:val="en-GB" w:eastAsia="ja-JP"/>
        </w:rPr>
        <w:t xml:space="preserve"> (</w:t>
      </w:r>
      <w:r w:rsidR="00382EA8">
        <w:rPr>
          <w:rFonts w:ascii="Times New Roman" w:hAnsi="Times New Roman" w:cs="Times New Roman"/>
          <w:lang w:val="en-GB" w:eastAsia="ja-JP"/>
        </w:rPr>
        <w:t>i.</w:t>
      </w:r>
      <w:r w:rsidR="00E8492D">
        <w:rPr>
          <w:rFonts w:ascii="Times New Roman" w:hAnsi="Times New Roman" w:cs="Times New Roman"/>
          <w:lang w:val="en-GB" w:eastAsia="ja-JP"/>
        </w:rPr>
        <w:t xml:space="preserve">e. </w:t>
      </w:r>
      <w:r w:rsidR="009A7E9A">
        <w:rPr>
          <w:rFonts w:ascii="Times New Roman" w:hAnsi="Times New Roman" w:cs="Times New Roman"/>
          <w:lang w:val="en-GB" w:eastAsia="ja-JP"/>
        </w:rPr>
        <w:t>implementing new</w:t>
      </w:r>
      <w:r w:rsidR="00E8492D">
        <w:rPr>
          <w:rFonts w:ascii="Times New Roman" w:hAnsi="Times New Roman" w:cs="Times New Roman"/>
          <w:lang w:val="en-GB" w:eastAsia="ja-JP"/>
        </w:rPr>
        <w:t xml:space="preserve"> </w:t>
      </w:r>
      <w:r w:rsidR="00041F93">
        <w:rPr>
          <w:rFonts w:ascii="Times New Roman" w:hAnsi="Times New Roman" w:cs="Times New Roman"/>
          <w:lang w:val="en-GB" w:eastAsia="ja-JP"/>
        </w:rPr>
        <w:t xml:space="preserve">MIS, finance, audit, HR </w:t>
      </w:r>
      <w:r w:rsidR="00E8492D">
        <w:rPr>
          <w:rFonts w:ascii="Times New Roman" w:hAnsi="Times New Roman" w:cs="Times New Roman"/>
          <w:lang w:val="en-GB" w:eastAsia="ja-JP"/>
        </w:rPr>
        <w:t xml:space="preserve">systems and building governance/staff/management capacity) as well as the first time write off of approximately 1,000 clients by TRM (most from 2006 civil unrest).  It’s anticipated that with the capacity building </w:t>
      </w:r>
      <w:r w:rsidR="009A7E9A">
        <w:rPr>
          <w:rFonts w:ascii="Times New Roman" w:hAnsi="Times New Roman" w:cs="Times New Roman"/>
          <w:lang w:val="en-GB" w:eastAsia="ja-JP"/>
        </w:rPr>
        <w:t>funded through</w:t>
      </w:r>
      <w:r w:rsidR="00E8492D">
        <w:rPr>
          <w:rFonts w:ascii="Times New Roman" w:hAnsi="Times New Roman" w:cs="Times New Roman"/>
          <w:lang w:val="en-GB" w:eastAsia="ja-JP"/>
        </w:rPr>
        <w:t xml:space="preserve"> INFUSE, the foundation </w:t>
      </w:r>
      <w:r w:rsidR="00041F93">
        <w:rPr>
          <w:rFonts w:ascii="Times New Roman" w:hAnsi="Times New Roman" w:cs="Times New Roman"/>
          <w:lang w:val="en-GB" w:eastAsia="ja-JP"/>
        </w:rPr>
        <w:t xml:space="preserve">is being </w:t>
      </w:r>
      <w:r w:rsidR="00E8492D">
        <w:rPr>
          <w:rFonts w:ascii="Times New Roman" w:hAnsi="Times New Roman" w:cs="Times New Roman"/>
          <w:lang w:val="en-GB" w:eastAsia="ja-JP"/>
        </w:rPr>
        <w:t xml:space="preserve">established for considerable growth in the coming years.    </w:t>
      </w:r>
    </w:p>
    <w:p w:rsidR="007A2077" w:rsidRPr="00A304E7" w:rsidRDefault="007A2077" w:rsidP="000C71FC">
      <w:pPr>
        <w:pStyle w:val="Default"/>
        <w:jc w:val="both"/>
        <w:rPr>
          <w:rFonts w:ascii="Times New Roman" w:hAnsi="Times New Roman" w:cs="Times New Roman"/>
          <w:lang w:eastAsia="ja-JP"/>
        </w:rPr>
      </w:pPr>
    </w:p>
    <w:p w:rsidR="000C71FC" w:rsidRPr="00B008A0" w:rsidRDefault="000C71FC" w:rsidP="000C71FC">
      <w:pPr>
        <w:pStyle w:val="Default"/>
        <w:jc w:val="both"/>
        <w:rPr>
          <w:rFonts w:ascii="Times New Roman" w:hAnsi="Times New Roman" w:cs="Times New Roman"/>
          <w:sz w:val="22"/>
          <w:szCs w:val="22"/>
          <w:lang w:val="en-GB" w:eastAsia="ja-JP"/>
        </w:rPr>
      </w:pPr>
      <w:r w:rsidRPr="00B008A0">
        <w:rPr>
          <w:rFonts w:ascii="Times New Roman" w:hAnsi="Times New Roman" w:cs="Times New Roman"/>
          <w:sz w:val="22"/>
          <w:szCs w:val="22"/>
          <w:lang w:val="en-GB" w:eastAsia="ja-JP"/>
        </w:rPr>
        <w:t>Table</w:t>
      </w:r>
      <w:r w:rsidR="00A304E7" w:rsidRPr="00B008A0">
        <w:rPr>
          <w:rFonts w:ascii="Times New Roman" w:hAnsi="Times New Roman" w:cs="Times New Roman"/>
          <w:sz w:val="22"/>
          <w:szCs w:val="22"/>
          <w:lang w:val="en-GB" w:eastAsia="ja-JP"/>
        </w:rPr>
        <w:t xml:space="preserve"> </w:t>
      </w:r>
      <w:r w:rsidR="00304CE1" w:rsidRPr="00B008A0">
        <w:rPr>
          <w:rFonts w:ascii="Times New Roman" w:hAnsi="Times New Roman" w:cs="Times New Roman"/>
          <w:sz w:val="22"/>
          <w:szCs w:val="22"/>
          <w:lang w:val="en-GB" w:eastAsia="ja-JP"/>
        </w:rPr>
        <w:t>3</w:t>
      </w:r>
      <w:r w:rsidRPr="00B008A0">
        <w:rPr>
          <w:rFonts w:ascii="Times New Roman" w:hAnsi="Times New Roman" w:cs="Times New Roman"/>
          <w:sz w:val="22"/>
          <w:szCs w:val="22"/>
          <w:lang w:val="en-GB" w:eastAsia="ja-JP"/>
        </w:rPr>
        <w:t xml:space="preserve">: </w:t>
      </w:r>
      <w:r w:rsidR="00A304E7" w:rsidRPr="00B008A0">
        <w:rPr>
          <w:rFonts w:ascii="Times New Roman" w:hAnsi="Times New Roman" w:cs="Times New Roman"/>
          <w:sz w:val="22"/>
          <w:szCs w:val="22"/>
          <w:lang w:val="en-GB" w:eastAsia="ja-JP"/>
        </w:rPr>
        <w:t xml:space="preserve">Client numbers </w:t>
      </w:r>
      <w:r w:rsidR="009A7E9A" w:rsidRPr="00B008A0">
        <w:rPr>
          <w:rFonts w:ascii="Times New Roman" w:hAnsi="Times New Roman" w:cs="Times New Roman"/>
          <w:sz w:val="22"/>
          <w:szCs w:val="22"/>
          <w:lang w:val="en-GB" w:eastAsia="ja-JP"/>
        </w:rPr>
        <w:t>vs.</w:t>
      </w:r>
      <w:r w:rsidR="00A304E7" w:rsidRPr="00B008A0">
        <w:rPr>
          <w:rFonts w:ascii="Times New Roman" w:hAnsi="Times New Roman" w:cs="Times New Roman"/>
          <w:sz w:val="22"/>
          <w:szCs w:val="22"/>
          <w:lang w:val="en-GB" w:eastAsia="ja-JP"/>
        </w:rPr>
        <w:t xml:space="preserve"> Annual Outreach</w:t>
      </w:r>
      <w:r w:rsidR="0025299E" w:rsidRPr="00B008A0">
        <w:rPr>
          <w:rFonts w:ascii="Times New Roman" w:hAnsi="Times New Roman" w:cs="Times New Roman"/>
          <w:sz w:val="22"/>
          <w:szCs w:val="22"/>
          <w:lang w:val="en-GB" w:eastAsia="ja-JP"/>
        </w:rPr>
        <w:t xml:space="preserve"> Targets</w:t>
      </w:r>
    </w:p>
    <w:tbl>
      <w:tblPr>
        <w:tblW w:w="9483" w:type="dxa"/>
        <w:tblInd w:w="93" w:type="dxa"/>
        <w:tblLook w:val="0000" w:firstRow="0" w:lastRow="0" w:firstColumn="0" w:lastColumn="0" w:noHBand="0" w:noVBand="0"/>
      </w:tblPr>
      <w:tblGrid>
        <w:gridCol w:w="1620"/>
        <w:gridCol w:w="1966"/>
        <w:gridCol w:w="16"/>
        <w:gridCol w:w="2893"/>
        <w:gridCol w:w="2988"/>
        <w:tblGridChange w:id="35">
          <w:tblGrid>
            <w:gridCol w:w="1620"/>
            <w:gridCol w:w="1966"/>
            <w:gridCol w:w="16"/>
            <w:gridCol w:w="2893"/>
            <w:gridCol w:w="2988"/>
          </w:tblGrid>
        </w:tblGridChange>
      </w:tblGrid>
      <w:tr w:rsidR="00F30250" w:rsidRPr="00B008A0" w:rsidTr="00B008A0">
        <w:trPr>
          <w:trHeight w:val="375"/>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30250" w:rsidRPr="00B008A0" w:rsidRDefault="00F30250">
            <w:pPr>
              <w:jc w:val="center"/>
              <w:rPr>
                <w:b/>
                <w:bCs/>
                <w:sz w:val="22"/>
                <w:szCs w:val="22"/>
              </w:rPr>
            </w:pPr>
            <w:r w:rsidRPr="00B008A0">
              <w:rPr>
                <w:b/>
                <w:bCs/>
                <w:sz w:val="22"/>
                <w:szCs w:val="22"/>
              </w:rPr>
              <w:t>As at</w:t>
            </w:r>
          </w:p>
        </w:tc>
        <w:tc>
          <w:tcPr>
            <w:tcW w:w="1982" w:type="dxa"/>
            <w:gridSpan w:val="2"/>
            <w:tcBorders>
              <w:top w:val="single" w:sz="8" w:space="0" w:color="auto"/>
              <w:left w:val="single" w:sz="4" w:space="0" w:color="auto"/>
              <w:bottom w:val="single" w:sz="8" w:space="0" w:color="auto"/>
            </w:tcBorders>
            <w:shd w:val="clear" w:color="auto" w:fill="auto"/>
            <w:vAlign w:val="bottom"/>
          </w:tcPr>
          <w:p w:rsidR="00F30250" w:rsidRPr="00B008A0" w:rsidRDefault="00F30250">
            <w:pPr>
              <w:jc w:val="center"/>
              <w:rPr>
                <w:b/>
                <w:bCs/>
                <w:sz w:val="22"/>
                <w:szCs w:val="22"/>
              </w:rPr>
            </w:pPr>
          </w:p>
        </w:tc>
        <w:tc>
          <w:tcPr>
            <w:tcW w:w="2893" w:type="dxa"/>
            <w:tcBorders>
              <w:top w:val="single" w:sz="8" w:space="0" w:color="auto"/>
              <w:left w:val="single" w:sz="4" w:space="0" w:color="auto"/>
              <w:bottom w:val="single" w:sz="8" w:space="0" w:color="auto"/>
            </w:tcBorders>
            <w:shd w:val="clear" w:color="auto" w:fill="auto"/>
            <w:vAlign w:val="bottom"/>
          </w:tcPr>
          <w:p w:rsidR="00F30250" w:rsidRPr="00B008A0" w:rsidRDefault="00F30250">
            <w:pPr>
              <w:jc w:val="center"/>
              <w:rPr>
                <w:b/>
                <w:bCs/>
                <w:sz w:val="22"/>
                <w:szCs w:val="22"/>
              </w:rPr>
            </w:pPr>
            <w:r w:rsidRPr="00B008A0">
              <w:rPr>
                <w:b/>
                <w:bCs/>
                <w:sz w:val="22"/>
                <w:szCs w:val="22"/>
              </w:rPr>
              <w:t>Number of All Microfinance Clients</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bottom"/>
          </w:tcPr>
          <w:p w:rsidR="00F30250" w:rsidRPr="00B008A0" w:rsidRDefault="00D77F90">
            <w:pPr>
              <w:jc w:val="center"/>
              <w:rPr>
                <w:b/>
                <w:bCs/>
                <w:sz w:val="22"/>
                <w:szCs w:val="22"/>
              </w:rPr>
            </w:pPr>
            <w:r w:rsidRPr="00B008A0">
              <w:rPr>
                <w:b/>
                <w:bCs/>
                <w:sz w:val="22"/>
                <w:szCs w:val="22"/>
              </w:rPr>
              <w:t>Number of Clients at Moris Rasik and TRM combined</w:t>
            </w:r>
          </w:p>
        </w:tc>
      </w:tr>
      <w:tr w:rsidR="0025299E" w:rsidRPr="00B008A0" w:rsidTr="00B008A0">
        <w:trPr>
          <w:trHeight w:val="389"/>
        </w:trPr>
        <w:tc>
          <w:tcPr>
            <w:tcW w:w="1620" w:type="dxa"/>
            <w:vMerge/>
            <w:tcBorders>
              <w:top w:val="single" w:sz="4" w:space="0" w:color="auto"/>
              <w:left w:val="single" w:sz="4" w:space="0" w:color="auto"/>
              <w:bottom w:val="single" w:sz="4" w:space="0" w:color="auto"/>
              <w:right w:val="single" w:sz="4" w:space="0" w:color="auto"/>
            </w:tcBorders>
            <w:vAlign w:val="center"/>
          </w:tcPr>
          <w:p w:rsidR="0025299E" w:rsidRPr="00B008A0" w:rsidRDefault="0025299E">
            <w:pPr>
              <w:rPr>
                <w:b/>
                <w:bCs/>
                <w:sz w:val="22"/>
                <w:szCs w:val="22"/>
              </w:rPr>
            </w:pPr>
          </w:p>
        </w:tc>
        <w:tc>
          <w:tcPr>
            <w:tcW w:w="1966" w:type="dxa"/>
            <w:tcBorders>
              <w:top w:val="nil"/>
              <w:left w:val="single" w:sz="4" w:space="0" w:color="auto"/>
              <w:bottom w:val="single" w:sz="8" w:space="0" w:color="auto"/>
              <w:right w:val="single" w:sz="8" w:space="0" w:color="auto"/>
            </w:tcBorders>
            <w:shd w:val="clear" w:color="auto" w:fill="auto"/>
            <w:vAlign w:val="bottom"/>
          </w:tcPr>
          <w:p w:rsidR="0025299E" w:rsidRPr="00B008A0" w:rsidRDefault="0025299E">
            <w:pPr>
              <w:jc w:val="center"/>
              <w:rPr>
                <w:b/>
                <w:bCs/>
                <w:sz w:val="22"/>
                <w:szCs w:val="22"/>
              </w:rPr>
            </w:pPr>
            <w:r w:rsidRPr="00B008A0">
              <w:rPr>
                <w:b/>
                <w:bCs/>
                <w:sz w:val="22"/>
                <w:szCs w:val="22"/>
              </w:rPr>
              <w:t>Target</w:t>
            </w:r>
          </w:p>
        </w:tc>
        <w:tc>
          <w:tcPr>
            <w:tcW w:w="2909" w:type="dxa"/>
            <w:gridSpan w:val="2"/>
            <w:tcBorders>
              <w:top w:val="nil"/>
              <w:left w:val="nil"/>
              <w:bottom w:val="single" w:sz="8" w:space="0" w:color="auto"/>
              <w:right w:val="single" w:sz="8" w:space="0" w:color="auto"/>
            </w:tcBorders>
            <w:shd w:val="clear" w:color="auto" w:fill="auto"/>
            <w:vAlign w:val="bottom"/>
          </w:tcPr>
          <w:p w:rsidR="0025299E" w:rsidRPr="00B008A0" w:rsidRDefault="0025299E">
            <w:pPr>
              <w:jc w:val="center"/>
              <w:rPr>
                <w:b/>
                <w:bCs/>
                <w:sz w:val="22"/>
                <w:szCs w:val="22"/>
              </w:rPr>
            </w:pPr>
            <w:r w:rsidRPr="00B008A0">
              <w:rPr>
                <w:b/>
                <w:bCs/>
                <w:sz w:val="22"/>
                <w:szCs w:val="22"/>
              </w:rPr>
              <w:t xml:space="preserve">Result </w:t>
            </w:r>
          </w:p>
        </w:tc>
        <w:tc>
          <w:tcPr>
            <w:tcW w:w="2988" w:type="dxa"/>
            <w:tcBorders>
              <w:top w:val="nil"/>
              <w:left w:val="nil"/>
              <w:bottom w:val="single" w:sz="8" w:space="0" w:color="auto"/>
              <w:right w:val="single" w:sz="8" w:space="0" w:color="auto"/>
            </w:tcBorders>
            <w:shd w:val="clear" w:color="auto" w:fill="auto"/>
            <w:vAlign w:val="bottom"/>
          </w:tcPr>
          <w:p w:rsidR="0025299E" w:rsidRPr="00B008A0" w:rsidRDefault="0025299E">
            <w:pPr>
              <w:jc w:val="center"/>
              <w:rPr>
                <w:b/>
                <w:bCs/>
                <w:sz w:val="22"/>
                <w:szCs w:val="22"/>
              </w:rPr>
            </w:pPr>
            <w:r w:rsidRPr="00B008A0">
              <w:rPr>
                <w:b/>
                <w:bCs/>
                <w:sz w:val="22"/>
                <w:szCs w:val="22"/>
              </w:rPr>
              <w:t>Result</w:t>
            </w:r>
          </w:p>
        </w:tc>
      </w:tr>
      <w:tr w:rsidR="00D77F90" w:rsidRPr="00B008A0" w:rsidTr="00B008A0">
        <w:trPr>
          <w:trHeight w:val="270"/>
        </w:trPr>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D77F90" w:rsidRPr="00B008A0" w:rsidRDefault="00D77F90">
            <w:pPr>
              <w:jc w:val="center"/>
              <w:rPr>
                <w:b/>
                <w:bCs/>
                <w:sz w:val="22"/>
                <w:szCs w:val="22"/>
              </w:rPr>
            </w:pPr>
            <w:r w:rsidRPr="00B008A0">
              <w:rPr>
                <w:b/>
                <w:bCs/>
                <w:sz w:val="22"/>
                <w:szCs w:val="22"/>
              </w:rPr>
              <w:t>31 Dec 2008</w:t>
            </w:r>
          </w:p>
        </w:tc>
        <w:tc>
          <w:tcPr>
            <w:tcW w:w="1966" w:type="dxa"/>
            <w:tcBorders>
              <w:top w:val="nil"/>
              <w:left w:val="single" w:sz="4" w:space="0" w:color="auto"/>
              <w:bottom w:val="single" w:sz="8" w:space="0" w:color="auto"/>
              <w:right w:val="nil"/>
            </w:tcBorders>
            <w:shd w:val="clear" w:color="auto" w:fill="auto"/>
            <w:noWrap/>
            <w:vAlign w:val="bottom"/>
          </w:tcPr>
          <w:p w:rsidR="00D77F90" w:rsidRPr="00B008A0" w:rsidRDefault="00795EAD" w:rsidP="0025299E">
            <w:pPr>
              <w:jc w:val="center"/>
              <w:rPr>
                <w:b/>
                <w:bCs/>
                <w:sz w:val="22"/>
                <w:szCs w:val="22"/>
              </w:rPr>
            </w:pPr>
            <w:r>
              <w:rPr>
                <w:b/>
                <w:bCs/>
                <w:sz w:val="22"/>
                <w:szCs w:val="22"/>
              </w:rPr>
              <w:t>under revision</w:t>
            </w:r>
          </w:p>
        </w:tc>
        <w:tc>
          <w:tcPr>
            <w:tcW w:w="2909" w:type="dxa"/>
            <w:gridSpan w:val="2"/>
            <w:tcBorders>
              <w:top w:val="nil"/>
              <w:left w:val="single" w:sz="8" w:space="0" w:color="auto"/>
              <w:bottom w:val="single" w:sz="8" w:space="0" w:color="auto"/>
              <w:right w:val="single" w:sz="8" w:space="0" w:color="auto"/>
            </w:tcBorders>
            <w:shd w:val="clear" w:color="auto" w:fill="auto"/>
            <w:noWrap/>
            <w:vAlign w:val="bottom"/>
          </w:tcPr>
          <w:p w:rsidR="00D77F90" w:rsidRPr="00B008A0" w:rsidRDefault="00D77F90" w:rsidP="0025299E">
            <w:pPr>
              <w:jc w:val="center"/>
              <w:rPr>
                <w:b/>
                <w:bCs/>
                <w:sz w:val="22"/>
                <w:szCs w:val="22"/>
              </w:rPr>
            </w:pPr>
            <w:r w:rsidRPr="00B008A0">
              <w:rPr>
                <w:b/>
                <w:bCs/>
                <w:sz w:val="22"/>
                <w:szCs w:val="22"/>
              </w:rPr>
              <w:t>35,369</w:t>
            </w:r>
          </w:p>
        </w:tc>
        <w:tc>
          <w:tcPr>
            <w:tcW w:w="2988" w:type="dxa"/>
            <w:tcBorders>
              <w:top w:val="nil"/>
              <w:left w:val="nil"/>
              <w:bottom w:val="single" w:sz="8" w:space="0" w:color="auto"/>
              <w:right w:val="single" w:sz="8" w:space="0" w:color="auto"/>
            </w:tcBorders>
            <w:shd w:val="clear" w:color="auto" w:fill="auto"/>
            <w:noWrap/>
            <w:vAlign w:val="bottom"/>
          </w:tcPr>
          <w:p w:rsidR="00D77F90" w:rsidRPr="00B008A0" w:rsidRDefault="00E8492D" w:rsidP="0025299E">
            <w:pPr>
              <w:jc w:val="center"/>
              <w:rPr>
                <w:b/>
                <w:bCs/>
                <w:sz w:val="22"/>
                <w:szCs w:val="22"/>
              </w:rPr>
            </w:pPr>
            <w:r w:rsidRPr="00B008A0">
              <w:rPr>
                <w:b/>
                <w:bCs/>
                <w:sz w:val="22"/>
                <w:szCs w:val="22"/>
              </w:rPr>
              <w:t>14,112</w:t>
            </w:r>
          </w:p>
        </w:tc>
      </w:tr>
      <w:tr w:rsidR="0025299E" w:rsidRPr="00B008A0" w:rsidTr="00B008A0">
        <w:trPr>
          <w:trHeight w:val="270"/>
        </w:trPr>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25299E" w:rsidRPr="00B008A0" w:rsidRDefault="0025299E">
            <w:pPr>
              <w:jc w:val="center"/>
              <w:rPr>
                <w:b/>
                <w:bCs/>
                <w:sz w:val="22"/>
                <w:szCs w:val="22"/>
              </w:rPr>
            </w:pPr>
            <w:r w:rsidRPr="00B008A0">
              <w:rPr>
                <w:b/>
                <w:bCs/>
                <w:sz w:val="22"/>
                <w:szCs w:val="22"/>
              </w:rPr>
              <w:t xml:space="preserve"> 31 Dec 2009</w:t>
            </w:r>
          </w:p>
        </w:tc>
        <w:tc>
          <w:tcPr>
            <w:tcW w:w="1966" w:type="dxa"/>
            <w:tcBorders>
              <w:top w:val="nil"/>
              <w:left w:val="single" w:sz="4" w:space="0" w:color="auto"/>
              <w:bottom w:val="single" w:sz="8" w:space="0" w:color="auto"/>
              <w:right w:val="nil"/>
            </w:tcBorders>
            <w:shd w:val="clear" w:color="auto" w:fill="auto"/>
            <w:noWrap/>
            <w:vAlign w:val="bottom"/>
          </w:tcPr>
          <w:p w:rsidR="0025299E" w:rsidRPr="00B008A0" w:rsidRDefault="0025299E" w:rsidP="0025299E">
            <w:pPr>
              <w:jc w:val="center"/>
              <w:rPr>
                <w:b/>
                <w:bCs/>
                <w:sz w:val="22"/>
                <w:szCs w:val="22"/>
              </w:rPr>
            </w:pPr>
            <w:r w:rsidRPr="00B008A0">
              <w:rPr>
                <w:b/>
                <w:bCs/>
                <w:sz w:val="22"/>
                <w:szCs w:val="22"/>
              </w:rPr>
              <w:t>41,680</w:t>
            </w:r>
          </w:p>
        </w:tc>
        <w:tc>
          <w:tcPr>
            <w:tcW w:w="2909" w:type="dxa"/>
            <w:gridSpan w:val="2"/>
            <w:tcBorders>
              <w:top w:val="nil"/>
              <w:left w:val="single" w:sz="8" w:space="0" w:color="auto"/>
              <w:bottom w:val="single" w:sz="8" w:space="0" w:color="auto"/>
              <w:right w:val="single" w:sz="8" w:space="0" w:color="auto"/>
            </w:tcBorders>
            <w:shd w:val="clear" w:color="auto" w:fill="auto"/>
            <w:noWrap/>
            <w:vAlign w:val="bottom"/>
          </w:tcPr>
          <w:p w:rsidR="0025299E" w:rsidRPr="00B008A0" w:rsidRDefault="0025299E" w:rsidP="0025299E">
            <w:pPr>
              <w:jc w:val="center"/>
              <w:rPr>
                <w:b/>
                <w:bCs/>
                <w:sz w:val="22"/>
                <w:szCs w:val="22"/>
              </w:rPr>
            </w:pPr>
            <w:r w:rsidRPr="00B008A0">
              <w:rPr>
                <w:b/>
                <w:bCs/>
                <w:sz w:val="22"/>
                <w:szCs w:val="22"/>
              </w:rPr>
              <w:t>58,666</w:t>
            </w:r>
          </w:p>
        </w:tc>
        <w:tc>
          <w:tcPr>
            <w:tcW w:w="2988" w:type="dxa"/>
            <w:tcBorders>
              <w:top w:val="nil"/>
              <w:left w:val="nil"/>
              <w:bottom w:val="single" w:sz="8" w:space="0" w:color="auto"/>
              <w:right w:val="single" w:sz="8" w:space="0" w:color="auto"/>
            </w:tcBorders>
            <w:shd w:val="clear" w:color="auto" w:fill="auto"/>
            <w:noWrap/>
            <w:vAlign w:val="bottom"/>
          </w:tcPr>
          <w:p w:rsidR="0025299E" w:rsidRPr="00B008A0" w:rsidRDefault="00E8492D" w:rsidP="0025299E">
            <w:pPr>
              <w:jc w:val="center"/>
              <w:rPr>
                <w:b/>
                <w:bCs/>
                <w:sz w:val="22"/>
                <w:szCs w:val="22"/>
              </w:rPr>
            </w:pPr>
            <w:r w:rsidRPr="00B008A0">
              <w:rPr>
                <w:b/>
                <w:bCs/>
                <w:sz w:val="22"/>
                <w:szCs w:val="22"/>
              </w:rPr>
              <w:t>14,030</w:t>
            </w:r>
          </w:p>
        </w:tc>
      </w:tr>
      <w:tr w:rsidR="0025299E" w:rsidRPr="00B008A0" w:rsidTr="00B008A0">
        <w:trPr>
          <w:trHeight w:val="270"/>
        </w:trPr>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25299E" w:rsidRPr="00B008A0" w:rsidRDefault="0025299E">
            <w:pPr>
              <w:jc w:val="center"/>
              <w:rPr>
                <w:b/>
                <w:bCs/>
                <w:sz w:val="22"/>
                <w:szCs w:val="22"/>
              </w:rPr>
            </w:pPr>
            <w:r w:rsidRPr="00B008A0">
              <w:rPr>
                <w:b/>
                <w:bCs/>
                <w:sz w:val="22"/>
                <w:szCs w:val="22"/>
              </w:rPr>
              <w:t xml:space="preserve"> 31 Dec 2010</w:t>
            </w:r>
          </w:p>
        </w:tc>
        <w:tc>
          <w:tcPr>
            <w:tcW w:w="1966" w:type="dxa"/>
            <w:tcBorders>
              <w:top w:val="nil"/>
              <w:left w:val="single" w:sz="4" w:space="0" w:color="auto"/>
              <w:bottom w:val="single" w:sz="8" w:space="0" w:color="auto"/>
              <w:right w:val="single" w:sz="8" w:space="0" w:color="auto"/>
            </w:tcBorders>
            <w:shd w:val="clear" w:color="auto" w:fill="auto"/>
            <w:noWrap/>
            <w:vAlign w:val="bottom"/>
          </w:tcPr>
          <w:p w:rsidR="0025299E" w:rsidRPr="00B008A0" w:rsidRDefault="0025299E" w:rsidP="0025299E">
            <w:pPr>
              <w:jc w:val="center"/>
              <w:rPr>
                <w:b/>
                <w:bCs/>
                <w:sz w:val="22"/>
                <w:szCs w:val="22"/>
              </w:rPr>
            </w:pPr>
            <w:r w:rsidRPr="00B008A0">
              <w:rPr>
                <w:b/>
                <w:bCs/>
                <w:sz w:val="22"/>
                <w:szCs w:val="22"/>
              </w:rPr>
              <w:t>50,016</w:t>
            </w:r>
          </w:p>
        </w:tc>
        <w:tc>
          <w:tcPr>
            <w:tcW w:w="2909" w:type="dxa"/>
            <w:gridSpan w:val="2"/>
            <w:tcBorders>
              <w:top w:val="nil"/>
              <w:left w:val="nil"/>
              <w:bottom w:val="single" w:sz="8" w:space="0" w:color="auto"/>
              <w:right w:val="single" w:sz="8" w:space="0" w:color="auto"/>
            </w:tcBorders>
            <w:shd w:val="clear" w:color="auto" w:fill="auto"/>
            <w:noWrap/>
            <w:vAlign w:val="bottom"/>
          </w:tcPr>
          <w:p w:rsidR="0025299E" w:rsidRPr="00B008A0" w:rsidRDefault="0025299E" w:rsidP="0025299E">
            <w:pPr>
              <w:jc w:val="center"/>
              <w:rPr>
                <w:b/>
                <w:bCs/>
                <w:sz w:val="22"/>
                <w:szCs w:val="22"/>
              </w:rPr>
            </w:pPr>
            <w:r w:rsidRPr="00B008A0">
              <w:rPr>
                <w:b/>
                <w:bCs/>
                <w:sz w:val="22"/>
                <w:szCs w:val="22"/>
              </w:rPr>
              <w:t>55,851</w:t>
            </w:r>
          </w:p>
        </w:tc>
        <w:tc>
          <w:tcPr>
            <w:tcW w:w="2988" w:type="dxa"/>
            <w:tcBorders>
              <w:top w:val="nil"/>
              <w:left w:val="nil"/>
              <w:bottom w:val="single" w:sz="8" w:space="0" w:color="auto"/>
              <w:right w:val="single" w:sz="8" w:space="0" w:color="auto"/>
            </w:tcBorders>
            <w:shd w:val="clear" w:color="auto" w:fill="auto"/>
            <w:noWrap/>
            <w:vAlign w:val="bottom"/>
          </w:tcPr>
          <w:p w:rsidR="0025299E" w:rsidRPr="00B008A0" w:rsidRDefault="00E8492D" w:rsidP="0025299E">
            <w:pPr>
              <w:jc w:val="center"/>
              <w:rPr>
                <w:b/>
                <w:bCs/>
                <w:sz w:val="22"/>
                <w:szCs w:val="22"/>
              </w:rPr>
            </w:pPr>
            <w:r w:rsidRPr="00B008A0">
              <w:rPr>
                <w:b/>
                <w:bCs/>
                <w:sz w:val="22"/>
                <w:szCs w:val="22"/>
              </w:rPr>
              <w:t>14,734</w:t>
            </w:r>
          </w:p>
        </w:tc>
      </w:tr>
      <w:tr w:rsidR="0025299E" w:rsidRPr="00B008A0" w:rsidTr="00B008A0">
        <w:trPr>
          <w:trHeight w:val="270"/>
        </w:trPr>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25299E" w:rsidRPr="00B008A0" w:rsidRDefault="0025299E">
            <w:pPr>
              <w:jc w:val="center"/>
              <w:rPr>
                <w:b/>
                <w:bCs/>
                <w:sz w:val="22"/>
                <w:szCs w:val="22"/>
              </w:rPr>
            </w:pPr>
            <w:r w:rsidRPr="00B008A0">
              <w:rPr>
                <w:b/>
                <w:bCs/>
                <w:sz w:val="22"/>
                <w:szCs w:val="22"/>
              </w:rPr>
              <w:t xml:space="preserve"> 31 Dec 2011</w:t>
            </w:r>
          </w:p>
        </w:tc>
        <w:tc>
          <w:tcPr>
            <w:tcW w:w="1966" w:type="dxa"/>
            <w:tcBorders>
              <w:top w:val="nil"/>
              <w:left w:val="single" w:sz="4" w:space="0" w:color="auto"/>
              <w:bottom w:val="single" w:sz="8" w:space="0" w:color="auto"/>
              <w:right w:val="single" w:sz="8" w:space="0" w:color="auto"/>
            </w:tcBorders>
            <w:shd w:val="clear" w:color="auto" w:fill="auto"/>
            <w:noWrap/>
            <w:vAlign w:val="bottom"/>
          </w:tcPr>
          <w:p w:rsidR="0025299E" w:rsidRPr="00B008A0" w:rsidRDefault="0025299E" w:rsidP="0025299E">
            <w:pPr>
              <w:jc w:val="center"/>
              <w:rPr>
                <w:b/>
                <w:bCs/>
                <w:sz w:val="22"/>
                <w:szCs w:val="22"/>
              </w:rPr>
            </w:pPr>
            <w:r w:rsidRPr="00B008A0">
              <w:rPr>
                <w:b/>
                <w:bCs/>
                <w:sz w:val="22"/>
                <w:szCs w:val="22"/>
              </w:rPr>
              <w:t>60,019</w:t>
            </w:r>
          </w:p>
        </w:tc>
        <w:tc>
          <w:tcPr>
            <w:tcW w:w="2909" w:type="dxa"/>
            <w:gridSpan w:val="2"/>
            <w:tcBorders>
              <w:top w:val="nil"/>
              <w:left w:val="nil"/>
              <w:bottom w:val="single" w:sz="4" w:space="0" w:color="auto"/>
              <w:right w:val="single" w:sz="4" w:space="0" w:color="auto"/>
            </w:tcBorders>
            <w:shd w:val="clear" w:color="auto" w:fill="auto"/>
            <w:noWrap/>
            <w:vAlign w:val="bottom"/>
          </w:tcPr>
          <w:p w:rsidR="0025299E" w:rsidRPr="00B008A0" w:rsidRDefault="0025299E" w:rsidP="0025299E">
            <w:pPr>
              <w:jc w:val="center"/>
              <w:rPr>
                <w:b/>
                <w:bCs/>
                <w:sz w:val="22"/>
                <w:szCs w:val="22"/>
              </w:rPr>
            </w:pPr>
          </w:p>
        </w:tc>
        <w:tc>
          <w:tcPr>
            <w:tcW w:w="2988" w:type="dxa"/>
            <w:tcBorders>
              <w:top w:val="nil"/>
              <w:left w:val="nil"/>
              <w:bottom w:val="single" w:sz="4" w:space="0" w:color="auto"/>
              <w:right w:val="single" w:sz="4" w:space="0" w:color="auto"/>
            </w:tcBorders>
            <w:shd w:val="clear" w:color="auto" w:fill="auto"/>
            <w:noWrap/>
            <w:vAlign w:val="bottom"/>
          </w:tcPr>
          <w:p w:rsidR="0025299E" w:rsidRPr="00B008A0" w:rsidRDefault="0025299E" w:rsidP="0025299E">
            <w:pPr>
              <w:jc w:val="center"/>
              <w:rPr>
                <w:b/>
                <w:bCs/>
                <w:sz w:val="22"/>
                <w:szCs w:val="22"/>
              </w:rPr>
            </w:pPr>
          </w:p>
        </w:tc>
      </w:tr>
      <w:tr w:rsidR="0025299E" w:rsidRPr="00B008A0" w:rsidTr="00B008A0">
        <w:trPr>
          <w:trHeight w:val="270"/>
        </w:trPr>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25299E" w:rsidRPr="00B008A0" w:rsidRDefault="0025299E">
            <w:pPr>
              <w:jc w:val="center"/>
              <w:rPr>
                <w:b/>
                <w:bCs/>
                <w:sz w:val="22"/>
                <w:szCs w:val="22"/>
              </w:rPr>
            </w:pPr>
            <w:r w:rsidRPr="00B008A0">
              <w:rPr>
                <w:b/>
                <w:bCs/>
                <w:sz w:val="22"/>
                <w:szCs w:val="22"/>
              </w:rPr>
              <w:t xml:space="preserve"> 31 Dec 2012</w:t>
            </w:r>
          </w:p>
        </w:tc>
        <w:tc>
          <w:tcPr>
            <w:tcW w:w="1966" w:type="dxa"/>
            <w:tcBorders>
              <w:top w:val="nil"/>
              <w:left w:val="single" w:sz="4" w:space="0" w:color="auto"/>
              <w:bottom w:val="single" w:sz="8" w:space="0" w:color="auto"/>
              <w:right w:val="single" w:sz="8" w:space="0" w:color="auto"/>
            </w:tcBorders>
            <w:shd w:val="clear" w:color="auto" w:fill="auto"/>
            <w:noWrap/>
            <w:vAlign w:val="bottom"/>
          </w:tcPr>
          <w:p w:rsidR="0025299E" w:rsidRPr="00B008A0" w:rsidRDefault="007B7C94" w:rsidP="0025299E">
            <w:pPr>
              <w:jc w:val="center"/>
              <w:rPr>
                <w:b/>
                <w:bCs/>
                <w:sz w:val="22"/>
                <w:szCs w:val="22"/>
              </w:rPr>
            </w:pPr>
            <w:r w:rsidRPr="00B008A0">
              <w:rPr>
                <w:b/>
                <w:bCs/>
                <w:sz w:val="22"/>
                <w:szCs w:val="22"/>
              </w:rPr>
              <w:t>73,341</w:t>
            </w:r>
          </w:p>
        </w:tc>
        <w:tc>
          <w:tcPr>
            <w:tcW w:w="2909" w:type="dxa"/>
            <w:gridSpan w:val="2"/>
            <w:tcBorders>
              <w:top w:val="nil"/>
              <w:left w:val="nil"/>
              <w:bottom w:val="single" w:sz="4" w:space="0" w:color="auto"/>
              <w:right w:val="single" w:sz="4" w:space="0" w:color="auto"/>
            </w:tcBorders>
            <w:shd w:val="clear" w:color="auto" w:fill="auto"/>
            <w:noWrap/>
            <w:vAlign w:val="bottom"/>
          </w:tcPr>
          <w:p w:rsidR="0025299E" w:rsidRPr="00B008A0" w:rsidRDefault="0025299E" w:rsidP="0025299E">
            <w:pPr>
              <w:jc w:val="center"/>
              <w:rPr>
                <w:b/>
                <w:bCs/>
                <w:sz w:val="22"/>
                <w:szCs w:val="22"/>
              </w:rPr>
            </w:pPr>
          </w:p>
        </w:tc>
        <w:tc>
          <w:tcPr>
            <w:tcW w:w="2988" w:type="dxa"/>
            <w:tcBorders>
              <w:top w:val="nil"/>
              <w:left w:val="nil"/>
              <w:bottom w:val="single" w:sz="4" w:space="0" w:color="auto"/>
              <w:right w:val="single" w:sz="4" w:space="0" w:color="auto"/>
            </w:tcBorders>
            <w:shd w:val="clear" w:color="auto" w:fill="auto"/>
            <w:noWrap/>
            <w:vAlign w:val="bottom"/>
          </w:tcPr>
          <w:p w:rsidR="0025299E" w:rsidRPr="00B008A0" w:rsidRDefault="0025299E" w:rsidP="0025299E">
            <w:pPr>
              <w:jc w:val="center"/>
              <w:rPr>
                <w:b/>
                <w:bCs/>
                <w:sz w:val="22"/>
                <w:szCs w:val="22"/>
              </w:rPr>
            </w:pPr>
          </w:p>
        </w:tc>
      </w:tr>
    </w:tbl>
    <w:p w:rsidR="0025299E" w:rsidRPr="00F84101" w:rsidRDefault="0025299E" w:rsidP="00B658B9">
      <w:pPr>
        <w:pStyle w:val="Default"/>
        <w:jc w:val="both"/>
        <w:rPr>
          <w:rFonts w:ascii="Times New Roman" w:hAnsi="Times New Roman" w:cs="Times New Roman"/>
          <w:lang w:val="en-GB" w:eastAsia="ja-JP"/>
        </w:rPr>
      </w:pPr>
    </w:p>
    <w:p w:rsidR="005B2119" w:rsidRPr="00F84101" w:rsidRDefault="00B008A0" w:rsidP="00A41867">
      <w:pPr>
        <w:pStyle w:val="Default"/>
        <w:jc w:val="both"/>
        <w:rPr>
          <w:rFonts w:ascii="Times New Roman" w:hAnsi="Times New Roman" w:cs="Times New Roman"/>
          <w:lang w:val="en-GB" w:eastAsia="ja-JP"/>
        </w:rPr>
      </w:pPr>
      <w:r>
        <w:rPr>
          <w:rFonts w:ascii="Times New Roman" w:hAnsi="Times New Roman" w:cs="Times New Roman"/>
          <w:lang w:val="en-GB" w:eastAsia="ja-JP"/>
        </w:rPr>
        <w:t xml:space="preserve">Development of </w:t>
      </w:r>
      <w:r w:rsidR="00E14751">
        <w:rPr>
          <w:rFonts w:ascii="Times New Roman" w:hAnsi="Times New Roman" w:cs="Times New Roman"/>
          <w:lang w:val="en-GB" w:eastAsia="ja-JP"/>
        </w:rPr>
        <w:t xml:space="preserve">original </w:t>
      </w:r>
      <w:r>
        <w:rPr>
          <w:rFonts w:ascii="Times New Roman" w:hAnsi="Times New Roman" w:cs="Times New Roman"/>
          <w:lang w:val="en-GB" w:eastAsia="ja-JP"/>
        </w:rPr>
        <w:t>targets included projections for all FSPs providing microfinance services on the</w:t>
      </w:r>
      <w:r w:rsidR="004A7A04" w:rsidRPr="00F84101">
        <w:rPr>
          <w:rFonts w:ascii="Times New Roman" w:hAnsi="Times New Roman" w:cs="Times New Roman"/>
          <w:lang w:val="en-GB" w:eastAsia="ja-JP"/>
        </w:rPr>
        <w:t xml:space="preserve"> rationale</w:t>
      </w:r>
      <w:r>
        <w:rPr>
          <w:rFonts w:ascii="Times New Roman" w:hAnsi="Times New Roman" w:cs="Times New Roman"/>
          <w:lang w:val="en-GB" w:eastAsia="ja-JP"/>
        </w:rPr>
        <w:t xml:space="preserve"> that</w:t>
      </w:r>
      <w:r w:rsidR="005B2119" w:rsidRPr="00F84101">
        <w:rPr>
          <w:rFonts w:ascii="Times New Roman" w:hAnsi="Times New Roman" w:cs="Times New Roman"/>
          <w:lang w:val="en-GB" w:eastAsia="ja-JP"/>
        </w:rPr>
        <w:t>:</w:t>
      </w:r>
    </w:p>
    <w:p w:rsidR="005B2119" w:rsidRPr="00F84101" w:rsidRDefault="00BD6AAB" w:rsidP="00A41867">
      <w:pPr>
        <w:pStyle w:val="Default"/>
        <w:numPr>
          <w:ilvl w:val="1"/>
          <w:numId w:val="23"/>
        </w:numPr>
        <w:jc w:val="both"/>
        <w:rPr>
          <w:rFonts w:ascii="Times New Roman" w:hAnsi="Times New Roman" w:cs="Times New Roman"/>
          <w:lang w:val="en-GB" w:eastAsia="ja-JP"/>
        </w:rPr>
      </w:pPr>
      <w:r w:rsidRPr="00F84101">
        <w:rPr>
          <w:rFonts w:ascii="Times New Roman" w:hAnsi="Times New Roman" w:cs="Times New Roman"/>
          <w:lang w:val="en-GB" w:eastAsia="ja-JP"/>
        </w:rPr>
        <w:t xml:space="preserve">INFUSE </w:t>
      </w:r>
      <w:r w:rsidR="007B7C94">
        <w:rPr>
          <w:rFonts w:ascii="Times New Roman" w:hAnsi="Times New Roman" w:cs="Times New Roman"/>
          <w:lang w:val="en-GB" w:eastAsia="ja-JP"/>
        </w:rPr>
        <w:t>is intended to work</w:t>
      </w:r>
      <w:r w:rsidR="007B7C94" w:rsidRPr="00F84101">
        <w:rPr>
          <w:rFonts w:ascii="Times New Roman" w:hAnsi="Times New Roman" w:cs="Times New Roman"/>
          <w:lang w:val="en-GB" w:eastAsia="ja-JP"/>
        </w:rPr>
        <w:t xml:space="preserve"> </w:t>
      </w:r>
      <w:r w:rsidR="00EE32B2" w:rsidRPr="00F84101">
        <w:rPr>
          <w:rFonts w:ascii="Times New Roman" w:hAnsi="Times New Roman" w:cs="Times New Roman"/>
          <w:lang w:val="en-GB" w:eastAsia="ja-JP"/>
        </w:rPr>
        <w:t xml:space="preserve">at all levels of the financial sector to improve access to financial services, enhancing the enabling environment and business service support </w:t>
      </w:r>
      <w:r w:rsidR="00EE32B2" w:rsidRPr="00F84101">
        <w:rPr>
          <w:rFonts w:ascii="Times New Roman" w:hAnsi="Times New Roman" w:cs="Times New Roman"/>
          <w:lang w:val="en-GB" w:eastAsia="ja-JP"/>
        </w:rPr>
        <w:lastRenderedPageBreak/>
        <w:t>infrastructure</w:t>
      </w:r>
      <w:r w:rsidR="005B2119" w:rsidRPr="00F84101">
        <w:rPr>
          <w:rFonts w:ascii="Times New Roman" w:hAnsi="Times New Roman" w:cs="Times New Roman"/>
          <w:lang w:val="en-GB" w:eastAsia="ja-JP"/>
        </w:rPr>
        <w:t xml:space="preserve">; and </w:t>
      </w:r>
    </w:p>
    <w:p w:rsidR="008E04F4" w:rsidRPr="00F84101" w:rsidRDefault="008E04F4" w:rsidP="00A41867">
      <w:pPr>
        <w:pStyle w:val="Default"/>
        <w:numPr>
          <w:ilvl w:val="1"/>
          <w:numId w:val="23"/>
        </w:numPr>
        <w:jc w:val="both"/>
        <w:rPr>
          <w:rFonts w:ascii="Times New Roman" w:hAnsi="Times New Roman" w:cs="Times New Roman"/>
          <w:lang w:val="en-GB" w:eastAsia="ja-JP"/>
        </w:rPr>
      </w:pPr>
      <w:r w:rsidRPr="00F84101">
        <w:rPr>
          <w:rFonts w:ascii="Times New Roman" w:hAnsi="Times New Roman" w:cs="Times New Roman"/>
          <w:lang w:val="en-GB" w:eastAsia="ja-JP"/>
        </w:rPr>
        <w:t xml:space="preserve">At the time that </w:t>
      </w:r>
      <w:r w:rsidR="00E14751">
        <w:rPr>
          <w:rFonts w:ascii="Times New Roman" w:hAnsi="Times New Roman" w:cs="Times New Roman"/>
          <w:lang w:val="en-GB" w:eastAsia="ja-JP"/>
        </w:rPr>
        <w:t>p</w:t>
      </w:r>
      <w:r w:rsidRPr="00F84101">
        <w:rPr>
          <w:rFonts w:ascii="Times New Roman" w:hAnsi="Times New Roman" w:cs="Times New Roman"/>
          <w:lang w:val="en-GB" w:eastAsia="ja-JP"/>
        </w:rPr>
        <w:t xml:space="preserve">rogramme targets were established, INFUSE expected to work more closely with other FSPs in the future. </w:t>
      </w:r>
    </w:p>
    <w:p w:rsidR="00A41867" w:rsidRDefault="00A41867" w:rsidP="00A41867">
      <w:pPr>
        <w:pStyle w:val="Default"/>
        <w:jc w:val="both"/>
        <w:rPr>
          <w:rFonts w:ascii="Times New Roman" w:hAnsi="Times New Roman" w:cs="Times New Roman"/>
          <w:lang w:eastAsia="ja-JP"/>
        </w:rPr>
      </w:pPr>
    </w:p>
    <w:p w:rsidR="006B4115" w:rsidRPr="00F84101" w:rsidRDefault="00E8226A" w:rsidP="00E8492D">
      <w:pPr>
        <w:tabs>
          <w:tab w:val="left" w:pos="426"/>
        </w:tabs>
        <w:jc w:val="both"/>
        <w:rPr>
          <w:lang w:eastAsia="ja-JP"/>
        </w:rPr>
      </w:pPr>
      <w:r w:rsidRPr="00F84101">
        <w:t xml:space="preserve">The project document highlights </w:t>
      </w:r>
      <w:r w:rsidR="00E14751">
        <w:t xml:space="preserve">a </w:t>
      </w:r>
      <w:r w:rsidR="00763459">
        <w:t>cross-cutting issue of gender and requires</w:t>
      </w:r>
      <w:r w:rsidRPr="00F84101">
        <w:t xml:space="preserve"> that 50% of the clients ser</w:t>
      </w:r>
      <w:r w:rsidR="00763459">
        <w:t>ved by grantees should be women</w:t>
      </w:r>
      <w:r w:rsidRPr="00F84101">
        <w:t xml:space="preserve">.  </w:t>
      </w:r>
      <w:r w:rsidR="00763459">
        <w:t>As at the end of 2010, women comprised approximately 63% of clients at all FSPs engaged in provision of microfinance and approximately 92%</w:t>
      </w:r>
      <w:r w:rsidR="0025695C">
        <w:t xml:space="preserve"> </w:t>
      </w:r>
      <w:r w:rsidR="00763459">
        <w:t>of clients at the MFIs supported by INFUSE.</w:t>
      </w:r>
      <w:r w:rsidR="0025695C">
        <w:t xml:space="preserve"> </w:t>
      </w:r>
      <w:r w:rsidR="00763459">
        <w:t xml:space="preserve"> </w:t>
      </w:r>
      <w:r w:rsidR="00E8492D">
        <w:t>In addition, b</w:t>
      </w:r>
      <w:r w:rsidR="006B4115" w:rsidRPr="00F84101">
        <w:rPr>
          <w:lang w:eastAsia="ja-JP"/>
        </w:rPr>
        <w:t xml:space="preserve">oth MR and TRM were financially self sufficient as at the end of 2010, with PAR ratios below 5%. </w:t>
      </w:r>
    </w:p>
    <w:p w:rsidR="006B25D4" w:rsidRPr="00F84101" w:rsidRDefault="006B25D4" w:rsidP="006B25D4">
      <w:pPr>
        <w:pStyle w:val="Default"/>
        <w:tabs>
          <w:tab w:val="left" w:pos="1440"/>
          <w:tab w:val="num" w:pos="1620"/>
          <w:tab w:val="left" w:pos="2160"/>
        </w:tabs>
        <w:jc w:val="both"/>
        <w:rPr>
          <w:rFonts w:ascii="Times New Roman" w:hAnsi="Times New Roman" w:cs="Times New Roman"/>
          <w:lang w:val="en-GB"/>
        </w:rPr>
      </w:pPr>
    </w:p>
    <w:p w:rsidR="006B25D4" w:rsidRPr="00F84101" w:rsidRDefault="006B25D4" w:rsidP="006B25D4">
      <w:pPr>
        <w:pStyle w:val="Default"/>
        <w:pBdr>
          <w:top w:val="single" w:sz="4" w:space="1" w:color="auto"/>
          <w:left w:val="single" w:sz="4" w:space="4" w:color="auto"/>
          <w:bottom w:val="single" w:sz="4" w:space="1" w:color="auto"/>
          <w:right w:val="single" w:sz="4" w:space="4" w:color="auto"/>
        </w:pBdr>
        <w:shd w:val="clear" w:color="auto" w:fill="CCCCCC"/>
        <w:jc w:val="both"/>
        <w:rPr>
          <w:rFonts w:ascii="Times New Roman" w:hAnsi="Times New Roman" w:cs="Times New Roman"/>
          <w:lang w:val="en-GB" w:eastAsia="ja-JP"/>
        </w:rPr>
      </w:pPr>
    </w:p>
    <w:p w:rsidR="006B25D4" w:rsidRPr="00F84101" w:rsidRDefault="006B25D4" w:rsidP="006B25D4">
      <w:pPr>
        <w:pStyle w:val="Default"/>
        <w:pBdr>
          <w:top w:val="single" w:sz="4" w:space="1" w:color="auto"/>
          <w:left w:val="single" w:sz="4" w:space="4" w:color="auto"/>
          <w:bottom w:val="single" w:sz="4" w:space="1" w:color="auto"/>
          <w:right w:val="single" w:sz="4" w:space="4" w:color="auto"/>
        </w:pBdr>
        <w:shd w:val="clear" w:color="auto" w:fill="CCCCCC"/>
        <w:jc w:val="both"/>
        <w:rPr>
          <w:rFonts w:ascii="Times New Roman" w:hAnsi="Times New Roman" w:cs="Times New Roman"/>
          <w:b/>
          <w:lang w:val="en-GB" w:eastAsia="ja-JP"/>
        </w:rPr>
      </w:pPr>
      <w:r w:rsidRPr="00F84101">
        <w:rPr>
          <w:rFonts w:ascii="Times New Roman" w:hAnsi="Times New Roman" w:cs="Times New Roman"/>
          <w:b/>
          <w:lang w:val="en-GB"/>
        </w:rPr>
        <w:t>OUTPUT 3: PROMOTING A BUSINESS SERVICES INFRASTRUCTURE</w:t>
      </w:r>
    </w:p>
    <w:p w:rsidR="006B25D4" w:rsidRPr="00F84101" w:rsidRDefault="006B25D4" w:rsidP="006B25D4">
      <w:pPr>
        <w:pStyle w:val="Default"/>
        <w:pBdr>
          <w:top w:val="single" w:sz="4" w:space="1" w:color="auto"/>
          <w:left w:val="single" w:sz="4" w:space="4" w:color="auto"/>
          <w:bottom w:val="single" w:sz="4" w:space="1" w:color="auto"/>
          <w:right w:val="single" w:sz="4" w:space="4" w:color="auto"/>
        </w:pBdr>
        <w:shd w:val="clear" w:color="auto" w:fill="CCCCCC"/>
        <w:jc w:val="both"/>
        <w:rPr>
          <w:rFonts w:ascii="Times New Roman" w:hAnsi="Times New Roman" w:cs="Times New Roman"/>
          <w:b/>
          <w:lang w:val="en-GB" w:eastAsia="ja-JP"/>
        </w:rPr>
      </w:pPr>
    </w:p>
    <w:p w:rsidR="006B25D4" w:rsidRPr="00F84101" w:rsidRDefault="006B25D4" w:rsidP="006B25D4">
      <w:pPr>
        <w:pStyle w:val="Default"/>
        <w:jc w:val="both"/>
        <w:rPr>
          <w:rFonts w:ascii="Times New Roman" w:hAnsi="Times New Roman" w:cs="Times New Roman"/>
          <w:b/>
          <w:bCs/>
          <w:color w:val="auto"/>
          <w:lang w:val="en-GB" w:eastAsia="ja-JP"/>
        </w:rPr>
      </w:pPr>
    </w:p>
    <w:p w:rsidR="006B25D4" w:rsidRPr="00F84101" w:rsidRDefault="006B25D4" w:rsidP="006B25D4">
      <w:pPr>
        <w:pBdr>
          <w:top w:val="single" w:sz="4" w:space="1" w:color="auto"/>
          <w:left w:val="single" w:sz="4" w:space="4" w:color="auto"/>
          <w:bottom w:val="single" w:sz="4" w:space="1" w:color="auto"/>
          <w:right w:val="single" w:sz="4" w:space="4" w:color="auto"/>
        </w:pBdr>
        <w:shd w:val="clear" w:color="auto" w:fill="F3F3F3"/>
        <w:jc w:val="both"/>
        <w:rPr>
          <w:b/>
          <w:i/>
          <w:lang w:eastAsia="ja-JP"/>
        </w:rPr>
      </w:pPr>
    </w:p>
    <w:p w:rsidR="006B25D4" w:rsidRPr="00F84101" w:rsidRDefault="006B25D4" w:rsidP="006B25D4">
      <w:pPr>
        <w:pBdr>
          <w:top w:val="single" w:sz="4" w:space="1" w:color="auto"/>
          <w:left w:val="single" w:sz="4" w:space="4" w:color="auto"/>
          <w:bottom w:val="single" w:sz="4" w:space="1" w:color="auto"/>
          <w:right w:val="single" w:sz="4" w:space="4" w:color="auto"/>
        </w:pBdr>
        <w:shd w:val="clear" w:color="auto" w:fill="F3F3F3"/>
        <w:jc w:val="both"/>
        <w:rPr>
          <w:b/>
          <w:i/>
          <w:lang w:eastAsia="ja-JP"/>
        </w:rPr>
      </w:pPr>
      <w:r w:rsidRPr="00F84101">
        <w:rPr>
          <w:b/>
          <w:i/>
        </w:rPr>
        <w:t xml:space="preserve">Private and public business service providers offering high-quality and market-responsive services to the financial sector are available in Timor-Leste, and a professional microfinance association (AMFITIL) is effectively representing the industry in policy dialogues*. </w:t>
      </w:r>
    </w:p>
    <w:p w:rsidR="006B25D4" w:rsidRPr="00F84101" w:rsidRDefault="006B25D4" w:rsidP="006B25D4">
      <w:pPr>
        <w:pBdr>
          <w:top w:val="single" w:sz="4" w:space="1" w:color="auto"/>
          <w:left w:val="single" w:sz="4" w:space="4" w:color="auto"/>
          <w:bottom w:val="single" w:sz="4" w:space="1" w:color="auto"/>
          <w:right w:val="single" w:sz="4" w:space="4" w:color="auto"/>
        </w:pBdr>
        <w:shd w:val="clear" w:color="auto" w:fill="F3F3F3"/>
        <w:jc w:val="both"/>
        <w:rPr>
          <w:i/>
          <w:lang w:eastAsia="ja-JP"/>
        </w:rPr>
      </w:pPr>
    </w:p>
    <w:p w:rsidR="00FB2D3A" w:rsidRDefault="00FB2D3A" w:rsidP="00FB2D3A">
      <w:pPr>
        <w:pStyle w:val="BodyText"/>
        <w:tabs>
          <w:tab w:val="left" w:pos="360"/>
        </w:tabs>
        <w:jc w:val="both"/>
        <w:rPr>
          <w:rFonts w:ascii="Times New Roman" w:hAnsi="Times New Roman" w:cs="Times New Roman"/>
          <w:snapToGrid w:val="0"/>
          <w:sz w:val="24"/>
          <w:szCs w:val="24"/>
        </w:rPr>
      </w:pPr>
    </w:p>
    <w:p w:rsidR="00FB2D3A" w:rsidRPr="00F84101" w:rsidRDefault="00FB2D3A" w:rsidP="00FB2D3A">
      <w:pPr>
        <w:pStyle w:val="Default"/>
        <w:jc w:val="both"/>
        <w:rPr>
          <w:rFonts w:ascii="Times New Roman" w:hAnsi="Times New Roman" w:cs="Times New Roman"/>
        </w:rPr>
      </w:pPr>
      <w:r w:rsidRPr="00F84101">
        <w:rPr>
          <w:rFonts w:ascii="Times New Roman" w:hAnsi="Times New Roman" w:cs="Times New Roman"/>
          <w:lang w:val="en-GB" w:eastAsia="ja-JP"/>
        </w:rPr>
        <w:t>*</w:t>
      </w:r>
      <w:r w:rsidRPr="00F84101">
        <w:rPr>
          <w:rFonts w:ascii="Times New Roman" w:hAnsi="Times New Roman" w:cs="Times New Roman"/>
          <w:snapToGrid w:val="0"/>
        </w:rPr>
        <w:t xml:space="preserve">UNCDF completed the original INFUSE </w:t>
      </w:r>
      <w:r w:rsidR="00620C25" w:rsidRPr="00F84101">
        <w:rPr>
          <w:rFonts w:ascii="Times New Roman" w:hAnsi="Times New Roman" w:cs="Times New Roman"/>
          <w:snapToGrid w:val="0"/>
        </w:rPr>
        <w:t>program</w:t>
      </w:r>
      <w:r w:rsidRPr="00F84101">
        <w:rPr>
          <w:rFonts w:ascii="Times New Roman" w:hAnsi="Times New Roman" w:cs="Times New Roman"/>
          <w:snapToGrid w:val="0"/>
        </w:rPr>
        <w:t xml:space="preserve"> design in 2005 and revised the docume</w:t>
      </w:r>
      <w:r>
        <w:rPr>
          <w:rFonts w:ascii="Times New Roman" w:hAnsi="Times New Roman" w:cs="Times New Roman"/>
          <w:snapToGrid w:val="0"/>
        </w:rPr>
        <w:t xml:space="preserve">nt after the 2006 civil unrest, which caused the cessation of many microfinance institutions. As a result, </w:t>
      </w:r>
      <w:r w:rsidRPr="00F84101">
        <w:rPr>
          <w:rFonts w:ascii="Times New Roman" w:hAnsi="Times New Roman" w:cs="Times New Roman"/>
        </w:rPr>
        <w:t>AMFITIL has been inactive since 2007 and currently the few remaining members (4) have resisted any encouragement to re-activa</w:t>
      </w:r>
      <w:r>
        <w:rPr>
          <w:rFonts w:ascii="Times New Roman" w:hAnsi="Times New Roman" w:cs="Times New Roman"/>
        </w:rPr>
        <w:t>te the association at this time.</w:t>
      </w:r>
    </w:p>
    <w:p w:rsidR="00534138" w:rsidRPr="00FB2D3A" w:rsidRDefault="00534138" w:rsidP="00534138">
      <w:pPr>
        <w:pStyle w:val="Default"/>
        <w:jc w:val="both"/>
        <w:rPr>
          <w:rFonts w:ascii="Times New Roman" w:hAnsi="Times New Roman" w:cs="Times New Roman"/>
          <w:i/>
          <w:u w:val="single"/>
          <w:lang w:eastAsia="ja-JP"/>
        </w:rPr>
      </w:pPr>
    </w:p>
    <w:p w:rsidR="00534138" w:rsidRPr="00396A41" w:rsidRDefault="00534138" w:rsidP="00396A41">
      <w:pPr>
        <w:pStyle w:val="Heading2"/>
        <w:rPr>
          <w:b w:val="0"/>
          <w:bCs w:val="0"/>
          <w:i/>
          <w:iCs/>
          <w:sz w:val="24"/>
        </w:rPr>
      </w:pPr>
      <w:bookmarkStart w:id="36" w:name="_Toc288486052"/>
      <w:r w:rsidRPr="00396A41">
        <w:rPr>
          <w:b w:val="0"/>
          <w:bCs w:val="0"/>
          <w:i/>
          <w:iCs/>
          <w:sz w:val="24"/>
        </w:rPr>
        <w:t>The following key activities implemented in support of Output 3 from January – December 2010:</w:t>
      </w:r>
      <w:bookmarkEnd w:id="36"/>
    </w:p>
    <w:p w:rsidR="00DA2C2B" w:rsidRDefault="00DA2C2B" w:rsidP="00534138">
      <w:pPr>
        <w:pStyle w:val="Default"/>
        <w:jc w:val="both"/>
        <w:rPr>
          <w:rFonts w:ascii="Times New Roman" w:hAnsi="Times New Roman" w:cs="Times New Roman"/>
          <w:b/>
          <w:bCs/>
          <w:i/>
          <w:color w:val="auto"/>
          <w:lang w:val="en-GB" w:eastAsia="ja-JP"/>
        </w:rPr>
      </w:pPr>
    </w:p>
    <w:p w:rsidR="00DA2C2B" w:rsidRPr="002541D7" w:rsidRDefault="00DA2C2B" w:rsidP="00DA2C2B">
      <w:pPr>
        <w:pStyle w:val="Default"/>
        <w:jc w:val="both"/>
        <w:rPr>
          <w:rFonts w:ascii="Times New Roman" w:hAnsi="Times New Roman" w:cs="Times New Roman"/>
          <w:u w:val="single"/>
          <w:lang w:eastAsia="ja-JP"/>
        </w:rPr>
      </w:pPr>
      <w:r w:rsidRPr="002541D7">
        <w:rPr>
          <w:rFonts w:ascii="Times New Roman" w:hAnsi="Times New Roman" w:cs="Times New Roman"/>
          <w:u w:val="single"/>
          <w:lang w:eastAsia="ja-JP"/>
        </w:rPr>
        <w:t>MF/ Banking Certificate</w:t>
      </w:r>
      <w:r w:rsidR="00611502" w:rsidRPr="002541D7">
        <w:rPr>
          <w:rFonts w:ascii="Times New Roman" w:hAnsi="Times New Roman" w:cs="Times New Roman"/>
          <w:u w:val="single"/>
          <w:lang w:eastAsia="ja-JP"/>
        </w:rPr>
        <w:t xml:space="preserve"> for Human Resource Development </w:t>
      </w:r>
    </w:p>
    <w:p w:rsidR="00DA2C2B" w:rsidRPr="002541D7" w:rsidRDefault="005F3356" w:rsidP="00875343">
      <w:pPr>
        <w:numPr>
          <w:ilvl w:val="1"/>
          <w:numId w:val="18"/>
        </w:numPr>
        <w:tabs>
          <w:tab w:val="clear" w:pos="1440"/>
          <w:tab w:val="num" w:pos="360"/>
        </w:tabs>
        <w:autoSpaceDE w:val="0"/>
        <w:autoSpaceDN w:val="0"/>
        <w:adjustRightInd w:val="0"/>
        <w:ind w:left="360"/>
        <w:jc w:val="both"/>
      </w:pPr>
      <w:r w:rsidRPr="002541D7">
        <w:rPr>
          <w:bCs/>
        </w:rPr>
        <w:t xml:space="preserve">With the objective to </w:t>
      </w:r>
      <w:r w:rsidRPr="002541D7">
        <w:t xml:space="preserve">develop skilled human resources for the financial sector, INFUSE </w:t>
      </w:r>
      <w:r w:rsidR="00E14751">
        <w:t>entered into</w:t>
      </w:r>
      <w:r w:rsidR="006632C6" w:rsidRPr="002541D7">
        <w:t xml:space="preserve"> a partnership </w:t>
      </w:r>
      <w:r w:rsidR="00965D75" w:rsidRPr="002541D7">
        <w:t xml:space="preserve">with the National </w:t>
      </w:r>
      <w:r w:rsidR="00620C25" w:rsidRPr="002541D7">
        <w:t>Labor</w:t>
      </w:r>
      <w:r w:rsidR="00965D75" w:rsidRPr="002541D7">
        <w:t xml:space="preserve"> Force Development  Institute (INDMO</w:t>
      </w:r>
      <w:r w:rsidRPr="002541D7">
        <w:t xml:space="preserve"> is the Portuguese acronym</w:t>
      </w:r>
      <w:r w:rsidR="00965D75" w:rsidRPr="002541D7">
        <w:t xml:space="preserve">) </w:t>
      </w:r>
      <w:r w:rsidR="007C5772" w:rsidRPr="002541D7">
        <w:t xml:space="preserve">which is </w:t>
      </w:r>
      <w:r w:rsidR="003349C3" w:rsidRPr="002541D7">
        <w:rPr>
          <w:lang w:eastAsia="ja-JP"/>
        </w:rPr>
        <w:t>under the Secretary for Employment, Vocational and Professional Training (SEPFOPE)</w:t>
      </w:r>
      <w:r w:rsidR="007C5772" w:rsidRPr="002541D7">
        <w:rPr>
          <w:lang w:eastAsia="ja-JP"/>
        </w:rPr>
        <w:t>,</w:t>
      </w:r>
      <w:r w:rsidR="003349C3" w:rsidRPr="002541D7">
        <w:rPr>
          <w:lang w:eastAsia="ja-JP"/>
        </w:rPr>
        <w:t xml:space="preserve"> </w:t>
      </w:r>
      <w:r w:rsidR="006632C6" w:rsidRPr="002541D7">
        <w:t xml:space="preserve">and procured technical assistance to support them </w:t>
      </w:r>
      <w:r w:rsidR="00965D75" w:rsidRPr="002541D7">
        <w:t xml:space="preserve">to </w:t>
      </w:r>
      <w:r w:rsidRPr="002541D7">
        <w:t>develop a</w:t>
      </w:r>
      <w:r w:rsidR="00965D75" w:rsidRPr="002541D7">
        <w:t xml:space="preserve"> </w:t>
      </w:r>
      <w:r w:rsidRPr="002541D7">
        <w:t xml:space="preserve">standard </w:t>
      </w:r>
      <w:r w:rsidR="00965D75" w:rsidRPr="002541D7">
        <w:t>competencies framework for a MF/Banking Certificate</w:t>
      </w:r>
      <w:r w:rsidR="00E14751">
        <w:t>.</w:t>
      </w:r>
      <w:r w:rsidR="00DA2C2B" w:rsidRPr="002541D7">
        <w:t xml:space="preserve"> </w:t>
      </w:r>
    </w:p>
    <w:p w:rsidR="00DA2C2B" w:rsidRPr="002541D7" w:rsidRDefault="005F3356" w:rsidP="00875343">
      <w:pPr>
        <w:numPr>
          <w:ilvl w:val="1"/>
          <w:numId w:val="18"/>
        </w:numPr>
        <w:tabs>
          <w:tab w:val="clear" w:pos="1440"/>
          <w:tab w:val="num" w:pos="360"/>
        </w:tabs>
        <w:autoSpaceDE w:val="0"/>
        <w:autoSpaceDN w:val="0"/>
        <w:adjustRightInd w:val="0"/>
        <w:ind w:left="360"/>
        <w:jc w:val="both"/>
      </w:pPr>
      <w:r w:rsidRPr="002541D7">
        <w:t>Based on this framework, a t</w:t>
      </w:r>
      <w:r w:rsidR="00DA2C2B" w:rsidRPr="002541D7">
        <w:t xml:space="preserve">raining program </w:t>
      </w:r>
      <w:r w:rsidRPr="002541D7">
        <w:t>can be developed</w:t>
      </w:r>
      <w:r w:rsidR="00DA2C2B" w:rsidRPr="002541D7">
        <w:t xml:space="preserve"> to create a workforce that </w:t>
      </w:r>
      <w:r w:rsidR="00446B9D" w:rsidRPr="002541D7">
        <w:t xml:space="preserve">has a minimum level of education and skills to be entry-level staff at a bank or MFI, thereby ensuring basic capabilities and reducing </w:t>
      </w:r>
      <w:r w:rsidR="00DA2C2B" w:rsidRPr="002541D7">
        <w:rPr>
          <w:lang w:val="en-GB"/>
        </w:rPr>
        <w:t xml:space="preserve">the investments required by each </w:t>
      </w:r>
      <w:r w:rsidR="00446B9D" w:rsidRPr="002541D7">
        <w:rPr>
          <w:lang w:val="en-GB"/>
        </w:rPr>
        <w:t>FSP</w:t>
      </w:r>
      <w:r w:rsidR="00DA2C2B" w:rsidRPr="002541D7">
        <w:rPr>
          <w:lang w:val="en-GB"/>
        </w:rPr>
        <w:t xml:space="preserve"> to train their</w:t>
      </w:r>
      <w:r w:rsidR="006632C6" w:rsidRPr="002541D7">
        <w:rPr>
          <w:lang w:val="en-GB"/>
        </w:rPr>
        <w:t xml:space="preserve"> own</w:t>
      </w:r>
      <w:r w:rsidR="00DA2C2B" w:rsidRPr="002541D7">
        <w:rPr>
          <w:lang w:val="en-GB"/>
        </w:rPr>
        <w:t xml:space="preserve"> staff</w:t>
      </w:r>
      <w:r w:rsidR="00446B9D" w:rsidRPr="002541D7">
        <w:rPr>
          <w:lang w:val="en-GB"/>
        </w:rPr>
        <w:t xml:space="preserve">. </w:t>
      </w:r>
      <w:r w:rsidR="00DA2C2B" w:rsidRPr="002541D7">
        <w:rPr>
          <w:lang w:val="en-GB"/>
        </w:rPr>
        <w:t xml:space="preserve"> </w:t>
      </w:r>
    </w:p>
    <w:p w:rsidR="00DA2C2B" w:rsidRPr="002541D7" w:rsidRDefault="00E14751" w:rsidP="00875343">
      <w:pPr>
        <w:numPr>
          <w:ilvl w:val="1"/>
          <w:numId w:val="18"/>
        </w:numPr>
        <w:tabs>
          <w:tab w:val="clear" w:pos="1440"/>
          <w:tab w:val="num" w:pos="360"/>
        </w:tabs>
        <w:autoSpaceDE w:val="0"/>
        <w:autoSpaceDN w:val="0"/>
        <w:adjustRightInd w:val="0"/>
        <w:ind w:left="360"/>
        <w:jc w:val="both"/>
      </w:pPr>
      <w:r>
        <w:t>A hired</w:t>
      </w:r>
      <w:r w:rsidR="00965D75" w:rsidRPr="002541D7">
        <w:t xml:space="preserve"> consultant conducted a mission in TL in August </w:t>
      </w:r>
      <w:r w:rsidR="00E454F2" w:rsidRPr="002541D7">
        <w:t xml:space="preserve">to </w:t>
      </w:r>
      <w:r>
        <w:t>survey</w:t>
      </w:r>
      <w:r w:rsidR="00E454F2" w:rsidRPr="002541D7">
        <w:t xml:space="preserve"> industry stakeholders</w:t>
      </w:r>
      <w:r>
        <w:t xml:space="preserve"> on staffing requirements</w:t>
      </w:r>
      <w:r w:rsidR="00E454F2" w:rsidRPr="002541D7">
        <w:t xml:space="preserve">, </w:t>
      </w:r>
      <w:r w:rsidR="00965D75" w:rsidRPr="002541D7">
        <w:t xml:space="preserve">and submitted a </w:t>
      </w:r>
      <w:r>
        <w:t>framework</w:t>
      </w:r>
      <w:r w:rsidR="00965D75" w:rsidRPr="002541D7">
        <w:t xml:space="preserve"> of competencies in </w:t>
      </w:r>
      <w:r w:rsidR="00E454F2" w:rsidRPr="002541D7">
        <w:t xml:space="preserve">December which will be </w:t>
      </w:r>
      <w:r>
        <w:t>reviewed</w:t>
      </w:r>
      <w:r w:rsidR="00E454F2" w:rsidRPr="002541D7">
        <w:t xml:space="preserve"> and submitted for approval to the INDMO S</w:t>
      </w:r>
      <w:r w:rsidR="00965D75" w:rsidRPr="002541D7">
        <w:t>ub-</w:t>
      </w:r>
      <w:r w:rsidR="00E454F2" w:rsidRPr="002541D7">
        <w:t xml:space="preserve">Commission </w:t>
      </w:r>
      <w:r w:rsidR="00965D75" w:rsidRPr="002541D7">
        <w:t xml:space="preserve">for </w:t>
      </w:r>
      <w:r w:rsidR="00E454F2" w:rsidRPr="002541D7">
        <w:t xml:space="preserve">Administration </w:t>
      </w:r>
      <w:r w:rsidR="00965D75" w:rsidRPr="002541D7">
        <w:t xml:space="preserve">and </w:t>
      </w:r>
      <w:r w:rsidR="00E454F2" w:rsidRPr="002541D7">
        <w:t>Finance in early 2011</w:t>
      </w:r>
      <w:r w:rsidR="00DA2C2B" w:rsidRPr="002541D7">
        <w:t>.</w:t>
      </w:r>
    </w:p>
    <w:p w:rsidR="006632C6" w:rsidRPr="002541D7" w:rsidRDefault="006632C6" w:rsidP="00875343">
      <w:pPr>
        <w:numPr>
          <w:ilvl w:val="1"/>
          <w:numId w:val="18"/>
        </w:numPr>
        <w:tabs>
          <w:tab w:val="clear" w:pos="1440"/>
          <w:tab w:val="num" w:pos="360"/>
        </w:tabs>
        <w:autoSpaceDE w:val="0"/>
        <w:autoSpaceDN w:val="0"/>
        <w:adjustRightInd w:val="0"/>
        <w:ind w:left="360"/>
        <w:jc w:val="both"/>
      </w:pPr>
      <w:r w:rsidRPr="002541D7">
        <w:rPr>
          <w:lang w:val="en-GB"/>
        </w:rPr>
        <w:t xml:space="preserve">This is </w:t>
      </w:r>
      <w:r w:rsidR="00A940A7" w:rsidRPr="002541D7">
        <w:rPr>
          <w:lang w:val="en-GB"/>
        </w:rPr>
        <w:t>just</w:t>
      </w:r>
      <w:r w:rsidRPr="002541D7">
        <w:rPr>
          <w:lang w:val="en-GB"/>
        </w:rPr>
        <w:t xml:space="preserve"> the first step in a long term process to build a pool of qualified human resources to support the financial sector. The next steps include procuring technical services to collaborate with a local accredited training institute to develop a training curriculum and building </w:t>
      </w:r>
      <w:r w:rsidR="006D346D" w:rsidRPr="002541D7">
        <w:rPr>
          <w:lang w:val="en-GB"/>
        </w:rPr>
        <w:t xml:space="preserve">their </w:t>
      </w:r>
      <w:r w:rsidRPr="002541D7">
        <w:rPr>
          <w:lang w:val="en-GB"/>
        </w:rPr>
        <w:t xml:space="preserve">capacity to offer the training course.  </w:t>
      </w:r>
    </w:p>
    <w:p w:rsidR="00DA2C2B" w:rsidRPr="002541D7" w:rsidRDefault="00DA2C2B" w:rsidP="00DA2C2B">
      <w:pPr>
        <w:pStyle w:val="Default"/>
        <w:jc w:val="both"/>
        <w:rPr>
          <w:rFonts w:ascii="Times New Roman" w:hAnsi="Times New Roman" w:cs="Times New Roman"/>
          <w:lang w:eastAsia="ja-JP"/>
        </w:rPr>
      </w:pPr>
    </w:p>
    <w:p w:rsidR="00DA2C2B" w:rsidRPr="002541D7" w:rsidRDefault="00DA2C2B" w:rsidP="00DA2C2B">
      <w:pPr>
        <w:pStyle w:val="Default"/>
        <w:jc w:val="both"/>
        <w:rPr>
          <w:rFonts w:ascii="Times New Roman" w:hAnsi="Times New Roman" w:cs="Times New Roman"/>
          <w:u w:val="single"/>
        </w:rPr>
      </w:pPr>
      <w:r w:rsidRPr="002541D7">
        <w:rPr>
          <w:rFonts w:ascii="Times New Roman" w:hAnsi="Times New Roman" w:cs="Times New Roman"/>
          <w:u w:val="single"/>
          <w:lang w:eastAsia="ja-JP"/>
        </w:rPr>
        <w:t>Financial Education Programme</w:t>
      </w:r>
    </w:p>
    <w:p w:rsidR="004E0D0A" w:rsidRPr="009E411C" w:rsidRDefault="006D346D" w:rsidP="00875343">
      <w:pPr>
        <w:numPr>
          <w:ilvl w:val="1"/>
          <w:numId w:val="18"/>
        </w:numPr>
        <w:tabs>
          <w:tab w:val="clear" w:pos="1440"/>
          <w:tab w:val="num" w:pos="360"/>
        </w:tabs>
        <w:autoSpaceDE w:val="0"/>
        <w:autoSpaceDN w:val="0"/>
        <w:adjustRightInd w:val="0"/>
        <w:ind w:left="360"/>
        <w:jc w:val="both"/>
      </w:pPr>
      <w:r w:rsidRPr="002541D7">
        <w:rPr>
          <w:lang w:val="en-GB" w:eastAsia="ja-JP"/>
        </w:rPr>
        <w:lastRenderedPageBreak/>
        <w:t xml:space="preserve">With the objective to build the financial capabilities of MF clients, INFUSE embarked on the first step to developing a wider financial education programme.  In August a </w:t>
      </w:r>
      <w:r w:rsidR="006B25D4" w:rsidRPr="002541D7">
        <w:rPr>
          <w:lang w:val="en-GB" w:eastAsia="ja-JP"/>
        </w:rPr>
        <w:t xml:space="preserve">short-term consultant </w:t>
      </w:r>
      <w:r w:rsidR="008E3053" w:rsidRPr="002541D7">
        <w:rPr>
          <w:lang w:val="en-GB" w:eastAsia="ja-JP"/>
        </w:rPr>
        <w:t>was procured</w:t>
      </w:r>
      <w:r w:rsidR="00260760" w:rsidRPr="009E411C">
        <w:rPr>
          <w:lang w:val="en-GB" w:eastAsia="ja-JP"/>
        </w:rPr>
        <w:t xml:space="preserve"> </w:t>
      </w:r>
      <w:r w:rsidR="006B25D4" w:rsidRPr="009E411C">
        <w:rPr>
          <w:lang w:val="en-GB" w:eastAsia="ja-JP"/>
        </w:rPr>
        <w:t xml:space="preserve">to conduct an initial scoping and assessment of </w:t>
      </w:r>
      <w:r>
        <w:rPr>
          <w:lang w:val="en-GB" w:eastAsia="ja-JP"/>
        </w:rPr>
        <w:t xml:space="preserve">supply and demand for </w:t>
      </w:r>
      <w:r w:rsidR="006B25D4" w:rsidRPr="009E411C">
        <w:rPr>
          <w:lang w:val="en-GB" w:eastAsia="ja-JP"/>
        </w:rPr>
        <w:t xml:space="preserve">financial education </w:t>
      </w:r>
      <w:r>
        <w:rPr>
          <w:lang w:val="en-GB" w:eastAsia="ja-JP"/>
        </w:rPr>
        <w:t xml:space="preserve">including identification of the gaps, </w:t>
      </w:r>
      <w:r w:rsidR="006B25D4" w:rsidRPr="009E411C">
        <w:rPr>
          <w:lang w:val="en-GB" w:eastAsia="ja-JP"/>
        </w:rPr>
        <w:t>opportunitie</w:t>
      </w:r>
      <w:r>
        <w:rPr>
          <w:lang w:val="en-GB" w:eastAsia="ja-JP"/>
        </w:rPr>
        <w:t>s, and potential partners</w:t>
      </w:r>
      <w:r w:rsidR="006B25D4" w:rsidRPr="009E411C">
        <w:rPr>
          <w:lang w:val="en-GB" w:eastAsia="ja-JP"/>
        </w:rPr>
        <w:t xml:space="preserve"> </w:t>
      </w:r>
      <w:r w:rsidR="008E3053" w:rsidRPr="009E411C">
        <w:t>in TL</w:t>
      </w:r>
      <w:r>
        <w:t xml:space="preserve">.  The assessment was intended to inform the development of a Request for Proposals that would subsequently be issued to solicit proposals from </w:t>
      </w:r>
      <w:r w:rsidR="00795EAD">
        <w:t>TSPs</w:t>
      </w:r>
      <w:r>
        <w:t>.</w:t>
      </w:r>
    </w:p>
    <w:p w:rsidR="009826A3" w:rsidRDefault="006D346D" w:rsidP="00BB2E12">
      <w:pPr>
        <w:numPr>
          <w:ilvl w:val="1"/>
          <w:numId w:val="18"/>
        </w:numPr>
        <w:tabs>
          <w:tab w:val="clear" w:pos="1440"/>
          <w:tab w:val="num" w:pos="360"/>
        </w:tabs>
        <w:autoSpaceDE w:val="0"/>
        <w:autoSpaceDN w:val="0"/>
        <w:adjustRightInd w:val="0"/>
        <w:ind w:left="360"/>
        <w:jc w:val="both"/>
      </w:pPr>
      <w:r>
        <w:rPr>
          <w:lang w:val="en-GB" w:eastAsia="ja-JP"/>
        </w:rPr>
        <w:t>Upon</w:t>
      </w:r>
      <w:r w:rsidRPr="009E411C">
        <w:rPr>
          <w:lang w:val="en-GB" w:eastAsia="ja-JP"/>
        </w:rPr>
        <w:t xml:space="preserve"> </w:t>
      </w:r>
      <w:r w:rsidR="00116554">
        <w:rPr>
          <w:lang w:val="en-GB" w:eastAsia="ja-JP"/>
        </w:rPr>
        <w:t>completion of the mission, the consultant was only able to submit p</w:t>
      </w:r>
      <w:r w:rsidR="00E14751">
        <w:rPr>
          <w:lang w:val="en-GB" w:eastAsia="ja-JP"/>
        </w:rPr>
        <w:t xml:space="preserve">art of the </w:t>
      </w:r>
      <w:r w:rsidR="008E3053" w:rsidRPr="009E411C">
        <w:t>deliverables</w:t>
      </w:r>
      <w:r w:rsidR="00116554">
        <w:t>.  A</w:t>
      </w:r>
      <w:r>
        <w:t xml:space="preserve">fter </w:t>
      </w:r>
      <w:r w:rsidR="00116554">
        <w:t>many</w:t>
      </w:r>
      <w:r>
        <w:t xml:space="preserve"> </w:t>
      </w:r>
      <w:r w:rsidR="00116554">
        <w:t xml:space="preserve">discussions and </w:t>
      </w:r>
      <w:r>
        <w:t xml:space="preserve">requested revisions, INFUSE </w:t>
      </w:r>
      <w:r w:rsidR="00E14751">
        <w:t>accepted</w:t>
      </w:r>
      <w:r>
        <w:t xml:space="preserve"> the </w:t>
      </w:r>
      <w:r w:rsidR="0018095F">
        <w:t>final submission</w:t>
      </w:r>
      <w:r w:rsidR="00E14751">
        <w:t xml:space="preserve"> from the consultant though it was incomplete</w:t>
      </w:r>
      <w:r w:rsidR="00116554">
        <w:t>, and th</w:t>
      </w:r>
      <w:r w:rsidR="00E14751">
        <w:t xml:space="preserve">e consultant was </w:t>
      </w:r>
      <w:r w:rsidR="0018095F">
        <w:t xml:space="preserve">only </w:t>
      </w:r>
      <w:r w:rsidR="00E14751">
        <w:t xml:space="preserve">paid for </w:t>
      </w:r>
      <w:r w:rsidR="00116554">
        <w:t>work</w:t>
      </w:r>
      <w:r w:rsidR="0018095F">
        <w:t xml:space="preserve"> completed</w:t>
      </w:r>
      <w:r w:rsidR="00116554">
        <w:t>.  T</w:t>
      </w:r>
      <w:r w:rsidR="00E14751">
        <w:t>he final deliverables are insufficient</w:t>
      </w:r>
      <w:r>
        <w:t xml:space="preserve"> to be used</w:t>
      </w:r>
      <w:r w:rsidR="000E7B3C" w:rsidRPr="009E411C">
        <w:t xml:space="preserve"> </w:t>
      </w:r>
      <w:r w:rsidR="008E3053" w:rsidRPr="009E411C">
        <w:t>as originally planned</w:t>
      </w:r>
      <w:r w:rsidR="00116554">
        <w:t xml:space="preserve"> so a</w:t>
      </w:r>
      <w:r w:rsidR="00965D75" w:rsidRPr="009E411C">
        <w:t xml:space="preserve">lternative methods </w:t>
      </w:r>
      <w:r w:rsidR="00DA2C2B" w:rsidRPr="009E411C">
        <w:t xml:space="preserve">of establishing a long-term financial education program </w:t>
      </w:r>
      <w:r w:rsidR="00965D75" w:rsidRPr="009E411C">
        <w:t xml:space="preserve">will </w:t>
      </w:r>
      <w:r w:rsidR="00116554">
        <w:t xml:space="preserve">need to </w:t>
      </w:r>
      <w:r w:rsidR="00965D75" w:rsidRPr="009E411C">
        <w:t xml:space="preserve">be explored. </w:t>
      </w:r>
    </w:p>
    <w:p w:rsidR="00BB2E12" w:rsidRDefault="00BB2E12" w:rsidP="00BB2E12">
      <w:pPr>
        <w:autoSpaceDE w:val="0"/>
        <w:autoSpaceDN w:val="0"/>
        <w:adjustRightInd w:val="0"/>
        <w:jc w:val="both"/>
      </w:pPr>
    </w:p>
    <w:p w:rsidR="00BB2E12" w:rsidRPr="001E30F0" w:rsidRDefault="00BB2E12" w:rsidP="00BB2E12">
      <w:pPr>
        <w:pStyle w:val="BodyText"/>
        <w:jc w:val="both"/>
        <w:rPr>
          <w:rFonts w:ascii="Times New Roman" w:hAnsi="Times New Roman" w:cs="Times New Roman"/>
          <w:sz w:val="24"/>
          <w:szCs w:val="24"/>
          <w:u w:val="single"/>
        </w:rPr>
      </w:pPr>
      <w:r w:rsidRPr="001E30F0">
        <w:rPr>
          <w:rFonts w:ascii="Times New Roman" w:hAnsi="Times New Roman" w:cs="Times New Roman"/>
          <w:sz w:val="24"/>
          <w:szCs w:val="24"/>
          <w:u w:val="single"/>
        </w:rPr>
        <w:t>Challenges and Lessons Learned</w:t>
      </w:r>
    </w:p>
    <w:p w:rsidR="00BB2E12" w:rsidRPr="00683D31" w:rsidRDefault="00BB2E12" w:rsidP="00BB2E12">
      <w:pPr>
        <w:pStyle w:val="BodyText"/>
        <w:numPr>
          <w:ilvl w:val="0"/>
          <w:numId w:val="40"/>
        </w:numPr>
        <w:jc w:val="both"/>
        <w:rPr>
          <w:rFonts w:ascii="Times New Roman" w:hAnsi="Times New Roman" w:cs="Times New Roman"/>
          <w:snapToGrid w:val="0"/>
          <w:sz w:val="24"/>
          <w:szCs w:val="24"/>
        </w:rPr>
      </w:pPr>
      <w:r w:rsidRPr="00346559">
        <w:rPr>
          <w:rFonts w:ascii="Times New Roman" w:hAnsi="Times New Roman" w:cs="Times New Roman"/>
          <w:sz w:val="24"/>
          <w:szCs w:val="24"/>
          <w:lang w:eastAsia="ja-JP"/>
        </w:rPr>
        <w:t>At the administrative</w:t>
      </w:r>
      <w:r>
        <w:rPr>
          <w:rFonts w:ascii="Times New Roman" w:hAnsi="Times New Roman" w:cs="Times New Roman"/>
          <w:sz w:val="24"/>
          <w:szCs w:val="24"/>
          <w:lang w:eastAsia="ja-JP"/>
        </w:rPr>
        <w:t xml:space="preserve"> and</w:t>
      </w:r>
      <w:r w:rsidRPr="00346559">
        <w:rPr>
          <w:rFonts w:ascii="Times New Roman" w:hAnsi="Times New Roman" w:cs="Times New Roman"/>
          <w:sz w:val="24"/>
          <w:szCs w:val="24"/>
          <w:lang w:eastAsia="ja-JP"/>
        </w:rPr>
        <w:t xml:space="preserve"> operational </w:t>
      </w:r>
      <w:r>
        <w:rPr>
          <w:rFonts w:ascii="Times New Roman" w:hAnsi="Times New Roman" w:cs="Times New Roman"/>
          <w:sz w:val="24"/>
          <w:szCs w:val="24"/>
          <w:lang w:eastAsia="ja-JP"/>
        </w:rPr>
        <w:t xml:space="preserve">procedural levels, procurement of consultants was challenging as INFUSE requested deliverable based consultant contracts, though this is not common practice in TL-UNDP where contracts are typically based only on number of days worked.  This resulted in the need to re-issue one consultant contract, and difficulty to hold the other consultant accountable to specific deliverables.  Thus, payment disbursements to consultants also became delayed.  The overall affect is additional time required by technical staff on administrative procedures and delays in </w:t>
      </w:r>
      <w:r w:rsidR="00620C25">
        <w:rPr>
          <w:rFonts w:ascii="Times New Roman" w:hAnsi="Times New Roman" w:cs="Times New Roman"/>
          <w:sz w:val="24"/>
          <w:szCs w:val="24"/>
          <w:lang w:eastAsia="ja-JP"/>
        </w:rPr>
        <w:t>program</w:t>
      </w:r>
      <w:r>
        <w:rPr>
          <w:rFonts w:ascii="Times New Roman" w:hAnsi="Times New Roman" w:cs="Times New Roman"/>
          <w:sz w:val="24"/>
          <w:szCs w:val="24"/>
          <w:lang w:eastAsia="ja-JP"/>
        </w:rPr>
        <w:t xml:space="preserve"> implementation.  </w:t>
      </w:r>
    </w:p>
    <w:p w:rsidR="00BB2E12" w:rsidRPr="00683D31" w:rsidRDefault="00BB2E12" w:rsidP="00BB2E12">
      <w:pPr>
        <w:pStyle w:val="BodyText"/>
        <w:numPr>
          <w:ilvl w:val="0"/>
          <w:numId w:val="40"/>
        </w:numPr>
        <w:jc w:val="both"/>
        <w:rPr>
          <w:rFonts w:ascii="Times New Roman" w:hAnsi="Times New Roman" w:cs="Times New Roman"/>
          <w:snapToGrid w:val="0"/>
          <w:sz w:val="24"/>
          <w:szCs w:val="24"/>
        </w:rPr>
      </w:pPr>
      <w:r>
        <w:rPr>
          <w:rFonts w:ascii="Times New Roman" w:hAnsi="Times New Roman" w:cs="Times New Roman"/>
          <w:sz w:val="24"/>
          <w:szCs w:val="24"/>
          <w:lang w:eastAsia="ja-JP"/>
        </w:rPr>
        <w:t>Despite INFUSE team’s current understanding of the need for financial education and the lack of existing institutional partners at the national level with whom to collaborate, the financial education assessment was intended to document this supply and demand, and when the assessment fell short in this objective it resulted in postponement of the next steps.</w:t>
      </w:r>
      <w:r w:rsidR="0018095F">
        <w:rPr>
          <w:rFonts w:ascii="Times New Roman" w:hAnsi="Times New Roman" w:cs="Times New Roman"/>
          <w:sz w:val="24"/>
          <w:szCs w:val="24"/>
          <w:lang w:eastAsia="ja-JP"/>
        </w:rPr>
        <w:t xml:space="preserve">  It’s anticipated that </w:t>
      </w:r>
      <w:r w:rsidR="00795EAD">
        <w:rPr>
          <w:rFonts w:ascii="Times New Roman" w:hAnsi="Times New Roman" w:cs="Times New Roman"/>
          <w:sz w:val="24"/>
          <w:szCs w:val="24"/>
          <w:lang w:eastAsia="ja-JP"/>
        </w:rPr>
        <w:t xml:space="preserve">regional </w:t>
      </w:r>
      <w:r w:rsidR="0018095F">
        <w:rPr>
          <w:rFonts w:ascii="Times New Roman" w:hAnsi="Times New Roman" w:cs="Times New Roman"/>
          <w:sz w:val="24"/>
          <w:szCs w:val="24"/>
          <w:lang w:eastAsia="ja-JP"/>
        </w:rPr>
        <w:t xml:space="preserve">retainer consultants </w:t>
      </w:r>
      <w:r w:rsidR="00795EAD">
        <w:rPr>
          <w:rFonts w:ascii="Times New Roman" w:hAnsi="Times New Roman" w:cs="Times New Roman"/>
          <w:sz w:val="24"/>
          <w:szCs w:val="24"/>
          <w:lang w:eastAsia="ja-JP"/>
        </w:rPr>
        <w:t xml:space="preserve">for Inclusive Finance </w:t>
      </w:r>
      <w:r w:rsidR="0018095F">
        <w:rPr>
          <w:rFonts w:ascii="Times New Roman" w:hAnsi="Times New Roman" w:cs="Times New Roman"/>
          <w:sz w:val="24"/>
          <w:szCs w:val="24"/>
          <w:lang w:eastAsia="ja-JP"/>
        </w:rPr>
        <w:t xml:space="preserve">will be </w:t>
      </w:r>
      <w:r w:rsidR="00795EAD">
        <w:rPr>
          <w:rFonts w:ascii="Times New Roman" w:hAnsi="Times New Roman" w:cs="Times New Roman"/>
          <w:sz w:val="24"/>
          <w:szCs w:val="24"/>
          <w:lang w:eastAsia="ja-JP"/>
        </w:rPr>
        <w:t>permitted</w:t>
      </w:r>
      <w:r w:rsidR="0018095F">
        <w:rPr>
          <w:rFonts w:ascii="Times New Roman" w:hAnsi="Times New Roman" w:cs="Times New Roman"/>
          <w:sz w:val="24"/>
          <w:szCs w:val="24"/>
          <w:lang w:eastAsia="ja-JP"/>
        </w:rPr>
        <w:t xml:space="preserve"> in the next year.  This will benefit the program by ensuring high </w:t>
      </w:r>
      <w:proofErr w:type="gramStart"/>
      <w:r w:rsidR="0018095F">
        <w:rPr>
          <w:rFonts w:ascii="Times New Roman" w:hAnsi="Times New Roman" w:cs="Times New Roman"/>
          <w:sz w:val="24"/>
          <w:szCs w:val="24"/>
          <w:lang w:eastAsia="ja-JP"/>
        </w:rPr>
        <w:t>quality,</w:t>
      </w:r>
      <w:proofErr w:type="gramEnd"/>
      <w:r w:rsidR="0018095F">
        <w:rPr>
          <w:rFonts w:ascii="Times New Roman" w:hAnsi="Times New Roman" w:cs="Times New Roman"/>
          <w:sz w:val="24"/>
          <w:szCs w:val="24"/>
          <w:lang w:eastAsia="ja-JP"/>
        </w:rPr>
        <w:t xml:space="preserve"> recommended expertise can be more easily engaged.  </w:t>
      </w:r>
    </w:p>
    <w:p w:rsidR="006B25D4" w:rsidRPr="004E0D0A" w:rsidRDefault="006B25D4" w:rsidP="00BB2E12">
      <w:pPr>
        <w:pStyle w:val="Default"/>
        <w:tabs>
          <w:tab w:val="left" w:pos="1440"/>
          <w:tab w:val="num" w:pos="1620"/>
          <w:tab w:val="left" w:pos="2160"/>
        </w:tabs>
        <w:jc w:val="both"/>
        <w:rPr>
          <w:rFonts w:ascii="Times New Roman" w:hAnsi="Times New Roman" w:cs="Times New Roman"/>
        </w:rPr>
      </w:pPr>
    </w:p>
    <w:p w:rsidR="006B25D4" w:rsidRPr="00F84101" w:rsidRDefault="006B25D4" w:rsidP="00BB2E12">
      <w:pPr>
        <w:pStyle w:val="Default"/>
        <w:pBdr>
          <w:top w:val="single" w:sz="4" w:space="1" w:color="auto"/>
          <w:left w:val="single" w:sz="4" w:space="4" w:color="auto"/>
          <w:bottom w:val="single" w:sz="4" w:space="1" w:color="auto"/>
          <w:right w:val="single" w:sz="4" w:space="4" w:color="auto"/>
        </w:pBdr>
        <w:shd w:val="clear" w:color="auto" w:fill="CCCCCC"/>
        <w:jc w:val="both"/>
        <w:rPr>
          <w:rFonts w:ascii="Times New Roman" w:hAnsi="Times New Roman" w:cs="Times New Roman"/>
          <w:b/>
          <w:lang w:val="en-GB" w:eastAsia="ja-JP"/>
        </w:rPr>
      </w:pPr>
    </w:p>
    <w:p w:rsidR="006B25D4" w:rsidRPr="00F84101" w:rsidRDefault="006B25D4" w:rsidP="006B25D4">
      <w:pPr>
        <w:pStyle w:val="Default"/>
        <w:pBdr>
          <w:top w:val="single" w:sz="4" w:space="1" w:color="auto"/>
          <w:left w:val="single" w:sz="4" w:space="4" w:color="auto"/>
          <w:bottom w:val="single" w:sz="4" w:space="1" w:color="auto"/>
          <w:right w:val="single" w:sz="4" w:space="4" w:color="auto"/>
        </w:pBdr>
        <w:shd w:val="clear" w:color="auto" w:fill="CCCCCC"/>
        <w:jc w:val="both"/>
        <w:rPr>
          <w:rFonts w:ascii="Times New Roman" w:hAnsi="Times New Roman" w:cs="Times New Roman"/>
          <w:b/>
          <w:lang w:val="en-GB"/>
        </w:rPr>
      </w:pPr>
      <w:r w:rsidRPr="00F84101">
        <w:rPr>
          <w:rFonts w:ascii="Times New Roman" w:hAnsi="Times New Roman" w:cs="Times New Roman"/>
          <w:b/>
          <w:lang w:val="en-GB"/>
        </w:rPr>
        <w:t>ADDITIONAL ACTIVITIES</w:t>
      </w:r>
    </w:p>
    <w:p w:rsidR="006B25D4" w:rsidRPr="00F84101" w:rsidRDefault="006B25D4" w:rsidP="006B25D4">
      <w:pPr>
        <w:pStyle w:val="Default"/>
        <w:pBdr>
          <w:top w:val="single" w:sz="4" w:space="1" w:color="auto"/>
          <w:left w:val="single" w:sz="4" w:space="4" w:color="auto"/>
          <w:bottom w:val="single" w:sz="4" w:space="1" w:color="auto"/>
          <w:right w:val="single" w:sz="4" w:space="4" w:color="auto"/>
        </w:pBdr>
        <w:shd w:val="clear" w:color="auto" w:fill="CCCCCC"/>
        <w:jc w:val="both"/>
        <w:rPr>
          <w:rFonts w:ascii="Times New Roman" w:hAnsi="Times New Roman" w:cs="Times New Roman"/>
          <w:lang w:val="en-GB" w:eastAsia="ja-JP"/>
        </w:rPr>
      </w:pPr>
    </w:p>
    <w:p w:rsidR="004D6ECC" w:rsidRDefault="004D6ECC" w:rsidP="004D6ECC">
      <w:pPr>
        <w:pStyle w:val="BodyText"/>
        <w:widowControl w:val="0"/>
        <w:jc w:val="both"/>
        <w:rPr>
          <w:rFonts w:ascii="Times New Roman" w:hAnsi="Times New Roman" w:cs="Times New Roman"/>
          <w:sz w:val="24"/>
          <w:szCs w:val="24"/>
          <w:u w:val="single"/>
          <w:lang w:eastAsia="ja-JP"/>
        </w:rPr>
      </w:pPr>
    </w:p>
    <w:p w:rsidR="004D6ECC" w:rsidRPr="00611502" w:rsidRDefault="004D6ECC" w:rsidP="004D6ECC">
      <w:pPr>
        <w:pStyle w:val="BodyText"/>
        <w:widowControl w:val="0"/>
        <w:jc w:val="both"/>
        <w:rPr>
          <w:rFonts w:ascii="Times New Roman" w:hAnsi="Times New Roman" w:cs="Times New Roman"/>
          <w:sz w:val="24"/>
          <w:szCs w:val="24"/>
          <w:u w:val="single"/>
          <w:lang w:eastAsia="ja-JP"/>
        </w:rPr>
      </w:pPr>
      <w:r w:rsidRPr="00611502">
        <w:rPr>
          <w:rFonts w:ascii="Times New Roman" w:hAnsi="Times New Roman" w:cs="Times New Roman"/>
          <w:sz w:val="24"/>
          <w:szCs w:val="24"/>
          <w:u w:val="single"/>
          <w:lang w:eastAsia="ja-JP"/>
        </w:rPr>
        <w:t xml:space="preserve">Branchless </w:t>
      </w:r>
      <w:r>
        <w:rPr>
          <w:rFonts w:ascii="Times New Roman" w:hAnsi="Times New Roman" w:cs="Times New Roman"/>
          <w:sz w:val="24"/>
          <w:szCs w:val="24"/>
          <w:u w:val="single"/>
          <w:lang w:eastAsia="ja-JP"/>
        </w:rPr>
        <w:t>B</w:t>
      </w:r>
      <w:r w:rsidRPr="00611502">
        <w:rPr>
          <w:rFonts w:ascii="Times New Roman" w:hAnsi="Times New Roman" w:cs="Times New Roman"/>
          <w:sz w:val="24"/>
          <w:szCs w:val="24"/>
          <w:u w:val="single"/>
          <w:lang w:eastAsia="ja-JP"/>
        </w:rPr>
        <w:t>anking:</w:t>
      </w:r>
    </w:p>
    <w:p w:rsidR="004D6ECC" w:rsidRPr="00F84101" w:rsidRDefault="004D6ECC" w:rsidP="004D6ECC">
      <w:pPr>
        <w:pStyle w:val="BodyText"/>
        <w:widowControl w:val="0"/>
        <w:numPr>
          <w:ilvl w:val="2"/>
          <w:numId w:val="18"/>
        </w:numPr>
        <w:tabs>
          <w:tab w:val="clear" w:pos="2160"/>
          <w:tab w:val="num" w:pos="360"/>
        </w:tabs>
        <w:ind w:left="360"/>
        <w:jc w:val="both"/>
        <w:rPr>
          <w:rFonts w:ascii="Times New Roman" w:hAnsi="Times New Roman" w:cs="Times New Roman"/>
          <w:sz w:val="24"/>
          <w:szCs w:val="24"/>
          <w:lang w:eastAsia="ja-JP"/>
        </w:rPr>
      </w:pPr>
      <w:r>
        <w:rPr>
          <w:rFonts w:ascii="Times New Roman" w:hAnsi="Times New Roman" w:cs="Times New Roman"/>
          <w:sz w:val="24"/>
          <w:szCs w:val="24"/>
          <w:lang w:eastAsia="ja-JP"/>
        </w:rPr>
        <w:t>With the objective to support the development of innovations in access to fina</w:t>
      </w:r>
      <w:r w:rsidR="00116554">
        <w:rPr>
          <w:rFonts w:ascii="Times New Roman" w:hAnsi="Times New Roman" w:cs="Times New Roman"/>
          <w:sz w:val="24"/>
          <w:szCs w:val="24"/>
          <w:lang w:eastAsia="ja-JP"/>
        </w:rPr>
        <w:t xml:space="preserve">ncial services, INFUSE collaborated with </w:t>
      </w:r>
      <w:r>
        <w:rPr>
          <w:rFonts w:ascii="Times New Roman" w:hAnsi="Times New Roman" w:cs="Times New Roman"/>
          <w:sz w:val="24"/>
          <w:szCs w:val="24"/>
          <w:lang w:eastAsia="ja-JP"/>
        </w:rPr>
        <w:t xml:space="preserve">ADB’s consultant mission from </w:t>
      </w:r>
      <w:r w:rsidRPr="00F84101">
        <w:rPr>
          <w:rFonts w:ascii="Times New Roman" w:hAnsi="Times New Roman" w:cs="Times New Roman"/>
          <w:sz w:val="24"/>
          <w:szCs w:val="24"/>
          <w:lang w:eastAsia="ja-JP"/>
        </w:rPr>
        <w:t>Bankable Frontiers Associates</w:t>
      </w:r>
      <w:r>
        <w:rPr>
          <w:rFonts w:ascii="Times New Roman" w:hAnsi="Times New Roman" w:cs="Times New Roman"/>
          <w:sz w:val="24"/>
          <w:szCs w:val="24"/>
          <w:lang w:eastAsia="ja-JP"/>
        </w:rPr>
        <w:t xml:space="preserve"> in July</w:t>
      </w:r>
      <w:r w:rsidRPr="00F84101">
        <w:rPr>
          <w:rFonts w:ascii="Times New Roman" w:hAnsi="Times New Roman" w:cs="Times New Roman"/>
          <w:sz w:val="24"/>
          <w:szCs w:val="24"/>
          <w:lang w:eastAsia="ja-JP"/>
        </w:rPr>
        <w:t xml:space="preserve"> to </w:t>
      </w:r>
      <w:r>
        <w:rPr>
          <w:rFonts w:ascii="Times New Roman" w:hAnsi="Times New Roman" w:cs="Times New Roman"/>
          <w:sz w:val="24"/>
          <w:szCs w:val="24"/>
          <w:lang w:eastAsia="ja-JP"/>
        </w:rPr>
        <w:t>a</w:t>
      </w:r>
      <w:r w:rsidRPr="00F84101">
        <w:rPr>
          <w:rFonts w:ascii="Times New Roman" w:hAnsi="Times New Roman" w:cs="Times New Roman"/>
          <w:sz w:val="24"/>
          <w:szCs w:val="24"/>
          <w:lang w:eastAsia="ja-JP"/>
        </w:rPr>
        <w:t xml:space="preserve">) support </w:t>
      </w:r>
      <w:r>
        <w:rPr>
          <w:rFonts w:ascii="Times New Roman" w:hAnsi="Times New Roman" w:cs="Times New Roman"/>
          <w:sz w:val="24"/>
          <w:szCs w:val="24"/>
          <w:lang w:eastAsia="ja-JP"/>
        </w:rPr>
        <w:t xml:space="preserve">the </w:t>
      </w:r>
      <w:r w:rsidRPr="00F84101">
        <w:rPr>
          <w:rFonts w:ascii="Times New Roman" w:hAnsi="Times New Roman" w:cs="Times New Roman"/>
          <w:sz w:val="24"/>
          <w:szCs w:val="24"/>
          <w:lang w:eastAsia="ja-JP"/>
        </w:rPr>
        <w:t xml:space="preserve">BPA in development of branchless banking policy/regulation and </w:t>
      </w:r>
      <w:r>
        <w:rPr>
          <w:rFonts w:ascii="Times New Roman" w:hAnsi="Times New Roman" w:cs="Times New Roman"/>
          <w:sz w:val="24"/>
          <w:szCs w:val="24"/>
          <w:lang w:eastAsia="ja-JP"/>
        </w:rPr>
        <w:t>b</w:t>
      </w:r>
      <w:r w:rsidRPr="00F84101">
        <w:rPr>
          <w:rFonts w:ascii="Times New Roman" w:hAnsi="Times New Roman" w:cs="Times New Roman"/>
          <w:sz w:val="24"/>
          <w:szCs w:val="24"/>
          <w:lang w:eastAsia="ja-JP"/>
        </w:rPr>
        <w:t xml:space="preserve">) conduct research on potential for piloting Government to People (G2P) payments through innovative technologies.  </w:t>
      </w:r>
    </w:p>
    <w:p w:rsidR="004D6ECC" w:rsidRDefault="004D6ECC" w:rsidP="004D6ECC">
      <w:pPr>
        <w:autoSpaceDE w:val="0"/>
        <w:autoSpaceDN w:val="0"/>
        <w:adjustRightInd w:val="0"/>
        <w:jc w:val="both"/>
      </w:pPr>
    </w:p>
    <w:p w:rsidR="004D6ECC" w:rsidRPr="00090ACA" w:rsidRDefault="004D6ECC" w:rsidP="004D6ECC">
      <w:pPr>
        <w:pStyle w:val="Default"/>
        <w:jc w:val="both"/>
        <w:rPr>
          <w:rFonts w:ascii="Times New Roman" w:hAnsi="Times New Roman" w:cs="Times New Roman"/>
          <w:u w:val="single"/>
          <w:lang w:eastAsia="ja-JP"/>
        </w:rPr>
      </w:pPr>
      <w:r w:rsidRPr="00090ACA">
        <w:rPr>
          <w:rFonts w:ascii="Times New Roman" w:hAnsi="Times New Roman" w:cs="Times New Roman"/>
          <w:u w:val="single"/>
          <w:lang w:eastAsia="ja-JP"/>
        </w:rPr>
        <w:t>Cash Distribution</w:t>
      </w:r>
    </w:p>
    <w:p w:rsidR="004D6ECC" w:rsidRPr="00090ACA" w:rsidRDefault="004D6ECC" w:rsidP="004D6ECC">
      <w:pPr>
        <w:numPr>
          <w:ilvl w:val="1"/>
          <w:numId w:val="18"/>
        </w:numPr>
        <w:tabs>
          <w:tab w:val="clear" w:pos="1440"/>
          <w:tab w:val="num" w:pos="360"/>
        </w:tabs>
        <w:autoSpaceDE w:val="0"/>
        <w:autoSpaceDN w:val="0"/>
        <w:adjustRightInd w:val="0"/>
        <w:ind w:left="360"/>
        <w:jc w:val="both"/>
      </w:pPr>
      <w:r w:rsidRPr="00090ACA">
        <w:rPr>
          <w:lang w:val="en-GB" w:eastAsia="ja-JP"/>
        </w:rPr>
        <w:t xml:space="preserve">Based on stakeholder gap analysis in TL, </w:t>
      </w:r>
      <w:r w:rsidR="00116554">
        <w:rPr>
          <w:lang w:val="en-GB" w:eastAsia="ja-JP"/>
        </w:rPr>
        <w:t xml:space="preserve">the lack of a </w:t>
      </w:r>
      <w:r w:rsidRPr="00090ACA">
        <w:rPr>
          <w:lang w:val="en-GB" w:eastAsia="ja-JP"/>
        </w:rPr>
        <w:t xml:space="preserve">cash distribution network has been identified as a key obstacle for FSPs. In December, INFUSE hosted a three month intern who will conduct research on current gaps (costs and inefficiencies) and potential solutions.   </w:t>
      </w:r>
      <w:r w:rsidR="00B07344">
        <w:rPr>
          <w:lang w:val="en-GB" w:eastAsia="ja-JP"/>
        </w:rPr>
        <w:t>The report will be finalized in 2011.</w:t>
      </w:r>
    </w:p>
    <w:p w:rsidR="006B25D4" w:rsidRPr="00F84101" w:rsidRDefault="006B25D4" w:rsidP="006B25D4">
      <w:pPr>
        <w:pStyle w:val="Default"/>
        <w:jc w:val="both"/>
        <w:rPr>
          <w:rFonts w:ascii="Times New Roman" w:hAnsi="Times New Roman" w:cs="Times New Roman"/>
        </w:rPr>
      </w:pPr>
    </w:p>
    <w:p w:rsidR="004D6ECC" w:rsidRPr="002541D7" w:rsidRDefault="00396A41" w:rsidP="006B25D4">
      <w:pPr>
        <w:pStyle w:val="Default"/>
        <w:jc w:val="both"/>
        <w:rPr>
          <w:rFonts w:ascii="Times New Roman" w:hAnsi="Times New Roman" w:cs="Times New Roman"/>
          <w:u w:val="single"/>
        </w:rPr>
      </w:pPr>
      <w:r w:rsidRPr="002541D7">
        <w:rPr>
          <w:rFonts w:ascii="Times New Roman" w:hAnsi="Times New Roman" w:cs="Times New Roman"/>
          <w:u w:val="single"/>
        </w:rPr>
        <w:t>Knowledge</w:t>
      </w:r>
      <w:r w:rsidR="004D6ECC" w:rsidRPr="002541D7">
        <w:rPr>
          <w:rFonts w:ascii="Times New Roman" w:hAnsi="Times New Roman" w:cs="Times New Roman"/>
          <w:u w:val="single"/>
        </w:rPr>
        <w:t xml:space="preserve"> Sharing: </w:t>
      </w:r>
    </w:p>
    <w:p w:rsidR="006B25D4" w:rsidRPr="00F84101" w:rsidRDefault="004D6ECC" w:rsidP="006B25D4">
      <w:pPr>
        <w:pStyle w:val="Default"/>
        <w:jc w:val="both"/>
        <w:rPr>
          <w:rFonts w:ascii="Times New Roman" w:hAnsi="Times New Roman" w:cs="Times New Roman"/>
        </w:rPr>
      </w:pPr>
      <w:r>
        <w:rPr>
          <w:rFonts w:ascii="Times New Roman" w:hAnsi="Times New Roman" w:cs="Times New Roman"/>
        </w:rPr>
        <w:t>A few</w:t>
      </w:r>
      <w:r w:rsidRPr="00F84101">
        <w:rPr>
          <w:rFonts w:ascii="Times New Roman" w:hAnsi="Times New Roman" w:cs="Times New Roman"/>
        </w:rPr>
        <w:t xml:space="preserve"> </w:t>
      </w:r>
      <w:r w:rsidR="006B25D4" w:rsidRPr="00F84101">
        <w:rPr>
          <w:rFonts w:ascii="Times New Roman" w:hAnsi="Times New Roman" w:cs="Times New Roman"/>
        </w:rPr>
        <w:t>promotional and knowledge sharing activities took place over the reporting period</w:t>
      </w:r>
      <w:r w:rsidR="00A61562">
        <w:rPr>
          <w:rFonts w:ascii="Times New Roman" w:hAnsi="Times New Roman" w:cs="Times New Roman"/>
        </w:rPr>
        <w:t>,</w:t>
      </w:r>
      <w:r w:rsidR="006B25D4" w:rsidRPr="00F84101">
        <w:rPr>
          <w:rFonts w:ascii="Times New Roman" w:hAnsi="Times New Roman" w:cs="Times New Roman"/>
        </w:rPr>
        <w:t xml:space="preserve"> </w:t>
      </w:r>
      <w:r w:rsidR="006B25D4" w:rsidRPr="00F84101">
        <w:rPr>
          <w:rFonts w:ascii="Times New Roman" w:hAnsi="Times New Roman" w:cs="Times New Roman"/>
        </w:rPr>
        <w:lastRenderedPageBreak/>
        <w:t>including:</w:t>
      </w:r>
    </w:p>
    <w:p w:rsidR="00A61562" w:rsidRPr="00A61562" w:rsidRDefault="006B25D4" w:rsidP="006B25D4">
      <w:pPr>
        <w:pStyle w:val="CM6"/>
        <w:numPr>
          <w:ilvl w:val="0"/>
          <w:numId w:val="22"/>
        </w:numPr>
        <w:spacing w:line="240" w:lineRule="auto"/>
        <w:jc w:val="both"/>
        <w:rPr>
          <w:rFonts w:ascii="Times New Roman" w:hAnsi="Times New Roman" w:cs="Times New Roman"/>
          <w:lang w:val="en-GB" w:eastAsia="ja-JP"/>
        </w:rPr>
      </w:pPr>
      <w:r w:rsidRPr="00A61562">
        <w:rPr>
          <w:rFonts w:ascii="Times New Roman" w:hAnsi="Times New Roman" w:cs="Times New Roman"/>
          <w:lang w:val="en-GB" w:eastAsia="ja-JP"/>
        </w:rPr>
        <w:t xml:space="preserve">In collaboration with the Pacific Financial Inclusion Program (PFIP), INFUSE hosted an Informal Information Exchange in </w:t>
      </w:r>
      <w:r w:rsidR="004D6ECC">
        <w:rPr>
          <w:rFonts w:ascii="Times New Roman" w:hAnsi="Times New Roman" w:cs="Times New Roman"/>
          <w:lang w:val="en-GB" w:eastAsia="ja-JP"/>
        </w:rPr>
        <w:t xml:space="preserve">Dili in </w:t>
      </w:r>
      <w:r w:rsidRPr="00A61562">
        <w:rPr>
          <w:rFonts w:ascii="Times New Roman" w:hAnsi="Times New Roman" w:cs="Times New Roman"/>
          <w:lang w:val="en-GB" w:eastAsia="ja-JP"/>
        </w:rPr>
        <w:t xml:space="preserve">March on the “Fundamentals of Inclusive Finance” which was attended by 20 participant stakeholders. </w:t>
      </w:r>
    </w:p>
    <w:p w:rsidR="00A61562" w:rsidRPr="00A61562" w:rsidRDefault="006B25D4" w:rsidP="00A61562">
      <w:pPr>
        <w:pStyle w:val="CM6"/>
        <w:numPr>
          <w:ilvl w:val="0"/>
          <w:numId w:val="22"/>
        </w:numPr>
        <w:spacing w:line="240" w:lineRule="auto"/>
        <w:jc w:val="both"/>
        <w:rPr>
          <w:rFonts w:ascii="Times New Roman" w:hAnsi="Times New Roman" w:cs="Times New Roman"/>
        </w:rPr>
      </w:pPr>
      <w:r w:rsidRPr="00A61562">
        <w:rPr>
          <w:rFonts w:ascii="Times New Roman" w:hAnsi="Times New Roman" w:cs="Times New Roman"/>
          <w:lang w:val="en-GB" w:eastAsia="ja-JP"/>
        </w:rPr>
        <w:t xml:space="preserve">In conjunction with UNMIT Public Information Office, INFUSE produced </w:t>
      </w:r>
      <w:r w:rsidR="004D6ECC">
        <w:rPr>
          <w:rFonts w:ascii="Times New Roman" w:hAnsi="Times New Roman" w:cs="Times New Roman"/>
          <w:lang w:val="en-GB" w:eastAsia="ja-JP"/>
        </w:rPr>
        <w:t>two</w:t>
      </w:r>
      <w:r w:rsidR="004D6ECC" w:rsidRPr="00A61562">
        <w:rPr>
          <w:rFonts w:ascii="Times New Roman" w:hAnsi="Times New Roman" w:cs="Times New Roman"/>
          <w:lang w:val="en-GB" w:eastAsia="ja-JP"/>
        </w:rPr>
        <w:t xml:space="preserve"> </w:t>
      </w:r>
      <w:r w:rsidRPr="00A61562">
        <w:rPr>
          <w:rFonts w:ascii="Times New Roman" w:hAnsi="Times New Roman" w:cs="Times New Roman"/>
          <w:lang w:val="en-GB" w:eastAsia="ja-JP"/>
        </w:rPr>
        <w:t xml:space="preserve">films in Tetun </w:t>
      </w:r>
      <w:r w:rsidR="004D6ECC">
        <w:rPr>
          <w:rFonts w:ascii="Times New Roman" w:hAnsi="Times New Roman" w:cs="Times New Roman"/>
          <w:lang w:val="en-GB" w:eastAsia="ja-JP"/>
        </w:rPr>
        <w:t>(local language) to</w:t>
      </w:r>
      <w:r w:rsidRPr="00A61562">
        <w:rPr>
          <w:rFonts w:ascii="Times New Roman" w:hAnsi="Times New Roman" w:cs="Times New Roman"/>
          <w:lang w:val="en-GB" w:eastAsia="ja-JP"/>
        </w:rPr>
        <w:t xml:space="preserve"> broadcast on national television.  Both highlighted the work of one </w:t>
      </w:r>
      <w:r w:rsidR="00795EAD">
        <w:rPr>
          <w:rFonts w:ascii="Times New Roman" w:hAnsi="Times New Roman" w:cs="Times New Roman"/>
          <w:lang w:val="en-GB" w:eastAsia="ja-JP"/>
        </w:rPr>
        <w:t>MFI</w:t>
      </w:r>
      <w:r w:rsidRPr="00A61562">
        <w:rPr>
          <w:rFonts w:ascii="Times New Roman" w:hAnsi="Times New Roman" w:cs="Times New Roman"/>
          <w:lang w:val="en-GB" w:eastAsia="ja-JP"/>
        </w:rPr>
        <w:t xml:space="preserve"> in Liquica </w:t>
      </w:r>
      <w:r w:rsidR="00795EAD" w:rsidRPr="00A61562">
        <w:rPr>
          <w:rFonts w:ascii="Times New Roman" w:hAnsi="Times New Roman" w:cs="Times New Roman"/>
          <w:lang w:val="en-GB" w:eastAsia="ja-JP"/>
        </w:rPr>
        <w:t xml:space="preserve">district </w:t>
      </w:r>
      <w:r w:rsidR="00795EAD">
        <w:rPr>
          <w:rFonts w:ascii="Times New Roman" w:hAnsi="Times New Roman" w:cs="Times New Roman"/>
          <w:lang w:val="en-GB" w:eastAsia="ja-JP"/>
        </w:rPr>
        <w:t xml:space="preserve">on </w:t>
      </w:r>
      <w:r w:rsidRPr="00A61562">
        <w:rPr>
          <w:rFonts w:ascii="Times New Roman" w:hAnsi="Times New Roman" w:cs="Times New Roman"/>
          <w:lang w:val="en-GB" w:eastAsia="ja-JP"/>
        </w:rPr>
        <w:t xml:space="preserve">a client’s business and </w:t>
      </w:r>
      <w:r w:rsidR="004D6ECC">
        <w:rPr>
          <w:rFonts w:ascii="Times New Roman" w:hAnsi="Times New Roman" w:cs="Times New Roman"/>
          <w:lang w:val="en-GB" w:eastAsia="ja-JP"/>
        </w:rPr>
        <w:t>a</w:t>
      </w:r>
      <w:r w:rsidRPr="00A61562">
        <w:rPr>
          <w:rFonts w:ascii="Times New Roman" w:hAnsi="Times New Roman" w:cs="Times New Roman"/>
          <w:lang w:val="en-GB" w:eastAsia="ja-JP"/>
        </w:rPr>
        <w:t xml:space="preserve"> day in the life of a woman credit officer.</w:t>
      </w:r>
    </w:p>
    <w:p w:rsidR="006B25D4" w:rsidRDefault="006B25D4" w:rsidP="00A61562">
      <w:pPr>
        <w:pStyle w:val="CM6"/>
        <w:numPr>
          <w:ilvl w:val="0"/>
          <w:numId w:val="22"/>
        </w:numPr>
        <w:spacing w:line="240" w:lineRule="auto"/>
        <w:jc w:val="both"/>
        <w:rPr>
          <w:rFonts w:ascii="Times New Roman" w:hAnsi="Times New Roman" w:cs="Times New Roman"/>
        </w:rPr>
      </w:pPr>
      <w:r w:rsidRPr="00A61562">
        <w:rPr>
          <w:rFonts w:ascii="Times New Roman" w:hAnsi="Times New Roman" w:cs="Times New Roman"/>
        </w:rPr>
        <w:t xml:space="preserve">Promotional stories were developed in conjunction with the UNDP-TL media unit.  </w:t>
      </w:r>
    </w:p>
    <w:p w:rsidR="00304CE1" w:rsidRDefault="00304CE1" w:rsidP="00DE7117">
      <w:pPr>
        <w:pStyle w:val="Heading1"/>
        <w:rPr>
          <w:rFonts w:eastAsia="MS Mincho"/>
        </w:rPr>
      </w:pPr>
    </w:p>
    <w:p w:rsidR="00304CE1" w:rsidRPr="00F84101" w:rsidRDefault="00304CE1" w:rsidP="00DE7117">
      <w:pPr>
        <w:pStyle w:val="Heading1"/>
        <w:numPr>
          <w:ilvl w:val="0"/>
          <w:numId w:val="42"/>
        </w:numPr>
      </w:pPr>
      <w:bookmarkStart w:id="37" w:name="_Toc288468711"/>
      <w:bookmarkStart w:id="38" w:name="_Toc288486053"/>
      <w:r>
        <w:t xml:space="preserve">Lessons </w:t>
      </w:r>
      <w:r w:rsidRPr="00DE7117">
        <w:t>Learned</w:t>
      </w:r>
      <w:bookmarkEnd w:id="37"/>
      <w:bookmarkEnd w:id="38"/>
    </w:p>
    <w:p w:rsidR="00441C6F" w:rsidRPr="00F84101" w:rsidRDefault="00441C6F" w:rsidP="00304CE1">
      <w:pPr>
        <w:pStyle w:val="BodyText"/>
        <w:jc w:val="both"/>
        <w:rPr>
          <w:rFonts w:ascii="Times New Roman" w:hAnsi="Times New Roman" w:cs="Times New Roman"/>
          <w:b/>
          <w:bCs/>
          <w:sz w:val="24"/>
          <w:szCs w:val="24"/>
        </w:rPr>
      </w:pPr>
    </w:p>
    <w:p w:rsidR="004D6ECC" w:rsidRDefault="00441C6F" w:rsidP="00BB2E12">
      <w:pPr>
        <w:pStyle w:val="BodyText"/>
        <w:jc w:val="both"/>
        <w:rPr>
          <w:rFonts w:ascii="Times New Roman" w:hAnsi="Times New Roman" w:cs="Times New Roman"/>
          <w:sz w:val="24"/>
          <w:szCs w:val="24"/>
          <w:lang w:eastAsia="ja-JP"/>
        </w:rPr>
      </w:pPr>
      <w:r w:rsidRPr="00346559">
        <w:rPr>
          <w:rFonts w:ascii="Times New Roman" w:hAnsi="Times New Roman" w:cs="Times New Roman"/>
          <w:sz w:val="24"/>
          <w:szCs w:val="24"/>
          <w:lang w:eastAsia="ja-JP"/>
        </w:rPr>
        <w:t xml:space="preserve">Though INFUSE </w:t>
      </w:r>
      <w:r w:rsidR="004C11FF">
        <w:rPr>
          <w:rFonts w:ascii="Times New Roman" w:hAnsi="Times New Roman" w:cs="Times New Roman"/>
          <w:sz w:val="24"/>
          <w:szCs w:val="24"/>
          <w:lang w:eastAsia="ja-JP"/>
        </w:rPr>
        <w:t>encompassed</w:t>
      </w:r>
      <w:r w:rsidR="004D6ECC" w:rsidRPr="00346559">
        <w:rPr>
          <w:rFonts w:ascii="Times New Roman" w:hAnsi="Times New Roman" w:cs="Times New Roman"/>
          <w:sz w:val="24"/>
          <w:szCs w:val="24"/>
          <w:lang w:eastAsia="ja-JP"/>
        </w:rPr>
        <w:t xml:space="preserve"> </w:t>
      </w:r>
      <w:r w:rsidRPr="00346559">
        <w:rPr>
          <w:rFonts w:ascii="Times New Roman" w:hAnsi="Times New Roman" w:cs="Times New Roman"/>
          <w:sz w:val="24"/>
          <w:szCs w:val="24"/>
          <w:lang w:eastAsia="ja-JP"/>
        </w:rPr>
        <w:t>many activities and made progress t</w:t>
      </w:r>
      <w:r>
        <w:rPr>
          <w:rFonts w:ascii="Times New Roman" w:hAnsi="Times New Roman" w:cs="Times New Roman"/>
          <w:sz w:val="24"/>
          <w:szCs w:val="24"/>
          <w:lang w:eastAsia="ja-JP"/>
        </w:rPr>
        <w:t>owards o</w:t>
      </w:r>
      <w:r w:rsidRPr="00346559">
        <w:rPr>
          <w:rFonts w:ascii="Times New Roman" w:hAnsi="Times New Roman" w:cs="Times New Roman"/>
          <w:sz w:val="24"/>
          <w:szCs w:val="24"/>
          <w:lang w:eastAsia="ja-JP"/>
        </w:rPr>
        <w:t xml:space="preserve">utput targets during 2010, </w:t>
      </w:r>
      <w:r w:rsidR="004D6ECC">
        <w:rPr>
          <w:rFonts w:ascii="Times New Roman" w:hAnsi="Times New Roman" w:cs="Times New Roman"/>
          <w:sz w:val="24"/>
          <w:szCs w:val="24"/>
          <w:lang w:eastAsia="ja-JP"/>
        </w:rPr>
        <w:t xml:space="preserve">some </w:t>
      </w:r>
      <w:r w:rsidRPr="00346559">
        <w:rPr>
          <w:rFonts w:ascii="Times New Roman" w:hAnsi="Times New Roman" w:cs="Times New Roman"/>
          <w:sz w:val="24"/>
          <w:szCs w:val="24"/>
          <w:lang w:eastAsia="ja-JP"/>
        </w:rPr>
        <w:t xml:space="preserve">challenges </w:t>
      </w:r>
      <w:r w:rsidR="004D6ECC">
        <w:rPr>
          <w:rFonts w:ascii="Times New Roman" w:hAnsi="Times New Roman" w:cs="Times New Roman"/>
          <w:sz w:val="24"/>
          <w:szCs w:val="24"/>
          <w:lang w:eastAsia="ja-JP"/>
        </w:rPr>
        <w:t>were experienced</w:t>
      </w:r>
      <w:r w:rsidR="00BB2E12">
        <w:rPr>
          <w:rFonts w:ascii="Times New Roman" w:hAnsi="Times New Roman" w:cs="Times New Roman"/>
          <w:sz w:val="24"/>
          <w:szCs w:val="24"/>
          <w:lang w:eastAsia="ja-JP"/>
        </w:rPr>
        <w:t xml:space="preserve">, namely around budgeting, financial, operational and administrative procedures as described in the different sections above.  It is anticipated that these experiences will inform and facilitate future </w:t>
      </w:r>
      <w:r w:rsidR="00453487">
        <w:rPr>
          <w:rFonts w:ascii="Times New Roman" w:hAnsi="Times New Roman" w:cs="Times New Roman"/>
          <w:sz w:val="24"/>
          <w:szCs w:val="24"/>
          <w:lang w:eastAsia="ja-JP"/>
        </w:rPr>
        <w:t>procedures;</w:t>
      </w:r>
      <w:r w:rsidR="00BB2E12">
        <w:rPr>
          <w:rFonts w:ascii="Times New Roman" w:hAnsi="Times New Roman" w:cs="Times New Roman"/>
          <w:sz w:val="24"/>
          <w:szCs w:val="24"/>
          <w:lang w:eastAsia="ja-JP"/>
        </w:rPr>
        <w:t xml:space="preserve"> </w:t>
      </w:r>
      <w:r w:rsidR="009F6088">
        <w:rPr>
          <w:rFonts w:ascii="Times New Roman" w:hAnsi="Times New Roman" w:cs="Times New Roman"/>
          <w:sz w:val="24"/>
          <w:szCs w:val="24"/>
          <w:lang w:eastAsia="ja-JP"/>
        </w:rPr>
        <w:t>though</w:t>
      </w:r>
      <w:r w:rsidR="00BB2E12">
        <w:rPr>
          <w:rFonts w:ascii="Times New Roman" w:hAnsi="Times New Roman" w:cs="Times New Roman"/>
          <w:sz w:val="24"/>
          <w:szCs w:val="24"/>
          <w:lang w:eastAsia="ja-JP"/>
        </w:rPr>
        <w:t xml:space="preserve">, this </w:t>
      </w:r>
      <w:r w:rsidR="00453487">
        <w:rPr>
          <w:rFonts w:ascii="Times New Roman" w:hAnsi="Times New Roman" w:cs="Times New Roman"/>
          <w:sz w:val="24"/>
          <w:szCs w:val="24"/>
          <w:lang w:eastAsia="ja-JP"/>
        </w:rPr>
        <w:t xml:space="preserve">also </w:t>
      </w:r>
      <w:r w:rsidR="009F6088">
        <w:rPr>
          <w:rFonts w:ascii="Times New Roman" w:hAnsi="Times New Roman" w:cs="Times New Roman"/>
          <w:sz w:val="24"/>
          <w:szCs w:val="24"/>
          <w:lang w:eastAsia="ja-JP"/>
        </w:rPr>
        <w:t>depends</w:t>
      </w:r>
      <w:r w:rsidR="00BB2E12">
        <w:rPr>
          <w:rFonts w:ascii="Times New Roman" w:hAnsi="Times New Roman" w:cs="Times New Roman"/>
          <w:sz w:val="24"/>
          <w:szCs w:val="24"/>
          <w:lang w:eastAsia="ja-JP"/>
        </w:rPr>
        <w:t xml:space="preserve"> on </w:t>
      </w:r>
      <w:r w:rsidR="0018095F">
        <w:rPr>
          <w:rFonts w:ascii="Times New Roman" w:hAnsi="Times New Roman" w:cs="Times New Roman"/>
          <w:sz w:val="24"/>
          <w:szCs w:val="24"/>
          <w:lang w:eastAsia="ja-JP"/>
        </w:rPr>
        <w:t>attention and assistance</w:t>
      </w:r>
      <w:r w:rsidR="00BB2E12">
        <w:rPr>
          <w:rFonts w:ascii="Times New Roman" w:hAnsi="Times New Roman" w:cs="Times New Roman"/>
          <w:sz w:val="24"/>
          <w:szCs w:val="24"/>
          <w:lang w:eastAsia="ja-JP"/>
        </w:rPr>
        <w:t xml:space="preserve"> from many different units and staff, not just the INFUSE PIU.  </w:t>
      </w:r>
    </w:p>
    <w:p w:rsidR="00BB2E12" w:rsidRPr="004D6ECC" w:rsidRDefault="00BB2E12" w:rsidP="00BB2E12">
      <w:pPr>
        <w:pStyle w:val="BodyText"/>
        <w:jc w:val="both"/>
        <w:rPr>
          <w:rFonts w:ascii="Times New Roman" w:hAnsi="Times New Roman" w:cs="Times New Roman"/>
          <w:snapToGrid w:val="0"/>
          <w:sz w:val="24"/>
          <w:szCs w:val="24"/>
        </w:rPr>
      </w:pPr>
    </w:p>
    <w:p w:rsidR="00304CE1" w:rsidRPr="00F84101" w:rsidRDefault="00304CE1" w:rsidP="00DE7117">
      <w:pPr>
        <w:pStyle w:val="Heading1"/>
        <w:numPr>
          <w:ilvl w:val="0"/>
          <w:numId w:val="42"/>
        </w:numPr>
      </w:pPr>
      <w:bookmarkStart w:id="39" w:name="_Toc288468712"/>
      <w:bookmarkStart w:id="40" w:name="_Toc288486054"/>
      <w:r>
        <w:t xml:space="preserve">Work </w:t>
      </w:r>
      <w:r w:rsidRPr="00DE7117">
        <w:t>Plan</w:t>
      </w:r>
      <w:r>
        <w:t xml:space="preserve"> 2011</w:t>
      </w:r>
      <w:bookmarkEnd w:id="39"/>
      <w:bookmarkEnd w:id="40"/>
    </w:p>
    <w:p w:rsidR="006B25D4" w:rsidRPr="00F84101" w:rsidRDefault="006B25D4" w:rsidP="006B25D4">
      <w:pPr>
        <w:pStyle w:val="BodyText"/>
        <w:rPr>
          <w:rFonts w:ascii="Times New Roman" w:hAnsi="Times New Roman" w:cs="Times New Roman"/>
          <w:sz w:val="24"/>
          <w:szCs w:val="24"/>
          <w:lang w:eastAsia="ja-JP"/>
        </w:rPr>
      </w:pPr>
    </w:p>
    <w:p w:rsidR="006B25D4" w:rsidRPr="002541D7" w:rsidRDefault="00F4300F" w:rsidP="006B25D4">
      <w:pPr>
        <w:pStyle w:val="BodyText"/>
        <w:rPr>
          <w:rFonts w:ascii="Times New Roman" w:hAnsi="Times New Roman" w:cs="Times New Roman"/>
          <w:i/>
          <w:sz w:val="24"/>
          <w:szCs w:val="24"/>
          <w:lang w:eastAsia="ja-JP"/>
        </w:rPr>
      </w:pPr>
      <w:r w:rsidRPr="002541D7">
        <w:rPr>
          <w:rFonts w:ascii="Times New Roman" w:hAnsi="Times New Roman" w:cs="Times New Roman"/>
          <w:i/>
          <w:sz w:val="24"/>
          <w:szCs w:val="24"/>
          <w:lang w:eastAsia="ja-JP"/>
        </w:rPr>
        <w:t>In 2011</w:t>
      </w:r>
      <w:r w:rsidR="006B25D4" w:rsidRPr="002541D7">
        <w:rPr>
          <w:rFonts w:ascii="Times New Roman" w:hAnsi="Times New Roman" w:cs="Times New Roman"/>
          <w:i/>
          <w:sz w:val="24"/>
          <w:szCs w:val="24"/>
          <w:lang w:eastAsia="ja-JP"/>
        </w:rPr>
        <w:t>, the following activities are planned under each of the following Outputs</w:t>
      </w:r>
      <w:r w:rsidR="00872A76">
        <w:rPr>
          <w:rFonts w:ascii="Times New Roman" w:hAnsi="Times New Roman" w:cs="Times New Roman"/>
          <w:i/>
          <w:sz w:val="24"/>
          <w:szCs w:val="24"/>
          <w:lang w:eastAsia="ja-JP"/>
        </w:rPr>
        <w:t xml:space="preserve"> and will be approved by the MCIF in the next meeting</w:t>
      </w:r>
      <w:r w:rsidR="006B25D4" w:rsidRPr="002541D7">
        <w:rPr>
          <w:rFonts w:ascii="Times New Roman" w:hAnsi="Times New Roman" w:cs="Times New Roman"/>
          <w:i/>
          <w:sz w:val="24"/>
          <w:szCs w:val="24"/>
          <w:lang w:eastAsia="ja-JP"/>
        </w:rPr>
        <w:t>:</w:t>
      </w:r>
    </w:p>
    <w:p w:rsidR="006B25D4" w:rsidRPr="00F84101" w:rsidRDefault="006B25D4" w:rsidP="006B25D4">
      <w:pPr>
        <w:pStyle w:val="BodyText"/>
        <w:rPr>
          <w:rFonts w:ascii="Times New Roman" w:hAnsi="Times New Roman" w:cs="Times New Roman"/>
          <w:sz w:val="24"/>
          <w:szCs w:val="24"/>
          <w:lang w:eastAsia="ja-JP"/>
        </w:rPr>
      </w:pPr>
    </w:p>
    <w:p w:rsidR="006B25D4" w:rsidRPr="00F84101" w:rsidRDefault="006B25D4" w:rsidP="006B25D4">
      <w:pPr>
        <w:pBdr>
          <w:top w:val="single" w:sz="4" w:space="1" w:color="auto"/>
          <w:left w:val="single" w:sz="4" w:space="4" w:color="auto"/>
          <w:bottom w:val="single" w:sz="4" w:space="1" w:color="auto"/>
          <w:right w:val="single" w:sz="4" w:space="4" w:color="auto"/>
        </w:pBdr>
        <w:shd w:val="clear" w:color="auto" w:fill="CCCCCC"/>
        <w:jc w:val="both"/>
        <w:rPr>
          <w:b/>
          <w:caps/>
          <w:lang w:eastAsia="ja-JP"/>
        </w:rPr>
      </w:pPr>
      <w:r w:rsidRPr="00F84101">
        <w:rPr>
          <w:b/>
          <w:bCs/>
        </w:rPr>
        <w:t xml:space="preserve">OUTPUT 1: </w:t>
      </w:r>
      <w:r w:rsidRPr="00F84101">
        <w:rPr>
          <w:b/>
          <w:caps/>
        </w:rPr>
        <w:t>ACHIEVING A POLICY</w:t>
      </w:r>
      <w:r w:rsidRPr="00F84101">
        <w:rPr>
          <w:b/>
          <w:caps/>
          <w:lang w:eastAsia="ja-JP"/>
        </w:rPr>
        <w:t xml:space="preserve"> </w:t>
      </w:r>
      <w:r w:rsidRPr="00F84101">
        <w:rPr>
          <w:b/>
          <w:caps/>
        </w:rPr>
        <w:t>/</w:t>
      </w:r>
      <w:r w:rsidRPr="00F84101">
        <w:rPr>
          <w:b/>
          <w:caps/>
          <w:lang w:eastAsia="ja-JP"/>
        </w:rPr>
        <w:t xml:space="preserve"> </w:t>
      </w:r>
      <w:r w:rsidRPr="00F84101">
        <w:rPr>
          <w:b/>
          <w:caps/>
        </w:rPr>
        <w:t>VISION STATEMENT</w:t>
      </w:r>
      <w:r w:rsidRPr="00F84101">
        <w:rPr>
          <w:b/>
          <w:caps/>
          <w:lang w:eastAsia="ja-JP"/>
        </w:rPr>
        <w:t xml:space="preserve"> </w:t>
      </w:r>
    </w:p>
    <w:p w:rsidR="006B25D4" w:rsidRPr="00F84101" w:rsidRDefault="006B25D4" w:rsidP="006B25D4">
      <w:pPr>
        <w:pStyle w:val="BodyText"/>
        <w:rPr>
          <w:rFonts w:ascii="Times New Roman" w:hAnsi="Times New Roman" w:cs="Times New Roman"/>
          <w:sz w:val="24"/>
          <w:szCs w:val="24"/>
          <w:lang w:eastAsia="ja-JP"/>
        </w:rPr>
      </w:pPr>
    </w:p>
    <w:p w:rsidR="0023039F" w:rsidRPr="0023039F" w:rsidRDefault="0023039F" w:rsidP="00875343">
      <w:pPr>
        <w:pStyle w:val="BodyText"/>
        <w:numPr>
          <w:ilvl w:val="0"/>
          <w:numId w:val="19"/>
        </w:numPr>
        <w:tabs>
          <w:tab w:val="clear" w:pos="720"/>
          <w:tab w:val="num" w:pos="360"/>
        </w:tabs>
        <w:ind w:left="360"/>
        <w:jc w:val="both"/>
        <w:rPr>
          <w:rFonts w:ascii="Times New Roman" w:hAnsi="Times New Roman" w:cs="Times New Roman"/>
          <w:sz w:val="24"/>
          <w:szCs w:val="24"/>
        </w:rPr>
      </w:pPr>
      <w:r w:rsidRPr="0023039F">
        <w:rPr>
          <w:rFonts w:ascii="Times New Roman" w:hAnsi="Times New Roman" w:cs="Times New Roman"/>
          <w:sz w:val="24"/>
          <w:szCs w:val="24"/>
          <w:lang w:eastAsia="ja-JP"/>
        </w:rPr>
        <w:t xml:space="preserve">INFUSE will sponsor </w:t>
      </w:r>
      <w:r w:rsidR="00B469D1">
        <w:rPr>
          <w:rFonts w:ascii="Times New Roman" w:hAnsi="Times New Roman" w:cs="Times New Roman"/>
          <w:sz w:val="24"/>
          <w:szCs w:val="24"/>
          <w:lang w:eastAsia="ja-JP"/>
        </w:rPr>
        <w:t>two</w:t>
      </w:r>
      <w:r w:rsidR="00B469D1" w:rsidRPr="0023039F">
        <w:rPr>
          <w:rFonts w:ascii="Times New Roman" w:hAnsi="Times New Roman" w:cs="Times New Roman"/>
          <w:sz w:val="24"/>
          <w:szCs w:val="24"/>
          <w:lang w:eastAsia="ja-JP"/>
        </w:rPr>
        <w:t xml:space="preserve"> </w:t>
      </w:r>
      <w:r w:rsidRPr="0023039F">
        <w:rPr>
          <w:rFonts w:ascii="Times New Roman" w:hAnsi="Times New Roman" w:cs="Times New Roman"/>
          <w:sz w:val="24"/>
          <w:szCs w:val="24"/>
          <w:lang w:eastAsia="ja-JP"/>
        </w:rPr>
        <w:t xml:space="preserve">staff members of the BPA to attend a </w:t>
      </w:r>
      <w:r w:rsidR="00B469D1">
        <w:rPr>
          <w:rFonts w:ascii="Times New Roman" w:hAnsi="Times New Roman" w:cs="Times New Roman"/>
          <w:sz w:val="24"/>
          <w:szCs w:val="24"/>
          <w:lang w:eastAsia="ja-JP"/>
        </w:rPr>
        <w:t xml:space="preserve">Pacific </w:t>
      </w:r>
      <w:r w:rsidRPr="0023039F">
        <w:rPr>
          <w:rFonts w:ascii="Times New Roman" w:hAnsi="Times New Roman" w:cs="Times New Roman"/>
          <w:sz w:val="24"/>
          <w:szCs w:val="24"/>
          <w:lang w:eastAsia="ja-JP"/>
        </w:rPr>
        <w:t xml:space="preserve">Regional </w:t>
      </w:r>
      <w:r w:rsidRPr="0023039F">
        <w:rPr>
          <w:rFonts w:ascii="Times New Roman" w:hAnsi="Times New Roman" w:cs="Times New Roman"/>
          <w:sz w:val="24"/>
          <w:szCs w:val="24"/>
        </w:rPr>
        <w:t xml:space="preserve">Training for </w:t>
      </w:r>
      <w:r w:rsidR="00B469D1">
        <w:rPr>
          <w:rFonts w:ascii="Times New Roman" w:hAnsi="Times New Roman" w:cs="Times New Roman"/>
          <w:sz w:val="24"/>
          <w:szCs w:val="24"/>
        </w:rPr>
        <w:t>S</w:t>
      </w:r>
      <w:r w:rsidR="00B469D1" w:rsidRPr="0023039F">
        <w:rPr>
          <w:rFonts w:ascii="Times New Roman" w:hAnsi="Times New Roman" w:cs="Times New Roman"/>
          <w:sz w:val="24"/>
          <w:szCs w:val="24"/>
        </w:rPr>
        <w:t>upervi</w:t>
      </w:r>
      <w:r w:rsidR="00B469D1">
        <w:rPr>
          <w:rFonts w:ascii="Times New Roman" w:hAnsi="Times New Roman" w:cs="Times New Roman"/>
          <w:sz w:val="24"/>
          <w:szCs w:val="24"/>
        </w:rPr>
        <w:t xml:space="preserve">sion of MFIs organized by Alliance for Financial Inclusion (AFI) </w:t>
      </w:r>
      <w:r w:rsidRPr="0023039F">
        <w:rPr>
          <w:rFonts w:ascii="Times New Roman" w:hAnsi="Times New Roman" w:cs="Times New Roman"/>
          <w:sz w:val="24"/>
          <w:szCs w:val="24"/>
          <w:lang w:eastAsia="ja-JP"/>
        </w:rPr>
        <w:t xml:space="preserve">in April in Fiji </w:t>
      </w:r>
      <w:r w:rsidRPr="0023039F">
        <w:rPr>
          <w:rFonts w:ascii="Times New Roman" w:hAnsi="Times New Roman" w:cs="Times New Roman"/>
          <w:sz w:val="24"/>
          <w:szCs w:val="24"/>
        </w:rPr>
        <w:t>(as an initial step to more tailored training directly with the BPA)</w:t>
      </w:r>
      <w:r>
        <w:rPr>
          <w:rFonts w:ascii="Times New Roman" w:hAnsi="Times New Roman" w:cs="Times New Roman"/>
          <w:sz w:val="24"/>
          <w:szCs w:val="24"/>
        </w:rPr>
        <w:t>.</w:t>
      </w:r>
    </w:p>
    <w:p w:rsidR="0023039F" w:rsidRPr="007505B1" w:rsidRDefault="007505B1" w:rsidP="00875343">
      <w:pPr>
        <w:pStyle w:val="BodyText"/>
        <w:numPr>
          <w:ilvl w:val="0"/>
          <w:numId w:val="19"/>
        </w:numPr>
        <w:tabs>
          <w:tab w:val="clear" w:pos="720"/>
          <w:tab w:val="num" w:pos="360"/>
        </w:tabs>
        <w:ind w:left="360"/>
        <w:jc w:val="both"/>
        <w:rPr>
          <w:rFonts w:ascii="Times New Roman" w:hAnsi="Times New Roman" w:cs="Times New Roman"/>
          <w:sz w:val="24"/>
          <w:szCs w:val="24"/>
          <w:lang w:eastAsia="ja-JP"/>
        </w:rPr>
      </w:pPr>
      <w:r w:rsidRPr="007505B1">
        <w:rPr>
          <w:rFonts w:ascii="Times New Roman" w:hAnsi="Times New Roman" w:cs="Times New Roman"/>
          <w:sz w:val="24"/>
          <w:szCs w:val="24"/>
        </w:rPr>
        <w:t>INFUSE will pro</w:t>
      </w:r>
      <w:r w:rsidR="0023039F">
        <w:rPr>
          <w:rFonts w:ascii="Times New Roman" w:hAnsi="Times New Roman" w:cs="Times New Roman"/>
          <w:sz w:val="24"/>
          <w:szCs w:val="24"/>
        </w:rPr>
        <w:t xml:space="preserve">cure </w:t>
      </w:r>
      <w:r w:rsidR="00B469D1">
        <w:rPr>
          <w:rFonts w:ascii="Times New Roman" w:hAnsi="Times New Roman" w:cs="Times New Roman"/>
          <w:sz w:val="24"/>
          <w:szCs w:val="24"/>
        </w:rPr>
        <w:t>technical assistance for the BPA to develop supervision guidelines and capacity build staff to assist with the implementation of</w:t>
      </w:r>
      <w:r w:rsidR="0023039F">
        <w:rPr>
          <w:rFonts w:ascii="Times New Roman" w:hAnsi="Times New Roman" w:cs="Times New Roman"/>
          <w:sz w:val="24"/>
          <w:szCs w:val="24"/>
        </w:rPr>
        <w:t xml:space="preserve"> the </w:t>
      </w:r>
      <w:r w:rsidR="00B469D1">
        <w:rPr>
          <w:rFonts w:ascii="Times New Roman" w:hAnsi="Times New Roman" w:cs="Times New Roman"/>
          <w:sz w:val="24"/>
          <w:szCs w:val="24"/>
        </w:rPr>
        <w:t xml:space="preserve">new </w:t>
      </w:r>
      <w:r w:rsidR="0023039F">
        <w:rPr>
          <w:rFonts w:ascii="Times New Roman" w:hAnsi="Times New Roman" w:cs="Times New Roman"/>
          <w:sz w:val="24"/>
          <w:szCs w:val="24"/>
        </w:rPr>
        <w:t>OTDI</w:t>
      </w:r>
      <w:r w:rsidR="00B469D1">
        <w:rPr>
          <w:rFonts w:ascii="Times New Roman" w:hAnsi="Times New Roman" w:cs="Times New Roman"/>
          <w:sz w:val="24"/>
          <w:szCs w:val="24"/>
        </w:rPr>
        <w:t xml:space="preserve"> instruction</w:t>
      </w:r>
      <w:r w:rsidRPr="007505B1">
        <w:rPr>
          <w:rFonts w:ascii="Times New Roman" w:hAnsi="Times New Roman" w:cs="Times New Roman"/>
          <w:sz w:val="24"/>
          <w:szCs w:val="24"/>
        </w:rPr>
        <w:t>.</w:t>
      </w:r>
    </w:p>
    <w:p w:rsidR="006B25D4" w:rsidRDefault="007505B1" w:rsidP="00875343">
      <w:pPr>
        <w:pStyle w:val="BodyText"/>
        <w:widowControl w:val="0"/>
        <w:numPr>
          <w:ilvl w:val="0"/>
          <w:numId w:val="19"/>
        </w:numPr>
        <w:tabs>
          <w:tab w:val="clear" w:pos="720"/>
          <w:tab w:val="num" w:pos="360"/>
        </w:tabs>
        <w:ind w:left="360"/>
        <w:jc w:val="both"/>
        <w:rPr>
          <w:rFonts w:ascii="Times New Roman" w:hAnsi="Times New Roman" w:cs="Times New Roman"/>
          <w:sz w:val="24"/>
          <w:szCs w:val="24"/>
          <w:lang w:eastAsia="ja-JP"/>
        </w:rPr>
      </w:pPr>
      <w:r w:rsidRPr="007505B1">
        <w:rPr>
          <w:rFonts w:ascii="Times New Roman" w:hAnsi="Times New Roman" w:cs="Times New Roman"/>
          <w:sz w:val="24"/>
          <w:szCs w:val="24"/>
          <w:lang w:eastAsia="ja-JP"/>
        </w:rPr>
        <w:t>P</w:t>
      </w:r>
      <w:r w:rsidR="006B25D4" w:rsidRPr="007505B1">
        <w:rPr>
          <w:rFonts w:ascii="Times New Roman" w:hAnsi="Times New Roman" w:cs="Times New Roman"/>
          <w:sz w:val="24"/>
          <w:szCs w:val="24"/>
          <w:lang w:eastAsia="ja-JP"/>
        </w:rPr>
        <w:t xml:space="preserve">articipation in the </w:t>
      </w:r>
      <w:r w:rsidR="00B469D1">
        <w:rPr>
          <w:rFonts w:ascii="Times New Roman" w:hAnsi="Times New Roman" w:cs="Times New Roman"/>
          <w:sz w:val="24"/>
          <w:szCs w:val="24"/>
          <w:lang w:eastAsia="ja-JP"/>
        </w:rPr>
        <w:t xml:space="preserve">2011 </w:t>
      </w:r>
      <w:r w:rsidR="006B25D4" w:rsidRPr="007505B1">
        <w:rPr>
          <w:rFonts w:ascii="Times New Roman" w:hAnsi="Times New Roman" w:cs="Times New Roman"/>
          <w:sz w:val="24"/>
          <w:szCs w:val="24"/>
          <w:lang w:eastAsia="ja-JP"/>
        </w:rPr>
        <w:t>National Priority</w:t>
      </w:r>
      <w:r w:rsidRPr="007505B1">
        <w:rPr>
          <w:rFonts w:ascii="Times New Roman" w:hAnsi="Times New Roman" w:cs="Times New Roman"/>
          <w:sz w:val="24"/>
          <w:szCs w:val="24"/>
          <w:lang w:eastAsia="ja-JP"/>
        </w:rPr>
        <w:t xml:space="preserve"> Working Group #2</w:t>
      </w:r>
      <w:r w:rsidR="006B25D4" w:rsidRPr="007505B1">
        <w:rPr>
          <w:rFonts w:ascii="Times New Roman" w:hAnsi="Times New Roman" w:cs="Times New Roman"/>
          <w:sz w:val="24"/>
          <w:szCs w:val="24"/>
          <w:lang w:eastAsia="ja-JP"/>
        </w:rPr>
        <w:t xml:space="preserve"> to promote financial services as part of the objectives on </w:t>
      </w:r>
      <w:r w:rsidR="00B469D1">
        <w:rPr>
          <w:rFonts w:ascii="Times New Roman" w:hAnsi="Times New Roman" w:cs="Times New Roman"/>
          <w:sz w:val="24"/>
          <w:szCs w:val="24"/>
          <w:lang w:eastAsia="ja-JP"/>
        </w:rPr>
        <w:t>rural development</w:t>
      </w:r>
      <w:r w:rsidR="006B25D4" w:rsidRPr="007505B1">
        <w:rPr>
          <w:rFonts w:ascii="Times New Roman" w:hAnsi="Times New Roman" w:cs="Times New Roman"/>
          <w:sz w:val="24"/>
          <w:szCs w:val="24"/>
          <w:lang w:eastAsia="ja-JP"/>
        </w:rPr>
        <w:t>.</w:t>
      </w:r>
    </w:p>
    <w:p w:rsidR="00B07344" w:rsidRDefault="00B07344" w:rsidP="00875343">
      <w:pPr>
        <w:pStyle w:val="BodyText"/>
        <w:widowControl w:val="0"/>
        <w:numPr>
          <w:ilvl w:val="0"/>
          <w:numId w:val="19"/>
        </w:numPr>
        <w:tabs>
          <w:tab w:val="clear" w:pos="720"/>
          <w:tab w:val="num" w:pos="360"/>
        </w:tabs>
        <w:ind w:left="360"/>
        <w:jc w:val="both"/>
        <w:rPr>
          <w:rFonts w:ascii="Times New Roman" w:hAnsi="Times New Roman" w:cs="Times New Roman"/>
          <w:sz w:val="24"/>
          <w:szCs w:val="24"/>
          <w:lang w:eastAsia="ja-JP"/>
        </w:rPr>
      </w:pPr>
      <w:r>
        <w:rPr>
          <w:rFonts w:ascii="Times New Roman" w:hAnsi="Times New Roman" w:cs="Times New Roman"/>
          <w:sz w:val="24"/>
          <w:szCs w:val="24"/>
          <w:lang w:eastAsia="ja-JP"/>
        </w:rPr>
        <w:t>INFUSE will promote closer participation of BPA in AFI activities, including the Pacific Financial Inclusion Working Group, as per the demand of the BPA.</w:t>
      </w:r>
    </w:p>
    <w:p w:rsidR="00872A76" w:rsidRPr="007505B1" w:rsidRDefault="00872A76" w:rsidP="00875343">
      <w:pPr>
        <w:pStyle w:val="BodyText"/>
        <w:widowControl w:val="0"/>
        <w:numPr>
          <w:ilvl w:val="0"/>
          <w:numId w:val="19"/>
        </w:numPr>
        <w:tabs>
          <w:tab w:val="clear" w:pos="720"/>
          <w:tab w:val="num" w:pos="360"/>
        </w:tabs>
        <w:ind w:left="360"/>
        <w:jc w:val="both"/>
        <w:rPr>
          <w:rFonts w:ascii="Times New Roman" w:hAnsi="Times New Roman" w:cs="Times New Roman"/>
          <w:sz w:val="24"/>
          <w:szCs w:val="24"/>
          <w:lang w:eastAsia="ja-JP"/>
        </w:rPr>
      </w:pPr>
      <w:r>
        <w:rPr>
          <w:rFonts w:ascii="Times New Roman" w:hAnsi="Times New Roman" w:cs="Times New Roman"/>
          <w:sz w:val="24"/>
          <w:szCs w:val="24"/>
          <w:lang w:eastAsia="ja-JP"/>
        </w:rPr>
        <w:t>INFUSE will coordinate with donors for the financial sector including IFC’s new Pacific Microfinance Initiative, and continue to seek additional funding to complete the INFUSE funding gap.</w:t>
      </w:r>
    </w:p>
    <w:p w:rsidR="006B25D4" w:rsidRPr="00F84101" w:rsidRDefault="006B25D4" w:rsidP="006B25D4">
      <w:pPr>
        <w:autoSpaceDE w:val="0"/>
        <w:autoSpaceDN w:val="0"/>
        <w:adjustRightInd w:val="0"/>
        <w:jc w:val="both"/>
      </w:pPr>
    </w:p>
    <w:p w:rsidR="006B25D4" w:rsidRPr="00F84101" w:rsidRDefault="006B25D4" w:rsidP="006B25D4">
      <w:pPr>
        <w:pBdr>
          <w:top w:val="single" w:sz="4" w:space="2" w:color="auto"/>
          <w:left w:val="single" w:sz="4" w:space="4" w:color="auto"/>
          <w:bottom w:val="single" w:sz="4" w:space="1" w:color="auto"/>
          <w:right w:val="single" w:sz="4" w:space="4" w:color="auto"/>
        </w:pBdr>
        <w:shd w:val="clear" w:color="auto" w:fill="CCCCCC"/>
        <w:jc w:val="both"/>
        <w:rPr>
          <w:b/>
          <w:lang w:eastAsia="ja-JP"/>
        </w:rPr>
      </w:pPr>
      <w:r w:rsidRPr="00F84101">
        <w:rPr>
          <w:b/>
          <w:lang w:eastAsia="ja-JP"/>
        </w:rPr>
        <w:t>OUTPUT 2: INCREASED OUTREACH OF SUSTAINABLE FINANCIAL SERVICES</w:t>
      </w:r>
    </w:p>
    <w:p w:rsidR="006B25D4" w:rsidRPr="00F84101" w:rsidRDefault="006B25D4" w:rsidP="006B25D4">
      <w:pPr>
        <w:autoSpaceDE w:val="0"/>
        <w:autoSpaceDN w:val="0"/>
        <w:adjustRightInd w:val="0"/>
        <w:jc w:val="both"/>
      </w:pPr>
    </w:p>
    <w:p w:rsidR="00D54750" w:rsidRPr="000566C9" w:rsidRDefault="006B25D4" w:rsidP="00875343">
      <w:pPr>
        <w:numPr>
          <w:ilvl w:val="0"/>
          <w:numId w:val="19"/>
        </w:numPr>
        <w:tabs>
          <w:tab w:val="clear" w:pos="720"/>
          <w:tab w:val="left" w:pos="360"/>
        </w:tabs>
        <w:ind w:left="360"/>
        <w:jc w:val="both"/>
        <w:rPr>
          <w:rFonts w:ascii="Calibri" w:hAnsi="Calibri" w:cs="Arial"/>
          <w:sz w:val="22"/>
          <w:szCs w:val="22"/>
        </w:rPr>
      </w:pPr>
      <w:r w:rsidRPr="00F84101">
        <w:rPr>
          <w:lang w:eastAsia="ja-JP"/>
        </w:rPr>
        <w:t xml:space="preserve">Support to Moris Rasik and Tuba Rai Metin will continue as per the signed </w:t>
      </w:r>
      <w:r w:rsidR="003349C3">
        <w:rPr>
          <w:lang w:eastAsia="ja-JP"/>
        </w:rPr>
        <w:t xml:space="preserve">PBAs </w:t>
      </w:r>
      <w:r w:rsidR="00D54750">
        <w:rPr>
          <w:lang w:eastAsia="ja-JP"/>
        </w:rPr>
        <w:t xml:space="preserve">and may be expanded due to </w:t>
      </w:r>
      <w:r w:rsidR="000566C9">
        <w:rPr>
          <w:lang w:eastAsia="ja-JP"/>
        </w:rPr>
        <w:t xml:space="preserve">an increase in scope of </w:t>
      </w:r>
      <w:r w:rsidR="00D54750">
        <w:rPr>
          <w:lang w:eastAsia="ja-JP"/>
        </w:rPr>
        <w:t xml:space="preserve">capacity building needs stemming from </w:t>
      </w:r>
      <w:r w:rsidR="003349C3">
        <w:rPr>
          <w:lang w:eastAsia="ja-JP"/>
        </w:rPr>
        <w:t>their intentions to apply for an</w:t>
      </w:r>
      <w:r w:rsidR="000566C9">
        <w:rPr>
          <w:lang w:eastAsia="ja-JP"/>
        </w:rPr>
        <w:t xml:space="preserve"> </w:t>
      </w:r>
      <w:r w:rsidR="00D54750">
        <w:rPr>
          <w:lang w:eastAsia="ja-JP"/>
        </w:rPr>
        <w:t>OTDI</w:t>
      </w:r>
      <w:r w:rsidR="003349C3">
        <w:rPr>
          <w:lang w:eastAsia="ja-JP"/>
        </w:rPr>
        <w:t xml:space="preserve"> license</w:t>
      </w:r>
      <w:r w:rsidR="00D54750">
        <w:rPr>
          <w:lang w:eastAsia="ja-JP"/>
        </w:rPr>
        <w:t xml:space="preserve">. </w:t>
      </w:r>
      <w:r w:rsidR="003349C3">
        <w:rPr>
          <w:lang w:eastAsia="ja-JP"/>
        </w:rPr>
        <w:t xml:space="preserve">  Potential co-funding may be sought through the new IFC Pacific Microfinance Initiative that will begin in early 2011.</w:t>
      </w:r>
    </w:p>
    <w:p w:rsidR="008C1E28" w:rsidRDefault="008C1E28" w:rsidP="00875343">
      <w:pPr>
        <w:pStyle w:val="BodyText"/>
        <w:widowControl w:val="0"/>
        <w:numPr>
          <w:ilvl w:val="0"/>
          <w:numId w:val="19"/>
        </w:numPr>
        <w:tabs>
          <w:tab w:val="clear" w:pos="720"/>
          <w:tab w:val="num" w:pos="360"/>
        </w:tabs>
        <w:ind w:left="360"/>
        <w:jc w:val="both"/>
        <w:rPr>
          <w:rFonts w:ascii="Times New Roman" w:hAnsi="Times New Roman" w:cs="Times New Roman"/>
          <w:sz w:val="24"/>
          <w:szCs w:val="24"/>
          <w:lang w:eastAsia="ja-JP"/>
        </w:rPr>
      </w:pPr>
      <w:r>
        <w:rPr>
          <w:rFonts w:ascii="Times New Roman" w:hAnsi="Times New Roman" w:cs="Times New Roman"/>
          <w:sz w:val="24"/>
          <w:szCs w:val="24"/>
          <w:lang w:eastAsia="ja-JP"/>
        </w:rPr>
        <w:t>Support to Mercy Corps fo</w:t>
      </w:r>
      <w:r w:rsidR="000566C9">
        <w:rPr>
          <w:rFonts w:ascii="Times New Roman" w:hAnsi="Times New Roman" w:cs="Times New Roman"/>
          <w:sz w:val="24"/>
          <w:szCs w:val="24"/>
          <w:lang w:eastAsia="ja-JP"/>
        </w:rPr>
        <w:t>r development of the PPI tool will be</w:t>
      </w:r>
      <w:r>
        <w:rPr>
          <w:rFonts w:ascii="Times New Roman" w:hAnsi="Times New Roman" w:cs="Times New Roman"/>
          <w:sz w:val="24"/>
          <w:szCs w:val="24"/>
          <w:lang w:eastAsia="ja-JP"/>
        </w:rPr>
        <w:t xml:space="preserve"> ongoing</w:t>
      </w:r>
      <w:r w:rsidR="000566C9">
        <w:rPr>
          <w:rFonts w:ascii="Times New Roman" w:hAnsi="Times New Roman" w:cs="Times New Roman"/>
          <w:sz w:val="24"/>
          <w:szCs w:val="24"/>
          <w:lang w:eastAsia="ja-JP"/>
        </w:rPr>
        <w:t xml:space="preserve"> through 2011</w:t>
      </w:r>
      <w:r>
        <w:rPr>
          <w:rFonts w:ascii="Times New Roman" w:hAnsi="Times New Roman" w:cs="Times New Roman"/>
          <w:sz w:val="24"/>
          <w:szCs w:val="24"/>
          <w:lang w:eastAsia="ja-JP"/>
        </w:rPr>
        <w:t xml:space="preserve">. </w:t>
      </w:r>
    </w:p>
    <w:p w:rsidR="00AC28A8" w:rsidRDefault="00AC28A8" w:rsidP="00875343">
      <w:pPr>
        <w:pStyle w:val="BodyText"/>
        <w:widowControl w:val="0"/>
        <w:numPr>
          <w:ilvl w:val="0"/>
          <w:numId w:val="19"/>
        </w:numPr>
        <w:tabs>
          <w:tab w:val="clear" w:pos="720"/>
          <w:tab w:val="num" w:pos="360"/>
        </w:tabs>
        <w:ind w:left="360"/>
        <w:jc w:val="both"/>
        <w:rPr>
          <w:rFonts w:ascii="Times New Roman" w:hAnsi="Times New Roman" w:cs="Times New Roman"/>
          <w:sz w:val="24"/>
          <w:szCs w:val="24"/>
          <w:lang w:eastAsia="ja-JP"/>
        </w:rPr>
      </w:pPr>
      <w:r>
        <w:rPr>
          <w:rFonts w:ascii="Times New Roman" w:hAnsi="Times New Roman" w:cs="Times New Roman"/>
          <w:sz w:val="24"/>
          <w:szCs w:val="24"/>
          <w:lang w:eastAsia="ja-JP"/>
        </w:rPr>
        <w:t>INFUSE will</w:t>
      </w:r>
      <w:r w:rsidR="003349C3">
        <w:rPr>
          <w:rFonts w:ascii="Times New Roman" w:hAnsi="Times New Roman" w:cs="Times New Roman"/>
          <w:sz w:val="24"/>
          <w:szCs w:val="24"/>
          <w:lang w:eastAsia="ja-JP"/>
        </w:rPr>
        <w:t xml:space="preserve"> further</w:t>
      </w:r>
      <w:r>
        <w:rPr>
          <w:rFonts w:ascii="Times New Roman" w:hAnsi="Times New Roman" w:cs="Times New Roman"/>
          <w:sz w:val="24"/>
          <w:szCs w:val="24"/>
          <w:lang w:eastAsia="ja-JP"/>
        </w:rPr>
        <w:t xml:space="preserve"> explore </w:t>
      </w:r>
      <w:r w:rsidR="003349C3">
        <w:rPr>
          <w:rFonts w:ascii="Times New Roman" w:hAnsi="Times New Roman" w:cs="Times New Roman"/>
          <w:sz w:val="24"/>
          <w:szCs w:val="24"/>
          <w:lang w:eastAsia="ja-JP"/>
        </w:rPr>
        <w:t xml:space="preserve">potential and strategies </w:t>
      </w:r>
      <w:r>
        <w:rPr>
          <w:rFonts w:ascii="Times New Roman" w:hAnsi="Times New Roman" w:cs="Times New Roman"/>
          <w:sz w:val="24"/>
          <w:szCs w:val="24"/>
          <w:lang w:eastAsia="ja-JP"/>
        </w:rPr>
        <w:t xml:space="preserve">to support </w:t>
      </w:r>
      <w:r w:rsidR="003349C3">
        <w:rPr>
          <w:rFonts w:ascii="Times New Roman" w:hAnsi="Times New Roman" w:cs="Times New Roman"/>
          <w:sz w:val="24"/>
          <w:szCs w:val="24"/>
          <w:lang w:eastAsia="ja-JP"/>
        </w:rPr>
        <w:t>development of the CUs</w:t>
      </w:r>
      <w:r>
        <w:rPr>
          <w:rFonts w:ascii="Times New Roman" w:hAnsi="Times New Roman" w:cs="Times New Roman"/>
          <w:sz w:val="24"/>
          <w:szCs w:val="24"/>
          <w:lang w:eastAsia="ja-JP"/>
        </w:rPr>
        <w:t xml:space="preserve">. </w:t>
      </w:r>
    </w:p>
    <w:p w:rsidR="00AC6FC8" w:rsidRPr="00F84101" w:rsidRDefault="00AC6FC8" w:rsidP="00875343">
      <w:pPr>
        <w:pStyle w:val="BodyText"/>
        <w:widowControl w:val="0"/>
        <w:numPr>
          <w:ilvl w:val="0"/>
          <w:numId w:val="19"/>
        </w:numPr>
        <w:tabs>
          <w:tab w:val="clear" w:pos="720"/>
          <w:tab w:val="num" w:pos="360"/>
        </w:tabs>
        <w:ind w:left="360"/>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INFUSE will continue to pursue a branchless banking project, in partnership with a mobile network operator (MNO) and/or commercial bank should the regulatory environment permit. </w:t>
      </w:r>
    </w:p>
    <w:p w:rsidR="006B25D4" w:rsidRPr="00F84101" w:rsidRDefault="006B25D4" w:rsidP="006B25D4">
      <w:pPr>
        <w:pStyle w:val="BodyText"/>
        <w:ind w:left="1440"/>
        <w:rPr>
          <w:rFonts w:ascii="Times New Roman" w:hAnsi="Times New Roman" w:cs="Times New Roman"/>
          <w:b/>
          <w:sz w:val="24"/>
          <w:szCs w:val="24"/>
          <w:lang w:eastAsia="ja-JP"/>
        </w:rPr>
      </w:pPr>
    </w:p>
    <w:p w:rsidR="006B25D4" w:rsidRPr="00F84101" w:rsidRDefault="006B25D4" w:rsidP="006B25D4">
      <w:pPr>
        <w:pStyle w:val="Default"/>
        <w:pBdr>
          <w:top w:val="single" w:sz="4" w:space="1" w:color="auto"/>
          <w:left w:val="single" w:sz="4" w:space="4" w:color="auto"/>
          <w:bottom w:val="single" w:sz="4" w:space="1" w:color="auto"/>
          <w:right w:val="single" w:sz="4" w:space="4" w:color="auto"/>
        </w:pBdr>
        <w:shd w:val="clear" w:color="auto" w:fill="CCCCCC"/>
        <w:jc w:val="both"/>
        <w:rPr>
          <w:rFonts w:ascii="Times New Roman" w:hAnsi="Times New Roman" w:cs="Times New Roman"/>
          <w:b/>
          <w:lang w:val="en-GB" w:eastAsia="ja-JP"/>
        </w:rPr>
      </w:pPr>
      <w:r w:rsidRPr="00F84101">
        <w:rPr>
          <w:rFonts w:ascii="Times New Roman" w:hAnsi="Times New Roman" w:cs="Times New Roman"/>
          <w:b/>
          <w:lang w:val="en-GB"/>
        </w:rPr>
        <w:t>OUTPUT 3: PROMOTING A BUSINESS SERVICES INFRASTRUCTURE</w:t>
      </w:r>
    </w:p>
    <w:p w:rsidR="006B25D4" w:rsidRPr="00F84101" w:rsidRDefault="006B25D4" w:rsidP="006B25D4">
      <w:pPr>
        <w:pStyle w:val="BodyText"/>
        <w:rPr>
          <w:rFonts w:ascii="Times New Roman" w:hAnsi="Times New Roman" w:cs="Times New Roman"/>
          <w:sz w:val="24"/>
          <w:szCs w:val="24"/>
          <w:lang w:eastAsia="ja-JP"/>
        </w:rPr>
      </w:pPr>
    </w:p>
    <w:p w:rsidR="006B25D4" w:rsidRPr="00F84101" w:rsidRDefault="006B25D4" w:rsidP="00875343">
      <w:pPr>
        <w:pStyle w:val="BodyText"/>
        <w:numPr>
          <w:ilvl w:val="2"/>
          <w:numId w:val="19"/>
        </w:numPr>
        <w:tabs>
          <w:tab w:val="clear" w:pos="2160"/>
          <w:tab w:val="num" w:pos="360"/>
        </w:tabs>
        <w:ind w:left="360"/>
        <w:jc w:val="both"/>
        <w:rPr>
          <w:rFonts w:ascii="Times New Roman" w:hAnsi="Times New Roman" w:cs="Times New Roman"/>
          <w:sz w:val="24"/>
          <w:szCs w:val="24"/>
          <w:lang w:eastAsia="ja-JP"/>
        </w:rPr>
      </w:pPr>
      <w:r w:rsidRPr="00F84101">
        <w:rPr>
          <w:rFonts w:ascii="Times New Roman" w:hAnsi="Times New Roman" w:cs="Times New Roman"/>
          <w:sz w:val="24"/>
          <w:szCs w:val="24"/>
          <w:lang w:eastAsia="ja-JP"/>
        </w:rPr>
        <w:t xml:space="preserve">Support for Financial Literacy/Education </w:t>
      </w:r>
      <w:r w:rsidRPr="00F84101">
        <w:rPr>
          <w:rFonts w:ascii="Times New Roman" w:hAnsi="Times New Roman" w:cs="Times New Roman"/>
          <w:sz w:val="24"/>
          <w:szCs w:val="24"/>
        </w:rPr>
        <w:t>service providers to establish a new financial education program in Timor-Leste will be executed</w:t>
      </w:r>
      <w:r w:rsidR="00031D3B">
        <w:rPr>
          <w:rFonts w:ascii="Times New Roman" w:hAnsi="Times New Roman" w:cs="Times New Roman"/>
          <w:sz w:val="24"/>
          <w:szCs w:val="24"/>
        </w:rPr>
        <w:t xml:space="preserve">. A TSP will be identified through issuance of </w:t>
      </w:r>
      <w:r w:rsidR="00620C25">
        <w:rPr>
          <w:rFonts w:ascii="Times New Roman" w:hAnsi="Times New Roman" w:cs="Times New Roman"/>
          <w:sz w:val="24"/>
          <w:szCs w:val="24"/>
        </w:rPr>
        <w:t>an</w:t>
      </w:r>
      <w:r w:rsidR="00031D3B">
        <w:rPr>
          <w:rFonts w:ascii="Times New Roman" w:hAnsi="Times New Roman" w:cs="Times New Roman"/>
          <w:sz w:val="24"/>
          <w:szCs w:val="24"/>
        </w:rPr>
        <w:t xml:space="preserve"> RfP</w:t>
      </w:r>
      <w:r w:rsidRPr="00F84101">
        <w:rPr>
          <w:rFonts w:ascii="Times New Roman" w:hAnsi="Times New Roman" w:cs="Times New Roman"/>
          <w:sz w:val="24"/>
          <w:szCs w:val="24"/>
        </w:rPr>
        <w:t xml:space="preserve">.  </w:t>
      </w:r>
    </w:p>
    <w:p w:rsidR="006B25D4" w:rsidRPr="00031D3B" w:rsidRDefault="00031D3B" w:rsidP="00875343">
      <w:pPr>
        <w:pStyle w:val="BodyText"/>
        <w:widowControl w:val="0"/>
        <w:numPr>
          <w:ilvl w:val="2"/>
          <w:numId w:val="19"/>
        </w:numPr>
        <w:tabs>
          <w:tab w:val="clear" w:pos="2160"/>
          <w:tab w:val="num" w:pos="360"/>
        </w:tabs>
        <w:ind w:left="360"/>
        <w:jc w:val="both"/>
        <w:rPr>
          <w:rFonts w:ascii="Times New Roman" w:hAnsi="Times New Roman" w:cs="Times New Roman"/>
          <w:sz w:val="24"/>
          <w:szCs w:val="24"/>
          <w:lang w:eastAsia="ja-JP"/>
        </w:rPr>
      </w:pPr>
      <w:r>
        <w:rPr>
          <w:rFonts w:ascii="Times New Roman" w:hAnsi="Times New Roman" w:cs="Times New Roman"/>
          <w:sz w:val="24"/>
          <w:szCs w:val="24"/>
          <w:lang w:eastAsia="ja-JP"/>
        </w:rPr>
        <w:t>The next step in d</w:t>
      </w:r>
      <w:r w:rsidR="006B25D4" w:rsidRPr="00F84101">
        <w:rPr>
          <w:rFonts w:ascii="Times New Roman" w:hAnsi="Times New Roman" w:cs="Times New Roman"/>
          <w:sz w:val="24"/>
          <w:szCs w:val="24"/>
          <w:lang w:eastAsia="ja-JP"/>
        </w:rPr>
        <w:t xml:space="preserve">evelopment of a </w:t>
      </w:r>
      <w:r w:rsidR="003349C3">
        <w:rPr>
          <w:rFonts w:ascii="Times New Roman" w:hAnsi="Times New Roman" w:cs="Times New Roman"/>
          <w:sz w:val="24"/>
          <w:szCs w:val="24"/>
          <w:lang w:eastAsia="ja-JP"/>
        </w:rPr>
        <w:t>MF/banking</w:t>
      </w:r>
      <w:r w:rsidR="006B25D4" w:rsidRPr="00F84101">
        <w:rPr>
          <w:rFonts w:ascii="Times New Roman" w:hAnsi="Times New Roman" w:cs="Times New Roman"/>
          <w:sz w:val="24"/>
          <w:szCs w:val="24"/>
          <w:lang w:eastAsia="ja-JP"/>
        </w:rPr>
        <w:t xml:space="preserve"> training certificate program in collaboration with </w:t>
      </w:r>
      <w:r w:rsidR="003349C3">
        <w:rPr>
          <w:rFonts w:ascii="Times New Roman" w:hAnsi="Times New Roman" w:cs="Times New Roman"/>
          <w:sz w:val="24"/>
          <w:szCs w:val="24"/>
          <w:lang w:eastAsia="ja-JP"/>
        </w:rPr>
        <w:t>INDMO</w:t>
      </w:r>
      <w:r w:rsidR="006B25D4" w:rsidRPr="00F84101">
        <w:rPr>
          <w:rFonts w:ascii="Times New Roman" w:hAnsi="Times New Roman" w:cs="Times New Roman"/>
          <w:sz w:val="24"/>
          <w:szCs w:val="24"/>
          <w:lang w:eastAsia="ja-JP"/>
        </w:rPr>
        <w:t xml:space="preserve"> </w:t>
      </w:r>
      <w:r w:rsidR="006B25D4" w:rsidRPr="00031D3B">
        <w:rPr>
          <w:rFonts w:ascii="Times New Roman" w:hAnsi="Times New Roman" w:cs="Times New Roman"/>
          <w:sz w:val="24"/>
          <w:szCs w:val="24"/>
          <w:lang w:eastAsia="ja-JP"/>
        </w:rPr>
        <w:t xml:space="preserve">will be </w:t>
      </w:r>
      <w:r w:rsidR="007C5772">
        <w:rPr>
          <w:rFonts w:ascii="Times New Roman" w:hAnsi="Times New Roman" w:cs="Times New Roman"/>
          <w:sz w:val="24"/>
          <w:szCs w:val="24"/>
          <w:lang w:eastAsia="ja-JP"/>
        </w:rPr>
        <w:t>initiated</w:t>
      </w:r>
      <w:r w:rsidR="006B25D4" w:rsidRPr="00031D3B">
        <w:rPr>
          <w:rFonts w:ascii="Times New Roman" w:hAnsi="Times New Roman" w:cs="Times New Roman"/>
          <w:sz w:val="24"/>
          <w:szCs w:val="24"/>
          <w:lang w:eastAsia="ja-JP"/>
        </w:rPr>
        <w:t xml:space="preserve"> through </w:t>
      </w:r>
      <w:r w:rsidRPr="00031D3B">
        <w:rPr>
          <w:rFonts w:ascii="Times New Roman" w:hAnsi="Times New Roman" w:cs="Times New Roman"/>
          <w:sz w:val="24"/>
          <w:szCs w:val="24"/>
        </w:rPr>
        <w:t xml:space="preserve">procurement of </w:t>
      </w:r>
      <w:r w:rsidR="007C5772">
        <w:rPr>
          <w:rFonts w:ascii="Times New Roman" w:hAnsi="Times New Roman" w:cs="Times New Roman"/>
          <w:sz w:val="24"/>
          <w:szCs w:val="24"/>
        </w:rPr>
        <w:t>a technical service provider</w:t>
      </w:r>
      <w:r w:rsidRPr="00031D3B">
        <w:rPr>
          <w:rFonts w:ascii="Times New Roman" w:hAnsi="Times New Roman" w:cs="Times New Roman"/>
          <w:sz w:val="24"/>
          <w:szCs w:val="24"/>
        </w:rPr>
        <w:t xml:space="preserve"> to transform the competencies </w:t>
      </w:r>
      <w:r w:rsidR="007C5772">
        <w:rPr>
          <w:rFonts w:ascii="Times New Roman" w:hAnsi="Times New Roman" w:cs="Times New Roman"/>
          <w:sz w:val="24"/>
          <w:szCs w:val="24"/>
        </w:rPr>
        <w:t xml:space="preserve">framework </w:t>
      </w:r>
      <w:r w:rsidRPr="00031D3B">
        <w:rPr>
          <w:rFonts w:ascii="Times New Roman" w:hAnsi="Times New Roman" w:cs="Times New Roman"/>
          <w:sz w:val="24"/>
          <w:szCs w:val="24"/>
        </w:rPr>
        <w:t xml:space="preserve">into a training </w:t>
      </w:r>
      <w:r w:rsidR="00620C25" w:rsidRPr="00031D3B">
        <w:rPr>
          <w:rFonts w:ascii="Times New Roman" w:hAnsi="Times New Roman" w:cs="Times New Roman"/>
          <w:sz w:val="24"/>
          <w:szCs w:val="24"/>
        </w:rPr>
        <w:t>program</w:t>
      </w:r>
      <w:r w:rsidRPr="00031D3B">
        <w:rPr>
          <w:rFonts w:ascii="Times New Roman" w:hAnsi="Times New Roman" w:cs="Times New Roman"/>
          <w:sz w:val="24"/>
          <w:szCs w:val="24"/>
        </w:rPr>
        <w:t xml:space="preserve"> curriculum.</w:t>
      </w:r>
    </w:p>
    <w:p w:rsidR="007C5772" w:rsidRPr="001B0723" w:rsidRDefault="006B25D4" w:rsidP="00875343">
      <w:pPr>
        <w:pStyle w:val="BodyText"/>
        <w:widowControl w:val="0"/>
        <w:numPr>
          <w:ilvl w:val="2"/>
          <w:numId w:val="19"/>
        </w:numPr>
        <w:tabs>
          <w:tab w:val="clear" w:pos="2160"/>
          <w:tab w:val="num" w:pos="360"/>
        </w:tabs>
        <w:ind w:left="360"/>
        <w:jc w:val="both"/>
        <w:rPr>
          <w:rFonts w:ascii="Times New Roman" w:hAnsi="Times New Roman" w:cs="Times New Roman"/>
          <w:sz w:val="24"/>
          <w:szCs w:val="24"/>
          <w:lang w:eastAsia="ja-JP"/>
        </w:rPr>
      </w:pPr>
      <w:r w:rsidRPr="00031D3B">
        <w:rPr>
          <w:rFonts w:ascii="Times New Roman" w:hAnsi="Times New Roman" w:cs="Times New Roman"/>
          <w:sz w:val="24"/>
          <w:szCs w:val="24"/>
          <w:lang w:eastAsia="ja-JP"/>
        </w:rPr>
        <w:t xml:space="preserve">Potential for development of micro-insurance products will be explored with the newly licensed National </w:t>
      </w:r>
      <w:r w:rsidRPr="001B0723">
        <w:rPr>
          <w:rFonts w:ascii="Times New Roman" w:hAnsi="Times New Roman" w:cs="Times New Roman"/>
          <w:sz w:val="24"/>
          <w:szCs w:val="24"/>
          <w:lang w:eastAsia="ja-JP"/>
        </w:rPr>
        <w:t xml:space="preserve">Insurance of Timor Leste (NiTL) company. </w:t>
      </w:r>
    </w:p>
    <w:p w:rsidR="000277A0" w:rsidRDefault="00031D3B" w:rsidP="007C5772">
      <w:pPr>
        <w:pStyle w:val="BodyText"/>
        <w:widowControl w:val="0"/>
        <w:numPr>
          <w:ilvl w:val="2"/>
          <w:numId w:val="19"/>
        </w:numPr>
        <w:tabs>
          <w:tab w:val="clear" w:pos="2160"/>
          <w:tab w:val="num" w:pos="360"/>
        </w:tabs>
        <w:ind w:left="360"/>
        <w:jc w:val="both"/>
        <w:rPr>
          <w:rFonts w:ascii="Times New Roman" w:hAnsi="Times New Roman" w:cs="Times New Roman"/>
          <w:sz w:val="24"/>
          <w:szCs w:val="24"/>
        </w:rPr>
      </w:pPr>
      <w:r w:rsidRPr="001B0723">
        <w:rPr>
          <w:rFonts w:ascii="Times New Roman" w:hAnsi="Times New Roman" w:cs="Times New Roman"/>
          <w:sz w:val="24"/>
          <w:szCs w:val="24"/>
          <w:lang w:eastAsia="ja-JP"/>
        </w:rPr>
        <w:t xml:space="preserve">INFUSE will continue to explore ways to collaborate </w:t>
      </w:r>
      <w:r w:rsidR="007C5772">
        <w:rPr>
          <w:rFonts w:ascii="Times New Roman" w:hAnsi="Times New Roman" w:cs="Times New Roman"/>
          <w:sz w:val="24"/>
          <w:szCs w:val="24"/>
          <w:lang w:eastAsia="ja-JP"/>
        </w:rPr>
        <w:t>with stakeholder</w:t>
      </w:r>
      <w:r w:rsidR="00156FF2">
        <w:rPr>
          <w:rFonts w:ascii="Times New Roman" w:hAnsi="Times New Roman" w:cs="Times New Roman"/>
          <w:sz w:val="24"/>
          <w:szCs w:val="24"/>
          <w:lang w:eastAsia="ja-JP"/>
        </w:rPr>
        <w:t>s</w:t>
      </w:r>
      <w:r w:rsidR="007C5772">
        <w:rPr>
          <w:rFonts w:ascii="Times New Roman" w:hAnsi="Times New Roman" w:cs="Times New Roman"/>
          <w:sz w:val="24"/>
          <w:szCs w:val="24"/>
          <w:lang w:eastAsia="ja-JP"/>
        </w:rPr>
        <w:t xml:space="preserve"> </w:t>
      </w:r>
      <w:r w:rsidRPr="001B0723">
        <w:rPr>
          <w:rFonts w:ascii="Times New Roman" w:hAnsi="Times New Roman" w:cs="Times New Roman"/>
          <w:sz w:val="24"/>
          <w:szCs w:val="24"/>
          <w:lang w:eastAsia="ja-JP"/>
        </w:rPr>
        <w:t xml:space="preserve">in support of development of mobile </w:t>
      </w:r>
      <w:r w:rsidR="007C5772">
        <w:rPr>
          <w:rFonts w:ascii="Times New Roman" w:hAnsi="Times New Roman" w:cs="Times New Roman"/>
          <w:sz w:val="24"/>
          <w:szCs w:val="24"/>
          <w:lang w:eastAsia="ja-JP"/>
        </w:rPr>
        <w:t xml:space="preserve">branchless </w:t>
      </w:r>
      <w:r w:rsidRPr="001B0723">
        <w:rPr>
          <w:rFonts w:ascii="Times New Roman" w:hAnsi="Times New Roman" w:cs="Times New Roman"/>
          <w:sz w:val="24"/>
          <w:szCs w:val="24"/>
          <w:lang w:eastAsia="ja-JP"/>
        </w:rPr>
        <w:t>banking</w:t>
      </w:r>
      <w:r w:rsidR="007C5772">
        <w:rPr>
          <w:rFonts w:ascii="Times New Roman" w:hAnsi="Times New Roman" w:cs="Times New Roman"/>
          <w:sz w:val="24"/>
          <w:szCs w:val="24"/>
          <w:lang w:eastAsia="ja-JP"/>
        </w:rPr>
        <w:t xml:space="preserve"> innovations</w:t>
      </w:r>
      <w:r w:rsidR="001B0723" w:rsidRPr="001B0723">
        <w:rPr>
          <w:rFonts w:ascii="Times New Roman" w:hAnsi="Times New Roman" w:cs="Times New Roman"/>
          <w:sz w:val="24"/>
          <w:szCs w:val="24"/>
          <w:lang w:eastAsia="ja-JP"/>
        </w:rPr>
        <w:t xml:space="preserve">. </w:t>
      </w:r>
    </w:p>
    <w:p w:rsidR="000277A0" w:rsidRDefault="000277A0" w:rsidP="000277A0">
      <w:pPr>
        <w:pStyle w:val="BodyText"/>
        <w:widowControl w:val="0"/>
        <w:jc w:val="both"/>
        <w:rPr>
          <w:rFonts w:ascii="Times New Roman" w:hAnsi="Times New Roman" w:cs="Times New Roman"/>
          <w:sz w:val="24"/>
          <w:szCs w:val="24"/>
          <w:lang w:eastAsia="ja-JP"/>
        </w:rPr>
      </w:pPr>
    </w:p>
    <w:p w:rsidR="007C5772" w:rsidRPr="00F84101" w:rsidRDefault="000277A0" w:rsidP="007C5772">
      <w:pPr>
        <w:pStyle w:val="BodyText"/>
        <w:widowControl w:val="0"/>
        <w:jc w:val="both"/>
        <w:rPr>
          <w:rFonts w:ascii="Times New Roman" w:hAnsi="Times New Roman" w:cs="Times New Roman"/>
          <w:sz w:val="24"/>
          <w:szCs w:val="24"/>
        </w:rPr>
      </w:pPr>
      <w:r w:rsidRPr="00795EAD">
        <w:rPr>
          <w:rFonts w:ascii="Times New Roman" w:hAnsi="Times New Roman" w:cs="Times New Roman"/>
          <w:b/>
          <w:sz w:val="24"/>
          <w:szCs w:val="24"/>
          <w:lang w:eastAsia="ja-JP"/>
        </w:rPr>
        <w:t xml:space="preserve">Note that based on the final mid-term evaluation, some </w:t>
      </w:r>
      <w:r w:rsidR="00872A76">
        <w:rPr>
          <w:rFonts w:ascii="Times New Roman" w:hAnsi="Times New Roman" w:cs="Times New Roman"/>
          <w:b/>
          <w:sz w:val="24"/>
          <w:szCs w:val="24"/>
          <w:lang w:eastAsia="ja-JP"/>
        </w:rPr>
        <w:t xml:space="preserve">indicators, </w:t>
      </w:r>
      <w:r w:rsidRPr="00795EAD">
        <w:rPr>
          <w:rFonts w:ascii="Times New Roman" w:hAnsi="Times New Roman" w:cs="Times New Roman"/>
          <w:b/>
          <w:sz w:val="24"/>
          <w:szCs w:val="24"/>
          <w:lang w:eastAsia="ja-JP"/>
        </w:rPr>
        <w:t>targets and activities of the INFUSE program may be revised going forward</w:t>
      </w:r>
      <w:r w:rsidR="00872A76">
        <w:rPr>
          <w:rFonts w:ascii="Times New Roman" w:hAnsi="Times New Roman" w:cs="Times New Roman"/>
          <w:b/>
          <w:sz w:val="24"/>
          <w:szCs w:val="24"/>
          <w:lang w:eastAsia="ja-JP"/>
        </w:rPr>
        <w:t>.  This will be discussed in the next MCIF meeting</w:t>
      </w:r>
      <w:r w:rsidR="00156FF2">
        <w:rPr>
          <w:rFonts w:ascii="Times New Roman" w:hAnsi="Times New Roman" w:cs="Times New Roman"/>
          <w:sz w:val="24"/>
          <w:szCs w:val="24"/>
          <w:lang w:eastAsia="ja-JP"/>
        </w:rPr>
        <w:t>.</w:t>
      </w:r>
    </w:p>
    <w:p w:rsidR="00C743EB" w:rsidRDefault="00C743EB" w:rsidP="00872A76">
      <w:pPr>
        <w:pStyle w:val="BodyText"/>
        <w:tabs>
          <w:tab w:val="left" w:pos="360"/>
        </w:tabs>
        <w:jc w:val="both"/>
        <w:rPr>
          <w:rFonts w:ascii="Times New Roman" w:hAnsi="Times New Roman" w:cs="Times New Roman"/>
          <w:bCs/>
          <w:sz w:val="24"/>
          <w:szCs w:val="24"/>
        </w:rPr>
        <w:sectPr w:rsidR="00C743EB" w:rsidSect="00912382">
          <w:footerReference w:type="first" r:id="rId20"/>
          <w:pgSz w:w="12240" w:h="15840" w:code="1"/>
          <w:pgMar w:top="1152" w:right="1440" w:bottom="1152" w:left="1440" w:header="720" w:footer="720" w:gutter="0"/>
          <w:pgNumType w:start="1"/>
          <w:cols w:space="720"/>
          <w:titlePg/>
          <w:docGrid w:linePitch="360"/>
        </w:sectPr>
      </w:pPr>
    </w:p>
    <w:p w:rsidR="00C416C0" w:rsidRPr="00F84101" w:rsidRDefault="00C416C0" w:rsidP="00C416C0">
      <w:pPr>
        <w:pStyle w:val="BodyText"/>
        <w:tabs>
          <w:tab w:val="left" w:pos="360"/>
        </w:tabs>
        <w:ind w:left="720"/>
        <w:jc w:val="both"/>
        <w:rPr>
          <w:rFonts w:ascii="Times New Roman" w:hAnsi="Times New Roman" w:cs="Times New Roman"/>
          <w:bCs/>
          <w:sz w:val="24"/>
          <w:szCs w:val="24"/>
        </w:rPr>
      </w:pPr>
    </w:p>
    <w:p w:rsidR="00D10850" w:rsidRPr="00F84101" w:rsidRDefault="0023313F" w:rsidP="00D10850">
      <w:pPr>
        <w:pStyle w:val="BodyText"/>
        <w:tabs>
          <w:tab w:val="left" w:pos="360"/>
        </w:tabs>
        <w:jc w:val="both"/>
        <w:rPr>
          <w:rFonts w:ascii="Times New Roman" w:hAnsi="Times New Roman" w:cs="Times New Roman"/>
          <w:sz w:val="24"/>
          <w:szCs w:val="24"/>
        </w:rPr>
      </w:pPr>
      <w:r>
        <w:rPr>
          <w:rFonts w:ascii="Times New Roman" w:hAnsi="Times New Roman" w:cs="Times New Roman"/>
          <w:noProof/>
          <w:sz w:val="24"/>
          <w:szCs w:val="24"/>
          <w:lang w:val="en-AU" w:eastAsia="en-AU"/>
        </w:rPr>
        <mc:AlternateContent>
          <mc:Choice Requires="wps">
            <w:drawing>
              <wp:anchor distT="0" distB="0" distL="114300" distR="114300" simplePos="0" relativeHeight="251656192" behindDoc="0" locked="0" layoutInCell="1" allowOverlap="1" wp14:anchorId="7B6FEA05" wp14:editId="0F71BAE7">
                <wp:simplePos x="0" y="0"/>
                <wp:positionH relativeFrom="column">
                  <wp:posOffset>-685800</wp:posOffset>
                </wp:positionH>
                <wp:positionV relativeFrom="paragraph">
                  <wp:posOffset>167640</wp:posOffset>
                </wp:positionV>
                <wp:extent cx="9504045" cy="291465"/>
                <wp:effectExtent l="9525" t="5715" r="11430" b="76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4045" cy="291465"/>
                        </a:xfrm>
                        <a:prstGeom prst="rect">
                          <a:avLst/>
                        </a:prstGeom>
                        <a:solidFill>
                          <a:srgbClr val="F2F2F2"/>
                        </a:solidFill>
                        <a:ln w="9525">
                          <a:solidFill>
                            <a:srgbClr val="D8D8D8"/>
                          </a:solidFill>
                          <a:miter lim="800000"/>
                          <a:headEnd/>
                          <a:tailEnd/>
                        </a:ln>
                      </wps:spPr>
                      <wps:txbx>
                        <w:txbxContent>
                          <w:p w:rsidR="0024297B" w:rsidRPr="00CA344E" w:rsidRDefault="0024297B" w:rsidP="00DE7117">
                            <w:pPr>
                              <w:pStyle w:val="Heading1"/>
                            </w:pPr>
                            <w:r w:rsidRPr="00CA344E">
                              <w:t>VIII. INDICATOR BASED PERFORMANCE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54pt;margin-top:13.2pt;width:748.35pt;height:2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" fillcolor="#f2f2f2" strokecolor="#d8d8d8">
                <v:textbox>
                  <w:txbxContent>
                    <w:p w:rsidR="0024297B" w:rsidRPr="00CA344E" w:rsidRDefault="0024297B" w:rsidP="00DE7117">
                      <w:pPr>
                        <w:pStyle w:val="Heading1"/>
                      </w:pPr>
                      <w:r w:rsidRPr="00CA344E">
                        <w:t>VIII. INDICATOR BASED PERFORMANCE ASSESSMENT</w:t>
                      </w:r>
                    </w:p>
                  </w:txbxContent>
                </v:textbox>
              </v:shape>
            </w:pict>
          </mc:Fallback>
        </mc:AlternateContent>
      </w:r>
    </w:p>
    <w:p w:rsidR="00CA38FE" w:rsidRPr="00F84101" w:rsidRDefault="00CA38FE" w:rsidP="00CA38FE">
      <w:pPr>
        <w:pStyle w:val="BodyText"/>
        <w:tabs>
          <w:tab w:val="left" w:pos="360"/>
        </w:tabs>
        <w:ind w:left="720"/>
        <w:jc w:val="both"/>
        <w:rPr>
          <w:rFonts w:ascii="Times New Roman" w:hAnsi="Times New Roman" w:cs="Times New Roman"/>
          <w:sz w:val="24"/>
          <w:szCs w:val="24"/>
        </w:rPr>
      </w:pPr>
    </w:p>
    <w:p w:rsidR="00AC7FD3" w:rsidRPr="00F84101" w:rsidRDefault="00AC7FD3" w:rsidP="00CA38FE">
      <w:pPr>
        <w:pStyle w:val="BodyText"/>
        <w:tabs>
          <w:tab w:val="left" w:pos="360"/>
        </w:tabs>
        <w:ind w:left="720"/>
        <w:jc w:val="both"/>
        <w:rPr>
          <w:rFonts w:ascii="Times New Roman" w:hAnsi="Times New Roman" w:cs="Times New Roman"/>
          <w:sz w:val="24"/>
          <w:szCs w:val="24"/>
        </w:rPr>
      </w:pPr>
    </w:p>
    <w:p w:rsidR="00C520B2" w:rsidRPr="00F84101" w:rsidRDefault="00C520B2" w:rsidP="00C520B2">
      <w:pPr>
        <w:pStyle w:val="BodyText"/>
        <w:tabs>
          <w:tab w:val="left" w:pos="360"/>
        </w:tabs>
        <w:jc w:val="both"/>
        <w:rPr>
          <w:rFonts w:ascii="Times New Roman" w:hAnsi="Times New Roman" w:cs="Times New Roman"/>
          <w:sz w:val="24"/>
          <w:szCs w:val="24"/>
        </w:rPr>
      </w:pPr>
    </w:p>
    <w:tbl>
      <w:tblPr>
        <w:tblW w:w="14984"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0"/>
        <w:gridCol w:w="1171"/>
        <w:gridCol w:w="2498"/>
        <w:gridCol w:w="2426"/>
        <w:gridCol w:w="3783"/>
        <w:gridCol w:w="2826"/>
      </w:tblGrid>
      <w:tr w:rsidR="00396A1E" w:rsidRPr="00280A10" w:rsidTr="00F37284">
        <w:trPr>
          <w:trHeight w:val="548"/>
        </w:trPr>
        <w:tc>
          <w:tcPr>
            <w:tcW w:w="2280" w:type="dxa"/>
            <w:vAlign w:val="center"/>
          </w:tcPr>
          <w:p w:rsidR="00396A1E" w:rsidRPr="00280A10" w:rsidRDefault="00396A1E" w:rsidP="001F7396">
            <w:pPr>
              <w:rPr>
                <w:b/>
                <w:sz w:val="20"/>
                <w:szCs w:val="20"/>
              </w:rPr>
            </w:pPr>
            <w:r w:rsidRPr="00280A10">
              <w:rPr>
                <w:b/>
                <w:bCs/>
                <w:sz w:val="20"/>
                <w:szCs w:val="20"/>
              </w:rPr>
              <w:t>Expected Outcome</w:t>
            </w:r>
          </w:p>
        </w:tc>
        <w:tc>
          <w:tcPr>
            <w:tcW w:w="12704" w:type="dxa"/>
            <w:gridSpan w:val="5"/>
            <w:vAlign w:val="center"/>
          </w:tcPr>
          <w:p w:rsidR="00396A1E" w:rsidRPr="00280A10" w:rsidRDefault="00396A1E" w:rsidP="001F7396">
            <w:pPr>
              <w:snapToGrid w:val="0"/>
              <w:rPr>
                <w:b/>
                <w:bCs/>
                <w:sz w:val="20"/>
                <w:szCs w:val="20"/>
              </w:rPr>
            </w:pPr>
            <w:r w:rsidRPr="00280A10">
              <w:rPr>
                <w:b/>
                <w:sz w:val="20"/>
                <w:szCs w:val="20"/>
                <w:lang w:val="en-GB"/>
              </w:rPr>
              <w:t>Vulnerable groups will have improved access to sustainable financial services.</w:t>
            </w:r>
          </w:p>
        </w:tc>
      </w:tr>
      <w:tr w:rsidR="00396A1E" w:rsidRPr="00280A10" w:rsidTr="00F37284">
        <w:trPr>
          <w:trHeight w:val="548"/>
        </w:trPr>
        <w:tc>
          <w:tcPr>
            <w:tcW w:w="2280" w:type="dxa"/>
          </w:tcPr>
          <w:p w:rsidR="00396A1E" w:rsidRPr="00280A10" w:rsidRDefault="00396A1E" w:rsidP="001F7396">
            <w:pPr>
              <w:rPr>
                <w:b/>
                <w:sz w:val="20"/>
                <w:szCs w:val="20"/>
              </w:rPr>
            </w:pPr>
          </w:p>
        </w:tc>
        <w:tc>
          <w:tcPr>
            <w:tcW w:w="1171" w:type="dxa"/>
          </w:tcPr>
          <w:p w:rsidR="00396A1E" w:rsidRPr="00280A10" w:rsidRDefault="00396A1E" w:rsidP="001F7396">
            <w:pPr>
              <w:jc w:val="center"/>
              <w:rPr>
                <w:b/>
                <w:sz w:val="20"/>
                <w:szCs w:val="20"/>
              </w:rPr>
            </w:pPr>
            <w:r w:rsidRPr="00280A10">
              <w:rPr>
                <w:b/>
                <w:sz w:val="20"/>
                <w:szCs w:val="20"/>
              </w:rPr>
              <w:t>Perfor</w:t>
            </w:r>
            <w:r>
              <w:rPr>
                <w:b/>
                <w:sz w:val="20"/>
                <w:szCs w:val="20"/>
              </w:rPr>
              <w:t>-</w:t>
            </w:r>
            <w:r w:rsidRPr="00280A10">
              <w:rPr>
                <w:b/>
                <w:sz w:val="20"/>
                <w:szCs w:val="20"/>
              </w:rPr>
              <w:t>mance</w:t>
            </w:r>
          </w:p>
          <w:p w:rsidR="00396A1E" w:rsidRPr="00280A10" w:rsidRDefault="00396A1E" w:rsidP="001F7396">
            <w:pPr>
              <w:jc w:val="center"/>
              <w:rPr>
                <w:sz w:val="20"/>
                <w:szCs w:val="20"/>
              </w:rPr>
            </w:pPr>
            <w:r w:rsidRPr="00280A10">
              <w:rPr>
                <w:b/>
                <w:sz w:val="20"/>
                <w:szCs w:val="20"/>
              </w:rPr>
              <w:t>Indicators</w:t>
            </w:r>
          </w:p>
        </w:tc>
        <w:tc>
          <w:tcPr>
            <w:tcW w:w="2498" w:type="dxa"/>
          </w:tcPr>
          <w:p w:rsidR="00396A1E" w:rsidRPr="00280A10" w:rsidRDefault="00396A1E" w:rsidP="001F7396">
            <w:pPr>
              <w:jc w:val="center"/>
              <w:rPr>
                <w:sz w:val="20"/>
                <w:szCs w:val="20"/>
              </w:rPr>
            </w:pPr>
            <w:r w:rsidRPr="00280A10">
              <w:rPr>
                <w:b/>
                <w:sz w:val="20"/>
                <w:szCs w:val="20"/>
              </w:rPr>
              <w:t>Planned Indicator Targets</w:t>
            </w:r>
          </w:p>
        </w:tc>
        <w:tc>
          <w:tcPr>
            <w:tcW w:w="2426" w:type="dxa"/>
          </w:tcPr>
          <w:p w:rsidR="00396A1E" w:rsidRPr="00280A10" w:rsidRDefault="00396A1E" w:rsidP="001F7396">
            <w:pPr>
              <w:pStyle w:val="Bulletlevel1"/>
              <w:numPr>
                <w:ilvl w:val="0"/>
                <w:numId w:val="0"/>
              </w:numPr>
              <w:ind w:left="-39"/>
              <w:jc w:val="center"/>
              <w:rPr>
                <w:rFonts w:ascii="Times New Roman" w:hAnsi="Times New Roman"/>
                <w:sz w:val="20"/>
                <w:szCs w:val="20"/>
              </w:rPr>
            </w:pPr>
            <w:r w:rsidRPr="00280A10">
              <w:rPr>
                <w:rFonts w:ascii="Times New Roman" w:hAnsi="Times New Roman"/>
                <w:b/>
                <w:sz w:val="20"/>
                <w:szCs w:val="20"/>
              </w:rPr>
              <w:t>Achieved Indicator Targets</w:t>
            </w:r>
          </w:p>
          <w:p w:rsidR="00396A1E" w:rsidRPr="00280A10" w:rsidRDefault="00396A1E" w:rsidP="001F7396">
            <w:pPr>
              <w:pStyle w:val="Bulletlevel1"/>
              <w:numPr>
                <w:ilvl w:val="0"/>
                <w:numId w:val="0"/>
              </w:numPr>
              <w:ind w:left="360" w:hanging="360"/>
              <w:rPr>
                <w:rFonts w:ascii="Times New Roman" w:hAnsi="Times New Roman"/>
                <w:sz w:val="20"/>
                <w:szCs w:val="20"/>
              </w:rPr>
            </w:pPr>
          </w:p>
        </w:tc>
        <w:tc>
          <w:tcPr>
            <w:tcW w:w="3783" w:type="dxa"/>
          </w:tcPr>
          <w:p w:rsidR="00396A1E" w:rsidRPr="00280A10" w:rsidRDefault="00396A1E" w:rsidP="001F7396">
            <w:pPr>
              <w:jc w:val="center"/>
              <w:rPr>
                <w:sz w:val="20"/>
                <w:szCs w:val="20"/>
              </w:rPr>
            </w:pPr>
            <w:r w:rsidRPr="00280A10">
              <w:rPr>
                <w:b/>
                <w:sz w:val="20"/>
                <w:szCs w:val="20"/>
              </w:rPr>
              <w:t>Progress to date</w:t>
            </w:r>
          </w:p>
        </w:tc>
        <w:tc>
          <w:tcPr>
            <w:tcW w:w="2826" w:type="dxa"/>
          </w:tcPr>
          <w:p w:rsidR="00396A1E" w:rsidRPr="00280A10" w:rsidRDefault="00396A1E" w:rsidP="001F7396">
            <w:pPr>
              <w:jc w:val="center"/>
              <w:rPr>
                <w:b/>
                <w:sz w:val="20"/>
                <w:szCs w:val="20"/>
              </w:rPr>
            </w:pPr>
            <w:r w:rsidRPr="00280A10">
              <w:rPr>
                <w:b/>
                <w:sz w:val="20"/>
                <w:szCs w:val="20"/>
              </w:rPr>
              <w:t>Reasons for Variance</w:t>
            </w:r>
          </w:p>
          <w:p w:rsidR="00396A1E" w:rsidRPr="00280A10" w:rsidRDefault="00396A1E" w:rsidP="001F7396">
            <w:pPr>
              <w:jc w:val="center"/>
              <w:rPr>
                <w:sz w:val="20"/>
                <w:szCs w:val="20"/>
              </w:rPr>
            </w:pPr>
            <w:r w:rsidRPr="00280A10">
              <w:rPr>
                <w:b/>
                <w:sz w:val="20"/>
                <w:szCs w:val="20"/>
              </w:rPr>
              <w:t>(if any)</w:t>
            </w:r>
          </w:p>
        </w:tc>
      </w:tr>
      <w:tr w:rsidR="00396A1E" w:rsidRPr="00280A10" w:rsidTr="00F37284">
        <w:trPr>
          <w:trHeight w:val="548"/>
        </w:trPr>
        <w:tc>
          <w:tcPr>
            <w:tcW w:w="2280" w:type="dxa"/>
            <w:vMerge w:val="restart"/>
          </w:tcPr>
          <w:p w:rsidR="00396A1E" w:rsidRPr="00280A10" w:rsidRDefault="00396A1E" w:rsidP="001F7396">
            <w:pPr>
              <w:rPr>
                <w:b/>
                <w:sz w:val="20"/>
                <w:szCs w:val="20"/>
              </w:rPr>
            </w:pPr>
            <w:r w:rsidRPr="00280A10">
              <w:rPr>
                <w:b/>
                <w:sz w:val="20"/>
                <w:szCs w:val="20"/>
              </w:rPr>
              <w:t>Output 1</w:t>
            </w:r>
          </w:p>
          <w:p w:rsidR="00396A1E" w:rsidRPr="00280A10" w:rsidRDefault="00396A1E" w:rsidP="001F7396">
            <w:pPr>
              <w:pStyle w:val="BodyText3"/>
              <w:spacing w:before="120"/>
              <w:rPr>
                <w:b/>
                <w:bCs/>
                <w:sz w:val="20"/>
                <w:szCs w:val="20"/>
              </w:rPr>
            </w:pPr>
            <w:r w:rsidRPr="00280A10">
              <w:rPr>
                <w:b/>
                <w:bCs/>
                <w:sz w:val="20"/>
                <w:szCs w:val="20"/>
              </w:rPr>
              <w:t>A coherent GoTL policy framework for Inclusive Finance</w:t>
            </w:r>
          </w:p>
          <w:p w:rsidR="00396A1E" w:rsidRPr="00280A10" w:rsidRDefault="00396A1E" w:rsidP="001F7396">
            <w:pPr>
              <w:rPr>
                <w:sz w:val="20"/>
                <w:szCs w:val="20"/>
                <w:lang w:val="en-GB"/>
              </w:rPr>
            </w:pPr>
            <w:r w:rsidRPr="00280A10">
              <w:rPr>
                <w:sz w:val="20"/>
                <w:szCs w:val="20"/>
              </w:rPr>
              <w:t>A national policy statement for inclusive finance is developed, consulted and adopted by GoTL, and enabling legislation is in place to support the expansion and consolidation of the financial sector. Coherent, effective and synergetic donor funding based on the national policy framework has been provided.</w:t>
            </w:r>
          </w:p>
          <w:p w:rsidR="00396A1E" w:rsidRPr="00280A10" w:rsidRDefault="00396A1E" w:rsidP="001F7396">
            <w:pPr>
              <w:rPr>
                <w:sz w:val="20"/>
                <w:szCs w:val="20"/>
                <w:lang w:val="en-GB"/>
              </w:rPr>
            </w:pPr>
          </w:p>
        </w:tc>
        <w:tc>
          <w:tcPr>
            <w:tcW w:w="1171" w:type="dxa"/>
          </w:tcPr>
          <w:p w:rsidR="00396A1E" w:rsidRPr="00280A10" w:rsidRDefault="00396A1E" w:rsidP="001F7396">
            <w:pPr>
              <w:jc w:val="both"/>
              <w:rPr>
                <w:sz w:val="20"/>
                <w:szCs w:val="20"/>
              </w:rPr>
            </w:pPr>
            <w:r w:rsidRPr="00280A10">
              <w:rPr>
                <w:sz w:val="20"/>
                <w:szCs w:val="20"/>
              </w:rPr>
              <w:t>Indicator  1</w:t>
            </w:r>
          </w:p>
        </w:tc>
        <w:tc>
          <w:tcPr>
            <w:tcW w:w="2498" w:type="dxa"/>
          </w:tcPr>
          <w:p w:rsidR="00396A1E" w:rsidRPr="00280A10" w:rsidRDefault="00396A1E" w:rsidP="001F7396">
            <w:pPr>
              <w:rPr>
                <w:sz w:val="20"/>
                <w:szCs w:val="20"/>
              </w:rPr>
            </w:pPr>
            <w:r w:rsidRPr="00280A10">
              <w:rPr>
                <w:sz w:val="20"/>
                <w:szCs w:val="20"/>
              </w:rPr>
              <w:t>A Policy Statement on goals, strategies and priorities for Financial sub-sector development is adopted by GoTL (Y1)</w:t>
            </w:r>
          </w:p>
        </w:tc>
        <w:tc>
          <w:tcPr>
            <w:tcW w:w="2426" w:type="dxa"/>
          </w:tcPr>
          <w:p w:rsidR="00396A1E" w:rsidRPr="00280A10" w:rsidRDefault="00396A1E" w:rsidP="001F7396">
            <w:pPr>
              <w:pStyle w:val="Bulletlevel1"/>
              <w:tabs>
                <w:tab w:val="clear" w:pos="360"/>
                <w:tab w:val="num" w:pos="145"/>
              </w:tabs>
              <w:ind w:left="145" w:hanging="184"/>
              <w:rPr>
                <w:rFonts w:ascii="Times New Roman" w:hAnsi="Times New Roman"/>
                <w:sz w:val="20"/>
                <w:szCs w:val="20"/>
              </w:rPr>
            </w:pPr>
            <w:r w:rsidRPr="00280A10">
              <w:rPr>
                <w:rFonts w:ascii="Times New Roman" w:hAnsi="Times New Roman"/>
                <w:sz w:val="20"/>
                <w:szCs w:val="20"/>
              </w:rPr>
              <w:t xml:space="preserve">Enabling regulation for microfinance activities, developed with support from technical consultant procured by INFUSE, was approved in December 2010. </w:t>
            </w:r>
          </w:p>
          <w:p w:rsidR="00396A1E" w:rsidRPr="00280A10" w:rsidRDefault="00396A1E" w:rsidP="001F7396">
            <w:pPr>
              <w:pStyle w:val="Bulletlevel1"/>
              <w:numPr>
                <w:ilvl w:val="0"/>
                <w:numId w:val="0"/>
              </w:numPr>
              <w:ind w:left="360" w:hanging="360"/>
              <w:rPr>
                <w:rFonts w:ascii="Times New Roman" w:hAnsi="Times New Roman"/>
                <w:sz w:val="20"/>
                <w:szCs w:val="20"/>
              </w:rPr>
            </w:pPr>
          </w:p>
        </w:tc>
        <w:tc>
          <w:tcPr>
            <w:tcW w:w="3783" w:type="dxa"/>
            <w:vMerge w:val="restart"/>
          </w:tcPr>
          <w:p w:rsidR="00396A1E" w:rsidRDefault="00396A1E" w:rsidP="001F7396">
            <w:pPr>
              <w:pStyle w:val="Bulletlevel1"/>
              <w:tabs>
                <w:tab w:val="clear" w:pos="360"/>
                <w:tab w:val="num" w:pos="145"/>
              </w:tabs>
              <w:ind w:left="145" w:hanging="184"/>
              <w:rPr>
                <w:rFonts w:ascii="Times New Roman" w:hAnsi="Times New Roman"/>
                <w:sz w:val="20"/>
                <w:szCs w:val="20"/>
              </w:rPr>
            </w:pPr>
            <w:r w:rsidRPr="00280A10">
              <w:rPr>
                <w:rFonts w:ascii="Times New Roman" w:hAnsi="Times New Roman"/>
                <w:sz w:val="20"/>
                <w:szCs w:val="20"/>
              </w:rPr>
              <w:t xml:space="preserve">As yet, the national vision statement on inclusive finance has not been developed. </w:t>
            </w:r>
          </w:p>
          <w:p w:rsidR="00396A1E" w:rsidRPr="00280A10" w:rsidRDefault="00396A1E" w:rsidP="001F7396">
            <w:pPr>
              <w:pStyle w:val="Bulletlevel1"/>
              <w:tabs>
                <w:tab w:val="clear" w:pos="360"/>
                <w:tab w:val="num" w:pos="145"/>
              </w:tabs>
              <w:ind w:left="145" w:hanging="184"/>
              <w:rPr>
                <w:rFonts w:ascii="Times New Roman" w:hAnsi="Times New Roman"/>
                <w:sz w:val="20"/>
                <w:szCs w:val="20"/>
              </w:rPr>
            </w:pPr>
            <w:r w:rsidRPr="00280A10">
              <w:rPr>
                <w:rFonts w:ascii="Times New Roman" w:hAnsi="Times New Roman"/>
                <w:sz w:val="20"/>
                <w:szCs w:val="20"/>
              </w:rPr>
              <w:t>INFUSE advocacy has focused on establishing participation of relevant gov</w:t>
            </w:r>
            <w:r>
              <w:rPr>
                <w:rFonts w:ascii="Times New Roman" w:hAnsi="Times New Roman"/>
                <w:sz w:val="20"/>
                <w:szCs w:val="20"/>
              </w:rPr>
              <w:t>ernment ministries and agencies,</w:t>
            </w:r>
            <w:r w:rsidRPr="00280A10">
              <w:rPr>
                <w:rFonts w:ascii="Times New Roman" w:hAnsi="Times New Roman"/>
                <w:sz w:val="20"/>
                <w:szCs w:val="20"/>
              </w:rPr>
              <w:t xml:space="preserve"> through collaboration with the MoED, the BPA and stakeholders in the GoTL, as follows. </w:t>
            </w:r>
          </w:p>
          <w:p w:rsidR="00396A1E" w:rsidRPr="00280A10" w:rsidRDefault="00396A1E" w:rsidP="001F7396">
            <w:pPr>
              <w:pStyle w:val="Bulletlevel1"/>
              <w:rPr>
                <w:rFonts w:ascii="Times New Roman" w:hAnsi="Times New Roman"/>
                <w:sz w:val="20"/>
                <w:szCs w:val="20"/>
              </w:rPr>
            </w:pPr>
            <w:r w:rsidRPr="00280A10">
              <w:rPr>
                <w:rFonts w:ascii="Times New Roman" w:hAnsi="Times New Roman"/>
                <w:sz w:val="20"/>
                <w:szCs w:val="20"/>
              </w:rPr>
              <w:t xml:space="preserve">The Minister of Economy and Development (MoED) is the Chair of and participates in the MCIF meetings </w:t>
            </w:r>
            <w:r>
              <w:rPr>
                <w:rFonts w:ascii="Times New Roman" w:hAnsi="Times New Roman"/>
                <w:sz w:val="20"/>
                <w:szCs w:val="20"/>
              </w:rPr>
              <w:t>The</w:t>
            </w:r>
            <w:r w:rsidRPr="00280A10">
              <w:rPr>
                <w:rFonts w:ascii="Times New Roman" w:hAnsi="Times New Roman"/>
                <w:sz w:val="20"/>
                <w:szCs w:val="20"/>
              </w:rPr>
              <w:t xml:space="preserve"> BPA also participates as an observer</w:t>
            </w:r>
            <w:r>
              <w:rPr>
                <w:rFonts w:ascii="Times New Roman" w:hAnsi="Times New Roman"/>
                <w:sz w:val="20"/>
                <w:szCs w:val="20"/>
              </w:rPr>
              <w:t xml:space="preserve"> in the MCIF </w:t>
            </w:r>
          </w:p>
          <w:p w:rsidR="00396A1E" w:rsidRPr="00280A10" w:rsidRDefault="00396A1E" w:rsidP="001F7396">
            <w:pPr>
              <w:pStyle w:val="Bulletlevel1"/>
              <w:rPr>
                <w:rFonts w:ascii="Times New Roman" w:hAnsi="Times New Roman"/>
                <w:sz w:val="20"/>
                <w:szCs w:val="20"/>
              </w:rPr>
            </w:pPr>
            <w:r w:rsidRPr="00280A10">
              <w:rPr>
                <w:rFonts w:ascii="Times New Roman" w:hAnsi="Times New Roman"/>
                <w:sz w:val="20"/>
                <w:szCs w:val="20"/>
              </w:rPr>
              <w:t xml:space="preserve">Targets pertaining to </w:t>
            </w:r>
            <w:r>
              <w:rPr>
                <w:rFonts w:ascii="Times New Roman" w:hAnsi="Times New Roman"/>
                <w:sz w:val="20"/>
                <w:szCs w:val="20"/>
              </w:rPr>
              <w:t>access to MF</w:t>
            </w:r>
            <w:r w:rsidRPr="00280A10">
              <w:rPr>
                <w:rFonts w:ascii="Times New Roman" w:hAnsi="Times New Roman"/>
                <w:sz w:val="20"/>
                <w:szCs w:val="20"/>
              </w:rPr>
              <w:t xml:space="preserve"> included in the GoT</w:t>
            </w:r>
            <w:r>
              <w:rPr>
                <w:rFonts w:ascii="Times New Roman" w:hAnsi="Times New Roman"/>
                <w:sz w:val="20"/>
                <w:szCs w:val="20"/>
              </w:rPr>
              <w:t>L’s annual National Priority Working Groups</w:t>
            </w:r>
          </w:p>
          <w:p w:rsidR="00396A1E" w:rsidRPr="00280A10" w:rsidRDefault="00396A1E" w:rsidP="001F7396">
            <w:pPr>
              <w:pStyle w:val="Bulletlevel1"/>
              <w:rPr>
                <w:rFonts w:ascii="Times New Roman" w:hAnsi="Times New Roman"/>
                <w:sz w:val="20"/>
                <w:szCs w:val="20"/>
              </w:rPr>
            </w:pPr>
            <w:r w:rsidRPr="00280A10">
              <w:rPr>
                <w:rFonts w:ascii="Times New Roman" w:hAnsi="Times New Roman"/>
                <w:sz w:val="20"/>
                <w:szCs w:val="20"/>
              </w:rPr>
              <w:t>Provision of technical support to BPA</w:t>
            </w:r>
            <w:r>
              <w:rPr>
                <w:rFonts w:ascii="Times New Roman" w:hAnsi="Times New Roman"/>
                <w:sz w:val="20"/>
                <w:szCs w:val="20"/>
              </w:rPr>
              <w:t xml:space="preserve"> for legal framework of MFIs</w:t>
            </w:r>
            <w:r w:rsidRPr="00280A10">
              <w:rPr>
                <w:rFonts w:ascii="Times New Roman" w:hAnsi="Times New Roman"/>
                <w:sz w:val="20"/>
                <w:szCs w:val="20"/>
              </w:rPr>
              <w:t xml:space="preserve">, and </w:t>
            </w:r>
            <w:r>
              <w:rPr>
                <w:rFonts w:ascii="Times New Roman" w:hAnsi="Times New Roman"/>
                <w:sz w:val="20"/>
                <w:szCs w:val="20"/>
              </w:rPr>
              <w:t>membership/participation in the AFI</w:t>
            </w:r>
            <w:r w:rsidRPr="00280A10">
              <w:rPr>
                <w:rFonts w:ascii="Times New Roman" w:hAnsi="Times New Roman"/>
                <w:sz w:val="20"/>
                <w:szCs w:val="20"/>
              </w:rPr>
              <w:t xml:space="preserve"> </w:t>
            </w:r>
          </w:p>
          <w:p w:rsidR="00396A1E" w:rsidRPr="00280A10" w:rsidRDefault="00396A1E" w:rsidP="001F7396">
            <w:pPr>
              <w:pStyle w:val="Bulletlevel1"/>
              <w:tabs>
                <w:tab w:val="clear" w:pos="360"/>
                <w:tab w:val="num" w:pos="145"/>
              </w:tabs>
              <w:ind w:left="145" w:hanging="184"/>
              <w:rPr>
                <w:rFonts w:ascii="Times New Roman" w:hAnsi="Times New Roman"/>
                <w:sz w:val="20"/>
                <w:szCs w:val="20"/>
              </w:rPr>
            </w:pPr>
            <w:r w:rsidRPr="00280A10">
              <w:rPr>
                <w:rFonts w:ascii="Times New Roman" w:hAnsi="Times New Roman"/>
                <w:sz w:val="20"/>
                <w:szCs w:val="20"/>
              </w:rPr>
              <w:t>Inputs were provided by INFUSE to national strategy on rural development.</w:t>
            </w:r>
          </w:p>
          <w:p w:rsidR="00396A1E" w:rsidRPr="00280A10" w:rsidRDefault="00396A1E" w:rsidP="001F7396">
            <w:pPr>
              <w:rPr>
                <w:sz w:val="20"/>
                <w:szCs w:val="20"/>
              </w:rPr>
            </w:pPr>
          </w:p>
        </w:tc>
        <w:tc>
          <w:tcPr>
            <w:tcW w:w="2826" w:type="dxa"/>
            <w:vMerge w:val="restart"/>
          </w:tcPr>
          <w:p w:rsidR="00396A1E" w:rsidRPr="00860693" w:rsidRDefault="00396A1E" w:rsidP="001F7396">
            <w:pPr>
              <w:pStyle w:val="Bulletlevel1"/>
              <w:tabs>
                <w:tab w:val="clear" w:pos="360"/>
                <w:tab w:val="num" w:pos="145"/>
              </w:tabs>
              <w:ind w:left="145" w:hanging="184"/>
              <w:rPr>
                <w:rFonts w:ascii="Times New Roman" w:hAnsi="Times New Roman"/>
                <w:sz w:val="20"/>
                <w:szCs w:val="20"/>
              </w:rPr>
            </w:pPr>
            <w:r w:rsidRPr="00860693">
              <w:rPr>
                <w:rFonts w:ascii="Times New Roman" w:hAnsi="Times New Roman"/>
                <w:sz w:val="20"/>
                <w:szCs w:val="20"/>
              </w:rPr>
              <w:t>The process of developing the GoTL National Strategic Development Plan (NSDP</w:t>
            </w:r>
            <w:r>
              <w:rPr>
                <w:rFonts w:ascii="Times New Roman" w:hAnsi="Times New Roman"/>
                <w:sz w:val="20"/>
                <w:szCs w:val="20"/>
              </w:rPr>
              <w:t xml:space="preserve"> 2011-2030)</w:t>
            </w:r>
            <w:r w:rsidRPr="00860693">
              <w:rPr>
                <w:rFonts w:ascii="Times New Roman" w:hAnsi="Times New Roman"/>
                <w:sz w:val="20"/>
                <w:szCs w:val="20"/>
              </w:rPr>
              <w:t xml:space="preserve">), to be finalized in 2011, </w:t>
            </w:r>
            <w:r>
              <w:rPr>
                <w:rFonts w:ascii="Times New Roman" w:hAnsi="Times New Roman"/>
                <w:sz w:val="20"/>
                <w:szCs w:val="20"/>
              </w:rPr>
              <w:t>has been prepared</w:t>
            </w:r>
            <w:r w:rsidRPr="00860693">
              <w:rPr>
                <w:rFonts w:ascii="Times New Roman" w:hAnsi="Times New Roman"/>
                <w:sz w:val="20"/>
                <w:szCs w:val="20"/>
              </w:rPr>
              <w:t xml:space="preserve"> by </w:t>
            </w:r>
            <w:r>
              <w:rPr>
                <w:rFonts w:ascii="Times New Roman" w:hAnsi="Times New Roman"/>
                <w:sz w:val="20"/>
                <w:szCs w:val="20"/>
              </w:rPr>
              <w:t>the Prime Minister</w:t>
            </w:r>
            <w:r w:rsidRPr="00860693">
              <w:rPr>
                <w:rFonts w:ascii="Times New Roman" w:hAnsi="Times New Roman"/>
                <w:sz w:val="20"/>
                <w:szCs w:val="20"/>
              </w:rPr>
              <w:t xml:space="preserve"> without consultation</w:t>
            </w:r>
            <w:r>
              <w:rPr>
                <w:rFonts w:ascii="Times New Roman" w:hAnsi="Times New Roman"/>
                <w:sz w:val="20"/>
                <w:szCs w:val="20"/>
              </w:rPr>
              <w:t xml:space="preserve"> from any stakeholders (donors or development partners)</w:t>
            </w:r>
            <w:r w:rsidRPr="00860693">
              <w:rPr>
                <w:rFonts w:ascii="Times New Roman" w:hAnsi="Times New Roman"/>
                <w:sz w:val="20"/>
                <w:szCs w:val="20"/>
              </w:rPr>
              <w:t xml:space="preserve">. </w:t>
            </w:r>
          </w:p>
          <w:p w:rsidR="00396A1E" w:rsidRPr="00860693" w:rsidRDefault="00396A1E" w:rsidP="001F7396">
            <w:pPr>
              <w:pStyle w:val="Bulletlevel1"/>
              <w:numPr>
                <w:ilvl w:val="0"/>
                <w:numId w:val="0"/>
              </w:numPr>
              <w:ind w:left="360" w:hanging="360"/>
              <w:rPr>
                <w:rFonts w:ascii="Times New Roman" w:hAnsi="Times New Roman"/>
                <w:sz w:val="20"/>
                <w:szCs w:val="20"/>
              </w:rPr>
            </w:pPr>
          </w:p>
          <w:p w:rsidR="00396A1E" w:rsidRPr="00280A10" w:rsidRDefault="00396A1E" w:rsidP="001F7396">
            <w:pPr>
              <w:rPr>
                <w:sz w:val="20"/>
                <w:szCs w:val="20"/>
              </w:rPr>
            </w:pPr>
          </w:p>
        </w:tc>
      </w:tr>
      <w:tr w:rsidR="00396A1E" w:rsidRPr="00280A10" w:rsidTr="00F37284">
        <w:trPr>
          <w:trHeight w:val="548"/>
        </w:trPr>
        <w:tc>
          <w:tcPr>
            <w:tcW w:w="2280" w:type="dxa"/>
            <w:vMerge/>
          </w:tcPr>
          <w:p w:rsidR="00396A1E" w:rsidRPr="00280A10" w:rsidRDefault="00396A1E" w:rsidP="001F7396">
            <w:pPr>
              <w:rPr>
                <w:sz w:val="20"/>
                <w:szCs w:val="20"/>
              </w:rPr>
            </w:pPr>
          </w:p>
        </w:tc>
        <w:tc>
          <w:tcPr>
            <w:tcW w:w="1171" w:type="dxa"/>
          </w:tcPr>
          <w:p w:rsidR="00396A1E" w:rsidRPr="00280A10" w:rsidRDefault="00396A1E" w:rsidP="001F7396">
            <w:pPr>
              <w:jc w:val="both"/>
              <w:rPr>
                <w:sz w:val="20"/>
                <w:szCs w:val="20"/>
              </w:rPr>
            </w:pPr>
            <w:r w:rsidRPr="00280A10">
              <w:rPr>
                <w:sz w:val="20"/>
                <w:szCs w:val="20"/>
              </w:rPr>
              <w:t>Indicator 1.2</w:t>
            </w:r>
          </w:p>
        </w:tc>
        <w:tc>
          <w:tcPr>
            <w:tcW w:w="2498" w:type="dxa"/>
          </w:tcPr>
          <w:p w:rsidR="00396A1E" w:rsidRPr="00280A10" w:rsidRDefault="00396A1E" w:rsidP="001F7396">
            <w:pPr>
              <w:pStyle w:val="TableText"/>
              <w:spacing w:before="0"/>
              <w:rPr>
                <w:rFonts w:ascii="Times New Roman" w:hAnsi="Times New Roman" w:cs="Times New Roman"/>
              </w:rPr>
            </w:pPr>
            <w:r w:rsidRPr="00280A10">
              <w:rPr>
                <w:rFonts w:ascii="Times New Roman" w:hAnsi="Times New Roman" w:cs="Times New Roman"/>
              </w:rPr>
              <w:t>A consolidated Financial Sub-sector Activity Plan for 2007-2012 is developed as part of the NDP 2007-12 (Y2)</w:t>
            </w:r>
          </w:p>
          <w:p w:rsidR="00396A1E" w:rsidRPr="00280A10" w:rsidRDefault="00396A1E" w:rsidP="001F7396">
            <w:pPr>
              <w:pStyle w:val="TableText"/>
              <w:spacing w:before="0"/>
              <w:rPr>
                <w:rFonts w:ascii="Times New Roman" w:hAnsi="Times New Roman" w:cs="Times New Roman"/>
              </w:rPr>
            </w:pPr>
          </w:p>
          <w:p w:rsidR="00396A1E" w:rsidRPr="00280A10" w:rsidRDefault="00396A1E" w:rsidP="001F7396">
            <w:pPr>
              <w:rPr>
                <w:sz w:val="20"/>
                <w:szCs w:val="20"/>
              </w:rPr>
            </w:pPr>
          </w:p>
        </w:tc>
        <w:tc>
          <w:tcPr>
            <w:tcW w:w="2426" w:type="dxa"/>
          </w:tcPr>
          <w:p w:rsidR="00396A1E" w:rsidRPr="00280A10" w:rsidRDefault="00396A1E" w:rsidP="001F7396">
            <w:pPr>
              <w:rPr>
                <w:sz w:val="20"/>
                <w:szCs w:val="20"/>
              </w:rPr>
            </w:pPr>
            <w:r>
              <w:rPr>
                <w:sz w:val="20"/>
                <w:szCs w:val="20"/>
              </w:rPr>
              <w:t>No</w:t>
            </w:r>
          </w:p>
        </w:tc>
        <w:tc>
          <w:tcPr>
            <w:tcW w:w="3783" w:type="dxa"/>
            <w:vMerge/>
          </w:tcPr>
          <w:p w:rsidR="00396A1E" w:rsidRPr="00280A10" w:rsidRDefault="00396A1E" w:rsidP="001F7396">
            <w:pPr>
              <w:rPr>
                <w:sz w:val="20"/>
                <w:szCs w:val="20"/>
              </w:rPr>
            </w:pPr>
          </w:p>
        </w:tc>
        <w:tc>
          <w:tcPr>
            <w:tcW w:w="2826" w:type="dxa"/>
            <w:vMerge/>
          </w:tcPr>
          <w:p w:rsidR="00396A1E" w:rsidRPr="00280A10" w:rsidRDefault="00396A1E" w:rsidP="001F7396">
            <w:pPr>
              <w:rPr>
                <w:sz w:val="20"/>
                <w:szCs w:val="20"/>
              </w:rPr>
            </w:pPr>
          </w:p>
        </w:tc>
      </w:tr>
      <w:tr w:rsidR="00396A1E" w:rsidRPr="00280A10" w:rsidTr="00F37284">
        <w:trPr>
          <w:trHeight w:val="548"/>
        </w:trPr>
        <w:tc>
          <w:tcPr>
            <w:tcW w:w="2280" w:type="dxa"/>
            <w:vMerge/>
          </w:tcPr>
          <w:p w:rsidR="00396A1E" w:rsidRPr="00280A10" w:rsidRDefault="00396A1E" w:rsidP="001F7396">
            <w:pPr>
              <w:rPr>
                <w:sz w:val="20"/>
                <w:szCs w:val="20"/>
              </w:rPr>
            </w:pPr>
          </w:p>
        </w:tc>
        <w:tc>
          <w:tcPr>
            <w:tcW w:w="1171" w:type="dxa"/>
          </w:tcPr>
          <w:p w:rsidR="00396A1E" w:rsidRPr="00280A10" w:rsidRDefault="00396A1E" w:rsidP="001F7396">
            <w:pPr>
              <w:jc w:val="both"/>
              <w:rPr>
                <w:sz w:val="20"/>
                <w:szCs w:val="20"/>
              </w:rPr>
            </w:pPr>
            <w:r w:rsidRPr="00280A10">
              <w:rPr>
                <w:sz w:val="20"/>
                <w:szCs w:val="20"/>
              </w:rPr>
              <w:t>Indicator 1.3</w:t>
            </w:r>
          </w:p>
        </w:tc>
        <w:tc>
          <w:tcPr>
            <w:tcW w:w="2498" w:type="dxa"/>
          </w:tcPr>
          <w:p w:rsidR="00396A1E" w:rsidRPr="00280A10" w:rsidRDefault="00396A1E" w:rsidP="001F7396">
            <w:pPr>
              <w:pStyle w:val="TableText"/>
              <w:spacing w:before="0"/>
              <w:rPr>
                <w:rFonts w:ascii="Times New Roman" w:hAnsi="Times New Roman" w:cs="Times New Roman"/>
              </w:rPr>
            </w:pPr>
            <w:r w:rsidRPr="00280A10">
              <w:rPr>
                <w:rFonts w:ascii="Times New Roman" w:hAnsi="Times New Roman" w:cs="Times New Roman"/>
              </w:rPr>
              <w:t>Principles for Support to the Financial Sub-Sector have been adopted by key donors (Y2)</w:t>
            </w:r>
          </w:p>
          <w:p w:rsidR="00396A1E" w:rsidRPr="00280A10" w:rsidRDefault="00396A1E" w:rsidP="001F7396">
            <w:pPr>
              <w:rPr>
                <w:sz w:val="20"/>
                <w:szCs w:val="20"/>
              </w:rPr>
            </w:pPr>
          </w:p>
        </w:tc>
        <w:tc>
          <w:tcPr>
            <w:tcW w:w="2426" w:type="dxa"/>
          </w:tcPr>
          <w:p w:rsidR="00396A1E" w:rsidRPr="00280A10" w:rsidRDefault="00396A1E" w:rsidP="001F7396">
            <w:pPr>
              <w:rPr>
                <w:sz w:val="20"/>
                <w:szCs w:val="20"/>
              </w:rPr>
            </w:pPr>
            <w:r w:rsidRPr="00280A10">
              <w:rPr>
                <w:sz w:val="20"/>
                <w:szCs w:val="20"/>
              </w:rPr>
              <w:t>.</w:t>
            </w:r>
          </w:p>
        </w:tc>
        <w:tc>
          <w:tcPr>
            <w:tcW w:w="3783" w:type="dxa"/>
          </w:tcPr>
          <w:p w:rsidR="00396A1E" w:rsidRPr="00280A10" w:rsidRDefault="00396A1E" w:rsidP="00C520B2">
            <w:pPr>
              <w:numPr>
                <w:ilvl w:val="0"/>
                <w:numId w:val="27"/>
              </w:numPr>
              <w:tabs>
                <w:tab w:val="clear" w:pos="720"/>
                <w:tab w:val="num" w:pos="144"/>
              </w:tabs>
              <w:ind w:left="144" w:hanging="144"/>
              <w:rPr>
                <w:sz w:val="20"/>
                <w:szCs w:val="20"/>
              </w:rPr>
            </w:pPr>
            <w:r w:rsidRPr="00280A10">
              <w:rPr>
                <w:sz w:val="20"/>
                <w:szCs w:val="20"/>
              </w:rPr>
              <w:t>Donor</w:t>
            </w:r>
            <w:r>
              <w:rPr>
                <w:sz w:val="20"/>
                <w:szCs w:val="20"/>
              </w:rPr>
              <w:t>s</w:t>
            </w:r>
            <w:r w:rsidRPr="00280A10">
              <w:rPr>
                <w:sz w:val="20"/>
                <w:szCs w:val="20"/>
              </w:rPr>
              <w:t xml:space="preserve"> and stakeholders </w:t>
            </w:r>
            <w:r>
              <w:rPr>
                <w:sz w:val="20"/>
                <w:szCs w:val="20"/>
              </w:rPr>
              <w:t>have been</w:t>
            </w:r>
            <w:r w:rsidRPr="00280A10">
              <w:rPr>
                <w:sz w:val="20"/>
                <w:szCs w:val="20"/>
              </w:rPr>
              <w:t xml:space="preserve"> coordinated through INFUSE participation in national priority working groups, private sector development working group, INFUSE advisory group for inclusive finance</w:t>
            </w:r>
            <w:r>
              <w:rPr>
                <w:sz w:val="20"/>
                <w:szCs w:val="20"/>
              </w:rPr>
              <w:t>, and bi-annual MCIF.</w:t>
            </w:r>
          </w:p>
        </w:tc>
        <w:tc>
          <w:tcPr>
            <w:tcW w:w="2826" w:type="dxa"/>
          </w:tcPr>
          <w:p w:rsidR="00396A1E" w:rsidRPr="00280A10" w:rsidRDefault="00396A1E" w:rsidP="001F7396">
            <w:pPr>
              <w:rPr>
                <w:sz w:val="20"/>
                <w:szCs w:val="20"/>
              </w:rPr>
            </w:pPr>
          </w:p>
        </w:tc>
      </w:tr>
      <w:tr w:rsidR="00396A1E" w:rsidRPr="00280A10" w:rsidTr="00F37284">
        <w:trPr>
          <w:trHeight w:val="548"/>
        </w:trPr>
        <w:tc>
          <w:tcPr>
            <w:tcW w:w="2280" w:type="dxa"/>
            <w:vMerge/>
          </w:tcPr>
          <w:p w:rsidR="00396A1E" w:rsidRPr="00280A10" w:rsidRDefault="00396A1E" w:rsidP="001F7396">
            <w:pPr>
              <w:rPr>
                <w:sz w:val="20"/>
                <w:szCs w:val="20"/>
              </w:rPr>
            </w:pPr>
          </w:p>
        </w:tc>
        <w:tc>
          <w:tcPr>
            <w:tcW w:w="1171" w:type="dxa"/>
          </w:tcPr>
          <w:p w:rsidR="00396A1E" w:rsidRPr="00280A10" w:rsidRDefault="00396A1E" w:rsidP="001F7396">
            <w:pPr>
              <w:jc w:val="both"/>
              <w:rPr>
                <w:sz w:val="20"/>
                <w:szCs w:val="20"/>
              </w:rPr>
            </w:pPr>
            <w:r w:rsidRPr="00280A10">
              <w:rPr>
                <w:sz w:val="20"/>
                <w:szCs w:val="20"/>
              </w:rPr>
              <w:t>Indicator 1.4</w:t>
            </w:r>
          </w:p>
        </w:tc>
        <w:tc>
          <w:tcPr>
            <w:tcW w:w="2498" w:type="dxa"/>
          </w:tcPr>
          <w:p w:rsidR="00396A1E" w:rsidRPr="00280A10" w:rsidRDefault="00396A1E" w:rsidP="001F7396">
            <w:pPr>
              <w:pStyle w:val="TableText"/>
              <w:spacing w:before="0"/>
              <w:rPr>
                <w:rFonts w:ascii="Times New Roman" w:hAnsi="Times New Roman" w:cs="Times New Roman"/>
              </w:rPr>
            </w:pPr>
            <w:r w:rsidRPr="00280A10">
              <w:rPr>
                <w:rFonts w:ascii="Times New Roman" w:hAnsi="Times New Roman" w:cs="Times New Roman"/>
              </w:rPr>
              <w:t>UNDAF aligned with policy (Y2)</w:t>
            </w:r>
          </w:p>
          <w:p w:rsidR="00396A1E" w:rsidRPr="00280A10" w:rsidRDefault="00396A1E" w:rsidP="001F7396">
            <w:pPr>
              <w:pStyle w:val="TableText"/>
              <w:spacing w:before="0"/>
              <w:rPr>
                <w:rFonts w:ascii="Times New Roman" w:hAnsi="Times New Roman" w:cs="Times New Roman"/>
              </w:rPr>
            </w:pPr>
          </w:p>
          <w:p w:rsidR="00396A1E" w:rsidRPr="00280A10" w:rsidRDefault="00396A1E" w:rsidP="001F7396">
            <w:pPr>
              <w:pStyle w:val="TableText"/>
              <w:spacing w:before="0"/>
              <w:rPr>
                <w:rFonts w:ascii="Times New Roman" w:hAnsi="Times New Roman" w:cs="Times New Roman"/>
              </w:rPr>
            </w:pPr>
          </w:p>
        </w:tc>
        <w:tc>
          <w:tcPr>
            <w:tcW w:w="2426" w:type="dxa"/>
          </w:tcPr>
          <w:p w:rsidR="00396A1E" w:rsidRPr="00280A10" w:rsidRDefault="00396A1E" w:rsidP="001F7396">
            <w:pPr>
              <w:pStyle w:val="Bulletlevel1"/>
              <w:numPr>
                <w:ilvl w:val="0"/>
                <w:numId w:val="0"/>
              </w:numPr>
              <w:ind w:left="360" w:hanging="360"/>
              <w:rPr>
                <w:rFonts w:ascii="Times New Roman" w:hAnsi="Times New Roman"/>
                <w:sz w:val="20"/>
                <w:szCs w:val="20"/>
              </w:rPr>
            </w:pPr>
          </w:p>
        </w:tc>
        <w:tc>
          <w:tcPr>
            <w:tcW w:w="3783" w:type="dxa"/>
          </w:tcPr>
          <w:p w:rsidR="00396A1E" w:rsidRPr="00280A10" w:rsidRDefault="00396A1E" w:rsidP="001F7396">
            <w:pPr>
              <w:pStyle w:val="Bulletlevel1"/>
              <w:tabs>
                <w:tab w:val="clear" w:pos="360"/>
                <w:tab w:val="num" w:pos="145"/>
              </w:tabs>
              <w:ind w:left="145" w:hanging="184"/>
              <w:rPr>
                <w:rFonts w:ascii="Times New Roman" w:hAnsi="Times New Roman"/>
                <w:sz w:val="20"/>
                <w:szCs w:val="20"/>
              </w:rPr>
            </w:pPr>
            <w:r w:rsidRPr="00280A10">
              <w:rPr>
                <w:rFonts w:ascii="Times New Roman" w:hAnsi="Times New Roman"/>
                <w:sz w:val="20"/>
                <w:szCs w:val="20"/>
              </w:rPr>
              <w:t>INFUSE targets incorporated in UNDAF.</w:t>
            </w:r>
          </w:p>
          <w:p w:rsidR="00396A1E" w:rsidRPr="00280A10" w:rsidRDefault="00396A1E" w:rsidP="001F7396">
            <w:pPr>
              <w:pStyle w:val="Bulletlevel1"/>
              <w:numPr>
                <w:ilvl w:val="0"/>
                <w:numId w:val="0"/>
              </w:numPr>
              <w:ind w:left="360" w:hanging="360"/>
              <w:rPr>
                <w:rFonts w:ascii="Times New Roman" w:hAnsi="Times New Roman"/>
                <w:sz w:val="20"/>
                <w:szCs w:val="20"/>
              </w:rPr>
            </w:pPr>
          </w:p>
        </w:tc>
        <w:tc>
          <w:tcPr>
            <w:tcW w:w="2826" w:type="dxa"/>
          </w:tcPr>
          <w:p w:rsidR="00396A1E" w:rsidRPr="00280A10" w:rsidRDefault="00396A1E" w:rsidP="001F7396">
            <w:pPr>
              <w:rPr>
                <w:sz w:val="20"/>
                <w:szCs w:val="20"/>
              </w:rPr>
            </w:pPr>
            <w:bookmarkStart w:id="41" w:name="OLE_LINK5"/>
            <w:bookmarkStart w:id="42" w:name="OLE_LINK6"/>
            <w:r>
              <w:rPr>
                <w:sz w:val="20"/>
                <w:szCs w:val="20"/>
              </w:rPr>
              <w:t>No national policy statement for inclusive finance developed as yet</w:t>
            </w:r>
            <w:bookmarkEnd w:id="41"/>
            <w:bookmarkEnd w:id="42"/>
          </w:p>
        </w:tc>
      </w:tr>
      <w:tr w:rsidR="00396A1E" w:rsidRPr="00280A10" w:rsidTr="00F37284">
        <w:trPr>
          <w:trHeight w:val="548"/>
        </w:trPr>
        <w:tc>
          <w:tcPr>
            <w:tcW w:w="2280" w:type="dxa"/>
            <w:vMerge/>
          </w:tcPr>
          <w:p w:rsidR="00396A1E" w:rsidRPr="00280A10" w:rsidRDefault="00396A1E" w:rsidP="001F7396">
            <w:pPr>
              <w:rPr>
                <w:sz w:val="20"/>
                <w:szCs w:val="20"/>
              </w:rPr>
            </w:pPr>
          </w:p>
        </w:tc>
        <w:tc>
          <w:tcPr>
            <w:tcW w:w="1171" w:type="dxa"/>
          </w:tcPr>
          <w:p w:rsidR="00396A1E" w:rsidRPr="00280A10" w:rsidRDefault="00396A1E" w:rsidP="001F7396">
            <w:pPr>
              <w:jc w:val="both"/>
              <w:rPr>
                <w:sz w:val="20"/>
                <w:szCs w:val="20"/>
              </w:rPr>
            </w:pPr>
            <w:r w:rsidRPr="00280A10">
              <w:rPr>
                <w:sz w:val="20"/>
                <w:szCs w:val="20"/>
              </w:rPr>
              <w:t>Indicator 1.5</w:t>
            </w:r>
          </w:p>
        </w:tc>
        <w:tc>
          <w:tcPr>
            <w:tcW w:w="2498" w:type="dxa"/>
          </w:tcPr>
          <w:p w:rsidR="00396A1E" w:rsidRPr="00280A10" w:rsidRDefault="00396A1E" w:rsidP="001F7396">
            <w:pPr>
              <w:pStyle w:val="TableText"/>
              <w:spacing w:before="0"/>
              <w:rPr>
                <w:rFonts w:ascii="Times New Roman" w:hAnsi="Times New Roman" w:cs="Times New Roman"/>
              </w:rPr>
            </w:pPr>
            <w:r w:rsidRPr="00280A10">
              <w:rPr>
                <w:rFonts w:ascii="Times New Roman" w:hAnsi="Times New Roman" w:cs="Times New Roman"/>
              </w:rPr>
              <w:t>Current and future investments in the sub-sector are reviewed for compliance with national policy framework (Y3-5)</w:t>
            </w:r>
          </w:p>
        </w:tc>
        <w:tc>
          <w:tcPr>
            <w:tcW w:w="2426" w:type="dxa"/>
          </w:tcPr>
          <w:p w:rsidR="00396A1E" w:rsidRPr="00280A10" w:rsidRDefault="00396A1E" w:rsidP="001F7396">
            <w:pPr>
              <w:pStyle w:val="Bulletlevel1"/>
              <w:numPr>
                <w:ilvl w:val="0"/>
                <w:numId w:val="0"/>
              </w:numPr>
              <w:ind w:left="360" w:hanging="360"/>
              <w:rPr>
                <w:rFonts w:ascii="Times New Roman" w:hAnsi="Times New Roman"/>
                <w:sz w:val="20"/>
                <w:szCs w:val="20"/>
              </w:rPr>
            </w:pPr>
          </w:p>
        </w:tc>
        <w:tc>
          <w:tcPr>
            <w:tcW w:w="3783" w:type="dxa"/>
          </w:tcPr>
          <w:p w:rsidR="00396A1E" w:rsidRPr="00280A10" w:rsidRDefault="00396A1E" w:rsidP="00C520B2">
            <w:pPr>
              <w:numPr>
                <w:ilvl w:val="0"/>
                <w:numId w:val="27"/>
              </w:numPr>
              <w:tabs>
                <w:tab w:val="clear" w:pos="720"/>
                <w:tab w:val="num" w:pos="140"/>
              </w:tabs>
              <w:ind w:left="140" w:hanging="140"/>
              <w:rPr>
                <w:sz w:val="20"/>
                <w:szCs w:val="20"/>
              </w:rPr>
            </w:pPr>
            <w:r w:rsidRPr="00280A10">
              <w:rPr>
                <w:sz w:val="20"/>
                <w:szCs w:val="20"/>
              </w:rPr>
              <w:t>Key donors approached to contribute to INFUSE resulting in app. US$3 million mobilized for INFUSE program, US$1million mobilized from MicroLead for one MFI, and funding for another MFI committed fro</w:t>
            </w:r>
            <w:r>
              <w:rPr>
                <w:sz w:val="20"/>
                <w:szCs w:val="20"/>
              </w:rPr>
              <w:t>m MAS and Credit Agricole</w:t>
            </w:r>
          </w:p>
          <w:p w:rsidR="00396A1E" w:rsidRPr="00280A10" w:rsidRDefault="00396A1E" w:rsidP="001F7396">
            <w:pPr>
              <w:rPr>
                <w:sz w:val="20"/>
                <w:szCs w:val="20"/>
              </w:rPr>
            </w:pPr>
          </w:p>
        </w:tc>
        <w:tc>
          <w:tcPr>
            <w:tcW w:w="2826" w:type="dxa"/>
          </w:tcPr>
          <w:p w:rsidR="00396A1E" w:rsidRPr="00280A10" w:rsidRDefault="00396A1E" w:rsidP="001F7396">
            <w:pPr>
              <w:rPr>
                <w:sz w:val="20"/>
                <w:szCs w:val="20"/>
              </w:rPr>
            </w:pPr>
            <w:r>
              <w:rPr>
                <w:sz w:val="20"/>
                <w:szCs w:val="20"/>
              </w:rPr>
              <w:t>No national policy statement for inclusive finance developed as yet</w:t>
            </w:r>
          </w:p>
        </w:tc>
      </w:tr>
      <w:tr w:rsidR="00396A1E" w:rsidRPr="00280A10" w:rsidTr="00F37284">
        <w:trPr>
          <w:trHeight w:val="548"/>
        </w:trPr>
        <w:tc>
          <w:tcPr>
            <w:tcW w:w="2280" w:type="dxa"/>
            <w:vMerge w:val="restart"/>
          </w:tcPr>
          <w:p w:rsidR="00396A1E" w:rsidRPr="00280A10" w:rsidRDefault="00396A1E" w:rsidP="001F7396">
            <w:pPr>
              <w:rPr>
                <w:b/>
                <w:sz w:val="20"/>
                <w:szCs w:val="20"/>
              </w:rPr>
            </w:pPr>
            <w:r w:rsidRPr="00280A10">
              <w:rPr>
                <w:b/>
                <w:sz w:val="20"/>
                <w:szCs w:val="20"/>
              </w:rPr>
              <w:t>Output 2</w:t>
            </w:r>
          </w:p>
          <w:p w:rsidR="00396A1E" w:rsidRPr="00280A10" w:rsidRDefault="00396A1E" w:rsidP="001F7396">
            <w:pPr>
              <w:pStyle w:val="BodyText"/>
              <w:spacing w:before="120"/>
              <w:rPr>
                <w:rFonts w:ascii="Times New Roman" w:hAnsi="Times New Roman" w:cs="Times New Roman"/>
                <w:b/>
                <w:bCs/>
              </w:rPr>
            </w:pPr>
            <w:r w:rsidRPr="00280A10">
              <w:rPr>
                <w:rFonts w:ascii="Times New Roman" w:hAnsi="Times New Roman" w:cs="Times New Roman"/>
                <w:b/>
                <w:bCs/>
              </w:rPr>
              <w:t>Increased Outreach of financial services by sustainable FSPs</w:t>
            </w:r>
          </w:p>
          <w:p w:rsidR="00396A1E" w:rsidRPr="00280A10" w:rsidRDefault="00396A1E" w:rsidP="001F7396">
            <w:pPr>
              <w:pStyle w:val="BodyText"/>
              <w:spacing w:before="120"/>
              <w:rPr>
                <w:rFonts w:ascii="Times New Roman" w:hAnsi="Times New Roman" w:cs="Times New Roman"/>
                <w:b/>
                <w:bCs/>
              </w:rPr>
            </w:pPr>
          </w:p>
          <w:p w:rsidR="00396A1E" w:rsidRPr="00280A10" w:rsidRDefault="00396A1E" w:rsidP="001F7396">
            <w:pPr>
              <w:rPr>
                <w:sz w:val="20"/>
                <w:szCs w:val="20"/>
                <w:lang w:val="en-GB"/>
              </w:rPr>
            </w:pPr>
            <w:r w:rsidRPr="00280A10">
              <w:rPr>
                <w:sz w:val="20"/>
                <w:szCs w:val="20"/>
              </w:rPr>
              <w:t>Good practice-based Financial Services Providers (FSPs) serving primarily the poor and low-income market make progress towards sustainability and increase their outreach, while maintaining a high portfolio quality</w:t>
            </w:r>
          </w:p>
          <w:p w:rsidR="00396A1E" w:rsidRPr="00280A10" w:rsidRDefault="00396A1E" w:rsidP="001F7396">
            <w:pPr>
              <w:rPr>
                <w:sz w:val="20"/>
                <w:szCs w:val="20"/>
                <w:lang w:val="en-GB"/>
              </w:rPr>
            </w:pPr>
          </w:p>
        </w:tc>
        <w:tc>
          <w:tcPr>
            <w:tcW w:w="1171" w:type="dxa"/>
          </w:tcPr>
          <w:p w:rsidR="00396A1E" w:rsidRDefault="00396A1E" w:rsidP="00396A1E">
            <w:pPr>
              <w:pStyle w:val="Bulletlevel1"/>
              <w:numPr>
                <w:ilvl w:val="0"/>
                <w:numId w:val="0"/>
              </w:numPr>
              <w:ind w:left="-39"/>
              <w:rPr>
                <w:sz w:val="20"/>
                <w:szCs w:val="20"/>
              </w:rPr>
            </w:pPr>
            <w:r w:rsidRPr="00280A10">
              <w:rPr>
                <w:sz w:val="20"/>
                <w:szCs w:val="20"/>
              </w:rPr>
              <w:t>Indicator  2.1</w:t>
            </w:r>
          </w:p>
          <w:p w:rsidR="00396A1E" w:rsidRDefault="00396A1E" w:rsidP="00396A1E">
            <w:pPr>
              <w:pStyle w:val="Bulletlevel1"/>
              <w:numPr>
                <w:ilvl w:val="0"/>
                <w:numId w:val="0"/>
              </w:numPr>
              <w:ind w:left="-39"/>
              <w:rPr>
                <w:sz w:val="20"/>
                <w:szCs w:val="20"/>
              </w:rPr>
            </w:pPr>
          </w:p>
          <w:p w:rsidR="00396A1E" w:rsidRPr="00280A10" w:rsidRDefault="00396A1E" w:rsidP="00396A1E">
            <w:pPr>
              <w:pStyle w:val="Bulletlevel1"/>
              <w:numPr>
                <w:ilvl w:val="0"/>
                <w:numId w:val="0"/>
              </w:numPr>
              <w:ind w:left="-39"/>
              <w:rPr>
                <w:rFonts w:ascii="Times New Roman" w:hAnsi="Times New Roman"/>
                <w:b/>
                <w:bCs/>
                <w:sz w:val="20"/>
                <w:szCs w:val="20"/>
              </w:rPr>
            </w:pPr>
            <w:r w:rsidRPr="00280A10">
              <w:rPr>
                <w:rFonts w:ascii="Times New Roman" w:hAnsi="Times New Roman"/>
                <w:sz w:val="20"/>
                <w:szCs w:val="20"/>
              </w:rPr>
              <w:t xml:space="preserve">Baseline as at Dec 2008 is </w:t>
            </w:r>
            <w:r w:rsidRPr="00280A10">
              <w:rPr>
                <w:rFonts w:ascii="Times New Roman" w:hAnsi="Times New Roman"/>
                <w:b/>
                <w:bCs/>
                <w:sz w:val="20"/>
                <w:szCs w:val="20"/>
              </w:rPr>
              <w:t xml:space="preserve">           35,369 </w:t>
            </w:r>
          </w:p>
          <w:p w:rsidR="00396A1E" w:rsidRPr="00280A10" w:rsidRDefault="00396A1E" w:rsidP="001F7396">
            <w:pPr>
              <w:jc w:val="both"/>
              <w:rPr>
                <w:sz w:val="20"/>
                <w:szCs w:val="20"/>
              </w:rPr>
            </w:pPr>
          </w:p>
        </w:tc>
        <w:tc>
          <w:tcPr>
            <w:tcW w:w="2498" w:type="dxa"/>
          </w:tcPr>
          <w:p w:rsidR="00396A1E" w:rsidRPr="00280A10" w:rsidRDefault="00396A1E" w:rsidP="001F7396">
            <w:pPr>
              <w:rPr>
                <w:sz w:val="20"/>
                <w:szCs w:val="20"/>
              </w:rPr>
            </w:pPr>
            <w:r w:rsidRPr="00280A10">
              <w:rPr>
                <w:sz w:val="20"/>
                <w:szCs w:val="20"/>
              </w:rPr>
              <w:t xml:space="preserve">Increase in the number of active clients (at least 50% women) of selected Financial Service Providers (excluding commercial banks) from baseline established as at end of 2008 by 20% percent p.a. (compounded), totaling </w:t>
            </w:r>
            <w:r w:rsidRPr="00280A10">
              <w:rPr>
                <w:b/>
                <w:bCs/>
                <w:sz w:val="20"/>
                <w:szCs w:val="20"/>
              </w:rPr>
              <w:t>73,341 active clients</w:t>
            </w:r>
            <w:r w:rsidRPr="00280A10">
              <w:rPr>
                <w:sz w:val="20"/>
                <w:szCs w:val="20"/>
              </w:rPr>
              <w:t xml:space="preserve"> by project end.  (A breakdown of product</w:t>
            </w:r>
          </w:p>
        </w:tc>
        <w:tc>
          <w:tcPr>
            <w:tcW w:w="2426" w:type="dxa"/>
          </w:tcPr>
          <w:p w:rsidR="00396A1E" w:rsidRPr="00280A10" w:rsidRDefault="00396A1E" w:rsidP="001F7396">
            <w:pPr>
              <w:pStyle w:val="Bulletlevel1"/>
              <w:tabs>
                <w:tab w:val="clear" w:pos="360"/>
                <w:tab w:val="num" w:pos="145"/>
              </w:tabs>
              <w:ind w:left="145" w:hanging="184"/>
              <w:rPr>
                <w:rFonts w:ascii="Times New Roman" w:hAnsi="Times New Roman"/>
                <w:sz w:val="20"/>
                <w:szCs w:val="20"/>
              </w:rPr>
            </w:pPr>
            <w:bookmarkStart w:id="43" w:name="OLE_LINK3"/>
            <w:bookmarkStart w:id="44" w:name="OLE_LINK4"/>
            <w:r w:rsidRPr="00280A10">
              <w:rPr>
                <w:rFonts w:ascii="Times New Roman" w:hAnsi="Times New Roman"/>
                <w:sz w:val="20"/>
                <w:szCs w:val="20"/>
              </w:rPr>
              <w:t xml:space="preserve">34,733 clients of FSPs involved in provision of microfinance services (3 MFIs and credit unions) as of Dec 2008 increased to </w:t>
            </w:r>
            <w:r w:rsidRPr="00280A10">
              <w:rPr>
                <w:rFonts w:ascii="Times New Roman" w:hAnsi="Times New Roman"/>
                <w:b/>
                <w:bCs/>
                <w:sz w:val="20"/>
                <w:szCs w:val="20"/>
              </w:rPr>
              <w:t xml:space="preserve">55,851 </w:t>
            </w:r>
            <w:r w:rsidRPr="00280A10">
              <w:rPr>
                <w:rFonts w:ascii="Times New Roman" w:hAnsi="Times New Roman"/>
                <w:sz w:val="20"/>
                <w:szCs w:val="20"/>
              </w:rPr>
              <w:t>as of December 2010, representing 27% p.a. growth (compounded).</w:t>
            </w:r>
            <w:r>
              <w:rPr>
                <w:rFonts w:ascii="Times New Roman" w:hAnsi="Times New Roman"/>
                <w:sz w:val="20"/>
                <w:szCs w:val="20"/>
              </w:rPr>
              <w:t xml:space="preserve">  Of this total, 14,734 are clients of INFUSE-supported MFIs.</w:t>
            </w:r>
          </w:p>
          <w:bookmarkEnd w:id="43"/>
          <w:bookmarkEnd w:id="44"/>
          <w:p w:rsidR="00396A1E" w:rsidRPr="00280A10" w:rsidRDefault="00396A1E" w:rsidP="001F7396">
            <w:pPr>
              <w:pStyle w:val="Bulletlevel1"/>
              <w:numPr>
                <w:ilvl w:val="0"/>
                <w:numId w:val="0"/>
              </w:numPr>
              <w:ind w:left="360" w:hanging="360"/>
              <w:rPr>
                <w:rFonts w:ascii="Times New Roman" w:hAnsi="Times New Roman"/>
                <w:sz w:val="20"/>
                <w:szCs w:val="20"/>
              </w:rPr>
            </w:pPr>
          </w:p>
        </w:tc>
        <w:tc>
          <w:tcPr>
            <w:tcW w:w="3783" w:type="dxa"/>
          </w:tcPr>
          <w:p w:rsidR="00396A1E" w:rsidRPr="00280A10" w:rsidRDefault="00396A1E" w:rsidP="001F7396">
            <w:pPr>
              <w:pStyle w:val="Bulletlevel1"/>
              <w:numPr>
                <w:ilvl w:val="0"/>
                <w:numId w:val="0"/>
              </w:numPr>
              <w:ind w:left="360" w:hanging="360"/>
              <w:rPr>
                <w:rFonts w:ascii="Times New Roman" w:hAnsi="Times New Roman"/>
                <w:sz w:val="20"/>
                <w:szCs w:val="20"/>
              </w:rPr>
            </w:pPr>
          </w:p>
        </w:tc>
        <w:tc>
          <w:tcPr>
            <w:tcW w:w="2826" w:type="dxa"/>
          </w:tcPr>
          <w:p w:rsidR="00396A1E" w:rsidRPr="00280A10" w:rsidRDefault="00396A1E" w:rsidP="001F7396">
            <w:pPr>
              <w:rPr>
                <w:sz w:val="20"/>
                <w:szCs w:val="20"/>
              </w:rPr>
            </w:pPr>
          </w:p>
        </w:tc>
      </w:tr>
      <w:tr w:rsidR="00396A1E" w:rsidRPr="00280A10" w:rsidTr="00F37284">
        <w:trPr>
          <w:trHeight w:val="548"/>
        </w:trPr>
        <w:tc>
          <w:tcPr>
            <w:tcW w:w="2280" w:type="dxa"/>
            <w:vMerge/>
          </w:tcPr>
          <w:p w:rsidR="00396A1E" w:rsidRPr="00280A10" w:rsidRDefault="00396A1E" w:rsidP="001F7396">
            <w:pPr>
              <w:rPr>
                <w:sz w:val="20"/>
                <w:szCs w:val="20"/>
              </w:rPr>
            </w:pPr>
          </w:p>
        </w:tc>
        <w:tc>
          <w:tcPr>
            <w:tcW w:w="1171" w:type="dxa"/>
          </w:tcPr>
          <w:p w:rsidR="00396A1E" w:rsidRPr="00280A10" w:rsidRDefault="00396A1E" w:rsidP="001F7396">
            <w:pPr>
              <w:jc w:val="both"/>
              <w:rPr>
                <w:sz w:val="20"/>
                <w:szCs w:val="20"/>
              </w:rPr>
            </w:pPr>
            <w:r w:rsidRPr="00280A10">
              <w:rPr>
                <w:sz w:val="20"/>
                <w:szCs w:val="20"/>
              </w:rPr>
              <w:t>Indicator 2.2</w:t>
            </w:r>
          </w:p>
        </w:tc>
        <w:tc>
          <w:tcPr>
            <w:tcW w:w="2498" w:type="dxa"/>
          </w:tcPr>
          <w:p w:rsidR="00396A1E" w:rsidRPr="00280A10" w:rsidRDefault="00396A1E" w:rsidP="001F7396">
            <w:pPr>
              <w:pStyle w:val="Bulletlevel1"/>
              <w:numPr>
                <w:ilvl w:val="0"/>
                <w:numId w:val="0"/>
              </w:numPr>
              <w:rPr>
                <w:rFonts w:ascii="Times New Roman" w:hAnsi="Times New Roman"/>
                <w:sz w:val="20"/>
                <w:szCs w:val="20"/>
              </w:rPr>
            </w:pPr>
            <w:r w:rsidRPr="00280A10">
              <w:rPr>
                <w:rFonts w:ascii="Times New Roman" w:hAnsi="Times New Roman"/>
                <w:sz w:val="20"/>
                <w:szCs w:val="20"/>
              </w:rPr>
              <w:t xml:space="preserve">Introduction of pro-poor financial products by commercial bank and/or mobile network operators (MNOs), resulting in an additional </w:t>
            </w:r>
            <w:r w:rsidRPr="00280A10">
              <w:rPr>
                <w:rFonts w:ascii="Times New Roman" w:hAnsi="Times New Roman"/>
                <w:b/>
                <w:bCs/>
                <w:sz w:val="20"/>
                <w:szCs w:val="20"/>
              </w:rPr>
              <w:t>40,000 clients</w:t>
            </w:r>
            <w:r w:rsidRPr="00280A10">
              <w:rPr>
                <w:rFonts w:ascii="Times New Roman" w:hAnsi="Times New Roman"/>
                <w:sz w:val="20"/>
                <w:szCs w:val="20"/>
              </w:rPr>
              <w:t xml:space="preserve"> obtaining access to a secure savings account. </w:t>
            </w:r>
          </w:p>
          <w:p w:rsidR="00396A1E" w:rsidRPr="00280A10" w:rsidRDefault="00396A1E" w:rsidP="001F7396">
            <w:pPr>
              <w:rPr>
                <w:sz w:val="20"/>
                <w:szCs w:val="20"/>
              </w:rPr>
            </w:pPr>
          </w:p>
        </w:tc>
        <w:tc>
          <w:tcPr>
            <w:tcW w:w="2426" w:type="dxa"/>
          </w:tcPr>
          <w:p w:rsidR="00396A1E" w:rsidRPr="00280A10" w:rsidRDefault="00396A1E" w:rsidP="001F7396">
            <w:pPr>
              <w:pStyle w:val="Bulletlevel1"/>
              <w:numPr>
                <w:ilvl w:val="0"/>
                <w:numId w:val="0"/>
              </w:numPr>
              <w:ind w:left="360" w:hanging="360"/>
              <w:rPr>
                <w:rFonts w:ascii="Times New Roman" w:hAnsi="Times New Roman"/>
                <w:sz w:val="20"/>
                <w:szCs w:val="20"/>
              </w:rPr>
            </w:pPr>
            <w:r>
              <w:rPr>
                <w:rFonts w:ascii="Times New Roman" w:hAnsi="Times New Roman"/>
                <w:sz w:val="20"/>
                <w:szCs w:val="20"/>
              </w:rPr>
              <w:t>No</w:t>
            </w:r>
          </w:p>
        </w:tc>
        <w:tc>
          <w:tcPr>
            <w:tcW w:w="3783" w:type="dxa"/>
          </w:tcPr>
          <w:p w:rsidR="00396A1E" w:rsidRPr="00280A10" w:rsidRDefault="00396A1E" w:rsidP="001F7396">
            <w:pPr>
              <w:pStyle w:val="Bulletlevel1"/>
              <w:tabs>
                <w:tab w:val="clear" w:pos="360"/>
                <w:tab w:val="num" w:pos="145"/>
              </w:tabs>
              <w:ind w:left="145" w:hanging="184"/>
              <w:rPr>
                <w:rFonts w:ascii="Times New Roman" w:hAnsi="Times New Roman"/>
                <w:sz w:val="20"/>
                <w:szCs w:val="20"/>
              </w:rPr>
            </w:pPr>
            <w:r w:rsidRPr="00280A10">
              <w:rPr>
                <w:rFonts w:ascii="Times New Roman" w:hAnsi="Times New Roman"/>
                <w:sz w:val="20"/>
                <w:szCs w:val="20"/>
              </w:rPr>
              <w:t xml:space="preserve">INFUSE </w:t>
            </w:r>
            <w:r>
              <w:rPr>
                <w:rFonts w:ascii="Times New Roman" w:hAnsi="Times New Roman"/>
                <w:sz w:val="20"/>
                <w:szCs w:val="20"/>
              </w:rPr>
              <w:t>lent support to</w:t>
            </w:r>
            <w:r w:rsidRPr="00280A10">
              <w:rPr>
                <w:rFonts w:ascii="Times New Roman" w:hAnsi="Times New Roman"/>
                <w:sz w:val="20"/>
                <w:szCs w:val="20"/>
              </w:rPr>
              <w:t xml:space="preserve"> ADB</w:t>
            </w:r>
            <w:r>
              <w:rPr>
                <w:rFonts w:ascii="Times New Roman" w:hAnsi="Times New Roman"/>
                <w:sz w:val="20"/>
                <w:szCs w:val="20"/>
              </w:rPr>
              <w:t>/Bankable Frontiers Associate’s</w:t>
            </w:r>
            <w:r w:rsidRPr="00280A10">
              <w:rPr>
                <w:rFonts w:ascii="Times New Roman" w:hAnsi="Times New Roman"/>
                <w:sz w:val="20"/>
                <w:szCs w:val="20"/>
              </w:rPr>
              <w:t xml:space="preserve"> assessment for potential of branchless banking in July 2010.</w:t>
            </w:r>
          </w:p>
          <w:p w:rsidR="00396A1E" w:rsidRPr="00280A10" w:rsidRDefault="00396A1E" w:rsidP="001F7396">
            <w:pPr>
              <w:pStyle w:val="Bulletlevel1"/>
              <w:numPr>
                <w:ilvl w:val="0"/>
                <w:numId w:val="0"/>
              </w:numPr>
              <w:ind w:left="360" w:hanging="360"/>
              <w:rPr>
                <w:rFonts w:ascii="Times New Roman" w:hAnsi="Times New Roman"/>
                <w:sz w:val="20"/>
                <w:szCs w:val="20"/>
              </w:rPr>
            </w:pPr>
          </w:p>
        </w:tc>
        <w:tc>
          <w:tcPr>
            <w:tcW w:w="2826" w:type="dxa"/>
          </w:tcPr>
          <w:p w:rsidR="00396A1E" w:rsidRPr="00280A10" w:rsidRDefault="00396A1E" w:rsidP="001F7396">
            <w:pPr>
              <w:rPr>
                <w:sz w:val="20"/>
                <w:szCs w:val="20"/>
              </w:rPr>
            </w:pPr>
            <w:r>
              <w:rPr>
                <w:sz w:val="20"/>
                <w:szCs w:val="20"/>
              </w:rPr>
              <w:t>-Commercial banks and the single telecommunications service provider (monopoly through 2017) are currently not interested in developing new products and/or going down-market</w:t>
            </w:r>
          </w:p>
        </w:tc>
      </w:tr>
      <w:tr w:rsidR="00396A1E" w:rsidRPr="00280A10" w:rsidTr="00F37284">
        <w:trPr>
          <w:trHeight w:val="548"/>
        </w:trPr>
        <w:tc>
          <w:tcPr>
            <w:tcW w:w="2280" w:type="dxa"/>
            <w:vMerge/>
          </w:tcPr>
          <w:p w:rsidR="00396A1E" w:rsidRPr="00280A10" w:rsidRDefault="00396A1E" w:rsidP="001F7396">
            <w:pPr>
              <w:rPr>
                <w:sz w:val="20"/>
                <w:szCs w:val="20"/>
              </w:rPr>
            </w:pPr>
          </w:p>
        </w:tc>
        <w:tc>
          <w:tcPr>
            <w:tcW w:w="1171" w:type="dxa"/>
          </w:tcPr>
          <w:p w:rsidR="00396A1E" w:rsidRPr="00280A10" w:rsidRDefault="00396A1E" w:rsidP="001F7396">
            <w:pPr>
              <w:jc w:val="both"/>
              <w:rPr>
                <w:sz w:val="20"/>
                <w:szCs w:val="20"/>
              </w:rPr>
            </w:pPr>
            <w:r w:rsidRPr="00280A10">
              <w:rPr>
                <w:sz w:val="20"/>
                <w:szCs w:val="20"/>
              </w:rPr>
              <w:t>Indicator 2.3</w:t>
            </w:r>
          </w:p>
        </w:tc>
        <w:tc>
          <w:tcPr>
            <w:tcW w:w="2498" w:type="dxa"/>
          </w:tcPr>
          <w:p w:rsidR="00396A1E" w:rsidRPr="00280A10" w:rsidRDefault="00396A1E" w:rsidP="001F7396">
            <w:pPr>
              <w:rPr>
                <w:sz w:val="20"/>
                <w:szCs w:val="20"/>
              </w:rPr>
            </w:pPr>
            <w:r w:rsidRPr="00280A10">
              <w:rPr>
                <w:sz w:val="20"/>
                <w:szCs w:val="20"/>
              </w:rPr>
              <w:t>At least 3 MFIs have achieved financial break-even (Financial Self Sufficiency (FSS) &gt;= 100%) by project end</w:t>
            </w:r>
          </w:p>
        </w:tc>
        <w:tc>
          <w:tcPr>
            <w:tcW w:w="2426" w:type="dxa"/>
          </w:tcPr>
          <w:p w:rsidR="00396A1E" w:rsidRPr="00280A10" w:rsidRDefault="00396A1E" w:rsidP="001F7396">
            <w:pPr>
              <w:rPr>
                <w:sz w:val="20"/>
                <w:szCs w:val="20"/>
              </w:rPr>
            </w:pPr>
            <w:r w:rsidRPr="00280A10">
              <w:rPr>
                <w:sz w:val="20"/>
                <w:szCs w:val="20"/>
              </w:rPr>
              <w:t>2 MFIs have achieved FSS</w:t>
            </w:r>
          </w:p>
          <w:p w:rsidR="00396A1E" w:rsidRPr="00280A10" w:rsidRDefault="00396A1E" w:rsidP="001F7396">
            <w:pPr>
              <w:rPr>
                <w:sz w:val="20"/>
                <w:szCs w:val="20"/>
              </w:rPr>
            </w:pPr>
          </w:p>
        </w:tc>
        <w:tc>
          <w:tcPr>
            <w:tcW w:w="3783" w:type="dxa"/>
          </w:tcPr>
          <w:p w:rsidR="00396A1E" w:rsidRPr="00280A10" w:rsidRDefault="00396A1E" w:rsidP="001F7396">
            <w:pPr>
              <w:pStyle w:val="Bulletlevel1"/>
              <w:tabs>
                <w:tab w:val="clear" w:pos="360"/>
                <w:tab w:val="num" w:pos="145"/>
              </w:tabs>
              <w:ind w:left="145" w:hanging="184"/>
              <w:rPr>
                <w:rFonts w:ascii="Times New Roman" w:hAnsi="Times New Roman"/>
                <w:sz w:val="20"/>
                <w:szCs w:val="20"/>
              </w:rPr>
            </w:pPr>
            <w:r w:rsidRPr="00280A10">
              <w:rPr>
                <w:rFonts w:ascii="Times New Roman" w:hAnsi="Times New Roman"/>
                <w:sz w:val="20"/>
                <w:szCs w:val="20"/>
              </w:rPr>
              <w:t xml:space="preserve">Moris Rasik </w:t>
            </w:r>
            <w:r>
              <w:rPr>
                <w:rFonts w:ascii="Times New Roman" w:hAnsi="Times New Roman"/>
                <w:sz w:val="20"/>
                <w:szCs w:val="20"/>
              </w:rPr>
              <w:t>FSS</w:t>
            </w:r>
            <w:r w:rsidRPr="00280A10">
              <w:rPr>
                <w:rFonts w:ascii="Times New Roman" w:hAnsi="Times New Roman"/>
                <w:sz w:val="20"/>
                <w:szCs w:val="20"/>
              </w:rPr>
              <w:t xml:space="preserve"> from Dec 2008 to Dec 20</w:t>
            </w:r>
            <w:r>
              <w:rPr>
                <w:rFonts w:ascii="Times New Roman" w:hAnsi="Times New Roman"/>
                <w:sz w:val="20"/>
                <w:szCs w:val="20"/>
              </w:rPr>
              <w:t>10</w:t>
            </w:r>
            <w:r w:rsidRPr="00280A10">
              <w:rPr>
                <w:rFonts w:ascii="Times New Roman" w:hAnsi="Times New Roman"/>
                <w:sz w:val="20"/>
                <w:szCs w:val="20"/>
              </w:rPr>
              <w:t>: increased from 100.7%  to 10</w:t>
            </w:r>
            <w:r>
              <w:rPr>
                <w:rFonts w:ascii="Times New Roman" w:hAnsi="Times New Roman"/>
                <w:sz w:val="20"/>
                <w:szCs w:val="20"/>
              </w:rPr>
              <w:t>4</w:t>
            </w:r>
            <w:r w:rsidRPr="00280A10">
              <w:rPr>
                <w:rFonts w:ascii="Times New Roman" w:hAnsi="Times New Roman"/>
                <w:sz w:val="20"/>
                <w:szCs w:val="20"/>
              </w:rPr>
              <w:t xml:space="preserve">.8% </w:t>
            </w:r>
          </w:p>
          <w:p w:rsidR="00396A1E" w:rsidRPr="00280A10" w:rsidRDefault="00396A1E" w:rsidP="001F7396">
            <w:pPr>
              <w:pStyle w:val="Bulletlevel1"/>
              <w:numPr>
                <w:ilvl w:val="0"/>
                <w:numId w:val="0"/>
              </w:numPr>
              <w:ind w:left="144" w:hanging="144"/>
              <w:rPr>
                <w:rFonts w:ascii="Times New Roman" w:hAnsi="Times New Roman"/>
                <w:sz w:val="20"/>
                <w:szCs w:val="20"/>
              </w:rPr>
            </w:pPr>
            <w:r>
              <w:rPr>
                <w:rFonts w:ascii="Times New Roman" w:hAnsi="Times New Roman"/>
                <w:sz w:val="20"/>
                <w:szCs w:val="20"/>
              </w:rPr>
              <w:t>- TRM FSS: from Dec 2008 to Dec 2010: increased  89.8% to 112.7</w:t>
            </w:r>
            <w:r w:rsidRPr="00280A10">
              <w:rPr>
                <w:rFonts w:ascii="Times New Roman" w:hAnsi="Times New Roman"/>
                <w:sz w:val="20"/>
                <w:szCs w:val="20"/>
              </w:rPr>
              <w:t xml:space="preserve"> </w:t>
            </w:r>
          </w:p>
        </w:tc>
        <w:tc>
          <w:tcPr>
            <w:tcW w:w="2826" w:type="dxa"/>
            <w:vMerge w:val="restart"/>
          </w:tcPr>
          <w:p w:rsidR="00396A1E" w:rsidRDefault="00396A1E" w:rsidP="001F7396">
            <w:pPr>
              <w:rPr>
                <w:sz w:val="20"/>
                <w:szCs w:val="20"/>
              </w:rPr>
            </w:pPr>
            <w:r>
              <w:rPr>
                <w:sz w:val="20"/>
                <w:szCs w:val="20"/>
              </w:rPr>
              <w:t>INFUSE does not currently directly support the 3</w:t>
            </w:r>
            <w:r w:rsidRPr="00993573">
              <w:rPr>
                <w:sz w:val="20"/>
                <w:szCs w:val="20"/>
                <w:vertAlign w:val="superscript"/>
              </w:rPr>
              <w:t>rd</w:t>
            </w:r>
            <w:r>
              <w:rPr>
                <w:sz w:val="20"/>
                <w:szCs w:val="20"/>
              </w:rPr>
              <w:t xml:space="preserve"> MFI, and as such does not receive full financial reports</w:t>
            </w:r>
          </w:p>
          <w:p w:rsidR="00396A1E" w:rsidRPr="00280A10" w:rsidRDefault="00396A1E" w:rsidP="001F7396">
            <w:pPr>
              <w:rPr>
                <w:sz w:val="20"/>
                <w:szCs w:val="20"/>
              </w:rPr>
            </w:pPr>
          </w:p>
        </w:tc>
      </w:tr>
      <w:tr w:rsidR="00396A1E" w:rsidRPr="00280A10" w:rsidTr="00F37284">
        <w:trPr>
          <w:trHeight w:val="548"/>
        </w:trPr>
        <w:tc>
          <w:tcPr>
            <w:tcW w:w="2280" w:type="dxa"/>
            <w:vMerge/>
          </w:tcPr>
          <w:p w:rsidR="00396A1E" w:rsidRPr="00280A10" w:rsidRDefault="00396A1E" w:rsidP="001F7396">
            <w:pPr>
              <w:rPr>
                <w:sz w:val="20"/>
                <w:szCs w:val="20"/>
              </w:rPr>
            </w:pPr>
          </w:p>
        </w:tc>
        <w:tc>
          <w:tcPr>
            <w:tcW w:w="1171" w:type="dxa"/>
          </w:tcPr>
          <w:p w:rsidR="00396A1E" w:rsidRPr="00280A10" w:rsidRDefault="00396A1E" w:rsidP="001F7396">
            <w:pPr>
              <w:jc w:val="both"/>
              <w:rPr>
                <w:sz w:val="20"/>
                <w:szCs w:val="20"/>
              </w:rPr>
            </w:pPr>
            <w:r w:rsidRPr="00280A10">
              <w:rPr>
                <w:sz w:val="20"/>
                <w:szCs w:val="20"/>
              </w:rPr>
              <w:t>Indicator 2.4</w:t>
            </w:r>
          </w:p>
        </w:tc>
        <w:tc>
          <w:tcPr>
            <w:tcW w:w="2498" w:type="dxa"/>
          </w:tcPr>
          <w:p w:rsidR="00396A1E" w:rsidRPr="00280A10" w:rsidRDefault="00396A1E" w:rsidP="001F7396">
            <w:pPr>
              <w:pStyle w:val="Bulletlevel1"/>
              <w:numPr>
                <w:ilvl w:val="0"/>
                <w:numId w:val="0"/>
              </w:numPr>
              <w:rPr>
                <w:rFonts w:ascii="Times New Roman" w:hAnsi="Times New Roman"/>
                <w:sz w:val="20"/>
                <w:szCs w:val="20"/>
              </w:rPr>
            </w:pPr>
            <w:r w:rsidRPr="00280A10">
              <w:rPr>
                <w:rFonts w:ascii="Times New Roman" w:hAnsi="Times New Roman"/>
                <w:sz w:val="20"/>
                <w:szCs w:val="20"/>
              </w:rPr>
              <w:t>The 3 financially self-sufficient MFIs maintain an average PaR (30 days) of no more than 5%.</w:t>
            </w:r>
          </w:p>
          <w:p w:rsidR="00396A1E" w:rsidRPr="00280A10" w:rsidRDefault="00396A1E" w:rsidP="001F7396">
            <w:pPr>
              <w:pStyle w:val="TableText"/>
              <w:spacing w:before="0"/>
              <w:rPr>
                <w:rFonts w:ascii="Times New Roman" w:hAnsi="Times New Roman" w:cs="Times New Roman"/>
              </w:rPr>
            </w:pPr>
          </w:p>
        </w:tc>
        <w:tc>
          <w:tcPr>
            <w:tcW w:w="2426" w:type="dxa"/>
          </w:tcPr>
          <w:p w:rsidR="00396A1E" w:rsidRPr="00280A10" w:rsidRDefault="00396A1E" w:rsidP="001F7396">
            <w:pPr>
              <w:pStyle w:val="Bulletlevel1"/>
              <w:numPr>
                <w:ilvl w:val="0"/>
                <w:numId w:val="0"/>
              </w:numPr>
              <w:ind w:left="-39"/>
              <w:rPr>
                <w:rFonts w:ascii="Times New Roman" w:hAnsi="Times New Roman"/>
                <w:sz w:val="20"/>
                <w:szCs w:val="20"/>
              </w:rPr>
            </w:pPr>
            <w:r w:rsidRPr="00280A10">
              <w:rPr>
                <w:rFonts w:ascii="Times New Roman" w:hAnsi="Times New Roman"/>
                <w:sz w:val="20"/>
                <w:szCs w:val="20"/>
              </w:rPr>
              <w:t>2 MFIs have PAR below 5%</w:t>
            </w:r>
          </w:p>
        </w:tc>
        <w:tc>
          <w:tcPr>
            <w:tcW w:w="3783" w:type="dxa"/>
          </w:tcPr>
          <w:p w:rsidR="00396A1E" w:rsidRDefault="00396A1E" w:rsidP="001F7396">
            <w:pPr>
              <w:rPr>
                <w:sz w:val="20"/>
                <w:szCs w:val="20"/>
              </w:rPr>
            </w:pPr>
            <w:r>
              <w:rPr>
                <w:sz w:val="20"/>
                <w:szCs w:val="20"/>
              </w:rPr>
              <w:t xml:space="preserve">- TRM PAR from </w:t>
            </w:r>
            <w:r w:rsidRPr="00280A10">
              <w:rPr>
                <w:sz w:val="20"/>
                <w:szCs w:val="20"/>
              </w:rPr>
              <w:t>Dec 2008 to Dec 20</w:t>
            </w:r>
            <w:r>
              <w:rPr>
                <w:sz w:val="20"/>
                <w:szCs w:val="20"/>
              </w:rPr>
              <w:t>10</w:t>
            </w:r>
            <w:r w:rsidRPr="00280A10">
              <w:rPr>
                <w:sz w:val="20"/>
                <w:szCs w:val="20"/>
              </w:rPr>
              <w:t xml:space="preserve">: </w:t>
            </w:r>
            <w:r>
              <w:rPr>
                <w:sz w:val="20"/>
                <w:szCs w:val="20"/>
              </w:rPr>
              <w:t>decreased</w:t>
            </w:r>
            <w:r w:rsidRPr="00280A10">
              <w:rPr>
                <w:sz w:val="20"/>
                <w:szCs w:val="20"/>
              </w:rPr>
              <w:t xml:space="preserve"> 9.2%</w:t>
            </w:r>
            <w:r>
              <w:rPr>
                <w:sz w:val="20"/>
                <w:szCs w:val="20"/>
              </w:rPr>
              <w:t xml:space="preserve"> to    </w:t>
            </w:r>
          </w:p>
          <w:p w:rsidR="00396A1E" w:rsidRDefault="00396A1E" w:rsidP="001F7396">
            <w:pPr>
              <w:rPr>
                <w:sz w:val="20"/>
                <w:szCs w:val="20"/>
              </w:rPr>
            </w:pPr>
            <w:r>
              <w:rPr>
                <w:sz w:val="20"/>
                <w:szCs w:val="20"/>
              </w:rPr>
              <w:t xml:space="preserve">   3.7%</w:t>
            </w:r>
          </w:p>
          <w:p w:rsidR="00396A1E" w:rsidRPr="00280A10" w:rsidRDefault="00396A1E" w:rsidP="001F7396">
            <w:pPr>
              <w:rPr>
                <w:sz w:val="20"/>
                <w:szCs w:val="20"/>
              </w:rPr>
            </w:pPr>
            <w:r>
              <w:rPr>
                <w:sz w:val="20"/>
                <w:szCs w:val="20"/>
              </w:rPr>
              <w:t xml:space="preserve">- Moris Rasik </w:t>
            </w:r>
            <w:r w:rsidRPr="00280A10">
              <w:rPr>
                <w:sz w:val="20"/>
                <w:szCs w:val="20"/>
              </w:rPr>
              <w:t xml:space="preserve">PAR from .88% to </w:t>
            </w:r>
            <w:r>
              <w:rPr>
                <w:sz w:val="20"/>
                <w:szCs w:val="20"/>
              </w:rPr>
              <w:t>2.5</w:t>
            </w:r>
            <w:r w:rsidRPr="00280A10">
              <w:rPr>
                <w:sz w:val="20"/>
                <w:szCs w:val="20"/>
              </w:rPr>
              <w:t>%</w:t>
            </w:r>
          </w:p>
        </w:tc>
        <w:tc>
          <w:tcPr>
            <w:tcW w:w="2826" w:type="dxa"/>
            <w:vMerge/>
          </w:tcPr>
          <w:p w:rsidR="00396A1E" w:rsidRPr="00280A10" w:rsidRDefault="00396A1E" w:rsidP="001F7396">
            <w:pPr>
              <w:rPr>
                <w:sz w:val="20"/>
                <w:szCs w:val="20"/>
              </w:rPr>
            </w:pPr>
          </w:p>
        </w:tc>
      </w:tr>
      <w:tr w:rsidR="00396A1E" w:rsidRPr="00280A10" w:rsidTr="00F37284">
        <w:trPr>
          <w:trHeight w:val="548"/>
        </w:trPr>
        <w:tc>
          <w:tcPr>
            <w:tcW w:w="2280" w:type="dxa"/>
            <w:vMerge/>
          </w:tcPr>
          <w:p w:rsidR="00396A1E" w:rsidRPr="00280A10" w:rsidRDefault="00396A1E" w:rsidP="001F7396">
            <w:pPr>
              <w:rPr>
                <w:sz w:val="20"/>
                <w:szCs w:val="20"/>
              </w:rPr>
            </w:pPr>
          </w:p>
        </w:tc>
        <w:tc>
          <w:tcPr>
            <w:tcW w:w="1171" w:type="dxa"/>
          </w:tcPr>
          <w:p w:rsidR="00396A1E" w:rsidRPr="00280A10" w:rsidRDefault="00396A1E" w:rsidP="001F7396">
            <w:pPr>
              <w:jc w:val="both"/>
              <w:rPr>
                <w:sz w:val="20"/>
                <w:szCs w:val="20"/>
              </w:rPr>
            </w:pPr>
            <w:r w:rsidRPr="00280A10">
              <w:rPr>
                <w:sz w:val="20"/>
                <w:szCs w:val="20"/>
              </w:rPr>
              <w:t>Indicator 2.5</w:t>
            </w:r>
          </w:p>
        </w:tc>
        <w:tc>
          <w:tcPr>
            <w:tcW w:w="2498" w:type="dxa"/>
          </w:tcPr>
          <w:p w:rsidR="00396A1E" w:rsidRPr="00280A10" w:rsidRDefault="00396A1E" w:rsidP="001F7396">
            <w:pPr>
              <w:pStyle w:val="TableText"/>
              <w:spacing w:before="0"/>
              <w:rPr>
                <w:rFonts w:ascii="Times New Roman" w:hAnsi="Times New Roman" w:cs="Times New Roman"/>
              </w:rPr>
            </w:pPr>
            <w:r w:rsidRPr="00280A10">
              <w:rPr>
                <w:rFonts w:ascii="Times New Roman" w:hAnsi="Times New Roman" w:cs="Times New Roman"/>
              </w:rPr>
              <w:t>Increase in the number of access points of all Financial Service Providers (FSPs) from baseline to be established at end 2009</w:t>
            </w:r>
          </w:p>
        </w:tc>
        <w:tc>
          <w:tcPr>
            <w:tcW w:w="2426" w:type="dxa"/>
          </w:tcPr>
          <w:p w:rsidR="00396A1E" w:rsidRDefault="00396A1E" w:rsidP="001F7396">
            <w:pPr>
              <w:ind w:left="144" w:hanging="144"/>
              <w:rPr>
                <w:sz w:val="20"/>
                <w:szCs w:val="20"/>
              </w:rPr>
            </w:pPr>
            <w:r>
              <w:rPr>
                <w:sz w:val="20"/>
                <w:szCs w:val="20"/>
              </w:rPr>
              <w:t>- MFI Branch Offices from Dec 2008 to Dec 2010 from 17 to 21</w:t>
            </w:r>
          </w:p>
          <w:p w:rsidR="00396A1E" w:rsidRPr="00280A10" w:rsidRDefault="00396A1E" w:rsidP="001F7396">
            <w:pPr>
              <w:pStyle w:val="Bulletlevel1"/>
              <w:numPr>
                <w:ilvl w:val="0"/>
                <w:numId w:val="0"/>
              </w:numPr>
              <w:ind w:left="360" w:hanging="360"/>
              <w:rPr>
                <w:rFonts w:ascii="Times New Roman" w:hAnsi="Times New Roman"/>
                <w:sz w:val="20"/>
                <w:szCs w:val="20"/>
              </w:rPr>
            </w:pPr>
          </w:p>
        </w:tc>
        <w:tc>
          <w:tcPr>
            <w:tcW w:w="3783" w:type="dxa"/>
          </w:tcPr>
          <w:p w:rsidR="00396A1E" w:rsidRPr="00AC637C" w:rsidRDefault="00396A1E" w:rsidP="00C520B2">
            <w:pPr>
              <w:pStyle w:val="Bulletlevel1"/>
              <w:numPr>
                <w:ilvl w:val="0"/>
                <w:numId w:val="27"/>
              </w:numPr>
              <w:tabs>
                <w:tab w:val="clear" w:pos="720"/>
                <w:tab w:val="num" w:pos="144"/>
              </w:tabs>
              <w:ind w:left="144" w:hanging="144"/>
              <w:rPr>
                <w:rFonts w:ascii="Times New Roman" w:hAnsi="Times New Roman"/>
                <w:sz w:val="20"/>
                <w:szCs w:val="20"/>
              </w:rPr>
            </w:pPr>
            <w:r>
              <w:rPr>
                <w:rFonts w:ascii="Times New Roman" w:hAnsi="Times New Roman"/>
                <w:sz w:val="20"/>
                <w:szCs w:val="20"/>
              </w:rPr>
              <w:t xml:space="preserve">INFUSE is in the process of collecting detailed data for access points of all FSPs as at 31 Dec  2010 to compare to baseline established at 31 Dec 2009. </w:t>
            </w:r>
          </w:p>
        </w:tc>
        <w:tc>
          <w:tcPr>
            <w:tcW w:w="2826" w:type="dxa"/>
          </w:tcPr>
          <w:p w:rsidR="00396A1E" w:rsidRPr="00280A10" w:rsidRDefault="00396A1E" w:rsidP="001F7396">
            <w:pPr>
              <w:rPr>
                <w:sz w:val="20"/>
                <w:szCs w:val="20"/>
              </w:rPr>
            </w:pPr>
          </w:p>
        </w:tc>
      </w:tr>
      <w:tr w:rsidR="00396A1E" w:rsidRPr="00280A10" w:rsidTr="00F37284">
        <w:trPr>
          <w:trHeight w:val="548"/>
        </w:trPr>
        <w:tc>
          <w:tcPr>
            <w:tcW w:w="2280" w:type="dxa"/>
            <w:vMerge w:val="restart"/>
          </w:tcPr>
          <w:p w:rsidR="00396A1E" w:rsidRPr="00280A10" w:rsidRDefault="00396A1E" w:rsidP="001F7396">
            <w:pPr>
              <w:rPr>
                <w:b/>
                <w:sz w:val="20"/>
                <w:szCs w:val="20"/>
              </w:rPr>
            </w:pPr>
            <w:r w:rsidRPr="00280A10">
              <w:rPr>
                <w:b/>
                <w:sz w:val="20"/>
                <w:szCs w:val="20"/>
              </w:rPr>
              <w:lastRenderedPageBreak/>
              <w:t>Output 3</w:t>
            </w:r>
          </w:p>
          <w:p w:rsidR="00396A1E" w:rsidRPr="00280A10" w:rsidRDefault="00396A1E" w:rsidP="001F7396">
            <w:pPr>
              <w:pStyle w:val="Header"/>
              <w:spacing w:before="120" w:after="120"/>
              <w:rPr>
                <w:b/>
                <w:bCs/>
                <w:sz w:val="20"/>
                <w:szCs w:val="20"/>
              </w:rPr>
            </w:pPr>
            <w:r w:rsidRPr="00280A10">
              <w:rPr>
                <w:b/>
                <w:bCs/>
                <w:sz w:val="20"/>
                <w:szCs w:val="20"/>
              </w:rPr>
              <w:t>Enhanced business service infrastructures for the financial sector</w:t>
            </w:r>
          </w:p>
          <w:p w:rsidR="00396A1E" w:rsidRPr="00280A10" w:rsidRDefault="00396A1E" w:rsidP="001F7396">
            <w:pPr>
              <w:pStyle w:val="Header"/>
              <w:spacing w:before="120" w:after="120"/>
              <w:rPr>
                <w:b/>
                <w:bCs/>
                <w:sz w:val="20"/>
                <w:szCs w:val="20"/>
              </w:rPr>
            </w:pPr>
            <w:r w:rsidRPr="00280A10">
              <w:rPr>
                <w:sz w:val="20"/>
                <w:szCs w:val="20"/>
              </w:rPr>
              <w:t>Private and public business service providers offering high-quality and market-responsive services to the financial sector are available in Timor-Leste, and a professional microfinance association (AMFITIL) is effectively representing the industry in policy dialogues, serving as an information hub for members and the public.</w:t>
            </w:r>
          </w:p>
          <w:p w:rsidR="00396A1E" w:rsidRPr="00280A10" w:rsidRDefault="00396A1E" w:rsidP="001F7396">
            <w:pPr>
              <w:rPr>
                <w:sz w:val="20"/>
                <w:szCs w:val="20"/>
              </w:rPr>
            </w:pPr>
          </w:p>
        </w:tc>
        <w:tc>
          <w:tcPr>
            <w:tcW w:w="1171" w:type="dxa"/>
          </w:tcPr>
          <w:p w:rsidR="00396A1E" w:rsidRPr="00280A10" w:rsidRDefault="00396A1E" w:rsidP="001F7396">
            <w:pPr>
              <w:jc w:val="both"/>
              <w:rPr>
                <w:sz w:val="20"/>
                <w:szCs w:val="20"/>
              </w:rPr>
            </w:pPr>
            <w:r w:rsidRPr="00280A10">
              <w:rPr>
                <w:sz w:val="20"/>
                <w:szCs w:val="20"/>
              </w:rPr>
              <w:t>Indicator  3.1</w:t>
            </w:r>
          </w:p>
        </w:tc>
        <w:tc>
          <w:tcPr>
            <w:tcW w:w="2498" w:type="dxa"/>
          </w:tcPr>
          <w:p w:rsidR="00396A1E" w:rsidRPr="00280A10" w:rsidRDefault="00396A1E" w:rsidP="001F7396">
            <w:pPr>
              <w:pStyle w:val="BodyText2"/>
              <w:spacing w:before="120"/>
              <w:rPr>
                <w:rFonts w:ascii="Times New Roman" w:hAnsi="Times New Roman" w:cs="Times New Roman"/>
                <w:bCs/>
              </w:rPr>
            </w:pPr>
            <w:r w:rsidRPr="00280A10">
              <w:rPr>
                <w:rFonts w:ascii="Times New Roman" w:hAnsi="Times New Roman" w:cs="Times New Roman"/>
                <w:bCs/>
              </w:rPr>
              <w:t>AMFITIL membership has increased, and members meet minimum standards of portfolio quality and sustainability (Y3)</w:t>
            </w:r>
          </w:p>
          <w:p w:rsidR="00396A1E" w:rsidRPr="00280A10" w:rsidRDefault="00396A1E" w:rsidP="001F7396">
            <w:pPr>
              <w:rPr>
                <w:sz w:val="20"/>
                <w:szCs w:val="20"/>
              </w:rPr>
            </w:pPr>
          </w:p>
        </w:tc>
        <w:tc>
          <w:tcPr>
            <w:tcW w:w="2426" w:type="dxa"/>
          </w:tcPr>
          <w:p w:rsidR="00396A1E" w:rsidRPr="00280A10" w:rsidRDefault="00396A1E" w:rsidP="001F7396">
            <w:pPr>
              <w:pStyle w:val="Bulletlevel1"/>
              <w:numPr>
                <w:ilvl w:val="0"/>
                <w:numId w:val="0"/>
              </w:numPr>
              <w:ind w:left="360" w:hanging="360"/>
              <w:rPr>
                <w:rFonts w:ascii="Times New Roman" w:hAnsi="Times New Roman"/>
                <w:sz w:val="20"/>
                <w:szCs w:val="20"/>
              </w:rPr>
            </w:pPr>
            <w:r>
              <w:rPr>
                <w:rFonts w:ascii="Times New Roman" w:hAnsi="Times New Roman"/>
                <w:sz w:val="20"/>
                <w:szCs w:val="20"/>
              </w:rPr>
              <w:t>No</w:t>
            </w:r>
          </w:p>
        </w:tc>
        <w:tc>
          <w:tcPr>
            <w:tcW w:w="3783" w:type="dxa"/>
            <w:vMerge w:val="restart"/>
          </w:tcPr>
          <w:p w:rsidR="00396A1E" w:rsidRPr="00280A10" w:rsidRDefault="00396A1E" w:rsidP="001F7396">
            <w:pPr>
              <w:rPr>
                <w:sz w:val="20"/>
                <w:szCs w:val="20"/>
              </w:rPr>
            </w:pPr>
          </w:p>
        </w:tc>
        <w:tc>
          <w:tcPr>
            <w:tcW w:w="2826" w:type="dxa"/>
            <w:vMerge w:val="restart"/>
          </w:tcPr>
          <w:p w:rsidR="00396A1E" w:rsidRPr="00280A10" w:rsidRDefault="00396A1E" w:rsidP="001F7396">
            <w:pPr>
              <w:ind w:left="360"/>
              <w:rPr>
                <w:sz w:val="20"/>
                <w:szCs w:val="20"/>
              </w:rPr>
            </w:pPr>
          </w:p>
          <w:p w:rsidR="00396A1E" w:rsidRPr="00280A10" w:rsidRDefault="00396A1E" w:rsidP="00C520B2">
            <w:pPr>
              <w:pStyle w:val="Default"/>
              <w:numPr>
                <w:ilvl w:val="0"/>
                <w:numId w:val="27"/>
              </w:numPr>
              <w:tabs>
                <w:tab w:val="clear" w:pos="720"/>
                <w:tab w:val="num" w:pos="132"/>
              </w:tabs>
              <w:ind w:left="132" w:hanging="120"/>
              <w:jc w:val="both"/>
              <w:rPr>
                <w:rFonts w:ascii="Times New Roman" w:hAnsi="Times New Roman" w:cs="Times New Roman"/>
                <w:sz w:val="20"/>
                <w:szCs w:val="20"/>
              </w:rPr>
            </w:pPr>
            <w:r w:rsidRPr="00280A10">
              <w:rPr>
                <w:rFonts w:ascii="Times New Roman" w:hAnsi="Times New Roman" w:cs="Times New Roman"/>
                <w:snapToGrid w:val="0"/>
                <w:sz w:val="20"/>
                <w:szCs w:val="20"/>
              </w:rPr>
              <w:t xml:space="preserve">UNCDF completed the original INFUSE program design in 2005 and revised the document after the 2006 civil unrest, which caused the cessation of many microfinance institutions. As a result, </w:t>
            </w:r>
            <w:r w:rsidRPr="00280A10">
              <w:rPr>
                <w:rFonts w:ascii="Times New Roman" w:hAnsi="Times New Roman" w:cs="Times New Roman"/>
                <w:sz w:val="20"/>
                <w:szCs w:val="20"/>
              </w:rPr>
              <w:t>AMFITIL has been inactive since 2007 and currently the few remaining members (4) have resisted any encouragement to re-activate the association at this time.</w:t>
            </w:r>
          </w:p>
          <w:p w:rsidR="00396A1E" w:rsidRPr="00280A10" w:rsidRDefault="00396A1E" w:rsidP="001F7396">
            <w:pPr>
              <w:rPr>
                <w:sz w:val="20"/>
                <w:szCs w:val="20"/>
              </w:rPr>
            </w:pPr>
          </w:p>
        </w:tc>
      </w:tr>
      <w:tr w:rsidR="00396A1E" w:rsidRPr="00280A10" w:rsidTr="00F37284">
        <w:trPr>
          <w:trHeight w:val="512"/>
        </w:trPr>
        <w:tc>
          <w:tcPr>
            <w:tcW w:w="2280" w:type="dxa"/>
            <w:vMerge/>
          </w:tcPr>
          <w:p w:rsidR="00396A1E" w:rsidRPr="00280A10" w:rsidRDefault="00396A1E" w:rsidP="001F7396">
            <w:pPr>
              <w:rPr>
                <w:sz w:val="20"/>
                <w:szCs w:val="20"/>
              </w:rPr>
            </w:pPr>
          </w:p>
        </w:tc>
        <w:tc>
          <w:tcPr>
            <w:tcW w:w="1171" w:type="dxa"/>
          </w:tcPr>
          <w:p w:rsidR="00396A1E" w:rsidRPr="00280A10" w:rsidRDefault="00396A1E" w:rsidP="001F7396">
            <w:pPr>
              <w:jc w:val="both"/>
              <w:rPr>
                <w:sz w:val="20"/>
                <w:szCs w:val="20"/>
              </w:rPr>
            </w:pPr>
            <w:r w:rsidRPr="00280A10">
              <w:rPr>
                <w:sz w:val="20"/>
                <w:szCs w:val="20"/>
              </w:rPr>
              <w:t>Indicator 3.2</w:t>
            </w:r>
          </w:p>
        </w:tc>
        <w:tc>
          <w:tcPr>
            <w:tcW w:w="2498" w:type="dxa"/>
          </w:tcPr>
          <w:p w:rsidR="00396A1E" w:rsidRPr="00280A10" w:rsidRDefault="00396A1E" w:rsidP="001F7396">
            <w:pPr>
              <w:rPr>
                <w:sz w:val="20"/>
                <w:szCs w:val="20"/>
              </w:rPr>
            </w:pPr>
            <w:r w:rsidRPr="00280A10">
              <w:rPr>
                <w:bCs/>
                <w:sz w:val="20"/>
                <w:szCs w:val="20"/>
              </w:rPr>
              <w:t>AMFITIL is formalized as a professional association (Y1)</w:t>
            </w:r>
          </w:p>
        </w:tc>
        <w:tc>
          <w:tcPr>
            <w:tcW w:w="2426" w:type="dxa"/>
          </w:tcPr>
          <w:p w:rsidR="00396A1E" w:rsidRPr="00280A10" w:rsidRDefault="00396A1E" w:rsidP="001F7396">
            <w:pPr>
              <w:pStyle w:val="BodyText2"/>
              <w:rPr>
                <w:rFonts w:ascii="Times New Roman" w:hAnsi="Times New Roman" w:cs="Times New Roman"/>
              </w:rPr>
            </w:pPr>
            <w:r>
              <w:rPr>
                <w:rFonts w:ascii="Times New Roman" w:hAnsi="Times New Roman"/>
              </w:rPr>
              <w:t>No</w:t>
            </w:r>
          </w:p>
        </w:tc>
        <w:tc>
          <w:tcPr>
            <w:tcW w:w="3783" w:type="dxa"/>
            <w:vMerge/>
          </w:tcPr>
          <w:p w:rsidR="00396A1E" w:rsidRPr="00280A10" w:rsidRDefault="00396A1E" w:rsidP="001F7396">
            <w:pPr>
              <w:rPr>
                <w:sz w:val="20"/>
                <w:szCs w:val="20"/>
              </w:rPr>
            </w:pPr>
          </w:p>
        </w:tc>
        <w:tc>
          <w:tcPr>
            <w:tcW w:w="2826" w:type="dxa"/>
            <w:vMerge/>
          </w:tcPr>
          <w:p w:rsidR="00396A1E" w:rsidRPr="00280A10" w:rsidRDefault="00396A1E" w:rsidP="001F7396">
            <w:pPr>
              <w:rPr>
                <w:sz w:val="20"/>
                <w:szCs w:val="20"/>
              </w:rPr>
            </w:pPr>
          </w:p>
        </w:tc>
      </w:tr>
      <w:tr w:rsidR="00396A1E" w:rsidRPr="00280A10" w:rsidTr="00F37284">
        <w:trPr>
          <w:trHeight w:val="512"/>
        </w:trPr>
        <w:tc>
          <w:tcPr>
            <w:tcW w:w="2280" w:type="dxa"/>
            <w:vMerge/>
          </w:tcPr>
          <w:p w:rsidR="00396A1E" w:rsidRPr="00280A10" w:rsidRDefault="00396A1E" w:rsidP="001F7396">
            <w:pPr>
              <w:rPr>
                <w:sz w:val="20"/>
                <w:szCs w:val="20"/>
              </w:rPr>
            </w:pPr>
          </w:p>
        </w:tc>
        <w:tc>
          <w:tcPr>
            <w:tcW w:w="1171" w:type="dxa"/>
          </w:tcPr>
          <w:p w:rsidR="00396A1E" w:rsidRPr="00280A10" w:rsidRDefault="00396A1E" w:rsidP="001F7396">
            <w:pPr>
              <w:jc w:val="both"/>
              <w:rPr>
                <w:sz w:val="20"/>
                <w:szCs w:val="20"/>
              </w:rPr>
            </w:pPr>
            <w:r w:rsidRPr="00280A10">
              <w:rPr>
                <w:sz w:val="20"/>
                <w:szCs w:val="20"/>
              </w:rPr>
              <w:t>Indicator 3.3</w:t>
            </w:r>
          </w:p>
        </w:tc>
        <w:tc>
          <w:tcPr>
            <w:tcW w:w="2498" w:type="dxa"/>
          </w:tcPr>
          <w:p w:rsidR="00396A1E" w:rsidRPr="00280A10" w:rsidRDefault="00396A1E" w:rsidP="001F7396">
            <w:pPr>
              <w:pStyle w:val="BodyText2"/>
              <w:rPr>
                <w:rFonts w:ascii="Times New Roman" w:hAnsi="Times New Roman" w:cs="Times New Roman"/>
                <w:bCs/>
              </w:rPr>
            </w:pPr>
            <w:r w:rsidRPr="00280A10">
              <w:rPr>
                <w:rFonts w:ascii="Times New Roman" w:hAnsi="Times New Roman" w:cs="Times New Roman"/>
                <w:bCs/>
              </w:rPr>
              <w:t>AMFITIL functions as advocate for the NGO-MFIs serving poor and low-income customers (Y2)</w:t>
            </w:r>
          </w:p>
          <w:p w:rsidR="00396A1E" w:rsidRPr="00280A10" w:rsidRDefault="00396A1E" w:rsidP="001F7396">
            <w:pPr>
              <w:rPr>
                <w:sz w:val="20"/>
                <w:szCs w:val="20"/>
              </w:rPr>
            </w:pPr>
          </w:p>
        </w:tc>
        <w:tc>
          <w:tcPr>
            <w:tcW w:w="2426" w:type="dxa"/>
          </w:tcPr>
          <w:p w:rsidR="00396A1E" w:rsidRPr="00280A10" w:rsidRDefault="00396A1E" w:rsidP="001F7396">
            <w:pPr>
              <w:rPr>
                <w:sz w:val="20"/>
                <w:szCs w:val="20"/>
              </w:rPr>
            </w:pPr>
            <w:r>
              <w:rPr>
                <w:sz w:val="20"/>
                <w:szCs w:val="20"/>
              </w:rPr>
              <w:t>No</w:t>
            </w:r>
          </w:p>
        </w:tc>
        <w:tc>
          <w:tcPr>
            <w:tcW w:w="3783" w:type="dxa"/>
            <w:vMerge/>
          </w:tcPr>
          <w:p w:rsidR="00396A1E" w:rsidRPr="00280A10" w:rsidRDefault="00396A1E" w:rsidP="00C520B2">
            <w:pPr>
              <w:numPr>
                <w:ilvl w:val="0"/>
                <w:numId w:val="27"/>
              </w:numPr>
              <w:tabs>
                <w:tab w:val="clear" w:pos="720"/>
                <w:tab w:val="num" w:pos="140"/>
              </w:tabs>
              <w:ind w:left="140" w:hanging="140"/>
              <w:rPr>
                <w:sz w:val="20"/>
                <w:szCs w:val="20"/>
              </w:rPr>
            </w:pPr>
          </w:p>
        </w:tc>
        <w:tc>
          <w:tcPr>
            <w:tcW w:w="2826" w:type="dxa"/>
            <w:vMerge/>
          </w:tcPr>
          <w:p w:rsidR="00396A1E" w:rsidRPr="00280A10" w:rsidRDefault="00396A1E" w:rsidP="00C520B2">
            <w:pPr>
              <w:numPr>
                <w:ilvl w:val="0"/>
                <w:numId w:val="27"/>
              </w:numPr>
              <w:tabs>
                <w:tab w:val="clear" w:pos="720"/>
                <w:tab w:val="num" w:pos="140"/>
              </w:tabs>
              <w:ind w:left="140" w:hanging="140"/>
              <w:rPr>
                <w:sz w:val="20"/>
                <w:szCs w:val="20"/>
              </w:rPr>
            </w:pPr>
          </w:p>
        </w:tc>
      </w:tr>
      <w:tr w:rsidR="00396A1E" w:rsidRPr="00280A10" w:rsidTr="00F37284">
        <w:trPr>
          <w:trHeight w:val="512"/>
        </w:trPr>
        <w:tc>
          <w:tcPr>
            <w:tcW w:w="2280" w:type="dxa"/>
            <w:vMerge/>
          </w:tcPr>
          <w:p w:rsidR="00396A1E" w:rsidRPr="00280A10" w:rsidRDefault="00396A1E" w:rsidP="001F7396">
            <w:pPr>
              <w:rPr>
                <w:sz w:val="20"/>
                <w:szCs w:val="20"/>
              </w:rPr>
            </w:pPr>
          </w:p>
        </w:tc>
        <w:tc>
          <w:tcPr>
            <w:tcW w:w="1171" w:type="dxa"/>
          </w:tcPr>
          <w:p w:rsidR="00396A1E" w:rsidRPr="00280A10" w:rsidRDefault="00396A1E" w:rsidP="001F7396">
            <w:pPr>
              <w:jc w:val="both"/>
              <w:rPr>
                <w:sz w:val="20"/>
                <w:szCs w:val="20"/>
              </w:rPr>
            </w:pPr>
            <w:r w:rsidRPr="00280A10">
              <w:rPr>
                <w:sz w:val="20"/>
                <w:szCs w:val="20"/>
              </w:rPr>
              <w:t>Indicator 3.4</w:t>
            </w:r>
          </w:p>
        </w:tc>
        <w:tc>
          <w:tcPr>
            <w:tcW w:w="2498" w:type="dxa"/>
          </w:tcPr>
          <w:p w:rsidR="00396A1E" w:rsidRPr="00280A10" w:rsidRDefault="00396A1E" w:rsidP="001F7396">
            <w:pPr>
              <w:pStyle w:val="TableText"/>
              <w:spacing w:before="0"/>
              <w:rPr>
                <w:rFonts w:ascii="Times New Roman" w:hAnsi="Times New Roman" w:cs="Times New Roman"/>
              </w:rPr>
            </w:pPr>
            <w:r w:rsidRPr="00280A10">
              <w:rPr>
                <w:rFonts w:ascii="Times New Roman" w:hAnsi="Times New Roman" w:cs="Times New Roman"/>
                <w:bCs/>
              </w:rPr>
              <w:t>At least 3 private or public sector providers of high-quality business services to FSPs have established outlets in Timor-Leste (Y5).  Priorities include Financial Literacy, credit reference, audit, and exploring potential for m-banking (cell phone transactions</w:t>
            </w:r>
          </w:p>
        </w:tc>
        <w:tc>
          <w:tcPr>
            <w:tcW w:w="2426" w:type="dxa"/>
          </w:tcPr>
          <w:p w:rsidR="00396A1E" w:rsidRPr="00280A10" w:rsidRDefault="00396A1E" w:rsidP="001F7396">
            <w:pPr>
              <w:pStyle w:val="Bulletlevel1"/>
              <w:tabs>
                <w:tab w:val="clear" w:pos="360"/>
                <w:tab w:val="num" w:pos="145"/>
              </w:tabs>
              <w:ind w:left="145" w:hanging="184"/>
              <w:rPr>
                <w:rFonts w:ascii="Times New Roman" w:hAnsi="Times New Roman"/>
                <w:sz w:val="20"/>
                <w:szCs w:val="20"/>
              </w:rPr>
            </w:pPr>
            <w:r w:rsidRPr="00280A10">
              <w:rPr>
                <w:rFonts w:ascii="Times New Roman" w:hAnsi="Times New Roman"/>
                <w:sz w:val="20"/>
                <w:szCs w:val="20"/>
              </w:rPr>
              <w:t>Credit Bureau was established in 2009</w:t>
            </w:r>
          </w:p>
        </w:tc>
        <w:tc>
          <w:tcPr>
            <w:tcW w:w="3783" w:type="dxa"/>
          </w:tcPr>
          <w:p w:rsidR="00396A1E" w:rsidRPr="00280A10" w:rsidRDefault="00396A1E" w:rsidP="001F7396">
            <w:pPr>
              <w:pStyle w:val="Bulletlevel1"/>
              <w:tabs>
                <w:tab w:val="clear" w:pos="360"/>
                <w:tab w:val="num" w:pos="145"/>
              </w:tabs>
              <w:ind w:left="145" w:hanging="184"/>
              <w:rPr>
                <w:rFonts w:ascii="Times New Roman" w:hAnsi="Times New Roman"/>
                <w:sz w:val="20"/>
                <w:szCs w:val="20"/>
              </w:rPr>
            </w:pPr>
            <w:r w:rsidRPr="00280A10">
              <w:rPr>
                <w:rFonts w:ascii="Times New Roman" w:hAnsi="Times New Roman"/>
                <w:sz w:val="20"/>
                <w:szCs w:val="20"/>
              </w:rPr>
              <w:t>INFUSE consultant conduct</w:t>
            </w:r>
            <w:r>
              <w:rPr>
                <w:rFonts w:ascii="Times New Roman" w:hAnsi="Times New Roman"/>
                <w:sz w:val="20"/>
                <w:szCs w:val="20"/>
              </w:rPr>
              <w:t>ed</w:t>
            </w:r>
            <w:r w:rsidRPr="00280A10">
              <w:rPr>
                <w:rFonts w:ascii="Times New Roman" w:hAnsi="Times New Roman"/>
                <w:sz w:val="20"/>
                <w:szCs w:val="20"/>
              </w:rPr>
              <w:t xml:space="preserve"> financial </w:t>
            </w:r>
            <w:r>
              <w:rPr>
                <w:rFonts w:ascii="Times New Roman" w:hAnsi="Times New Roman"/>
                <w:sz w:val="20"/>
                <w:szCs w:val="20"/>
              </w:rPr>
              <w:t>education</w:t>
            </w:r>
            <w:r w:rsidRPr="00280A10">
              <w:rPr>
                <w:rFonts w:ascii="Times New Roman" w:hAnsi="Times New Roman"/>
                <w:sz w:val="20"/>
                <w:szCs w:val="20"/>
              </w:rPr>
              <w:t xml:space="preserve"> scoping assessment in August 2010</w:t>
            </w:r>
            <w:r>
              <w:rPr>
                <w:rFonts w:ascii="Times New Roman" w:hAnsi="Times New Roman"/>
                <w:sz w:val="20"/>
                <w:szCs w:val="20"/>
              </w:rPr>
              <w:t xml:space="preserve">, as first step to developing a wider program. </w:t>
            </w:r>
          </w:p>
          <w:p w:rsidR="00396A1E" w:rsidRPr="00280A10" w:rsidRDefault="00396A1E" w:rsidP="001F7396">
            <w:pPr>
              <w:pStyle w:val="Bulletlevel1"/>
              <w:tabs>
                <w:tab w:val="clear" w:pos="360"/>
                <w:tab w:val="num" w:pos="145"/>
              </w:tabs>
              <w:ind w:left="145" w:hanging="184"/>
              <w:rPr>
                <w:rFonts w:ascii="Times New Roman" w:hAnsi="Times New Roman"/>
                <w:sz w:val="20"/>
                <w:szCs w:val="20"/>
              </w:rPr>
            </w:pPr>
            <w:r w:rsidRPr="00280A10">
              <w:rPr>
                <w:rFonts w:ascii="Times New Roman" w:hAnsi="Times New Roman"/>
                <w:sz w:val="20"/>
                <w:szCs w:val="20"/>
              </w:rPr>
              <w:t xml:space="preserve">INFUSE to collaborate with National Labor Development Institute on MF and banking certificate qualifications. </w:t>
            </w:r>
          </w:p>
          <w:p w:rsidR="00396A1E" w:rsidRPr="00280A10" w:rsidRDefault="00396A1E" w:rsidP="00715A94">
            <w:pPr>
              <w:pStyle w:val="Bulletlevel1"/>
              <w:tabs>
                <w:tab w:val="clear" w:pos="360"/>
                <w:tab w:val="num" w:pos="145"/>
              </w:tabs>
              <w:ind w:left="145" w:hanging="184"/>
              <w:rPr>
                <w:rFonts w:ascii="Times New Roman" w:hAnsi="Times New Roman"/>
                <w:sz w:val="20"/>
                <w:szCs w:val="20"/>
              </w:rPr>
            </w:pPr>
            <w:r w:rsidRPr="00280A10">
              <w:rPr>
                <w:rFonts w:ascii="Times New Roman" w:hAnsi="Times New Roman"/>
                <w:sz w:val="20"/>
                <w:szCs w:val="20"/>
              </w:rPr>
              <w:t xml:space="preserve">INFUSE </w:t>
            </w:r>
            <w:r>
              <w:rPr>
                <w:rFonts w:ascii="Times New Roman" w:hAnsi="Times New Roman"/>
                <w:sz w:val="20"/>
                <w:szCs w:val="20"/>
              </w:rPr>
              <w:t>lent support to</w:t>
            </w:r>
            <w:r w:rsidRPr="00280A10">
              <w:rPr>
                <w:rFonts w:ascii="Times New Roman" w:hAnsi="Times New Roman"/>
                <w:sz w:val="20"/>
                <w:szCs w:val="20"/>
              </w:rPr>
              <w:t xml:space="preserve"> ADB</w:t>
            </w:r>
            <w:r>
              <w:rPr>
                <w:rFonts w:ascii="Times New Roman" w:hAnsi="Times New Roman"/>
                <w:sz w:val="20"/>
                <w:szCs w:val="20"/>
              </w:rPr>
              <w:t>/Bankable Frontiers Associate’s</w:t>
            </w:r>
            <w:r w:rsidRPr="00280A10">
              <w:rPr>
                <w:rFonts w:ascii="Times New Roman" w:hAnsi="Times New Roman"/>
                <w:sz w:val="20"/>
                <w:szCs w:val="20"/>
              </w:rPr>
              <w:t xml:space="preserve"> assessment for potential of branchless banking in July 2010.</w:t>
            </w:r>
          </w:p>
          <w:p w:rsidR="00396A1E" w:rsidRPr="00280A10" w:rsidRDefault="00396A1E" w:rsidP="001F7396">
            <w:pPr>
              <w:tabs>
                <w:tab w:val="left" w:pos="426"/>
              </w:tabs>
              <w:jc w:val="both"/>
              <w:rPr>
                <w:sz w:val="20"/>
                <w:szCs w:val="20"/>
              </w:rPr>
            </w:pPr>
          </w:p>
          <w:p w:rsidR="00396A1E" w:rsidRPr="00280A10" w:rsidRDefault="00396A1E" w:rsidP="001F7396">
            <w:pPr>
              <w:rPr>
                <w:sz w:val="20"/>
                <w:szCs w:val="20"/>
              </w:rPr>
            </w:pPr>
          </w:p>
        </w:tc>
        <w:tc>
          <w:tcPr>
            <w:tcW w:w="2826" w:type="dxa"/>
          </w:tcPr>
          <w:p w:rsidR="00396A1E" w:rsidRPr="00280A10" w:rsidRDefault="00396A1E" w:rsidP="001F7396">
            <w:pPr>
              <w:rPr>
                <w:sz w:val="20"/>
                <w:szCs w:val="20"/>
              </w:rPr>
            </w:pPr>
            <w:r>
              <w:rPr>
                <w:sz w:val="20"/>
                <w:szCs w:val="20"/>
              </w:rPr>
              <w:t>Credit registry is managed by the BPA, and as of yet the MFIs do not participate.</w:t>
            </w:r>
          </w:p>
        </w:tc>
      </w:tr>
    </w:tbl>
    <w:p w:rsidR="00C520B2" w:rsidRDefault="00C520B2" w:rsidP="00C520B2">
      <w:pPr>
        <w:pStyle w:val="BodyText"/>
      </w:pPr>
    </w:p>
    <w:p w:rsidR="00C520B2" w:rsidRDefault="00C520B2" w:rsidP="00C743EB">
      <w:pPr>
        <w:pStyle w:val="BodyText"/>
        <w:jc w:val="center"/>
        <w:rPr>
          <w:rFonts w:ascii="Times New Roman" w:hAnsi="Times New Roman" w:cs="Times New Roman"/>
          <w:b/>
          <w:sz w:val="24"/>
          <w:szCs w:val="24"/>
        </w:rPr>
      </w:pPr>
    </w:p>
    <w:p w:rsidR="00C520B2" w:rsidRDefault="00C520B2" w:rsidP="00C743EB">
      <w:pPr>
        <w:pStyle w:val="BodyText"/>
        <w:jc w:val="center"/>
        <w:rPr>
          <w:rFonts w:ascii="Times New Roman" w:hAnsi="Times New Roman" w:cs="Times New Roman"/>
          <w:b/>
          <w:sz w:val="24"/>
          <w:szCs w:val="24"/>
        </w:rPr>
      </w:pPr>
    </w:p>
    <w:p w:rsidR="00C520B2" w:rsidRDefault="00C520B2" w:rsidP="00C743EB">
      <w:pPr>
        <w:pStyle w:val="BodyText"/>
        <w:jc w:val="center"/>
        <w:rPr>
          <w:rFonts w:ascii="Times New Roman" w:hAnsi="Times New Roman" w:cs="Times New Roman"/>
          <w:b/>
          <w:sz w:val="24"/>
          <w:szCs w:val="24"/>
        </w:rPr>
      </w:pPr>
    </w:p>
    <w:p w:rsidR="00C520B2" w:rsidRDefault="00C520B2" w:rsidP="00C743EB">
      <w:pPr>
        <w:pStyle w:val="BodyText"/>
        <w:jc w:val="center"/>
        <w:rPr>
          <w:rFonts w:ascii="Times New Roman" w:hAnsi="Times New Roman" w:cs="Times New Roman"/>
          <w:b/>
          <w:sz w:val="24"/>
          <w:szCs w:val="24"/>
        </w:rPr>
      </w:pPr>
    </w:p>
    <w:p w:rsidR="00C520B2" w:rsidRDefault="00C520B2" w:rsidP="00C743EB">
      <w:pPr>
        <w:pStyle w:val="BodyText"/>
        <w:jc w:val="center"/>
        <w:rPr>
          <w:rFonts w:ascii="Times New Roman" w:hAnsi="Times New Roman" w:cs="Times New Roman"/>
          <w:b/>
          <w:sz w:val="24"/>
          <w:szCs w:val="24"/>
        </w:rPr>
      </w:pPr>
    </w:p>
    <w:p w:rsidR="00C520B2" w:rsidRDefault="00C520B2" w:rsidP="00C743EB">
      <w:pPr>
        <w:pStyle w:val="BodyText"/>
        <w:jc w:val="center"/>
        <w:rPr>
          <w:rFonts w:ascii="Times New Roman" w:hAnsi="Times New Roman" w:cs="Times New Roman"/>
          <w:b/>
          <w:sz w:val="24"/>
          <w:szCs w:val="24"/>
        </w:rPr>
      </w:pPr>
    </w:p>
    <w:p w:rsidR="00D454F2" w:rsidRDefault="00D454F2" w:rsidP="00C743EB">
      <w:pPr>
        <w:pStyle w:val="BodyText"/>
        <w:jc w:val="center"/>
        <w:rPr>
          <w:rFonts w:ascii="Times New Roman" w:hAnsi="Times New Roman" w:cs="Times New Roman"/>
          <w:b/>
          <w:sz w:val="24"/>
          <w:szCs w:val="24"/>
        </w:rPr>
      </w:pPr>
    </w:p>
    <w:p w:rsidR="00D454F2" w:rsidRDefault="00D454F2" w:rsidP="00413A46">
      <w:pPr>
        <w:pStyle w:val="BodyText"/>
        <w:rPr>
          <w:rFonts w:ascii="Times New Roman" w:hAnsi="Times New Roman" w:cs="Times New Roman"/>
          <w:b/>
          <w:sz w:val="24"/>
          <w:szCs w:val="24"/>
        </w:rPr>
      </w:pPr>
    </w:p>
    <w:p w:rsidR="00EE1EEF" w:rsidRDefault="00EE1EEF" w:rsidP="00413A46">
      <w:pPr>
        <w:pStyle w:val="BodyText"/>
        <w:rPr>
          <w:rFonts w:ascii="Times New Roman" w:hAnsi="Times New Roman" w:cs="Times New Roman"/>
          <w:b/>
          <w:sz w:val="24"/>
          <w:szCs w:val="24"/>
        </w:rPr>
      </w:pPr>
    </w:p>
    <w:p w:rsidR="00EE1EEF" w:rsidRDefault="00EE1EEF" w:rsidP="00413A46">
      <w:pPr>
        <w:pStyle w:val="BodyText"/>
        <w:rPr>
          <w:rFonts w:ascii="Times New Roman" w:hAnsi="Times New Roman" w:cs="Times New Roman"/>
          <w:b/>
          <w:sz w:val="24"/>
          <w:szCs w:val="24"/>
        </w:rPr>
      </w:pPr>
    </w:p>
    <w:p w:rsidR="00EE1EEF" w:rsidRDefault="00EE1EEF" w:rsidP="00413A46">
      <w:pPr>
        <w:pStyle w:val="BodyText"/>
        <w:rPr>
          <w:rFonts w:ascii="Times New Roman" w:hAnsi="Times New Roman" w:cs="Times New Roman"/>
          <w:b/>
          <w:sz w:val="24"/>
          <w:szCs w:val="24"/>
        </w:rPr>
      </w:pPr>
    </w:p>
    <w:p w:rsidR="00EE1EEF" w:rsidRDefault="00EE1EEF" w:rsidP="00413A46">
      <w:pPr>
        <w:pStyle w:val="BodyText"/>
        <w:rPr>
          <w:rFonts w:ascii="Times New Roman" w:hAnsi="Times New Roman" w:cs="Times New Roman"/>
          <w:b/>
          <w:sz w:val="24"/>
          <w:szCs w:val="24"/>
        </w:rPr>
      </w:pPr>
    </w:p>
    <w:p w:rsidR="00EE1EEF" w:rsidRDefault="00EE1EEF" w:rsidP="00413A46">
      <w:pPr>
        <w:pStyle w:val="BodyText"/>
        <w:rPr>
          <w:rFonts w:ascii="Times New Roman" w:hAnsi="Times New Roman" w:cs="Times New Roman"/>
          <w:b/>
          <w:sz w:val="24"/>
          <w:szCs w:val="24"/>
        </w:rPr>
      </w:pPr>
    </w:p>
    <w:p w:rsidR="0024297B" w:rsidRDefault="0024297B" w:rsidP="00DE7117">
      <w:pPr>
        <w:pStyle w:val="Heading1"/>
        <w:sectPr w:rsidR="0024297B" w:rsidSect="00912382">
          <w:pgSz w:w="15840" w:h="12240" w:orient="landscape" w:code="1"/>
          <w:pgMar w:top="806" w:right="806" w:bottom="806" w:left="1354" w:header="720" w:footer="418" w:gutter="0"/>
          <w:cols w:space="720"/>
          <w:docGrid w:linePitch="360"/>
        </w:sectPr>
      </w:pPr>
      <w:bookmarkStart w:id="45" w:name="_Toc288468713"/>
      <w:bookmarkStart w:id="46" w:name="_Toc288469190"/>
      <w:bookmarkStart w:id="47" w:name="_Toc288470244"/>
    </w:p>
    <w:p w:rsidR="00863152" w:rsidRPr="00304CE1" w:rsidRDefault="00C743EB" w:rsidP="00DE7117">
      <w:pPr>
        <w:pStyle w:val="Heading1"/>
        <w:numPr>
          <w:ilvl w:val="0"/>
          <w:numId w:val="42"/>
        </w:numPr>
      </w:pPr>
      <w:bookmarkStart w:id="48" w:name="_Toc288486055"/>
      <w:r w:rsidRPr="00304CE1">
        <w:lastRenderedPageBreak/>
        <w:t>ANNEX</w:t>
      </w:r>
      <w:r w:rsidR="00BE458F" w:rsidRPr="00304CE1">
        <w:t xml:space="preserve"> 1</w:t>
      </w:r>
      <w:r w:rsidRPr="00304CE1">
        <w:t>: January 1– December 31</w:t>
      </w:r>
      <w:r w:rsidR="001F7396" w:rsidRPr="00304CE1">
        <w:t>,</w:t>
      </w:r>
      <w:r w:rsidRPr="00304CE1">
        <w:t xml:space="preserve"> 2010 Funding Disbursements</w:t>
      </w:r>
      <w:bookmarkEnd w:id="45"/>
      <w:bookmarkEnd w:id="46"/>
      <w:bookmarkEnd w:id="47"/>
      <w:bookmarkEnd w:id="48"/>
    </w:p>
    <w:p w:rsidR="00C743EB" w:rsidRDefault="00C743EB" w:rsidP="00C743EB">
      <w:pPr>
        <w:pStyle w:val="BodyText"/>
        <w:jc w:val="center"/>
        <w:rPr>
          <w:rFonts w:ascii="Times New Roman" w:hAnsi="Times New Roman" w:cs="Times New Roman"/>
          <w:b/>
          <w:sz w:val="24"/>
          <w:szCs w:val="24"/>
        </w:rPr>
      </w:pPr>
    </w:p>
    <w:tbl>
      <w:tblPr>
        <w:tblW w:w="13641" w:type="dxa"/>
        <w:jc w:val="center"/>
        <w:tblInd w:w="406" w:type="dxa"/>
        <w:tblLook w:val="0000" w:firstRow="0" w:lastRow="0" w:firstColumn="0" w:lastColumn="0" w:noHBand="0" w:noVBand="0"/>
      </w:tblPr>
      <w:tblGrid>
        <w:gridCol w:w="6638"/>
        <w:gridCol w:w="2040"/>
        <w:gridCol w:w="1800"/>
        <w:gridCol w:w="1217"/>
        <w:gridCol w:w="1946"/>
      </w:tblGrid>
      <w:tr w:rsidR="00863152" w:rsidTr="00413A46">
        <w:trPr>
          <w:trHeight w:val="525"/>
          <w:jc w:val="center"/>
        </w:trPr>
        <w:tc>
          <w:tcPr>
            <w:tcW w:w="6638" w:type="dxa"/>
            <w:tcBorders>
              <w:top w:val="single" w:sz="8" w:space="0" w:color="auto"/>
              <w:left w:val="single" w:sz="8" w:space="0" w:color="auto"/>
              <w:bottom w:val="single" w:sz="8" w:space="0" w:color="auto"/>
              <w:right w:val="single" w:sz="8" w:space="0" w:color="auto"/>
            </w:tcBorders>
            <w:shd w:val="clear" w:color="auto" w:fill="auto"/>
            <w:vAlign w:val="center"/>
          </w:tcPr>
          <w:p w:rsidR="00863152" w:rsidRDefault="00863152">
            <w:pPr>
              <w:rPr>
                <w:rFonts w:ascii="Arial" w:hAnsi="Arial" w:cs="Arial"/>
                <w:b/>
                <w:bCs/>
                <w:sz w:val="20"/>
                <w:szCs w:val="20"/>
              </w:rPr>
            </w:pPr>
            <w:r>
              <w:rPr>
                <w:rFonts w:ascii="Arial" w:hAnsi="Arial" w:cs="Arial"/>
                <w:b/>
                <w:bCs/>
                <w:sz w:val="20"/>
                <w:szCs w:val="20"/>
              </w:rPr>
              <w:t>Description of Activity</w:t>
            </w:r>
          </w:p>
        </w:tc>
        <w:tc>
          <w:tcPr>
            <w:tcW w:w="2040" w:type="dxa"/>
            <w:tcBorders>
              <w:top w:val="single" w:sz="8" w:space="0" w:color="auto"/>
              <w:left w:val="nil"/>
              <w:bottom w:val="single" w:sz="8" w:space="0" w:color="auto"/>
              <w:right w:val="single" w:sz="8" w:space="0" w:color="auto"/>
            </w:tcBorders>
            <w:shd w:val="clear" w:color="auto" w:fill="auto"/>
            <w:vAlign w:val="center"/>
          </w:tcPr>
          <w:p w:rsidR="00863152" w:rsidRDefault="00863152" w:rsidP="00D454F2">
            <w:pPr>
              <w:jc w:val="center"/>
              <w:rPr>
                <w:rFonts w:ascii="Arial" w:hAnsi="Arial" w:cs="Arial"/>
                <w:b/>
                <w:bCs/>
                <w:sz w:val="20"/>
                <w:szCs w:val="20"/>
              </w:rPr>
            </w:pPr>
            <w:r>
              <w:rPr>
                <w:rFonts w:ascii="Arial" w:hAnsi="Arial" w:cs="Arial"/>
                <w:b/>
                <w:bCs/>
                <w:sz w:val="20"/>
                <w:szCs w:val="20"/>
              </w:rPr>
              <w:t>Recipient</w:t>
            </w:r>
          </w:p>
        </w:tc>
        <w:tc>
          <w:tcPr>
            <w:tcW w:w="1800" w:type="dxa"/>
            <w:tcBorders>
              <w:top w:val="single" w:sz="8" w:space="0" w:color="auto"/>
              <w:left w:val="nil"/>
              <w:bottom w:val="single" w:sz="8" w:space="0" w:color="auto"/>
              <w:right w:val="single" w:sz="8" w:space="0" w:color="auto"/>
            </w:tcBorders>
            <w:shd w:val="clear" w:color="auto" w:fill="auto"/>
            <w:vAlign w:val="center"/>
          </w:tcPr>
          <w:p w:rsidR="00863152" w:rsidRDefault="00863152">
            <w:pPr>
              <w:jc w:val="center"/>
              <w:rPr>
                <w:rFonts w:ascii="Arial" w:hAnsi="Arial" w:cs="Arial"/>
                <w:b/>
                <w:bCs/>
                <w:sz w:val="20"/>
                <w:szCs w:val="20"/>
              </w:rPr>
            </w:pPr>
            <w:r>
              <w:rPr>
                <w:rFonts w:ascii="Arial" w:hAnsi="Arial" w:cs="Arial"/>
                <w:b/>
                <w:bCs/>
                <w:sz w:val="20"/>
                <w:szCs w:val="20"/>
              </w:rPr>
              <w:t>Delivery Mechanism</w:t>
            </w:r>
          </w:p>
        </w:tc>
        <w:tc>
          <w:tcPr>
            <w:tcW w:w="1217" w:type="dxa"/>
            <w:tcBorders>
              <w:top w:val="single" w:sz="8" w:space="0" w:color="auto"/>
              <w:left w:val="nil"/>
              <w:bottom w:val="single" w:sz="8" w:space="0" w:color="auto"/>
              <w:right w:val="nil"/>
            </w:tcBorders>
            <w:shd w:val="clear" w:color="auto" w:fill="auto"/>
            <w:vAlign w:val="center"/>
          </w:tcPr>
          <w:p w:rsidR="00863152" w:rsidRDefault="00863152">
            <w:pPr>
              <w:jc w:val="center"/>
              <w:rPr>
                <w:rFonts w:ascii="Arial" w:hAnsi="Arial" w:cs="Arial"/>
                <w:b/>
                <w:bCs/>
                <w:sz w:val="20"/>
                <w:szCs w:val="20"/>
              </w:rPr>
            </w:pPr>
            <w:r>
              <w:rPr>
                <w:rFonts w:ascii="Arial" w:hAnsi="Arial" w:cs="Arial"/>
                <w:b/>
                <w:bCs/>
                <w:sz w:val="20"/>
                <w:szCs w:val="20"/>
              </w:rPr>
              <w:t>Amount</w:t>
            </w:r>
          </w:p>
        </w:tc>
        <w:tc>
          <w:tcPr>
            <w:tcW w:w="1946" w:type="dxa"/>
            <w:tcBorders>
              <w:top w:val="single" w:sz="8" w:space="0" w:color="auto"/>
              <w:left w:val="single" w:sz="8" w:space="0" w:color="auto"/>
              <w:bottom w:val="single" w:sz="8" w:space="0" w:color="auto"/>
              <w:right w:val="single" w:sz="8" w:space="0" w:color="auto"/>
            </w:tcBorders>
            <w:shd w:val="clear" w:color="auto" w:fill="auto"/>
            <w:vAlign w:val="center"/>
          </w:tcPr>
          <w:p w:rsidR="00863152" w:rsidRDefault="00863152">
            <w:pPr>
              <w:jc w:val="center"/>
              <w:rPr>
                <w:rFonts w:ascii="Arial" w:hAnsi="Arial" w:cs="Arial"/>
                <w:b/>
                <w:bCs/>
                <w:sz w:val="20"/>
                <w:szCs w:val="20"/>
              </w:rPr>
            </w:pPr>
            <w:r>
              <w:rPr>
                <w:rFonts w:ascii="Arial" w:hAnsi="Arial" w:cs="Arial"/>
                <w:b/>
                <w:bCs/>
                <w:sz w:val="20"/>
                <w:szCs w:val="20"/>
              </w:rPr>
              <w:t>Disbursement Status</w:t>
            </w:r>
          </w:p>
        </w:tc>
      </w:tr>
      <w:tr w:rsidR="00863152" w:rsidTr="00413A46">
        <w:trPr>
          <w:trHeight w:val="1035"/>
          <w:jc w:val="center"/>
        </w:trPr>
        <w:tc>
          <w:tcPr>
            <w:tcW w:w="6638" w:type="dxa"/>
            <w:tcBorders>
              <w:top w:val="nil"/>
              <w:left w:val="single" w:sz="8" w:space="0" w:color="auto"/>
              <w:bottom w:val="single" w:sz="8" w:space="0" w:color="auto"/>
              <w:right w:val="nil"/>
            </w:tcBorders>
            <w:shd w:val="clear" w:color="auto" w:fill="auto"/>
            <w:vAlign w:val="bottom"/>
          </w:tcPr>
          <w:p w:rsidR="00863152" w:rsidRDefault="00863152">
            <w:pPr>
              <w:rPr>
                <w:rFonts w:ascii="Arial" w:hAnsi="Arial" w:cs="Arial"/>
                <w:sz w:val="20"/>
                <w:szCs w:val="20"/>
              </w:rPr>
            </w:pPr>
            <w:r>
              <w:rPr>
                <w:rFonts w:ascii="Arial" w:hAnsi="Arial" w:cs="Arial"/>
                <w:sz w:val="20"/>
                <w:szCs w:val="20"/>
              </w:rPr>
              <w:t xml:space="preserve">Strategic Plan for the </w:t>
            </w:r>
            <w:r w:rsidR="00096E50">
              <w:rPr>
                <w:rFonts w:ascii="Arial" w:hAnsi="Arial" w:cs="Arial"/>
                <w:sz w:val="20"/>
                <w:szCs w:val="20"/>
              </w:rPr>
              <w:t>CU network i</w:t>
            </w:r>
            <w:r>
              <w:rPr>
                <w:rFonts w:ascii="Arial" w:hAnsi="Arial" w:cs="Arial"/>
                <w:sz w:val="20"/>
                <w:szCs w:val="20"/>
              </w:rPr>
              <w:t>n Timor</w:t>
            </w:r>
            <w:r>
              <w:rPr>
                <w:rFonts w:ascii="MS Mincho" w:eastAsia="MS Mincho" w:hAnsi="MS Mincho" w:cs="MS Mincho" w:hint="eastAsia"/>
                <w:sz w:val="20"/>
                <w:szCs w:val="20"/>
              </w:rPr>
              <w:t>‐</w:t>
            </w:r>
            <w:r>
              <w:rPr>
                <w:rFonts w:ascii="Arial" w:hAnsi="Arial" w:cs="Arial"/>
                <w:sz w:val="20"/>
                <w:szCs w:val="20"/>
              </w:rPr>
              <w:t>Leste. Small grant to conduct a strategic planning workshop with stakeholders in the credit union movement (the National Directorate of Cooperatives (DNC), the Federation, representatives of credit unions) and development of a robust strategic plan.</w:t>
            </w:r>
          </w:p>
        </w:tc>
        <w:tc>
          <w:tcPr>
            <w:tcW w:w="2040" w:type="dxa"/>
            <w:tcBorders>
              <w:top w:val="nil"/>
              <w:left w:val="single" w:sz="8" w:space="0" w:color="auto"/>
              <w:bottom w:val="single" w:sz="8" w:space="0" w:color="auto"/>
              <w:right w:val="single" w:sz="8" w:space="0" w:color="auto"/>
            </w:tcBorders>
            <w:shd w:val="clear" w:color="auto" w:fill="auto"/>
            <w:vAlign w:val="center"/>
          </w:tcPr>
          <w:p w:rsidR="00863152" w:rsidRDefault="00863152" w:rsidP="00D454F2">
            <w:pPr>
              <w:jc w:val="center"/>
              <w:rPr>
                <w:rFonts w:ascii="Arial" w:hAnsi="Arial" w:cs="Arial"/>
                <w:sz w:val="20"/>
                <w:szCs w:val="20"/>
              </w:rPr>
            </w:pPr>
            <w:r>
              <w:rPr>
                <w:rFonts w:ascii="Arial" w:hAnsi="Arial" w:cs="Arial"/>
                <w:sz w:val="20"/>
                <w:szCs w:val="20"/>
              </w:rPr>
              <w:t>CUFA</w:t>
            </w:r>
          </w:p>
        </w:tc>
        <w:tc>
          <w:tcPr>
            <w:tcW w:w="1800"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 xml:space="preserve">Grant </w:t>
            </w:r>
          </w:p>
        </w:tc>
        <w:tc>
          <w:tcPr>
            <w:tcW w:w="1217"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 xml:space="preserve">$5,000 </w:t>
            </w:r>
          </w:p>
        </w:tc>
        <w:tc>
          <w:tcPr>
            <w:tcW w:w="1946"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Feb-10</w:t>
            </w:r>
          </w:p>
        </w:tc>
      </w:tr>
      <w:tr w:rsidR="00863152" w:rsidTr="00413A46">
        <w:trPr>
          <w:trHeight w:val="780"/>
          <w:jc w:val="center"/>
        </w:trPr>
        <w:tc>
          <w:tcPr>
            <w:tcW w:w="6638" w:type="dxa"/>
            <w:tcBorders>
              <w:top w:val="nil"/>
              <w:left w:val="single" w:sz="8" w:space="0" w:color="auto"/>
              <w:bottom w:val="single" w:sz="8" w:space="0" w:color="auto"/>
              <w:right w:val="nil"/>
            </w:tcBorders>
            <w:shd w:val="clear" w:color="auto" w:fill="auto"/>
            <w:vAlign w:val="bottom"/>
          </w:tcPr>
          <w:p w:rsidR="00863152" w:rsidRDefault="00863152">
            <w:pPr>
              <w:rPr>
                <w:rFonts w:ascii="Arial" w:hAnsi="Arial" w:cs="Arial"/>
                <w:sz w:val="20"/>
                <w:szCs w:val="20"/>
              </w:rPr>
            </w:pPr>
            <w:r>
              <w:rPr>
                <w:rFonts w:ascii="Arial" w:hAnsi="Arial" w:cs="Arial"/>
                <w:sz w:val="20"/>
                <w:szCs w:val="20"/>
              </w:rPr>
              <w:t xml:space="preserve">MFI Capacity Building: First tranche of a </w:t>
            </w:r>
            <w:r w:rsidR="00096E50">
              <w:rPr>
                <w:rFonts w:ascii="Arial" w:hAnsi="Arial" w:cs="Arial"/>
                <w:sz w:val="20"/>
                <w:szCs w:val="20"/>
              </w:rPr>
              <w:t>two</w:t>
            </w:r>
            <w:r>
              <w:rPr>
                <w:rFonts w:ascii="MS Mincho" w:eastAsia="MS Mincho" w:hAnsi="MS Mincho" w:cs="MS Mincho" w:hint="eastAsia"/>
                <w:sz w:val="20"/>
                <w:szCs w:val="20"/>
              </w:rPr>
              <w:t>‐</w:t>
            </w:r>
            <w:r>
              <w:rPr>
                <w:rFonts w:ascii="Arial" w:hAnsi="Arial" w:cs="Arial"/>
                <w:sz w:val="20"/>
                <w:szCs w:val="20"/>
              </w:rPr>
              <w:t>year grant to cover Moris Rasik’s business and strategic planning carried out with support from WEAL</w:t>
            </w:r>
            <w:r w:rsidR="00096E50">
              <w:rPr>
                <w:rFonts w:ascii="Arial" w:hAnsi="Arial" w:cs="Arial"/>
                <w:sz w:val="20"/>
                <w:szCs w:val="20"/>
              </w:rPr>
              <w:t>,</w:t>
            </w:r>
            <w:r>
              <w:rPr>
                <w:rFonts w:ascii="Arial" w:hAnsi="Arial" w:cs="Arial"/>
                <w:sz w:val="20"/>
                <w:szCs w:val="20"/>
              </w:rPr>
              <w:t xml:space="preserve"> and initial assessment for purchase of a Management Information System (MIS).</w:t>
            </w:r>
          </w:p>
        </w:tc>
        <w:tc>
          <w:tcPr>
            <w:tcW w:w="2040" w:type="dxa"/>
            <w:tcBorders>
              <w:top w:val="nil"/>
              <w:left w:val="single" w:sz="8" w:space="0" w:color="auto"/>
              <w:bottom w:val="single" w:sz="8" w:space="0" w:color="auto"/>
              <w:right w:val="single" w:sz="8" w:space="0" w:color="auto"/>
            </w:tcBorders>
            <w:shd w:val="clear" w:color="auto" w:fill="auto"/>
            <w:vAlign w:val="center"/>
          </w:tcPr>
          <w:p w:rsidR="00863152" w:rsidRDefault="00863152" w:rsidP="00D454F2">
            <w:pPr>
              <w:jc w:val="center"/>
              <w:rPr>
                <w:rFonts w:ascii="Arial" w:hAnsi="Arial" w:cs="Arial"/>
                <w:sz w:val="20"/>
                <w:szCs w:val="20"/>
              </w:rPr>
            </w:pPr>
            <w:r>
              <w:rPr>
                <w:rFonts w:ascii="Arial" w:hAnsi="Arial" w:cs="Arial"/>
                <w:sz w:val="20"/>
                <w:szCs w:val="20"/>
              </w:rPr>
              <w:t>Moris Rasik (MFI) and World Ed Australia Ltd (TSP)</w:t>
            </w:r>
          </w:p>
        </w:tc>
        <w:tc>
          <w:tcPr>
            <w:tcW w:w="1800"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Grant (1st tranche)</w:t>
            </w:r>
          </w:p>
        </w:tc>
        <w:tc>
          <w:tcPr>
            <w:tcW w:w="1217"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 xml:space="preserve">$100,000 </w:t>
            </w:r>
          </w:p>
        </w:tc>
        <w:tc>
          <w:tcPr>
            <w:tcW w:w="1946"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Jun-10</w:t>
            </w:r>
          </w:p>
        </w:tc>
      </w:tr>
      <w:tr w:rsidR="00863152" w:rsidTr="00413A46">
        <w:trPr>
          <w:trHeight w:val="270"/>
          <w:jc w:val="center"/>
        </w:trPr>
        <w:tc>
          <w:tcPr>
            <w:tcW w:w="6638" w:type="dxa"/>
            <w:tcBorders>
              <w:top w:val="nil"/>
              <w:left w:val="single" w:sz="8" w:space="0" w:color="auto"/>
              <w:bottom w:val="single" w:sz="8" w:space="0" w:color="auto"/>
              <w:right w:val="nil"/>
            </w:tcBorders>
            <w:shd w:val="clear" w:color="auto" w:fill="auto"/>
            <w:vAlign w:val="bottom"/>
          </w:tcPr>
          <w:p w:rsidR="00863152" w:rsidRDefault="00096E50">
            <w:pPr>
              <w:rPr>
                <w:rFonts w:ascii="Arial" w:hAnsi="Arial" w:cs="Arial"/>
                <w:sz w:val="20"/>
                <w:szCs w:val="20"/>
              </w:rPr>
            </w:pPr>
            <w:r>
              <w:rPr>
                <w:rFonts w:ascii="Arial" w:hAnsi="Arial" w:cs="Arial"/>
                <w:sz w:val="20"/>
                <w:szCs w:val="20"/>
              </w:rPr>
              <w:t xml:space="preserve">First loan </w:t>
            </w:r>
            <w:r w:rsidR="00863152">
              <w:rPr>
                <w:rFonts w:ascii="Arial" w:hAnsi="Arial" w:cs="Arial"/>
                <w:sz w:val="20"/>
                <w:szCs w:val="20"/>
              </w:rPr>
              <w:t>for capital of USD 150,000</w:t>
            </w:r>
          </w:p>
        </w:tc>
        <w:tc>
          <w:tcPr>
            <w:tcW w:w="2040" w:type="dxa"/>
            <w:tcBorders>
              <w:top w:val="nil"/>
              <w:left w:val="single" w:sz="8" w:space="0" w:color="auto"/>
              <w:bottom w:val="single" w:sz="8" w:space="0" w:color="auto"/>
              <w:right w:val="single" w:sz="8" w:space="0" w:color="auto"/>
            </w:tcBorders>
            <w:shd w:val="clear" w:color="auto" w:fill="auto"/>
            <w:vAlign w:val="center"/>
          </w:tcPr>
          <w:p w:rsidR="00863152" w:rsidRDefault="00863152" w:rsidP="00D454F2">
            <w:pPr>
              <w:jc w:val="center"/>
              <w:rPr>
                <w:rFonts w:ascii="Arial" w:hAnsi="Arial" w:cs="Arial"/>
                <w:sz w:val="20"/>
                <w:szCs w:val="20"/>
              </w:rPr>
            </w:pPr>
            <w:r>
              <w:rPr>
                <w:rFonts w:ascii="Arial" w:hAnsi="Arial" w:cs="Arial"/>
                <w:sz w:val="20"/>
                <w:szCs w:val="20"/>
              </w:rPr>
              <w:t>TRM</w:t>
            </w:r>
          </w:p>
        </w:tc>
        <w:tc>
          <w:tcPr>
            <w:tcW w:w="1800"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 xml:space="preserve">Loan </w:t>
            </w:r>
          </w:p>
        </w:tc>
        <w:tc>
          <w:tcPr>
            <w:tcW w:w="1217"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 xml:space="preserve">$150,000 </w:t>
            </w:r>
          </w:p>
        </w:tc>
        <w:tc>
          <w:tcPr>
            <w:tcW w:w="1946"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Aug-10</w:t>
            </w:r>
          </w:p>
        </w:tc>
      </w:tr>
      <w:tr w:rsidR="00863152" w:rsidTr="00413A46">
        <w:trPr>
          <w:trHeight w:val="1035"/>
          <w:jc w:val="center"/>
        </w:trPr>
        <w:tc>
          <w:tcPr>
            <w:tcW w:w="6638" w:type="dxa"/>
            <w:tcBorders>
              <w:top w:val="nil"/>
              <w:left w:val="single" w:sz="8" w:space="0" w:color="auto"/>
              <w:bottom w:val="single" w:sz="8" w:space="0" w:color="auto"/>
              <w:right w:val="nil"/>
            </w:tcBorders>
            <w:shd w:val="clear" w:color="auto" w:fill="auto"/>
            <w:vAlign w:val="bottom"/>
          </w:tcPr>
          <w:p w:rsidR="00863152" w:rsidRDefault="00863152">
            <w:pPr>
              <w:rPr>
                <w:rFonts w:ascii="Arial" w:hAnsi="Arial" w:cs="Arial"/>
                <w:sz w:val="20"/>
                <w:szCs w:val="20"/>
              </w:rPr>
            </w:pPr>
            <w:r>
              <w:rPr>
                <w:rFonts w:ascii="Arial" w:hAnsi="Arial" w:cs="Arial"/>
                <w:sz w:val="20"/>
                <w:szCs w:val="20"/>
              </w:rPr>
              <w:t xml:space="preserve">MFI Capacity Building: Second tranche of </w:t>
            </w:r>
            <w:r w:rsidR="00096E50">
              <w:rPr>
                <w:rFonts w:ascii="Arial" w:hAnsi="Arial" w:cs="Arial"/>
                <w:sz w:val="20"/>
                <w:szCs w:val="20"/>
              </w:rPr>
              <w:t>two</w:t>
            </w:r>
            <w:r>
              <w:rPr>
                <w:rFonts w:ascii="MS Mincho" w:eastAsia="MS Mincho" w:hAnsi="MS Mincho" w:cs="MS Mincho" w:hint="eastAsia"/>
                <w:sz w:val="20"/>
                <w:szCs w:val="20"/>
              </w:rPr>
              <w:t>‐</w:t>
            </w:r>
            <w:r>
              <w:rPr>
                <w:rFonts w:ascii="Arial" w:hAnsi="Arial" w:cs="Arial"/>
                <w:sz w:val="20"/>
                <w:szCs w:val="20"/>
              </w:rPr>
              <w:t>year grant to support implementation of the MIS, and capacity building from WEAL in key areas including:  human resource management, financial management, strengthened governance; and enhanced client-orientated services</w:t>
            </w:r>
          </w:p>
        </w:tc>
        <w:tc>
          <w:tcPr>
            <w:tcW w:w="2040" w:type="dxa"/>
            <w:tcBorders>
              <w:top w:val="nil"/>
              <w:left w:val="single" w:sz="8" w:space="0" w:color="auto"/>
              <w:bottom w:val="single" w:sz="8" w:space="0" w:color="auto"/>
              <w:right w:val="single" w:sz="8" w:space="0" w:color="auto"/>
            </w:tcBorders>
            <w:shd w:val="clear" w:color="auto" w:fill="auto"/>
            <w:vAlign w:val="center"/>
          </w:tcPr>
          <w:p w:rsidR="00863152" w:rsidRDefault="00863152" w:rsidP="00D454F2">
            <w:pPr>
              <w:jc w:val="center"/>
              <w:rPr>
                <w:rFonts w:ascii="Arial" w:hAnsi="Arial" w:cs="Arial"/>
                <w:sz w:val="20"/>
                <w:szCs w:val="20"/>
              </w:rPr>
            </w:pPr>
            <w:r>
              <w:rPr>
                <w:rFonts w:ascii="Arial" w:hAnsi="Arial" w:cs="Arial"/>
                <w:sz w:val="20"/>
                <w:szCs w:val="20"/>
              </w:rPr>
              <w:t>Moris Rasik (MFI) and World Ed Australia Ltd (TSP)</w:t>
            </w:r>
          </w:p>
        </w:tc>
        <w:tc>
          <w:tcPr>
            <w:tcW w:w="1800"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Grant (2nd tranche)</w:t>
            </w:r>
          </w:p>
        </w:tc>
        <w:tc>
          <w:tcPr>
            <w:tcW w:w="1217"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 xml:space="preserve">$230,000 </w:t>
            </w:r>
          </w:p>
        </w:tc>
        <w:tc>
          <w:tcPr>
            <w:tcW w:w="1946"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Nov-10</w:t>
            </w:r>
          </w:p>
        </w:tc>
      </w:tr>
      <w:tr w:rsidR="00863152" w:rsidTr="00413A46">
        <w:trPr>
          <w:trHeight w:val="1035"/>
          <w:jc w:val="center"/>
        </w:trPr>
        <w:tc>
          <w:tcPr>
            <w:tcW w:w="6638" w:type="dxa"/>
            <w:tcBorders>
              <w:top w:val="nil"/>
              <w:left w:val="single" w:sz="8" w:space="0" w:color="auto"/>
              <w:bottom w:val="single" w:sz="8" w:space="0" w:color="auto"/>
              <w:right w:val="nil"/>
            </w:tcBorders>
            <w:shd w:val="clear" w:color="auto" w:fill="auto"/>
            <w:vAlign w:val="bottom"/>
          </w:tcPr>
          <w:p w:rsidR="00863152" w:rsidRDefault="00863152">
            <w:pPr>
              <w:rPr>
                <w:rFonts w:ascii="Arial" w:hAnsi="Arial" w:cs="Arial"/>
                <w:sz w:val="20"/>
                <w:szCs w:val="20"/>
              </w:rPr>
            </w:pPr>
            <w:r>
              <w:rPr>
                <w:rFonts w:ascii="Arial" w:hAnsi="Arial" w:cs="Arial"/>
                <w:sz w:val="20"/>
                <w:szCs w:val="20"/>
              </w:rPr>
              <w:t xml:space="preserve">MFI Capacity Building: Second tranche of a </w:t>
            </w:r>
            <w:r w:rsidR="00096E50">
              <w:rPr>
                <w:rFonts w:ascii="Arial" w:hAnsi="Arial" w:cs="Arial"/>
                <w:sz w:val="20"/>
                <w:szCs w:val="20"/>
              </w:rPr>
              <w:t xml:space="preserve">three- </w:t>
            </w:r>
            <w:r>
              <w:rPr>
                <w:rFonts w:ascii="Arial" w:hAnsi="Arial" w:cs="Arial"/>
                <w:sz w:val="20"/>
                <w:szCs w:val="20"/>
              </w:rPr>
              <w:t xml:space="preserve">year grant to fund continued </w:t>
            </w:r>
            <w:r w:rsidR="00096E50">
              <w:rPr>
                <w:rFonts w:ascii="Arial" w:hAnsi="Arial" w:cs="Arial"/>
                <w:sz w:val="20"/>
                <w:szCs w:val="20"/>
              </w:rPr>
              <w:t>support</w:t>
            </w:r>
            <w:r>
              <w:rPr>
                <w:rFonts w:ascii="Arial" w:hAnsi="Arial" w:cs="Arial"/>
                <w:sz w:val="20"/>
                <w:szCs w:val="20"/>
              </w:rPr>
              <w:t xml:space="preserve"> from BASIX in key areas such as financial management, MIS implementation, Governance and strategic planning, operations, human resources and fund mobilization. </w:t>
            </w:r>
          </w:p>
        </w:tc>
        <w:tc>
          <w:tcPr>
            <w:tcW w:w="2040" w:type="dxa"/>
            <w:tcBorders>
              <w:top w:val="nil"/>
              <w:left w:val="single" w:sz="8" w:space="0" w:color="auto"/>
              <w:bottom w:val="single" w:sz="8" w:space="0" w:color="auto"/>
              <w:right w:val="single" w:sz="8" w:space="0" w:color="auto"/>
            </w:tcBorders>
            <w:shd w:val="clear" w:color="auto" w:fill="auto"/>
            <w:vAlign w:val="center"/>
          </w:tcPr>
          <w:p w:rsidR="00863152" w:rsidRDefault="00863152" w:rsidP="00D454F2">
            <w:pPr>
              <w:jc w:val="center"/>
              <w:rPr>
                <w:rFonts w:ascii="Arial" w:hAnsi="Arial" w:cs="Arial"/>
                <w:sz w:val="20"/>
                <w:szCs w:val="20"/>
              </w:rPr>
            </w:pPr>
            <w:r>
              <w:rPr>
                <w:rFonts w:ascii="Arial" w:hAnsi="Arial" w:cs="Arial"/>
                <w:sz w:val="20"/>
                <w:szCs w:val="20"/>
              </w:rPr>
              <w:t>TRM</w:t>
            </w:r>
          </w:p>
        </w:tc>
        <w:tc>
          <w:tcPr>
            <w:tcW w:w="1800"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Grant (2nd tranche)</w:t>
            </w:r>
          </w:p>
        </w:tc>
        <w:tc>
          <w:tcPr>
            <w:tcW w:w="1217"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 xml:space="preserve">$84,405 </w:t>
            </w:r>
          </w:p>
        </w:tc>
        <w:tc>
          <w:tcPr>
            <w:tcW w:w="1946"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Nov-10</w:t>
            </w:r>
          </w:p>
        </w:tc>
      </w:tr>
      <w:tr w:rsidR="00863152" w:rsidTr="00413A46">
        <w:trPr>
          <w:trHeight w:val="270"/>
          <w:jc w:val="center"/>
        </w:trPr>
        <w:tc>
          <w:tcPr>
            <w:tcW w:w="6638" w:type="dxa"/>
            <w:tcBorders>
              <w:top w:val="nil"/>
              <w:left w:val="single" w:sz="8" w:space="0" w:color="auto"/>
              <w:bottom w:val="single" w:sz="8" w:space="0" w:color="auto"/>
              <w:right w:val="single" w:sz="8" w:space="0" w:color="auto"/>
            </w:tcBorders>
            <w:shd w:val="clear" w:color="auto" w:fill="auto"/>
            <w:vAlign w:val="bottom"/>
          </w:tcPr>
          <w:p w:rsidR="00863152" w:rsidRDefault="00781A4B">
            <w:pPr>
              <w:rPr>
                <w:rFonts w:ascii="Arial" w:hAnsi="Arial" w:cs="Arial"/>
                <w:sz w:val="20"/>
                <w:szCs w:val="20"/>
              </w:rPr>
            </w:pPr>
            <w:r>
              <w:rPr>
                <w:rFonts w:ascii="Arial" w:hAnsi="Arial" w:cs="Arial"/>
                <w:sz w:val="20"/>
                <w:szCs w:val="20"/>
              </w:rPr>
              <w:t xml:space="preserve">Second </w:t>
            </w:r>
            <w:r w:rsidR="00863152">
              <w:rPr>
                <w:rFonts w:ascii="Arial" w:hAnsi="Arial" w:cs="Arial"/>
                <w:sz w:val="20"/>
                <w:szCs w:val="20"/>
              </w:rPr>
              <w:t xml:space="preserve">tranche of </w:t>
            </w:r>
            <w:r w:rsidR="00096E50">
              <w:rPr>
                <w:rFonts w:ascii="Arial" w:hAnsi="Arial" w:cs="Arial"/>
                <w:sz w:val="20"/>
                <w:szCs w:val="20"/>
              </w:rPr>
              <w:t xml:space="preserve">first loan </w:t>
            </w:r>
            <w:r w:rsidR="00863152">
              <w:rPr>
                <w:rFonts w:ascii="Arial" w:hAnsi="Arial" w:cs="Arial"/>
                <w:sz w:val="20"/>
                <w:szCs w:val="20"/>
              </w:rPr>
              <w:t>for capital totaling USD 230,000</w:t>
            </w:r>
          </w:p>
        </w:tc>
        <w:tc>
          <w:tcPr>
            <w:tcW w:w="2040" w:type="dxa"/>
            <w:tcBorders>
              <w:top w:val="nil"/>
              <w:left w:val="nil"/>
              <w:bottom w:val="single" w:sz="8" w:space="0" w:color="auto"/>
              <w:right w:val="single" w:sz="8" w:space="0" w:color="auto"/>
            </w:tcBorders>
            <w:shd w:val="clear" w:color="auto" w:fill="auto"/>
            <w:vAlign w:val="center"/>
          </w:tcPr>
          <w:p w:rsidR="00863152" w:rsidRDefault="00863152" w:rsidP="00D454F2">
            <w:pPr>
              <w:jc w:val="center"/>
              <w:rPr>
                <w:rFonts w:ascii="Arial" w:hAnsi="Arial" w:cs="Arial"/>
                <w:sz w:val="20"/>
                <w:szCs w:val="20"/>
              </w:rPr>
            </w:pPr>
            <w:r>
              <w:rPr>
                <w:rFonts w:ascii="Arial" w:hAnsi="Arial" w:cs="Arial"/>
                <w:sz w:val="20"/>
                <w:szCs w:val="20"/>
              </w:rPr>
              <w:t>Moris Rasik</w:t>
            </w:r>
          </w:p>
        </w:tc>
        <w:tc>
          <w:tcPr>
            <w:tcW w:w="1800"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Loan( 2nd tranche)</w:t>
            </w:r>
          </w:p>
        </w:tc>
        <w:tc>
          <w:tcPr>
            <w:tcW w:w="1217"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 xml:space="preserve">$130,000 </w:t>
            </w:r>
          </w:p>
        </w:tc>
        <w:tc>
          <w:tcPr>
            <w:tcW w:w="1946" w:type="dxa"/>
            <w:tcBorders>
              <w:top w:val="nil"/>
              <w:left w:val="nil"/>
              <w:bottom w:val="single" w:sz="8" w:space="0" w:color="auto"/>
              <w:right w:val="single" w:sz="8" w:space="0" w:color="auto"/>
            </w:tcBorders>
            <w:shd w:val="clear" w:color="auto" w:fill="auto"/>
            <w:vAlign w:val="center"/>
          </w:tcPr>
          <w:p w:rsidR="00863152" w:rsidRDefault="00863152">
            <w:pPr>
              <w:jc w:val="center"/>
              <w:rPr>
                <w:rFonts w:ascii="Arial" w:hAnsi="Arial" w:cs="Arial"/>
                <w:sz w:val="20"/>
                <w:szCs w:val="20"/>
              </w:rPr>
            </w:pPr>
            <w:r>
              <w:rPr>
                <w:rFonts w:ascii="Arial" w:hAnsi="Arial" w:cs="Arial"/>
                <w:sz w:val="20"/>
                <w:szCs w:val="20"/>
              </w:rPr>
              <w:t>Nov-10</w:t>
            </w:r>
          </w:p>
        </w:tc>
      </w:tr>
      <w:tr w:rsidR="00863152" w:rsidRPr="004936AD" w:rsidTr="00413A46">
        <w:trPr>
          <w:trHeight w:val="525"/>
          <w:jc w:val="center"/>
        </w:trPr>
        <w:tc>
          <w:tcPr>
            <w:tcW w:w="6638" w:type="dxa"/>
            <w:tcBorders>
              <w:top w:val="nil"/>
              <w:left w:val="single" w:sz="8" w:space="0" w:color="auto"/>
              <w:bottom w:val="single" w:sz="8" w:space="0" w:color="auto"/>
              <w:right w:val="single" w:sz="8" w:space="0" w:color="auto"/>
            </w:tcBorders>
            <w:shd w:val="clear" w:color="auto" w:fill="auto"/>
            <w:vAlign w:val="bottom"/>
          </w:tcPr>
          <w:p w:rsidR="00863152" w:rsidRPr="004936AD" w:rsidRDefault="00863152">
            <w:pPr>
              <w:rPr>
                <w:rFonts w:ascii="Arial" w:hAnsi="Arial" w:cs="Arial"/>
                <w:sz w:val="20"/>
                <w:szCs w:val="20"/>
              </w:rPr>
            </w:pPr>
            <w:r w:rsidRPr="004936AD">
              <w:rPr>
                <w:rFonts w:ascii="Arial" w:hAnsi="Arial" w:cs="Arial"/>
                <w:sz w:val="20"/>
                <w:szCs w:val="20"/>
              </w:rPr>
              <w:t xml:space="preserve">Exposure visit by </w:t>
            </w:r>
            <w:r w:rsidR="00096E50">
              <w:rPr>
                <w:rFonts w:ascii="Arial" w:hAnsi="Arial" w:cs="Arial"/>
                <w:sz w:val="20"/>
                <w:szCs w:val="20"/>
              </w:rPr>
              <w:t>two</w:t>
            </w:r>
            <w:r w:rsidR="00096E50" w:rsidRPr="004936AD">
              <w:rPr>
                <w:rFonts w:ascii="Arial" w:hAnsi="Arial" w:cs="Arial"/>
                <w:sz w:val="20"/>
                <w:szCs w:val="20"/>
              </w:rPr>
              <w:t xml:space="preserve"> </w:t>
            </w:r>
            <w:r w:rsidRPr="004936AD">
              <w:rPr>
                <w:rFonts w:ascii="Arial" w:hAnsi="Arial" w:cs="Arial"/>
                <w:sz w:val="20"/>
                <w:szCs w:val="20"/>
              </w:rPr>
              <w:t>BPA staff to Philippines for an AFI organized review of branchless and mobile banking regulations.</w:t>
            </w:r>
          </w:p>
        </w:tc>
        <w:tc>
          <w:tcPr>
            <w:tcW w:w="2040" w:type="dxa"/>
            <w:tcBorders>
              <w:top w:val="nil"/>
              <w:left w:val="nil"/>
              <w:bottom w:val="single" w:sz="8" w:space="0" w:color="auto"/>
              <w:right w:val="single" w:sz="8" w:space="0" w:color="auto"/>
            </w:tcBorders>
            <w:shd w:val="clear" w:color="auto" w:fill="auto"/>
            <w:vAlign w:val="center"/>
          </w:tcPr>
          <w:p w:rsidR="00863152" w:rsidRPr="001E1766" w:rsidRDefault="00863152" w:rsidP="00D454F2">
            <w:pPr>
              <w:jc w:val="center"/>
              <w:rPr>
                <w:rFonts w:ascii="Arial" w:hAnsi="Arial" w:cs="Arial"/>
                <w:sz w:val="20"/>
                <w:szCs w:val="20"/>
              </w:rPr>
            </w:pPr>
            <w:r w:rsidRPr="001E1766">
              <w:rPr>
                <w:rFonts w:ascii="Arial" w:hAnsi="Arial" w:cs="Arial"/>
                <w:sz w:val="20"/>
                <w:szCs w:val="20"/>
              </w:rPr>
              <w:t>BPA</w:t>
            </w:r>
          </w:p>
        </w:tc>
        <w:tc>
          <w:tcPr>
            <w:tcW w:w="1800" w:type="dxa"/>
            <w:tcBorders>
              <w:top w:val="single" w:sz="8" w:space="0" w:color="auto"/>
              <w:left w:val="nil"/>
              <w:bottom w:val="single" w:sz="8" w:space="0" w:color="auto"/>
              <w:right w:val="single" w:sz="8" w:space="0" w:color="auto"/>
            </w:tcBorders>
            <w:shd w:val="clear" w:color="auto" w:fill="auto"/>
            <w:vAlign w:val="center"/>
          </w:tcPr>
          <w:p w:rsidR="00863152" w:rsidRPr="001E1766" w:rsidRDefault="00D454F2">
            <w:pPr>
              <w:jc w:val="center"/>
              <w:rPr>
                <w:rFonts w:ascii="Arial" w:hAnsi="Arial" w:cs="Arial"/>
                <w:sz w:val="20"/>
                <w:szCs w:val="20"/>
              </w:rPr>
            </w:pPr>
            <w:r w:rsidRPr="001E1766">
              <w:rPr>
                <w:rFonts w:ascii="Arial" w:hAnsi="Arial" w:cs="Arial"/>
                <w:sz w:val="20"/>
                <w:szCs w:val="20"/>
              </w:rPr>
              <w:t>Direct Procurement</w:t>
            </w:r>
          </w:p>
        </w:tc>
        <w:tc>
          <w:tcPr>
            <w:tcW w:w="1217" w:type="dxa"/>
            <w:tcBorders>
              <w:top w:val="single" w:sz="8" w:space="0" w:color="auto"/>
              <w:left w:val="nil"/>
              <w:bottom w:val="single" w:sz="8" w:space="0" w:color="auto"/>
              <w:right w:val="single" w:sz="8" w:space="0" w:color="auto"/>
            </w:tcBorders>
            <w:shd w:val="clear" w:color="auto" w:fill="auto"/>
            <w:vAlign w:val="center"/>
          </w:tcPr>
          <w:p w:rsidR="00863152" w:rsidRPr="001E1766" w:rsidRDefault="00D454F2">
            <w:pPr>
              <w:jc w:val="center"/>
              <w:rPr>
                <w:rFonts w:ascii="Arial" w:hAnsi="Arial" w:cs="Arial"/>
                <w:sz w:val="20"/>
                <w:szCs w:val="20"/>
              </w:rPr>
            </w:pPr>
            <w:r w:rsidRPr="001E1766">
              <w:rPr>
                <w:rFonts w:ascii="Arial" w:hAnsi="Arial" w:cs="Arial"/>
                <w:sz w:val="20"/>
                <w:szCs w:val="20"/>
              </w:rPr>
              <w:t>n/a</w:t>
            </w:r>
            <w:r w:rsidR="00863152" w:rsidRPr="001E1766">
              <w:rPr>
                <w:rFonts w:ascii="Arial" w:hAnsi="Arial" w:cs="Arial"/>
                <w:sz w:val="20"/>
                <w:szCs w:val="20"/>
              </w:rPr>
              <w:t> </w:t>
            </w:r>
          </w:p>
        </w:tc>
        <w:tc>
          <w:tcPr>
            <w:tcW w:w="1946" w:type="dxa"/>
            <w:tcBorders>
              <w:top w:val="single" w:sz="8" w:space="0" w:color="auto"/>
              <w:left w:val="nil"/>
              <w:bottom w:val="single" w:sz="8" w:space="0" w:color="auto"/>
              <w:right w:val="single" w:sz="8" w:space="0" w:color="auto"/>
            </w:tcBorders>
            <w:shd w:val="clear" w:color="auto" w:fill="auto"/>
            <w:vAlign w:val="center"/>
          </w:tcPr>
          <w:p w:rsidR="00863152" w:rsidRPr="001E1766" w:rsidRDefault="00863152">
            <w:pPr>
              <w:jc w:val="center"/>
              <w:rPr>
                <w:rFonts w:ascii="Arial" w:hAnsi="Arial" w:cs="Arial"/>
                <w:sz w:val="20"/>
                <w:szCs w:val="20"/>
              </w:rPr>
            </w:pPr>
            <w:r w:rsidRPr="001E1766">
              <w:rPr>
                <w:rFonts w:ascii="Arial" w:hAnsi="Arial" w:cs="Arial"/>
                <w:sz w:val="20"/>
                <w:szCs w:val="20"/>
              </w:rPr>
              <w:t>Jun-10</w:t>
            </w:r>
          </w:p>
        </w:tc>
      </w:tr>
      <w:tr w:rsidR="00863152" w:rsidRPr="004936AD" w:rsidTr="00413A46">
        <w:trPr>
          <w:trHeight w:val="285"/>
          <w:jc w:val="center"/>
        </w:trPr>
        <w:tc>
          <w:tcPr>
            <w:tcW w:w="6638" w:type="dxa"/>
            <w:tcBorders>
              <w:top w:val="nil"/>
              <w:left w:val="single" w:sz="8" w:space="0" w:color="auto"/>
              <w:bottom w:val="single" w:sz="8" w:space="0" w:color="auto"/>
              <w:right w:val="single" w:sz="8" w:space="0" w:color="auto"/>
            </w:tcBorders>
            <w:shd w:val="clear" w:color="auto" w:fill="auto"/>
            <w:vAlign w:val="bottom"/>
          </w:tcPr>
          <w:p w:rsidR="00863152" w:rsidRPr="004936AD" w:rsidRDefault="00863152">
            <w:pPr>
              <w:rPr>
                <w:rFonts w:ascii="Arial" w:hAnsi="Arial" w:cs="Arial"/>
                <w:sz w:val="20"/>
                <w:szCs w:val="20"/>
              </w:rPr>
            </w:pPr>
            <w:r w:rsidRPr="004936AD">
              <w:rPr>
                <w:rFonts w:ascii="Arial" w:hAnsi="Arial" w:cs="Arial"/>
                <w:sz w:val="20"/>
                <w:szCs w:val="20"/>
              </w:rPr>
              <w:t xml:space="preserve">Follow up workshop in Fiji attended by </w:t>
            </w:r>
            <w:r w:rsidR="00096E50">
              <w:rPr>
                <w:rFonts w:ascii="Arial" w:hAnsi="Arial" w:cs="Arial"/>
                <w:sz w:val="20"/>
                <w:szCs w:val="20"/>
              </w:rPr>
              <w:t>one</w:t>
            </w:r>
            <w:r w:rsidR="00096E50" w:rsidRPr="004936AD">
              <w:rPr>
                <w:rFonts w:ascii="Arial" w:hAnsi="Arial" w:cs="Arial"/>
                <w:sz w:val="20"/>
                <w:szCs w:val="20"/>
              </w:rPr>
              <w:t xml:space="preserve"> </w:t>
            </w:r>
            <w:r w:rsidRPr="004936AD">
              <w:rPr>
                <w:rFonts w:ascii="Arial" w:hAnsi="Arial" w:cs="Arial"/>
                <w:sz w:val="20"/>
                <w:szCs w:val="20"/>
              </w:rPr>
              <w:t xml:space="preserve">BPA staff to follow up AFI exposure visit. </w:t>
            </w:r>
          </w:p>
        </w:tc>
        <w:tc>
          <w:tcPr>
            <w:tcW w:w="2040" w:type="dxa"/>
            <w:tcBorders>
              <w:top w:val="nil"/>
              <w:left w:val="nil"/>
              <w:bottom w:val="single" w:sz="8" w:space="0" w:color="auto"/>
              <w:right w:val="single" w:sz="8" w:space="0" w:color="auto"/>
            </w:tcBorders>
            <w:shd w:val="clear" w:color="auto" w:fill="auto"/>
            <w:vAlign w:val="center"/>
          </w:tcPr>
          <w:p w:rsidR="00863152" w:rsidRPr="001E1766" w:rsidRDefault="00863152" w:rsidP="00D454F2">
            <w:pPr>
              <w:jc w:val="center"/>
              <w:rPr>
                <w:rFonts w:ascii="Arial" w:hAnsi="Arial" w:cs="Arial"/>
                <w:sz w:val="20"/>
                <w:szCs w:val="20"/>
              </w:rPr>
            </w:pPr>
            <w:r w:rsidRPr="001E1766">
              <w:rPr>
                <w:rFonts w:ascii="Arial" w:hAnsi="Arial" w:cs="Arial"/>
                <w:sz w:val="20"/>
                <w:szCs w:val="20"/>
              </w:rPr>
              <w:t>BPA</w:t>
            </w:r>
          </w:p>
        </w:tc>
        <w:tc>
          <w:tcPr>
            <w:tcW w:w="1800" w:type="dxa"/>
            <w:tcBorders>
              <w:top w:val="nil"/>
              <w:left w:val="nil"/>
              <w:bottom w:val="single" w:sz="8" w:space="0" w:color="auto"/>
              <w:right w:val="single" w:sz="8" w:space="0" w:color="auto"/>
            </w:tcBorders>
            <w:shd w:val="clear" w:color="auto" w:fill="auto"/>
            <w:vAlign w:val="center"/>
          </w:tcPr>
          <w:p w:rsidR="00863152" w:rsidRPr="001E1766" w:rsidRDefault="00D454F2">
            <w:pPr>
              <w:jc w:val="center"/>
              <w:rPr>
                <w:rFonts w:ascii="Arial" w:hAnsi="Arial" w:cs="Arial"/>
                <w:sz w:val="20"/>
                <w:szCs w:val="20"/>
              </w:rPr>
            </w:pPr>
            <w:r w:rsidRPr="001E1766">
              <w:rPr>
                <w:rFonts w:ascii="Arial" w:hAnsi="Arial" w:cs="Arial"/>
                <w:sz w:val="20"/>
                <w:szCs w:val="20"/>
              </w:rPr>
              <w:t>Direct Procurement</w:t>
            </w:r>
          </w:p>
        </w:tc>
        <w:tc>
          <w:tcPr>
            <w:tcW w:w="1217" w:type="dxa"/>
            <w:tcBorders>
              <w:top w:val="single" w:sz="8" w:space="0" w:color="auto"/>
              <w:left w:val="nil"/>
              <w:bottom w:val="single" w:sz="8" w:space="0" w:color="auto"/>
              <w:right w:val="single" w:sz="8" w:space="0" w:color="auto"/>
            </w:tcBorders>
            <w:shd w:val="clear" w:color="auto" w:fill="auto"/>
            <w:vAlign w:val="center"/>
          </w:tcPr>
          <w:p w:rsidR="00863152" w:rsidRPr="001E1766" w:rsidRDefault="00D454F2">
            <w:pPr>
              <w:jc w:val="center"/>
              <w:rPr>
                <w:rFonts w:ascii="Arial" w:hAnsi="Arial" w:cs="Arial"/>
                <w:sz w:val="20"/>
                <w:szCs w:val="20"/>
              </w:rPr>
            </w:pPr>
            <w:r w:rsidRPr="001E1766">
              <w:rPr>
                <w:rFonts w:ascii="Arial" w:hAnsi="Arial" w:cs="Arial"/>
                <w:sz w:val="20"/>
                <w:szCs w:val="20"/>
              </w:rPr>
              <w:t>n/a</w:t>
            </w:r>
            <w:r w:rsidR="00863152" w:rsidRPr="001E1766">
              <w:rPr>
                <w:rFonts w:ascii="Arial" w:hAnsi="Arial" w:cs="Arial"/>
                <w:sz w:val="20"/>
                <w:szCs w:val="20"/>
              </w:rPr>
              <w:t> </w:t>
            </w:r>
          </w:p>
        </w:tc>
        <w:tc>
          <w:tcPr>
            <w:tcW w:w="1946" w:type="dxa"/>
            <w:tcBorders>
              <w:top w:val="single" w:sz="8" w:space="0" w:color="auto"/>
              <w:left w:val="single" w:sz="8" w:space="0" w:color="auto"/>
              <w:bottom w:val="single" w:sz="8" w:space="0" w:color="auto"/>
              <w:right w:val="single" w:sz="8" w:space="0" w:color="auto"/>
            </w:tcBorders>
            <w:shd w:val="clear" w:color="auto" w:fill="auto"/>
            <w:vAlign w:val="center"/>
          </w:tcPr>
          <w:p w:rsidR="00863152" w:rsidRPr="001E1766" w:rsidRDefault="00D454F2">
            <w:pPr>
              <w:jc w:val="center"/>
              <w:rPr>
                <w:rFonts w:ascii="Arial" w:hAnsi="Arial" w:cs="Arial"/>
                <w:sz w:val="20"/>
                <w:szCs w:val="20"/>
              </w:rPr>
            </w:pPr>
            <w:r w:rsidRPr="001E1766">
              <w:rPr>
                <w:rFonts w:ascii="Arial" w:hAnsi="Arial" w:cs="Arial"/>
                <w:sz w:val="20"/>
                <w:szCs w:val="20"/>
              </w:rPr>
              <w:t>Aug-10</w:t>
            </w:r>
            <w:r w:rsidR="00863152" w:rsidRPr="001E1766">
              <w:rPr>
                <w:rFonts w:ascii="Arial" w:hAnsi="Arial" w:cs="Arial"/>
                <w:sz w:val="20"/>
                <w:szCs w:val="20"/>
              </w:rPr>
              <w:t> </w:t>
            </w:r>
          </w:p>
        </w:tc>
      </w:tr>
      <w:tr w:rsidR="00863152" w:rsidRPr="004936AD" w:rsidTr="00413A46">
        <w:trPr>
          <w:trHeight w:val="270"/>
          <w:jc w:val="center"/>
        </w:trPr>
        <w:tc>
          <w:tcPr>
            <w:tcW w:w="6638" w:type="dxa"/>
            <w:tcBorders>
              <w:top w:val="nil"/>
              <w:left w:val="single" w:sz="8" w:space="0" w:color="auto"/>
              <w:bottom w:val="nil"/>
              <w:right w:val="single" w:sz="8" w:space="0" w:color="auto"/>
            </w:tcBorders>
            <w:shd w:val="clear" w:color="auto" w:fill="auto"/>
            <w:vAlign w:val="bottom"/>
          </w:tcPr>
          <w:p w:rsidR="00863152" w:rsidRPr="004936AD" w:rsidRDefault="00863152">
            <w:pPr>
              <w:rPr>
                <w:rFonts w:ascii="Arial" w:hAnsi="Arial" w:cs="Arial"/>
                <w:sz w:val="20"/>
                <w:szCs w:val="20"/>
              </w:rPr>
            </w:pPr>
            <w:r w:rsidRPr="004936AD">
              <w:rPr>
                <w:rFonts w:ascii="Arial" w:hAnsi="Arial" w:cs="Arial"/>
                <w:sz w:val="20"/>
                <w:szCs w:val="20"/>
              </w:rPr>
              <w:t xml:space="preserve">Attendance of </w:t>
            </w:r>
            <w:r w:rsidR="00096E50">
              <w:rPr>
                <w:rFonts w:ascii="Arial" w:hAnsi="Arial" w:cs="Arial"/>
                <w:sz w:val="20"/>
                <w:szCs w:val="20"/>
              </w:rPr>
              <w:t>one</w:t>
            </w:r>
            <w:r w:rsidR="00096E50" w:rsidRPr="004936AD">
              <w:rPr>
                <w:rFonts w:ascii="Arial" w:hAnsi="Arial" w:cs="Arial"/>
                <w:sz w:val="20"/>
                <w:szCs w:val="20"/>
              </w:rPr>
              <w:t xml:space="preserve"> </w:t>
            </w:r>
            <w:r w:rsidRPr="004936AD">
              <w:rPr>
                <w:rFonts w:ascii="Arial" w:hAnsi="Arial" w:cs="Arial"/>
                <w:sz w:val="20"/>
                <w:szCs w:val="20"/>
              </w:rPr>
              <w:t xml:space="preserve">BPA staff at the AFI </w:t>
            </w:r>
            <w:r w:rsidR="00096E50">
              <w:rPr>
                <w:rFonts w:ascii="Arial" w:hAnsi="Arial" w:cs="Arial"/>
                <w:sz w:val="20"/>
                <w:szCs w:val="20"/>
              </w:rPr>
              <w:t xml:space="preserve">Annual </w:t>
            </w:r>
            <w:r w:rsidRPr="004936AD">
              <w:rPr>
                <w:rFonts w:ascii="Arial" w:hAnsi="Arial" w:cs="Arial"/>
                <w:sz w:val="20"/>
                <w:szCs w:val="20"/>
              </w:rPr>
              <w:t>Global Policy Forum in Bali in September.</w:t>
            </w:r>
          </w:p>
        </w:tc>
        <w:tc>
          <w:tcPr>
            <w:tcW w:w="2040" w:type="dxa"/>
            <w:tcBorders>
              <w:top w:val="nil"/>
              <w:left w:val="nil"/>
              <w:bottom w:val="nil"/>
              <w:right w:val="single" w:sz="8" w:space="0" w:color="auto"/>
            </w:tcBorders>
            <w:shd w:val="clear" w:color="auto" w:fill="auto"/>
            <w:vAlign w:val="center"/>
          </w:tcPr>
          <w:p w:rsidR="00863152" w:rsidRPr="001E1766" w:rsidRDefault="00863152" w:rsidP="00D454F2">
            <w:pPr>
              <w:jc w:val="center"/>
              <w:rPr>
                <w:rFonts w:ascii="Arial" w:hAnsi="Arial" w:cs="Arial"/>
                <w:sz w:val="20"/>
                <w:szCs w:val="20"/>
              </w:rPr>
            </w:pPr>
            <w:r w:rsidRPr="001E1766">
              <w:rPr>
                <w:rFonts w:ascii="Arial" w:hAnsi="Arial" w:cs="Arial"/>
                <w:sz w:val="20"/>
                <w:szCs w:val="20"/>
              </w:rPr>
              <w:t>BPA</w:t>
            </w:r>
          </w:p>
        </w:tc>
        <w:tc>
          <w:tcPr>
            <w:tcW w:w="1800" w:type="dxa"/>
            <w:tcBorders>
              <w:top w:val="nil"/>
              <w:left w:val="nil"/>
              <w:bottom w:val="nil"/>
              <w:right w:val="single" w:sz="8" w:space="0" w:color="auto"/>
            </w:tcBorders>
            <w:shd w:val="clear" w:color="auto" w:fill="auto"/>
            <w:vAlign w:val="center"/>
          </w:tcPr>
          <w:p w:rsidR="00863152" w:rsidRPr="001E1766" w:rsidRDefault="00D454F2">
            <w:pPr>
              <w:jc w:val="center"/>
              <w:rPr>
                <w:rFonts w:ascii="Arial" w:hAnsi="Arial" w:cs="Arial"/>
                <w:sz w:val="20"/>
                <w:szCs w:val="20"/>
              </w:rPr>
            </w:pPr>
            <w:r w:rsidRPr="001E1766">
              <w:rPr>
                <w:rFonts w:ascii="Arial" w:hAnsi="Arial" w:cs="Arial"/>
                <w:sz w:val="20"/>
                <w:szCs w:val="20"/>
              </w:rPr>
              <w:t>Direct Procurement</w:t>
            </w:r>
          </w:p>
        </w:tc>
        <w:tc>
          <w:tcPr>
            <w:tcW w:w="1217" w:type="dxa"/>
            <w:tcBorders>
              <w:top w:val="single" w:sz="8" w:space="0" w:color="auto"/>
              <w:left w:val="nil"/>
              <w:bottom w:val="single" w:sz="8" w:space="0" w:color="auto"/>
              <w:right w:val="single" w:sz="8" w:space="0" w:color="auto"/>
            </w:tcBorders>
            <w:shd w:val="clear" w:color="auto" w:fill="auto"/>
            <w:vAlign w:val="center"/>
          </w:tcPr>
          <w:p w:rsidR="00863152" w:rsidRPr="001E1766" w:rsidRDefault="00863152">
            <w:pPr>
              <w:jc w:val="center"/>
              <w:rPr>
                <w:rFonts w:ascii="Arial" w:hAnsi="Arial" w:cs="Arial"/>
                <w:sz w:val="20"/>
                <w:szCs w:val="20"/>
              </w:rPr>
            </w:pPr>
            <w:r w:rsidRPr="001E1766">
              <w:rPr>
                <w:rFonts w:ascii="Arial" w:hAnsi="Arial" w:cs="Arial"/>
                <w:sz w:val="20"/>
                <w:szCs w:val="20"/>
              </w:rPr>
              <w:t> </w:t>
            </w:r>
            <w:r w:rsidR="00D454F2" w:rsidRPr="001E1766">
              <w:rPr>
                <w:rFonts w:ascii="Arial" w:hAnsi="Arial" w:cs="Arial"/>
                <w:sz w:val="20"/>
                <w:szCs w:val="20"/>
              </w:rPr>
              <w:t xml:space="preserve">n/a </w:t>
            </w:r>
          </w:p>
        </w:tc>
        <w:tc>
          <w:tcPr>
            <w:tcW w:w="1946" w:type="dxa"/>
            <w:tcBorders>
              <w:top w:val="single" w:sz="8" w:space="0" w:color="auto"/>
              <w:left w:val="single" w:sz="8" w:space="0" w:color="auto"/>
              <w:bottom w:val="single" w:sz="8" w:space="0" w:color="auto"/>
              <w:right w:val="single" w:sz="8" w:space="0" w:color="auto"/>
            </w:tcBorders>
            <w:shd w:val="clear" w:color="auto" w:fill="auto"/>
            <w:vAlign w:val="center"/>
          </w:tcPr>
          <w:p w:rsidR="00863152" w:rsidRPr="001E1766" w:rsidRDefault="00D454F2">
            <w:pPr>
              <w:jc w:val="center"/>
              <w:rPr>
                <w:rFonts w:ascii="Arial" w:hAnsi="Arial" w:cs="Arial"/>
                <w:sz w:val="20"/>
                <w:szCs w:val="20"/>
              </w:rPr>
            </w:pPr>
            <w:r w:rsidRPr="001E1766">
              <w:rPr>
                <w:rFonts w:ascii="Arial" w:hAnsi="Arial" w:cs="Arial"/>
                <w:sz w:val="20"/>
                <w:szCs w:val="20"/>
              </w:rPr>
              <w:t>Sept-10</w:t>
            </w:r>
            <w:r w:rsidR="00863152" w:rsidRPr="001E1766">
              <w:rPr>
                <w:rFonts w:ascii="Arial" w:hAnsi="Arial" w:cs="Arial"/>
                <w:sz w:val="20"/>
                <w:szCs w:val="20"/>
              </w:rPr>
              <w:t> </w:t>
            </w:r>
          </w:p>
        </w:tc>
      </w:tr>
      <w:tr w:rsidR="00863152" w:rsidRPr="004936AD" w:rsidTr="00413A46">
        <w:trPr>
          <w:trHeight w:val="525"/>
          <w:jc w:val="center"/>
        </w:trPr>
        <w:tc>
          <w:tcPr>
            <w:tcW w:w="6638" w:type="dxa"/>
            <w:tcBorders>
              <w:top w:val="single" w:sz="8" w:space="0" w:color="auto"/>
              <w:left w:val="single" w:sz="8" w:space="0" w:color="auto"/>
              <w:bottom w:val="single" w:sz="8" w:space="0" w:color="auto"/>
              <w:right w:val="single" w:sz="8" w:space="0" w:color="auto"/>
            </w:tcBorders>
            <w:shd w:val="clear" w:color="auto" w:fill="auto"/>
            <w:vAlign w:val="bottom"/>
          </w:tcPr>
          <w:p w:rsidR="00863152" w:rsidRPr="004936AD" w:rsidRDefault="00863152">
            <w:pPr>
              <w:rPr>
                <w:rFonts w:ascii="Arial" w:hAnsi="Arial" w:cs="Arial"/>
                <w:sz w:val="20"/>
                <w:szCs w:val="20"/>
              </w:rPr>
            </w:pPr>
            <w:r w:rsidRPr="004936AD">
              <w:rPr>
                <w:rFonts w:ascii="Arial" w:hAnsi="Arial" w:cs="Arial"/>
                <w:sz w:val="20"/>
                <w:szCs w:val="20"/>
              </w:rPr>
              <w:t xml:space="preserve">Consultant to conduct a </w:t>
            </w:r>
            <w:r w:rsidR="00096E50">
              <w:rPr>
                <w:rFonts w:ascii="Arial" w:hAnsi="Arial" w:cs="Arial"/>
                <w:sz w:val="20"/>
                <w:szCs w:val="20"/>
              </w:rPr>
              <w:t>p</w:t>
            </w:r>
            <w:r w:rsidR="00096E50" w:rsidRPr="004936AD">
              <w:rPr>
                <w:rFonts w:ascii="Arial" w:hAnsi="Arial" w:cs="Arial"/>
                <w:sz w:val="20"/>
                <w:szCs w:val="20"/>
              </w:rPr>
              <w:t xml:space="preserve">olicy </w:t>
            </w:r>
            <w:r w:rsidR="00096E50">
              <w:rPr>
                <w:rFonts w:ascii="Arial" w:hAnsi="Arial" w:cs="Arial"/>
                <w:sz w:val="20"/>
                <w:szCs w:val="20"/>
              </w:rPr>
              <w:t>d</w:t>
            </w:r>
            <w:r w:rsidR="00096E50" w:rsidRPr="004936AD">
              <w:rPr>
                <w:rFonts w:ascii="Arial" w:hAnsi="Arial" w:cs="Arial"/>
                <w:sz w:val="20"/>
                <w:szCs w:val="20"/>
              </w:rPr>
              <w:t xml:space="preserve">iagnostic </w:t>
            </w:r>
            <w:r w:rsidRPr="004936AD">
              <w:rPr>
                <w:rFonts w:ascii="Arial" w:hAnsi="Arial" w:cs="Arial"/>
                <w:sz w:val="20"/>
                <w:szCs w:val="20"/>
              </w:rPr>
              <w:t xml:space="preserve">and to support the BPA in development of an enabling regulatory framework for microfinance. </w:t>
            </w:r>
          </w:p>
        </w:tc>
        <w:tc>
          <w:tcPr>
            <w:tcW w:w="2040" w:type="dxa"/>
            <w:tcBorders>
              <w:top w:val="single" w:sz="8" w:space="0" w:color="auto"/>
              <w:left w:val="nil"/>
              <w:bottom w:val="single" w:sz="8" w:space="0" w:color="auto"/>
              <w:right w:val="single" w:sz="8" w:space="0" w:color="auto"/>
            </w:tcBorders>
            <w:shd w:val="clear" w:color="auto" w:fill="auto"/>
            <w:noWrap/>
            <w:vAlign w:val="bottom"/>
          </w:tcPr>
          <w:p w:rsidR="00863152" w:rsidRPr="004936AD" w:rsidRDefault="00D454F2" w:rsidP="00D454F2">
            <w:pPr>
              <w:jc w:val="center"/>
              <w:rPr>
                <w:rFonts w:ascii="Arial" w:hAnsi="Arial" w:cs="Arial"/>
                <w:sz w:val="20"/>
                <w:szCs w:val="20"/>
              </w:rPr>
            </w:pPr>
            <w:r w:rsidRPr="004936AD">
              <w:rPr>
                <w:rFonts w:ascii="Arial" w:hAnsi="Arial" w:cs="Arial"/>
                <w:sz w:val="20"/>
                <w:szCs w:val="20"/>
              </w:rPr>
              <w:t xml:space="preserve">Consultant:  </w:t>
            </w:r>
            <w:r w:rsidR="00863152" w:rsidRPr="004936AD">
              <w:rPr>
                <w:rFonts w:ascii="Arial" w:hAnsi="Arial" w:cs="Arial"/>
                <w:sz w:val="20"/>
                <w:szCs w:val="20"/>
              </w:rPr>
              <w:t>Mark Flaming</w:t>
            </w:r>
          </w:p>
        </w:tc>
        <w:tc>
          <w:tcPr>
            <w:tcW w:w="1800" w:type="dxa"/>
            <w:tcBorders>
              <w:top w:val="single" w:sz="8" w:space="0" w:color="auto"/>
              <w:left w:val="nil"/>
              <w:bottom w:val="single" w:sz="8" w:space="0" w:color="auto"/>
              <w:right w:val="single" w:sz="8" w:space="0" w:color="auto"/>
            </w:tcBorders>
            <w:shd w:val="clear" w:color="auto" w:fill="auto"/>
            <w:vAlign w:val="center"/>
          </w:tcPr>
          <w:p w:rsidR="00863152" w:rsidRPr="004936AD" w:rsidRDefault="00863152">
            <w:pPr>
              <w:jc w:val="center"/>
              <w:rPr>
                <w:rFonts w:ascii="Arial" w:hAnsi="Arial" w:cs="Arial"/>
                <w:sz w:val="20"/>
                <w:szCs w:val="20"/>
              </w:rPr>
            </w:pPr>
            <w:r w:rsidRPr="004936AD">
              <w:rPr>
                <w:rFonts w:ascii="Arial" w:hAnsi="Arial" w:cs="Arial"/>
                <w:sz w:val="20"/>
                <w:szCs w:val="20"/>
              </w:rPr>
              <w:t>Direct Procurement</w:t>
            </w:r>
          </w:p>
        </w:tc>
        <w:tc>
          <w:tcPr>
            <w:tcW w:w="1217" w:type="dxa"/>
            <w:tcBorders>
              <w:top w:val="single" w:sz="8" w:space="0" w:color="auto"/>
              <w:left w:val="nil"/>
              <w:bottom w:val="single" w:sz="8" w:space="0" w:color="auto"/>
              <w:right w:val="single" w:sz="8" w:space="0" w:color="auto"/>
            </w:tcBorders>
            <w:shd w:val="clear" w:color="auto" w:fill="auto"/>
            <w:vAlign w:val="bottom"/>
          </w:tcPr>
          <w:p w:rsidR="00863152" w:rsidRPr="004936AD" w:rsidRDefault="00863152">
            <w:pPr>
              <w:jc w:val="center"/>
              <w:rPr>
                <w:rFonts w:ascii="Arial" w:hAnsi="Arial" w:cs="Arial"/>
                <w:sz w:val="20"/>
                <w:szCs w:val="20"/>
              </w:rPr>
            </w:pPr>
            <w:r w:rsidRPr="004936AD">
              <w:rPr>
                <w:rFonts w:ascii="Arial" w:hAnsi="Arial" w:cs="Arial"/>
                <w:sz w:val="20"/>
                <w:szCs w:val="20"/>
              </w:rPr>
              <w:t xml:space="preserve">$35,000 </w:t>
            </w:r>
          </w:p>
        </w:tc>
        <w:tc>
          <w:tcPr>
            <w:tcW w:w="1946" w:type="dxa"/>
            <w:tcBorders>
              <w:top w:val="single" w:sz="8" w:space="0" w:color="auto"/>
              <w:left w:val="single" w:sz="8" w:space="0" w:color="auto"/>
              <w:bottom w:val="single" w:sz="8" w:space="0" w:color="auto"/>
              <w:right w:val="single" w:sz="8" w:space="0" w:color="auto"/>
            </w:tcBorders>
            <w:shd w:val="clear" w:color="auto" w:fill="auto"/>
            <w:vAlign w:val="center"/>
          </w:tcPr>
          <w:p w:rsidR="00863152" w:rsidRPr="004936AD" w:rsidRDefault="00D454F2">
            <w:pPr>
              <w:jc w:val="center"/>
              <w:rPr>
                <w:rFonts w:ascii="Arial" w:hAnsi="Arial" w:cs="Arial"/>
                <w:sz w:val="20"/>
                <w:szCs w:val="20"/>
              </w:rPr>
            </w:pPr>
            <w:r w:rsidRPr="004936AD">
              <w:rPr>
                <w:rFonts w:ascii="Arial" w:hAnsi="Arial" w:cs="Arial"/>
                <w:sz w:val="20"/>
                <w:szCs w:val="20"/>
              </w:rPr>
              <w:t xml:space="preserve">Pending </w:t>
            </w:r>
            <w:r w:rsidR="00863152" w:rsidRPr="004936AD">
              <w:rPr>
                <w:rFonts w:ascii="Arial" w:hAnsi="Arial" w:cs="Arial"/>
                <w:sz w:val="20"/>
                <w:szCs w:val="20"/>
              </w:rPr>
              <w:t> </w:t>
            </w:r>
          </w:p>
        </w:tc>
      </w:tr>
      <w:tr w:rsidR="00863152" w:rsidRPr="004936AD" w:rsidTr="00413A46">
        <w:trPr>
          <w:trHeight w:val="1035"/>
          <w:jc w:val="center"/>
        </w:trPr>
        <w:tc>
          <w:tcPr>
            <w:tcW w:w="6638" w:type="dxa"/>
            <w:tcBorders>
              <w:top w:val="nil"/>
              <w:left w:val="single" w:sz="8" w:space="0" w:color="auto"/>
              <w:bottom w:val="single" w:sz="8" w:space="0" w:color="auto"/>
              <w:right w:val="single" w:sz="8" w:space="0" w:color="auto"/>
            </w:tcBorders>
            <w:shd w:val="clear" w:color="auto" w:fill="auto"/>
            <w:vAlign w:val="bottom"/>
          </w:tcPr>
          <w:p w:rsidR="00863152" w:rsidRPr="004936AD" w:rsidRDefault="00863152">
            <w:pPr>
              <w:rPr>
                <w:rFonts w:ascii="Arial" w:hAnsi="Arial" w:cs="Arial"/>
                <w:sz w:val="20"/>
                <w:szCs w:val="20"/>
              </w:rPr>
            </w:pPr>
            <w:r w:rsidRPr="004936AD">
              <w:rPr>
                <w:rFonts w:ascii="Arial" w:hAnsi="Arial" w:cs="Arial"/>
                <w:sz w:val="20"/>
                <w:szCs w:val="20"/>
              </w:rPr>
              <w:t xml:space="preserve">Consultant to work in collaboration with the National </w:t>
            </w:r>
            <w:r w:rsidR="00156FF2" w:rsidRPr="004936AD">
              <w:rPr>
                <w:rFonts w:ascii="Arial" w:hAnsi="Arial" w:cs="Arial"/>
                <w:sz w:val="20"/>
                <w:szCs w:val="20"/>
              </w:rPr>
              <w:t>Labor</w:t>
            </w:r>
            <w:r w:rsidRPr="004936AD">
              <w:rPr>
                <w:rFonts w:ascii="Arial" w:hAnsi="Arial" w:cs="Arial"/>
                <w:sz w:val="20"/>
                <w:szCs w:val="20"/>
              </w:rPr>
              <w:t xml:space="preserve"> Force Development Institute (INDMO) to support the development of the competencies framework for a MF/Banking Certificate, in order to develop skilled human resources for </w:t>
            </w:r>
            <w:r w:rsidR="00096E50">
              <w:rPr>
                <w:rFonts w:ascii="Arial" w:hAnsi="Arial" w:cs="Arial"/>
                <w:sz w:val="20"/>
                <w:szCs w:val="20"/>
              </w:rPr>
              <w:t>FSPs</w:t>
            </w:r>
            <w:r w:rsidRPr="004936AD">
              <w:rPr>
                <w:rFonts w:ascii="Arial" w:hAnsi="Arial" w:cs="Arial"/>
                <w:sz w:val="20"/>
                <w:szCs w:val="20"/>
              </w:rPr>
              <w:t xml:space="preserve">. </w:t>
            </w:r>
          </w:p>
        </w:tc>
        <w:tc>
          <w:tcPr>
            <w:tcW w:w="2040" w:type="dxa"/>
            <w:tcBorders>
              <w:top w:val="nil"/>
              <w:left w:val="nil"/>
              <w:bottom w:val="single" w:sz="8" w:space="0" w:color="auto"/>
              <w:right w:val="single" w:sz="8" w:space="0" w:color="auto"/>
            </w:tcBorders>
            <w:shd w:val="clear" w:color="auto" w:fill="auto"/>
            <w:noWrap/>
            <w:vAlign w:val="bottom"/>
          </w:tcPr>
          <w:p w:rsidR="00863152" w:rsidRPr="004936AD" w:rsidRDefault="00D454F2" w:rsidP="00D454F2">
            <w:pPr>
              <w:jc w:val="center"/>
              <w:rPr>
                <w:rFonts w:ascii="Arial" w:hAnsi="Arial" w:cs="Arial"/>
                <w:sz w:val="20"/>
                <w:szCs w:val="20"/>
              </w:rPr>
            </w:pPr>
            <w:r w:rsidRPr="004936AD">
              <w:rPr>
                <w:rFonts w:ascii="Arial" w:hAnsi="Arial" w:cs="Arial"/>
                <w:sz w:val="20"/>
                <w:szCs w:val="20"/>
              </w:rPr>
              <w:t xml:space="preserve">Consultant:  </w:t>
            </w:r>
            <w:r w:rsidR="00863152" w:rsidRPr="004936AD">
              <w:rPr>
                <w:rFonts w:ascii="Arial" w:hAnsi="Arial" w:cs="Arial"/>
                <w:sz w:val="20"/>
                <w:szCs w:val="20"/>
              </w:rPr>
              <w:t>Carolyn Blacklock</w:t>
            </w:r>
          </w:p>
        </w:tc>
        <w:tc>
          <w:tcPr>
            <w:tcW w:w="1800" w:type="dxa"/>
            <w:tcBorders>
              <w:top w:val="nil"/>
              <w:left w:val="nil"/>
              <w:bottom w:val="single" w:sz="8" w:space="0" w:color="auto"/>
              <w:right w:val="single" w:sz="8" w:space="0" w:color="auto"/>
            </w:tcBorders>
            <w:shd w:val="clear" w:color="auto" w:fill="auto"/>
            <w:vAlign w:val="center"/>
          </w:tcPr>
          <w:p w:rsidR="00863152" w:rsidRPr="004936AD" w:rsidRDefault="00863152">
            <w:pPr>
              <w:jc w:val="center"/>
              <w:rPr>
                <w:rFonts w:ascii="Arial" w:hAnsi="Arial" w:cs="Arial"/>
                <w:sz w:val="20"/>
                <w:szCs w:val="20"/>
              </w:rPr>
            </w:pPr>
            <w:r w:rsidRPr="004936AD">
              <w:rPr>
                <w:rFonts w:ascii="Arial" w:hAnsi="Arial" w:cs="Arial"/>
                <w:sz w:val="20"/>
                <w:szCs w:val="20"/>
              </w:rPr>
              <w:t>Direct Procurement</w:t>
            </w:r>
          </w:p>
        </w:tc>
        <w:tc>
          <w:tcPr>
            <w:tcW w:w="1217" w:type="dxa"/>
            <w:tcBorders>
              <w:top w:val="single" w:sz="8" w:space="0" w:color="auto"/>
              <w:left w:val="nil"/>
              <w:bottom w:val="single" w:sz="8" w:space="0" w:color="auto"/>
              <w:right w:val="single" w:sz="8" w:space="0" w:color="auto"/>
            </w:tcBorders>
            <w:shd w:val="clear" w:color="auto" w:fill="auto"/>
            <w:vAlign w:val="bottom"/>
          </w:tcPr>
          <w:p w:rsidR="00863152" w:rsidRPr="004936AD" w:rsidRDefault="00863152">
            <w:pPr>
              <w:jc w:val="center"/>
              <w:rPr>
                <w:rFonts w:ascii="Arial" w:hAnsi="Arial" w:cs="Arial"/>
                <w:sz w:val="20"/>
                <w:szCs w:val="20"/>
              </w:rPr>
            </w:pPr>
            <w:r w:rsidRPr="004936AD">
              <w:rPr>
                <w:rFonts w:ascii="Arial" w:hAnsi="Arial" w:cs="Arial"/>
                <w:sz w:val="20"/>
                <w:szCs w:val="20"/>
              </w:rPr>
              <w:t xml:space="preserve">$40,366 </w:t>
            </w:r>
          </w:p>
        </w:tc>
        <w:tc>
          <w:tcPr>
            <w:tcW w:w="1946" w:type="dxa"/>
            <w:tcBorders>
              <w:top w:val="single" w:sz="8" w:space="0" w:color="auto"/>
              <w:left w:val="single" w:sz="8" w:space="0" w:color="auto"/>
              <w:bottom w:val="single" w:sz="8" w:space="0" w:color="auto"/>
              <w:right w:val="single" w:sz="8" w:space="0" w:color="auto"/>
            </w:tcBorders>
            <w:shd w:val="clear" w:color="auto" w:fill="auto"/>
            <w:vAlign w:val="center"/>
          </w:tcPr>
          <w:p w:rsidR="00863152" w:rsidRPr="004936AD" w:rsidRDefault="00863152">
            <w:pPr>
              <w:jc w:val="center"/>
              <w:rPr>
                <w:rFonts w:ascii="Arial" w:hAnsi="Arial" w:cs="Arial"/>
                <w:sz w:val="20"/>
                <w:szCs w:val="20"/>
              </w:rPr>
            </w:pPr>
            <w:r w:rsidRPr="004936AD">
              <w:rPr>
                <w:rFonts w:ascii="Arial" w:hAnsi="Arial" w:cs="Arial"/>
                <w:sz w:val="20"/>
                <w:szCs w:val="20"/>
              </w:rPr>
              <w:t> </w:t>
            </w:r>
            <w:r w:rsidR="00D454F2" w:rsidRPr="004936AD">
              <w:rPr>
                <w:rFonts w:ascii="Arial" w:hAnsi="Arial" w:cs="Arial"/>
                <w:sz w:val="20"/>
                <w:szCs w:val="20"/>
              </w:rPr>
              <w:t>Pending</w:t>
            </w:r>
          </w:p>
          <w:p w:rsidR="00D454F2" w:rsidRPr="004936AD" w:rsidRDefault="00D454F2">
            <w:pPr>
              <w:jc w:val="center"/>
              <w:rPr>
                <w:rFonts w:ascii="Arial" w:hAnsi="Arial" w:cs="Arial"/>
                <w:sz w:val="20"/>
                <w:szCs w:val="20"/>
              </w:rPr>
            </w:pPr>
          </w:p>
        </w:tc>
      </w:tr>
      <w:tr w:rsidR="001E105E" w:rsidTr="00413A46">
        <w:trPr>
          <w:trHeight w:val="525"/>
          <w:jc w:val="center"/>
        </w:trPr>
        <w:tc>
          <w:tcPr>
            <w:tcW w:w="6638" w:type="dxa"/>
            <w:tcBorders>
              <w:top w:val="nil"/>
              <w:left w:val="single" w:sz="8" w:space="0" w:color="auto"/>
              <w:bottom w:val="single" w:sz="8" w:space="0" w:color="auto"/>
              <w:right w:val="single" w:sz="8" w:space="0" w:color="auto"/>
            </w:tcBorders>
            <w:shd w:val="clear" w:color="auto" w:fill="auto"/>
            <w:vAlign w:val="bottom"/>
          </w:tcPr>
          <w:p w:rsidR="001E105E" w:rsidRPr="004936AD" w:rsidRDefault="001E105E">
            <w:pPr>
              <w:rPr>
                <w:rFonts w:ascii="Arial" w:hAnsi="Arial" w:cs="Arial"/>
                <w:sz w:val="20"/>
                <w:szCs w:val="20"/>
              </w:rPr>
            </w:pPr>
            <w:r w:rsidRPr="004936AD">
              <w:rPr>
                <w:rFonts w:ascii="Arial" w:hAnsi="Arial" w:cs="Arial"/>
                <w:sz w:val="20"/>
                <w:szCs w:val="20"/>
              </w:rPr>
              <w:t xml:space="preserve">Consultant to conduct scoping of </w:t>
            </w:r>
            <w:r w:rsidR="00096E50">
              <w:rPr>
                <w:rFonts w:ascii="Arial" w:hAnsi="Arial" w:cs="Arial"/>
                <w:sz w:val="20"/>
                <w:szCs w:val="20"/>
              </w:rPr>
              <w:t>supply and demand of</w:t>
            </w:r>
            <w:r w:rsidRPr="004936AD">
              <w:rPr>
                <w:rFonts w:ascii="Arial" w:hAnsi="Arial" w:cs="Arial"/>
                <w:sz w:val="20"/>
                <w:szCs w:val="20"/>
              </w:rPr>
              <w:t xml:space="preserve"> financial education opportunities in TL</w:t>
            </w:r>
            <w:r w:rsidR="00096E50">
              <w:rPr>
                <w:rFonts w:ascii="Arial" w:hAnsi="Arial" w:cs="Arial"/>
                <w:sz w:val="20"/>
                <w:szCs w:val="20"/>
              </w:rPr>
              <w:t>,</w:t>
            </w:r>
          </w:p>
        </w:tc>
        <w:tc>
          <w:tcPr>
            <w:tcW w:w="2040" w:type="dxa"/>
            <w:tcBorders>
              <w:top w:val="nil"/>
              <w:left w:val="nil"/>
              <w:bottom w:val="single" w:sz="8" w:space="0" w:color="auto"/>
              <w:right w:val="single" w:sz="8" w:space="0" w:color="auto"/>
            </w:tcBorders>
            <w:shd w:val="clear" w:color="auto" w:fill="auto"/>
            <w:noWrap/>
            <w:vAlign w:val="bottom"/>
          </w:tcPr>
          <w:p w:rsidR="001E105E" w:rsidRPr="004936AD" w:rsidRDefault="00D454F2" w:rsidP="00D454F2">
            <w:pPr>
              <w:jc w:val="center"/>
              <w:rPr>
                <w:rFonts w:ascii="Arial" w:hAnsi="Arial" w:cs="Arial"/>
                <w:sz w:val="20"/>
                <w:szCs w:val="20"/>
              </w:rPr>
            </w:pPr>
            <w:r w:rsidRPr="004936AD">
              <w:rPr>
                <w:rFonts w:ascii="Arial" w:hAnsi="Arial" w:cs="Arial"/>
                <w:sz w:val="20"/>
                <w:szCs w:val="20"/>
              </w:rPr>
              <w:t xml:space="preserve">Consultant:  </w:t>
            </w:r>
            <w:r w:rsidR="001E105E" w:rsidRPr="004936AD">
              <w:rPr>
                <w:rFonts w:ascii="Arial" w:hAnsi="Arial" w:cs="Arial"/>
                <w:sz w:val="20"/>
                <w:szCs w:val="20"/>
              </w:rPr>
              <w:t>Martin O'Reilly</w:t>
            </w:r>
          </w:p>
        </w:tc>
        <w:tc>
          <w:tcPr>
            <w:tcW w:w="1800" w:type="dxa"/>
            <w:tcBorders>
              <w:top w:val="nil"/>
              <w:left w:val="nil"/>
              <w:bottom w:val="single" w:sz="8" w:space="0" w:color="auto"/>
              <w:right w:val="single" w:sz="8" w:space="0" w:color="auto"/>
            </w:tcBorders>
            <w:shd w:val="clear" w:color="auto" w:fill="auto"/>
            <w:vAlign w:val="center"/>
          </w:tcPr>
          <w:p w:rsidR="001E105E" w:rsidRPr="004936AD" w:rsidRDefault="001E105E">
            <w:pPr>
              <w:jc w:val="center"/>
              <w:rPr>
                <w:rFonts w:ascii="Arial" w:hAnsi="Arial" w:cs="Arial"/>
                <w:sz w:val="20"/>
                <w:szCs w:val="20"/>
              </w:rPr>
            </w:pPr>
            <w:r w:rsidRPr="004936AD">
              <w:rPr>
                <w:rFonts w:ascii="Arial" w:hAnsi="Arial" w:cs="Arial"/>
                <w:sz w:val="20"/>
                <w:szCs w:val="20"/>
              </w:rPr>
              <w:t>Direct Procurement</w:t>
            </w:r>
          </w:p>
        </w:tc>
        <w:tc>
          <w:tcPr>
            <w:tcW w:w="1217" w:type="dxa"/>
            <w:tcBorders>
              <w:top w:val="single" w:sz="8" w:space="0" w:color="auto"/>
              <w:left w:val="nil"/>
              <w:bottom w:val="single" w:sz="8" w:space="0" w:color="auto"/>
              <w:right w:val="single" w:sz="8" w:space="0" w:color="auto"/>
            </w:tcBorders>
            <w:shd w:val="clear" w:color="auto" w:fill="auto"/>
            <w:vAlign w:val="bottom"/>
          </w:tcPr>
          <w:p w:rsidR="001E105E" w:rsidRPr="004936AD" w:rsidRDefault="001E105E" w:rsidP="001E105E">
            <w:pPr>
              <w:jc w:val="center"/>
              <w:rPr>
                <w:rFonts w:ascii="Arial" w:hAnsi="Arial" w:cs="Arial"/>
                <w:sz w:val="20"/>
                <w:szCs w:val="20"/>
              </w:rPr>
            </w:pPr>
            <w:r w:rsidRPr="004936AD">
              <w:rPr>
                <w:rFonts w:ascii="Arial" w:hAnsi="Arial" w:cs="Arial"/>
                <w:sz w:val="20"/>
                <w:szCs w:val="20"/>
              </w:rPr>
              <w:t>$17,235</w:t>
            </w:r>
          </w:p>
        </w:tc>
        <w:tc>
          <w:tcPr>
            <w:tcW w:w="1946" w:type="dxa"/>
            <w:tcBorders>
              <w:top w:val="single" w:sz="8" w:space="0" w:color="auto"/>
              <w:left w:val="single" w:sz="8" w:space="0" w:color="auto"/>
              <w:bottom w:val="single" w:sz="8" w:space="0" w:color="auto"/>
              <w:right w:val="single" w:sz="8" w:space="0" w:color="auto"/>
            </w:tcBorders>
            <w:shd w:val="clear" w:color="auto" w:fill="auto"/>
            <w:vAlign w:val="center"/>
          </w:tcPr>
          <w:p w:rsidR="001E105E" w:rsidRDefault="00D454F2" w:rsidP="001E105E">
            <w:pPr>
              <w:jc w:val="center"/>
              <w:rPr>
                <w:rFonts w:ascii="Arial" w:hAnsi="Arial" w:cs="Arial"/>
                <w:sz w:val="20"/>
                <w:szCs w:val="20"/>
              </w:rPr>
            </w:pPr>
            <w:r w:rsidRPr="004936AD">
              <w:rPr>
                <w:rFonts w:ascii="Arial" w:hAnsi="Arial" w:cs="Arial"/>
                <w:sz w:val="20"/>
                <w:szCs w:val="20"/>
              </w:rPr>
              <w:t>Dec-10</w:t>
            </w:r>
          </w:p>
        </w:tc>
      </w:tr>
    </w:tbl>
    <w:p w:rsidR="00863152" w:rsidRDefault="00863152" w:rsidP="00C743EB">
      <w:pPr>
        <w:pStyle w:val="BodyText"/>
        <w:jc w:val="center"/>
        <w:rPr>
          <w:rFonts w:ascii="Times New Roman" w:hAnsi="Times New Roman" w:cs="Times New Roman"/>
          <w:b/>
          <w:sz w:val="24"/>
          <w:szCs w:val="24"/>
        </w:rPr>
      </w:pPr>
    </w:p>
    <w:sectPr w:rsidR="00863152" w:rsidSect="00912382">
      <w:pgSz w:w="15840" w:h="12240" w:orient="landscape" w:code="1"/>
      <w:pgMar w:top="806" w:right="806" w:bottom="806" w:left="1354" w:header="720" w:footer="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868" w:rsidRDefault="001D5868">
      <w:r>
        <w:separator/>
      </w:r>
    </w:p>
  </w:endnote>
  <w:endnote w:type="continuationSeparator" w:id="0">
    <w:p w:rsidR="001D5868" w:rsidRDefault="001D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AA" w:rsidRDefault="00B131AA" w:rsidP="00EE17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F11C1">
      <w:rPr>
        <w:rStyle w:val="PageNumber"/>
      </w:rPr>
      <w:fldChar w:fldCharType="separate"/>
    </w:r>
    <w:r w:rsidR="000F11C1">
      <w:rPr>
        <w:rStyle w:val="PageNumber"/>
        <w:noProof/>
      </w:rPr>
      <w:t>13</w:t>
    </w:r>
    <w:r>
      <w:rPr>
        <w:rStyle w:val="PageNumber"/>
      </w:rPr>
      <w:fldChar w:fldCharType="end"/>
    </w:r>
  </w:p>
  <w:p w:rsidR="00B131AA" w:rsidRDefault="00B131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382" w:rsidRPr="00C04B8F" w:rsidRDefault="00912382" w:rsidP="00912382">
    <w:pPr>
      <w:pStyle w:val="Footer"/>
      <w:pBdr>
        <w:top w:val="single" w:sz="4" w:space="1" w:color="auto"/>
      </w:pBdr>
      <w:tabs>
        <w:tab w:val="clear" w:pos="4320"/>
        <w:tab w:val="clear" w:pos="8640"/>
        <w:tab w:val="center" w:pos="4500"/>
        <w:tab w:val="right" w:pos="9000"/>
      </w:tabs>
      <w:rPr>
        <w:sz w:val="18"/>
        <w:szCs w:val="18"/>
      </w:rPr>
    </w:pPr>
    <w:r w:rsidRPr="00C04B8F">
      <w:rPr>
        <w:sz w:val="18"/>
        <w:szCs w:val="18"/>
      </w:rPr>
      <w:t>Annual Progress Report</w:t>
    </w:r>
    <w:r w:rsidRPr="00C04B8F">
      <w:rPr>
        <w:sz w:val="18"/>
        <w:szCs w:val="18"/>
      </w:rPr>
      <w:tab/>
      <w:t>1 January – 30 December 2010</w:t>
    </w:r>
    <w:r w:rsidRPr="00C04B8F">
      <w:rPr>
        <w:sz w:val="18"/>
        <w:szCs w:val="18"/>
      </w:rPr>
      <w:tab/>
      <w:t xml:space="preserve">Page </w:t>
    </w:r>
    <w:r w:rsidRPr="00C84F98">
      <w:rPr>
        <w:sz w:val="20"/>
        <w:szCs w:val="20"/>
      </w:rPr>
      <w:fldChar w:fldCharType="begin"/>
    </w:r>
    <w:r w:rsidRPr="00C84F98">
      <w:rPr>
        <w:sz w:val="20"/>
        <w:szCs w:val="20"/>
      </w:rPr>
      <w:instrText xml:space="preserve"> PAGE   \* MERGEFORMAT </w:instrText>
    </w:r>
    <w:r w:rsidRPr="00C84F98">
      <w:rPr>
        <w:sz w:val="20"/>
        <w:szCs w:val="20"/>
      </w:rPr>
      <w:fldChar w:fldCharType="separate"/>
    </w:r>
    <w:r w:rsidR="000F11C1">
      <w:rPr>
        <w:noProof/>
        <w:sz w:val="20"/>
        <w:szCs w:val="20"/>
      </w:rPr>
      <w:t>4</w:t>
    </w:r>
    <w:r w:rsidRPr="00C84F98">
      <w:rPr>
        <w:sz w:val="20"/>
        <w:szCs w:val="20"/>
      </w:rPr>
      <w:fldChar w:fldCharType="end"/>
    </w:r>
    <w:r w:rsidRPr="00C84F98">
      <w:rPr>
        <w:sz w:val="20"/>
        <w:szCs w:val="20"/>
      </w:rPr>
      <w:t xml:space="preserve"> of 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7B" w:rsidRPr="00C04B8F" w:rsidRDefault="00B131AA">
    <w:pPr>
      <w:pStyle w:val="Footer"/>
      <w:pBdr>
        <w:top w:val="single" w:sz="4" w:space="1" w:color="auto"/>
      </w:pBdr>
      <w:tabs>
        <w:tab w:val="clear" w:pos="4320"/>
        <w:tab w:val="clear" w:pos="8640"/>
        <w:tab w:val="center" w:pos="4500"/>
        <w:tab w:val="right" w:pos="9000"/>
      </w:tabs>
      <w:rPr>
        <w:sz w:val="18"/>
        <w:szCs w:val="18"/>
      </w:rPr>
    </w:pPr>
    <w:r w:rsidRPr="00C04B8F">
      <w:rPr>
        <w:sz w:val="18"/>
        <w:szCs w:val="18"/>
      </w:rPr>
      <w:t>Annual</w:t>
    </w:r>
    <w:r w:rsidR="0024297B" w:rsidRPr="00C04B8F">
      <w:rPr>
        <w:sz w:val="18"/>
        <w:szCs w:val="18"/>
      </w:rPr>
      <w:t xml:space="preserve"> Progress Report</w:t>
    </w:r>
    <w:r w:rsidR="0024297B" w:rsidRPr="00C04B8F">
      <w:rPr>
        <w:sz w:val="18"/>
        <w:szCs w:val="18"/>
      </w:rPr>
      <w:tab/>
      <w:t xml:space="preserve">1 January – </w:t>
    </w:r>
    <w:r w:rsidRPr="00C04B8F">
      <w:rPr>
        <w:sz w:val="18"/>
        <w:szCs w:val="18"/>
      </w:rPr>
      <w:t>30 December 2010</w:t>
    </w:r>
    <w:r w:rsidR="0024297B" w:rsidRPr="00C04B8F">
      <w:rPr>
        <w:sz w:val="18"/>
        <w:szCs w:val="18"/>
      </w:rPr>
      <w:tab/>
      <w:t xml:space="preserve">Page </w:t>
    </w:r>
    <w:r w:rsidR="0024297B" w:rsidRPr="00C84F98">
      <w:rPr>
        <w:sz w:val="20"/>
        <w:szCs w:val="20"/>
      </w:rPr>
      <w:fldChar w:fldCharType="begin"/>
    </w:r>
    <w:r w:rsidR="0024297B" w:rsidRPr="00C84F98">
      <w:rPr>
        <w:sz w:val="20"/>
        <w:szCs w:val="20"/>
      </w:rPr>
      <w:instrText xml:space="preserve"> PAGE   \* MERGEFORMAT </w:instrText>
    </w:r>
    <w:r w:rsidR="0024297B" w:rsidRPr="00C84F98">
      <w:rPr>
        <w:sz w:val="20"/>
        <w:szCs w:val="20"/>
      </w:rPr>
      <w:fldChar w:fldCharType="separate"/>
    </w:r>
    <w:r w:rsidR="000F11C1">
      <w:rPr>
        <w:noProof/>
        <w:sz w:val="20"/>
        <w:szCs w:val="20"/>
      </w:rPr>
      <w:t>13</w:t>
    </w:r>
    <w:r w:rsidR="0024297B" w:rsidRPr="00C84F98">
      <w:rPr>
        <w:sz w:val="20"/>
        <w:szCs w:val="20"/>
      </w:rPr>
      <w:fldChar w:fldCharType="end"/>
    </w:r>
    <w:r w:rsidR="0024297B" w:rsidRPr="00C84F98">
      <w:rPr>
        <w:sz w:val="20"/>
        <w:szCs w:val="20"/>
      </w:rPr>
      <w:t xml:space="preserve"> of </w:t>
    </w:r>
    <w:r w:rsidR="00C84F98" w:rsidRPr="00C84F98">
      <w:rPr>
        <w:sz w:val="20"/>
        <w:szCs w:val="20"/>
      </w:rPr>
      <w:t>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382" w:rsidRPr="00C04B8F" w:rsidRDefault="00912382">
    <w:pPr>
      <w:pStyle w:val="Footer"/>
      <w:pBdr>
        <w:top w:val="single" w:sz="4" w:space="1" w:color="auto"/>
      </w:pBdr>
      <w:tabs>
        <w:tab w:val="clear" w:pos="4320"/>
        <w:tab w:val="clear" w:pos="8640"/>
        <w:tab w:val="center" w:pos="4500"/>
        <w:tab w:val="right" w:pos="9000"/>
      </w:tabs>
      <w:rPr>
        <w:sz w:val="18"/>
        <w:szCs w:val="18"/>
      </w:rPr>
    </w:pPr>
    <w:r w:rsidRPr="00C04B8F">
      <w:rPr>
        <w:sz w:val="18"/>
        <w:szCs w:val="18"/>
      </w:rPr>
      <w:t>Annual Progress Report</w:t>
    </w:r>
    <w:r w:rsidRPr="00C04B8F">
      <w:rPr>
        <w:sz w:val="18"/>
        <w:szCs w:val="18"/>
      </w:rPr>
      <w:tab/>
      <w:t>1 January – 30 December 2010</w:t>
    </w:r>
    <w:r w:rsidRPr="00C04B8F">
      <w:rPr>
        <w:sz w:val="18"/>
        <w:szCs w:val="18"/>
      </w:rPr>
      <w:tab/>
      <w:t xml:space="preserve">Page </w:t>
    </w:r>
    <w:r w:rsidRPr="00C84F98">
      <w:rPr>
        <w:sz w:val="20"/>
        <w:szCs w:val="20"/>
      </w:rPr>
      <w:fldChar w:fldCharType="begin"/>
    </w:r>
    <w:r w:rsidRPr="00C84F98">
      <w:rPr>
        <w:sz w:val="20"/>
        <w:szCs w:val="20"/>
      </w:rPr>
      <w:instrText xml:space="preserve"> PAGE   \* MERGEFORMAT </w:instrText>
    </w:r>
    <w:r w:rsidRPr="00C84F98">
      <w:rPr>
        <w:sz w:val="20"/>
        <w:szCs w:val="20"/>
      </w:rPr>
      <w:fldChar w:fldCharType="separate"/>
    </w:r>
    <w:r w:rsidR="000F11C1">
      <w:rPr>
        <w:noProof/>
        <w:sz w:val="20"/>
        <w:szCs w:val="20"/>
      </w:rPr>
      <w:t>1</w:t>
    </w:r>
    <w:r w:rsidRPr="00C84F98">
      <w:rPr>
        <w:sz w:val="20"/>
        <w:szCs w:val="20"/>
      </w:rPr>
      <w:fldChar w:fldCharType="end"/>
    </w:r>
    <w:r w:rsidRPr="00C84F98">
      <w:rPr>
        <w:sz w:val="20"/>
        <w:szCs w:val="20"/>
      </w:rPr>
      <w:t xml:space="preserve"> of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868" w:rsidRDefault="001D5868">
      <w:r>
        <w:separator/>
      </w:r>
    </w:p>
  </w:footnote>
  <w:footnote w:type="continuationSeparator" w:id="0">
    <w:p w:rsidR="001D5868" w:rsidRDefault="001D5868">
      <w:r>
        <w:continuationSeparator/>
      </w:r>
    </w:p>
  </w:footnote>
  <w:footnote w:id="1">
    <w:p w:rsidR="0024297B" w:rsidRDefault="0024297B">
      <w:pPr>
        <w:pStyle w:val="FootnoteText"/>
      </w:pPr>
      <w:r>
        <w:rPr>
          <w:rStyle w:val="FootnoteReference"/>
        </w:rPr>
        <w:footnoteRef/>
      </w:r>
      <w:r>
        <w:t xml:space="preserve"> </w:t>
      </w:r>
      <w:proofErr w:type="gramStart"/>
      <w:r>
        <w:t>Priority Area for the Peacebuilding Fund; Sector for the UNDG ITF.</w:t>
      </w:r>
      <w:proofErr w:type="gramEnd"/>
    </w:p>
  </w:footnote>
  <w:footnote w:id="2">
    <w:p w:rsidR="0024297B" w:rsidRDefault="0024297B" w:rsidP="000134CC">
      <w:pPr>
        <w:pStyle w:val="FootnoteText"/>
      </w:pPr>
      <w:r>
        <w:rPr>
          <w:rStyle w:val="FootnoteReference"/>
        </w:rPr>
        <w:footnoteRef/>
      </w:r>
      <w:r>
        <w:t xml:space="preserve"> The start date is the date of the first transfer of the funds from the MDTF Office as Administrative Agent. Transfer date is available on the </w:t>
      </w:r>
      <w:hyperlink r:id="rId1" w:history="1">
        <w:r w:rsidRPr="0014549D">
          <w:rPr>
            <w:rStyle w:val="Hyperlink"/>
          </w:rPr>
          <w:t>MDTF Office GATEWAY</w:t>
        </w:r>
      </w:hyperlink>
      <w:r>
        <w:t xml:space="preserve"> (http://mdtf.undp.org).</w:t>
      </w:r>
    </w:p>
  </w:footnote>
  <w:footnote w:id="3">
    <w:p w:rsidR="0024297B" w:rsidRDefault="0024297B" w:rsidP="000134CC">
      <w:pPr>
        <w:pStyle w:val="FootnoteText"/>
      </w:pPr>
      <w:r>
        <w:rPr>
          <w:rStyle w:val="FootnoteReference"/>
        </w:rPr>
        <w:footnoteRef/>
      </w:r>
      <w:r>
        <w:t xml:space="preserve"> All activities for which a Participating Organization is responsible under an approved MDTF program have been completed. </w:t>
      </w:r>
      <w:proofErr w:type="gramStart"/>
      <w:r>
        <w:t>Agencies to advise the MDTF Office.</w:t>
      </w:r>
      <w:proofErr w:type="gramEnd"/>
      <w:r>
        <w:t xml:space="preserve"> </w:t>
      </w:r>
    </w:p>
  </w:footnote>
  <w:footnote w:id="4">
    <w:p w:rsidR="0024297B" w:rsidRDefault="0024297B">
      <w:pPr>
        <w:pStyle w:val="FootnoteText"/>
      </w:pPr>
      <w:r>
        <w:rPr>
          <w:rStyle w:val="FootnoteReference"/>
        </w:rPr>
        <w:footnoteRef/>
      </w:r>
      <w:r>
        <w:t xml:space="preserve"> Primary membership is restricted to those with investments of and above US$ 250,000.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256" type="#_x0000_t75" style="width:4.5pt;height:4.5pt" o:bullet="t">
        <v:imagedata r:id="rId1" o:title="bullet"/>
      </v:shape>
    </w:pict>
  </w:numPicBullet>
  <w:numPicBullet w:numPicBulletId="1">
    <w:pict>
      <v:shape id="_x0000_i5257" type="#_x0000_t75" style="width:3in;height:3in" o:bullet="t"/>
    </w:pict>
  </w:numPicBullet>
  <w:numPicBullet w:numPicBulletId="2">
    <w:pict>
      <v:shape id="_x0000_i5258" type="#_x0000_t75" style="width:3in;height:3in" o:bullet="t"/>
    </w:pict>
  </w:numPicBullet>
  <w:numPicBullet w:numPicBulletId="3">
    <w:pict>
      <v:shape id="_x0000_i5259" type="#_x0000_t75" style="width:3in;height:3in" o:bullet="t"/>
    </w:pict>
  </w:numPicBullet>
  <w:numPicBullet w:numPicBulletId="4">
    <w:pict>
      <v:shape id="_x0000_i5260" type="#_x0000_t75" style="width:3in;height:3in" o:bullet="t"/>
    </w:pict>
  </w:numPicBullet>
  <w:numPicBullet w:numPicBulletId="5">
    <w:pict>
      <v:shape id="_x0000_i5261" type="#_x0000_t75" style="width:3in;height:3in" o:bullet="t"/>
    </w:pict>
  </w:numPicBullet>
  <w:numPicBullet w:numPicBulletId="6">
    <w:pict>
      <v:shape id="_x0000_i5262" type="#_x0000_t75" style="width:3in;height:3in" o:bullet="t"/>
    </w:pict>
  </w:numPicBullet>
  <w:numPicBullet w:numPicBulletId="7">
    <w:pict>
      <v:shape id="_x0000_i5263" type="#_x0000_t75" style="width:3in;height:3in" o:bullet="t"/>
    </w:pict>
  </w:numPicBullet>
  <w:numPicBullet w:numPicBulletId="8">
    <w:pict>
      <v:shape id="_x0000_i5264" type="#_x0000_t75" style="width:3in;height:3in" o:bullet="t"/>
    </w:pict>
  </w:numPicBullet>
  <w:numPicBullet w:numPicBulletId="9">
    <w:pict>
      <v:shape id="_x0000_i5265" type="#_x0000_t75" style="width:3in;height:3in" o:bullet="t"/>
    </w:pict>
  </w:numPicBullet>
  <w:numPicBullet w:numPicBulletId="10">
    <w:pict>
      <v:shape id="_x0000_i5266" type="#_x0000_t75" style="width:3in;height:3in" o:bullet="t"/>
    </w:pict>
  </w:numPicBullet>
  <w:numPicBullet w:numPicBulletId="11">
    <w:pict>
      <v:shape id="_x0000_i5267" type="#_x0000_t75" style="width:3in;height:3in" o:bullet="t"/>
    </w:pict>
  </w:numPicBullet>
  <w:numPicBullet w:numPicBulletId="12">
    <w:pict>
      <v:shape id="_x0000_i5268" type="#_x0000_t75" style="width:3in;height:3in" o:bullet="t"/>
    </w:pict>
  </w:numPicBullet>
  <w:numPicBullet w:numPicBulletId="13">
    <w:pict>
      <v:shape id="_x0000_i5269" type="#_x0000_t75" style="width:3in;height:3in" o:bullet="t"/>
    </w:pict>
  </w:numPicBullet>
  <w:numPicBullet w:numPicBulletId="14">
    <w:pict>
      <v:shape id="_x0000_i5270" type="#_x0000_t75" style="width:3in;height:3in" o:bullet="t"/>
    </w:pict>
  </w:numPicBullet>
  <w:abstractNum w:abstractNumId="0">
    <w:nsid w:val="01A53394"/>
    <w:multiLevelType w:val="hybridMultilevel"/>
    <w:tmpl w:val="4D5083FC"/>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00FA9"/>
    <w:multiLevelType w:val="hybridMultilevel"/>
    <w:tmpl w:val="42A872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2EA791A"/>
    <w:multiLevelType w:val="hybridMultilevel"/>
    <w:tmpl w:val="5D62D9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F04A5E"/>
    <w:multiLevelType w:val="hybridMultilevel"/>
    <w:tmpl w:val="E1D41C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B6101C"/>
    <w:multiLevelType w:val="hybridMultilevel"/>
    <w:tmpl w:val="59A6C3D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08223764"/>
    <w:multiLevelType w:val="hybridMultilevel"/>
    <w:tmpl w:val="6A4EA52E"/>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25602D"/>
    <w:multiLevelType w:val="hybridMultilevel"/>
    <w:tmpl w:val="EB0A70A8"/>
    <w:lvl w:ilvl="0" w:tplc="3A9E07C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FEB5570"/>
    <w:multiLevelType w:val="hybridMultilevel"/>
    <w:tmpl w:val="012092BC"/>
    <w:lvl w:ilvl="0" w:tplc="A0624842">
      <w:start w:val="1"/>
      <w:numFmt w:val="upperRoman"/>
      <w:lvlText w:val="%1."/>
      <w:lvlJc w:val="left"/>
      <w:pPr>
        <w:tabs>
          <w:tab w:val="num" w:pos="1080"/>
        </w:tabs>
        <w:ind w:left="1080" w:hanging="720"/>
      </w:pPr>
      <w:rPr>
        <w:rFonts w:hint="default"/>
      </w:rPr>
    </w:lvl>
    <w:lvl w:ilvl="1" w:tplc="862A952A">
      <w:numFmt w:val="none"/>
      <w:lvlText w:val=""/>
      <w:lvlJc w:val="left"/>
      <w:pPr>
        <w:tabs>
          <w:tab w:val="num" w:pos="360"/>
        </w:tabs>
      </w:pPr>
    </w:lvl>
    <w:lvl w:ilvl="2" w:tplc="E7485428">
      <w:numFmt w:val="none"/>
      <w:lvlText w:val=""/>
      <w:lvlJc w:val="left"/>
      <w:pPr>
        <w:tabs>
          <w:tab w:val="num" w:pos="360"/>
        </w:tabs>
      </w:pPr>
    </w:lvl>
    <w:lvl w:ilvl="3" w:tplc="FD789764">
      <w:numFmt w:val="none"/>
      <w:lvlText w:val=""/>
      <w:lvlJc w:val="left"/>
      <w:pPr>
        <w:tabs>
          <w:tab w:val="num" w:pos="360"/>
        </w:tabs>
      </w:pPr>
    </w:lvl>
    <w:lvl w:ilvl="4" w:tplc="5EFA0FBC">
      <w:numFmt w:val="none"/>
      <w:lvlText w:val=""/>
      <w:lvlJc w:val="left"/>
      <w:pPr>
        <w:tabs>
          <w:tab w:val="num" w:pos="360"/>
        </w:tabs>
      </w:pPr>
    </w:lvl>
    <w:lvl w:ilvl="5" w:tplc="1336440C">
      <w:numFmt w:val="none"/>
      <w:lvlText w:val=""/>
      <w:lvlJc w:val="left"/>
      <w:pPr>
        <w:tabs>
          <w:tab w:val="num" w:pos="360"/>
        </w:tabs>
      </w:pPr>
    </w:lvl>
    <w:lvl w:ilvl="6" w:tplc="D87228D2">
      <w:numFmt w:val="none"/>
      <w:lvlText w:val=""/>
      <w:lvlJc w:val="left"/>
      <w:pPr>
        <w:tabs>
          <w:tab w:val="num" w:pos="360"/>
        </w:tabs>
      </w:pPr>
    </w:lvl>
    <w:lvl w:ilvl="7" w:tplc="49E6716E">
      <w:numFmt w:val="none"/>
      <w:lvlText w:val=""/>
      <w:lvlJc w:val="left"/>
      <w:pPr>
        <w:tabs>
          <w:tab w:val="num" w:pos="360"/>
        </w:tabs>
      </w:pPr>
    </w:lvl>
    <w:lvl w:ilvl="8" w:tplc="035EA2D6">
      <w:numFmt w:val="none"/>
      <w:lvlText w:val=""/>
      <w:lvlJc w:val="left"/>
      <w:pPr>
        <w:tabs>
          <w:tab w:val="num" w:pos="360"/>
        </w:tabs>
      </w:pPr>
    </w:lvl>
  </w:abstractNum>
  <w:abstractNum w:abstractNumId="8">
    <w:nsid w:val="107337CC"/>
    <w:multiLevelType w:val="hybridMultilevel"/>
    <w:tmpl w:val="602041AE"/>
    <w:lvl w:ilvl="0" w:tplc="3A9E07C8">
      <w:start w:val="1"/>
      <w:numFmt w:val="bullet"/>
      <w:lvlText w:val=""/>
      <w:lvlJc w:val="left"/>
      <w:pPr>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F96AC1"/>
    <w:multiLevelType w:val="hybridMultilevel"/>
    <w:tmpl w:val="64DC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A93455"/>
    <w:multiLevelType w:val="hybridMultilevel"/>
    <w:tmpl w:val="EF3ED0BA"/>
    <w:lvl w:ilvl="0" w:tplc="3A9E07C8">
      <w:start w:val="1"/>
      <w:numFmt w:val="bullet"/>
      <w:lvlText w:val=""/>
      <w:lvlJc w:val="left"/>
      <w:pPr>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2D9E633A">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12B2EF2"/>
    <w:multiLevelType w:val="hybridMultilevel"/>
    <w:tmpl w:val="7A3CB49E"/>
    <w:lvl w:ilvl="0" w:tplc="2D9E63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0D2179"/>
    <w:multiLevelType w:val="hybridMultilevel"/>
    <w:tmpl w:val="A27028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07F47F3"/>
    <w:multiLevelType w:val="hybridMultilevel"/>
    <w:tmpl w:val="FA985388"/>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D9E633A">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B845ED"/>
    <w:multiLevelType w:val="hybridMultilevel"/>
    <w:tmpl w:val="C0227DA2"/>
    <w:lvl w:ilvl="0" w:tplc="3A9E07C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77F44D2"/>
    <w:multiLevelType w:val="hybridMultilevel"/>
    <w:tmpl w:val="E8AE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4C7510"/>
    <w:multiLevelType w:val="hybridMultilevel"/>
    <w:tmpl w:val="8F4E4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5B26C7"/>
    <w:multiLevelType w:val="hybridMultilevel"/>
    <w:tmpl w:val="A9EC52B6"/>
    <w:lvl w:ilvl="0" w:tplc="986A7E84">
      <w:start w:val="5"/>
      <w:numFmt w:val="upperRoman"/>
      <w:lvlText w:val="%1."/>
      <w:lvlJc w:val="left"/>
      <w:pPr>
        <w:ind w:left="720" w:hanging="720"/>
      </w:pPr>
      <w:rPr>
        <w:rFonts w:hint="default"/>
      </w:rPr>
    </w:lvl>
    <w:lvl w:ilvl="1" w:tplc="3A9E07C8">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E54FA4"/>
    <w:multiLevelType w:val="hybridMultilevel"/>
    <w:tmpl w:val="C2D86F32"/>
    <w:lvl w:ilvl="0" w:tplc="9612A9EE">
      <w:start w:val="4"/>
      <w:numFmt w:val="bullet"/>
      <w:lvlText w:val="-"/>
      <w:lvlJc w:val="left"/>
      <w:pPr>
        <w:tabs>
          <w:tab w:val="num" w:pos="720"/>
        </w:tabs>
        <w:ind w:left="720" w:hanging="360"/>
      </w:pPr>
      <w:rPr>
        <w:rFonts w:ascii="Calibri" w:eastAsia="Times New Roman" w:hAnsi="Calibri" w:cs="Times New Roman" w:hint="default"/>
      </w:rPr>
    </w:lvl>
    <w:lvl w:ilvl="1" w:tplc="C95094E8">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9A56FB"/>
    <w:multiLevelType w:val="hybridMultilevel"/>
    <w:tmpl w:val="77568CB8"/>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nsid w:val="3EFF0881"/>
    <w:multiLevelType w:val="hybridMultilevel"/>
    <w:tmpl w:val="FA4A7912"/>
    <w:lvl w:ilvl="0" w:tplc="A7642FFA">
      <w:start w:val="1"/>
      <w:numFmt w:val="bullet"/>
      <w:pStyle w:val="Bulletlevel1"/>
      <w:lvlText w:val="­"/>
      <w:lvlJc w:val="left"/>
      <w:pPr>
        <w:tabs>
          <w:tab w:val="num" w:pos="360"/>
        </w:tabs>
        <w:ind w:left="360" w:hanging="360"/>
      </w:pPr>
      <w:rPr>
        <w:rFonts w:ascii="Cambria" w:hAnsi="Cambria"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1551A23"/>
    <w:multiLevelType w:val="hybridMultilevel"/>
    <w:tmpl w:val="DD907C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1C96C5D"/>
    <w:multiLevelType w:val="hybridMultilevel"/>
    <w:tmpl w:val="13BEA530"/>
    <w:lvl w:ilvl="0" w:tplc="3A9E07C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3E97AB0"/>
    <w:multiLevelType w:val="hybridMultilevel"/>
    <w:tmpl w:val="14426B1E"/>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122A11"/>
    <w:multiLevelType w:val="hybridMultilevel"/>
    <w:tmpl w:val="007CE338"/>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AA7A41"/>
    <w:multiLevelType w:val="hybridMultilevel"/>
    <w:tmpl w:val="E336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8147F0"/>
    <w:multiLevelType w:val="hybridMultilevel"/>
    <w:tmpl w:val="2946B896"/>
    <w:lvl w:ilvl="0" w:tplc="C95094E8">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nsid w:val="55211FFB"/>
    <w:multiLevelType w:val="hybridMultilevel"/>
    <w:tmpl w:val="43BE4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F01B03"/>
    <w:multiLevelType w:val="hybridMultilevel"/>
    <w:tmpl w:val="966C48C8"/>
    <w:lvl w:ilvl="0" w:tplc="C51C787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3A43E4"/>
    <w:multiLevelType w:val="hybridMultilevel"/>
    <w:tmpl w:val="97948C28"/>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E940B6"/>
    <w:multiLevelType w:val="hybridMultilevel"/>
    <w:tmpl w:val="7CCACDB2"/>
    <w:lvl w:ilvl="0" w:tplc="B9CC7D88">
      <w:start w:val="1"/>
      <w:numFmt w:val="bullet"/>
      <w:lvlText w:val=""/>
      <w:lvlJc w:val="left"/>
      <w:pPr>
        <w:tabs>
          <w:tab w:val="num" w:pos="720"/>
        </w:tabs>
        <w:ind w:left="720" w:hanging="36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5B93593D"/>
    <w:multiLevelType w:val="hybridMultilevel"/>
    <w:tmpl w:val="9EDAB57C"/>
    <w:lvl w:ilvl="0" w:tplc="CA86F0EC">
      <w:start w:val="5"/>
      <w:numFmt w:val="bullet"/>
      <w:lvlText w:val="-"/>
      <w:lvlJc w:val="left"/>
      <w:pPr>
        <w:tabs>
          <w:tab w:val="num" w:pos="720"/>
        </w:tabs>
        <w:ind w:left="720" w:hanging="360"/>
      </w:pPr>
      <w:rPr>
        <w:rFonts w:ascii="Verdana" w:eastAsia="MS Mincho" w:hAnsi="Verdana" w:cs="Verdana" w:hint="default"/>
      </w:rPr>
    </w:lvl>
    <w:lvl w:ilvl="1" w:tplc="04090001">
      <w:start w:val="1"/>
      <w:numFmt w:val="bullet"/>
      <w:lvlText w:val=""/>
      <w:lvlJc w:val="left"/>
      <w:pPr>
        <w:tabs>
          <w:tab w:val="num" w:pos="1440"/>
        </w:tabs>
        <w:ind w:left="1440" w:hanging="360"/>
      </w:pPr>
      <w:rPr>
        <w:rFonts w:ascii="Symbol" w:hAnsi="Symbol" w:hint="default"/>
      </w:rPr>
    </w:lvl>
    <w:lvl w:ilvl="2" w:tplc="2D9E633A">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FCC5D2C"/>
    <w:multiLevelType w:val="hybridMultilevel"/>
    <w:tmpl w:val="10D2A41C"/>
    <w:lvl w:ilvl="0" w:tplc="F59E6714">
      <w:numFmt w:val="bullet"/>
      <w:lvlText w:val="-"/>
      <w:lvlJc w:val="left"/>
      <w:pPr>
        <w:ind w:left="360" w:hanging="360"/>
      </w:pPr>
      <w:rPr>
        <w:rFonts w:ascii="Calibri" w:eastAsia="Times New Roman" w:hAnsi="Calibri" w:hint="default"/>
      </w:rPr>
    </w:lvl>
    <w:lvl w:ilvl="1" w:tplc="3A9E07C8">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0B9731D"/>
    <w:multiLevelType w:val="hybridMultilevel"/>
    <w:tmpl w:val="01AC69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EF8778C"/>
    <w:multiLevelType w:val="hybridMultilevel"/>
    <w:tmpl w:val="2334D5AE"/>
    <w:lvl w:ilvl="0" w:tplc="B9CC7D88">
      <w:start w:val="1"/>
      <w:numFmt w:val="bullet"/>
      <w:lvlText w:val=""/>
      <w:lvlJc w:val="left"/>
      <w:pPr>
        <w:tabs>
          <w:tab w:val="num" w:pos="360"/>
        </w:tabs>
        <w:ind w:left="360" w:hanging="360"/>
      </w:pPr>
      <w:rPr>
        <w:rFonts w:ascii="Wingdings" w:hAnsi="Wingdings" w:hint="default"/>
      </w:rPr>
    </w:lvl>
    <w:lvl w:ilvl="1" w:tplc="28AE13A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8812A3"/>
    <w:multiLevelType w:val="hybridMultilevel"/>
    <w:tmpl w:val="775204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A7CDF"/>
    <w:multiLevelType w:val="multilevel"/>
    <w:tmpl w:val="602041AE"/>
    <w:lvl w:ilvl="0">
      <w:start w:val="1"/>
      <w:numFmt w:val="bullet"/>
      <w:lvlText w:val=""/>
      <w:lvlJc w:val="left"/>
      <w:pPr>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33B6BDD"/>
    <w:multiLevelType w:val="hybridMultilevel"/>
    <w:tmpl w:val="ADE470BE"/>
    <w:lvl w:ilvl="0" w:tplc="8E1C5C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002C56"/>
    <w:multiLevelType w:val="hybridMultilevel"/>
    <w:tmpl w:val="F716AE2E"/>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6BC6EC2"/>
    <w:multiLevelType w:val="hybridMultilevel"/>
    <w:tmpl w:val="BF887BD0"/>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D23F82"/>
    <w:multiLevelType w:val="hybridMultilevel"/>
    <w:tmpl w:val="B49EA1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253881"/>
    <w:multiLevelType w:val="hybridMultilevel"/>
    <w:tmpl w:val="B8DC766E"/>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6"/>
  </w:num>
  <w:num w:numId="3">
    <w:abstractNumId w:val="0"/>
  </w:num>
  <w:num w:numId="4">
    <w:abstractNumId w:val="23"/>
  </w:num>
  <w:num w:numId="5">
    <w:abstractNumId w:val="39"/>
  </w:num>
  <w:num w:numId="6">
    <w:abstractNumId w:val="5"/>
  </w:num>
  <w:num w:numId="7">
    <w:abstractNumId w:val="22"/>
  </w:num>
  <w:num w:numId="8">
    <w:abstractNumId w:val="29"/>
  </w:num>
  <w:num w:numId="9">
    <w:abstractNumId w:val="25"/>
  </w:num>
  <w:num w:numId="10">
    <w:abstractNumId w:val="37"/>
  </w:num>
  <w:num w:numId="11">
    <w:abstractNumId w:val="9"/>
  </w:num>
  <w:num w:numId="12">
    <w:abstractNumId w:val="15"/>
  </w:num>
  <w:num w:numId="13">
    <w:abstractNumId w:val="40"/>
  </w:num>
  <w:num w:numId="14">
    <w:abstractNumId w:val="34"/>
  </w:num>
  <w:num w:numId="15">
    <w:abstractNumId w:val="30"/>
  </w:num>
  <w:num w:numId="16">
    <w:abstractNumId w:val="28"/>
  </w:num>
  <w:num w:numId="17">
    <w:abstractNumId w:val="41"/>
  </w:num>
  <w:num w:numId="18">
    <w:abstractNumId w:val="13"/>
  </w:num>
  <w:num w:numId="19">
    <w:abstractNumId w:val="3"/>
  </w:num>
  <w:num w:numId="20">
    <w:abstractNumId w:val="17"/>
  </w:num>
  <w:num w:numId="21">
    <w:abstractNumId w:val="27"/>
  </w:num>
  <w:num w:numId="22">
    <w:abstractNumId w:val="1"/>
  </w:num>
  <w:num w:numId="23">
    <w:abstractNumId w:val="38"/>
  </w:num>
  <w:num w:numId="24">
    <w:abstractNumId w:val="2"/>
  </w:num>
  <w:num w:numId="25">
    <w:abstractNumId w:val="26"/>
  </w:num>
  <w:num w:numId="26">
    <w:abstractNumId w:val="20"/>
  </w:num>
  <w:num w:numId="27">
    <w:abstractNumId w:val="18"/>
  </w:num>
  <w:num w:numId="28">
    <w:abstractNumId w:val="32"/>
  </w:num>
  <w:num w:numId="29">
    <w:abstractNumId w:val="33"/>
  </w:num>
  <w:num w:numId="30">
    <w:abstractNumId w:val="12"/>
  </w:num>
  <w:num w:numId="31">
    <w:abstractNumId w:val="35"/>
  </w:num>
  <w:num w:numId="32">
    <w:abstractNumId w:val="11"/>
  </w:num>
  <w:num w:numId="33">
    <w:abstractNumId w:val="31"/>
  </w:num>
  <w:num w:numId="34">
    <w:abstractNumId w:val="10"/>
  </w:num>
  <w:num w:numId="35">
    <w:abstractNumId w:val="8"/>
  </w:num>
  <w:num w:numId="36">
    <w:abstractNumId w:val="6"/>
  </w:num>
  <w:num w:numId="37">
    <w:abstractNumId w:val="19"/>
  </w:num>
  <w:num w:numId="38">
    <w:abstractNumId w:val="14"/>
  </w:num>
  <w:num w:numId="39">
    <w:abstractNumId w:val="36"/>
  </w:num>
  <w:num w:numId="40">
    <w:abstractNumId w:val="24"/>
  </w:num>
  <w:num w:numId="41">
    <w:abstractNumId w:val="4"/>
  </w:num>
  <w:num w:numId="42">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AC2"/>
    <w:rsid w:val="00003AEB"/>
    <w:rsid w:val="000040FC"/>
    <w:rsid w:val="000050A5"/>
    <w:rsid w:val="000078BC"/>
    <w:rsid w:val="00007ECE"/>
    <w:rsid w:val="000109C2"/>
    <w:rsid w:val="00011CBF"/>
    <w:rsid w:val="000121B0"/>
    <w:rsid w:val="000134CC"/>
    <w:rsid w:val="00016080"/>
    <w:rsid w:val="00016418"/>
    <w:rsid w:val="0001780A"/>
    <w:rsid w:val="00017AFD"/>
    <w:rsid w:val="00020C13"/>
    <w:rsid w:val="00023FF0"/>
    <w:rsid w:val="000246EC"/>
    <w:rsid w:val="00024F9B"/>
    <w:rsid w:val="000252EE"/>
    <w:rsid w:val="000277A0"/>
    <w:rsid w:val="000308D4"/>
    <w:rsid w:val="00031D3B"/>
    <w:rsid w:val="00031DC9"/>
    <w:rsid w:val="00041F93"/>
    <w:rsid w:val="00043245"/>
    <w:rsid w:val="0004408C"/>
    <w:rsid w:val="00044724"/>
    <w:rsid w:val="00045672"/>
    <w:rsid w:val="00052FF4"/>
    <w:rsid w:val="0005346B"/>
    <w:rsid w:val="0005357A"/>
    <w:rsid w:val="00054FBD"/>
    <w:rsid w:val="000566C9"/>
    <w:rsid w:val="00060302"/>
    <w:rsid w:val="0006194A"/>
    <w:rsid w:val="00064352"/>
    <w:rsid w:val="00066967"/>
    <w:rsid w:val="00066978"/>
    <w:rsid w:val="00066E5F"/>
    <w:rsid w:val="000678F5"/>
    <w:rsid w:val="000817E7"/>
    <w:rsid w:val="0008689F"/>
    <w:rsid w:val="000876A6"/>
    <w:rsid w:val="00090ACA"/>
    <w:rsid w:val="00090D90"/>
    <w:rsid w:val="000918BE"/>
    <w:rsid w:val="00092501"/>
    <w:rsid w:val="00094B2F"/>
    <w:rsid w:val="000962C8"/>
    <w:rsid w:val="00096711"/>
    <w:rsid w:val="000968C1"/>
    <w:rsid w:val="00096E50"/>
    <w:rsid w:val="000A126F"/>
    <w:rsid w:val="000A146E"/>
    <w:rsid w:val="000A260E"/>
    <w:rsid w:val="000A4C57"/>
    <w:rsid w:val="000A5536"/>
    <w:rsid w:val="000A5875"/>
    <w:rsid w:val="000B5051"/>
    <w:rsid w:val="000B599B"/>
    <w:rsid w:val="000B62E5"/>
    <w:rsid w:val="000B679B"/>
    <w:rsid w:val="000B7D96"/>
    <w:rsid w:val="000C0119"/>
    <w:rsid w:val="000C03EE"/>
    <w:rsid w:val="000C0B78"/>
    <w:rsid w:val="000C2A11"/>
    <w:rsid w:val="000C35B0"/>
    <w:rsid w:val="000C4817"/>
    <w:rsid w:val="000C656D"/>
    <w:rsid w:val="000C6EE2"/>
    <w:rsid w:val="000C6EE9"/>
    <w:rsid w:val="000C71FC"/>
    <w:rsid w:val="000D3FBF"/>
    <w:rsid w:val="000D6D9C"/>
    <w:rsid w:val="000D79AB"/>
    <w:rsid w:val="000E3661"/>
    <w:rsid w:val="000E3FB6"/>
    <w:rsid w:val="000E51E7"/>
    <w:rsid w:val="000E7B3C"/>
    <w:rsid w:val="000F11C1"/>
    <w:rsid w:val="000F1467"/>
    <w:rsid w:val="000F1E18"/>
    <w:rsid w:val="000F23F3"/>
    <w:rsid w:val="00103172"/>
    <w:rsid w:val="00105372"/>
    <w:rsid w:val="001054B9"/>
    <w:rsid w:val="00106A96"/>
    <w:rsid w:val="00107760"/>
    <w:rsid w:val="001077D5"/>
    <w:rsid w:val="00110E5F"/>
    <w:rsid w:val="00114412"/>
    <w:rsid w:val="00114C7D"/>
    <w:rsid w:val="00116554"/>
    <w:rsid w:val="0011699C"/>
    <w:rsid w:val="0011782E"/>
    <w:rsid w:val="001179EA"/>
    <w:rsid w:val="00117ADB"/>
    <w:rsid w:val="00117F47"/>
    <w:rsid w:val="00122622"/>
    <w:rsid w:val="00122D91"/>
    <w:rsid w:val="0012303A"/>
    <w:rsid w:val="00123EC0"/>
    <w:rsid w:val="00124B56"/>
    <w:rsid w:val="00126292"/>
    <w:rsid w:val="00132552"/>
    <w:rsid w:val="0013530A"/>
    <w:rsid w:val="00135910"/>
    <w:rsid w:val="0013612C"/>
    <w:rsid w:val="00136A69"/>
    <w:rsid w:val="00137504"/>
    <w:rsid w:val="00141C6B"/>
    <w:rsid w:val="00144ED5"/>
    <w:rsid w:val="0014549D"/>
    <w:rsid w:val="00145891"/>
    <w:rsid w:val="001503B4"/>
    <w:rsid w:val="00152DDE"/>
    <w:rsid w:val="0015472D"/>
    <w:rsid w:val="00156FF2"/>
    <w:rsid w:val="0015763B"/>
    <w:rsid w:val="001602DF"/>
    <w:rsid w:val="00160579"/>
    <w:rsid w:val="001649DC"/>
    <w:rsid w:val="00164BD8"/>
    <w:rsid w:val="00165038"/>
    <w:rsid w:val="001677A4"/>
    <w:rsid w:val="00170DD0"/>
    <w:rsid w:val="00171470"/>
    <w:rsid w:val="0017224B"/>
    <w:rsid w:val="001737DA"/>
    <w:rsid w:val="00173EC7"/>
    <w:rsid w:val="001758B4"/>
    <w:rsid w:val="001807A5"/>
    <w:rsid w:val="0018095F"/>
    <w:rsid w:val="001854AB"/>
    <w:rsid w:val="001877BC"/>
    <w:rsid w:val="00191602"/>
    <w:rsid w:val="0019278B"/>
    <w:rsid w:val="00193314"/>
    <w:rsid w:val="00193774"/>
    <w:rsid w:val="00193B41"/>
    <w:rsid w:val="001957DC"/>
    <w:rsid w:val="00195F72"/>
    <w:rsid w:val="00197C6B"/>
    <w:rsid w:val="001A1ABC"/>
    <w:rsid w:val="001A27AF"/>
    <w:rsid w:val="001A2C73"/>
    <w:rsid w:val="001A3B0C"/>
    <w:rsid w:val="001A5801"/>
    <w:rsid w:val="001B0723"/>
    <w:rsid w:val="001B704D"/>
    <w:rsid w:val="001C1E68"/>
    <w:rsid w:val="001C209F"/>
    <w:rsid w:val="001C3825"/>
    <w:rsid w:val="001C6CDB"/>
    <w:rsid w:val="001D13E2"/>
    <w:rsid w:val="001D242B"/>
    <w:rsid w:val="001D4CA5"/>
    <w:rsid w:val="001D5868"/>
    <w:rsid w:val="001D5A8D"/>
    <w:rsid w:val="001D757B"/>
    <w:rsid w:val="001E101F"/>
    <w:rsid w:val="001E105E"/>
    <w:rsid w:val="001E1766"/>
    <w:rsid w:val="001E21A6"/>
    <w:rsid w:val="001E28A4"/>
    <w:rsid w:val="001E2946"/>
    <w:rsid w:val="001E30F0"/>
    <w:rsid w:val="001E453F"/>
    <w:rsid w:val="001E6C59"/>
    <w:rsid w:val="001E6D92"/>
    <w:rsid w:val="001F0265"/>
    <w:rsid w:val="001F0D73"/>
    <w:rsid w:val="001F2B6A"/>
    <w:rsid w:val="001F4683"/>
    <w:rsid w:val="001F4A09"/>
    <w:rsid w:val="001F4D9E"/>
    <w:rsid w:val="001F7396"/>
    <w:rsid w:val="002019A2"/>
    <w:rsid w:val="0020220B"/>
    <w:rsid w:val="00203ABB"/>
    <w:rsid w:val="002040D8"/>
    <w:rsid w:val="002059DA"/>
    <w:rsid w:val="00205F81"/>
    <w:rsid w:val="0020656F"/>
    <w:rsid w:val="00206941"/>
    <w:rsid w:val="00207286"/>
    <w:rsid w:val="002109A3"/>
    <w:rsid w:val="00210C60"/>
    <w:rsid w:val="0021182F"/>
    <w:rsid w:val="00212FEB"/>
    <w:rsid w:val="00213302"/>
    <w:rsid w:val="00213CC8"/>
    <w:rsid w:val="00213E87"/>
    <w:rsid w:val="00215D1B"/>
    <w:rsid w:val="002163FC"/>
    <w:rsid w:val="0021723A"/>
    <w:rsid w:val="002179BB"/>
    <w:rsid w:val="00217E23"/>
    <w:rsid w:val="00220D29"/>
    <w:rsid w:val="00221F25"/>
    <w:rsid w:val="00226D50"/>
    <w:rsid w:val="0023039F"/>
    <w:rsid w:val="002305EB"/>
    <w:rsid w:val="0023149F"/>
    <w:rsid w:val="0023313F"/>
    <w:rsid w:val="00233E28"/>
    <w:rsid w:val="0023529C"/>
    <w:rsid w:val="0024278F"/>
    <w:rsid w:val="0024297B"/>
    <w:rsid w:val="00242AC0"/>
    <w:rsid w:val="00243C7A"/>
    <w:rsid w:val="00243F99"/>
    <w:rsid w:val="00245616"/>
    <w:rsid w:val="00247D6E"/>
    <w:rsid w:val="00251130"/>
    <w:rsid w:val="0025299E"/>
    <w:rsid w:val="002541D7"/>
    <w:rsid w:val="0025547E"/>
    <w:rsid w:val="00255B0E"/>
    <w:rsid w:val="0025606E"/>
    <w:rsid w:val="002560F5"/>
    <w:rsid w:val="0025695C"/>
    <w:rsid w:val="002569B7"/>
    <w:rsid w:val="0026035B"/>
    <w:rsid w:val="00260760"/>
    <w:rsid w:val="002637DC"/>
    <w:rsid w:val="002664D4"/>
    <w:rsid w:val="0027001F"/>
    <w:rsid w:val="00270043"/>
    <w:rsid w:val="0027306A"/>
    <w:rsid w:val="00274F02"/>
    <w:rsid w:val="00275A4A"/>
    <w:rsid w:val="002801C6"/>
    <w:rsid w:val="002805D4"/>
    <w:rsid w:val="00280FB9"/>
    <w:rsid w:val="00282DE7"/>
    <w:rsid w:val="00283C74"/>
    <w:rsid w:val="00284411"/>
    <w:rsid w:val="002A02A4"/>
    <w:rsid w:val="002A1459"/>
    <w:rsid w:val="002A3031"/>
    <w:rsid w:val="002A340B"/>
    <w:rsid w:val="002A55B5"/>
    <w:rsid w:val="002A5950"/>
    <w:rsid w:val="002A6952"/>
    <w:rsid w:val="002A7665"/>
    <w:rsid w:val="002A7DD7"/>
    <w:rsid w:val="002B14C9"/>
    <w:rsid w:val="002B2483"/>
    <w:rsid w:val="002B2B6B"/>
    <w:rsid w:val="002B4D0B"/>
    <w:rsid w:val="002B5438"/>
    <w:rsid w:val="002B67BE"/>
    <w:rsid w:val="002C0955"/>
    <w:rsid w:val="002C126A"/>
    <w:rsid w:val="002C4A03"/>
    <w:rsid w:val="002C67C6"/>
    <w:rsid w:val="002C690B"/>
    <w:rsid w:val="002E0FDA"/>
    <w:rsid w:val="002E1687"/>
    <w:rsid w:val="002E50CF"/>
    <w:rsid w:val="002E77D1"/>
    <w:rsid w:val="002E7965"/>
    <w:rsid w:val="002F1156"/>
    <w:rsid w:val="002F3EFE"/>
    <w:rsid w:val="002F41DD"/>
    <w:rsid w:val="002F5953"/>
    <w:rsid w:val="002F5D65"/>
    <w:rsid w:val="003007DE"/>
    <w:rsid w:val="003045B5"/>
    <w:rsid w:val="00304CE1"/>
    <w:rsid w:val="0030509D"/>
    <w:rsid w:val="00307132"/>
    <w:rsid w:val="00310168"/>
    <w:rsid w:val="00310C19"/>
    <w:rsid w:val="00312685"/>
    <w:rsid w:val="00314A5F"/>
    <w:rsid w:val="0031582B"/>
    <w:rsid w:val="00320895"/>
    <w:rsid w:val="0032155E"/>
    <w:rsid w:val="0032219D"/>
    <w:rsid w:val="00323B1F"/>
    <w:rsid w:val="00330077"/>
    <w:rsid w:val="003349C3"/>
    <w:rsid w:val="003363DA"/>
    <w:rsid w:val="0033662C"/>
    <w:rsid w:val="003369D5"/>
    <w:rsid w:val="00341038"/>
    <w:rsid w:val="00342343"/>
    <w:rsid w:val="00342471"/>
    <w:rsid w:val="0034386B"/>
    <w:rsid w:val="00346559"/>
    <w:rsid w:val="00346FFE"/>
    <w:rsid w:val="00347ABD"/>
    <w:rsid w:val="00351A14"/>
    <w:rsid w:val="00353107"/>
    <w:rsid w:val="00356D08"/>
    <w:rsid w:val="00360431"/>
    <w:rsid w:val="00360501"/>
    <w:rsid w:val="00360945"/>
    <w:rsid w:val="0036529E"/>
    <w:rsid w:val="0036678D"/>
    <w:rsid w:val="0036774E"/>
    <w:rsid w:val="00367B32"/>
    <w:rsid w:val="003717E1"/>
    <w:rsid w:val="00375FFA"/>
    <w:rsid w:val="00380260"/>
    <w:rsid w:val="003815EF"/>
    <w:rsid w:val="00382573"/>
    <w:rsid w:val="00382EA8"/>
    <w:rsid w:val="0038770D"/>
    <w:rsid w:val="003879DF"/>
    <w:rsid w:val="00390F98"/>
    <w:rsid w:val="00391F5E"/>
    <w:rsid w:val="003944BA"/>
    <w:rsid w:val="00396A1E"/>
    <w:rsid w:val="00396A41"/>
    <w:rsid w:val="00396D76"/>
    <w:rsid w:val="003A16F5"/>
    <w:rsid w:val="003A1AF5"/>
    <w:rsid w:val="003A5719"/>
    <w:rsid w:val="003A77A2"/>
    <w:rsid w:val="003A7EA6"/>
    <w:rsid w:val="003B004A"/>
    <w:rsid w:val="003B0303"/>
    <w:rsid w:val="003B1B5C"/>
    <w:rsid w:val="003B454A"/>
    <w:rsid w:val="003B482C"/>
    <w:rsid w:val="003C1617"/>
    <w:rsid w:val="003C1A52"/>
    <w:rsid w:val="003C3941"/>
    <w:rsid w:val="003C3FC0"/>
    <w:rsid w:val="003C4489"/>
    <w:rsid w:val="003C4D74"/>
    <w:rsid w:val="003D13A8"/>
    <w:rsid w:val="003D210A"/>
    <w:rsid w:val="003D3325"/>
    <w:rsid w:val="003D4331"/>
    <w:rsid w:val="003E12FD"/>
    <w:rsid w:val="003E1DFD"/>
    <w:rsid w:val="003E3B3B"/>
    <w:rsid w:val="003E51E4"/>
    <w:rsid w:val="003E62C0"/>
    <w:rsid w:val="003F3B62"/>
    <w:rsid w:val="003F7870"/>
    <w:rsid w:val="00400F38"/>
    <w:rsid w:val="00401D46"/>
    <w:rsid w:val="00402C1D"/>
    <w:rsid w:val="004030FF"/>
    <w:rsid w:val="00403929"/>
    <w:rsid w:val="004052B3"/>
    <w:rsid w:val="004057A4"/>
    <w:rsid w:val="00405A3A"/>
    <w:rsid w:val="00405A55"/>
    <w:rsid w:val="00411824"/>
    <w:rsid w:val="0041185F"/>
    <w:rsid w:val="00413A46"/>
    <w:rsid w:val="004160BF"/>
    <w:rsid w:val="00417B11"/>
    <w:rsid w:val="0042095A"/>
    <w:rsid w:val="00421813"/>
    <w:rsid w:val="00421CE3"/>
    <w:rsid w:val="00422D8B"/>
    <w:rsid w:val="004233D8"/>
    <w:rsid w:val="00424982"/>
    <w:rsid w:val="00425C40"/>
    <w:rsid w:val="00427179"/>
    <w:rsid w:val="00432267"/>
    <w:rsid w:val="0043228A"/>
    <w:rsid w:val="00435C09"/>
    <w:rsid w:val="00435C52"/>
    <w:rsid w:val="00441C6F"/>
    <w:rsid w:val="00442C6B"/>
    <w:rsid w:val="00446826"/>
    <w:rsid w:val="00446B9D"/>
    <w:rsid w:val="00446BCA"/>
    <w:rsid w:val="004470A5"/>
    <w:rsid w:val="004517E9"/>
    <w:rsid w:val="00452ED1"/>
    <w:rsid w:val="00453487"/>
    <w:rsid w:val="004538E9"/>
    <w:rsid w:val="0045413F"/>
    <w:rsid w:val="00455DEA"/>
    <w:rsid w:val="00456C70"/>
    <w:rsid w:val="004600E3"/>
    <w:rsid w:val="00460BDE"/>
    <w:rsid w:val="00462B45"/>
    <w:rsid w:val="00463388"/>
    <w:rsid w:val="00465192"/>
    <w:rsid w:val="004658BE"/>
    <w:rsid w:val="00465B26"/>
    <w:rsid w:val="00466449"/>
    <w:rsid w:val="00466DEB"/>
    <w:rsid w:val="00466E3B"/>
    <w:rsid w:val="00470009"/>
    <w:rsid w:val="00471235"/>
    <w:rsid w:val="004713D0"/>
    <w:rsid w:val="00471DEE"/>
    <w:rsid w:val="00472DAD"/>
    <w:rsid w:val="004745A7"/>
    <w:rsid w:val="00474F90"/>
    <w:rsid w:val="0047708F"/>
    <w:rsid w:val="00480C5E"/>
    <w:rsid w:val="00481378"/>
    <w:rsid w:val="00482220"/>
    <w:rsid w:val="004829F6"/>
    <w:rsid w:val="0048416E"/>
    <w:rsid w:val="004863CF"/>
    <w:rsid w:val="00490B0E"/>
    <w:rsid w:val="0049125E"/>
    <w:rsid w:val="004936AD"/>
    <w:rsid w:val="00497CE0"/>
    <w:rsid w:val="004A0A50"/>
    <w:rsid w:val="004A0DE6"/>
    <w:rsid w:val="004A2342"/>
    <w:rsid w:val="004A5AC2"/>
    <w:rsid w:val="004A64BC"/>
    <w:rsid w:val="004A7A04"/>
    <w:rsid w:val="004B04A3"/>
    <w:rsid w:val="004B0D15"/>
    <w:rsid w:val="004B5AAB"/>
    <w:rsid w:val="004B6B8B"/>
    <w:rsid w:val="004C11FF"/>
    <w:rsid w:val="004C162A"/>
    <w:rsid w:val="004C2741"/>
    <w:rsid w:val="004C2CDB"/>
    <w:rsid w:val="004C3A55"/>
    <w:rsid w:val="004C3C7A"/>
    <w:rsid w:val="004C445F"/>
    <w:rsid w:val="004C62BF"/>
    <w:rsid w:val="004C7760"/>
    <w:rsid w:val="004D1571"/>
    <w:rsid w:val="004D1B3C"/>
    <w:rsid w:val="004D1C2D"/>
    <w:rsid w:val="004D52B0"/>
    <w:rsid w:val="004D63B9"/>
    <w:rsid w:val="004D6ECC"/>
    <w:rsid w:val="004E0969"/>
    <w:rsid w:val="004E0D0A"/>
    <w:rsid w:val="004E45BF"/>
    <w:rsid w:val="004E4B51"/>
    <w:rsid w:val="004E7392"/>
    <w:rsid w:val="004F0564"/>
    <w:rsid w:val="004F3E14"/>
    <w:rsid w:val="004F5F38"/>
    <w:rsid w:val="004F6B31"/>
    <w:rsid w:val="004F71AC"/>
    <w:rsid w:val="005014CA"/>
    <w:rsid w:val="00503F1C"/>
    <w:rsid w:val="00505C8C"/>
    <w:rsid w:val="005060F0"/>
    <w:rsid w:val="005066B0"/>
    <w:rsid w:val="00507DDC"/>
    <w:rsid w:val="00510055"/>
    <w:rsid w:val="00510D98"/>
    <w:rsid w:val="00512A1A"/>
    <w:rsid w:val="00515F55"/>
    <w:rsid w:val="00516E7E"/>
    <w:rsid w:val="00521F30"/>
    <w:rsid w:val="0052663C"/>
    <w:rsid w:val="005268DC"/>
    <w:rsid w:val="0052760B"/>
    <w:rsid w:val="00527AE5"/>
    <w:rsid w:val="00533E45"/>
    <w:rsid w:val="00534138"/>
    <w:rsid w:val="005346BD"/>
    <w:rsid w:val="0053545E"/>
    <w:rsid w:val="00535A0A"/>
    <w:rsid w:val="00537107"/>
    <w:rsid w:val="005372D6"/>
    <w:rsid w:val="00537CAD"/>
    <w:rsid w:val="0054012E"/>
    <w:rsid w:val="00540142"/>
    <w:rsid w:val="00540389"/>
    <w:rsid w:val="0054043E"/>
    <w:rsid w:val="005426FF"/>
    <w:rsid w:val="005434DF"/>
    <w:rsid w:val="00543E8C"/>
    <w:rsid w:val="005473D7"/>
    <w:rsid w:val="00547477"/>
    <w:rsid w:val="0054753C"/>
    <w:rsid w:val="0055033D"/>
    <w:rsid w:val="005529A2"/>
    <w:rsid w:val="0055361E"/>
    <w:rsid w:val="00555A12"/>
    <w:rsid w:val="005578E7"/>
    <w:rsid w:val="00561789"/>
    <w:rsid w:val="00561AE2"/>
    <w:rsid w:val="00564823"/>
    <w:rsid w:val="00564A61"/>
    <w:rsid w:val="005660FA"/>
    <w:rsid w:val="005665A0"/>
    <w:rsid w:val="00567747"/>
    <w:rsid w:val="0057202D"/>
    <w:rsid w:val="00573DAD"/>
    <w:rsid w:val="00575F82"/>
    <w:rsid w:val="00577553"/>
    <w:rsid w:val="00581F54"/>
    <w:rsid w:val="005827E2"/>
    <w:rsid w:val="0058315E"/>
    <w:rsid w:val="005845FA"/>
    <w:rsid w:val="00586BE9"/>
    <w:rsid w:val="0059646F"/>
    <w:rsid w:val="005A0CCF"/>
    <w:rsid w:val="005A0F3F"/>
    <w:rsid w:val="005B1CBB"/>
    <w:rsid w:val="005B2119"/>
    <w:rsid w:val="005B4B46"/>
    <w:rsid w:val="005B5A5D"/>
    <w:rsid w:val="005B607F"/>
    <w:rsid w:val="005B6214"/>
    <w:rsid w:val="005B7642"/>
    <w:rsid w:val="005C0233"/>
    <w:rsid w:val="005C1731"/>
    <w:rsid w:val="005C2401"/>
    <w:rsid w:val="005C661F"/>
    <w:rsid w:val="005D1245"/>
    <w:rsid w:val="005D27D4"/>
    <w:rsid w:val="005D5D53"/>
    <w:rsid w:val="005D7401"/>
    <w:rsid w:val="005D746B"/>
    <w:rsid w:val="005E026A"/>
    <w:rsid w:val="005E36FB"/>
    <w:rsid w:val="005E4EDD"/>
    <w:rsid w:val="005E6713"/>
    <w:rsid w:val="005F0467"/>
    <w:rsid w:val="005F1252"/>
    <w:rsid w:val="005F3356"/>
    <w:rsid w:val="006000A9"/>
    <w:rsid w:val="006002EE"/>
    <w:rsid w:val="00601E0F"/>
    <w:rsid w:val="006020B1"/>
    <w:rsid w:val="006053F9"/>
    <w:rsid w:val="006070CA"/>
    <w:rsid w:val="00607B19"/>
    <w:rsid w:val="00610153"/>
    <w:rsid w:val="00611502"/>
    <w:rsid w:val="006117B9"/>
    <w:rsid w:val="00615E8B"/>
    <w:rsid w:val="00616C8A"/>
    <w:rsid w:val="00617CFC"/>
    <w:rsid w:val="00620C25"/>
    <w:rsid w:val="00624631"/>
    <w:rsid w:val="00634778"/>
    <w:rsid w:val="00635036"/>
    <w:rsid w:val="00641437"/>
    <w:rsid w:val="00643CA8"/>
    <w:rsid w:val="006447B1"/>
    <w:rsid w:val="00645E3A"/>
    <w:rsid w:val="00650E20"/>
    <w:rsid w:val="006519A3"/>
    <w:rsid w:val="00651CBC"/>
    <w:rsid w:val="006525BD"/>
    <w:rsid w:val="006531E1"/>
    <w:rsid w:val="00654B1B"/>
    <w:rsid w:val="0065590C"/>
    <w:rsid w:val="00655D27"/>
    <w:rsid w:val="00656759"/>
    <w:rsid w:val="006602F1"/>
    <w:rsid w:val="006632C6"/>
    <w:rsid w:val="00664FAF"/>
    <w:rsid w:val="00665FCC"/>
    <w:rsid w:val="00666503"/>
    <w:rsid w:val="00673516"/>
    <w:rsid w:val="00675934"/>
    <w:rsid w:val="006770BC"/>
    <w:rsid w:val="00683D31"/>
    <w:rsid w:val="00684955"/>
    <w:rsid w:val="00685ABC"/>
    <w:rsid w:val="006865F4"/>
    <w:rsid w:val="00686BB3"/>
    <w:rsid w:val="00687463"/>
    <w:rsid w:val="00691CFC"/>
    <w:rsid w:val="00692D12"/>
    <w:rsid w:val="00693899"/>
    <w:rsid w:val="00695E3F"/>
    <w:rsid w:val="00697746"/>
    <w:rsid w:val="006A1378"/>
    <w:rsid w:val="006A1CF7"/>
    <w:rsid w:val="006A1EBE"/>
    <w:rsid w:val="006A7206"/>
    <w:rsid w:val="006A7B53"/>
    <w:rsid w:val="006B11CD"/>
    <w:rsid w:val="006B25D4"/>
    <w:rsid w:val="006B4115"/>
    <w:rsid w:val="006B42EB"/>
    <w:rsid w:val="006B4ABE"/>
    <w:rsid w:val="006B5816"/>
    <w:rsid w:val="006C25A4"/>
    <w:rsid w:val="006C5269"/>
    <w:rsid w:val="006C67EB"/>
    <w:rsid w:val="006C6FB6"/>
    <w:rsid w:val="006D2161"/>
    <w:rsid w:val="006D346D"/>
    <w:rsid w:val="006D3B34"/>
    <w:rsid w:val="006D3D21"/>
    <w:rsid w:val="006E1161"/>
    <w:rsid w:val="006E389C"/>
    <w:rsid w:val="006E6A6A"/>
    <w:rsid w:val="006F0970"/>
    <w:rsid w:val="006F0F9D"/>
    <w:rsid w:val="006F1D4C"/>
    <w:rsid w:val="006F4639"/>
    <w:rsid w:val="006F4E81"/>
    <w:rsid w:val="006F7271"/>
    <w:rsid w:val="007041E5"/>
    <w:rsid w:val="0070460B"/>
    <w:rsid w:val="0070583F"/>
    <w:rsid w:val="00706D74"/>
    <w:rsid w:val="00711595"/>
    <w:rsid w:val="007131B5"/>
    <w:rsid w:val="00713BDF"/>
    <w:rsid w:val="00714DBF"/>
    <w:rsid w:val="0071507D"/>
    <w:rsid w:val="00715A94"/>
    <w:rsid w:val="00717542"/>
    <w:rsid w:val="00717598"/>
    <w:rsid w:val="00717C7A"/>
    <w:rsid w:val="0072282E"/>
    <w:rsid w:val="007229CC"/>
    <w:rsid w:val="00723B7A"/>
    <w:rsid w:val="00727AD5"/>
    <w:rsid w:val="00727F42"/>
    <w:rsid w:val="00730077"/>
    <w:rsid w:val="00733BB2"/>
    <w:rsid w:val="007360D4"/>
    <w:rsid w:val="00737395"/>
    <w:rsid w:val="00740735"/>
    <w:rsid w:val="007416AC"/>
    <w:rsid w:val="007425F0"/>
    <w:rsid w:val="00743985"/>
    <w:rsid w:val="00743AD4"/>
    <w:rsid w:val="00744618"/>
    <w:rsid w:val="00745A9C"/>
    <w:rsid w:val="00747763"/>
    <w:rsid w:val="007501B3"/>
    <w:rsid w:val="007505B1"/>
    <w:rsid w:val="00750733"/>
    <w:rsid w:val="00755806"/>
    <w:rsid w:val="00757C2E"/>
    <w:rsid w:val="00760206"/>
    <w:rsid w:val="007626D9"/>
    <w:rsid w:val="00763459"/>
    <w:rsid w:val="00764769"/>
    <w:rsid w:val="00766AF4"/>
    <w:rsid w:val="00766B02"/>
    <w:rsid w:val="00767B42"/>
    <w:rsid w:val="00771F7F"/>
    <w:rsid w:val="007723A7"/>
    <w:rsid w:val="0077310A"/>
    <w:rsid w:val="0077491A"/>
    <w:rsid w:val="00776973"/>
    <w:rsid w:val="00777F0B"/>
    <w:rsid w:val="007807DB"/>
    <w:rsid w:val="00781A4B"/>
    <w:rsid w:val="007821FC"/>
    <w:rsid w:val="00782335"/>
    <w:rsid w:val="00795EAD"/>
    <w:rsid w:val="00796A37"/>
    <w:rsid w:val="007A2077"/>
    <w:rsid w:val="007B4DB5"/>
    <w:rsid w:val="007B641A"/>
    <w:rsid w:val="007B78B5"/>
    <w:rsid w:val="007B7C94"/>
    <w:rsid w:val="007C0B16"/>
    <w:rsid w:val="007C1C05"/>
    <w:rsid w:val="007C1C10"/>
    <w:rsid w:val="007C5772"/>
    <w:rsid w:val="007D2C1E"/>
    <w:rsid w:val="007D6993"/>
    <w:rsid w:val="007D6FE7"/>
    <w:rsid w:val="007D76F9"/>
    <w:rsid w:val="007E081D"/>
    <w:rsid w:val="007E309D"/>
    <w:rsid w:val="007E386C"/>
    <w:rsid w:val="007E464F"/>
    <w:rsid w:val="007E4FE2"/>
    <w:rsid w:val="007E531E"/>
    <w:rsid w:val="007E76DF"/>
    <w:rsid w:val="007F1A00"/>
    <w:rsid w:val="007F1A84"/>
    <w:rsid w:val="007F1E32"/>
    <w:rsid w:val="007F2A41"/>
    <w:rsid w:val="007F5010"/>
    <w:rsid w:val="007F630E"/>
    <w:rsid w:val="0080191B"/>
    <w:rsid w:val="008022C7"/>
    <w:rsid w:val="0080284B"/>
    <w:rsid w:val="0080494C"/>
    <w:rsid w:val="00806EB4"/>
    <w:rsid w:val="00810E71"/>
    <w:rsid w:val="00811DC6"/>
    <w:rsid w:val="00813AC1"/>
    <w:rsid w:val="008140CF"/>
    <w:rsid w:val="00814B1B"/>
    <w:rsid w:val="00820CC4"/>
    <w:rsid w:val="0082670A"/>
    <w:rsid w:val="00831C54"/>
    <w:rsid w:val="00832740"/>
    <w:rsid w:val="00834838"/>
    <w:rsid w:val="00836383"/>
    <w:rsid w:val="0084010D"/>
    <w:rsid w:val="00840909"/>
    <w:rsid w:val="0084267F"/>
    <w:rsid w:val="00843477"/>
    <w:rsid w:val="008454B9"/>
    <w:rsid w:val="00847324"/>
    <w:rsid w:val="00847F5C"/>
    <w:rsid w:val="0085272C"/>
    <w:rsid w:val="00854DCC"/>
    <w:rsid w:val="008552F1"/>
    <w:rsid w:val="0085742A"/>
    <w:rsid w:val="00861BDB"/>
    <w:rsid w:val="00862256"/>
    <w:rsid w:val="00862AFE"/>
    <w:rsid w:val="00862ED5"/>
    <w:rsid w:val="00863152"/>
    <w:rsid w:val="008654FB"/>
    <w:rsid w:val="00866324"/>
    <w:rsid w:val="008678FD"/>
    <w:rsid w:val="008679D3"/>
    <w:rsid w:val="00871A1D"/>
    <w:rsid w:val="00872472"/>
    <w:rsid w:val="00872A76"/>
    <w:rsid w:val="00872B6C"/>
    <w:rsid w:val="0087336E"/>
    <w:rsid w:val="008736E7"/>
    <w:rsid w:val="00874FE2"/>
    <w:rsid w:val="00875343"/>
    <w:rsid w:val="008809EA"/>
    <w:rsid w:val="00881946"/>
    <w:rsid w:val="00882B3F"/>
    <w:rsid w:val="0088302C"/>
    <w:rsid w:val="00884A3E"/>
    <w:rsid w:val="008870EA"/>
    <w:rsid w:val="008877E3"/>
    <w:rsid w:val="00887895"/>
    <w:rsid w:val="00892409"/>
    <w:rsid w:val="00892E20"/>
    <w:rsid w:val="008A295D"/>
    <w:rsid w:val="008A44E7"/>
    <w:rsid w:val="008A73E9"/>
    <w:rsid w:val="008A7671"/>
    <w:rsid w:val="008A7BF9"/>
    <w:rsid w:val="008B46B7"/>
    <w:rsid w:val="008B4E46"/>
    <w:rsid w:val="008B609E"/>
    <w:rsid w:val="008C1C25"/>
    <w:rsid w:val="008C1E28"/>
    <w:rsid w:val="008C224A"/>
    <w:rsid w:val="008C479C"/>
    <w:rsid w:val="008C493E"/>
    <w:rsid w:val="008C4BC4"/>
    <w:rsid w:val="008C7B0B"/>
    <w:rsid w:val="008D0482"/>
    <w:rsid w:val="008D76B2"/>
    <w:rsid w:val="008E04F4"/>
    <w:rsid w:val="008E0959"/>
    <w:rsid w:val="008E3053"/>
    <w:rsid w:val="008E3CFD"/>
    <w:rsid w:val="008E53E1"/>
    <w:rsid w:val="008E5B7B"/>
    <w:rsid w:val="008E5BE7"/>
    <w:rsid w:val="008E650C"/>
    <w:rsid w:val="008E6F12"/>
    <w:rsid w:val="008F02FF"/>
    <w:rsid w:val="008F13C3"/>
    <w:rsid w:val="008F2AC2"/>
    <w:rsid w:val="008F2BCF"/>
    <w:rsid w:val="008F3E11"/>
    <w:rsid w:val="008F4515"/>
    <w:rsid w:val="00903ED8"/>
    <w:rsid w:val="009051B1"/>
    <w:rsid w:val="00906395"/>
    <w:rsid w:val="00910018"/>
    <w:rsid w:val="00912382"/>
    <w:rsid w:val="00912AB5"/>
    <w:rsid w:val="00913402"/>
    <w:rsid w:val="009154E6"/>
    <w:rsid w:val="00916967"/>
    <w:rsid w:val="0092093C"/>
    <w:rsid w:val="00922BAF"/>
    <w:rsid w:val="00924249"/>
    <w:rsid w:val="00925EE6"/>
    <w:rsid w:val="009261CF"/>
    <w:rsid w:val="00931D94"/>
    <w:rsid w:val="00933D26"/>
    <w:rsid w:val="009361C0"/>
    <w:rsid w:val="00937093"/>
    <w:rsid w:val="009378C3"/>
    <w:rsid w:val="00942A18"/>
    <w:rsid w:val="009453E6"/>
    <w:rsid w:val="009467D7"/>
    <w:rsid w:val="00947198"/>
    <w:rsid w:val="0095171B"/>
    <w:rsid w:val="00953BFD"/>
    <w:rsid w:val="00954AD0"/>
    <w:rsid w:val="00955546"/>
    <w:rsid w:val="00962458"/>
    <w:rsid w:val="00962E51"/>
    <w:rsid w:val="0096360D"/>
    <w:rsid w:val="009654E0"/>
    <w:rsid w:val="00965D75"/>
    <w:rsid w:val="0096704B"/>
    <w:rsid w:val="00967129"/>
    <w:rsid w:val="00971F63"/>
    <w:rsid w:val="00972928"/>
    <w:rsid w:val="0097531C"/>
    <w:rsid w:val="00976C63"/>
    <w:rsid w:val="00976E29"/>
    <w:rsid w:val="00977750"/>
    <w:rsid w:val="009826A3"/>
    <w:rsid w:val="00983256"/>
    <w:rsid w:val="009848E7"/>
    <w:rsid w:val="009854A5"/>
    <w:rsid w:val="00986BA5"/>
    <w:rsid w:val="00987ECD"/>
    <w:rsid w:val="0099075B"/>
    <w:rsid w:val="00992EFC"/>
    <w:rsid w:val="00993CBA"/>
    <w:rsid w:val="00995566"/>
    <w:rsid w:val="00995570"/>
    <w:rsid w:val="00995EC4"/>
    <w:rsid w:val="009A093A"/>
    <w:rsid w:val="009A24A4"/>
    <w:rsid w:val="009A7B2C"/>
    <w:rsid w:val="009A7E9A"/>
    <w:rsid w:val="009B0AE5"/>
    <w:rsid w:val="009B286A"/>
    <w:rsid w:val="009B3AA4"/>
    <w:rsid w:val="009B3EC0"/>
    <w:rsid w:val="009B5FD0"/>
    <w:rsid w:val="009B66E4"/>
    <w:rsid w:val="009B75E0"/>
    <w:rsid w:val="009C05C5"/>
    <w:rsid w:val="009C1188"/>
    <w:rsid w:val="009C1C57"/>
    <w:rsid w:val="009C5860"/>
    <w:rsid w:val="009C5C27"/>
    <w:rsid w:val="009C7423"/>
    <w:rsid w:val="009C77BC"/>
    <w:rsid w:val="009C78DE"/>
    <w:rsid w:val="009D0955"/>
    <w:rsid w:val="009D3593"/>
    <w:rsid w:val="009D4730"/>
    <w:rsid w:val="009D4FB1"/>
    <w:rsid w:val="009D5D55"/>
    <w:rsid w:val="009D70A6"/>
    <w:rsid w:val="009E1FDA"/>
    <w:rsid w:val="009E2D76"/>
    <w:rsid w:val="009E3952"/>
    <w:rsid w:val="009E411C"/>
    <w:rsid w:val="009E581F"/>
    <w:rsid w:val="009F043F"/>
    <w:rsid w:val="009F3E07"/>
    <w:rsid w:val="009F40F5"/>
    <w:rsid w:val="009F5AF1"/>
    <w:rsid w:val="009F6088"/>
    <w:rsid w:val="009F649C"/>
    <w:rsid w:val="00A00E2D"/>
    <w:rsid w:val="00A013D7"/>
    <w:rsid w:val="00A026AF"/>
    <w:rsid w:val="00A03233"/>
    <w:rsid w:val="00A043D7"/>
    <w:rsid w:val="00A04D97"/>
    <w:rsid w:val="00A06DA5"/>
    <w:rsid w:val="00A07B82"/>
    <w:rsid w:val="00A10418"/>
    <w:rsid w:val="00A107DA"/>
    <w:rsid w:val="00A11D70"/>
    <w:rsid w:val="00A130F8"/>
    <w:rsid w:val="00A1312E"/>
    <w:rsid w:val="00A14F93"/>
    <w:rsid w:val="00A17B13"/>
    <w:rsid w:val="00A23616"/>
    <w:rsid w:val="00A2458B"/>
    <w:rsid w:val="00A25F10"/>
    <w:rsid w:val="00A26361"/>
    <w:rsid w:val="00A27C66"/>
    <w:rsid w:val="00A304E7"/>
    <w:rsid w:val="00A30793"/>
    <w:rsid w:val="00A32FDA"/>
    <w:rsid w:val="00A333B0"/>
    <w:rsid w:val="00A33A02"/>
    <w:rsid w:val="00A353CE"/>
    <w:rsid w:val="00A357D8"/>
    <w:rsid w:val="00A359B9"/>
    <w:rsid w:val="00A40AD9"/>
    <w:rsid w:val="00A41031"/>
    <w:rsid w:val="00A41867"/>
    <w:rsid w:val="00A41C90"/>
    <w:rsid w:val="00A46092"/>
    <w:rsid w:val="00A469F5"/>
    <w:rsid w:val="00A46E8F"/>
    <w:rsid w:val="00A5339B"/>
    <w:rsid w:val="00A54F36"/>
    <w:rsid w:val="00A61216"/>
    <w:rsid w:val="00A61562"/>
    <w:rsid w:val="00A65F5E"/>
    <w:rsid w:val="00A66881"/>
    <w:rsid w:val="00A7197E"/>
    <w:rsid w:val="00A734CD"/>
    <w:rsid w:val="00A76D4A"/>
    <w:rsid w:val="00A81AC4"/>
    <w:rsid w:val="00A81EFE"/>
    <w:rsid w:val="00A82D0D"/>
    <w:rsid w:val="00A830AC"/>
    <w:rsid w:val="00A83207"/>
    <w:rsid w:val="00A90072"/>
    <w:rsid w:val="00A9121A"/>
    <w:rsid w:val="00A91552"/>
    <w:rsid w:val="00A91A74"/>
    <w:rsid w:val="00A93049"/>
    <w:rsid w:val="00A940A5"/>
    <w:rsid w:val="00A940A7"/>
    <w:rsid w:val="00A952E7"/>
    <w:rsid w:val="00A96288"/>
    <w:rsid w:val="00A967DE"/>
    <w:rsid w:val="00A96865"/>
    <w:rsid w:val="00AA029C"/>
    <w:rsid w:val="00AA0B81"/>
    <w:rsid w:val="00AA4D9C"/>
    <w:rsid w:val="00AA6424"/>
    <w:rsid w:val="00AB0274"/>
    <w:rsid w:val="00AB0A62"/>
    <w:rsid w:val="00AB3075"/>
    <w:rsid w:val="00AB36A9"/>
    <w:rsid w:val="00AB395E"/>
    <w:rsid w:val="00AB4503"/>
    <w:rsid w:val="00AB5440"/>
    <w:rsid w:val="00AB7A0B"/>
    <w:rsid w:val="00AC0B78"/>
    <w:rsid w:val="00AC28A8"/>
    <w:rsid w:val="00AC2CF0"/>
    <w:rsid w:val="00AC4360"/>
    <w:rsid w:val="00AC52B6"/>
    <w:rsid w:val="00AC5D88"/>
    <w:rsid w:val="00AC60EE"/>
    <w:rsid w:val="00AC6753"/>
    <w:rsid w:val="00AC6E12"/>
    <w:rsid w:val="00AC6FC8"/>
    <w:rsid w:val="00AC7FD3"/>
    <w:rsid w:val="00AD03CC"/>
    <w:rsid w:val="00AD1065"/>
    <w:rsid w:val="00AD2466"/>
    <w:rsid w:val="00AD24BC"/>
    <w:rsid w:val="00AD3286"/>
    <w:rsid w:val="00AD485C"/>
    <w:rsid w:val="00AD4F41"/>
    <w:rsid w:val="00AD7623"/>
    <w:rsid w:val="00AD7922"/>
    <w:rsid w:val="00AD7BFD"/>
    <w:rsid w:val="00AE1F6B"/>
    <w:rsid w:val="00AE3237"/>
    <w:rsid w:val="00AE3459"/>
    <w:rsid w:val="00AE4A17"/>
    <w:rsid w:val="00AE7C58"/>
    <w:rsid w:val="00AE7E70"/>
    <w:rsid w:val="00AF4D0C"/>
    <w:rsid w:val="00AF6095"/>
    <w:rsid w:val="00AF7B8F"/>
    <w:rsid w:val="00B008A0"/>
    <w:rsid w:val="00B0573C"/>
    <w:rsid w:val="00B07344"/>
    <w:rsid w:val="00B11905"/>
    <w:rsid w:val="00B11C4C"/>
    <w:rsid w:val="00B131AA"/>
    <w:rsid w:val="00B13DC1"/>
    <w:rsid w:val="00B21C60"/>
    <w:rsid w:val="00B24CE1"/>
    <w:rsid w:val="00B26E7E"/>
    <w:rsid w:val="00B270F4"/>
    <w:rsid w:val="00B30E23"/>
    <w:rsid w:val="00B31161"/>
    <w:rsid w:val="00B33B63"/>
    <w:rsid w:val="00B35A6D"/>
    <w:rsid w:val="00B36B8A"/>
    <w:rsid w:val="00B407FE"/>
    <w:rsid w:val="00B40B2A"/>
    <w:rsid w:val="00B412D8"/>
    <w:rsid w:val="00B419F9"/>
    <w:rsid w:val="00B44323"/>
    <w:rsid w:val="00B447C7"/>
    <w:rsid w:val="00B45A03"/>
    <w:rsid w:val="00B469D1"/>
    <w:rsid w:val="00B50961"/>
    <w:rsid w:val="00B50BD2"/>
    <w:rsid w:val="00B51FC6"/>
    <w:rsid w:val="00B54645"/>
    <w:rsid w:val="00B54704"/>
    <w:rsid w:val="00B54AB1"/>
    <w:rsid w:val="00B55924"/>
    <w:rsid w:val="00B6073C"/>
    <w:rsid w:val="00B61D5C"/>
    <w:rsid w:val="00B658B9"/>
    <w:rsid w:val="00B67EEC"/>
    <w:rsid w:val="00B72C73"/>
    <w:rsid w:val="00B734EC"/>
    <w:rsid w:val="00B7587F"/>
    <w:rsid w:val="00B75E9A"/>
    <w:rsid w:val="00B77228"/>
    <w:rsid w:val="00B7777C"/>
    <w:rsid w:val="00B82E70"/>
    <w:rsid w:val="00B83049"/>
    <w:rsid w:val="00B84453"/>
    <w:rsid w:val="00B84BA4"/>
    <w:rsid w:val="00B86410"/>
    <w:rsid w:val="00B876E3"/>
    <w:rsid w:val="00B91158"/>
    <w:rsid w:val="00B912E2"/>
    <w:rsid w:val="00B936D6"/>
    <w:rsid w:val="00B97FBF"/>
    <w:rsid w:val="00BA0310"/>
    <w:rsid w:val="00BA1800"/>
    <w:rsid w:val="00BA2B56"/>
    <w:rsid w:val="00BA3272"/>
    <w:rsid w:val="00BA335A"/>
    <w:rsid w:val="00BA3663"/>
    <w:rsid w:val="00BA3CBF"/>
    <w:rsid w:val="00BA3D56"/>
    <w:rsid w:val="00BA5918"/>
    <w:rsid w:val="00BA5995"/>
    <w:rsid w:val="00BA72A6"/>
    <w:rsid w:val="00BB0A3A"/>
    <w:rsid w:val="00BB15A1"/>
    <w:rsid w:val="00BB17B3"/>
    <w:rsid w:val="00BB1EF4"/>
    <w:rsid w:val="00BB294F"/>
    <w:rsid w:val="00BB2E12"/>
    <w:rsid w:val="00BB3696"/>
    <w:rsid w:val="00BB5A76"/>
    <w:rsid w:val="00BB7074"/>
    <w:rsid w:val="00BC63DF"/>
    <w:rsid w:val="00BD0728"/>
    <w:rsid w:val="00BD17AE"/>
    <w:rsid w:val="00BD3813"/>
    <w:rsid w:val="00BD6AAB"/>
    <w:rsid w:val="00BD6F17"/>
    <w:rsid w:val="00BE25ED"/>
    <w:rsid w:val="00BE2D3C"/>
    <w:rsid w:val="00BE31C8"/>
    <w:rsid w:val="00BE3B0B"/>
    <w:rsid w:val="00BE458F"/>
    <w:rsid w:val="00BE5B12"/>
    <w:rsid w:val="00BE757A"/>
    <w:rsid w:val="00BF0559"/>
    <w:rsid w:val="00BF1CC9"/>
    <w:rsid w:val="00BF3373"/>
    <w:rsid w:val="00BF49A6"/>
    <w:rsid w:val="00C01748"/>
    <w:rsid w:val="00C01E28"/>
    <w:rsid w:val="00C02CA8"/>
    <w:rsid w:val="00C03FD2"/>
    <w:rsid w:val="00C04B8F"/>
    <w:rsid w:val="00C04E18"/>
    <w:rsid w:val="00C04E8D"/>
    <w:rsid w:val="00C05D69"/>
    <w:rsid w:val="00C17F79"/>
    <w:rsid w:val="00C2162B"/>
    <w:rsid w:val="00C21861"/>
    <w:rsid w:val="00C23B8B"/>
    <w:rsid w:val="00C24C7F"/>
    <w:rsid w:val="00C26EC4"/>
    <w:rsid w:val="00C27F3D"/>
    <w:rsid w:val="00C31180"/>
    <w:rsid w:val="00C318F5"/>
    <w:rsid w:val="00C32B7A"/>
    <w:rsid w:val="00C358C9"/>
    <w:rsid w:val="00C35A31"/>
    <w:rsid w:val="00C37214"/>
    <w:rsid w:val="00C4016E"/>
    <w:rsid w:val="00C40491"/>
    <w:rsid w:val="00C416C0"/>
    <w:rsid w:val="00C456CA"/>
    <w:rsid w:val="00C462AD"/>
    <w:rsid w:val="00C46476"/>
    <w:rsid w:val="00C51AD7"/>
    <w:rsid w:val="00C520B2"/>
    <w:rsid w:val="00C54065"/>
    <w:rsid w:val="00C542E0"/>
    <w:rsid w:val="00C54B7D"/>
    <w:rsid w:val="00C56517"/>
    <w:rsid w:val="00C5695E"/>
    <w:rsid w:val="00C5729B"/>
    <w:rsid w:val="00C5775C"/>
    <w:rsid w:val="00C57AA9"/>
    <w:rsid w:val="00C57C0B"/>
    <w:rsid w:val="00C60354"/>
    <w:rsid w:val="00C62C6A"/>
    <w:rsid w:val="00C64D44"/>
    <w:rsid w:val="00C6670A"/>
    <w:rsid w:val="00C66E29"/>
    <w:rsid w:val="00C707C2"/>
    <w:rsid w:val="00C7211A"/>
    <w:rsid w:val="00C743EB"/>
    <w:rsid w:val="00C7699B"/>
    <w:rsid w:val="00C80CE4"/>
    <w:rsid w:val="00C81746"/>
    <w:rsid w:val="00C823DA"/>
    <w:rsid w:val="00C82A2B"/>
    <w:rsid w:val="00C84F98"/>
    <w:rsid w:val="00C85B34"/>
    <w:rsid w:val="00C860DD"/>
    <w:rsid w:val="00C87175"/>
    <w:rsid w:val="00C87D6B"/>
    <w:rsid w:val="00C87E85"/>
    <w:rsid w:val="00C91B1F"/>
    <w:rsid w:val="00C92554"/>
    <w:rsid w:val="00C92D22"/>
    <w:rsid w:val="00C94870"/>
    <w:rsid w:val="00C94AE2"/>
    <w:rsid w:val="00C96F44"/>
    <w:rsid w:val="00C971ED"/>
    <w:rsid w:val="00CA01FE"/>
    <w:rsid w:val="00CA0DEC"/>
    <w:rsid w:val="00CA1C01"/>
    <w:rsid w:val="00CA33AC"/>
    <w:rsid w:val="00CA344E"/>
    <w:rsid w:val="00CA38BE"/>
    <w:rsid w:val="00CA38FE"/>
    <w:rsid w:val="00CA63E9"/>
    <w:rsid w:val="00CA6725"/>
    <w:rsid w:val="00CA6F99"/>
    <w:rsid w:val="00CB2361"/>
    <w:rsid w:val="00CB239D"/>
    <w:rsid w:val="00CB6401"/>
    <w:rsid w:val="00CC6E5F"/>
    <w:rsid w:val="00CD001A"/>
    <w:rsid w:val="00CD1DB5"/>
    <w:rsid w:val="00CD4E4C"/>
    <w:rsid w:val="00CD522D"/>
    <w:rsid w:val="00CD66A8"/>
    <w:rsid w:val="00CD7AF1"/>
    <w:rsid w:val="00CE07F0"/>
    <w:rsid w:val="00CE2A55"/>
    <w:rsid w:val="00CE49E6"/>
    <w:rsid w:val="00CE4E38"/>
    <w:rsid w:val="00CE512C"/>
    <w:rsid w:val="00CE54A7"/>
    <w:rsid w:val="00CE5C9D"/>
    <w:rsid w:val="00CF40A2"/>
    <w:rsid w:val="00CF414A"/>
    <w:rsid w:val="00CF4774"/>
    <w:rsid w:val="00CF69D4"/>
    <w:rsid w:val="00CF6EA0"/>
    <w:rsid w:val="00D00906"/>
    <w:rsid w:val="00D00E18"/>
    <w:rsid w:val="00D02552"/>
    <w:rsid w:val="00D02FD3"/>
    <w:rsid w:val="00D0685B"/>
    <w:rsid w:val="00D0750C"/>
    <w:rsid w:val="00D10766"/>
    <w:rsid w:val="00D10850"/>
    <w:rsid w:val="00D111DE"/>
    <w:rsid w:val="00D139C9"/>
    <w:rsid w:val="00D14F94"/>
    <w:rsid w:val="00D218C2"/>
    <w:rsid w:val="00D2236E"/>
    <w:rsid w:val="00D24A1F"/>
    <w:rsid w:val="00D35F2B"/>
    <w:rsid w:val="00D36941"/>
    <w:rsid w:val="00D4003B"/>
    <w:rsid w:val="00D40565"/>
    <w:rsid w:val="00D444C1"/>
    <w:rsid w:val="00D454F2"/>
    <w:rsid w:val="00D45F8D"/>
    <w:rsid w:val="00D50CD7"/>
    <w:rsid w:val="00D5127E"/>
    <w:rsid w:val="00D5196F"/>
    <w:rsid w:val="00D524E2"/>
    <w:rsid w:val="00D530DE"/>
    <w:rsid w:val="00D53391"/>
    <w:rsid w:val="00D54750"/>
    <w:rsid w:val="00D54E85"/>
    <w:rsid w:val="00D55A17"/>
    <w:rsid w:val="00D576D8"/>
    <w:rsid w:val="00D57D23"/>
    <w:rsid w:val="00D6369A"/>
    <w:rsid w:val="00D658DF"/>
    <w:rsid w:val="00D72415"/>
    <w:rsid w:val="00D72A60"/>
    <w:rsid w:val="00D7553F"/>
    <w:rsid w:val="00D755B8"/>
    <w:rsid w:val="00D765A3"/>
    <w:rsid w:val="00D76C0C"/>
    <w:rsid w:val="00D77F90"/>
    <w:rsid w:val="00D8365F"/>
    <w:rsid w:val="00D83688"/>
    <w:rsid w:val="00D869BD"/>
    <w:rsid w:val="00D86A12"/>
    <w:rsid w:val="00D92A87"/>
    <w:rsid w:val="00D92C91"/>
    <w:rsid w:val="00D94E6E"/>
    <w:rsid w:val="00D9576E"/>
    <w:rsid w:val="00D95AE1"/>
    <w:rsid w:val="00D971A8"/>
    <w:rsid w:val="00DA2C2B"/>
    <w:rsid w:val="00DA5B38"/>
    <w:rsid w:val="00DB371D"/>
    <w:rsid w:val="00DB514C"/>
    <w:rsid w:val="00DB5BD9"/>
    <w:rsid w:val="00DB6417"/>
    <w:rsid w:val="00DB64B1"/>
    <w:rsid w:val="00DB72BD"/>
    <w:rsid w:val="00DC12DE"/>
    <w:rsid w:val="00DC1B47"/>
    <w:rsid w:val="00DC2F33"/>
    <w:rsid w:val="00DC485E"/>
    <w:rsid w:val="00DD14BB"/>
    <w:rsid w:val="00DD308B"/>
    <w:rsid w:val="00DD3BAE"/>
    <w:rsid w:val="00DD5133"/>
    <w:rsid w:val="00DD6EE0"/>
    <w:rsid w:val="00DD736F"/>
    <w:rsid w:val="00DE0F3B"/>
    <w:rsid w:val="00DE47F4"/>
    <w:rsid w:val="00DE6E83"/>
    <w:rsid w:val="00DE6E89"/>
    <w:rsid w:val="00DE7117"/>
    <w:rsid w:val="00DF0441"/>
    <w:rsid w:val="00DF0F05"/>
    <w:rsid w:val="00DF1FC2"/>
    <w:rsid w:val="00DF51B1"/>
    <w:rsid w:val="00DF5829"/>
    <w:rsid w:val="00DF7DB6"/>
    <w:rsid w:val="00E0327C"/>
    <w:rsid w:val="00E03D10"/>
    <w:rsid w:val="00E041C4"/>
    <w:rsid w:val="00E10174"/>
    <w:rsid w:val="00E108D3"/>
    <w:rsid w:val="00E12D6C"/>
    <w:rsid w:val="00E14751"/>
    <w:rsid w:val="00E20C3E"/>
    <w:rsid w:val="00E21350"/>
    <w:rsid w:val="00E25F3E"/>
    <w:rsid w:val="00E34906"/>
    <w:rsid w:val="00E34E0B"/>
    <w:rsid w:val="00E35E16"/>
    <w:rsid w:val="00E364B9"/>
    <w:rsid w:val="00E36CC7"/>
    <w:rsid w:val="00E377CE"/>
    <w:rsid w:val="00E425B3"/>
    <w:rsid w:val="00E43872"/>
    <w:rsid w:val="00E454F2"/>
    <w:rsid w:val="00E462AB"/>
    <w:rsid w:val="00E50046"/>
    <w:rsid w:val="00E527F5"/>
    <w:rsid w:val="00E53FF8"/>
    <w:rsid w:val="00E5561A"/>
    <w:rsid w:val="00E5630C"/>
    <w:rsid w:val="00E571C3"/>
    <w:rsid w:val="00E61695"/>
    <w:rsid w:val="00E626BD"/>
    <w:rsid w:val="00E64927"/>
    <w:rsid w:val="00E66359"/>
    <w:rsid w:val="00E7048D"/>
    <w:rsid w:val="00E714E3"/>
    <w:rsid w:val="00E72340"/>
    <w:rsid w:val="00E74F0D"/>
    <w:rsid w:val="00E7567C"/>
    <w:rsid w:val="00E75D68"/>
    <w:rsid w:val="00E8097F"/>
    <w:rsid w:val="00E81255"/>
    <w:rsid w:val="00E81874"/>
    <w:rsid w:val="00E8226A"/>
    <w:rsid w:val="00E8492D"/>
    <w:rsid w:val="00E858A7"/>
    <w:rsid w:val="00E85EFB"/>
    <w:rsid w:val="00E87889"/>
    <w:rsid w:val="00E9019B"/>
    <w:rsid w:val="00E93AB1"/>
    <w:rsid w:val="00EA3B64"/>
    <w:rsid w:val="00EA795A"/>
    <w:rsid w:val="00EB109C"/>
    <w:rsid w:val="00EB1A36"/>
    <w:rsid w:val="00EB1AE7"/>
    <w:rsid w:val="00EB42D7"/>
    <w:rsid w:val="00EB6E88"/>
    <w:rsid w:val="00EB7592"/>
    <w:rsid w:val="00EB77CA"/>
    <w:rsid w:val="00EC129C"/>
    <w:rsid w:val="00EC2E93"/>
    <w:rsid w:val="00EC4F14"/>
    <w:rsid w:val="00EC5026"/>
    <w:rsid w:val="00EC5BB0"/>
    <w:rsid w:val="00EC7307"/>
    <w:rsid w:val="00ED012B"/>
    <w:rsid w:val="00ED068F"/>
    <w:rsid w:val="00ED4079"/>
    <w:rsid w:val="00ED4CDD"/>
    <w:rsid w:val="00ED546B"/>
    <w:rsid w:val="00ED7400"/>
    <w:rsid w:val="00ED7D51"/>
    <w:rsid w:val="00EE031C"/>
    <w:rsid w:val="00EE0588"/>
    <w:rsid w:val="00EE0744"/>
    <w:rsid w:val="00EE0977"/>
    <w:rsid w:val="00EE1708"/>
    <w:rsid w:val="00EE1EEF"/>
    <w:rsid w:val="00EE2BA7"/>
    <w:rsid w:val="00EE2FEF"/>
    <w:rsid w:val="00EE32B2"/>
    <w:rsid w:val="00EE36BE"/>
    <w:rsid w:val="00EE3E5A"/>
    <w:rsid w:val="00EE3F68"/>
    <w:rsid w:val="00EE6C4E"/>
    <w:rsid w:val="00EF024F"/>
    <w:rsid w:val="00EF1548"/>
    <w:rsid w:val="00EF29D1"/>
    <w:rsid w:val="00EF5825"/>
    <w:rsid w:val="00EF5D14"/>
    <w:rsid w:val="00EF6263"/>
    <w:rsid w:val="00EF6E14"/>
    <w:rsid w:val="00EF6E48"/>
    <w:rsid w:val="00EF7C96"/>
    <w:rsid w:val="00F000D7"/>
    <w:rsid w:val="00F00B16"/>
    <w:rsid w:val="00F01182"/>
    <w:rsid w:val="00F019FB"/>
    <w:rsid w:val="00F03A06"/>
    <w:rsid w:val="00F06ED4"/>
    <w:rsid w:val="00F07E21"/>
    <w:rsid w:val="00F1764E"/>
    <w:rsid w:val="00F17B59"/>
    <w:rsid w:val="00F207F5"/>
    <w:rsid w:val="00F22A76"/>
    <w:rsid w:val="00F25119"/>
    <w:rsid w:val="00F30250"/>
    <w:rsid w:val="00F30E4F"/>
    <w:rsid w:val="00F316CE"/>
    <w:rsid w:val="00F324D2"/>
    <w:rsid w:val="00F33E1A"/>
    <w:rsid w:val="00F3475C"/>
    <w:rsid w:val="00F37284"/>
    <w:rsid w:val="00F41298"/>
    <w:rsid w:val="00F418E8"/>
    <w:rsid w:val="00F42D8B"/>
    <w:rsid w:val="00F4300F"/>
    <w:rsid w:val="00F46937"/>
    <w:rsid w:val="00F46998"/>
    <w:rsid w:val="00F51801"/>
    <w:rsid w:val="00F51A19"/>
    <w:rsid w:val="00F51BE1"/>
    <w:rsid w:val="00F5292C"/>
    <w:rsid w:val="00F538ED"/>
    <w:rsid w:val="00F54347"/>
    <w:rsid w:val="00F55310"/>
    <w:rsid w:val="00F61F6D"/>
    <w:rsid w:val="00F65954"/>
    <w:rsid w:val="00F66FD0"/>
    <w:rsid w:val="00F70AB5"/>
    <w:rsid w:val="00F70ABD"/>
    <w:rsid w:val="00F719EA"/>
    <w:rsid w:val="00F751A1"/>
    <w:rsid w:val="00F755E7"/>
    <w:rsid w:val="00F7637C"/>
    <w:rsid w:val="00F779FE"/>
    <w:rsid w:val="00F77B53"/>
    <w:rsid w:val="00F80140"/>
    <w:rsid w:val="00F80D48"/>
    <w:rsid w:val="00F81681"/>
    <w:rsid w:val="00F84101"/>
    <w:rsid w:val="00F861AE"/>
    <w:rsid w:val="00F93AF2"/>
    <w:rsid w:val="00F945D9"/>
    <w:rsid w:val="00F971C2"/>
    <w:rsid w:val="00FA048B"/>
    <w:rsid w:val="00FA2B70"/>
    <w:rsid w:val="00FA2CEB"/>
    <w:rsid w:val="00FA2EBE"/>
    <w:rsid w:val="00FA53FA"/>
    <w:rsid w:val="00FA5C20"/>
    <w:rsid w:val="00FB2D3A"/>
    <w:rsid w:val="00FB71FC"/>
    <w:rsid w:val="00FB7ECA"/>
    <w:rsid w:val="00FC1304"/>
    <w:rsid w:val="00FC291C"/>
    <w:rsid w:val="00FC367B"/>
    <w:rsid w:val="00FC36F8"/>
    <w:rsid w:val="00FC7622"/>
    <w:rsid w:val="00FD032B"/>
    <w:rsid w:val="00FD0E41"/>
    <w:rsid w:val="00FD10DD"/>
    <w:rsid w:val="00FD2BFE"/>
    <w:rsid w:val="00FD471B"/>
    <w:rsid w:val="00FD506B"/>
    <w:rsid w:val="00FD52D8"/>
    <w:rsid w:val="00FD5324"/>
    <w:rsid w:val="00FD5475"/>
    <w:rsid w:val="00FE0753"/>
    <w:rsid w:val="00FE1D71"/>
    <w:rsid w:val="00FE3224"/>
    <w:rsid w:val="00FE50CD"/>
    <w:rsid w:val="00FE6E83"/>
    <w:rsid w:val="00FE7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A5801"/>
    <w:rPr>
      <w:sz w:val="24"/>
      <w:szCs w:val="24"/>
      <w:lang w:val="en-US" w:eastAsia="en-US"/>
    </w:rPr>
  </w:style>
  <w:style w:type="paragraph" w:styleId="Heading1">
    <w:name w:val="heading 1"/>
    <w:basedOn w:val="Normal"/>
    <w:next w:val="Normal"/>
    <w:link w:val="Heading1Char"/>
    <w:qFormat/>
    <w:rsid w:val="00DE7117"/>
    <w:pPr>
      <w:jc w:val="center"/>
      <w:outlineLvl w:val="0"/>
    </w:pPr>
    <w:rPr>
      <w:b/>
      <w:bCs/>
      <w:caps/>
    </w:rPr>
  </w:style>
  <w:style w:type="paragraph" w:styleId="Heading2">
    <w:name w:val="heading 2"/>
    <w:basedOn w:val="Normal"/>
    <w:next w:val="Normal"/>
    <w:link w:val="Heading2Char"/>
    <w:qFormat/>
    <w:rsid w:val="00E72340"/>
    <w:pPr>
      <w:keepNext/>
      <w:outlineLvl w:val="1"/>
    </w:pPr>
    <w:rPr>
      <w:b/>
      <w:bCs/>
      <w:sz w:val="26"/>
      <w:lang w:val="x-none" w:eastAsia="x-none"/>
    </w:rPr>
  </w:style>
  <w:style w:type="paragraph" w:styleId="Heading7">
    <w:name w:val="heading 7"/>
    <w:basedOn w:val="Normal"/>
    <w:next w:val="Normal"/>
    <w:qFormat/>
    <w:rsid w:val="00C462AD"/>
    <w:pPr>
      <w:spacing w:before="240" w:after="60"/>
      <w:outlineLvl w:val="6"/>
    </w:pPr>
  </w:style>
  <w:style w:type="paragraph" w:styleId="Heading8">
    <w:name w:val="heading 8"/>
    <w:basedOn w:val="Normal"/>
    <w:next w:val="Normal"/>
    <w:qFormat/>
    <w:rsid w:val="00C462A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5801"/>
    <w:rPr>
      <w:color w:val="0000FF"/>
      <w:u w:val="single"/>
    </w:rPr>
  </w:style>
  <w:style w:type="paragraph" w:styleId="BodyText">
    <w:name w:val="Body Text"/>
    <w:basedOn w:val="Normal"/>
    <w:rsid w:val="001A5801"/>
    <w:rPr>
      <w:rFonts w:ascii="Arial" w:hAnsi="Arial" w:cs="Arial"/>
      <w:sz w:val="20"/>
      <w:szCs w:val="20"/>
    </w:rPr>
  </w:style>
  <w:style w:type="paragraph" w:styleId="Header">
    <w:name w:val="header"/>
    <w:basedOn w:val="Normal"/>
    <w:link w:val="HeaderChar"/>
    <w:rsid w:val="001A5801"/>
    <w:pPr>
      <w:tabs>
        <w:tab w:val="center" w:pos="4320"/>
        <w:tab w:val="right" w:pos="8640"/>
      </w:tabs>
    </w:pPr>
  </w:style>
  <w:style w:type="paragraph" w:styleId="Footer">
    <w:name w:val="footer"/>
    <w:basedOn w:val="Normal"/>
    <w:link w:val="FooterChar1"/>
    <w:uiPriority w:val="99"/>
    <w:rsid w:val="001A5801"/>
    <w:pPr>
      <w:tabs>
        <w:tab w:val="center" w:pos="4320"/>
        <w:tab w:val="right" w:pos="8640"/>
      </w:tabs>
    </w:pPr>
    <w:rPr>
      <w:lang w:val="x-none" w:eastAsia="x-none"/>
    </w:rPr>
  </w:style>
  <w:style w:type="paragraph" w:styleId="BodyTextIndent">
    <w:name w:val="Body Text Indent"/>
    <w:basedOn w:val="Normal"/>
    <w:rsid w:val="001A5801"/>
    <w:pPr>
      <w:ind w:left="1440" w:hanging="1440"/>
    </w:pPr>
    <w:rPr>
      <w:rFonts w:ascii="Arial" w:hAnsi="Arial" w:cs="Arial"/>
      <w:b/>
      <w:bCs/>
      <w:sz w:val="20"/>
      <w:szCs w:val="20"/>
    </w:rPr>
  </w:style>
  <w:style w:type="paragraph" w:styleId="BodyText2">
    <w:name w:val="Body Text 2"/>
    <w:basedOn w:val="Normal"/>
    <w:rsid w:val="001A5801"/>
    <w:pPr>
      <w:jc w:val="both"/>
    </w:pPr>
    <w:rPr>
      <w:rFonts w:ascii="Arial" w:hAnsi="Arial" w:cs="Arial"/>
      <w:sz w:val="20"/>
      <w:szCs w:val="20"/>
    </w:rPr>
  </w:style>
  <w:style w:type="paragraph" w:styleId="BalloonText">
    <w:name w:val="Balloon Text"/>
    <w:basedOn w:val="Normal"/>
    <w:semiHidden/>
    <w:rsid w:val="001A5801"/>
    <w:rPr>
      <w:rFonts w:ascii="Tahoma" w:hAnsi="Tahoma" w:cs="Tahoma"/>
      <w:sz w:val="16"/>
      <w:szCs w:val="16"/>
    </w:rPr>
  </w:style>
  <w:style w:type="paragraph" w:styleId="DocumentMap">
    <w:name w:val="Document Map"/>
    <w:basedOn w:val="Normal"/>
    <w:semiHidden/>
    <w:rsid w:val="001A5801"/>
    <w:pPr>
      <w:shd w:val="clear" w:color="auto" w:fill="000080"/>
    </w:pPr>
    <w:rPr>
      <w:rFonts w:ascii="Tahoma" w:hAnsi="Tahoma" w:cs="Tahoma"/>
      <w:sz w:val="20"/>
      <w:szCs w:val="20"/>
    </w:rPr>
  </w:style>
  <w:style w:type="paragraph" w:styleId="PlainText">
    <w:name w:val="Plain Text"/>
    <w:basedOn w:val="Normal"/>
    <w:link w:val="PlainTextChar"/>
    <w:uiPriority w:val="99"/>
    <w:rsid w:val="00CC6E5F"/>
    <w:pPr>
      <w:spacing w:before="100" w:beforeAutospacing="1" w:after="100" w:afterAutospacing="1"/>
    </w:pPr>
    <w:rPr>
      <w:lang w:val="x-none" w:eastAsia="x-none"/>
    </w:rPr>
  </w:style>
  <w:style w:type="paragraph" w:styleId="NormalWeb">
    <w:name w:val="Normal (Web)"/>
    <w:basedOn w:val="Normal"/>
    <w:uiPriority w:val="99"/>
    <w:rsid w:val="001854AB"/>
    <w:pPr>
      <w:spacing w:before="100" w:beforeAutospacing="1" w:after="100" w:afterAutospacing="1"/>
    </w:pPr>
  </w:style>
  <w:style w:type="paragraph" w:styleId="ListParagraph">
    <w:name w:val="List Paragraph"/>
    <w:basedOn w:val="Normal"/>
    <w:uiPriority w:val="34"/>
    <w:qFormat/>
    <w:rsid w:val="00396D76"/>
    <w:pPr>
      <w:ind w:left="720"/>
      <w:contextualSpacing/>
    </w:pPr>
  </w:style>
  <w:style w:type="character" w:customStyle="1" w:styleId="PlainTextChar">
    <w:name w:val="Plain Text Char"/>
    <w:link w:val="PlainText"/>
    <w:uiPriority w:val="99"/>
    <w:rsid w:val="003879DF"/>
    <w:rPr>
      <w:sz w:val="24"/>
      <w:szCs w:val="24"/>
    </w:rPr>
  </w:style>
  <w:style w:type="character" w:styleId="CommentReference">
    <w:name w:val="annotation reference"/>
    <w:rsid w:val="00B36B8A"/>
    <w:rPr>
      <w:sz w:val="16"/>
      <w:szCs w:val="16"/>
    </w:rPr>
  </w:style>
  <w:style w:type="paragraph" w:styleId="CommentText">
    <w:name w:val="annotation text"/>
    <w:basedOn w:val="Normal"/>
    <w:link w:val="CommentTextChar"/>
    <w:rsid w:val="00B36B8A"/>
    <w:rPr>
      <w:sz w:val="20"/>
      <w:szCs w:val="20"/>
    </w:rPr>
  </w:style>
  <w:style w:type="character" w:customStyle="1" w:styleId="CommentTextChar">
    <w:name w:val="Comment Text Char"/>
    <w:basedOn w:val="DefaultParagraphFont"/>
    <w:link w:val="CommentText"/>
    <w:rsid w:val="00B36B8A"/>
  </w:style>
  <w:style w:type="paragraph" w:styleId="CommentSubject">
    <w:name w:val="annotation subject"/>
    <w:basedOn w:val="CommentText"/>
    <w:next w:val="CommentText"/>
    <w:link w:val="CommentSubjectChar"/>
    <w:rsid w:val="00B36B8A"/>
    <w:rPr>
      <w:b/>
      <w:bCs/>
      <w:lang w:val="x-none" w:eastAsia="x-none"/>
    </w:rPr>
  </w:style>
  <w:style w:type="character" w:customStyle="1" w:styleId="CommentSubjectChar">
    <w:name w:val="Comment Subject Char"/>
    <w:link w:val="CommentSubject"/>
    <w:rsid w:val="00B36B8A"/>
    <w:rPr>
      <w:b/>
      <w:bCs/>
    </w:rPr>
  </w:style>
  <w:style w:type="paragraph" w:styleId="FootnoteText">
    <w:name w:val="footnote text"/>
    <w:aliases w:val="Footnote Text Char,Footnote,12pt"/>
    <w:basedOn w:val="Normal"/>
    <w:link w:val="FootnoteTextChar1"/>
    <w:rsid w:val="00967129"/>
    <w:rPr>
      <w:sz w:val="20"/>
      <w:szCs w:val="20"/>
    </w:rPr>
  </w:style>
  <w:style w:type="character" w:customStyle="1" w:styleId="FootnoteTextChar1">
    <w:name w:val="Footnote Text Char1"/>
    <w:aliases w:val="Footnote Text Char Char,Footnote Char,12pt Char"/>
    <w:basedOn w:val="DefaultParagraphFont"/>
    <w:link w:val="FootnoteText"/>
    <w:rsid w:val="00967129"/>
  </w:style>
  <w:style w:type="character" w:styleId="FootnoteReference">
    <w:name w:val="footnote reference"/>
    <w:rsid w:val="00967129"/>
    <w:rPr>
      <w:vertAlign w:val="superscript"/>
    </w:rPr>
  </w:style>
  <w:style w:type="character" w:styleId="Strong">
    <w:name w:val="Strong"/>
    <w:uiPriority w:val="22"/>
    <w:qFormat/>
    <w:rsid w:val="00092501"/>
    <w:rPr>
      <w:b/>
      <w:bCs/>
    </w:rPr>
  </w:style>
  <w:style w:type="table" w:styleId="TableGrid">
    <w:name w:val="Table Grid"/>
    <w:basedOn w:val="TableNormal"/>
    <w:rsid w:val="00F33E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1">
    <w:name w:val="Footer Char1"/>
    <w:link w:val="Footer"/>
    <w:uiPriority w:val="99"/>
    <w:rsid w:val="00843477"/>
    <w:rPr>
      <w:sz w:val="24"/>
      <w:szCs w:val="24"/>
    </w:rPr>
  </w:style>
  <w:style w:type="paragraph" w:customStyle="1" w:styleId="NormalArial">
    <w:name w:val="Normal + Arial"/>
    <w:aliases w:val="Right:  -2.64 cm"/>
    <w:basedOn w:val="Normal"/>
    <w:uiPriority w:val="99"/>
    <w:rsid w:val="00312685"/>
    <w:pPr>
      <w:overflowPunct w:val="0"/>
      <w:autoSpaceDE w:val="0"/>
      <w:autoSpaceDN w:val="0"/>
      <w:adjustRightInd w:val="0"/>
      <w:ind w:right="-1497"/>
      <w:jc w:val="both"/>
      <w:textAlignment w:val="baseline"/>
    </w:pPr>
    <w:rPr>
      <w:rFonts w:ascii="Arial" w:hAnsi="Arial" w:cs="Arial"/>
      <w:sz w:val="20"/>
    </w:rPr>
  </w:style>
  <w:style w:type="paragraph" w:styleId="TOCHeading">
    <w:name w:val="TOC Heading"/>
    <w:basedOn w:val="Heading1"/>
    <w:next w:val="Normal"/>
    <w:uiPriority w:val="99"/>
    <w:qFormat/>
    <w:rsid w:val="00312685"/>
    <w:pPr>
      <w:keepLines/>
      <w:spacing w:before="480" w:line="276" w:lineRule="auto"/>
      <w:jc w:val="left"/>
      <w:outlineLvl w:val="9"/>
    </w:pPr>
    <w:rPr>
      <w:rFonts w:ascii="Cambria" w:hAnsi="Cambria"/>
      <w:color w:val="365F91"/>
      <w:sz w:val="28"/>
      <w:szCs w:val="28"/>
    </w:rPr>
  </w:style>
  <w:style w:type="paragraph" w:styleId="TOC2">
    <w:name w:val="toc 2"/>
    <w:basedOn w:val="Normal"/>
    <w:next w:val="Normal"/>
    <w:autoRedefine/>
    <w:uiPriority w:val="39"/>
    <w:rsid w:val="00312685"/>
    <w:pPr>
      <w:spacing w:before="240"/>
    </w:pPr>
    <w:rPr>
      <w:b/>
      <w:bCs/>
      <w:sz w:val="20"/>
      <w:szCs w:val="20"/>
    </w:rPr>
  </w:style>
  <w:style w:type="character" w:customStyle="1" w:styleId="Heading1Char">
    <w:name w:val="Heading 1 Char"/>
    <w:link w:val="Heading1"/>
    <w:rsid w:val="00DE7117"/>
    <w:rPr>
      <w:b/>
      <w:bCs/>
      <w:caps/>
      <w:sz w:val="24"/>
      <w:szCs w:val="24"/>
      <w:lang w:val="en-US" w:eastAsia="en-US"/>
    </w:rPr>
  </w:style>
  <w:style w:type="character" w:customStyle="1" w:styleId="Heading2Char">
    <w:name w:val="Heading 2 Char"/>
    <w:link w:val="Heading2"/>
    <w:rsid w:val="00F755E7"/>
    <w:rPr>
      <w:b/>
      <w:bCs/>
      <w:sz w:val="26"/>
      <w:szCs w:val="24"/>
    </w:rPr>
  </w:style>
  <w:style w:type="paragraph" w:styleId="TOC1">
    <w:name w:val="toc 1"/>
    <w:basedOn w:val="Normal"/>
    <w:next w:val="Normal"/>
    <w:autoRedefine/>
    <w:uiPriority w:val="39"/>
    <w:rsid w:val="00A04D97"/>
    <w:pPr>
      <w:tabs>
        <w:tab w:val="left" w:pos="480"/>
        <w:tab w:val="right" w:pos="9360"/>
      </w:tabs>
      <w:spacing w:before="360"/>
    </w:pPr>
    <w:rPr>
      <w:b/>
      <w:bCs/>
      <w:caps/>
      <w:noProof/>
    </w:rPr>
  </w:style>
  <w:style w:type="paragraph" w:styleId="EndnoteText">
    <w:name w:val="endnote text"/>
    <w:basedOn w:val="Normal"/>
    <w:link w:val="EndnoteTextChar"/>
    <w:uiPriority w:val="99"/>
    <w:semiHidden/>
    <w:unhideWhenUsed/>
    <w:rsid w:val="00090D90"/>
    <w:rPr>
      <w:sz w:val="20"/>
      <w:szCs w:val="20"/>
    </w:rPr>
  </w:style>
  <w:style w:type="character" w:customStyle="1" w:styleId="EndnoteTextChar">
    <w:name w:val="Endnote Text Char"/>
    <w:basedOn w:val="DefaultParagraphFont"/>
    <w:link w:val="EndnoteText"/>
    <w:uiPriority w:val="99"/>
    <w:semiHidden/>
    <w:rsid w:val="00090D90"/>
  </w:style>
  <w:style w:type="character" w:styleId="EndnoteReference">
    <w:name w:val="endnote reference"/>
    <w:uiPriority w:val="99"/>
    <w:semiHidden/>
    <w:unhideWhenUsed/>
    <w:rsid w:val="00090D90"/>
    <w:rPr>
      <w:vertAlign w:val="superscript"/>
    </w:rPr>
  </w:style>
  <w:style w:type="character" w:styleId="FollowedHyperlink">
    <w:name w:val="FollowedHyperlink"/>
    <w:uiPriority w:val="99"/>
    <w:semiHidden/>
    <w:unhideWhenUsed/>
    <w:rsid w:val="00976E29"/>
    <w:rPr>
      <w:color w:val="800080"/>
      <w:u w:val="single"/>
    </w:rPr>
  </w:style>
  <w:style w:type="paragraph" w:customStyle="1" w:styleId="H1">
    <w:name w:val="H1"/>
    <w:rsid w:val="000134CC"/>
    <w:pPr>
      <w:spacing w:before="60" w:after="60"/>
    </w:pPr>
    <w:rPr>
      <w:rFonts w:cs="Arial"/>
      <w:b/>
      <w:bCs/>
      <w:snapToGrid w:val="0"/>
      <w:kern w:val="32"/>
      <w:sz w:val="24"/>
      <w:szCs w:val="32"/>
      <w:lang w:val="en-GB" w:eastAsia="en-US"/>
    </w:rPr>
  </w:style>
  <w:style w:type="paragraph" w:customStyle="1" w:styleId="H2">
    <w:name w:val="H2"/>
    <w:rsid w:val="000134CC"/>
    <w:rPr>
      <w:rFonts w:cs="Arial"/>
      <w:b/>
      <w:bCs/>
      <w:iCs/>
      <w:snapToGrid w:val="0"/>
      <w:sz w:val="22"/>
      <w:szCs w:val="28"/>
      <w:lang w:val="en-GB" w:eastAsia="en-US"/>
    </w:rPr>
  </w:style>
  <w:style w:type="paragraph" w:customStyle="1" w:styleId="LOA">
    <w:name w:val="LOA"/>
    <w:basedOn w:val="Normal"/>
    <w:rsid w:val="007F2A41"/>
    <w:pPr>
      <w:widowControl w:val="0"/>
      <w:spacing w:before="120" w:after="120"/>
      <w:jc w:val="both"/>
    </w:pPr>
    <w:rPr>
      <w:rFonts w:ascii="Garamond" w:eastAsia="MS Mincho" w:hAnsi="Garamond" w:cs="Garamond"/>
      <w:sz w:val="22"/>
      <w:szCs w:val="22"/>
      <w:lang w:val="en-GB"/>
    </w:rPr>
  </w:style>
  <w:style w:type="paragraph" w:customStyle="1" w:styleId="Default">
    <w:name w:val="Default"/>
    <w:rsid w:val="007F2A41"/>
    <w:pPr>
      <w:widowControl w:val="0"/>
      <w:autoSpaceDE w:val="0"/>
      <w:autoSpaceDN w:val="0"/>
      <w:adjustRightInd w:val="0"/>
    </w:pPr>
    <w:rPr>
      <w:rFonts w:ascii="Arial" w:eastAsia="MS Mincho" w:hAnsi="Arial" w:cs="Arial"/>
      <w:color w:val="000000"/>
      <w:sz w:val="24"/>
      <w:szCs w:val="24"/>
      <w:lang w:val="en-US" w:eastAsia="en-US"/>
    </w:rPr>
  </w:style>
  <w:style w:type="paragraph" w:customStyle="1" w:styleId="CM6">
    <w:name w:val="CM6"/>
    <w:basedOn w:val="Default"/>
    <w:next w:val="Default"/>
    <w:rsid w:val="007F2A41"/>
    <w:pPr>
      <w:spacing w:line="476" w:lineRule="atLeast"/>
    </w:pPr>
    <w:rPr>
      <w:color w:val="auto"/>
    </w:rPr>
  </w:style>
  <w:style w:type="paragraph" w:customStyle="1" w:styleId="Default1">
    <w:name w:val="Default1"/>
    <w:basedOn w:val="Default"/>
    <w:next w:val="Default"/>
    <w:rsid w:val="00BA72A6"/>
    <w:pPr>
      <w:widowControl/>
    </w:pPr>
    <w:rPr>
      <w:rFonts w:ascii="Garamond" w:eastAsia="Times New Roman" w:hAnsi="Garamond" w:cs="Times New Roman"/>
      <w:color w:val="auto"/>
    </w:rPr>
  </w:style>
  <w:style w:type="paragraph" w:customStyle="1" w:styleId="ListNumber1">
    <w:name w:val="List Number 1"/>
    <w:basedOn w:val="Default"/>
    <w:next w:val="Default"/>
    <w:rsid w:val="007807DB"/>
    <w:pPr>
      <w:widowControl/>
    </w:pPr>
    <w:rPr>
      <w:rFonts w:ascii="Calibri" w:eastAsia="Times New Roman" w:hAnsi="Calibri" w:cs="Times New Roman"/>
      <w:color w:val="auto"/>
    </w:rPr>
  </w:style>
  <w:style w:type="paragraph" w:customStyle="1" w:styleId="Paragrafoelenco1">
    <w:name w:val="Paragrafo elenco1"/>
    <w:basedOn w:val="Normal"/>
    <w:rsid w:val="00DF7DB6"/>
    <w:pPr>
      <w:spacing w:before="120" w:after="120"/>
      <w:ind w:left="720"/>
      <w:jc w:val="both"/>
    </w:pPr>
    <w:rPr>
      <w:rFonts w:ascii="Bell MT" w:hAnsi="Bell MT"/>
      <w:sz w:val="22"/>
      <w:szCs w:val="20"/>
    </w:rPr>
  </w:style>
  <w:style w:type="paragraph" w:customStyle="1" w:styleId="Bulletlevel1">
    <w:name w:val="Bullet level 1"/>
    <w:basedOn w:val="Normal"/>
    <w:rsid w:val="00DC1B47"/>
    <w:pPr>
      <w:numPr>
        <w:numId w:val="26"/>
      </w:numPr>
    </w:pPr>
    <w:rPr>
      <w:rFonts w:ascii="Cambria" w:hAnsi="Cambria"/>
      <w:sz w:val="23"/>
    </w:rPr>
  </w:style>
  <w:style w:type="paragraph" w:styleId="BodyText3">
    <w:name w:val="Body Text 3"/>
    <w:basedOn w:val="Normal"/>
    <w:rsid w:val="00421CE3"/>
    <w:pPr>
      <w:spacing w:after="120"/>
    </w:pPr>
    <w:rPr>
      <w:sz w:val="16"/>
      <w:szCs w:val="16"/>
    </w:rPr>
  </w:style>
  <w:style w:type="character" w:customStyle="1" w:styleId="HeaderChar">
    <w:name w:val="Header Char"/>
    <w:link w:val="Header"/>
    <w:locked/>
    <w:rsid w:val="00421CE3"/>
    <w:rPr>
      <w:sz w:val="24"/>
      <w:szCs w:val="24"/>
      <w:lang w:val="en-US" w:eastAsia="en-US" w:bidi="ar-SA"/>
    </w:rPr>
  </w:style>
  <w:style w:type="character" w:customStyle="1" w:styleId="FooterChar">
    <w:name w:val="Footer Char"/>
    <w:locked/>
    <w:rsid w:val="00421CE3"/>
    <w:rPr>
      <w:rFonts w:ascii="Cambria" w:hAnsi="Cambria" w:cs="Times New Roman"/>
      <w:sz w:val="24"/>
      <w:szCs w:val="24"/>
      <w:lang w:val="en-US" w:eastAsia="en-US"/>
    </w:rPr>
  </w:style>
  <w:style w:type="paragraph" w:customStyle="1" w:styleId="TableText">
    <w:name w:val="Table Text"/>
    <w:basedOn w:val="Normal"/>
    <w:rsid w:val="00421CE3"/>
    <w:pPr>
      <w:spacing w:before="20"/>
    </w:pPr>
    <w:rPr>
      <w:rFonts w:ascii="Garamond" w:eastAsia="MS Mincho" w:hAnsi="Garamond" w:cs="Garamond"/>
      <w:sz w:val="20"/>
      <w:szCs w:val="20"/>
      <w:lang w:val="en-GB"/>
    </w:rPr>
  </w:style>
  <w:style w:type="paragraph" w:styleId="TOC3">
    <w:name w:val="toc 3"/>
    <w:basedOn w:val="Normal"/>
    <w:next w:val="Normal"/>
    <w:autoRedefine/>
    <w:semiHidden/>
    <w:rsid w:val="001E1766"/>
    <w:pPr>
      <w:ind w:left="240"/>
    </w:pPr>
    <w:rPr>
      <w:sz w:val="20"/>
      <w:szCs w:val="20"/>
    </w:rPr>
  </w:style>
  <w:style w:type="paragraph" w:styleId="TOC4">
    <w:name w:val="toc 4"/>
    <w:basedOn w:val="Normal"/>
    <w:next w:val="Normal"/>
    <w:autoRedefine/>
    <w:semiHidden/>
    <w:rsid w:val="001E1766"/>
    <w:pPr>
      <w:ind w:left="480"/>
    </w:pPr>
    <w:rPr>
      <w:sz w:val="20"/>
      <w:szCs w:val="20"/>
    </w:rPr>
  </w:style>
  <w:style w:type="paragraph" w:styleId="TOC5">
    <w:name w:val="toc 5"/>
    <w:basedOn w:val="Normal"/>
    <w:next w:val="Normal"/>
    <w:autoRedefine/>
    <w:semiHidden/>
    <w:rsid w:val="001E1766"/>
    <w:pPr>
      <w:ind w:left="720"/>
    </w:pPr>
    <w:rPr>
      <w:sz w:val="20"/>
      <w:szCs w:val="20"/>
    </w:rPr>
  </w:style>
  <w:style w:type="paragraph" w:styleId="TOC6">
    <w:name w:val="toc 6"/>
    <w:basedOn w:val="Normal"/>
    <w:next w:val="Normal"/>
    <w:autoRedefine/>
    <w:semiHidden/>
    <w:rsid w:val="001E1766"/>
    <w:pPr>
      <w:ind w:left="960"/>
    </w:pPr>
    <w:rPr>
      <w:sz w:val="20"/>
      <w:szCs w:val="20"/>
    </w:rPr>
  </w:style>
  <w:style w:type="paragraph" w:styleId="TOC7">
    <w:name w:val="toc 7"/>
    <w:basedOn w:val="Normal"/>
    <w:next w:val="Normal"/>
    <w:autoRedefine/>
    <w:semiHidden/>
    <w:rsid w:val="001E1766"/>
    <w:pPr>
      <w:ind w:left="1200"/>
    </w:pPr>
    <w:rPr>
      <w:sz w:val="20"/>
      <w:szCs w:val="20"/>
    </w:rPr>
  </w:style>
  <w:style w:type="paragraph" w:styleId="TOC8">
    <w:name w:val="toc 8"/>
    <w:basedOn w:val="Normal"/>
    <w:next w:val="Normal"/>
    <w:autoRedefine/>
    <w:semiHidden/>
    <w:rsid w:val="001E1766"/>
    <w:pPr>
      <w:ind w:left="1440"/>
    </w:pPr>
    <w:rPr>
      <w:sz w:val="20"/>
      <w:szCs w:val="20"/>
    </w:rPr>
  </w:style>
  <w:style w:type="paragraph" w:styleId="TOC9">
    <w:name w:val="toc 9"/>
    <w:basedOn w:val="Normal"/>
    <w:next w:val="Normal"/>
    <w:autoRedefine/>
    <w:semiHidden/>
    <w:rsid w:val="001E1766"/>
    <w:pPr>
      <w:ind w:left="1680"/>
    </w:pPr>
    <w:rPr>
      <w:sz w:val="20"/>
      <w:szCs w:val="20"/>
    </w:rPr>
  </w:style>
  <w:style w:type="paragraph" w:customStyle="1" w:styleId="Clea">
    <w:name w:val="Clea"/>
    <w:basedOn w:val="Heading1"/>
    <w:rsid w:val="0031582B"/>
    <w:rPr>
      <w:rFonts w:cs="Calibri"/>
      <w:b w:val="0"/>
      <w:bCs w:val="0"/>
      <w:color w:val="000000"/>
      <w:sz w:val="22"/>
      <w:szCs w:val="22"/>
    </w:rPr>
  </w:style>
  <w:style w:type="character" w:styleId="PageNumber">
    <w:name w:val="page number"/>
    <w:basedOn w:val="DefaultParagraphFont"/>
    <w:rsid w:val="00AF4D0C"/>
  </w:style>
  <w:style w:type="paragraph" w:styleId="Title">
    <w:name w:val="Title"/>
    <w:basedOn w:val="Normal"/>
    <w:next w:val="Normal"/>
    <w:link w:val="TitleChar"/>
    <w:uiPriority w:val="10"/>
    <w:qFormat/>
    <w:rsid w:val="00DE7117"/>
    <w:pPr>
      <w:tabs>
        <w:tab w:val="left" w:pos="3360"/>
      </w:tabs>
      <w:spacing w:line="400" w:lineRule="exact"/>
      <w:jc w:val="right"/>
    </w:pPr>
    <w:rPr>
      <w:b/>
      <w:bCs/>
      <w:sz w:val="44"/>
      <w:szCs w:val="44"/>
      <w:lang w:eastAsia="ja-JP"/>
    </w:rPr>
  </w:style>
  <w:style w:type="character" w:customStyle="1" w:styleId="TitleChar">
    <w:name w:val="Title Char"/>
    <w:basedOn w:val="DefaultParagraphFont"/>
    <w:link w:val="Title"/>
    <w:uiPriority w:val="10"/>
    <w:rsid w:val="00DE7117"/>
    <w:rPr>
      <w:b/>
      <w:bCs/>
      <w:sz w:val="44"/>
      <w:szCs w:val="44"/>
      <w:lang w:val="en-US" w:eastAsia="ja-JP"/>
    </w:rPr>
  </w:style>
  <w:style w:type="paragraph" w:styleId="Subtitle">
    <w:name w:val="Subtitle"/>
    <w:basedOn w:val="Normal"/>
    <w:next w:val="Normal"/>
    <w:link w:val="SubtitleChar"/>
    <w:uiPriority w:val="11"/>
    <w:qFormat/>
    <w:rsid w:val="00DE7117"/>
    <w:pPr>
      <w:spacing w:line="400" w:lineRule="exact"/>
      <w:jc w:val="right"/>
    </w:pPr>
    <w:rPr>
      <w:b/>
      <w:sz w:val="32"/>
      <w:szCs w:val="32"/>
    </w:rPr>
  </w:style>
  <w:style w:type="character" w:customStyle="1" w:styleId="SubtitleChar">
    <w:name w:val="Subtitle Char"/>
    <w:basedOn w:val="DefaultParagraphFont"/>
    <w:link w:val="Subtitle"/>
    <w:uiPriority w:val="11"/>
    <w:rsid w:val="00DE7117"/>
    <w:rPr>
      <w:b/>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A5801"/>
    <w:rPr>
      <w:sz w:val="24"/>
      <w:szCs w:val="24"/>
      <w:lang w:val="en-US" w:eastAsia="en-US"/>
    </w:rPr>
  </w:style>
  <w:style w:type="paragraph" w:styleId="Heading1">
    <w:name w:val="heading 1"/>
    <w:basedOn w:val="Normal"/>
    <w:next w:val="Normal"/>
    <w:link w:val="Heading1Char"/>
    <w:qFormat/>
    <w:rsid w:val="00DE7117"/>
    <w:pPr>
      <w:jc w:val="center"/>
      <w:outlineLvl w:val="0"/>
    </w:pPr>
    <w:rPr>
      <w:b/>
      <w:bCs/>
      <w:caps/>
    </w:rPr>
  </w:style>
  <w:style w:type="paragraph" w:styleId="Heading2">
    <w:name w:val="heading 2"/>
    <w:basedOn w:val="Normal"/>
    <w:next w:val="Normal"/>
    <w:link w:val="Heading2Char"/>
    <w:qFormat/>
    <w:rsid w:val="00E72340"/>
    <w:pPr>
      <w:keepNext/>
      <w:outlineLvl w:val="1"/>
    </w:pPr>
    <w:rPr>
      <w:b/>
      <w:bCs/>
      <w:sz w:val="26"/>
      <w:lang w:val="x-none" w:eastAsia="x-none"/>
    </w:rPr>
  </w:style>
  <w:style w:type="paragraph" w:styleId="Heading7">
    <w:name w:val="heading 7"/>
    <w:basedOn w:val="Normal"/>
    <w:next w:val="Normal"/>
    <w:qFormat/>
    <w:rsid w:val="00C462AD"/>
    <w:pPr>
      <w:spacing w:before="240" w:after="60"/>
      <w:outlineLvl w:val="6"/>
    </w:pPr>
  </w:style>
  <w:style w:type="paragraph" w:styleId="Heading8">
    <w:name w:val="heading 8"/>
    <w:basedOn w:val="Normal"/>
    <w:next w:val="Normal"/>
    <w:qFormat/>
    <w:rsid w:val="00C462A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5801"/>
    <w:rPr>
      <w:color w:val="0000FF"/>
      <w:u w:val="single"/>
    </w:rPr>
  </w:style>
  <w:style w:type="paragraph" w:styleId="BodyText">
    <w:name w:val="Body Text"/>
    <w:basedOn w:val="Normal"/>
    <w:rsid w:val="001A5801"/>
    <w:rPr>
      <w:rFonts w:ascii="Arial" w:hAnsi="Arial" w:cs="Arial"/>
      <w:sz w:val="20"/>
      <w:szCs w:val="20"/>
    </w:rPr>
  </w:style>
  <w:style w:type="paragraph" w:styleId="Header">
    <w:name w:val="header"/>
    <w:basedOn w:val="Normal"/>
    <w:link w:val="HeaderChar"/>
    <w:rsid w:val="001A5801"/>
    <w:pPr>
      <w:tabs>
        <w:tab w:val="center" w:pos="4320"/>
        <w:tab w:val="right" w:pos="8640"/>
      </w:tabs>
    </w:pPr>
  </w:style>
  <w:style w:type="paragraph" w:styleId="Footer">
    <w:name w:val="footer"/>
    <w:basedOn w:val="Normal"/>
    <w:link w:val="FooterChar1"/>
    <w:uiPriority w:val="99"/>
    <w:rsid w:val="001A5801"/>
    <w:pPr>
      <w:tabs>
        <w:tab w:val="center" w:pos="4320"/>
        <w:tab w:val="right" w:pos="8640"/>
      </w:tabs>
    </w:pPr>
    <w:rPr>
      <w:lang w:val="x-none" w:eastAsia="x-none"/>
    </w:rPr>
  </w:style>
  <w:style w:type="paragraph" w:styleId="BodyTextIndent">
    <w:name w:val="Body Text Indent"/>
    <w:basedOn w:val="Normal"/>
    <w:rsid w:val="001A5801"/>
    <w:pPr>
      <w:ind w:left="1440" w:hanging="1440"/>
    </w:pPr>
    <w:rPr>
      <w:rFonts w:ascii="Arial" w:hAnsi="Arial" w:cs="Arial"/>
      <w:b/>
      <w:bCs/>
      <w:sz w:val="20"/>
      <w:szCs w:val="20"/>
    </w:rPr>
  </w:style>
  <w:style w:type="paragraph" w:styleId="BodyText2">
    <w:name w:val="Body Text 2"/>
    <w:basedOn w:val="Normal"/>
    <w:rsid w:val="001A5801"/>
    <w:pPr>
      <w:jc w:val="both"/>
    </w:pPr>
    <w:rPr>
      <w:rFonts w:ascii="Arial" w:hAnsi="Arial" w:cs="Arial"/>
      <w:sz w:val="20"/>
      <w:szCs w:val="20"/>
    </w:rPr>
  </w:style>
  <w:style w:type="paragraph" w:styleId="BalloonText">
    <w:name w:val="Balloon Text"/>
    <w:basedOn w:val="Normal"/>
    <w:semiHidden/>
    <w:rsid w:val="001A5801"/>
    <w:rPr>
      <w:rFonts w:ascii="Tahoma" w:hAnsi="Tahoma" w:cs="Tahoma"/>
      <w:sz w:val="16"/>
      <w:szCs w:val="16"/>
    </w:rPr>
  </w:style>
  <w:style w:type="paragraph" w:styleId="DocumentMap">
    <w:name w:val="Document Map"/>
    <w:basedOn w:val="Normal"/>
    <w:semiHidden/>
    <w:rsid w:val="001A5801"/>
    <w:pPr>
      <w:shd w:val="clear" w:color="auto" w:fill="000080"/>
    </w:pPr>
    <w:rPr>
      <w:rFonts w:ascii="Tahoma" w:hAnsi="Tahoma" w:cs="Tahoma"/>
      <w:sz w:val="20"/>
      <w:szCs w:val="20"/>
    </w:rPr>
  </w:style>
  <w:style w:type="paragraph" w:styleId="PlainText">
    <w:name w:val="Plain Text"/>
    <w:basedOn w:val="Normal"/>
    <w:link w:val="PlainTextChar"/>
    <w:uiPriority w:val="99"/>
    <w:rsid w:val="00CC6E5F"/>
    <w:pPr>
      <w:spacing w:before="100" w:beforeAutospacing="1" w:after="100" w:afterAutospacing="1"/>
    </w:pPr>
    <w:rPr>
      <w:lang w:val="x-none" w:eastAsia="x-none"/>
    </w:rPr>
  </w:style>
  <w:style w:type="paragraph" w:styleId="NormalWeb">
    <w:name w:val="Normal (Web)"/>
    <w:basedOn w:val="Normal"/>
    <w:uiPriority w:val="99"/>
    <w:rsid w:val="001854AB"/>
    <w:pPr>
      <w:spacing w:before="100" w:beforeAutospacing="1" w:after="100" w:afterAutospacing="1"/>
    </w:pPr>
  </w:style>
  <w:style w:type="paragraph" w:styleId="ListParagraph">
    <w:name w:val="List Paragraph"/>
    <w:basedOn w:val="Normal"/>
    <w:uiPriority w:val="34"/>
    <w:qFormat/>
    <w:rsid w:val="00396D76"/>
    <w:pPr>
      <w:ind w:left="720"/>
      <w:contextualSpacing/>
    </w:pPr>
  </w:style>
  <w:style w:type="character" w:customStyle="1" w:styleId="PlainTextChar">
    <w:name w:val="Plain Text Char"/>
    <w:link w:val="PlainText"/>
    <w:uiPriority w:val="99"/>
    <w:rsid w:val="003879DF"/>
    <w:rPr>
      <w:sz w:val="24"/>
      <w:szCs w:val="24"/>
    </w:rPr>
  </w:style>
  <w:style w:type="character" w:styleId="CommentReference">
    <w:name w:val="annotation reference"/>
    <w:rsid w:val="00B36B8A"/>
    <w:rPr>
      <w:sz w:val="16"/>
      <w:szCs w:val="16"/>
    </w:rPr>
  </w:style>
  <w:style w:type="paragraph" w:styleId="CommentText">
    <w:name w:val="annotation text"/>
    <w:basedOn w:val="Normal"/>
    <w:link w:val="CommentTextChar"/>
    <w:rsid w:val="00B36B8A"/>
    <w:rPr>
      <w:sz w:val="20"/>
      <w:szCs w:val="20"/>
    </w:rPr>
  </w:style>
  <w:style w:type="character" w:customStyle="1" w:styleId="CommentTextChar">
    <w:name w:val="Comment Text Char"/>
    <w:basedOn w:val="DefaultParagraphFont"/>
    <w:link w:val="CommentText"/>
    <w:rsid w:val="00B36B8A"/>
  </w:style>
  <w:style w:type="paragraph" w:styleId="CommentSubject">
    <w:name w:val="annotation subject"/>
    <w:basedOn w:val="CommentText"/>
    <w:next w:val="CommentText"/>
    <w:link w:val="CommentSubjectChar"/>
    <w:rsid w:val="00B36B8A"/>
    <w:rPr>
      <w:b/>
      <w:bCs/>
      <w:lang w:val="x-none" w:eastAsia="x-none"/>
    </w:rPr>
  </w:style>
  <w:style w:type="character" w:customStyle="1" w:styleId="CommentSubjectChar">
    <w:name w:val="Comment Subject Char"/>
    <w:link w:val="CommentSubject"/>
    <w:rsid w:val="00B36B8A"/>
    <w:rPr>
      <w:b/>
      <w:bCs/>
    </w:rPr>
  </w:style>
  <w:style w:type="paragraph" w:styleId="FootnoteText">
    <w:name w:val="footnote text"/>
    <w:aliases w:val="Footnote Text Char,Footnote,12pt"/>
    <w:basedOn w:val="Normal"/>
    <w:link w:val="FootnoteTextChar1"/>
    <w:rsid w:val="00967129"/>
    <w:rPr>
      <w:sz w:val="20"/>
      <w:szCs w:val="20"/>
    </w:rPr>
  </w:style>
  <w:style w:type="character" w:customStyle="1" w:styleId="FootnoteTextChar1">
    <w:name w:val="Footnote Text Char1"/>
    <w:aliases w:val="Footnote Text Char Char,Footnote Char,12pt Char"/>
    <w:basedOn w:val="DefaultParagraphFont"/>
    <w:link w:val="FootnoteText"/>
    <w:rsid w:val="00967129"/>
  </w:style>
  <w:style w:type="character" w:styleId="FootnoteReference">
    <w:name w:val="footnote reference"/>
    <w:rsid w:val="00967129"/>
    <w:rPr>
      <w:vertAlign w:val="superscript"/>
    </w:rPr>
  </w:style>
  <w:style w:type="character" w:styleId="Strong">
    <w:name w:val="Strong"/>
    <w:uiPriority w:val="22"/>
    <w:qFormat/>
    <w:rsid w:val="00092501"/>
    <w:rPr>
      <w:b/>
      <w:bCs/>
    </w:rPr>
  </w:style>
  <w:style w:type="table" w:styleId="TableGrid">
    <w:name w:val="Table Grid"/>
    <w:basedOn w:val="TableNormal"/>
    <w:rsid w:val="00F33E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1">
    <w:name w:val="Footer Char1"/>
    <w:link w:val="Footer"/>
    <w:uiPriority w:val="99"/>
    <w:rsid w:val="00843477"/>
    <w:rPr>
      <w:sz w:val="24"/>
      <w:szCs w:val="24"/>
    </w:rPr>
  </w:style>
  <w:style w:type="paragraph" w:customStyle="1" w:styleId="NormalArial">
    <w:name w:val="Normal + Arial"/>
    <w:aliases w:val="Right:  -2.64 cm"/>
    <w:basedOn w:val="Normal"/>
    <w:uiPriority w:val="99"/>
    <w:rsid w:val="00312685"/>
    <w:pPr>
      <w:overflowPunct w:val="0"/>
      <w:autoSpaceDE w:val="0"/>
      <w:autoSpaceDN w:val="0"/>
      <w:adjustRightInd w:val="0"/>
      <w:ind w:right="-1497"/>
      <w:jc w:val="both"/>
      <w:textAlignment w:val="baseline"/>
    </w:pPr>
    <w:rPr>
      <w:rFonts w:ascii="Arial" w:hAnsi="Arial" w:cs="Arial"/>
      <w:sz w:val="20"/>
    </w:rPr>
  </w:style>
  <w:style w:type="paragraph" w:styleId="TOCHeading">
    <w:name w:val="TOC Heading"/>
    <w:basedOn w:val="Heading1"/>
    <w:next w:val="Normal"/>
    <w:uiPriority w:val="99"/>
    <w:qFormat/>
    <w:rsid w:val="00312685"/>
    <w:pPr>
      <w:keepLines/>
      <w:spacing w:before="480" w:line="276" w:lineRule="auto"/>
      <w:jc w:val="left"/>
      <w:outlineLvl w:val="9"/>
    </w:pPr>
    <w:rPr>
      <w:rFonts w:ascii="Cambria" w:hAnsi="Cambria"/>
      <w:color w:val="365F91"/>
      <w:sz w:val="28"/>
      <w:szCs w:val="28"/>
    </w:rPr>
  </w:style>
  <w:style w:type="paragraph" w:styleId="TOC2">
    <w:name w:val="toc 2"/>
    <w:basedOn w:val="Normal"/>
    <w:next w:val="Normal"/>
    <w:autoRedefine/>
    <w:uiPriority w:val="39"/>
    <w:rsid w:val="00312685"/>
    <w:pPr>
      <w:spacing w:before="240"/>
    </w:pPr>
    <w:rPr>
      <w:b/>
      <w:bCs/>
      <w:sz w:val="20"/>
      <w:szCs w:val="20"/>
    </w:rPr>
  </w:style>
  <w:style w:type="character" w:customStyle="1" w:styleId="Heading1Char">
    <w:name w:val="Heading 1 Char"/>
    <w:link w:val="Heading1"/>
    <w:rsid w:val="00DE7117"/>
    <w:rPr>
      <w:b/>
      <w:bCs/>
      <w:caps/>
      <w:sz w:val="24"/>
      <w:szCs w:val="24"/>
      <w:lang w:val="en-US" w:eastAsia="en-US"/>
    </w:rPr>
  </w:style>
  <w:style w:type="character" w:customStyle="1" w:styleId="Heading2Char">
    <w:name w:val="Heading 2 Char"/>
    <w:link w:val="Heading2"/>
    <w:rsid w:val="00F755E7"/>
    <w:rPr>
      <w:b/>
      <w:bCs/>
      <w:sz w:val="26"/>
      <w:szCs w:val="24"/>
    </w:rPr>
  </w:style>
  <w:style w:type="paragraph" w:styleId="TOC1">
    <w:name w:val="toc 1"/>
    <w:basedOn w:val="Normal"/>
    <w:next w:val="Normal"/>
    <w:autoRedefine/>
    <w:uiPriority w:val="39"/>
    <w:rsid w:val="00A04D97"/>
    <w:pPr>
      <w:tabs>
        <w:tab w:val="left" w:pos="480"/>
        <w:tab w:val="right" w:pos="9360"/>
      </w:tabs>
      <w:spacing w:before="360"/>
    </w:pPr>
    <w:rPr>
      <w:b/>
      <w:bCs/>
      <w:caps/>
      <w:noProof/>
    </w:rPr>
  </w:style>
  <w:style w:type="paragraph" w:styleId="EndnoteText">
    <w:name w:val="endnote text"/>
    <w:basedOn w:val="Normal"/>
    <w:link w:val="EndnoteTextChar"/>
    <w:uiPriority w:val="99"/>
    <w:semiHidden/>
    <w:unhideWhenUsed/>
    <w:rsid w:val="00090D90"/>
    <w:rPr>
      <w:sz w:val="20"/>
      <w:szCs w:val="20"/>
    </w:rPr>
  </w:style>
  <w:style w:type="character" w:customStyle="1" w:styleId="EndnoteTextChar">
    <w:name w:val="Endnote Text Char"/>
    <w:basedOn w:val="DefaultParagraphFont"/>
    <w:link w:val="EndnoteText"/>
    <w:uiPriority w:val="99"/>
    <w:semiHidden/>
    <w:rsid w:val="00090D90"/>
  </w:style>
  <w:style w:type="character" w:styleId="EndnoteReference">
    <w:name w:val="endnote reference"/>
    <w:uiPriority w:val="99"/>
    <w:semiHidden/>
    <w:unhideWhenUsed/>
    <w:rsid w:val="00090D90"/>
    <w:rPr>
      <w:vertAlign w:val="superscript"/>
    </w:rPr>
  </w:style>
  <w:style w:type="character" w:styleId="FollowedHyperlink">
    <w:name w:val="FollowedHyperlink"/>
    <w:uiPriority w:val="99"/>
    <w:semiHidden/>
    <w:unhideWhenUsed/>
    <w:rsid w:val="00976E29"/>
    <w:rPr>
      <w:color w:val="800080"/>
      <w:u w:val="single"/>
    </w:rPr>
  </w:style>
  <w:style w:type="paragraph" w:customStyle="1" w:styleId="H1">
    <w:name w:val="H1"/>
    <w:rsid w:val="000134CC"/>
    <w:pPr>
      <w:spacing w:before="60" w:after="60"/>
    </w:pPr>
    <w:rPr>
      <w:rFonts w:cs="Arial"/>
      <w:b/>
      <w:bCs/>
      <w:snapToGrid w:val="0"/>
      <w:kern w:val="32"/>
      <w:sz w:val="24"/>
      <w:szCs w:val="32"/>
      <w:lang w:val="en-GB" w:eastAsia="en-US"/>
    </w:rPr>
  </w:style>
  <w:style w:type="paragraph" w:customStyle="1" w:styleId="H2">
    <w:name w:val="H2"/>
    <w:rsid w:val="000134CC"/>
    <w:rPr>
      <w:rFonts w:cs="Arial"/>
      <w:b/>
      <w:bCs/>
      <w:iCs/>
      <w:snapToGrid w:val="0"/>
      <w:sz w:val="22"/>
      <w:szCs w:val="28"/>
      <w:lang w:val="en-GB" w:eastAsia="en-US"/>
    </w:rPr>
  </w:style>
  <w:style w:type="paragraph" w:customStyle="1" w:styleId="LOA">
    <w:name w:val="LOA"/>
    <w:basedOn w:val="Normal"/>
    <w:rsid w:val="007F2A41"/>
    <w:pPr>
      <w:widowControl w:val="0"/>
      <w:spacing w:before="120" w:after="120"/>
      <w:jc w:val="both"/>
    </w:pPr>
    <w:rPr>
      <w:rFonts w:ascii="Garamond" w:eastAsia="MS Mincho" w:hAnsi="Garamond" w:cs="Garamond"/>
      <w:sz w:val="22"/>
      <w:szCs w:val="22"/>
      <w:lang w:val="en-GB"/>
    </w:rPr>
  </w:style>
  <w:style w:type="paragraph" w:customStyle="1" w:styleId="Default">
    <w:name w:val="Default"/>
    <w:rsid w:val="007F2A41"/>
    <w:pPr>
      <w:widowControl w:val="0"/>
      <w:autoSpaceDE w:val="0"/>
      <w:autoSpaceDN w:val="0"/>
      <w:adjustRightInd w:val="0"/>
    </w:pPr>
    <w:rPr>
      <w:rFonts w:ascii="Arial" w:eastAsia="MS Mincho" w:hAnsi="Arial" w:cs="Arial"/>
      <w:color w:val="000000"/>
      <w:sz w:val="24"/>
      <w:szCs w:val="24"/>
      <w:lang w:val="en-US" w:eastAsia="en-US"/>
    </w:rPr>
  </w:style>
  <w:style w:type="paragraph" w:customStyle="1" w:styleId="CM6">
    <w:name w:val="CM6"/>
    <w:basedOn w:val="Default"/>
    <w:next w:val="Default"/>
    <w:rsid w:val="007F2A41"/>
    <w:pPr>
      <w:spacing w:line="476" w:lineRule="atLeast"/>
    </w:pPr>
    <w:rPr>
      <w:color w:val="auto"/>
    </w:rPr>
  </w:style>
  <w:style w:type="paragraph" w:customStyle="1" w:styleId="Default1">
    <w:name w:val="Default1"/>
    <w:basedOn w:val="Default"/>
    <w:next w:val="Default"/>
    <w:rsid w:val="00BA72A6"/>
    <w:pPr>
      <w:widowControl/>
    </w:pPr>
    <w:rPr>
      <w:rFonts w:ascii="Garamond" w:eastAsia="Times New Roman" w:hAnsi="Garamond" w:cs="Times New Roman"/>
      <w:color w:val="auto"/>
    </w:rPr>
  </w:style>
  <w:style w:type="paragraph" w:customStyle="1" w:styleId="ListNumber1">
    <w:name w:val="List Number 1"/>
    <w:basedOn w:val="Default"/>
    <w:next w:val="Default"/>
    <w:rsid w:val="007807DB"/>
    <w:pPr>
      <w:widowControl/>
    </w:pPr>
    <w:rPr>
      <w:rFonts w:ascii="Calibri" w:eastAsia="Times New Roman" w:hAnsi="Calibri" w:cs="Times New Roman"/>
      <w:color w:val="auto"/>
    </w:rPr>
  </w:style>
  <w:style w:type="paragraph" w:customStyle="1" w:styleId="Paragrafoelenco1">
    <w:name w:val="Paragrafo elenco1"/>
    <w:basedOn w:val="Normal"/>
    <w:rsid w:val="00DF7DB6"/>
    <w:pPr>
      <w:spacing w:before="120" w:after="120"/>
      <w:ind w:left="720"/>
      <w:jc w:val="both"/>
    </w:pPr>
    <w:rPr>
      <w:rFonts w:ascii="Bell MT" w:hAnsi="Bell MT"/>
      <w:sz w:val="22"/>
      <w:szCs w:val="20"/>
    </w:rPr>
  </w:style>
  <w:style w:type="paragraph" w:customStyle="1" w:styleId="Bulletlevel1">
    <w:name w:val="Bullet level 1"/>
    <w:basedOn w:val="Normal"/>
    <w:rsid w:val="00DC1B47"/>
    <w:pPr>
      <w:numPr>
        <w:numId w:val="26"/>
      </w:numPr>
    </w:pPr>
    <w:rPr>
      <w:rFonts w:ascii="Cambria" w:hAnsi="Cambria"/>
      <w:sz w:val="23"/>
    </w:rPr>
  </w:style>
  <w:style w:type="paragraph" w:styleId="BodyText3">
    <w:name w:val="Body Text 3"/>
    <w:basedOn w:val="Normal"/>
    <w:rsid w:val="00421CE3"/>
    <w:pPr>
      <w:spacing w:after="120"/>
    </w:pPr>
    <w:rPr>
      <w:sz w:val="16"/>
      <w:szCs w:val="16"/>
    </w:rPr>
  </w:style>
  <w:style w:type="character" w:customStyle="1" w:styleId="HeaderChar">
    <w:name w:val="Header Char"/>
    <w:link w:val="Header"/>
    <w:locked/>
    <w:rsid w:val="00421CE3"/>
    <w:rPr>
      <w:sz w:val="24"/>
      <w:szCs w:val="24"/>
      <w:lang w:val="en-US" w:eastAsia="en-US" w:bidi="ar-SA"/>
    </w:rPr>
  </w:style>
  <w:style w:type="character" w:customStyle="1" w:styleId="FooterChar">
    <w:name w:val="Footer Char"/>
    <w:locked/>
    <w:rsid w:val="00421CE3"/>
    <w:rPr>
      <w:rFonts w:ascii="Cambria" w:hAnsi="Cambria" w:cs="Times New Roman"/>
      <w:sz w:val="24"/>
      <w:szCs w:val="24"/>
      <w:lang w:val="en-US" w:eastAsia="en-US"/>
    </w:rPr>
  </w:style>
  <w:style w:type="paragraph" w:customStyle="1" w:styleId="TableText">
    <w:name w:val="Table Text"/>
    <w:basedOn w:val="Normal"/>
    <w:rsid w:val="00421CE3"/>
    <w:pPr>
      <w:spacing w:before="20"/>
    </w:pPr>
    <w:rPr>
      <w:rFonts w:ascii="Garamond" w:eastAsia="MS Mincho" w:hAnsi="Garamond" w:cs="Garamond"/>
      <w:sz w:val="20"/>
      <w:szCs w:val="20"/>
      <w:lang w:val="en-GB"/>
    </w:rPr>
  </w:style>
  <w:style w:type="paragraph" w:styleId="TOC3">
    <w:name w:val="toc 3"/>
    <w:basedOn w:val="Normal"/>
    <w:next w:val="Normal"/>
    <w:autoRedefine/>
    <w:semiHidden/>
    <w:rsid w:val="001E1766"/>
    <w:pPr>
      <w:ind w:left="240"/>
    </w:pPr>
    <w:rPr>
      <w:sz w:val="20"/>
      <w:szCs w:val="20"/>
    </w:rPr>
  </w:style>
  <w:style w:type="paragraph" w:styleId="TOC4">
    <w:name w:val="toc 4"/>
    <w:basedOn w:val="Normal"/>
    <w:next w:val="Normal"/>
    <w:autoRedefine/>
    <w:semiHidden/>
    <w:rsid w:val="001E1766"/>
    <w:pPr>
      <w:ind w:left="480"/>
    </w:pPr>
    <w:rPr>
      <w:sz w:val="20"/>
      <w:szCs w:val="20"/>
    </w:rPr>
  </w:style>
  <w:style w:type="paragraph" w:styleId="TOC5">
    <w:name w:val="toc 5"/>
    <w:basedOn w:val="Normal"/>
    <w:next w:val="Normal"/>
    <w:autoRedefine/>
    <w:semiHidden/>
    <w:rsid w:val="001E1766"/>
    <w:pPr>
      <w:ind w:left="720"/>
    </w:pPr>
    <w:rPr>
      <w:sz w:val="20"/>
      <w:szCs w:val="20"/>
    </w:rPr>
  </w:style>
  <w:style w:type="paragraph" w:styleId="TOC6">
    <w:name w:val="toc 6"/>
    <w:basedOn w:val="Normal"/>
    <w:next w:val="Normal"/>
    <w:autoRedefine/>
    <w:semiHidden/>
    <w:rsid w:val="001E1766"/>
    <w:pPr>
      <w:ind w:left="960"/>
    </w:pPr>
    <w:rPr>
      <w:sz w:val="20"/>
      <w:szCs w:val="20"/>
    </w:rPr>
  </w:style>
  <w:style w:type="paragraph" w:styleId="TOC7">
    <w:name w:val="toc 7"/>
    <w:basedOn w:val="Normal"/>
    <w:next w:val="Normal"/>
    <w:autoRedefine/>
    <w:semiHidden/>
    <w:rsid w:val="001E1766"/>
    <w:pPr>
      <w:ind w:left="1200"/>
    </w:pPr>
    <w:rPr>
      <w:sz w:val="20"/>
      <w:szCs w:val="20"/>
    </w:rPr>
  </w:style>
  <w:style w:type="paragraph" w:styleId="TOC8">
    <w:name w:val="toc 8"/>
    <w:basedOn w:val="Normal"/>
    <w:next w:val="Normal"/>
    <w:autoRedefine/>
    <w:semiHidden/>
    <w:rsid w:val="001E1766"/>
    <w:pPr>
      <w:ind w:left="1440"/>
    </w:pPr>
    <w:rPr>
      <w:sz w:val="20"/>
      <w:szCs w:val="20"/>
    </w:rPr>
  </w:style>
  <w:style w:type="paragraph" w:styleId="TOC9">
    <w:name w:val="toc 9"/>
    <w:basedOn w:val="Normal"/>
    <w:next w:val="Normal"/>
    <w:autoRedefine/>
    <w:semiHidden/>
    <w:rsid w:val="001E1766"/>
    <w:pPr>
      <w:ind w:left="1680"/>
    </w:pPr>
    <w:rPr>
      <w:sz w:val="20"/>
      <w:szCs w:val="20"/>
    </w:rPr>
  </w:style>
  <w:style w:type="paragraph" w:customStyle="1" w:styleId="Clea">
    <w:name w:val="Clea"/>
    <w:basedOn w:val="Heading1"/>
    <w:rsid w:val="0031582B"/>
    <w:rPr>
      <w:rFonts w:cs="Calibri"/>
      <w:b w:val="0"/>
      <w:bCs w:val="0"/>
      <w:color w:val="000000"/>
      <w:sz w:val="22"/>
      <w:szCs w:val="22"/>
    </w:rPr>
  </w:style>
  <w:style w:type="character" w:styleId="PageNumber">
    <w:name w:val="page number"/>
    <w:basedOn w:val="DefaultParagraphFont"/>
    <w:rsid w:val="00AF4D0C"/>
  </w:style>
  <w:style w:type="paragraph" w:styleId="Title">
    <w:name w:val="Title"/>
    <w:basedOn w:val="Normal"/>
    <w:next w:val="Normal"/>
    <w:link w:val="TitleChar"/>
    <w:uiPriority w:val="10"/>
    <w:qFormat/>
    <w:rsid w:val="00DE7117"/>
    <w:pPr>
      <w:tabs>
        <w:tab w:val="left" w:pos="3360"/>
      </w:tabs>
      <w:spacing w:line="400" w:lineRule="exact"/>
      <w:jc w:val="right"/>
    </w:pPr>
    <w:rPr>
      <w:b/>
      <w:bCs/>
      <w:sz w:val="44"/>
      <w:szCs w:val="44"/>
      <w:lang w:eastAsia="ja-JP"/>
    </w:rPr>
  </w:style>
  <w:style w:type="character" w:customStyle="1" w:styleId="TitleChar">
    <w:name w:val="Title Char"/>
    <w:basedOn w:val="DefaultParagraphFont"/>
    <w:link w:val="Title"/>
    <w:uiPriority w:val="10"/>
    <w:rsid w:val="00DE7117"/>
    <w:rPr>
      <w:b/>
      <w:bCs/>
      <w:sz w:val="44"/>
      <w:szCs w:val="44"/>
      <w:lang w:val="en-US" w:eastAsia="ja-JP"/>
    </w:rPr>
  </w:style>
  <w:style w:type="paragraph" w:styleId="Subtitle">
    <w:name w:val="Subtitle"/>
    <w:basedOn w:val="Normal"/>
    <w:next w:val="Normal"/>
    <w:link w:val="SubtitleChar"/>
    <w:uiPriority w:val="11"/>
    <w:qFormat/>
    <w:rsid w:val="00DE7117"/>
    <w:pPr>
      <w:spacing w:line="400" w:lineRule="exact"/>
      <w:jc w:val="right"/>
    </w:pPr>
    <w:rPr>
      <w:b/>
      <w:sz w:val="32"/>
      <w:szCs w:val="32"/>
    </w:rPr>
  </w:style>
  <w:style w:type="character" w:customStyle="1" w:styleId="SubtitleChar">
    <w:name w:val="Subtitle Char"/>
    <w:basedOn w:val="DefaultParagraphFont"/>
    <w:link w:val="Subtitle"/>
    <w:uiPriority w:val="11"/>
    <w:rsid w:val="00DE7117"/>
    <w:rPr>
      <w:b/>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666">
      <w:bodyDiv w:val="1"/>
      <w:marLeft w:val="0"/>
      <w:marRight w:val="0"/>
      <w:marTop w:val="0"/>
      <w:marBottom w:val="0"/>
      <w:divBdr>
        <w:top w:val="none" w:sz="0" w:space="0" w:color="auto"/>
        <w:left w:val="none" w:sz="0" w:space="0" w:color="auto"/>
        <w:bottom w:val="none" w:sz="0" w:space="0" w:color="auto"/>
        <w:right w:val="none" w:sz="0" w:space="0" w:color="auto"/>
      </w:divBdr>
    </w:div>
    <w:div w:id="70586840">
      <w:bodyDiv w:val="1"/>
      <w:marLeft w:val="0"/>
      <w:marRight w:val="0"/>
      <w:marTop w:val="0"/>
      <w:marBottom w:val="0"/>
      <w:divBdr>
        <w:top w:val="none" w:sz="0" w:space="0" w:color="auto"/>
        <w:left w:val="none" w:sz="0" w:space="0" w:color="auto"/>
        <w:bottom w:val="none" w:sz="0" w:space="0" w:color="auto"/>
        <w:right w:val="none" w:sz="0" w:space="0" w:color="auto"/>
      </w:divBdr>
    </w:div>
    <w:div w:id="103501814">
      <w:bodyDiv w:val="1"/>
      <w:marLeft w:val="0"/>
      <w:marRight w:val="0"/>
      <w:marTop w:val="0"/>
      <w:marBottom w:val="0"/>
      <w:divBdr>
        <w:top w:val="none" w:sz="0" w:space="0" w:color="auto"/>
        <w:left w:val="none" w:sz="0" w:space="0" w:color="auto"/>
        <w:bottom w:val="none" w:sz="0" w:space="0" w:color="auto"/>
        <w:right w:val="none" w:sz="0" w:space="0" w:color="auto"/>
      </w:divBdr>
    </w:div>
    <w:div w:id="205215507">
      <w:bodyDiv w:val="1"/>
      <w:marLeft w:val="0"/>
      <w:marRight w:val="0"/>
      <w:marTop w:val="0"/>
      <w:marBottom w:val="0"/>
      <w:divBdr>
        <w:top w:val="none" w:sz="0" w:space="0" w:color="auto"/>
        <w:left w:val="none" w:sz="0" w:space="0" w:color="auto"/>
        <w:bottom w:val="none" w:sz="0" w:space="0" w:color="auto"/>
        <w:right w:val="none" w:sz="0" w:space="0" w:color="auto"/>
      </w:divBdr>
    </w:div>
    <w:div w:id="304161994">
      <w:bodyDiv w:val="1"/>
      <w:marLeft w:val="0"/>
      <w:marRight w:val="0"/>
      <w:marTop w:val="0"/>
      <w:marBottom w:val="0"/>
      <w:divBdr>
        <w:top w:val="none" w:sz="0" w:space="0" w:color="auto"/>
        <w:left w:val="none" w:sz="0" w:space="0" w:color="auto"/>
        <w:bottom w:val="none" w:sz="0" w:space="0" w:color="auto"/>
        <w:right w:val="none" w:sz="0" w:space="0" w:color="auto"/>
      </w:divBdr>
    </w:div>
    <w:div w:id="363099638">
      <w:bodyDiv w:val="1"/>
      <w:marLeft w:val="0"/>
      <w:marRight w:val="0"/>
      <w:marTop w:val="0"/>
      <w:marBottom w:val="0"/>
      <w:divBdr>
        <w:top w:val="none" w:sz="0" w:space="0" w:color="auto"/>
        <w:left w:val="none" w:sz="0" w:space="0" w:color="auto"/>
        <w:bottom w:val="none" w:sz="0" w:space="0" w:color="auto"/>
        <w:right w:val="none" w:sz="0" w:space="0" w:color="auto"/>
      </w:divBdr>
    </w:div>
    <w:div w:id="410277288">
      <w:bodyDiv w:val="1"/>
      <w:marLeft w:val="0"/>
      <w:marRight w:val="0"/>
      <w:marTop w:val="0"/>
      <w:marBottom w:val="0"/>
      <w:divBdr>
        <w:top w:val="none" w:sz="0" w:space="0" w:color="auto"/>
        <w:left w:val="none" w:sz="0" w:space="0" w:color="auto"/>
        <w:bottom w:val="none" w:sz="0" w:space="0" w:color="auto"/>
        <w:right w:val="none" w:sz="0" w:space="0" w:color="auto"/>
      </w:divBdr>
    </w:div>
    <w:div w:id="656150508">
      <w:bodyDiv w:val="1"/>
      <w:marLeft w:val="0"/>
      <w:marRight w:val="0"/>
      <w:marTop w:val="0"/>
      <w:marBottom w:val="0"/>
      <w:divBdr>
        <w:top w:val="none" w:sz="0" w:space="0" w:color="auto"/>
        <w:left w:val="none" w:sz="0" w:space="0" w:color="auto"/>
        <w:bottom w:val="none" w:sz="0" w:space="0" w:color="auto"/>
        <w:right w:val="none" w:sz="0" w:space="0" w:color="auto"/>
      </w:divBdr>
      <w:divsChild>
        <w:div w:id="633608501">
          <w:marLeft w:val="0"/>
          <w:marRight w:val="0"/>
          <w:marTop w:val="0"/>
          <w:marBottom w:val="0"/>
          <w:divBdr>
            <w:top w:val="none" w:sz="0" w:space="0" w:color="auto"/>
            <w:left w:val="none" w:sz="0" w:space="0" w:color="auto"/>
            <w:bottom w:val="none" w:sz="0" w:space="0" w:color="auto"/>
            <w:right w:val="none" w:sz="0" w:space="0" w:color="auto"/>
          </w:divBdr>
        </w:div>
      </w:divsChild>
    </w:div>
    <w:div w:id="766775280">
      <w:bodyDiv w:val="1"/>
      <w:marLeft w:val="0"/>
      <w:marRight w:val="0"/>
      <w:marTop w:val="0"/>
      <w:marBottom w:val="0"/>
      <w:divBdr>
        <w:top w:val="none" w:sz="0" w:space="0" w:color="auto"/>
        <w:left w:val="none" w:sz="0" w:space="0" w:color="auto"/>
        <w:bottom w:val="none" w:sz="0" w:space="0" w:color="auto"/>
        <w:right w:val="none" w:sz="0" w:space="0" w:color="auto"/>
      </w:divBdr>
    </w:div>
    <w:div w:id="818885914">
      <w:bodyDiv w:val="1"/>
      <w:marLeft w:val="0"/>
      <w:marRight w:val="0"/>
      <w:marTop w:val="0"/>
      <w:marBottom w:val="0"/>
      <w:divBdr>
        <w:top w:val="none" w:sz="0" w:space="0" w:color="auto"/>
        <w:left w:val="none" w:sz="0" w:space="0" w:color="auto"/>
        <w:bottom w:val="none" w:sz="0" w:space="0" w:color="auto"/>
        <w:right w:val="none" w:sz="0" w:space="0" w:color="auto"/>
      </w:divBdr>
    </w:div>
    <w:div w:id="855265461">
      <w:bodyDiv w:val="1"/>
      <w:marLeft w:val="0"/>
      <w:marRight w:val="0"/>
      <w:marTop w:val="0"/>
      <w:marBottom w:val="0"/>
      <w:divBdr>
        <w:top w:val="none" w:sz="0" w:space="0" w:color="auto"/>
        <w:left w:val="none" w:sz="0" w:space="0" w:color="auto"/>
        <w:bottom w:val="none" w:sz="0" w:space="0" w:color="auto"/>
        <w:right w:val="none" w:sz="0" w:space="0" w:color="auto"/>
      </w:divBdr>
    </w:div>
    <w:div w:id="884022661">
      <w:bodyDiv w:val="1"/>
      <w:marLeft w:val="0"/>
      <w:marRight w:val="0"/>
      <w:marTop w:val="0"/>
      <w:marBottom w:val="0"/>
      <w:divBdr>
        <w:top w:val="none" w:sz="0" w:space="0" w:color="auto"/>
        <w:left w:val="none" w:sz="0" w:space="0" w:color="auto"/>
        <w:bottom w:val="none" w:sz="0" w:space="0" w:color="auto"/>
        <w:right w:val="none" w:sz="0" w:space="0" w:color="auto"/>
      </w:divBdr>
      <w:divsChild>
        <w:div w:id="782573281">
          <w:marLeft w:val="0"/>
          <w:marRight w:val="0"/>
          <w:marTop w:val="0"/>
          <w:marBottom w:val="0"/>
          <w:divBdr>
            <w:top w:val="none" w:sz="0" w:space="0" w:color="auto"/>
            <w:left w:val="none" w:sz="0" w:space="0" w:color="auto"/>
            <w:bottom w:val="none" w:sz="0" w:space="0" w:color="auto"/>
            <w:right w:val="none" w:sz="0" w:space="0" w:color="auto"/>
          </w:divBdr>
        </w:div>
      </w:divsChild>
    </w:div>
    <w:div w:id="1045982073">
      <w:bodyDiv w:val="1"/>
      <w:marLeft w:val="0"/>
      <w:marRight w:val="0"/>
      <w:marTop w:val="0"/>
      <w:marBottom w:val="0"/>
      <w:divBdr>
        <w:top w:val="none" w:sz="0" w:space="0" w:color="auto"/>
        <w:left w:val="none" w:sz="0" w:space="0" w:color="auto"/>
        <w:bottom w:val="none" w:sz="0" w:space="0" w:color="auto"/>
        <w:right w:val="none" w:sz="0" w:space="0" w:color="auto"/>
      </w:divBdr>
    </w:div>
    <w:div w:id="1145708576">
      <w:bodyDiv w:val="1"/>
      <w:marLeft w:val="0"/>
      <w:marRight w:val="0"/>
      <w:marTop w:val="0"/>
      <w:marBottom w:val="0"/>
      <w:divBdr>
        <w:top w:val="none" w:sz="0" w:space="0" w:color="auto"/>
        <w:left w:val="none" w:sz="0" w:space="0" w:color="auto"/>
        <w:bottom w:val="none" w:sz="0" w:space="0" w:color="auto"/>
        <w:right w:val="none" w:sz="0" w:space="0" w:color="auto"/>
      </w:divBdr>
    </w:div>
    <w:div w:id="1291473889">
      <w:bodyDiv w:val="1"/>
      <w:marLeft w:val="0"/>
      <w:marRight w:val="0"/>
      <w:marTop w:val="0"/>
      <w:marBottom w:val="0"/>
      <w:divBdr>
        <w:top w:val="none" w:sz="0" w:space="0" w:color="auto"/>
        <w:left w:val="none" w:sz="0" w:space="0" w:color="auto"/>
        <w:bottom w:val="none" w:sz="0" w:space="0" w:color="auto"/>
        <w:right w:val="none" w:sz="0" w:space="0" w:color="auto"/>
      </w:divBdr>
      <w:divsChild>
        <w:div w:id="1693417213">
          <w:marLeft w:val="0"/>
          <w:marRight w:val="0"/>
          <w:marTop w:val="0"/>
          <w:marBottom w:val="360"/>
          <w:divBdr>
            <w:top w:val="none" w:sz="0" w:space="0" w:color="auto"/>
            <w:left w:val="none" w:sz="0" w:space="0" w:color="auto"/>
            <w:bottom w:val="none" w:sz="0" w:space="0" w:color="auto"/>
            <w:right w:val="none" w:sz="0" w:space="0" w:color="auto"/>
          </w:divBdr>
        </w:div>
      </w:divsChild>
    </w:div>
    <w:div w:id="1319840512">
      <w:bodyDiv w:val="1"/>
      <w:marLeft w:val="0"/>
      <w:marRight w:val="0"/>
      <w:marTop w:val="0"/>
      <w:marBottom w:val="0"/>
      <w:divBdr>
        <w:top w:val="none" w:sz="0" w:space="0" w:color="auto"/>
        <w:left w:val="none" w:sz="0" w:space="0" w:color="auto"/>
        <w:bottom w:val="none" w:sz="0" w:space="0" w:color="auto"/>
        <w:right w:val="none" w:sz="0" w:space="0" w:color="auto"/>
      </w:divBdr>
    </w:div>
    <w:div w:id="1334726386">
      <w:bodyDiv w:val="1"/>
      <w:marLeft w:val="0"/>
      <w:marRight w:val="0"/>
      <w:marTop w:val="0"/>
      <w:marBottom w:val="0"/>
      <w:divBdr>
        <w:top w:val="none" w:sz="0" w:space="0" w:color="auto"/>
        <w:left w:val="none" w:sz="0" w:space="0" w:color="auto"/>
        <w:bottom w:val="none" w:sz="0" w:space="0" w:color="auto"/>
        <w:right w:val="none" w:sz="0" w:space="0" w:color="auto"/>
      </w:divBdr>
    </w:div>
    <w:div w:id="1484930503">
      <w:bodyDiv w:val="1"/>
      <w:marLeft w:val="0"/>
      <w:marRight w:val="0"/>
      <w:marTop w:val="0"/>
      <w:marBottom w:val="0"/>
      <w:divBdr>
        <w:top w:val="none" w:sz="0" w:space="0" w:color="auto"/>
        <w:left w:val="none" w:sz="0" w:space="0" w:color="auto"/>
        <w:bottom w:val="none" w:sz="0" w:space="0" w:color="auto"/>
        <w:right w:val="none" w:sz="0" w:space="0" w:color="auto"/>
      </w:divBdr>
      <w:divsChild>
        <w:div w:id="1126585779">
          <w:marLeft w:val="0"/>
          <w:marRight w:val="0"/>
          <w:marTop w:val="0"/>
          <w:marBottom w:val="0"/>
          <w:divBdr>
            <w:top w:val="none" w:sz="0" w:space="0" w:color="auto"/>
            <w:left w:val="none" w:sz="0" w:space="0" w:color="auto"/>
            <w:bottom w:val="none" w:sz="0" w:space="0" w:color="auto"/>
            <w:right w:val="none" w:sz="0" w:space="0" w:color="auto"/>
          </w:divBdr>
          <w:divsChild>
            <w:div w:id="6095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9878">
      <w:bodyDiv w:val="1"/>
      <w:marLeft w:val="0"/>
      <w:marRight w:val="0"/>
      <w:marTop w:val="0"/>
      <w:marBottom w:val="0"/>
      <w:divBdr>
        <w:top w:val="none" w:sz="0" w:space="0" w:color="auto"/>
        <w:left w:val="none" w:sz="0" w:space="0" w:color="auto"/>
        <w:bottom w:val="none" w:sz="0" w:space="0" w:color="auto"/>
        <w:right w:val="none" w:sz="0" w:space="0" w:color="auto"/>
      </w:divBdr>
    </w:div>
    <w:div w:id="1608392018">
      <w:bodyDiv w:val="1"/>
      <w:marLeft w:val="0"/>
      <w:marRight w:val="0"/>
      <w:marTop w:val="0"/>
      <w:marBottom w:val="0"/>
      <w:divBdr>
        <w:top w:val="none" w:sz="0" w:space="0" w:color="auto"/>
        <w:left w:val="none" w:sz="0" w:space="0" w:color="auto"/>
        <w:bottom w:val="none" w:sz="0" w:space="0" w:color="auto"/>
        <w:right w:val="none" w:sz="0" w:space="0" w:color="auto"/>
      </w:divBdr>
      <w:divsChild>
        <w:div w:id="1654872997">
          <w:marLeft w:val="0"/>
          <w:marRight w:val="0"/>
          <w:marTop w:val="0"/>
          <w:marBottom w:val="360"/>
          <w:divBdr>
            <w:top w:val="none" w:sz="0" w:space="0" w:color="auto"/>
            <w:left w:val="none" w:sz="0" w:space="0" w:color="auto"/>
            <w:bottom w:val="none" w:sz="0" w:space="0" w:color="auto"/>
            <w:right w:val="none" w:sz="0" w:space="0" w:color="auto"/>
          </w:divBdr>
        </w:div>
      </w:divsChild>
    </w:div>
    <w:div w:id="1709640040">
      <w:bodyDiv w:val="1"/>
      <w:marLeft w:val="0"/>
      <w:marRight w:val="0"/>
      <w:marTop w:val="0"/>
      <w:marBottom w:val="0"/>
      <w:divBdr>
        <w:top w:val="none" w:sz="0" w:space="0" w:color="auto"/>
        <w:left w:val="none" w:sz="0" w:space="0" w:color="auto"/>
        <w:bottom w:val="none" w:sz="0" w:space="0" w:color="auto"/>
        <w:right w:val="none" w:sz="0" w:space="0" w:color="auto"/>
      </w:divBdr>
    </w:div>
    <w:div w:id="1751806115">
      <w:bodyDiv w:val="1"/>
      <w:marLeft w:val="0"/>
      <w:marRight w:val="0"/>
      <w:marTop w:val="0"/>
      <w:marBottom w:val="0"/>
      <w:divBdr>
        <w:top w:val="none" w:sz="0" w:space="0" w:color="auto"/>
        <w:left w:val="none" w:sz="0" w:space="0" w:color="auto"/>
        <w:bottom w:val="none" w:sz="0" w:space="0" w:color="auto"/>
        <w:right w:val="none" w:sz="0" w:space="0" w:color="auto"/>
      </w:divBdr>
    </w:div>
    <w:div w:id="1796019748">
      <w:bodyDiv w:val="1"/>
      <w:marLeft w:val="0"/>
      <w:marRight w:val="0"/>
      <w:marTop w:val="0"/>
      <w:marBottom w:val="0"/>
      <w:divBdr>
        <w:top w:val="none" w:sz="0" w:space="0" w:color="auto"/>
        <w:left w:val="none" w:sz="0" w:space="0" w:color="auto"/>
        <w:bottom w:val="none" w:sz="0" w:space="0" w:color="auto"/>
        <w:right w:val="none" w:sz="0" w:space="0" w:color="auto"/>
      </w:divBdr>
      <w:divsChild>
        <w:div w:id="1269388967">
          <w:marLeft w:val="0"/>
          <w:marRight w:val="0"/>
          <w:marTop w:val="0"/>
          <w:marBottom w:val="360"/>
          <w:divBdr>
            <w:top w:val="none" w:sz="0" w:space="0" w:color="auto"/>
            <w:left w:val="none" w:sz="0" w:space="0" w:color="auto"/>
            <w:bottom w:val="none" w:sz="0" w:space="0" w:color="auto"/>
            <w:right w:val="none" w:sz="0" w:space="0" w:color="auto"/>
          </w:divBdr>
        </w:div>
      </w:divsChild>
    </w:div>
    <w:div w:id="1798255927">
      <w:bodyDiv w:val="1"/>
      <w:marLeft w:val="0"/>
      <w:marRight w:val="0"/>
      <w:marTop w:val="0"/>
      <w:marBottom w:val="0"/>
      <w:divBdr>
        <w:top w:val="none" w:sz="0" w:space="0" w:color="auto"/>
        <w:left w:val="none" w:sz="0" w:space="0" w:color="auto"/>
        <w:bottom w:val="none" w:sz="0" w:space="0" w:color="auto"/>
        <w:right w:val="none" w:sz="0" w:space="0" w:color="auto"/>
      </w:divBdr>
      <w:divsChild>
        <w:div w:id="1134103472">
          <w:marLeft w:val="0"/>
          <w:marRight w:val="0"/>
          <w:marTop w:val="0"/>
          <w:marBottom w:val="360"/>
          <w:divBdr>
            <w:top w:val="none" w:sz="0" w:space="0" w:color="auto"/>
            <w:left w:val="none" w:sz="0" w:space="0" w:color="auto"/>
            <w:bottom w:val="none" w:sz="0" w:space="0" w:color="auto"/>
            <w:right w:val="none" w:sz="0" w:space="0" w:color="auto"/>
          </w:divBdr>
        </w:div>
      </w:divsChild>
    </w:div>
    <w:div w:id="1801729041">
      <w:bodyDiv w:val="1"/>
      <w:marLeft w:val="0"/>
      <w:marRight w:val="0"/>
      <w:marTop w:val="0"/>
      <w:marBottom w:val="0"/>
      <w:divBdr>
        <w:top w:val="none" w:sz="0" w:space="0" w:color="auto"/>
        <w:left w:val="none" w:sz="0" w:space="0" w:color="auto"/>
        <w:bottom w:val="none" w:sz="0" w:space="0" w:color="auto"/>
        <w:right w:val="none" w:sz="0" w:space="0" w:color="auto"/>
      </w:divBdr>
    </w:div>
    <w:div w:id="1818959356">
      <w:bodyDiv w:val="1"/>
      <w:marLeft w:val="0"/>
      <w:marRight w:val="0"/>
      <w:marTop w:val="0"/>
      <w:marBottom w:val="0"/>
      <w:divBdr>
        <w:top w:val="none" w:sz="0" w:space="0" w:color="auto"/>
        <w:left w:val="none" w:sz="0" w:space="0" w:color="auto"/>
        <w:bottom w:val="none" w:sz="0" w:space="0" w:color="auto"/>
        <w:right w:val="none" w:sz="0" w:space="0" w:color="auto"/>
      </w:divBdr>
      <w:divsChild>
        <w:div w:id="1032455938">
          <w:marLeft w:val="0"/>
          <w:marRight w:val="0"/>
          <w:marTop w:val="0"/>
          <w:marBottom w:val="0"/>
          <w:divBdr>
            <w:top w:val="none" w:sz="0" w:space="0" w:color="auto"/>
            <w:left w:val="none" w:sz="0" w:space="0" w:color="auto"/>
            <w:bottom w:val="none" w:sz="0" w:space="0" w:color="auto"/>
            <w:right w:val="none" w:sz="0" w:space="0" w:color="auto"/>
          </w:divBdr>
        </w:div>
      </w:divsChild>
    </w:div>
    <w:div w:id="1839492143">
      <w:bodyDiv w:val="1"/>
      <w:marLeft w:val="0"/>
      <w:marRight w:val="0"/>
      <w:marTop w:val="0"/>
      <w:marBottom w:val="0"/>
      <w:divBdr>
        <w:top w:val="none" w:sz="0" w:space="0" w:color="auto"/>
        <w:left w:val="none" w:sz="0" w:space="0" w:color="auto"/>
        <w:bottom w:val="none" w:sz="0" w:space="0" w:color="auto"/>
        <w:right w:val="none" w:sz="0" w:space="0" w:color="auto"/>
      </w:divBdr>
    </w:div>
    <w:div w:id="1949772186">
      <w:bodyDiv w:val="1"/>
      <w:marLeft w:val="0"/>
      <w:marRight w:val="0"/>
      <w:marTop w:val="0"/>
      <w:marBottom w:val="0"/>
      <w:divBdr>
        <w:top w:val="none" w:sz="0" w:space="0" w:color="auto"/>
        <w:left w:val="none" w:sz="0" w:space="0" w:color="auto"/>
        <w:bottom w:val="none" w:sz="0" w:space="0" w:color="auto"/>
        <w:right w:val="none" w:sz="0" w:space="0" w:color="auto"/>
      </w:divBdr>
      <w:divsChild>
        <w:div w:id="224611770">
          <w:marLeft w:val="0"/>
          <w:marRight w:val="0"/>
          <w:marTop w:val="0"/>
          <w:marBottom w:val="360"/>
          <w:divBdr>
            <w:top w:val="none" w:sz="0" w:space="0" w:color="auto"/>
            <w:left w:val="none" w:sz="0" w:space="0" w:color="auto"/>
            <w:bottom w:val="none" w:sz="0" w:space="0" w:color="auto"/>
            <w:right w:val="none" w:sz="0" w:space="0" w:color="auto"/>
          </w:divBdr>
        </w:div>
      </w:divsChild>
    </w:div>
    <w:div w:id="214272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hyperlink" Target="http://www.bancocentral.tl/Download/Instructions/Pub_Inst_6_2010_en.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hyperlink" Target="http://microfinance-pasifika.org/infuse-access-points-in-timor-leste-as-of-31-dec-209.html"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dtf.un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8DF50D-86D3-40A4-B03A-2C7C28D5725B}"/>
</file>

<file path=customXml/itemProps2.xml><?xml version="1.0" encoding="utf-8"?>
<ds:datastoreItem xmlns:ds="http://schemas.openxmlformats.org/officeDocument/2006/customXml" ds:itemID="{0B2103FD-D12C-496C-897B-A50D94578290}"/>
</file>

<file path=customXml/itemProps3.xml><?xml version="1.0" encoding="utf-8"?>
<ds:datastoreItem xmlns:ds="http://schemas.openxmlformats.org/officeDocument/2006/customXml" ds:itemID="{36A56278-4C69-45C0-8003-667B8961E316}"/>
</file>

<file path=docProps/app.xml><?xml version="1.0" encoding="utf-8"?>
<Properties xmlns="http://schemas.openxmlformats.org/officeDocument/2006/extended-properties" xmlns:vt="http://schemas.openxmlformats.org/officeDocument/2006/docPropsVTypes">
  <Template>Normal.dotm</Template>
  <TotalTime>8</TotalTime>
  <Pages>23</Pages>
  <Words>8298</Words>
  <Characters>47299</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lpstr>
    </vt:vector>
  </TitlesOfParts>
  <Company>UNDP</Company>
  <LinksUpToDate>false</LinksUpToDate>
  <CharactersWithSpaces>55487</CharactersWithSpaces>
  <SharedDoc>false</SharedDoc>
  <HLinks>
    <vt:vector size="96" baseType="variant">
      <vt:variant>
        <vt:i4>6619238</vt:i4>
      </vt:variant>
      <vt:variant>
        <vt:i4>87</vt:i4>
      </vt:variant>
      <vt:variant>
        <vt:i4>0</vt:i4>
      </vt:variant>
      <vt:variant>
        <vt:i4>5</vt:i4>
      </vt:variant>
      <vt:variant>
        <vt:lpwstr>http://microfinance-pasifika.org/infuse-access-points-in-timor-leste-as-of-31-dec-209.html</vt:lpwstr>
      </vt:variant>
      <vt:variant>
        <vt:lpwstr/>
      </vt:variant>
      <vt:variant>
        <vt:i4>7012471</vt:i4>
      </vt:variant>
      <vt:variant>
        <vt:i4>84</vt:i4>
      </vt:variant>
      <vt:variant>
        <vt:i4>0</vt:i4>
      </vt:variant>
      <vt:variant>
        <vt:i4>5</vt:i4>
      </vt:variant>
      <vt:variant>
        <vt:lpwstr>http://www.bancocentral.tl/Download/Instructions/Pub_Inst_6_2010_en.pdf</vt:lpwstr>
      </vt:variant>
      <vt:variant>
        <vt:lpwstr/>
      </vt:variant>
      <vt:variant>
        <vt:i4>1572914</vt:i4>
      </vt:variant>
      <vt:variant>
        <vt:i4>77</vt:i4>
      </vt:variant>
      <vt:variant>
        <vt:i4>0</vt:i4>
      </vt:variant>
      <vt:variant>
        <vt:i4>5</vt:i4>
      </vt:variant>
      <vt:variant>
        <vt:lpwstr/>
      </vt:variant>
      <vt:variant>
        <vt:lpwstr>_Toc288486054</vt:lpwstr>
      </vt:variant>
      <vt:variant>
        <vt:i4>1572914</vt:i4>
      </vt:variant>
      <vt:variant>
        <vt:i4>71</vt:i4>
      </vt:variant>
      <vt:variant>
        <vt:i4>0</vt:i4>
      </vt:variant>
      <vt:variant>
        <vt:i4>5</vt:i4>
      </vt:variant>
      <vt:variant>
        <vt:lpwstr/>
      </vt:variant>
      <vt:variant>
        <vt:lpwstr>_Toc288486053</vt:lpwstr>
      </vt:variant>
      <vt:variant>
        <vt:i4>1572914</vt:i4>
      </vt:variant>
      <vt:variant>
        <vt:i4>65</vt:i4>
      </vt:variant>
      <vt:variant>
        <vt:i4>0</vt:i4>
      </vt:variant>
      <vt:variant>
        <vt:i4>5</vt:i4>
      </vt:variant>
      <vt:variant>
        <vt:lpwstr/>
      </vt:variant>
      <vt:variant>
        <vt:lpwstr>_Toc288486052</vt:lpwstr>
      </vt:variant>
      <vt:variant>
        <vt:i4>1572914</vt:i4>
      </vt:variant>
      <vt:variant>
        <vt:i4>59</vt:i4>
      </vt:variant>
      <vt:variant>
        <vt:i4>0</vt:i4>
      </vt:variant>
      <vt:variant>
        <vt:i4>5</vt:i4>
      </vt:variant>
      <vt:variant>
        <vt:lpwstr/>
      </vt:variant>
      <vt:variant>
        <vt:lpwstr>_Toc288486051</vt:lpwstr>
      </vt:variant>
      <vt:variant>
        <vt:i4>1572914</vt:i4>
      </vt:variant>
      <vt:variant>
        <vt:i4>53</vt:i4>
      </vt:variant>
      <vt:variant>
        <vt:i4>0</vt:i4>
      </vt:variant>
      <vt:variant>
        <vt:i4>5</vt:i4>
      </vt:variant>
      <vt:variant>
        <vt:lpwstr/>
      </vt:variant>
      <vt:variant>
        <vt:lpwstr>_Toc288486050</vt:lpwstr>
      </vt:variant>
      <vt:variant>
        <vt:i4>1638450</vt:i4>
      </vt:variant>
      <vt:variant>
        <vt:i4>47</vt:i4>
      </vt:variant>
      <vt:variant>
        <vt:i4>0</vt:i4>
      </vt:variant>
      <vt:variant>
        <vt:i4>5</vt:i4>
      </vt:variant>
      <vt:variant>
        <vt:lpwstr/>
      </vt:variant>
      <vt:variant>
        <vt:lpwstr>_Toc288486049</vt:lpwstr>
      </vt:variant>
      <vt:variant>
        <vt:i4>1638450</vt:i4>
      </vt:variant>
      <vt:variant>
        <vt:i4>41</vt:i4>
      </vt:variant>
      <vt:variant>
        <vt:i4>0</vt:i4>
      </vt:variant>
      <vt:variant>
        <vt:i4>5</vt:i4>
      </vt:variant>
      <vt:variant>
        <vt:lpwstr/>
      </vt:variant>
      <vt:variant>
        <vt:lpwstr>_Toc288486048</vt:lpwstr>
      </vt:variant>
      <vt:variant>
        <vt:i4>1638450</vt:i4>
      </vt:variant>
      <vt:variant>
        <vt:i4>35</vt:i4>
      </vt:variant>
      <vt:variant>
        <vt:i4>0</vt:i4>
      </vt:variant>
      <vt:variant>
        <vt:i4>5</vt:i4>
      </vt:variant>
      <vt:variant>
        <vt:lpwstr/>
      </vt:variant>
      <vt:variant>
        <vt:lpwstr>_Toc288486047</vt:lpwstr>
      </vt:variant>
      <vt:variant>
        <vt:i4>1638450</vt:i4>
      </vt:variant>
      <vt:variant>
        <vt:i4>29</vt:i4>
      </vt:variant>
      <vt:variant>
        <vt:i4>0</vt:i4>
      </vt:variant>
      <vt:variant>
        <vt:i4>5</vt:i4>
      </vt:variant>
      <vt:variant>
        <vt:lpwstr/>
      </vt:variant>
      <vt:variant>
        <vt:lpwstr>_Toc288486046</vt:lpwstr>
      </vt:variant>
      <vt:variant>
        <vt:i4>1638450</vt:i4>
      </vt:variant>
      <vt:variant>
        <vt:i4>23</vt:i4>
      </vt:variant>
      <vt:variant>
        <vt:i4>0</vt:i4>
      </vt:variant>
      <vt:variant>
        <vt:i4>5</vt:i4>
      </vt:variant>
      <vt:variant>
        <vt:lpwstr/>
      </vt:variant>
      <vt:variant>
        <vt:lpwstr>_Toc288486045</vt:lpwstr>
      </vt:variant>
      <vt:variant>
        <vt:i4>1638450</vt:i4>
      </vt:variant>
      <vt:variant>
        <vt:i4>17</vt:i4>
      </vt:variant>
      <vt:variant>
        <vt:i4>0</vt:i4>
      </vt:variant>
      <vt:variant>
        <vt:i4>5</vt:i4>
      </vt:variant>
      <vt:variant>
        <vt:lpwstr/>
      </vt:variant>
      <vt:variant>
        <vt:lpwstr>_Toc288486044</vt:lpwstr>
      </vt:variant>
      <vt:variant>
        <vt:i4>1638450</vt:i4>
      </vt:variant>
      <vt:variant>
        <vt:i4>11</vt:i4>
      </vt:variant>
      <vt:variant>
        <vt:i4>0</vt:i4>
      </vt:variant>
      <vt:variant>
        <vt:i4>5</vt:i4>
      </vt:variant>
      <vt:variant>
        <vt:lpwstr/>
      </vt:variant>
      <vt:variant>
        <vt:lpwstr>_Toc288486043</vt:lpwstr>
      </vt:variant>
      <vt:variant>
        <vt:i4>1638450</vt:i4>
      </vt:variant>
      <vt:variant>
        <vt:i4>5</vt:i4>
      </vt:variant>
      <vt:variant>
        <vt:i4>0</vt:i4>
      </vt:variant>
      <vt:variant>
        <vt:i4>5</vt:i4>
      </vt:variant>
      <vt:variant>
        <vt:lpwstr/>
      </vt:variant>
      <vt:variant>
        <vt:lpwstr>_Toc288486042</vt:lpwstr>
      </vt:variant>
      <vt:variant>
        <vt:i4>655430</vt:i4>
      </vt:variant>
      <vt:variant>
        <vt:i4>0</vt:i4>
      </vt:variant>
      <vt:variant>
        <vt:i4>0</vt:i4>
      </vt:variant>
      <vt:variant>
        <vt:i4>5</vt:i4>
      </vt:variant>
      <vt:variant>
        <vt:lpwstr>http://mdtf.undp.org/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dc:creator>
  <cp:lastModifiedBy>Jeff Fitzgibbon</cp:lastModifiedBy>
  <cp:revision>4</cp:revision>
  <cp:lastPrinted>2013-09-09T04:49:00Z</cp:lastPrinted>
  <dcterms:created xsi:type="dcterms:W3CDTF">2013-09-09T04:41:00Z</dcterms:created>
  <dcterms:modified xsi:type="dcterms:W3CDTF">2013-09-09T04:49:00Z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PublishingContact">
    <vt:lpwstr/>
  </property>
  <property fmtid="{D5CDD505-2E9C-101B-9397-08002B2CF9AE}" pid="5" name="Order">
    <vt:r8>43000</vt:r8>
  </property>
  <property fmtid="{D5CDD505-2E9C-101B-9397-08002B2CF9AE}" pid="6" name="PublishingRollupImage">
    <vt:lpwstr/>
  </property>
  <property fmtid="{D5CDD505-2E9C-101B-9397-08002B2CF9AE}" pid="7" name="AusAIDAggregationLevel">
    <vt:lpwstr/>
  </property>
  <property fmtid="{D5CDD505-2E9C-101B-9397-08002B2CF9AE}" pid="9" name="PublishingContactEmail">
    <vt:lpwstr/>
  </property>
  <property fmtid="{D5CDD505-2E9C-101B-9397-08002B2CF9AE}" pid="10" name="AusAIDPageDescriptionMetadata">
    <vt:lpwstr/>
  </property>
  <property fmtid="{D5CDD505-2E9C-101B-9397-08002B2CF9AE}" pid="11" name="xd_Signature">
    <vt:bool>false</vt:bool>
  </property>
  <property fmtid="{D5CDD505-2E9C-101B-9397-08002B2CF9AE}" pid="13" name="xd_ProgID">
    <vt:lpwstr/>
  </property>
  <property fmtid="{D5CDD505-2E9C-101B-9397-08002B2CF9AE}" pid="14" name="PublishingContactPicture">
    <vt:lpwstr/>
  </property>
  <property fmtid="{D5CDD505-2E9C-101B-9397-08002B2CF9AE}" pid="15" name="PublishingVariationGroupID">
    <vt:lpwstr/>
  </property>
  <property fmtid="{D5CDD505-2E9C-101B-9397-08002B2CF9AE}" pid="16" name="AusAIDIdentifierMetadata">
    <vt:lpwstr/>
  </property>
  <property fmtid="{D5CDD505-2E9C-101B-9397-08002B2CF9AE}" pid="17" name="RSS Feed Link">
    <vt:lpwstr/>
  </property>
  <property fmtid="{D5CDD505-2E9C-101B-9397-08002B2CF9AE}" pid="18" name="PublishingVariationRelationshipLinkFieldID">
    <vt:lpwstr/>
  </property>
  <property fmtid="{D5CDD505-2E9C-101B-9397-08002B2CF9AE}" pid="19" name="PublishingContactName">
    <vt:lpwstr/>
  </property>
  <property fmtid="{D5CDD505-2E9C-101B-9397-08002B2CF9AE}" pid="20" name="_SourceUrl">
    <vt:lpwstr/>
  </property>
  <property fmtid="{D5CDD505-2E9C-101B-9397-08002B2CF9AE}" pid="21" name="_SharedFileIndex">
    <vt:lpwstr/>
  </property>
  <property fmtid="{D5CDD505-2E9C-101B-9397-08002B2CF9AE}" pid="22" name="Comments">
    <vt:lpwstr/>
  </property>
  <property fmtid="{D5CDD505-2E9C-101B-9397-08002B2CF9AE}" pid="23" name="PublishingPageLayout">
    <vt:lpwstr/>
  </property>
  <property fmtid="{D5CDD505-2E9C-101B-9397-08002B2CF9AE}" pid="24" name="AusAIDPageSubjectMetadata">
    <vt:lpwstr/>
  </property>
  <property fmtid="{D5CDD505-2E9C-101B-9397-08002B2CF9AE}" pid="25" name="AusAIDCategoryMetadata">
    <vt:lpwstr/>
  </property>
  <property fmtid="{D5CDD505-2E9C-101B-9397-08002B2CF9AE}" pid="26" name="AusAIDDocumentTypeMetaData">
    <vt:lpwstr/>
  </property>
  <property fmtid="{D5CDD505-2E9C-101B-9397-08002B2CF9AE}" pid="27" name="WCMSLanguage">
    <vt:lpwstr/>
  </property>
  <property fmtid="{D5CDD505-2E9C-101B-9397-08002B2CF9AE}" pid="28" name="TemplateUrl">
    <vt:lpwstr/>
  </property>
  <property fmtid="{D5CDD505-2E9C-101B-9397-08002B2CF9AE}" pid="29" name="Audience">
    <vt:lpwstr/>
  </property>
</Properties>
</file>