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F2A" w:rsidRDefault="00FE6F2A" w:rsidP="00F25A93">
      <w:pPr>
        <w:pStyle w:val="SpacebeforeTitle"/>
      </w:pPr>
    </w:p>
    <w:p w:rsidR="00044A56" w:rsidRPr="00935027" w:rsidRDefault="00044A56" w:rsidP="00044A56">
      <w:pPr>
        <w:pStyle w:val="Heading1"/>
        <w:rPr>
          <w:sz w:val="36"/>
          <w:szCs w:val="36"/>
        </w:rPr>
      </w:pPr>
      <w:bookmarkStart w:id="0" w:name="_Toc414445534"/>
      <w:bookmarkStart w:id="1" w:name="_Toc401147273"/>
      <w:r>
        <w:rPr>
          <w:sz w:val="36"/>
          <w:szCs w:val="36"/>
        </w:rPr>
        <w:t>technical assistance for education system strengthening (TASS), indonesia - SUMMARY document</w:t>
      </w:r>
      <w:bookmarkEnd w:id="0"/>
      <w:bookmarkEnd w:id="1"/>
    </w:p>
    <w:p w:rsidR="00044A56" w:rsidRPr="002D4DE7" w:rsidRDefault="00044A56" w:rsidP="00044A56">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pPr>
      <w:r w:rsidRPr="002D4DE7">
        <w:rPr>
          <w:b/>
        </w:rPr>
        <w:t xml:space="preserve">Investment </w:t>
      </w:r>
      <w:r>
        <w:rPr>
          <w:b/>
        </w:rPr>
        <w:t>Name</w:t>
      </w:r>
      <w:r w:rsidRPr="002D4DE7">
        <w:rPr>
          <w:b/>
        </w:rPr>
        <w:t>:</w:t>
      </w:r>
      <w:r>
        <w:rPr>
          <w:b/>
        </w:rPr>
        <w:t xml:space="preserve"> Technical Assistance for Education System Strengthening (TASS) – Indonesia </w:t>
      </w:r>
      <w:r w:rsidRPr="002D4DE7">
        <w:rPr>
          <w:b/>
        </w:rPr>
        <w:tab/>
      </w:r>
      <w:r w:rsidRPr="002D4DE7">
        <w:rPr>
          <w:b/>
        </w:rPr>
        <w:tab/>
      </w:r>
    </w:p>
    <w:p w:rsidR="00044A56" w:rsidRPr="002D4DE7" w:rsidRDefault="00044A56" w:rsidP="00044A56">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rPr>
      </w:pPr>
      <w:r w:rsidRPr="002D4DE7">
        <w:rPr>
          <w:b/>
        </w:rPr>
        <w:t>Start date:</w:t>
      </w:r>
      <w:r>
        <w:rPr>
          <w:b/>
        </w:rPr>
        <w:t xml:space="preserve"> </w:t>
      </w:r>
      <w:r w:rsidR="00A40F0C" w:rsidRPr="00B627E2">
        <w:rPr>
          <w:i/>
          <w:sz w:val="21"/>
          <w:szCs w:val="21"/>
        </w:rPr>
        <w:t>16 January 2017</w:t>
      </w:r>
      <w:r w:rsidRPr="002D4DE7">
        <w:rPr>
          <w:b/>
        </w:rPr>
        <w:tab/>
      </w:r>
      <w:r w:rsidRPr="002D4DE7">
        <w:rPr>
          <w:b/>
        </w:rPr>
        <w:tab/>
      </w:r>
      <w:r w:rsidRPr="002D4DE7">
        <w:rPr>
          <w:b/>
        </w:rPr>
        <w:tab/>
      </w:r>
      <w:r w:rsidRPr="002D4DE7">
        <w:rPr>
          <w:b/>
        </w:rPr>
        <w:tab/>
        <w:t xml:space="preserve">End date: </w:t>
      </w:r>
      <w:r w:rsidR="00A40F0C" w:rsidRPr="00B627E2">
        <w:rPr>
          <w:i/>
          <w:sz w:val="21"/>
          <w:szCs w:val="21"/>
        </w:rPr>
        <w:t>15 January 2020</w:t>
      </w:r>
      <w:r w:rsidRPr="002D4DE7">
        <w:rPr>
          <w:b/>
        </w:rPr>
        <w:tab/>
      </w:r>
      <w:r w:rsidRPr="002D4DE7">
        <w:rPr>
          <w:b/>
        </w:rPr>
        <w:tab/>
      </w:r>
      <w:r w:rsidRPr="002D4DE7">
        <w:rPr>
          <w:b/>
        </w:rPr>
        <w:tab/>
      </w:r>
    </w:p>
    <w:p w:rsidR="00044A56" w:rsidRPr="002D4DE7" w:rsidRDefault="00044A56" w:rsidP="00044A56">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pPr>
      <w:r w:rsidRPr="002D4DE7">
        <w:rPr>
          <w:b/>
        </w:rPr>
        <w:t xml:space="preserve">Total DFAT funding: </w:t>
      </w:r>
      <w:r w:rsidRPr="00B627E2">
        <w:rPr>
          <w:i/>
          <w:sz w:val="21"/>
          <w:szCs w:val="21"/>
        </w:rPr>
        <w:t>AUD</w:t>
      </w:r>
      <w:r w:rsidR="00A40F0C" w:rsidRPr="00B627E2">
        <w:rPr>
          <w:i/>
          <w:sz w:val="21"/>
          <w:szCs w:val="21"/>
        </w:rPr>
        <w:t xml:space="preserve"> 11.98m</w:t>
      </w:r>
      <w:r w:rsidRPr="002D4DE7">
        <w:rPr>
          <w:b/>
        </w:rPr>
        <w:tab/>
      </w:r>
      <w:r w:rsidRPr="002D4DE7">
        <w:rPr>
          <w:b/>
        </w:rPr>
        <w:tab/>
      </w:r>
      <w:r w:rsidRPr="002D4DE7">
        <w:rPr>
          <w:b/>
        </w:rPr>
        <w:tab/>
      </w:r>
      <w:r w:rsidR="00C0003E">
        <w:rPr>
          <w:b/>
        </w:rPr>
        <w:tab/>
      </w:r>
      <w:r w:rsidRPr="002D4DE7">
        <w:rPr>
          <w:b/>
        </w:rPr>
        <w:t xml:space="preserve">Total funding from all donor/s: </w:t>
      </w:r>
      <w:r w:rsidRPr="00B627E2">
        <w:rPr>
          <w:i/>
          <w:sz w:val="21"/>
          <w:szCs w:val="21"/>
        </w:rPr>
        <w:t>AUD</w:t>
      </w:r>
      <w:r w:rsidR="00A40F0C" w:rsidRPr="00B627E2">
        <w:rPr>
          <w:i/>
          <w:sz w:val="21"/>
          <w:szCs w:val="21"/>
        </w:rPr>
        <w:t xml:space="preserve"> </w:t>
      </w:r>
      <w:r w:rsidR="005C6772" w:rsidRPr="00B627E2">
        <w:rPr>
          <w:i/>
          <w:sz w:val="21"/>
          <w:szCs w:val="21"/>
        </w:rPr>
        <w:t>11.98m</w:t>
      </w:r>
    </w:p>
    <w:p w:rsidR="00044A56" w:rsidRPr="002D4DE7" w:rsidRDefault="00044A56" w:rsidP="00044A56">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 w:val="21"/>
          <w:szCs w:val="21"/>
        </w:rPr>
      </w:pPr>
      <w:r w:rsidRPr="002D4DE7">
        <w:rPr>
          <w:rFonts w:cs="Arial"/>
          <w:b/>
          <w:sz w:val="21"/>
          <w:szCs w:val="21"/>
        </w:rPr>
        <w:t xml:space="preserve">Current program fund annual allocation: </w:t>
      </w:r>
      <w:r w:rsidR="00275B39" w:rsidRPr="00B627E2">
        <w:rPr>
          <w:i/>
          <w:sz w:val="21"/>
          <w:szCs w:val="21"/>
        </w:rPr>
        <w:t>AUD3 million</w:t>
      </w:r>
      <w:r w:rsidRPr="002D4DE7">
        <w:rPr>
          <w:rFonts w:cs="Arial"/>
          <w:b/>
          <w:sz w:val="21"/>
          <w:szCs w:val="21"/>
        </w:rPr>
        <w:tab/>
      </w:r>
      <w:r w:rsidRPr="002D4DE7">
        <w:rPr>
          <w:b/>
          <w:sz w:val="21"/>
          <w:szCs w:val="21"/>
        </w:rPr>
        <w:t>AidWorks investment number:</w:t>
      </w:r>
      <w:r>
        <w:rPr>
          <w:b/>
          <w:sz w:val="21"/>
          <w:szCs w:val="21"/>
        </w:rPr>
        <w:t xml:space="preserve"> </w:t>
      </w:r>
      <w:r w:rsidR="00275B39" w:rsidRPr="00B627E2">
        <w:rPr>
          <w:i/>
          <w:sz w:val="21"/>
          <w:szCs w:val="21"/>
        </w:rPr>
        <w:t>70774/29</w:t>
      </w:r>
    </w:p>
    <w:p w:rsidR="00044A56" w:rsidRPr="002D4DE7" w:rsidRDefault="00044A56" w:rsidP="00044A56">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rPr>
      </w:pPr>
      <w:r w:rsidRPr="00E66A2A">
        <w:rPr>
          <w:b/>
          <w:sz w:val="21"/>
          <w:szCs w:val="21"/>
        </w:rPr>
        <w:t>Overall Risk Profile</w:t>
      </w:r>
      <w:r w:rsidRPr="00E66A2A">
        <w:rPr>
          <w:sz w:val="21"/>
          <w:szCs w:val="21"/>
        </w:rPr>
        <w:t xml:space="preserve">: </w:t>
      </w:r>
      <w:r w:rsidR="00275B39">
        <w:rPr>
          <w:i/>
          <w:sz w:val="21"/>
          <w:szCs w:val="21"/>
        </w:rPr>
        <w:t>Low</w:t>
      </w:r>
      <w:r w:rsidRPr="00E66A2A">
        <w:rPr>
          <w:b/>
          <w:sz w:val="21"/>
          <w:szCs w:val="21"/>
        </w:rPr>
        <w:t xml:space="preserve">   Risk </w:t>
      </w:r>
      <w:r w:rsidR="00275B39">
        <w:rPr>
          <w:i/>
          <w:sz w:val="21"/>
          <w:szCs w:val="21"/>
        </w:rPr>
        <w:t>Low</w:t>
      </w:r>
      <w:r w:rsidRPr="00E66A2A">
        <w:rPr>
          <w:b/>
          <w:sz w:val="21"/>
          <w:szCs w:val="21"/>
        </w:rPr>
        <w:t xml:space="preserve">    </w:t>
      </w:r>
      <w:r w:rsidR="00C0003E">
        <w:rPr>
          <w:b/>
          <w:sz w:val="21"/>
          <w:szCs w:val="21"/>
        </w:rPr>
        <w:tab/>
      </w:r>
      <w:r w:rsidR="00C0003E">
        <w:rPr>
          <w:b/>
          <w:sz w:val="21"/>
          <w:szCs w:val="21"/>
        </w:rPr>
        <w:tab/>
      </w:r>
      <w:r w:rsidR="00C0003E">
        <w:rPr>
          <w:b/>
          <w:sz w:val="21"/>
          <w:szCs w:val="21"/>
        </w:rPr>
        <w:tab/>
      </w:r>
      <w:r w:rsidRPr="00E66A2A">
        <w:rPr>
          <w:b/>
          <w:sz w:val="21"/>
          <w:szCs w:val="21"/>
        </w:rPr>
        <w:t>Value</w:t>
      </w:r>
      <w:r w:rsidRPr="00E66A2A">
        <w:rPr>
          <w:b/>
          <w:sz w:val="21"/>
          <w:szCs w:val="21"/>
        </w:rPr>
        <w:tab/>
      </w:r>
      <w:r w:rsidR="00275B39" w:rsidRPr="00B627E2">
        <w:rPr>
          <w:i/>
          <w:sz w:val="21"/>
          <w:szCs w:val="21"/>
        </w:rPr>
        <w:t>AUD11.98 m</w:t>
      </w:r>
    </w:p>
    <w:p w:rsidR="00044A56" w:rsidRPr="002D4DE7" w:rsidRDefault="00044A56" w:rsidP="00044A56">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 w:val="21"/>
          <w:szCs w:val="21"/>
        </w:rPr>
      </w:pPr>
      <w:r w:rsidRPr="002D4DE7">
        <w:rPr>
          <w:b/>
          <w:sz w:val="21"/>
          <w:szCs w:val="21"/>
        </w:rPr>
        <w:t xml:space="preserve">Concept approved by: </w:t>
      </w:r>
      <w:r w:rsidR="00275B39">
        <w:rPr>
          <w:i/>
          <w:sz w:val="21"/>
          <w:szCs w:val="21"/>
        </w:rPr>
        <w:t>Fleur Davies, Minister Counsellor</w:t>
      </w:r>
      <w:r w:rsidRPr="002D4DE7">
        <w:rPr>
          <w:b/>
          <w:sz w:val="21"/>
          <w:szCs w:val="21"/>
        </w:rPr>
        <w:t xml:space="preserve"> </w:t>
      </w:r>
      <w:r w:rsidRPr="002D4DE7">
        <w:rPr>
          <w:b/>
          <w:sz w:val="21"/>
          <w:szCs w:val="21"/>
        </w:rPr>
        <w:tab/>
        <w:t xml:space="preserve">Concept endorsed by AGB: </w:t>
      </w:r>
      <w:r w:rsidR="00275B39">
        <w:rPr>
          <w:i/>
          <w:sz w:val="21"/>
          <w:szCs w:val="21"/>
        </w:rPr>
        <w:t>FAS ACD</w:t>
      </w:r>
    </w:p>
    <w:p w:rsidR="00044A56" w:rsidRPr="002D4DE7" w:rsidRDefault="00044A56" w:rsidP="00044A56">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 w:val="21"/>
          <w:szCs w:val="21"/>
        </w:rPr>
      </w:pPr>
      <w:r w:rsidRPr="002D4DE7">
        <w:rPr>
          <w:b/>
          <w:sz w:val="21"/>
          <w:szCs w:val="21"/>
        </w:rPr>
        <w:t xml:space="preserve">Quality Assurance completed: </w:t>
      </w:r>
      <w:r w:rsidR="00F26DED">
        <w:rPr>
          <w:i/>
          <w:sz w:val="21"/>
          <w:szCs w:val="21"/>
        </w:rPr>
        <w:t>Appraisal</w:t>
      </w:r>
      <w:r w:rsidR="00275B39">
        <w:rPr>
          <w:i/>
          <w:sz w:val="21"/>
          <w:szCs w:val="21"/>
        </w:rPr>
        <w:t xml:space="preserve"> by </w:t>
      </w:r>
      <w:r w:rsidR="00DF5808">
        <w:rPr>
          <w:i/>
          <w:sz w:val="21"/>
          <w:szCs w:val="21"/>
        </w:rPr>
        <w:t xml:space="preserve">DFAT </w:t>
      </w:r>
      <w:r w:rsidR="00275B39">
        <w:rPr>
          <w:i/>
          <w:sz w:val="21"/>
          <w:szCs w:val="21"/>
        </w:rPr>
        <w:t>Education Adviser</w:t>
      </w:r>
    </w:p>
    <w:p w:rsidR="00044A56" w:rsidRPr="002D4DE7" w:rsidRDefault="00044A56" w:rsidP="00044A56">
      <w:pPr>
        <w:pStyle w:val="BodyText"/>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rPr>
      </w:pPr>
      <w:r w:rsidRPr="002D4DE7">
        <w:rPr>
          <w:b/>
        </w:rPr>
        <w:t xml:space="preserve">Approval: Delegate at Post: </w:t>
      </w:r>
      <w:r w:rsidR="00275B39">
        <w:rPr>
          <w:i/>
        </w:rPr>
        <w:t>Fleur Davies, Minister Counsellor</w:t>
      </w:r>
      <w:r w:rsidRPr="002D4DE7">
        <w:rPr>
          <w:b/>
          <w:i/>
        </w:rPr>
        <w:tab/>
      </w:r>
      <w:r w:rsidRPr="002D4DE7">
        <w:rPr>
          <w:b/>
        </w:rPr>
        <w:t>Delegate in Canberra</w:t>
      </w:r>
      <w:r w:rsidR="00F26DED">
        <w:rPr>
          <w:b/>
        </w:rPr>
        <w:t xml:space="preserve">: </w:t>
      </w:r>
      <w:r w:rsidR="00275B39" w:rsidRPr="00B627E2">
        <w:rPr>
          <w:i/>
          <w:sz w:val="21"/>
          <w:szCs w:val="21"/>
        </w:rPr>
        <w:t>FAS ACD and CFO</w:t>
      </w:r>
    </w:p>
    <w:p w:rsidR="00E85587" w:rsidRPr="00C02681" w:rsidRDefault="00E85587" w:rsidP="00B6686D">
      <w:pPr>
        <w:pStyle w:val="ListParagraph"/>
        <w:numPr>
          <w:ilvl w:val="0"/>
          <w:numId w:val="31"/>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szCs w:val="21"/>
        </w:rPr>
      </w:pPr>
      <w:r>
        <w:rPr>
          <w:rFonts w:asciiTheme="majorHAnsi" w:hAnsiTheme="majorHAnsi"/>
          <w:b/>
          <w:szCs w:val="21"/>
        </w:rPr>
        <w:t xml:space="preserve">Executive Summary </w:t>
      </w:r>
    </w:p>
    <w:p w:rsidR="005C0DD3" w:rsidRDefault="00C13B02" w:rsidP="005C0DD3">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C13B02">
        <w:rPr>
          <w:rFonts w:eastAsia="Times New Roman" w:cs="Arial"/>
          <w:color w:val="000000" w:themeColor="text1"/>
          <w:sz w:val="21"/>
          <w:szCs w:val="21"/>
          <w:lang w:val="en-AU" w:eastAsia="en-AU"/>
        </w:rPr>
        <w:t>Indonesia’s education system has made remarkable progress in recent years</w:t>
      </w:r>
      <w:r w:rsidR="00FD096C">
        <w:rPr>
          <w:rFonts w:eastAsia="Times New Roman" w:cs="Arial"/>
          <w:color w:val="000000" w:themeColor="text1"/>
          <w:sz w:val="21"/>
          <w:szCs w:val="21"/>
          <w:lang w:val="en-AU" w:eastAsia="en-AU"/>
        </w:rPr>
        <w:t>.</w:t>
      </w:r>
      <w:r w:rsidR="008268B8">
        <w:rPr>
          <w:rFonts w:eastAsia="Times New Roman" w:cs="Arial"/>
          <w:color w:val="000000" w:themeColor="text1"/>
          <w:sz w:val="21"/>
          <w:szCs w:val="21"/>
          <w:lang w:val="en-AU" w:eastAsia="en-AU"/>
        </w:rPr>
        <w:t xml:space="preserve"> Increased spending and a range of </w:t>
      </w:r>
      <w:r w:rsidR="007374FD">
        <w:rPr>
          <w:rFonts w:eastAsia="Times New Roman" w:cs="Arial"/>
          <w:color w:val="000000" w:themeColor="text1"/>
          <w:sz w:val="21"/>
          <w:szCs w:val="21"/>
          <w:lang w:val="en-AU" w:eastAsia="en-AU"/>
        </w:rPr>
        <w:t xml:space="preserve">policy </w:t>
      </w:r>
      <w:r w:rsidR="008268B8">
        <w:rPr>
          <w:rFonts w:eastAsia="Times New Roman" w:cs="Arial"/>
          <w:color w:val="000000" w:themeColor="text1"/>
          <w:sz w:val="21"/>
          <w:szCs w:val="21"/>
          <w:lang w:val="en-AU" w:eastAsia="en-AU"/>
        </w:rPr>
        <w:t xml:space="preserve">reforms have </w:t>
      </w:r>
      <w:r w:rsidR="00156266">
        <w:rPr>
          <w:rFonts w:eastAsia="Times New Roman" w:cs="Arial"/>
          <w:color w:val="000000" w:themeColor="text1"/>
          <w:sz w:val="21"/>
          <w:szCs w:val="21"/>
          <w:lang w:val="en-AU" w:eastAsia="en-AU"/>
        </w:rPr>
        <w:t xml:space="preserve">led to gender-balanced, near-universal school </w:t>
      </w:r>
      <w:r w:rsidR="007374FD">
        <w:rPr>
          <w:rFonts w:eastAsia="Times New Roman" w:cs="Arial"/>
          <w:color w:val="000000" w:themeColor="text1"/>
          <w:sz w:val="21"/>
          <w:szCs w:val="21"/>
          <w:lang w:val="en-AU" w:eastAsia="en-AU"/>
        </w:rPr>
        <w:t>enrolment</w:t>
      </w:r>
      <w:r w:rsidR="00156266">
        <w:rPr>
          <w:rFonts w:eastAsia="Times New Roman" w:cs="Arial"/>
          <w:color w:val="000000" w:themeColor="text1"/>
          <w:sz w:val="21"/>
          <w:szCs w:val="21"/>
          <w:lang w:val="en-AU" w:eastAsia="en-AU"/>
        </w:rPr>
        <w:t xml:space="preserve">. </w:t>
      </w:r>
      <w:r w:rsidRPr="00900FAD">
        <w:rPr>
          <w:rFonts w:eastAsia="Times New Roman" w:cs="Arial"/>
          <w:color w:val="000000" w:themeColor="text1"/>
          <w:sz w:val="21"/>
          <w:szCs w:val="21"/>
          <w:lang w:val="en-AU" w:eastAsia="en-AU"/>
        </w:rPr>
        <w:t>Yet significant challenges remain</w:t>
      </w:r>
      <w:r w:rsidR="00A47A12" w:rsidRPr="00900FAD">
        <w:rPr>
          <w:rFonts w:eastAsia="Times New Roman" w:cs="Arial"/>
          <w:color w:val="000000" w:themeColor="text1"/>
          <w:sz w:val="21"/>
          <w:szCs w:val="21"/>
          <w:lang w:val="en-AU" w:eastAsia="en-AU"/>
        </w:rPr>
        <w:t xml:space="preserve">. </w:t>
      </w:r>
      <w:r w:rsidR="006B32A3">
        <w:rPr>
          <w:rFonts w:eastAsia="Times New Roman" w:cs="Arial"/>
          <w:color w:val="000000" w:themeColor="text1"/>
          <w:sz w:val="21"/>
          <w:szCs w:val="21"/>
          <w:lang w:val="en-AU" w:eastAsia="en-AU"/>
        </w:rPr>
        <w:t>National test results and comparative international assessments</w:t>
      </w:r>
      <w:r w:rsidR="007725B4">
        <w:rPr>
          <w:rFonts w:eastAsia="Times New Roman" w:cs="Arial"/>
          <w:color w:val="000000" w:themeColor="text1"/>
          <w:sz w:val="21"/>
          <w:szCs w:val="21"/>
          <w:lang w:val="en-AU" w:eastAsia="en-AU"/>
        </w:rPr>
        <w:t xml:space="preserve"> </w:t>
      </w:r>
      <w:r w:rsidR="00401789">
        <w:rPr>
          <w:rFonts w:eastAsia="Times New Roman" w:cs="Arial"/>
          <w:color w:val="000000" w:themeColor="text1"/>
          <w:sz w:val="21"/>
          <w:szCs w:val="21"/>
          <w:lang w:val="en-AU" w:eastAsia="en-AU"/>
        </w:rPr>
        <w:t xml:space="preserve">of scholastic performance </w:t>
      </w:r>
      <w:r w:rsidR="007725B4">
        <w:rPr>
          <w:rFonts w:eastAsia="Times New Roman" w:cs="Arial"/>
          <w:color w:val="000000" w:themeColor="text1"/>
          <w:sz w:val="21"/>
          <w:szCs w:val="21"/>
          <w:lang w:val="en-AU" w:eastAsia="en-AU"/>
        </w:rPr>
        <w:t>point to weak learning outcomes</w:t>
      </w:r>
      <w:r w:rsidR="00DC74E7">
        <w:rPr>
          <w:rFonts w:eastAsia="Times New Roman" w:cs="Arial"/>
          <w:color w:val="000000" w:themeColor="text1"/>
          <w:sz w:val="21"/>
          <w:szCs w:val="21"/>
          <w:lang w:val="en-AU" w:eastAsia="en-AU"/>
        </w:rPr>
        <w:t>, the ramifications are which are felt</w:t>
      </w:r>
      <w:r w:rsidR="001521FE">
        <w:rPr>
          <w:rFonts w:eastAsia="Times New Roman" w:cs="Arial"/>
          <w:color w:val="000000" w:themeColor="text1"/>
          <w:sz w:val="21"/>
          <w:szCs w:val="21"/>
          <w:lang w:val="en-AU" w:eastAsia="en-AU"/>
        </w:rPr>
        <w:t xml:space="preserve"> by learners, households and </w:t>
      </w:r>
      <w:r w:rsidR="0085230B">
        <w:rPr>
          <w:rFonts w:eastAsia="Times New Roman" w:cs="Arial"/>
          <w:color w:val="000000" w:themeColor="text1"/>
          <w:sz w:val="21"/>
          <w:szCs w:val="21"/>
          <w:lang w:val="en-AU" w:eastAsia="en-AU"/>
        </w:rPr>
        <w:t xml:space="preserve">ultimately </w:t>
      </w:r>
      <w:r w:rsidR="001521FE">
        <w:rPr>
          <w:rFonts w:eastAsia="Times New Roman" w:cs="Arial"/>
          <w:color w:val="000000" w:themeColor="text1"/>
          <w:sz w:val="21"/>
          <w:szCs w:val="21"/>
          <w:lang w:val="en-AU" w:eastAsia="en-AU"/>
        </w:rPr>
        <w:t>the national economy</w:t>
      </w:r>
      <w:r w:rsidR="008B3C99">
        <w:rPr>
          <w:rFonts w:eastAsia="Times New Roman" w:cs="Arial"/>
          <w:color w:val="000000" w:themeColor="text1"/>
          <w:sz w:val="21"/>
          <w:szCs w:val="21"/>
          <w:lang w:val="en-AU" w:eastAsia="en-AU"/>
        </w:rPr>
        <w:t xml:space="preserve">. </w:t>
      </w:r>
      <w:r w:rsidR="001A13EE">
        <w:rPr>
          <w:rFonts w:eastAsia="Times New Roman" w:cs="Arial"/>
          <w:color w:val="000000" w:themeColor="text1"/>
          <w:sz w:val="21"/>
          <w:szCs w:val="21"/>
          <w:lang w:val="en-AU" w:eastAsia="en-AU"/>
        </w:rPr>
        <w:t xml:space="preserve">The </w:t>
      </w:r>
      <w:r w:rsidR="00BD7621">
        <w:rPr>
          <w:rFonts w:eastAsia="Times New Roman" w:cs="Arial"/>
          <w:color w:val="000000" w:themeColor="text1"/>
          <w:sz w:val="21"/>
          <w:szCs w:val="21"/>
          <w:lang w:val="en-AU" w:eastAsia="en-AU"/>
        </w:rPr>
        <w:t>impacts are shared unequally: t</w:t>
      </w:r>
      <w:r w:rsidR="008B3C99">
        <w:rPr>
          <w:rFonts w:eastAsia="Times New Roman" w:cs="Arial"/>
          <w:color w:val="000000" w:themeColor="text1"/>
          <w:sz w:val="21"/>
          <w:szCs w:val="21"/>
          <w:lang w:val="en-AU" w:eastAsia="en-AU"/>
        </w:rPr>
        <w:t xml:space="preserve">he </w:t>
      </w:r>
      <w:r w:rsidRPr="00900FAD">
        <w:rPr>
          <w:rFonts w:eastAsia="Times New Roman" w:cs="Arial"/>
          <w:color w:val="000000" w:themeColor="text1"/>
          <w:sz w:val="21"/>
          <w:szCs w:val="21"/>
          <w:lang w:val="en-AU" w:eastAsia="en-AU"/>
        </w:rPr>
        <w:t xml:space="preserve">‘learning deficit’ </w:t>
      </w:r>
      <w:r w:rsidR="008B3C99">
        <w:rPr>
          <w:rFonts w:eastAsia="Times New Roman" w:cs="Arial"/>
          <w:color w:val="000000" w:themeColor="text1"/>
          <w:sz w:val="21"/>
          <w:szCs w:val="21"/>
          <w:lang w:val="en-AU" w:eastAsia="en-AU"/>
        </w:rPr>
        <w:t>has</w:t>
      </w:r>
      <w:r w:rsidR="00900FAD" w:rsidRPr="00900FAD">
        <w:rPr>
          <w:rFonts w:eastAsia="Times New Roman" w:cs="Arial"/>
          <w:color w:val="000000" w:themeColor="text1"/>
          <w:sz w:val="21"/>
          <w:szCs w:val="21"/>
          <w:lang w:val="en-AU" w:eastAsia="en-AU"/>
        </w:rPr>
        <w:t xml:space="preserve"> a </w:t>
      </w:r>
      <w:r w:rsidRPr="00900FAD">
        <w:rPr>
          <w:rFonts w:eastAsia="Times New Roman" w:cs="Arial"/>
          <w:color w:val="000000" w:themeColor="text1"/>
          <w:sz w:val="21"/>
          <w:szCs w:val="21"/>
          <w:lang w:val="en-AU" w:eastAsia="en-AU"/>
        </w:rPr>
        <w:t xml:space="preserve">disproportionate </w:t>
      </w:r>
      <w:r w:rsidRPr="005C0DD3">
        <w:rPr>
          <w:rFonts w:eastAsia="Times New Roman" w:cs="Arial"/>
          <w:color w:val="000000" w:themeColor="text1"/>
          <w:sz w:val="21"/>
          <w:szCs w:val="21"/>
          <w:lang w:val="en-AU" w:eastAsia="en-AU"/>
        </w:rPr>
        <w:t>effect on disadvantaged households</w:t>
      </w:r>
      <w:r w:rsidR="007F4ABD">
        <w:rPr>
          <w:rFonts w:eastAsia="Times New Roman" w:cs="Arial"/>
          <w:color w:val="000000" w:themeColor="text1"/>
          <w:sz w:val="21"/>
          <w:szCs w:val="21"/>
          <w:lang w:val="en-AU" w:eastAsia="en-AU"/>
        </w:rPr>
        <w:t xml:space="preserve"> and learners, </w:t>
      </w:r>
      <w:r w:rsidR="001521FE">
        <w:rPr>
          <w:rFonts w:eastAsia="Times New Roman" w:cs="Arial"/>
          <w:color w:val="000000" w:themeColor="text1"/>
          <w:sz w:val="21"/>
          <w:szCs w:val="21"/>
          <w:lang w:val="en-AU" w:eastAsia="en-AU"/>
        </w:rPr>
        <w:t>including</w:t>
      </w:r>
      <w:r w:rsidR="007F4ABD">
        <w:rPr>
          <w:rFonts w:eastAsia="Times New Roman" w:cs="Arial"/>
          <w:color w:val="000000" w:themeColor="text1"/>
          <w:sz w:val="21"/>
          <w:szCs w:val="21"/>
          <w:lang w:val="en-AU" w:eastAsia="en-AU"/>
        </w:rPr>
        <w:t xml:space="preserve"> those with </w:t>
      </w:r>
      <w:r w:rsidR="00051C33">
        <w:rPr>
          <w:rFonts w:eastAsia="Times New Roman" w:cs="Arial"/>
          <w:color w:val="000000" w:themeColor="text1"/>
          <w:sz w:val="21"/>
          <w:szCs w:val="21"/>
          <w:lang w:val="en-AU" w:eastAsia="en-AU"/>
        </w:rPr>
        <w:t xml:space="preserve">a </w:t>
      </w:r>
      <w:r w:rsidR="007F4ABD">
        <w:rPr>
          <w:rFonts w:eastAsia="Times New Roman" w:cs="Arial"/>
          <w:color w:val="000000" w:themeColor="text1"/>
          <w:sz w:val="21"/>
          <w:szCs w:val="21"/>
          <w:lang w:val="en-AU" w:eastAsia="en-AU"/>
        </w:rPr>
        <w:t xml:space="preserve">disability and those living in </w:t>
      </w:r>
      <w:r w:rsidR="00BC713E">
        <w:rPr>
          <w:rFonts w:eastAsia="Times New Roman" w:cs="Arial"/>
          <w:color w:val="000000" w:themeColor="text1"/>
          <w:sz w:val="21"/>
          <w:szCs w:val="21"/>
          <w:lang w:val="en-AU" w:eastAsia="en-AU"/>
        </w:rPr>
        <w:t>frontier, outermost and remote regions.</w:t>
      </w:r>
      <w:r w:rsidRPr="005C0DD3">
        <w:rPr>
          <w:rFonts w:eastAsia="Times New Roman" w:cs="Arial"/>
          <w:color w:val="000000" w:themeColor="text1"/>
          <w:sz w:val="21"/>
          <w:szCs w:val="21"/>
          <w:lang w:val="en-AU" w:eastAsia="en-AU"/>
        </w:rPr>
        <w:t xml:space="preserve"> </w:t>
      </w:r>
    </w:p>
    <w:p w:rsidR="008A5CBC" w:rsidRPr="008C3386" w:rsidRDefault="005F4684" w:rsidP="00AE4029">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The Governments of Indonesia and Australia </w:t>
      </w:r>
      <w:r w:rsidR="007E5394">
        <w:rPr>
          <w:rFonts w:eastAsia="Times New Roman" w:cs="Arial"/>
          <w:color w:val="000000" w:themeColor="text1"/>
          <w:sz w:val="21"/>
          <w:szCs w:val="21"/>
          <w:lang w:val="en-AU" w:eastAsia="en-AU"/>
        </w:rPr>
        <w:t>are keen to</w:t>
      </w:r>
      <w:r>
        <w:rPr>
          <w:rFonts w:eastAsia="Times New Roman" w:cs="Arial"/>
          <w:color w:val="000000" w:themeColor="text1"/>
          <w:sz w:val="21"/>
          <w:szCs w:val="21"/>
          <w:lang w:val="en-AU" w:eastAsia="en-AU"/>
        </w:rPr>
        <w:t xml:space="preserve"> facilitate </w:t>
      </w:r>
      <w:r w:rsidR="009F0E7A">
        <w:rPr>
          <w:rFonts w:eastAsia="Times New Roman" w:cs="Arial"/>
          <w:color w:val="000000" w:themeColor="text1"/>
          <w:sz w:val="21"/>
          <w:szCs w:val="21"/>
          <w:lang w:val="en-AU" w:eastAsia="en-AU"/>
        </w:rPr>
        <w:t xml:space="preserve">incremental </w:t>
      </w:r>
      <w:r>
        <w:rPr>
          <w:rFonts w:eastAsia="Times New Roman" w:cs="Arial"/>
          <w:color w:val="000000" w:themeColor="text1"/>
          <w:sz w:val="21"/>
          <w:szCs w:val="21"/>
          <w:lang w:val="en-AU" w:eastAsia="en-AU"/>
        </w:rPr>
        <w:t xml:space="preserve">change </w:t>
      </w:r>
      <w:r w:rsidR="0011703A">
        <w:rPr>
          <w:rFonts w:eastAsia="Times New Roman" w:cs="Arial"/>
          <w:color w:val="000000" w:themeColor="text1"/>
          <w:sz w:val="21"/>
          <w:szCs w:val="21"/>
          <w:lang w:val="en-AU" w:eastAsia="en-AU"/>
        </w:rPr>
        <w:t>by tack</w:t>
      </w:r>
      <w:r w:rsidR="00560BE2">
        <w:rPr>
          <w:rFonts w:eastAsia="Times New Roman" w:cs="Arial"/>
          <w:color w:val="000000" w:themeColor="text1"/>
          <w:sz w:val="21"/>
          <w:szCs w:val="21"/>
          <w:lang w:val="en-AU" w:eastAsia="en-AU"/>
        </w:rPr>
        <w:t>l</w:t>
      </w:r>
      <w:r w:rsidR="0011703A">
        <w:rPr>
          <w:rFonts w:eastAsia="Times New Roman" w:cs="Arial"/>
          <w:color w:val="000000" w:themeColor="text1"/>
          <w:sz w:val="21"/>
          <w:szCs w:val="21"/>
          <w:lang w:val="en-AU" w:eastAsia="en-AU"/>
        </w:rPr>
        <w:t xml:space="preserve">ing the deep-seated </w:t>
      </w:r>
      <w:r w:rsidR="006D3FB1">
        <w:rPr>
          <w:rFonts w:eastAsia="Times New Roman" w:cs="Arial"/>
          <w:color w:val="000000" w:themeColor="text1"/>
          <w:sz w:val="21"/>
          <w:szCs w:val="21"/>
          <w:lang w:val="en-AU" w:eastAsia="en-AU"/>
        </w:rPr>
        <w:t xml:space="preserve">policy, political and institutional </w:t>
      </w:r>
      <w:r w:rsidR="0011703A">
        <w:rPr>
          <w:rFonts w:eastAsia="Times New Roman" w:cs="Arial"/>
          <w:color w:val="000000" w:themeColor="text1"/>
          <w:sz w:val="21"/>
          <w:szCs w:val="21"/>
          <w:lang w:val="en-AU" w:eastAsia="en-AU"/>
        </w:rPr>
        <w:t xml:space="preserve">constraints to improved learning for all. </w:t>
      </w:r>
      <w:r w:rsidR="00AD7071">
        <w:rPr>
          <w:rFonts w:eastAsia="Times New Roman" w:cs="Arial"/>
          <w:color w:val="000000" w:themeColor="text1"/>
          <w:sz w:val="21"/>
          <w:szCs w:val="21"/>
          <w:lang w:val="en-AU" w:eastAsia="en-AU"/>
        </w:rPr>
        <w:t>The three-year TASS facility represents a strategic</w:t>
      </w:r>
      <w:r w:rsidR="00AD7071" w:rsidRPr="000869B9">
        <w:rPr>
          <w:rFonts w:cs="Arial"/>
          <w:color w:val="000000" w:themeColor="text1"/>
          <w:sz w:val="21"/>
          <w:szCs w:val="21"/>
          <w:lang w:eastAsia="en-AU"/>
        </w:rPr>
        <w:t xml:space="preserve"> investment in better state capability</w:t>
      </w:r>
      <w:r w:rsidR="00AD7071">
        <w:rPr>
          <w:rFonts w:cs="Arial"/>
          <w:color w:val="000000" w:themeColor="text1"/>
          <w:sz w:val="21"/>
          <w:szCs w:val="21"/>
          <w:lang w:eastAsia="en-AU"/>
        </w:rPr>
        <w:t>; one that supports domestic efforts to ‘nudge’ the sector towards improved policy and practice.</w:t>
      </w:r>
      <w:r w:rsidR="00AD7071" w:rsidRPr="00AE4029">
        <w:rPr>
          <w:rFonts w:cs="Arial"/>
          <w:color w:val="000000" w:themeColor="text1"/>
          <w:sz w:val="21"/>
          <w:szCs w:val="21"/>
          <w:lang w:eastAsia="en-AU"/>
        </w:rPr>
        <w:t xml:space="preserve"> </w:t>
      </w:r>
      <w:r w:rsidR="00AD7071">
        <w:rPr>
          <w:rFonts w:eastAsia="Times New Roman" w:cs="Arial"/>
          <w:color w:val="000000" w:themeColor="text1"/>
          <w:sz w:val="21"/>
          <w:szCs w:val="21"/>
          <w:lang w:val="en-AU" w:eastAsia="en-AU"/>
        </w:rPr>
        <w:t>By working</w:t>
      </w:r>
      <w:r w:rsidR="008C6C7D">
        <w:rPr>
          <w:rFonts w:eastAsia="Times New Roman" w:cs="Arial"/>
          <w:color w:val="000000" w:themeColor="text1"/>
          <w:sz w:val="21"/>
          <w:szCs w:val="21"/>
          <w:lang w:val="en-AU" w:eastAsia="en-AU"/>
        </w:rPr>
        <w:t xml:space="preserve"> with national-level policy-makers to support the emergence of a </w:t>
      </w:r>
      <w:r w:rsidR="006D3FB1">
        <w:rPr>
          <w:rFonts w:eastAsia="Times New Roman" w:cs="Arial"/>
          <w:color w:val="000000" w:themeColor="text1"/>
          <w:sz w:val="21"/>
          <w:szCs w:val="21"/>
          <w:lang w:val="en-AU" w:eastAsia="en-AU"/>
        </w:rPr>
        <w:t>systems</w:t>
      </w:r>
      <w:r w:rsidR="008C6C7D">
        <w:rPr>
          <w:rFonts w:eastAsia="Times New Roman" w:cs="Arial"/>
          <w:color w:val="000000" w:themeColor="text1"/>
          <w:sz w:val="21"/>
          <w:szCs w:val="21"/>
          <w:lang w:val="en-AU" w:eastAsia="en-AU"/>
        </w:rPr>
        <w:t xml:space="preserve">-focused approach to </w:t>
      </w:r>
      <w:r w:rsidR="00231EFA">
        <w:rPr>
          <w:rFonts w:eastAsia="Times New Roman" w:cs="Arial"/>
          <w:color w:val="000000" w:themeColor="text1"/>
          <w:sz w:val="21"/>
          <w:szCs w:val="21"/>
          <w:lang w:val="en-AU" w:eastAsia="en-AU"/>
        </w:rPr>
        <w:t>improving learning outcomes</w:t>
      </w:r>
      <w:r w:rsidR="008C6C7D">
        <w:rPr>
          <w:rFonts w:eastAsia="Times New Roman" w:cs="Arial"/>
          <w:color w:val="000000" w:themeColor="text1"/>
          <w:sz w:val="21"/>
          <w:szCs w:val="21"/>
          <w:lang w:val="en-AU" w:eastAsia="en-AU"/>
        </w:rPr>
        <w:t xml:space="preserve"> </w:t>
      </w:r>
      <w:r w:rsidR="008C6C7D" w:rsidRPr="00231EFA">
        <w:rPr>
          <w:rFonts w:eastAsia="Times New Roman" w:cs="Arial"/>
          <w:i/>
          <w:color w:val="000000" w:themeColor="text1"/>
          <w:sz w:val="21"/>
          <w:szCs w:val="21"/>
          <w:lang w:val="en-AU" w:eastAsia="en-AU"/>
        </w:rPr>
        <w:t>for all</w:t>
      </w:r>
      <w:r w:rsidR="008A5CBC">
        <w:rPr>
          <w:rFonts w:eastAsia="Times New Roman" w:cs="Arial"/>
          <w:color w:val="000000" w:themeColor="text1"/>
          <w:sz w:val="21"/>
          <w:szCs w:val="21"/>
          <w:lang w:val="en-AU" w:eastAsia="en-AU"/>
        </w:rPr>
        <w:t xml:space="preserve">, the Governments of Indonesia </w:t>
      </w:r>
      <w:r w:rsidR="008A5CBC" w:rsidRPr="008C3386">
        <w:rPr>
          <w:rFonts w:eastAsia="Times New Roman" w:cs="Arial"/>
          <w:color w:val="000000" w:themeColor="text1"/>
          <w:sz w:val="21"/>
          <w:szCs w:val="21"/>
          <w:lang w:val="en-AU" w:eastAsia="en-AU"/>
        </w:rPr>
        <w:t xml:space="preserve">and Australia wish to </w:t>
      </w:r>
    </w:p>
    <w:p w:rsidR="008A5CBC" w:rsidRPr="008C3386" w:rsidRDefault="008A5CBC" w:rsidP="008A5CBC">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8C3386">
        <w:rPr>
          <w:rFonts w:cs="Arial"/>
          <w:color w:val="000000" w:themeColor="text1"/>
          <w:sz w:val="21"/>
          <w:szCs w:val="21"/>
          <w:lang w:eastAsia="en-AU"/>
        </w:rPr>
        <w:t>improve the quality of teaching and learning in classrooms and schools (Goal 1)</w:t>
      </w:r>
      <w:r w:rsidR="009E7AA1">
        <w:rPr>
          <w:rFonts w:cs="Arial"/>
          <w:color w:val="000000" w:themeColor="text1"/>
          <w:sz w:val="21"/>
          <w:szCs w:val="21"/>
          <w:lang w:eastAsia="en-AU"/>
        </w:rPr>
        <w:t>;</w:t>
      </w:r>
      <w:r w:rsidRPr="008C3386">
        <w:rPr>
          <w:rFonts w:cs="Arial"/>
          <w:color w:val="000000" w:themeColor="text1"/>
          <w:sz w:val="21"/>
          <w:szCs w:val="21"/>
          <w:lang w:eastAsia="en-AU"/>
        </w:rPr>
        <w:t xml:space="preserve"> and</w:t>
      </w:r>
    </w:p>
    <w:p w:rsidR="008A5CBC" w:rsidRPr="008C3386" w:rsidRDefault="008A5CBC" w:rsidP="008A5CBC">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8C3386">
        <w:rPr>
          <w:rFonts w:cs="Arial"/>
          <w:color w:val="000000" w:themeColor="text1"/>
          <w:sz w:val="21"/>
          <w:szCs w:val="21"/>
          <w:lang w:eastAsia="en-AU"/>
        </w:rPr>
        <w:t xml:space="preserve">reduce the impact of </w:t>
      </w:r>
      <w:r w:rsidR="00EC2A54">
        <w:rPr>
          <w:rFonts w:cs="Arial"/>
          <w:color w:val="000000" w:themeColor="text1"/>
          <w:sz w:val="21"/>
          <w:szCs w:val="21"/>
          <w:lang w:eastAsia="en-AU"/>
        </w:rPr>
        <w:t>r</w:t>
      </w:r>
      <w:r w:rsidR="00EC2A54" w:rsidRPr="00EC2A54">
        <w:rPr>
          <w:rFonts w:cs="Arial"/>
          <w:color w:val="000000" w:themeColor="text1"/>
          <w:sz w:val="21"/>
          <w:szCs w:val="21"/>
          <w:lang w:eastAsia="en-AU"/>
        </w:rPr>
        <w:t>egional, socio-economic, gender</w:t>
      </w:r>
      <w:r w:rsidR="00EC2A54">
        <w:rPr>
          <w:rFonts w:cs="Arial"/>
          <w:color w:val="000000" w:themeColor="text1"/>
          <w:sz w:val="21"/>
          <w:szCs w:val="21"/>
          <w:lang w:eastAsia="en-AU"/>
        </w:rPr>
        <w:t xml:space="preserve"> and </w:t>
      </w:r>
      <w:r w:rsidR="00EC2A54" w:rsidRPr="00EC2A54">
        <w:rPr>
          <w:rFonts w:cs="Arial"/>
          <w:color w:val="000000" w:themeColor="text1"/>
          <w:sz w:val="21"/>
          <w:szCs w:val="21"/>
          <w:lang w:eastAsia="en-AU"/>
        </w:rPr>
        <w:t>disability</w:t>
      </w:r>
      <w:r w:rsidR="000A08D3">
        <w:rPr>
          <w:rFonts w:cs="Arial"/>
          <w:color w:val="000000" w:themeColor="text1"/>
          <w:sz w:val="21"/>
          <w:szCs w:val="21"/>
          <w:lang w:eastAsia="en-AU"/>
        </w:rPr>
        <w:t xml:space="preserve">-related </w:t>
      </w:r>
      <w:r w:rsidRPr="008C3386">
        <w:rPr>
          <w:rFonts w:cs="Arial"/>
          <w:color w:val="000000" w:themeColor="text1"/>
          <w:sz w:val="21"/>
          <w:szCs w:val="21"/>
          <w:lang w:eastAsia="en-AU"/>
        </w:rPr>
        <w:t>disparities</w:t>
      </w:r>
      <w:r w:rsidR="000A08D3">
        <w:rPr>
          <w:rFonts w:cs="Arial"/>
          <w:color w:val="000000" w:themeColor="text1"/>
          <w:sz w:val="21"/>
          <w:szCs w:val="21"/>
          <w:lang w:eastAsia="en-AU"/>
        </w:rPr>
        <w:t xml:space="preserve"> </w:t>
      </w:r>
      <w:r w:rsidRPr="008C3386">
        <w:rPr>
          <w:rFonts w:cs="Arial"/>
          <w:color w:val="000000" w:themeColor="text1"/>
          <w:sz w:val="21"/>
          <w:szCs w:val="21"/>
          <w:lang w:eastAsia="en-AU"/>
        </w:rPr>
        <w:t>on teaching and student learning outcomes (Goal 2).</w:t>
      </w:r>
    </w:p>
    <w:p w:rsidR="00DA2010" w:rsidRPr="008C3386" w:rsidRDefault="00DA2010" w:rsidP="00DA2010">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8C3386">
        <w:rPr>
          <w:rFonts w:eastAsia="Times New Roman" w:cs="Arial"/>
          <w:color w:val="000000" w:themeColor="text1"/>
          <w:sz w:val="21"/>
          <w:szCs w:val="21"/>
          <w:lang w:val="en-AU" w:eastAsia="en-AU"/>
        </w:rPr>
        <w:t xml:space="preserve">Guided by those high-level ambitions, </w:t>
      </w:r>
      <w:r w:rsidR="00915F4E" w:rsidRPr="008C3386">
        <w:rPr>
          <w:rFonts w:eastAsia="Times New Roman" w:cs="Arial"/>
          <w:color w:val="000000" w:themeColor="text1"/>
          <w:sz w:val="21"/>
          <w:szCs w:val="21"/>
          <w:lang w:val="en-AU" w:eastAsia="en-AU"/>
        </w:rPr>
        <w:t xml:space="preserve">TASS </w:t>
      </w:r>
      <w:r w:rsidR="00C76AF4" w:rsidRPr="008C3386">
        <w:rPr>
          <w:rFonts w:eastAsia="Times New Roman" w:cs="Arial"/>
          <w:color w:val="000000" w:themeColor="text1"/>
          <w:sz w:val="21"/>
          <w:szCs w:val="21"/>
          <w:lang w:val="en-AU" w:eastAsia="en-AU"/>
        </w:rPr>
        <w:t>deliver</w:t>
      </w:r>
      <w:r w:rsidR="000A08D3">
        <w:rPr>
          <w:rFonts w:eastAsia="Times New Roman" w:cs="Arial"/>
          <w:color w:val="000000" w:themeColor="text1"/>
          <w:sz w:val="21"/>
          <w:szCs w:val="21"/>
          <w:lang w:val="en-AU" w:eastAsia="en-AU"/>
        </w:rPr>
        <w:t>s</w:t>
      </w:r>
      <w:r w:rsidR="00E833DF" w:rsidRPr="008C3386">
        <w:rPr>
          <w:rFonts w:eastAsia="Times New Roman" w:cs="Arial"/>
          <w:color w:val="000000" w:themeColor="text1"/>
          <w:sz w:val="21"/>
          <w:szCs w:val="21"/>
          <w:lang w:val="en-AU" w:eastAsia="en-AU"/>
        </w:rPr>
        <w:t xml:space="preserve"> </w:t>
      </w:r>
      <w:r w:rsidR="0042332E">
        <w:rPr>
          <w:rFonts w:eastAsia="Times New Roman" w:cs="Arial"/>
          <w:color w:val="000000" w:themeColor="text1"/>
          <w:sz w:val="21"/>
          <w:szCs w:val="21"/>
          <w:lang w:val="en-AU" w:eastAsia="en-AU"/>
        </w:rPr>
        <w:t xml:space="preserve">low-cost, short-term </w:t>
      </w:r>
      <w:r w:rsidR="00E833DF" w:rsidRPr="008C3386">
        <w:rPr>
          <w:rFonts w:eastAsia="Times New Roman" w:cs="Arial"/>
          <w:color w:val="000000" w:themeColor="text1"/>
          <w:sz w:val="21"/>
          <w:szCs w:val="21"/>
          <w:lang w:val="en-AU" w:eastAsia="en-AU"/>
        </w:rPr>
        <w:t>catalytic assistance</w:t>
      </w:r>
      <w:r w:rsidR="005065CD">
        <w:rPr>
          <w:rFonts w:eastAsia="Times New Roman" w:cs="Arial"/>
          <w:color w:val="000000" w:themeColor="text1"/>
          <w:sz w:val="21"/>
          <w:szCs w:val="21"/>
          <w:lang w:val="en-AU" w:eastAsia="en-AU"/>
        </w:rPr>
        <w:t xml:space="preserve"> to key decision-makers</w:t>
      </w:r>
      <w:r w:rsidR="00026D86">
        <w:rPr>
          <w:rFonts w:eastAsia="Times New Roman" w:cs="Arial"/>
          <w:color w:val="000000" w:themeColor="text1"/>
          <w:sz w:val="21"/>
          <w:szCs w:val="21"/>
          <w:lang w:val="en-AU" w:eastAsia="en-AU"/>
        </w:rPr>
        <w:t xml:space="preserve">. This extends from </w:t>
      </w:r>
      <w:r w:rsidR="00E833DF" w:rsidRPr="008C3386">
        <w:rPr>
          <w:rFonts w:eastAsia="Times New Roman" w:cs="Arial"/>
          <w:color w:val="000000" w:themeColor="text1"/>
          <w:sz w:val="21"/>
          <w:szCs w:val="21"/>
          <w:lang w:val="en-AU" w:eastAsia="en-AU"/>
        </w:rPr>
        <w:t xml:space="preserve">the </w:t>
      </w:r>
      <w:r w:rsidR="00C76AF4" w:rsidRPr="008C3386">
        <w:rPr>
          <w:rFonts w:eastAsia="Times New Roman" w:cs="Arial"/>
          <w:color w:val="000000" w:themeColor="text1"/>
          <w:sz w:val="21"/>
          <w:szCs w:val="21"/>
          <w:lang w:val="en-AU" w:eastAsia="en-AU"/>
        </w:rPr>
        <w:t>provision</w:t>
      </w:r>
      <w:r w:rsidR="00E833DF" w:rsidRPr="008C3386">
        <w:rPr>
          <w:rFonts w:eastAsia="Times New Roman" w:cs="Arial"/>
          <w:color w:val="000000" w:themeColor="text1"/>
          <w:sz w:val="21"/>
          <w:szCs w:val="21"/>
          <w:lang w:val="en-AU" w:eastAsia="en-AU"/>
        </w:rPr>
        <w:t xml:space="preserve"> of technical advice</w:t>
      </w:r>
      <w:r w:rsidR="005065CD">
        <w:rPr>
          <w:rFonts w:eastAsia="Times New Roman" w:cs="Arial"/>
          <w:color w:val="000000" w:themeColor="text1"/>
          <w:sz w:val="21"/>
          <w:szCs w:val="21"/>
          <w:lang w:val="en-AU" w:eastAsia="en-AU"/>
        </w:rPr>
        <w:t xml:space="preserve"> and </w:t>
      </w:r>
      <w:r w:rsidR="00456CEE" w:rsidRPr="008C3386">
        <w:rPr>
          <w:rFonts w:cs="Arial"/>
          <w:color w:val="000000" w:themeColor="text1"/>
          <w:sz w:val="21"/>
          <w:szCs w:val="21"/>
          <w:lang w:eastAsia="en-AU"/>
        </w:rPr>
        <w:t>trusted, yet independent support, peer review, and encouragement</w:t>
      </w:r>
      <w:r w:rsidR="00246506">
        <w:rPr>
          <w:rFonts w:cs="Arial"/>
          <w:color w:val="000000" w:themeColor="text1"/>
          <w:sz w:val="21"/>
          <w:szCs w:val="21"/>
          <w:lang w:eastAsia="en-AU"/>
        </w:rPr>
        <w:t>,</w:t>
      </w:r>
      <w:r w:rsidR="00456CEE" w:rsidRPr="008C3386">
        <w:rPr>
          <w:rFonts w:cs="Arial"/>
          <w:color w:val="000000" w:themeColor="text1"/>
          <w:sz w:val="21"/>
          <w:szCs w:val="21"/>
          <w:lang w:eastAsia="en-AU"/>
        </w:rPr>
        <w:t xml:space="preserve"> </w:t>
      </w:r>
      <w:r w:rsidR="00456CEE">
        <w:rPr>
          <w:rFonts w:cs="Arial"/>
          <w:color w:val="000000" w:themeColor="text1"/>
          <w:sz w:val="21"/>
          <w:szCs w:val="21"/>
          <w:lang w:eastAsia="en-AU"/>
        </w:rPr>
        <w:t xml:space="preserve">to the </w:t>
      </w:r>
      <w:r w:rsidR="00456CEE">
        <w:rPr>
          <w:rFonts w:eastAsia="Times New Roman" w:cs="Arial"/>
          <w:color w:val="000000" w:themeColor="text1"/>
          <w:sz w:val="21"/>
          <w:szCs w:val="21"/>
          <w:lang w:val="en-AU" w:eastAsia="en-AU"/>
        </w:rPr>
        <w:t>t</w:t>
      </w:r>
      <w:r w:rsidR="00E833DF" w:rsidRPr="008C3386">
        <w:rPr>
          <w:rFonts w:eastAsia="Times New Roman" w:cs="Arial"/>
          <w:color w:val="000000" w:themeColor="text1"/>
          <w:sz w:val="21"/>
          <w:szCs w:val="21"/>
          <w:lang w:val="en-AU" w:eastAsia="en-AU"/>
        </w:rPr>
        <w:t xml:space="preserve">he brokering of </w:t>
      </w:r>
      <w:r w:rsidR="00915F4E" w:rsidRPr="008C3386">
        <w:rPr>
          <w:rFonts w:cs="Arial"/>
          <w:color w:val="000000" w:themeColor="text1"/>
          <w:sz w:val="21"/>
          <w:szCs w:val="21"/>
          <w:lang w:eastAsia="en-AU"/>
        </w:rPr>
        <w:t xml:space="preserve">dialogue and collaborative engagement between sector stakeholders. </w:t>
      </w:r>
      <w:r w:rsidR="00026D86">
        <w:rPr>
          <w:rFonts w:cs="Arial"/>
          <w:color w:val="000000" w:themeColor="text1"/>
          <w:sz w:val="21"/>
          <w:szCs w:val="21"/>
          <w:lang w:eastAsia="en-AU"/>
        </w:rPr>
        <w:t>Such</w:t>
      </w:r>
      <w:r w:rsidR="005B7641" w:rsidRPr="008C3386">
        <w:rPr>
          <w:rFonts w:cs="Arial"/>
          <w:color w:val="000000" w:themeColor="text1"/>
          <w:sz w:val="21"/>
          <w:szCs w:val="21"/>
          <w:lang w:eastAsia="en-AU"/>
        </w:rPr>
        <w:t xml:space="preserve"> support is intended to </w:t>
      </w:r>
      <w:r w:rsidRPr="008C3386">
        <w:rPr>
          <w:rFonts w:eastAsia="Times New Roman" w:cs="Arial"/>
          <w:i/>
          <w:color w:val="000000" w:themeColor="text1"/>
          <w:sz w:val="21"/>
          <w:szCs w:val="21"/>
          <w:lang w:val="en-AU" w:eastAsia="en-AU"/>
        </w:rPr>
        <w:t>contribute</w:t>
      </w:r>
      <w:r w:rsidRPr="008C3386">
        <w:rPr>
          <w:rFonts w:eastAsia="Times New Roman" w:cs="Arial"/>
          <w:color w:val="000000" w:themeColor="text1"/>
          <w:sz w:val="21"/>
          <w:szCs w:val="21"/>
          <w:lang w:val="en-AU" w:eastAsia="en-AU"/>
        </w:rPr>
        <w:t xml:space="preserve"> to two changes in the sector landscape:</w:t>
      </w:r>
    </w:p>
    <w:p w:rsidR="00DA2010" w:rsidRPr="008C3386" w:rsidRDefault="00DA2010" w:rsidP="00DA2010">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8C3386">
        <w:rPr>
          <w:rFonts w:cs="Arial"/>
          <w:color w:val="000000" w:themeColor="text1"/>
          <w:sz w:val="21"/>
          <w:szCs w:val="21"/>
          <w:lang w:eastAsia="en-AU"/>
        </w:rPr>
        <w:t>participating decision-makers within the Indonesian Government apply the policies, systems, processes, and programs needed to affect education reform (End of Facility Outcome 1); and</w:t>
      </w:r>
    </w:p>
    <w:p w:rsidR="00DA2010" w:rsidRPr="008C3386" w:rsidRDefault="00DA2010" w:rsidP="00DA2010">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8C3386">
        <w:rPr>
          <w:rFonts w:cs="Arial"/>
          <w:color w:val="000000" w:themeColor="text1"/>
          <w:sz w:val="21"/>
          <w:szCs w:val="21"/>
          <w:lang w:eastAsia="en-AU"/>
        </w:rPr>
        <w:t>participating decision-makers within the Indonesian Government implement processes that help bridge the divide between policy and implementation (End of Facility Outcome 2).</w:t>
      </w:r>
    </w:p>
    <w:p w:rsidR="00A61AD7" w:rsidRPr="008C3386" w:rsidRDefault="00E6541F" w:rsidP="00A61AD7">
      <w:pPr>
        <w:tabs>
          <w:tab w:val="left" w:pos="284"/>
        </w:tabs>
        <w:suppressAutoHyphens w:val="0"/>
        <w:spacing w:after="120" w:line="280" w:lineRule="exact"/>
        <w:jc w:val="both"/>
        <w:rPr>
          <w:rFonts w:eastAsia="Times New Roman" w:cs="Arial"/>
          <w:color w:val="000000" w:themeColor="text1"/>
          <w:sz w:val="21"/>
          <w:szCs w:val="21"/>
          <w:lang w:val="en-AU" w:eastAsia="en-AU"/>
        </w:rPr>
      </w:pPr>
      <w:r>
        <w:rPr>
          <w:color w:val="auto"/>
          <w:sz w:val="21"/>
          <w:szCs w:val="21"/>
        </w:rPr>
        <w:lastRenderedPageBreak/>
        <w:t>While t</w:t>
      </w:r>
      <w:r w:rsidR="00843241" w:rsidRPr="008C3386">
        <w:rPr>
          <w:color w:val="auto"/>
          <w:sz w:val="21"/>
          <w:szCs w:val="21"/>
        </w:rPr>
        <w:t xml:space="preserve">he </w:t>
      </w:r>
      <w:r w:rsidR="003E0A51" w:rsidRPr="008C3386">
        <w:rPr>
          <w:color w:val="auto"/>
          <w:sz w:val="21"/>
          <w:szCs w:val="21"/>
        </w:rPr>
        <w:t>EOFO</w:t>
      </w:r>
      <w:r>
        <w:rPr>
          <w:color w:val="auto"/>
          <w:sz w:val="21"/>
          <w:szCs w:val="21"/>
        </w:rPr>
        <w:t>s</w:t>
      </w:r>
      <w:r w:rsidR="003E0A51" w:rsidRPr="008C3386">
        <w:rPr>
          <w:color w:val="auto"/>
          <w:sz w:val="21"/>
          <w:szCs w:val="21"/>
        </w:rPr>
        <w:t xml:space="preserve"> </w:t>
      </w:r>
      <w:r w:rsidR="001B4045" w:rsidRPr="008C3386">
        <w:rPr>
          <w:color w:val="auto"/>
          <w:sz w:val="21"/>
          <w:szCs w:val="21"/>
        </w:rPr>
        <w:t xml:space="preserve">frame investment choices and ways of working, </w:t>
      </w:r>
      <w:r w:rsidR="00127E64" w:rsidRPr="008C3386">
        <w:rPr>
          <w:color w:val="auto"/>
          <w:sz w:val="21"/>
          <w:szCs w:val="21"/>
        </w:rPr>
        <w:t xml:space="preserve">they are </w:t>
      </w:r>
      <w:r w:rsidR="003E0A51" w:rsidRPr="008C3386">
        <w:rPr>
          <w:color w:val="auto"/>
          <w:sz w:val="21"/>
          <w:szCs w:val="21"/>
        </w:rPr>
        <w:t xml:space="preserve">beyond the </w:t>
      </w:r>
      <w:r w:rsidR="00C35878" w:rsidRPr="008C3386">
        <w:rPr>
          <w:color w:val="auto"/>
          <w:sz w:val="21"/>
          <w:szCs w:val="21"/>
        </w:rPr>
        <w:t xml:space="preserve">control or even direct influence </w:t>
      </w:r>
      <w:r w:rsidR="003E0A51" w:rsidRPr="008C3386">
        <w:rPr>
          <w:color w:val="auto"/>
          <w:sz w:val="21"/>
          <w:szCs w:val="21"/>
        </w:rPr>
        <w:t>of TASS</w:t>
      </w:r>
      <w:r w:rsidR="00127E64" w:rsidRPr="008C3386">
        <w:rPr>
          <w:color w:val="auto"/>
          <w:sz w:val="21"/>
          <w:szCs w:val="21"/>
        </w:rPr>
        <w:t>. T</w:t>
      </w:r>
      <w:r w:rsidR="007F0387" w:rsidRPr="008C3386">
        <w:rPr>
          <w:color w:val="auto"/>
          <w:sz w:val="21"/>
          <w:szCs w:val="21"/>
        </w:rPr>
        <w:t xml:space="preserve">ASS is </w:t>
      </w:r>
      <w:r w:rsidR="00127E64" w:rsidRPr="008C3386">
        <w:rPr>
          <w:color w:val="auto"/>
          <w:sz w:val="21"/>
          <w:szCs w:val="21"/>
        </w:rPr>
        <w:t xml:space="preserve">therefore </w:t>
      </w:r>
      <w:r w:rsidR="007F0387" w:rsidRPr="008C3386">
        <w:rPr>
          <w:color w:val="auto"/>
          <w:sz w:val="21"/>
          <w:szCs w:val="21"/>
        </w:rPr>
        <w:t xml:space="preserve">expected to make a </w:t>
      </w:r>
      <w:r w:rsidR="007F0387" w:rsidRPr="00D66FE9">
        <w:rPr>
          <w:i/>
          <w:color w:val="auto"/>
          <w:sz w:val="21"/>
          <w:szCs w:val="21"/>
        </w:rPr>
        <w:t>significant contribution</w:t>
      </w:r>
      <w:r w:rsidR="007F0387" w:rsidRPr="008C3386">
        <w:rPr>
          <w:color w:val="auto"/>
          <w:sz w:val="21"/>
          <w:szCs w:val="21"/>
        </w:rPr>
        <w:t xml:space="preserve"> to the attainment of </w:t>
      </w:r>
      <w:r w:rsidR="00A61AD7" w:rsidRPr="008C3386">
        <w:rPr>
          <w:rFonts w:eastAsia="Times New Roman" w:cs="Arial"/>
          <w:color w:val="000000" w:themeColor="text1"/>
          <w:sz w:val="21"/>
          <w:szCs w:val="21"/>
          <w:lang w:val="en-AU" w:eastAsia="en-AU"/>
        </w:rPr>
        <w:t>three intermediate outcomes:</w:t>
      </w:r>
    </w:p>
    <w:p w:rsidR="00A61AD7" w:rsidRPr="008C3386" w:rsidRDefault="00A61AD7" w:rsidP="00A61AD7">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8C3386">
        <w:rPr>
          <w:rFonts w:cs="Arial"/>
          <w:color w:val="000000" w:themeColor="text1"/>
          <w:sz w:val="21"/>
          <w:szCs w:val="21"/>
          <w:lang w:eastAsia="en-AU"/>
        </w:rPr>
        <w:t xml:space="preserve">Participating decision-makers within the Indonesian Government draw on TASS support to improve the feasibility of policy implementation </w:t>
      </w:r>
      <w:r w:rsidRPr="008C3386">
        <w:rPr>
          <w:rFonts w:eastAsia="Times New Roman" w:cs="Arial"/>
          <w:color w:val="000000" w:themeColor="text1"/>
          <w:sz w:val="21"/>
          <w:szCs w:val="21"/>
          <w:lang w:val="en-AU" w:eastAsia="en-AU"/>
        </w:rPr>
        <w:t>(Intermediate Outcome 1)</w:t>
      </w:r>
      <w:r w:rsidR="002C262A" w:rsidRPr="008C3386">
        <w:rPr>
          <w:rFonts w:eastAsia="Times New Roman" w:cs="Arial"/>
          <w:color w:val="000000" w:themeColor="text1"/>
          <w:sz w:val="21"/>
          <w:szCs w:val="21"/>
          <w:lang w:val="en-AU" w:eastAsia="en-AU"/>
        </w:rPr>
        <w:t>.</w:t>
      </w:r>
    </w:p>
    <w:p w:rsidR="00A61AD7" w:rsidRPr="008C3386" w:rsidRDefault="00A61AD7" w:rsidP="00A61AD7">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8C3386">
        <w:rPr>
          <w:rFonts w:cs="Arial"/>
          <w:color w:val="000000" w:themeColor="text1"/>
          <w:sz w:val="21"/>
          <w:szCs w:val="21"/>
          <w:lang w:eastAsia="en-AU"/>
        </w:rPr>
        <w:t xml:space="preserve">Participating decision-makers within the Indonesian Government make </w:t>
      </w:r>
      <w:r w:rsidRPr="008C3386">
        <w:rPr>
          <w:rFonts w:cs="Arial"/>
          <w:i/>
          <w:color w:val="000000" w:themeColor="text1"/>
          <w:sz w:val="21"/>
          <w:szCs w:val="21"/>
          <w:lang w:eastAsia="en-AU"/>
        </w:rPr>
        <w:t>conceptual use</w:t>
      </w:r>
      <w:r w:rsidRPr="008C3386">
        <w:rPr>
          <w:rFonts w:cs="Arial"/>
          <w:color w:val="000000" w:themeColor="text1"/>
          <w:sz w:val="21"/>
          <w:szCs w:val="21"/>
          <w:lang w:eastAsia="en-AU"/>
        </w:rPr>
        <w:t xml:space="preserve"> of TASS-facilitated products and services </w:t>
      </w:r>
      <w:r w:rsidRPr="008C3386">
        <w:rPr>
          <w:rFonts w:eastAsia="Times New Roman" w:cs="Arial"/>
          <w:color w:val="000000" w:themeColor="text1"/>
          <w:sz w:val="21"/>
          <w:szCs w:val="21"/>
          <w:lang w:val="en-AU" w:eastAsia="en-AU"/>
        </w:rPr>
        <w:t>(Intermediate Outcome 2)</w:t>
      </w:r>
      <w:r w:rsidRPr="008C3386">
        <w:rPr>
          <w:rFonts w:cs="Arial"/>
          <w:color w:val="000000" w:themeColor="text1"/>
          <w:sz w:val="21"/>
          <w:szCs w:val="21"/>
          <w:lang w:eastAsia="en-AU"/>
        </w:rPr>
        <w:t xml:space="preserve">. </w:t>
      </w:r>
    </w:p>
    <w:p w:rsidR="00A61AD7" w:rsidRPr="008C3386" w:rsidRDefault="00A61AD7" w:rsidP="00A61AD7">
      <w:pPr>
        <w:numPr>
          <w:ilvl w:val="1"/>
          <w:numId w:val="16"/>
        </w:numPr>
        <w:tabs>
          <w:tab w:val="left" w:pos="284"/>
        </w:tabs>
        <w:suppressAutoHyphens w:val="0"/>
        <w:spacing w:after="120" w:line="280" w:lineRule="exact"/>
        <w:ind w:left="567" w:hanging="283"/>
        <w:jc w:val="both"/>
        <w:rPr>
          <w:color w:val="595959" w:themeColor="text1" w:themeTint="A6"/>
        </w:rPr>
      </w:pPr>
      <w:r w:rsidRPr="008C3386">
        <w:rPr>
          <w:rFonts w:cs="Arial"/>
          <w:color w:val="000000" w:themeColor="text1"/>
          <w:sz w:val="21"/>
          <w:szCs w:val="21"/>
          <w:lang w:eastAsia="en-AU"/>
        </w:rPr>
        <w:t xml:space="preserve">Participating decision-makers within the Indonesian Government make </w:t>
      </w:r>
      <w:r w:rsidRPr="008C3386">
        <w:rPr>
          <w:rFonts w:cs="Arial"/>
          <w:i/>
          <w:color w:val="000000" w:themeColor="text1"/>
          <w:sz w:val="21"/>
          <w:szCs w:val="21"/>
          <w:lang w:eastAsia="en-AU"/>
        </w:rPr>
        <w:t>instrumental use</w:t>
      </w:r>
      <w:r w:rsidRPr="008C3386">
        <w:rPr>
          <w:rFonts w:cs="Arial"/>
          <w:color w:val="000000" w:themeColor="text1"/>
          <w:sz w:val="21"/>
          <w:szCs w:val="21"/>
          <w:lang w:eastAsia="en-AU"/>
        </w:rPr>
        <w:t xml:space="preserve"> of TASS-facilitated products and services </w:t>
      </w:r>
      <w:r w:rsidRPr="008C3386">
        <w:rPr>
          <w:rFonts w:eastAsia="Times New Roman" w:cs="Arial"/>
          <w:color w:val="000000" w:themeColor="text1"/>
          <w:sz w:val="21"/>
          <w:szCs w:val="21"/>
          <w:lang w:val="en-AU" w:eastAsia="en-AU"/>
        </w:rPr>
        <w:t>(Intermediate Outcome 3)</w:t>
      </w:r>
      <w:r w:rsidRPr="008C3386">
        <w:rPr>
          <w:color w:val="595959" w:themeColor="text1" w:themeTint="A6"/>
        </w:rPr>
        <w:t xml:space="preserve">. </w:t>
      </w:r>
    </w:p>
    <w:p w:rsidR="00BE35DB" w:rsidRDefault="00A83E61" w:rsidP="00BE35DB">
      <w:pPr>
        <w:tabs>
          <w:tab w:val="left" w:pos="284"/>
        </w:tabs>
        <w:suppressAutoHyphens w:val="0"/>
        <w:spacing w:after="120" w:line="280" w:lineRule="exact"/>
        <w:jc w:val="both"/>
        <w:rPr>
          <w:rFonts w:cs="Arial"/>
          <w:color w:val="000000" w:themeColor="text1"/>
          <w:sz w:val="21"/>
          <w:szCs w:val="21"/>
          <w:lang w:eastAsia="en-AU"/>
        </w:rPr>
      </w:pPr>
      <w:r>
        <w:rPr>
          <w:rFonts w:cs="Arial"/>
          <w:color w:val="000000" w:themeColor="text1"/>
          <w:sz w:val="21"/>
          <w:szCs w:val="21"/>
          <w:lang w:eastAsia="en-AU"/>
        </w:rPr>
        <w:t xml:space="preserve">TASS is an </w:t>
      </w:r>
      <w:r w:rsidRPr="00210907">
        <w:rPr>
          <w:rFonts w:cs="Arial"/>
          <w:i/>
          <w:color w:val="000000" w:themeColor="text1"/>
          <w:sz w:val="21"/>
          <w:szCs w:val="21"/>
          <w:lang w:eastAsia="en-AU"/>
        </w:rPr>
        <w:t>active participant</w:t>
      </w:r>
      <w:r>
        <w:rPr>
          <w:rFonts w:cs="Arial"/>
          <w:color w:val="000000" w:themeColor="text1"/>
          <w:sz w:val="21"/>
          <w:szCs w:val="21"/>
          <w:lang w:eastAsia="en-AU"/>
        </w:rPr>
        <w:t xml:space="preserve"> in the Indonesian education sector: it is variously a broker, </w:t>
      </w:r>
      <w:r w:rsidR="00D66FE9">
        <w:rPr>
          <w:rFonts w:cs="Arial"/>
          <w:color w:val="000000" w:themeColor="text1"/>
          <w:sz w:val="21"/>
          <w:szCs w:val="21"/>
          <w:lang w:eastAsia="en-AU"/>
        </w:rPr>
        <w:t xml:space="preserve">a </w:t>
      </w:r>
      <w:r>
        <w:rPr>
          <w:rFonts w:cs="Arial"/>
          <w:color w:val="000000" w:themeColor="text1"/>
          <w:sz w:val="21"/>
          <w:szCs w:val="21"/>
          <w:lang w:eastAsia="en-AU"/>
        </w:rPr>
        <w:t xml:space="preserve">shaper, </w:t>
      </w:r>
      <w:r w:rsidR="00D66FE9">
        <w:rPr>
          <w:rFonts w:cs="Arial"/>
          <w:color w:val="000000" w:themeColor="text1"/>
          <w:sz w:val="21"/>
          <w:szCs w:val="21"/>
          <w:lang w:eastAsia="en-AU"/>
        </w:rPr>
        <w:t xml:space="preserve">a </w:t>
      </w:r>
      <w:r>
        <w:rPr>
          <w:rFonts w:cs="Arial"/>
          <w:color w:val="000000" w:themeColor="text1"/>
          <w:sz w:val="21"/>
          <w:szCs w:val="21"/>
          <w:lang w:eastAsia="en-AU"/>
        </w:rPr>
        <w:t xml:space="preserve">disrupter and supporter of locally-led reform agendas. </w:t>
      </w:r>
      <w:r w:rsidR="002D2D42">
        <w:rPr>
          <w:rFonts w:cs="Arial"/>
          <w:color w:val="000000" w:themeColor="text1"/>
          <w:sz w:val="21"/>
          <w:szCs w:val="21"/>
          <w:lang w:eastAsia="en-AU"/>
        </w:rPr>
        <w:t>The flexible, agile and politically-smart facility enables the</w:t>
      </w:r>
      <w:r w:rsidR="0042332E">
        <w:rPr>
          <w:rFonts w:cs="Arial"/>
          <w:color w:val="000000" w:themeColor="text1"/>
          <w:sz w:val="21"/>
          <w:szCs w:val="21"/>
          <w:lang w:eastAsia="en-AU"/>
        </w:rPr>
        <w:t xml:space="preserve"> two</w:t>
      </w:r>
      <w:r w:rsidR="002D2D42">
        <w:rPr>
          <w:rFonts w:cs="Arial"/>
          <w:color w:val="000000" w:themeColor="text1"/>
          <w:sz w:val="21"/>
          <w:szCs w:val="21"/>
          <w:lang w:eastAsia="en-AU"/>
        </w:rPr>
        <w:t xml:space="preserve"> governments to pursue their shared ambition to</w:t>
      </w:r>
      <w:bookmarkStart w:id="2" w:name="_GoBack"/>
      <w:bookmarkEnd w:id="2"/>
      <w:r w:rsidR="002D2D42">
        <w:rPr>
          <w:rFonts w:cs="Arial"/>
          <w:color w:val="000000" w:themeColor="text1"/>
          <w:sz w:val="21"/>
          <w:szCs w:val="21"/>
          <w:lang w:eastAsia="en-AU"/>
        </w:rPr>
        <w:t xml:space="preserve"> improve teaching and learning outcomes for all (the destination) while maintaining an open mind about the most appropriate reform pathways and the strategies (the route). </w:t>
      </w:r>
      <w:r>
        <w:rPr>
          <w:rFonts w:cs="Arial"/>
          <w:color w:val="000000" w:themeColor="text1"/>
          <w:sz w:val="21"/>
          <w:szCs w:val="21"/>
          <w:lang w:eastAsia="en-AU"/>
        </w:rPr>
        <w:t xml:space="preserve">This emphasis on </w:t>
      </w:r>
      <w:r w:rsidR="0086243B">
        <w:rPr>
          <w:rFonts w:cs="Arial"/>
          <w:color w:val="000000" w:themeColor="text1"/>
          <w:sz w:val="21"/>
          <w:szCs w:val="21"/>
          <w:lang w:eastAsia="en-AU"/>
        </w:rPr>
        <w:t>partner ownership  and leadership</w:t>
      </w:r>
      <w:r w:rsidR="00471C97">
        <w:rPr>
          <w:rFonts w:cs="Arial"/>
          <w:color w:val="000000" w:themeColor="text1"/>
          <w:sz w:val="21"/>
          <w:szCs w:val="21"/>
          <w:lang w:eastAsia="en-AU"/>
        </w:rPr>
        <w:t>, flexibility</w:t>
      </w:r>
      <w:r w:rsidR="00210907">
        <w:rPr>
          <w:rFonts w:cs="Arial"/>
          <w:color w:val="000000" w:themeColor="text1"/>
          <w:sz w:val="21"/>
          <w:szCs w:val="21"/>
          <w:lang w:eastAsia="en-AU"/>
        </w:rPr>
        <w:t>,</w:t>
      </w:r>
      <w:r w:rsidR="0086243B">
        <w:rPr>
          <w:rFonts w:cs="Arial"/>
          <w:color w:val="000000" w:themeColor="text1"/>
          <w:sz w:val="21"/>
          <w:szCs w:val="21"/>
          <w:lang w:eastAsia="en-AU"/>
        </w:rPr>
        <w:t xml:space="preserve"> and thinking</w:t>
      </w:r>
      <w:r>
        <w:rPr>
          <w:rFonts w:cs="Arial"/>
          <w:color w:val="000000" w:themeColor="text1"/>
          <w:sz w:val="21"/>
          <w:szCs w:val="21"/>
          <w:lang w:eastAsia="en-AU"/>
        </w:rPr>
        <w:t xml:space="preserve"> and working politically</w:t>
      </w:r>
      <w:r w:rsidR="0086243B">
        <w:rPr>
          <w:rFonts w:cs="Arial"/>
          <w:color w:val="000000" w:themeColor="text1"/>
          <w:sz w:val="21"/>
          <w:szCs w:val="21"/>
          <w:lang w:eastAsia="en-AU"/>
        </w:rPr>
        <w:t xml:space="preserve"> </w:t>
      </w:r>
      <w:r w:rsidR="002D2D42">
        <w:rPr>
          <w:rFonts w:cs="Arial"/>
          <w:color w:val="000000" w:themeColor="text1"/>
          <w:sz w:val="21"/>
          <w:szCs w:val="21"/>
          <w:lang w:eastAsia="en-AU"/>
        </w:rPr>
        <w:t xml:space="preserve">means that TASS should have an enduring influence on the </w:t>
      </w:r>
      <w:r w:rsidR="0086243B">
        <w:rPr>
          <w:rFonts w:cs="Arial"/>
          <w:color w:val="000000" w:themeColor="text1"/>
          <w:sz w:val="21"/>
          <w:szCs w:val="21"/>
          <w:lang w:eastAsia="en-AU"/>
        </w:rPr>
        <w:t>thinking</w:t>
      </w:r>
      <w:r w:rsidR="002D2D42">
        <w:rPr>
          <w:rFonts w:cs="Arial"/>
          <w:color w:val="000000" w:themeColor="text1"/>
          <w:sz w:val="21"/>
          <w:szCs w:val="21"/>
          <w:lang w:eastAsia="en-AU"/>
        </w:rPr>
        <w:t xml:space="preserve"> of its </w:t>
      </w:r>
      <w:r w:rsidR="00B0686E">
        <w:rPr>
          <w:rFonts w:cs="Arial"/>
          <w:color w:val="000000" w:themeColor="text1"/>
          <w:sz w:val="21"/>
          <w:szCs w:val="21"/>
          <w:lang w:eastAsia="en-AU"/>
        </w:rPr>
        <w:t xml:space="preserve">Indonesian </w:t>
      </w:r>
      <w:r w:rsidR="002D2D42">
        <w:rPr>
          <w:rFonts w:cs="Arial"/>
          <w:color w:val="000000" w:themeColor="text1"/>
          <w:sz w:val="21"/>
          <w:szCs w:val="21"/>
          <w:lang w:eastAsia="en-AU"/>
        </w:rPr>
        <w:t xml:space="preserve">partners and, where possible, on their organisational </w:t>
      </w:r>
      <w:r w:rsidR="0086243B">
        <w:rPr>
          <w:rFonts w:cs="Arial"/>
          <w:color w:val="000000" w:themeColor="text1"/>
          <w:sz w:val="21"/>
          <w:szCs w:val="21"/>
          <w:lang w:eastAsia="en-AU"/>
        </w:rPr>
        <w:t>practices</w:t>
      </w:r>
      <w:r w:rsidR="00471C97">
        <w:rPr>
          <w:rFonts w:cs="Arial"/>
          <w:color w:val="000000" w:themeColor="text1"/>
          <w:sz w:val="21"/>
          <w:szCs w:val="21"/>
          <w:lang w:eastAsia="en-AU"/>
        </w:rPr>
        <w:t>, ultimately</w:t>
      </w:r>
      <w:r w:rsidR="0086243B">
        <w:rPr>
          <w:rFonts w:cs="Arial"/>
          <w:color w:val="000000" w:themeColor="text1"/>
          <w:sz w:val="21"/>
          <w:szCs w:val="21"/>
          <w:lang w:eastAsia="en-AU"/>
        </w:rPr>
        <w:t xml:space="preserve"> </w:t>
      </w:r>
      <w:r w:rsidR="00471C97">
        <w:rPr>
          <w:rFonts w:cs="Arial"/>
          <w:color w:val="000000" w:themeColor="text1"/>
          <w:sz w:val="21"/>
          <w:szCs w:val="21"/>
          <w:lang w:eastAsia="en-AU"/>
        </w:rPr>
        <w:t>increasing th</w:t>
      </w:r>
      <w:r w:rsidR="009C63EE">
        <w:rPr>
          <w:rFonts w:cs="Arial"/>
          <w:color w:val="000000" w:themeColor="text1"/>
          <w:sz w:val="21"/>
          <w:szCs w:val="21"/>
          <w:lang w:eastAsia="en-AU"/>
        </w:rPr>
        <w:t xml:space="preserve">e </w:t>
      </w:r>
      <w:r w:rsidR="00675837">
        <w:rPr>
          <w:rFonts w:cs="Arial"/>
          <w:color w:val="000000" w:themeColor="text1"/>
          <w:sz w:val="21"/>
          <w:szCs w:val="21"/>
          <w:lang w:eastAsia="en-AU"/>
        </w:rPr>
        <w:t xml:space="preserve">impact of </w:t>
      </w:r>
      <w:r w:rsidR="00FA2627">
        <w:rPr>
          <w:rFonts w:cs="Arial"/>
          <w:color w:val="000000" w:themeColor="text1"/>
          <w:sz w:val="21"/>
          <w:szCs w:val="21"/>
          <w:lang w:eastAsia="en-AU"/>
        </w:rPr>
        <w:t xml:space="preserve">Indonesia’s </w:t>
      </w:r>
      <w:r w:rsidR="00675837">
        <w:rPr>
          <w:rFonts w:cs="Arial"/>
          <w:color w:val="000000" w:themeColor="text1"/>
          <w:sz w:val="21"/>
          <w:szCs w:val="21"/>
          <w:lang w:eastAsia="en-AU"/>
        </w:rPr>
        <w:t>public spending</w:t>
      </w:r>
      <w:r w:rsidR="009C63EE">
        <w:rPr>
          <w:rFonts w:cs="Arial"/>
          <w:color w:val="000000" w:themeColor="text1"/>
          <w:sz w:val="21"/>
          <w:szCs w:val="21"/>
          <w:lang w:eastAsia="en-AU"/>
        </w:rPr>
        <w:t>.</w:t>
      </w:r>
      <w:r w:rsidR="00E81681">
        <w:rPr>
          <w:rFonts w:cs="Arial"/>
          <w:color w:val="000000" w:themeColor="text1"/>
          <w:sz w:val="21"/>
          <w:szCs w:val="21"/>
          <w:lang w:eastAsia="en-AU"/>
        </w:rPr>
        <w:t xml:space="preserve"> </w:t>
      </w:r>
      <w:r w:rsidR="00BE35DB" w:rsidRPr="009B4CBD">
        <w:rPr>
          <w:rFonts w:cs="Arial"/>
          <w:color w:val="000000" w:themeColor="text1"/>
          <w:sz w:val="21"/>
          <w:szCs w:val="21"/>
          <w:lang w:eastAsia="en-AU"/>
        </w:rPr>
        <w:t xml:space="preserve">TASS is </w:t>
      </w:r>
      <w:r w:rsidR="00E81681">
        <w:rPr>
          <w:rFonts w:cs="Arial"/>
          <w:color w:val="000000" w:themeColor="text1"/>
          <w:sz w:val="21"/>
          <w:szCs w:val="21"/>
          <w:lang w:eastAsia="en-AU"/>
        </w:rPr>
        <w:t xml:space="preserve">therefore </w:t>
      </w:r>
      <w:r w:rsidR="00BE35DB" w:rsidRPr="009B4CBD">
        <w:rPr>
          <w:rFonts w:cs="Arial"/>
          <w:color w:val="000000" w:themeColor="text1"/>
          <w:sz w:val="21"/>
          <w:szCs w:val="21"/>
          <w:lang w:eastAsia="en-AU"/>
        </w:rPr>
        <w:t>aligned with and is expected to make a meaningful contribution to the</w:t>
      </w:r>
      <w:r w:rsidR="00FA2627">
        <w:rPr>
          <w:rFonts w:cs="Arial"/>
          <w:color w:val="000000" w:themeColor="text1"/>
          <w:sz w:val="21"/>
          <w:szCs w:val="21"/>
          <w:lang w:eastAsia="en-AU"/>
        </w:rPr>
        <w:t xml:space="preserve"> Australian</w:t>
      </w:r>
      <w:r w:rsidR="00BE35DB" w:rsidRPr="009B4CBD">
        <w:rPr>
          <w:rFonts w:cs="Arial"/>
          <w:color w:val="000000" w:themeColor="text1"/>
          <w:sz w:val="21"/>
          <w:szCs w:val="21"/>
          <w:lang w:eastAsia="en-AU"/>
        </w:rPr>
        <w:t xml:space="preserve"> Government’s </w:t>
      </w:r>
      <w:r w:rsidR="00BE35DB" w:rsidRPr="009B4CBD">
        <w:rPr>
          <w:rFonts w:cs="Arial"/>
          <w:i/>
          <w:color w:val="000000" w:themeColor="text1"/>
          <w:sz w:val="21"/>
          <w:szCs w:val="21"/>
          <w:lang w:eastAsia="en-AU"/>
        </w:rPr>
        <w:t>Strategy for Australia’s Aid Investments in Education, 2015-2020</w:t>
      </w:r>
      <w:r w:rsidR="00BE35DB" w:rsidRPr="009B4CBD">
        <w:rPr>
          <w:rFonts w:cs="Arial"/>
          <w:color w:val="000000" w:themeColor="text1"/>
          <w:sz w:val="21"/>
          <w:szCs w:val="21"/>
          <w:lang w:eastAsia="en-AU"/>
        </w:rPr>
        <w:t xml:space="preserve">, Australia’s </w:t>
      </w:r>
      <w:r w:rsidR="00BE35DB" w:rsidRPr="009B4CBD">
        <w:rPr>
          <w:rFonts w:cs="Arial"/>
          <w:i/>
          <w:color w:val="000000" w:themeColor="text1"/>
          <w:sz w:val="21"/>
          <w:szCs w:val="21"/>
          <w:lang w:eastAsia="en-AU"/>
        </w:rPr>
        <w:t>Aid Investment Plan – Indonesia, 2015/16 – 2018/19, DFAT’s Gender Equality and Women’s Empowerment Strategy</w:t>
      </w:r>
      <w:r w:rsidR="00FA2627">
        <w:rPr>
          <w:rFonts w:cs="Arial"/>
          <w:i/>
          <w:color w:val="000000" w:themeColor="text1"/>
          <w:sz w:val="21"/>
          <w:szCs w:val="21"/>
          <w:lang w:eastAsia="en-AU"/>
        </w:rPr>
        <w:t>,</w:t>
      </w:r>
      <w:r w:rsidR="00BE35DB" w:rsidRPr="009B4CBD">
        <w:rPr>
          <w:rFonts w:cs="Arial"/>
          <w:i/>
          <w:color w:val="000000" w:themeColor="text1"/>
          <w:sz w:val="21"/>
          <w:szCs w:val="21"/>
          <w:lang w:eastAsia="en-AU"/>
        </w:rPr>
        <w:t xml:space="preserve"> </w:t>
      </w:r>
      <w:r w:rsidR="00BE35DB" w:rsidRPr="009B4CBD">
        <w:rPr>
          <w:rFonts w:cs="Arial"/>
          <w:color w:val="000000" w:themeColor="text1"/>
          <w:sz w:val="21"/>
          <w:szCs w:val="21"/>
          <w:lang w:eastAsia="en-AU"/>
        </w:rPr>
        <w:t>and</w:t>
      </w:r>
      <w:r w:rsidR="00FA2627">
        <w:rPr>
          <w:rFonts w:cs="Arial"/>
          <w:color w:val="000000" w:themeColor="text1"/>
          <w:sz w:val="21"/>
          <w:szCs w:val="21"/>
          <w:lang w:eastAsia="en-AU"/>
        </w:rPr>
        <w:t xml:space="preserve"> DFAT’s</w:t>
      </w:r>
      <w:r w:rsidR="00BE35DB" w:rsidRPr="009B4CBD">
        <w:rPr>
          <w:rFonts w:cs="Arial"/>
          <w:i/>
          <w:color w:val="000000" w:themeColor="text1"/>
          <w:sz w:val="21"/>
          <w:szCs w:val="21"/>
          <w:lang w:eastAsia="en-AU"/>
        </w:rPr>
        <w:t xml:space="preserve"> Development for All 2015-20 Strategy. </w:t>
      </w:r>
    </w:p>
    <w:p w:rsidR="00B46481" w:rsidRDefault="00F0094C" w:rsidP="00B46481">
      <w:pPr>
        <w:tabs>
          <w:tab w:val="left" w:pos="284"/>
        </w:tabs>
        <w:suppressAutoHyphens w:val="0"/>
        <w:spacing w:after="120" w:line="280" w:lineRule="exact"/>
        <w:jc w:val="both"/>
        <w:rPr>
          <w:rFonts w:cs="Arial"/>
          <w:color w:val="000000" w:themeColor="text1"/>
          <w:sz w:val="21"/>
          <w:szCs w:val="21"/>
          <w:lang w:eastAsia="en-AU"/>
        </w:rPr>
      </w:pPr>
      <w:r>
        <w:rPr>
          <w:rFonts w:cs="Arial"/>
          <w:color w:val="000000" w:themeColor="text1"/>
          <w:sz w:val="21"/>
          <w:szCs w:val="21"/>
          <w:lang w:eastAsia="en-AU"/>
        </w:rPr>
        <w:t>The facility</w:t>
      </w:r>
      <w:r w:rsidR="00B3784C">
        <w:rPr>
          <w:rFonts w:cs="Arial"/>
          <w:color w:val="000000" w:themeColor="text1"/>
          <w:sz w:val="21"/>
          <w:szCs w:val="21"/>
          <w:lang w:eastAsia="en-AU"/>
        </w:rPr>
        <w:t xml:space="preserve"> is delivered by a commercial contractor (Palladium) appointed by way of a procurement agreement. It is governed</w:t>
      </w:r>
      <w:r w:rsidR="00B46481">
        <w:rPr>
          <w:rFonts w:cs="Arial"/>
          <w:color w:val="000000" w:themeColor="text1"/>
          <w:sz w:val="21"/>
          <w:szCs w:val="21"/>
          <w:lang w:eastAsia="en-AU"/>
        </w:rPr>
        <w:t xml:space="preserve"> by a Steering Committee that includes senior representatives of </w:t>
      </w:r>
      <w:r w:rsidR="00B3784C">
        <w:rPr>
          <w:rFonts w:cs="Arial"/>
          <w:color w:val="000000" w:themeColor="text1"/>
          <w:sz w:val="21"/>
          <w:szCs w:val="21"/>
          <w:lang w:eastAsia="en-AU"/>
        </w:rPr>
        <w:t>relevant I</w:t>
      </w:r>
      <w:r w:rsidR="00B46481">
        <w:rPr>
          <w:rFonts w:cs="Arial"/>
          <w:color w:val="000000" w:themeColor="text1"/>
          <w:sz w:val="21"/>
          <w:szCs w:val="21"/>
          <w:lang w:eastAsia="en-AU"/>
        </w:rPr>
        <w:t xml:space="preserve">ndonesian ministries, DFAT, TASS and TASS’s sister program, INOVASI. The Australian Embassy’s Human </w:t>
      </w:r>
      <w:r w:rsidR="00B3784C">
        <w:rPr>
          <w:rFonts w:cs="Arial"/>
          <w:color w:val="000000" w:themeColor="text1"/>
          <w:sz w:val="21"/>
          <w:szCs w:val="21"/>
          <w:lang w:eastAsia="en-AU"/>
        </w:rPr>
        <w:t>Development</w:t>
      </w:r>
      <w:r w:rsidR="00B46481">
        <w:rPr>
          <w:rFonts w:cs="Arial"/>
          <w:color w:val="000000" w:themeColor="text1"/>
          <w:sz w:val="21"/>
          <w:szCs w:val="21"/>
          <w:lang w:eastAsia="en-AU"/>
        </w:rPr>
        <w:t xml:space="preserve"> team, and specifically its Counsellor and the Manager of the Basic </w:t>
      </w:r>
      <w:r w:rsidR="00B3784C">
        <w:rPr>
          <w:rFonts w:cs="Arial"/>
          <w:color w:val="000000" w:themeColor="text1"/>
          <w:sz w:val="21"/>
          <w:szCs w:val="21"/>
          <w:lang w:eastAsia="en-AU"/>
        </w:rPr>
        <w:t>Education</w:t>
      </w:r>
      <w:r w:rsidR="00B46481">
        <w:rPr>
          <w:rFonts w:cs="Arial"/>
          <w:color w:val="000000" w:themeColor="text1"/>
          <w:sz w:val="21"/>
          <w:szCs w:val="21"/>
          <w:lang w:eastAsia="en-AU"/>
        </w:rPr>
        <w:t xml:space="preserve"> Unit</w:t>
      </w:r>
      <w:r w:rsidR="002D2D42">
        <w:rPr>
          <w:rFonts w:cs="Arial"/>
          <w:color w:val="000000" w:themeColor="text1"/>
          <w:sz w:val="21"/>
          <w:szCs w:val="21"/>
          <w:lang w:eastAsia="en-AU"/>
        </w:rPr>
        <w:t>,</w:t>
      </w:r>
      <w:r w:rsidR="00B46481">
        <w:rPr>
          <w:rFonts w:cs="Arial"/>
          <w:color w:val="000000" w:themeColor="text1"/>
          <w:sz w:val="21"/>
          <w:szCs w:val="21"/>
          <w:lang w:eastAsia="en-AU"/>
        </w:rPr>
        <w:t xml:space="preserve"> oversee the strategic and operational performance of TASS. They also lead strategic engagement, direction setting and policy dialogue with the Indonesian Government, supported both formally and informally by TASS.</w:t>
      </w:r>
    </w:p>
    <w:p w:rsidR="00FC758A" w:rsidRDefault="00FC758A" w:rsidP="00664DF7">
      <w:pPr>
        <w:tabs>
          <w:tab w:val="left" w:pos="284"/>
        </w:tabs>
        <w:suppressAutoHyphens w:val="0"/>
        <w:spacing w:after="120" w:line="280" w:lineRule="exact"/>
        <w:jc w:val="both"/>
        <w:rPr>
          <w:rFonts w:cs="Arial"/>
          <w:color w:val="000000" w:themeColor="text1"/>
          <w:sz w:val="21"/>
          <w:szCs w:val="21"/>
          <w:lang w:eastAsia="en-AU"/>
        </w:rPr>
      </w:pPr>
      <w:r>
        <w:rPr>
          <w:rFonts w:cs="Arial"/>
          <w:color w:val="000000" w:themeColor="text1"/>
          <w:sz w:val="21"/>
          <w:szCs w:val="21"/>
          <w:lang w:eastAsia="en-AU"/>
        </w:rPr>
        <w:t xml:space="preserve">TASS is implemented </w:t>
      </w:r>
      <w:r w:rsidR="00671DE1">
        <w:rPr>
          <w:rFonts w:cs="Arial"/>
          <w:color w:val="000000" w:themeColor="text1"/>
          <w:sz w:val="21"/>
          <w:szCs w:val="21"/>
          <w:lang w:eastAsia="en-AU"/>
        </w:rPr>
        <w:t>over a three-year period from January 2017 and is subject to a m</w:t>
      </w:r>
      <w:r>
        <w:rPr>
          <w:rFonts w:cs="Arial"/>
          <w:color w:val="000000" w:themeColor="text1"/>
          <w:sz w:val="21"/>
          <w:szCs w:val="21"/>
          <w:lang w:eastAsia="en-AU"/>
        </w:rPr>
        <w:t>id-point evaluation in 2018 and an end-point evaluation in 2019.</w:t>
      </w:r>
      <w:r w:rsidR="00671DE1">
        <w:rPr>
          <w:rFonts w:cs="Arial"/>
          <w:color w:val="000000" w:themeColor="text1"/>
          <w:sz w:val="21"/>
          <w:szCs w:val="21"/>
          <w:lang w:eastAsia="en-AU"/>
        </w:rPr>
        <w:t xml:space="preserve"> DFAT reserves the right to extend TASS for a further </w:t>
      </w:r>
      <w:r w:rsidR="009F0E7A">
        <w:rPr>
          <w:rFonts w:cs="Arial"/>
          <w:color w:val="000000" w:themeColor="text1"/>
          <w:sz w:val="21"/>
          <w:szCs w:val="21"/>
          <w:lang w:eastAsia="en-AU"/>
        </w:rPr>
        <w:t>two</w:t>
      </w:r>
      <w:r w:rsidR="00275B39">
        <w:rPr>
          <w:rFonts w:cs="Arial"/>
          <w:color w:val="000000" w:themeColor="text1"/>
          <w:sz w:val="21"/>
          <w:szCs w:val="21"/>
          <w:lang w:eastAsia="en-AU"/>
        </w:rPr>
        <w:t xml:space="preserve"> </w:t>
      </w:r>
      <w:r w:rsidR="00671DE1">
        <w:rPr>
          <w:rFonts w:cs="Arial"/>
          <w:color w:val="000000" w:themeColor="text1"/>
          <w:sz w:val="21"/>
          <w:szCs w:val="21"/>
          <w:lang w:eastAsia="en-AU"/>
        </w:rPr>
        <w:t xml:space="preserve">years (subject to </w:t>
      </w:r>
      <w:r w:rsidR="002A0BF8">
        <w:rPr>
          <w:rFonts w:cs="Arial"/>
          <w:color w:val="000000" w:themeColor="text1"/>
          <w:sz w:val="21"/>
          <w:szCs w:val="21"/>
          <w:lang w:eastAsia="en-AU"/>
        </w:rPr>
        <w:t>demand</w:t>
      </w:r>
      <w:r w:rsidR="000223E9">
        <w:rPr>
          <w:rFonts w:cs="Arial"/>
          <w:color w:val="000000" w:themeColor="text1"/>
          <w:sz w:val="21"/>
          <w:szCs w:val="21"/>
          <w:lang w:eastAsia="en-AU"/>
        </w:rPr>
        <w:t xml:space="preserve">, resource </w:t>
      </w:r>
      <w:r w:rsidR="004A445E">
        <w:rPr>
          <w:rFonts w:cs="Arial"/>
          <w:color w:val="000000" w:themeColor="text1"/>
          <w:sz w:val="21"/>
          <w:szCs w:val="21"/>
          <w:lang w:eastAsia="en-AU"/>
        </w:rPr>
        <w:t>availability</w:t>
      </w:r>
      <w:r w:rsidR="002A0BF8">
        <w:rPr>
          <w:rFonts w:cs="Arial"/>
          <w:color w:val="000000" w:themeColor="text1"/>
          <w:sz w:val="21"/>
          <w:szCs w:val="21"/>
          <w:lang w:eastAsia="en-AU"/>
        </w:rPr>
        <w:t xml:space="preserve"> and performance). </w:t>
      </w:r>
      <w:r w:rsidR="00E77ECC">
        <w:rPr>
          <w:rFonts w:cs="Arial"/>
          <w:color w:val="000000" w:themeColor="text1"/>
          <w:sz w:val="21"/>
          <w:szCs w:val="21"/>
          <w:lang w:eastAsia="en-AU"/>
        </w:rPr>
        <w:t>The budget for the first three years is A$11.98m</w:t>
      </w:r>
    </w:p>
    <w:p w:rsidR="005970FF" w:rsidRPr="00C02681" w:rsidRDefault="005970FF" w:rsidP="00E60655">
      <w:pPr>
        <w:pStyle w:val="ListParagraph"/>
        <w:numPr>
          <w:ilvl w:val="0"/>
          <w:numId w:val="31"/>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szCs w:val="21"/>
        </w:rPr>
      </w:pPr>
      <w:r w:rsidRPr="00C02681">
        <w:rPr>
          <w:rFonts w:asciiTheme="majorHAnsi" w:hAnsiTheme="majorHAnsi"/>
          <w:b/>
          <w:szCs w:val="21"/>
        </w:rPr>
        <w:t xml:space="preserve">Development Context </w:t>
      </w:r>
    </w:p>
    <w:p w:rsidR="00D8647E" w:rsidRDefault="005970FF" w:rsidP="00EA308A">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800809">
        <w:rPr>
          <w:rFonts w:eastAsia="Times New Roman" w:cs="Arial"/>
          <w:color w:val="000000" w:themeColor="text1"/>
          <w:sz w:val="21"/>
          <w:szCs w:val="21"/>
          <w:lang w:val="en-AU" w:eastAsia="en-AU"/>
        </w:rPr>
        <w:t>Indonesia’s education system</w:t>
      </w:r>
      <w:r>
        <w:rPr>
          <w:rFonts w:eastAsia="Times New Roman" w:cs="Arial"/>
          <w:color w:val="000000" w:themeColor="text1"/>
          <w:sz w:val="21"/>
          <w:szCs w:val="21"/>
          <w:lang w:val="en-AU" w:eastAsia="en-AU"/>
        </w:rPr>
        <w:t xml:space="preserve"> – </w:t>
      </w:r>
      <w:r w:rsidRPr="00800809">
        <w:rPr>
          <w:rFonts w:eastAsia="Times New Roman" w:cs="Arial"/>
          <w:color w:val="000000" w:themeColor="text1"/>
          <w:sz w:val="21"/>
          <w:szCs w:val="21"/>
          <w:lang w:val="en-AU" w:eastAsia="en-AU"/>
        </w:rPr>
        <w:t>the fourth largest in the world</w:t>
      </w:r>
      <w:r>
        <w:rPr>
          <w:rFonts w:eastAsia="Times New Roman" w:cs="Arial"/>
          <w:color w:val="000000" w:themeColor="text1"/>
          <w:sz w:val="21"/>
          <w:szCs w:val="21"/>
          <w:lang w:val="en-AU" w:eastAsia="en-AU"/>
        </w:rPr>
        <w:t xml:space="preserve"> – has </w:t>
      </w:r>
      <w:r w:rsidRPr="00DD2A8C">
        <w:rPr>
          <w:rFonts w:eastAsia="Times New Roman" w:cs="Arial"/>
          <w:color w:val="000000" w:themeColor="text1"/>
          <w:sz w:val="21"/>
          <w:szCs w:val="21"/>
          <w:lang w:val="en-AU" w:eastAsia="en-AU"/>
        </w:rPr>
        <w:t xml:space="preserve">made remarkable progress </w:t>
      </w:r>
      <w:r>
        <w:rPr>
          <w:rFonts w:eastAsia="Times New Roman" w:cs="Arial"/>
          <w:color w:val="000000" w:themeColor="text1"/>
          <w:sz w:val="21"/>
          <w:szCs w:val="21"/>
          <w:lang w:val="en-AU" w:eastAsia="en-AU"/>
        </w:rPr>
        <w:t>in recent years</w:t>
      </w:r>
      <w:r w:rsidRPr="00DD2A8C">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From an access perspective, n</w:t>
      </w:r>
      <w:r w:rsidRPr="00DD2A8C">
        <w:rPr>
          <w:rFonts w:eastAsia="Times New Roman" w:cs="Arial"/>
          <w:color w:val="000000" w:themeColor="text1"/>
          <w:sz w:val="21"/>
          <w:szCs w:val="21"/>
          <w:lang w:val="en-AU" w:eastAsia="en-AU"/>
        </w:rPr>
        <w:t xml:space="preserve">et enrolment rates </w:t>
      </w:r>
      <w:r w:rsidR="009A49A1">
        <w:rPr>
          <w:rFonts w:eastAsia="Times New Roman" w:cs="Arial"/>
          <w:color w:val="000000" w:themeColor="text1"/>
          <w:sz w:val="21"/>
          <w:szCs w:val="21"/>
          <w:lang w:val="en-AU" w:eastAsia="en-AU"/>
        </w:rPr>
        <w:t xml:space="preserve">are </w:t>
      </w:r>
      <w:r w:rsidR="009A49A1" w:rsidRPr="00DD2A8C">
        <w:rPr>
          <w:rFonts w:eastAsia="Times New Roman" w:cs="Arial"/>
          <w:color w:val="000000" w:themeColor="text1"/>
          <w:sz w:val="21"/>
          <w:szCs w:val="21"/>
          <w:lang w:val="en-AU" w:eastAsia="en-AU"/>
        </w:rPr>
        <w:t xml:space="preserve">over 80 percent in junior secondary schools </w:t>
      </w:r>
      <w:r w:rsidR="009A49A1">
        <w:rPr>
          <w:rFonts w:eastAsia="Times New Roman" w:cs="Arial"/>
          <w:color w:val="000000" w:themeColor="text1"/>
          <w:sz w:val="21"/>
          <w:szCs w:val="21"/>
          <w:lang w:val="en-AU" w:eastAsia="en-AU"/>
        </w:rPr>
        <w:t xml:space="preserve">and are </w:t>
      </w:r>
      <w:r w:rsidR="00825756" w:rsidRPr="00DD2A8C">
        <w:rPr>
          <w:rFonts w:eastAsia="Times New Roman" w:cs="Arial"/>
          <w:color w:val="000000" w:themeColor="text1"/>
          <w:sz w:val="21"/>
          <w:szCs w:val="21"/>
          <w:lang w:val="en-AU" w:eastAsia="en-AU"/>
        </w:rPr>
        <w:t xml:space="preserve">near-universal </w:t>
      </w:r>
      <w:r w:rsidR="00825756">
        <w:rPr>
          <w:rFonts w:eastAsia="Times New Roman" w:cs="Arial"/>
          <w:color w:val="000000" w:themeColor="text1"/>
          <w:sz w:val="21"/>
          <w:szCs w:val="21"/>
          <w:lang w:val="en-AU" w:eastAsia="en-AU"/>
        </w:rPr>
        <w:t xml:space="preserve">and </w:t>
      </w:r>
      <w:r w:rsidRPr="00DD2A8C">
        <w:rPr>
          <w:rFonts w:eastAsia="Times New Roman" w:cs="Arial"/>
          <w:color w:val="000000" w:themeColor="text1"/>
          <w:sz w:val="21"/>
          <w:szCs w:val="21"/>
          <w:lang w:val="en-AU" w:eastAsia="en-AU"/>
        </w:rPr>
        <w:t>gender-balanced</w:t>
      </w:r>
      <w:r w:rsidR="009A49A1">
        <w:rPr>
          <w:rFonts w:eastAsia="Times New Roman" w:cs="Arial"/>
          <w:color w:val="000000" w:themeColor="text1"/>
          <w:sz w:val="21"/>
          <w:szCs w:val="21"/>
          <w:lang w:val="en-AU" w:eastAsia="en-AU"/>
        </w:rPr>
        <w:t xml:space="preserve"> in primary schools</w:t>
      </w:r>
      <w:r w:rsidRPr="00DD2A8C">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 xml:space="preserve"> From a quality perspective, </w:t>
      </w:r>
      <w:r w:rsidRPr="00DD2A8C">
        <w:rPr>
          <w:rFonts w:eastAsia="Times New Roman" w:cs="Arial"/>
          <w:color w:val="000000" w:themeColor="text1"/>
          <w:sz w:val="21"/>
          <w:szCs w:val="21"/>
          <w:lang w:val="en-AU" w:eastAsia="en-AU"/>
        </w:rPr>
        <w:t xml:space="preserve">Indonesia has </w:t>
      </w:r>
      <w:r w:rsidR="00DD378A" w:rsidRPr="00DD2A8C">
        <w:rPr>
          <w:rFonts w:eastAsia="Times New Roman" w:cs="Arial"/>
          <w:color w:val="000000" w:themeColor="text1"/>
          <w:sz w:val="21"/>
          <w:szCs w:val="21"/>
          <w:lang w:val="en-AU" w:eastAsia="en-AU"/>
        </w:rPr>
        <w:t>establish</w:t>
      </w:r>
      <w:r w:rsidR="00DD378A">
        <w:rPr>
          <w:rFonts w:eastAsia="Times New Roman" w:cs="Arial"/>
          <w:color w:val="000000" w:themeColor="text1"/>
          <w:sz w:val="21"/>
          <w:szCs w:val="21"/>
          <w:lang w:val="en-AU" w:eastAsia="en-AU"/>
        </w:rPr>
        <w:t>ed</w:t>
      </w:r>
      <w:r w:rsidR="00DD378A" w:rsidRPr="00DD2A8C">
        <w:rPr>
          <w:rFonts w:eastAsia="Times New Roman" w:cs="Arial"/>
          <w:color w:val="000000" w:themeColor="text1"/>
          <w:sz w:val="21"/>
          <w:szCs w:val="21"/>
          <w:lang w:val="en-AU" w:eastAsia="en-AU"/>
        </w:rPr>
        <w:t xml:space="preserve"> minimum service standards </w:t>
      </w:r>
      <w:r w:rsidR="00191FFA">
        <w:rPr>
          <w:rFonts w:eastAsia="Times New Roman" w:cs="Arial"/>
          <w:color w:val="000000" w:themeColor="text1"/>
          <w:sz w:val="21"/>
          <w:szCs w:val="21"/>
          <w:lang w:val="en-AU" w:eastAsia="en-AU"/>
        </w:rPr>
        <w:t>and</w:t>
      </w:r>
      <w:r w:rsidRPr="00DD2A8C">
        <w:rPr>
          <w:rFonts w:eastAsia="Times New Roman" w:cs="Arial"/>
          <w:color w:val="000000" w:themeColor="text1"/>
          <w:sz w:val="21"/>
          <w:szCs w:val="21"/>
          <w:lang w:val="en-AU" w:eastAsia="en-AU"/>
        </w:rPr>
        <w:t xml:space="preserve"> national </w:t>
      </w:r>
      <w:r w:rsidR="00191FFA">
        <w:rPr>
          <w:rFonts w:eastAsia="Times New Roman" w:cs="Arial"/>
          <w:color w:val="000000" w:themeColor="text1"/>
          <w:sz w:val="21"/>
          <w:szCs w:val="21"/>
          <w:lang w:val="en-AU" w:eastAsia="en-AU"/>
        </w:rPr>
        <w:t xml:space="preserve">education </w:t>
      </w:r>
      <w:r w:rsidRPr="00DD2A8C">
        <w:rPr>
          <w:rFonts w:eastAsia="Times New Roman" w:cs="Arial"/>
          <w:color w:val="000000" w:themeColor="text1"/>
          <w:sz w:val="21"/>
          <w:szCs w:val="21"/>
          <w:lang w:val="en-AU" w:eastAsia="en-AU"/>
        </w:rPr>
        <w:t xml:space="preserve">standards; </w:t>
      </w:r>
      <w:r w:rsidR="00BF7D1C">
        <w:rPr>
          <w:rFonts w:eastAsia="Times New Roman" w:cs="Arial"/>
          <w:color w:val="000000" w:themeColor="text1"/>
          <w:sz w:val="21"/>
          <w:szCs w:val="21"/>
          <w:lang w:val="en-AU" w:eastAsia="en-AU"/>
        </w:rPr>
        <w:t xml:space="preserve">introduced </w:t>
      </w:r>
      <w:r w:rsidRPr="00DD2A8C">
        <w:rPr>
          <w:rFonts w:eastAsia="Times New Roman" w:cs="Arial"/>
          <w:color w:val="000000" w:themeColor="text1"/>
          <w:sz w:val="21"/>
          <w:szCs w:val="21"/>
          <w:lang w:val="en-AU" w:eastAsia="en-AU"/>
        </w:rPr>
        <w:t xml:space="preserve">procedures for school and madrasah accreditation; </w:t>
      </w:r>
      <w:r w:rsidR="00BF7D1C">
        <w:rPr>
          <w:rFonts w:eastAsia="Times New Roman" w:cs="Arial"/>
          <w:color w:val="000000" w:themeColor="text1"/>
          <w:sz w:val="21"/>
          <w:szCs w:val="21"/>
          <w:lang w:val="en-AU" w:eastAsia="en-AU"/>
        </w:rPr>
        <w:t xml:space="preserve">established </w:t>
      </w:r>
      <w:r w:rsidRPr="00DD2A8C">
        <w:rPr>
          <w:rFonts w:eastAsia="Times New Roman" w:cs="Arial"/>
          <w:color w:val="000000" w:themeColor="text1"/>
          <w:sz w:val="21"/>
          <w:szCs w:val="21"/>
          <w:lang w:val="en-AU" w:eastAsia="en-AU"/>
        </w:rPr>
        <w:t xml:space="preserve">a system for school quality assurance; </w:t>
      </w:r>
      <w:r w:rsidR="00E832C7">
        <w:rPr>
          <w:rFonts w:eastAsia="Times New Roman" w:cs="Arial"/>
          <w:color w:val="000000" w:themeColor="text1"/>
          <w:sz w:val="21"/>
          <w:szCs w:val="21"/>
          <w:lang w:val="en-AU" w:eastAsia="en-AU"/>
        </w:rPr>
        <w:t xml:space="preserve">introduced </w:t>
      </w:r>
      <w:r w:rsidRPr="00DD2A8C">
        <w:rPr>
          <w:rFonts w:eastAsia="Times New Roman" w:cs="Arial"/>
          <w:color w:val="000000" w:themeColor="text1"/>
          <w:sz w:val="21"/>
          <w:szCs w:val="21"/>
          <w:lang w:val="en-AU" w:eastAsia="en-AU"/>
        </w:rPr>
        <w:t>continuous professional development for teachers, principals and supervisors;</w:t>
      </w:r>
      <w:r w:rsidR="00E832C7">
        <w:rPr>
          <w:rFonts w:eastAsia="Times New Roman" w:cs="Arial"/>
          <w:color w:val="000000" w:themeColor="text1"/>
          <w:sz w:val="21"/>
          <w:szCs w:val="21"/>
          <w:lang w:val="en-AU" w:eastAsia="en-AU"/>
        </w:rPr>
        <w:t xml:space="preserve"> supported</w:t>
      </w:r>
      <w:r w:rsidRPr="00DD2A8C">
        <w:rPr>
          <w:rFonts w:eastAsia="Times New Roman" w:cs="Arial"/>
          <w:color w:val="000000" w:themeColor="text1"/>
          <w:sz w:val="21"/>
          <w:szCs w:val="21"/>
          <w:lang w:val="en-AU" w:eastAsia="en-AU"/>
        </w:rPr>
        <w:t xml:space="preserve"> teacher up-grading and certification; and, most recently, </w:t>
      </w:r>
      <w:r w:rsidR="00E832C7">
        <w:rPr>
          <w:rFonts w:eastAsia="Times New Roman" w:cs="Arial"/>
          <w:color w:val="000000" w:themeColor="text1"/>
          <w:sz w:val="21"/>
          <w:szCs w:val="21"/>
          <w:lang w:val="en-AU" w:eastAsia="en-AU"/>
        </w:rPr>
        <w:t xml:space="preserve">introduced </w:t>
      </w:r>
      <w:r w:rsidRPr="00DD2A8C">
        <w:rPr>
          <w:rFonts w:eastAsia="Times New Roman" w:cs="Arial"/>
          <w:color w:val="000000" w:themeColor="text1"/>
          <w:sz w:val="21"/>
          <w:szCs w:val="21"/>
          <w:lang w:val="en-AU" w:eastAsia="en-AU"/>
        </w:rPr>
        <w:t>a curriculum</w:t>
      </w:r>
      <w:r w:rsidR="0094187A">
        <w:rPr>
          <w:rFonts w:eastAsia="Times New Roman" w:cs="Arial"/>
          <w:color w:val="000000" w:themeColor="text1"/>
          <w:sz w:val="21"/>
          <w:szCs w:val="21"/>
          <w:lang w:val="en-AU" w:eastAsia="en-AU"/>
        </w:rPr>
        <w:t xml:space="preserve"> that </w:t>
      </w:r>
      <w:r w:rsidR="006B3436">
        <w:rPr>
          <w:rFonts w:eastAsia="Times New Roman" w:cs="Arial"/>
          <w:color w:val="000000" w:themeColor="text1"/>
          <w:sz w:val="21"/>
          <w:szCs w:val="21"/>
          <w:lang w:val="en-AU" w:eastAsia="en-AU"/>
        </w:rPr>
        <w:t>emphasizes</w:t>
      </w:r>
      <w:r w:rsidR="0094187A">
        <w:rPr>
          <w:rFonts w:eastAsia="Times New Roman" w:cs="Arial"/>
          <w:color w:val="000000" w:themeColor="text1"/>
          <w:sz w:val="21"/>
          <w:szCs w:val="21"/>
          <w:lang w:val="en-AU" w:eastAsia="en-AU"/>
        </w:rPr>
        <w:t xml:space="preserve"> </w:t>
      </w:r>
      <w:r w:rsidR="006B3436">
        <w:rPr>
          <w:rFonts w:eastAsia="Times New Roman" w:cs="Arial"/>
          <w:color w:val="000000" w:themeColor="text1"/>
          <w:sz w:val="21"/>
          <w:szCs w:val="21"/>
          <w:lang w:val="en-AU" w:eastAsia="en-AU"/>
        </w:rPr>
        <w:t>“21</w:t>
      </w:r>
      <w:r w:rsidR="006B3436" w:rsidRPr="006C2216">
        <w:rPr>
          <w:rFonts w:eastAsia="Times New Roman" w:cs="Arial"/>
          <w:color w:val="000000" w:themeColor="text1"/>
          <w:sz w:val="21"/>
          <w:szCs w:val="21"/>
          <w:vertAlign w:val="superscript"/>
          <w:lang w:val="en-AU" w:eastAsia="en-AU"/>
        </w:rPr>
        <w:t>st</w:t>
      </w:r>
      <w:r w:rsidR="006B3436">
        <w:rPr>
          <w:rFonts w:eastAsia="Times New Roman" w:cs="Arial"/>
          <w:color w:val="000000" w:themeColor="text1"/>
          <w:sz w:val="21"/>
          <w:szCs w:val="21"/>
          <w:lang w:val="en-AU" w:eastAsia="en-AU"/>
        </w:rPr>
        <w:t xml:space="preserve"> century skills”</w:t>
      </w:r>
      <w:r w:rsidR="00D8647E">
        <w:rPr>
          <w:rStyle w:val="EndnoteReference"/>
          <w:rFonts w:eastAsia="Times New Roman" w:cs="Arial"/>
          <w:color w:val="000000" w:themeColor="text1"/>
          <w:sz w:val="21"/>
          <w:szCs w:val="21"/>
          <w:lang w:val="en-AU" w:eastAsia="en-AU"/>
        </w:rPr>
        <w:endnoteReference w:id="1"/>
      </w:r>
      <w:r w:rsidR="00D8647E" w:rsidRPr="00DD2A8C">
        <w:rPr>
          <w:rFonts w:eastAsia="Times New Roman" w:cs="Arial"/>
          <w:color w:val="000000" w:themeColor="text1"/>
          <w:sz w:val="21"/>
          <w:szCs w:val="21"/>
          <w:lang w:val="en-AU" w:eastAsia="en-AU"/>
        </w:rPr>
        <w:t xml:space="preserve">. </w:t>
      </w:r>
    </w:p>
    <w:p w:rsidR="00D8647E" w:rsidRPr="006D2621" w:rsidRDefault="00D8647E" w:rsidP="00EA308A">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6D2621">
        <w:rPr>
          <w:rFonts w:eastAsia="Times New Roman" w:cs="Arial"/>
          <w:color w:val="000000" w:themeColor="text1"/>
          <w:sz w:val="21"/>
          <w:szCs w:val="21"/>
          <w:lang w:val="en-AU" w:eastAsia="en-AU"/>
        </w:rPr>
        <w:t xml:space="preserve">Yet </w:t>
      </w:r>
      <w:r w:rsidRPr="00312C16">
        <w:rPr>
          <w:rFonts w:eastAsia="Times New Roman" w:cs="Arial"/>
          <w:b/>
          <w:color w:val="000000" w:themeColor="text1"/>
          <w:sz w:val="21"/>
          <w:szCs w:val="21"/>
          <w:lang w:val="en-AU" w:eastAsia="en-AU"/>
        </w:rPr>
        <w:t>significant challenges remain</w:t>
      </w:r>
      <w:r>
        <w:rPr>
          <w:rFonts w:eastAsia="Times New Roman" w:cs="Arial"/>
          <w:color w:val="000000" w:themeColor="text1"/>
          <w:sz w:val="21"/>
          <w:szCs w:val="21"/>
          <w:lang w:val="en-AU" w:eastAsia="en-AU"/>
        </w:rPr>
        <w:t xml:space="preserve">. Results from </w:t>
      </w:r>
      <w:r w:rsidR="00C9539E">
        <w:rPr>
          <w:rFonts w:eastAsia="Times New Roman" w:cs="Arial"/>
          <w:color w:val="000000" w:themeColor="text1"/>
          <w:sz w:val="21"/>
          <w:szCs w:val="21"/>
          <w:lang w:val="en-AU" w:eastAsia="en-AU"/>
        </w:rPr>
        <w:t>Indonesia’s</w:t>
      </w:r>
      <w:r>
        <w:rPr>
          <w:rFonts w:eastAsia="Times New Roman" w:cs="Arial"/>
          <w:color w:val="000000" w:themeColor="text1"/>
          <w:sz w:val="21"/>
          <w:szCs w:val="21"/>
          <w:lang w:val="en-AU" w:eastAsia="en-AU"/>
        </w:rPr>
        <w:t xml:space="preserve"> </w:t>
      </w:r>
      <w:r w:rsidRPr="006C2216">
        <w:rPr>
          <w:rFonts w:eastAsia="Times New Roman" w:cs="Arial"/>
          <w:i/>
          <w:color w:val="000000" w:themeColor="text1"/>
          <w:sz w:val="21"/>
          <w:szCs w:val="21"/>
          <w:lang w:val="en-AU" w:eastAsia="en-AU"/>
        </w:rPr>
        <w:t>Asesmen Kompetensi Siswa Indonesia</w:t>
      </w:r>
      <w:r w:rsidRPr="006D2621">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w:t>
      </w:r>
      <w:r w:rsidRPr="006D2621">
        <w:rPr>
          <w:rFonts w:eastAsia="Times New Roman" w:cs="Arial"/>
          <w:color w:val="000000" w:themeColor="text1"/>
          <w:sz w:val="21"/>
          <w:szCs w:val="21"/>
          <w:lang w:val="en-AU" w:eastAsia="en-AU"/>
        </w:rPr>
        <w:t>AKSI</w:t>
      </w:r>
      <w:r>
        <w:rPr>
          <w:rFonts w:eastAsia="Times New Roman" w:cs="Arial"/>
          <w:color w:val="000000" w:themeColor="text1"/>
          <w:sz w:val="21"/>
          <w:szCs w:val="21"/>
          <w:lang w:val="en-AU" w:eastAsia="en-AU"/>
        </w:rPr>
        <w:t xml:space="preserve"> or </w:t>
      </w:r>
      <w:r w:rsidRPr="006D2621">
        <w:rPr>
          <w:rFonts w:eastAsia="Times New Roman" w:cs="Arial"/>
          <w:color w:val="000000" w:themeColor="text1"/>
          <w:sz w:val="21"/>
          <w:szCs w:val="21"/>
          <w:lang w:val="en-AU" w:eastAsia="en-AU"/>
        </w:rPr>
        <w:t xml:space="preserve">Progressive Assessment of Student Achievement) </w:t>
      </w:r>
      <w:r>
        <w:rPr>
          <w:rFonts w:eastAsia="Times New Roman" w:cs="Arial"/>
          <w:color w:val="000000" w:themeColor="text1"/>
          <w:sz w:val="21"/>
          <w:szCs w:val="21"/>
          <w:lang w:val="en-AU" w:eastAsia="en-AU"/>
        </w:rPr>
        <w:t xml:space="preserve">show </w:t>
      </w:r>
      <w:r w:rsidRPr="00531876">
        <w:rPr>
          <w:rFonts w:eastAsia="Times New Roman" w:cs="Arial"/>
          <w:color w:val="000000" w:themeColor="text1"/>
          <w:sz w:val="21"/>
          <w:szCs w:val="21"/>
          <w:lang w:val="en-AU" w:eastAsia="en-AU"/>
        </w:rPr>
        <w:t>that about 75% of Grade 4 students perform poorly in mathematics and science</w:t>
      </w:r>
      <w:r w:rsidRPr="00531876">
        <w:rPr>
          <w:rStyle w:val="EndnoteReference"/>
          <w:rFonts w:eastAsia="Times New Roman" w:cs="Arial"/>
          <w:color w:val="000000" w:themeColor="text1"/>
          <w:sz w:val="21"/>
          <w:szCs w:val="21"/>
          <w:lang w:val="en-AU" w:eastAsia="en-AU"/>
        </w:rPr>
        <w:endnoteReference w:id="2"/>
      </w:r>
      <w:r w:rsidRPr="00531876">
        <w:rPr>
          <w:rFonts w:eastAsia="Times New Roman" w:cs="Arial"/>
          <w:color w:val="000000" w:themeColor="text1"/>
          <w:sz w:val="21"/>
          <w:szCs w:val="21"/>
          <w:lang w:val="en-AU" w:eastAsia="en-AU"/>
        </w:rPr>
        <w:t xml:space="preserve">. While the literacy picture </w:t>
      </w:r>
      <w:r w:rsidR="004749A0">
        <w:rPr>
          <w:rFonts w:eastAsia="Times New Roman" w:cs="Arial"/>
          <w:color w:val="000000" w:themeColor="text1"/>
          <w:sz w:val="21"/>
          <w:szCs w:val="21"/>
          <w:lang w:val="en-AU" w:eastAsia="en-AU"/>
        </w:rPr>
        <w:t>is</w:t>
      </w:r>
      <w:r w:rsidRPr="00531876">
        <w:rPr>
          <w:rFonts w:eastAsia="Times New Roman" w:cs="Arial"/>
          <w:color w:val="000000" w:themeColor="text1"/>
          <w:sz w:val="21"/>
          <w:szCs w:val="21"/>
          <w:lang w:val="en-AU" w:eastAsia="en-AU"/>
        </w:rPr>
        <w:t xml:space="preserve"> comparatively positive, </w:t>
      </w:r>
      <w:r w:rsidR="00F97039">
        <w:rPr>
          <w:rFonts w:eastAsia="Times New Roman" w:cs="Arial"/>
          <w:color w:val="000000" w:themeColor="text1"/>
          <w:sz w:val="21"/>
          <w:szCs w:val="21"/>
          <w:lang w:val="en-AU" w:eastAsia="en-AU"/>
        </w:rPr>
        <w:t>students in half</w:t>
      </w:r>
      <w:r w:rsidR="000D648F">
        <w:rPr>
          <w:rFonts w:eastAsia="Times New Roman" w:cs="Arial"/>
          <w:color w:val="000000" w:themeColor="text1"/>
          <w:sz w:val="21"/>
          <w:szCs w:val="21"/>
          <w:lang w:val="en-AU" w:eastAsia="en-AU"/>
        </w:rPr>
        <w:t xml:space="preserve"> of the provinces </w:t>
      </w:r>
      <w:r w:rsidR="00313AFD">
        <w:rPr>
          <w:rFonts w:eastAsia="Times New Roman" w:cs="Arial"/>
          <w:color w:val="000000" w:themeColor="text1"/>
          <w:sz w:val="21"/>
          <w:szCs w:val="21"/>
          <w:lang w:val="en-AU" w:eastAsia="en-AU"/>
        </w:rPr>
        <w:t xml:space="preserve">fail to </w:t>
      </w:r>
      <w:r w:rsidR="000D648F">
        <w:rPr>
          <w:rFonts w:eastAsia="Times New Roman" w:cs="Arial"/>
          <w:color w:val="000000" w:themeColor="text1"/>
          <w:sz w:val="21"/>
          <w:szCs w:val="21"/>
          <w:lang w:val="en-AU" w:eastAsia="en-AU"/>
        </w:rPr>
        <w:t>achieve the minimum level of competency</w:t>
      </w:r>
      <w:r w:rsidRPr="00531876">
        <w:rPr>
          <w:rFonts w:eastAsia="Times New Roman" w:cs="Arial"/>
          <w:color w:val="000000" w:themeColor="text1"/>
          <w:sz w:val="21"/>
          <w:szCs w:val="21"/>
          <w:lang w:val="en-AU" w:eastAsia="en-AU"/>
        </w:rPr>
        <w:t xml:space="preserve"> (see </w:t>
      </w:r>
      <w:r w:rsidR="00313AFD">
        <w:rPr>
          <w:rFonts w:eastAsia="Times New Roman" w:cs="Arial"/>
          <w:color w:val="000000" w:themeColor="text1"/>
          <w:sz w:val="21"/>
          <w:szCs w:val="21"/>
          <w:lang w:val="en-AU" w:eastAsia="en-AU"/>
        </w:rPr>
        <w:t>figure</w:t>
      </w:r>
      <w:r w:rsidR="000D648F">
        <w:rPr>
          <w:rFonts w:eastAsia="Times New Roman" w:cs="Arial"/>
          <w:color w:val="000000" w:themeColor="text1"/>
          <w:sz w:val="21"/>
          <w:szCs w:val="21"/>
          <w:lang w:val="en-AU" w:eastAsia="en-AU"/>
        </w:rPr>
        <w:t xml:space="preserve"> </w:t>
      </w:r>
      <w:r w:rsidR="000D648F" w:rsidRPr="000F04A9">
        <w:rPr>
          <w:rFonts w:eastAsia="Times New Roman" w:cs="Arial"/>
          <w:color w:val="000000" w:themeColor="text1"/>
          <w:sz w:val="21"/>
          <w:szCs w:val="21"/>
          <w:lang w:val="en-AU" w:eastAsia="en-AU"/>
        </w:rPr>
        <w:t xml:space="preserve">in </w:t>
      </w:r>
      <w:r w:rsidRPr="000F04A9">
        <w:rPr>
          <w:rFonts w:eastAsia="Times New Roman" w:cs="Arial"/>
          <w:color w:val="000000" w:themeColor="text1"/>
          <w:sz w:val="21"/>
          <w:szCs w:val="21"/>
          <w:lang w:val="en-AU" w:eastAsia="en-AU"/>
        </w:rPr>
        <w:t xml:space="preserve">Annex </w:t>
      </w:r>
      <w:r w:rsidR="000D648F" w:rsidRPr="000F04A9">
        <w:rPr>
          <w:rFonts w:eastAsia="Times New Roman" w:cs="Arial"/>
          <w:color w:val="000000" w:themeColor="text1"/>
          <w:sz w:val="21"/>
          <w:szCs w:val="21"/>
          <w:lang w:val="en-AU" w:eastAsia="en-AU"/>
        </w:rPr>
        <w:t>A</w:t>
      </w:r>
      <w:r w:rsidRPr="000F04A9">
        <w:rPr>
          <w:rFonts w:eastAsia="Times New Roman" w:cs="Arial"/>
          <w:color w:val="000000" w:themeColor="text1"/>
          <w:sz w:val="21"/>
          <w:szCs w:val="21"/>
          <w:lang w:val="en-AU" w:eastAsia="en-AU"/>
        </w:rPr>
        <w:t>). AKSI</w:t>
      </w:r>
      <w:r w:rsidRPr="00531876">
        <w:rPr>
          <w:rFonts w:eastAsia="Times New Roman" w:cs="Arial"/>
          <w:color w:val="000000" w:themeColor="text1"/>
          <w:sz w:val="21"/>
          <w:szCs w:val="21"/>
          <w:lang w:val="en-AU" w:eastAsia="en-AU"/>
        </w:rPr>
        <w:t xml:space="preserve"> results are</w:t>
      </w:r>
      <w:r w:rsidRPr="006D2621">
        <w:rPr>
          <w:rFonts w:eastAsia="Times New Roman" w:cs="Arial"/>
          <w:color w:val="000000" w:themeColor="text1"/>
          <w:sz w:val="21"/>
          <w:szCs w:val="21"/>
          <w:lang w:val="en-AU" w:eastAsia="en-AU"/>
        </w:rPr>
        <w:t xml:space="preserve"> broadly consistent with </w:t>
      </w:r>
      <w:r w:rsidR="000224EE">
        <w:rPr>
          <w:rFonts w:eastAsia="Times New Roman" w:cs="Arial"/>
          <w:color w:val="000000" w:themeColor="text1"/>
          <w:sz w:val="21"/>
          <w:szCs w:val="21"/>
          <w:lang w:val="en-AU" w:eastAsia="en-AU"/>
        </w:rPr>
        <w:t>the picture painted by</w:t>
      </w:r>
      <w:r>
        <w:rPr>
          <w:rFonts w:eastAsia="Times New Roman" w:cs="Arial"/>
          <w:color w:val="000000" w:themeColor="text1"/>
          <w:sz w:val="21"/>
          <w:szCs w:val="21"/>
          <w:lang w:val="en-AU" w:eastAsia="en-AU"/>
        </w:rPr>
        <w:t xml:space="preserve"> </w:t>
      </w:r>
      <w:r w:rsidRPr="006D2621">
        <w:rPr>
          <w:rFonts w:eastAsia="Times New Roman" w:cs="Arial"/>
          <w:color w:val="000000" w:themeColor="text1"/>
          <w:sz w:val="21"/>
          <w:szCs w:val="21"/>
          <w:lang w:val="en-AU" w:eastAsia="en-AU"/>
        </w:rPr>
        <w:t>the Programme of International Student Assessment conducted by the OECD. Compared to other countries</w:t>
      </w:r>
      <w:r>
        <w:rPr>
          <w:rFonts w:eastAsia="Times New Roman" w:cs="Arial"/>
          <w:color w:val="000000" w:themeColor="text1"/>
          <w:sz w:val="21"/>
          <w:szCs w:val="21"/>
          <w:lang w:val="en-AU" w:eastAsia="en-AU"/>
        </w:rPr>
        <w:t xml:space="preserve"> (including Vietnam and Thailand)</w:t>
      </w:r>
      <w:r w:rsidRPr="006D2621">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 xml:space="preserve">the quality of </w:t>
      </w:r>
      <w:r w:rsidRPr="006D2621">
        <w:rPr>
          <w:rFonts w:eastAsia="Times New Roman" w:cs="Arial"/>
          <w:color w:val="000000" w:themeColor="text1"/>
          <w:sz w:val="21"/>
          <w:szCs w:val="21"/>
          <w:lang w:val="en-AU" w:eastAsia="en-AU"/>
        </w:rPr>
        <w:t xml:space="preserve">learning </w:t>
      </w:r>
      <w:r>
        <w:rPr>
          <w:rFonts w:eastAsia="Times New Roman" w:cs="Arial"/>
          <w:color w:val="000000" w:themeColor="text1"/>
          <w:sz w:val="21"/>
          <w:szCs w:val="21"/>
          <w:lang w:val="en-AU" w:eastAsia="en-AU"/>
        </w:rPr>
        <w:t>in Indonesia remains stubbornly low</w:t>
      </w:r>
      <w:r w:rsidRPr="006D2621">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Inevitably this has a knock-on effect on both secondary school exam results and the extent to which school graduate</w:t>
      </w:r>
      <w:r w:rsidR="00313AFD">
        <w:rPr>
          <w:rFonts w:eastAsia="Times New Roman" w:cs="Arial"/>
          <w:color w:val="000000" w:themeColor="text1"/>
          <w:sz w:val="21"/>
          <w:szCs w:val="21"/>
          <w:lang w:val="en-AU" w:eastAsia="en-AU"/>
        </w:rPr>
        <w:t>s</w:t>
      </w:r>
      <w:r>
        <w:rPr>
          <w:rFonts w:eastAsia="Times New Roman" w:cs="Arial"/>
          <w:color w:val="000000" w:themeColor="text1"/>
          <w:sz w:val="21"/>
          <w:szCs w:val="21"/>
          <w:lang w:val="en-AU" w:eastAsia="en-AU"/>
        </w:rPr>
        <w:t xml:space="preserve"> </w:t>
      </w:r>
      <w:r w:rsidR="00DB3E86">
        <w:rPr>
          <w:rFonts w:eastAsia="Times New Roman" w:cs="Arial"/>
          <w:color w:val="000000" w:themeColor="text1"/>
          <w:sz w:val="21"/>
          <w:szCs w:val="21"/>
          <w:lang w:val="en-AU" w:eastAsia="en-AU"/>
        </w:rPr>
        <w:t xml:space="preserve">are </w:t>
      </w:r>
      <w:r w:rsidR="00CE6FD2">
        <w:rPr>
          <w:rFonts w:eastAsia="Times New Roman" w:cs="Arial"/>
          <w:color w:val="000000" w:themeColor="text1"/>
          <w:sz w:val="21"/>
          <w:szCs w:val="21"/>
          <w:lang w:val="en-AU" w:eastAsia="en-AU"/>
        </w:rPr>
        <w:t>equipped</w:t>
      </w:r>
      <w:r w:rsidR="00DB3E86">
        <w:rPr>
          <w:rFonts w:eastAsia="Times New Roman" w:cs="Arial"/>
          <w:color w:val="000000" w:themeColor="text1"/>
          <w:sz w:val="21"/>
          <w:szCs w:val="21"/>
          <w:lang w:val="en-AU" w:eastAsia="en-AU"/>
        </w:rPr>
        <w:t xml:space="preserve"> to</w:t>
      </w:r>
      <w:r>
        <w:rPr>
          <w:rFonts w:eastAsia="Times New Roman" w:cs="Arial"/>
          <w:color w:val="000000" w:themeColor="text1"/>
          <w:sz w:val="21"/>
          <w:szCs w:val="21"/>
          <w:lang w:val="en-AU" w:eastAsia="en-AU"/>
        </w:rPr>
        <w:t xml:space="preserve"> participate in the labour market</w:t>
      </w:r>
      <w:r w:rsidRPr="006D2621">
        <w:rPr>
          <w:rFonts w:eastAsia="Times New Roman" w:cs="Arial"/>
          <w:color w:val="000000" w:themeColor="text1"/>
          <w:sz w:val="21"/>
          <w:szCs w:val="21"/>
          <w:lang w:val="en-AU" w:eastAsia="en-AU"/>
        </w:rPr>
        <w:t xml:space="preserve">.  </w:t>
      </w:r>
    </w:p>
    <w:p w:rsidR="00D8647E" w:rsidRDefault="00D8647E" w:rsidP="00EA308A">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lastRenderedPageBreak/>
        <w:t>T</w:t>
      </w:r>
      <w:r w:rsidRPr="00874ABC">
        <w:rPr>
          <w:rFonts w:eastAsia="Times New Roman" w:cs="Arial"/>
          <w:color w:val="000000" w:themeColor="text1"/>
          <w:sz w:val="21"/>
          <w:szCs w:val="21"/>
          <w:lang w:val="en-AU" w:eastAsia="en-AU"/>
        </w:rPr>
        <w:t xml:space="preserve">he </w:t>
      </w:r>
      <w:r w:rsidRPr="00312C16">
        <w:rPr>
          <w:rFonts w:eastAsia="Times New Roman" w:cs="Arial"/>
          <w:b/>
          <w:color w:val="000000" w:themeColor="text1"/>
          <w:sz w:val="21"/>
          <w:szCs w:val="21"/>
          <w:lang w:val="en-AU" w:eastAsia="en-AU"/>
        </w:rPr>
        <w:t xml:space="preserve">‘learning </w:t>
      </w:r>
      <w:r w:rsidRPr="006C2216">
        <w:rPr>
          <w:rFonts w:eastAsia="Times New Roman" w:cs="Arial"/>
          <w:b/>
          <w:color w:val="000000" w:themeColor="text1"/>
          <w:sz w:val="21"/>
          <w:szCs w:val="21"/>
          <w:lang w:val="en-AU" w:eastAsia="en-AU"/>
        </w:rPr>
        <w:t>deficit</w:t>
      </w:r>
      <w:r w:rsidRPr="00312C16">
        <w:rPr>
          <w:rFonts w:eastAsia="Times New Roman" w:cs="Arial"/>
          <w:b/>
          <w:color w:val="000000" w:themeColor="text1"/>
          <w:sz w:val="21"/>
          <w:szCs w:val="21"/>
          <w:lang w:val="en-AU" w:eastAsia="en-AU"/>
        </w:rPr>
        <w:t>’</w:t>
      </w:r>
      <w:r w:rsidRPr="00874ABC">
        <w:rPr>
          <w:rFonts w:eastAsia="Times New Roman" w:cs="Arial"/>
          <w:color w:val="000000" w:themeColor="text1"/>
          <w:sz w:val="21"/>
          <w:szCs w:val="21"/>
          <w:lang w:val="en-AU" w:eastAsia="en-AU"/>
        </w:rPr>
        <w:t xml:space="preserve"> has a disproportionate effect on disadvantaged households</w:t>
      </w:r>
      <w:r w:rsidR="008C25AC">
        <w:rPr>
          <w:rFonts w:eastAsia="Times New Roman" w:cs="Arial"/>
          <w:color w:val="000000" w:themeColor="text1"/>
          <w:sz w:val="21"/>
          <w:szCs w:val="21"/>
          <w:lang w:val="en-AU" w:eastAsia="en-AU"/>
        </w:rPr>
        <w:t>. T</w:t>
      </w:r>
      <w:r>
        <w:rPr>
          <w:rFonts w:eastAsia="Times New Roman" w:cs="Arial"/>
          <w:color w:val="000000" w:themeColor="text1"/>
          <w:sz w:val="21"/>
          <w:szCs w:val="21"/>
          <w:lang w:val="en-AU" w:eastAsia="en-AU"/>
        </w:rPr>
        <w:t xml:space="preserve">he poor and marginalised typically receive an inferior education, reinforcing socio-economic disadvantage and restricting inter-generational social mobility. </w:t>
      </w:r>
      <w:r w:rsidR="00205ED5">
        <w:rPr>
          <w:rFonts w:eastAsia="Times New Roman" w:cs="Arial"/>
          <w:color w:val="000000" w:themeColor="text1"/>
          <w:sz w:val="21"/>
          <w:szCs w:val="21"/>
          <w:lang w:val="en-AU" w:eastAsia="en-AU"/>
        </w:rPr>
        <w:t>Only 31% of c</w:t>
      </w:r>
      <w:r w:rsidR="00205ED5" w:rsidRPr="00B84C37">
        <w:rPr>
          <w:rFonts w:eastAsia="Times New Roman" w:cs="Arial"/>
          <w:color w:val="000000" w:themeColor="text1"/>
          <w:sz w:val="21"/>
          <w:szCs w:val="21"/>
          <w:lang w:val="en-AU" w:eastAsia="en-AU"/>
        </w:rPr>
        <w:t>hildren with disabilities</w:t>
      </w:r>
      <w:r w:rsidR="00205ED5">
        <w:rPr>
          <w:rFonts w:eastAsia="Times New Roman" w:cs="Arial"/>
          <w:color w:val="000000" w:themeColor="text1"/>
          <w:sz w:val="21"/>
          <w:szCs w:val="21"/>
          <w:lang w:val="en-AU" w:eastAsia="en-AU"/>
        </w:rPr>
        <w:t xml:space="preserve"> are</w:t>
      </w:r>
      <w:r w:rsidR="00205ED5" w:rsidRPr="00B84C37">
        <w:rPr>
          <w:rFonts w:eastAsia="Times New Roman" w:cs="Arial"/>
          <w:color w:val="000000" w:themeColor="text1"/>
          <w:sz w:val="21"/>
          <w:szCs w:val="21"/>
          <w:lang w:val="en-AU" w:eastAsia="en-AU"/>
        </w:rPr>
        <w:t xml:space="preserve"> enrolled in formal education</w:t>
      </w:r>
      <w:r w:rsidR="00205ED5">
        <w:rPr>
          <w:rFonts w:eastAsia="Times New Roman" w:cs="Arial"/>
          <w:color w:val="000000" w:themeColor="text1"/>
          <w:sz w:val="21"/>
          <w:szCs w:val="21"/>
          <w:lang w:val="en-AU" w:eastAsia="en-AU"/>
        </w:rPr>
        <w:t xml:space="preserve"> across the country and when they d</w:t>
      </w:r>
      <w:r w:rsidR="00205ED5" w:rsidRPr="00B84C37">
        <w:rPr>
          <w:rFonts w:eastAsia="Times New Roman" w:cs="Arial"/>
          <w:color w:val="000000" w:themeColor="text1"/>
          <w:sz w:val="21"/>
          <w:szCs w:val="21"/>
          <w:lang w:val="en-AU" w:eastAsia="en-AU"/>
        </w:rPr>
        <w:t>o attend, most teachers and administrators lack the knowledge, skills, and facilities to support their learning</w:t>
      </w:r>
      <w:r w:rsidR="00205ED5">
        <w:rPr>
          <w:rStyle w:val="EndnoteReference"/>
          <w:rFonts w:eastAsia="Times New Roman" w:cs="Arial"/>
          <w:color w:val="000000" w:themeColor="text1"/>
          <w:sz w:val="21"/>
          <w:szCs w:val="21"/>
          <w:lang w:val="en-AU" w:eastAsia="en-AU"/>
        </w:rPr>
        <w:endnoteReference w:id="3"/>
      </w:r>
      <w:r w:rsidR="00205ED5" w:rsidRPr="00B84C37">
        <w:rPr>
          <w:rFonts w:eastAsia="Times New Roman" w:cs="Arial"/>
          <w:color w:val="000000" w:themeColor="text1"/>
          <w:sz w:val="21"/>
          <w:szCs w:val="21"/>
          <w:lang w:val="en-AU" w:eastAsia="en-AU"/>
        </w:rPr>
        <w:t>.</w:t>
      </w:r>
      <w:r w:rsidR="00205ED5">
        <w:rPr>
          <w:rFonts w:eastAsia="Times New Roman" w:cs="Arial"/>
          <w:color w:val="000000" w:themeColor="text1"/>
          <w:sz w:val="21"/>
          <w:szCs w:val="21"/>
          <w:lang w:val="en-AU" w:eastAsia="en-AU"/>
        </w:rPr>
        <w:t xml:space="preserve"> </w:t>
      </w:r>
      <w:r w:rsidR="00884F61">
        <w:rPr>
          <w:rFonts w:eastAsia="Times New Roman" w:cs="Arial"/>
          <w:color w:val="000000" w:themeColor="text1"/>
          <w:sz w:val="21"/>
          <w:szCs w:val="21"/>
          <w:lang w:val="en-AU" w:eastAsia="en-AU"/>
        </w:rPr>
        <w:t>More broadly, s</w:t>
      </w:r>
      <w:r w:rsidRPr="00561C7B">
        <w:rPr>
          <w:rFonts w:eastAsia="Times New Roman" w:cs="Arial"/>
          <w:color w:val="000000" w:themeColor="text1"/>
          <w:sz w:val="21"/>
          <w:szCs w:val="21"/>
          <w:lang w:val="en-AU" w:eastAsia="en-AU"/>
        </w:rPr>
        <w:t>econd graders in</w:t>
      </w:r>
      <w:r>
        <w:rPr>
          <w:rFonts w:eastAsia="Times New Roman" w:cs="Arial"/>
          <w:color w:val="000000" w:themeColor="text1"/>
          <w:sz w:val="21"/>
          <w:szCs w:val="21"/>
          <w:lang w:val="en-AU" w:eastAsia="en-AU"/>
        </w:rPr>
        <w:t xml:space="preserve"> the eastern provinces of</w:t>
      </w:r>
      <w:r w:rsidRPr="00561C7B">
        <w:rPr>
          <w:rFonts w:eastAsia="Times New Roman" w:cs="Arial"/>
          <w:color w:val="000000" w:themeColor="text1"/>
          <w:sz w:val="21"/>
          <w:szCs w:val="21"/>
          <w:lang w:val="en-AU" w:eastAsia="en-AU"/>
        </w:rPr>
        <w:t xml:space="preserve"> Nusa Tenggara, Maluku, and Papua </w:t>
      </w:r>
      <w:r>
        <w:rPr>
          <w:rFonts w:eastAsia="Times New Roman" w:cs="Arial"/>
          <w:color w:val="000000" w:themeColor="text1"/>
          <w:sz w:val="21"/>
          <w:szCs w:val="21"/>
          <w:lang w:val="en-AU" w:eastAsia="en-AU"/>
        </w:rPr>
        <w:t xml:space="preserve">are four times </w:t>
      </w:r>
      <w:r w:rsidR="008C25AC">
        <w:rPr>
          <w:rFonts w:eastAsia="Times New Roman" w:cs="Arial"/>
          <w:color w:val="000000" w:themeColor="text1"/>
          <w:sz w:val="21"/>
          <w:szCs w:val="21"/>
          <w:lang w:val="en-AU" w:eastAsia="en-AU"/>
        </w:rPr>
        <w:t>less likely to be able</w:t>
      </w:r>
      <w:r>
        <w:rPr>
          <w:rFonts w:eastAsia="Times New Roman" w:cs="Arial"/>
          <w:color w:val="000000" w:themeColor="text1"/>
          <w:sz w:val="21"/>
          <w:szCs w:val="21"/>
          <w:lang w:val="en-AU" w:eastAsia="en-AU"/>
        </w:rPr>
        <w:t xml:space="preserve"> to read </w:t>
      </w:r>
      <w:r w:rsidRPr="00561C7B">
        <w:rPr>
          <w:rFonts w:eastAsia="Times New Roman" w:cs="Arial"/>
          <w:color w:val="000000" w:themeColor="text1"/>
          <w:sz w:val="21"/>
          <w:szCs w:val="21"/>
          <w:lang w:val="en-AU" w:eastAsia="en-AU"/>
        </w:rPr>
        <w:t>than the national average</w:t>
      </w:r>
      <w:r w:rsidR="003A7C6F">
        <w:rPr>
          <w:rStyle w:val="EndnoteReference"/>
          <w:rFonts w:eastAsia="Times New Roman" w:cs="Arial"/>
          <w:color w:val="000000" w:themeColor="text1"/>
          <w:sz w:val="21"/>
          <w:szCs w:val="21"/>
          <w:lang w:val="en-AU" w:eastAsia="en-AU"/>
        </w:rPr>
        <w:endnoteReference w:id="4"/>
      </w:r>
      <w:r w:rsidR="00286989">
        <w:rPr>
          <w:rFonts w:eastAsia="Times New Roman" w:cs="Arial"/>
          <w:color w:val="000000" w:themeColor="text1"/>
          <w:sz w:val="21"/>
          <w:szCs w:val="21"/>
          <w:lang w:val="en-AU" w:eastAsia="en-AU"/>
        </w:rPr>
        <w:t xml:space="preserve">, and </w:t>
      </w:r>
      <w:r w:rsidR="00796DC8">
        <w:rPr>
          <w:rFonts w:eastAsia="Times New Roman" w:cs="Arial"/>
          <w:color w:val="000000" w:themeColor="text1"/>
          <w:sz w:val="21"/>
          <w:szCs w:val="21"/>
          <w:lang w:val="en-AU" w:eastAsia="en-AU"/>
        </w:rPr>
        <w:t xml:space="preserve">less than </w:t>
      </w:r>
      <w:r w:rsidR="00EB7C4A">
        <w:rPr>
          <w:rFonts w:eastAsia="Times New Roman" w:cs="Arial"/>
          <w:color w:val="000000" w:themeColor="text1"/>
          <w:sz w:val="21"/>
          <w:szCs w:val="21"/>
          <w:lang w:val="en-AU" w:eastAsia="en-AU"/>
        </w:rPr>
        <w:t>1% of</w:t>
      </w:r>
      <w:r w:rsidR="00796DC8">
        <w:rPr>
          <w:rFonts w:eastAsia="Times New Roman" w:cs="Arial"/>
          <w:color w:val="000000" w:themeColor="text1"/>
          <w:sz w:val="21"/>
          <w:szCs w:val="21"/>
          <w:lang w:val="en-AU" w:eastAsia="en-AU"/>
        </w:rPr>
        <w:t xml:space="preserve"> </w:t>
      </w:r>
      <w:r w:rsidR="00EB4EE9">
        <w:rPr>
          <w:rFonts w:eastAsia="Times New Roman" w:cs="Arial"/>
          <w:color w:val="000000" w:themeColor="text1"/>
          <w:sz w:val="21"/>
          <w:szCs w:val="21"/>
          <w:lang w:val="en-AU" w:eastAsia="en-AU"/>
        </w:rPr>
        <w:t xml:space="preserve">fourth grade </w:t>
      </w:r>
      <w:r w:rsidR="004D7CA8">
        <w:rPr>
          <w:rFonts w:eastAsia="Times New Roman" w:cs="Arial"/>
          <w:color w:val="000000" w:themeColor="text1"/>
          <w:sz w:val="21"/>
          <w:szCs w:val="21"/>
          <w:lang w:val="en-AU" w:eastAsia="en-AU"/>
        </w:rPr>
        <w:t>students</w:t>
      </w:r>
      <w:r w:rsidR="002C296F">
        <w:rPr>
          <w:rFonts w:eastAsia="Times New Roman" w:cs="Arial"/>
          <w:color w:val="000000" w:themeColor="text1"/>
          <w:sz w:val="21"/>
          <w:szCs w:val="21"/>
          <w:lang w:val="en-AU" w:eastAsia="en-AU"/>
        </w:rPr>
        <w:t xml:space="preserve"> </w:t>
      </w:r>
      <w:r w:rsidR="006A68B6">
        <w:rPr>
          <w:rFonts w:eastAsia="Times New Roman" w:cs="Arial"/>
          <w:color w:val="000000" w:themeColor="text1"/>
          <w:sz w:val="21"/>
          <w:szCs w:val="21"/>
          <w:lang w:val="en-AU" w:eastAsia="en-AU"/>
        </w:rPr>
        <w:t xml:space="preserve">in West Papua </w:t>
      </w:r>
      <w:r w:rsidR="009072A8">
        <w:rPr>
          <w:rFonts w:eastAsia="Times New Roman" w:cs="Arial"/>
          <w:color w:val="000000" w:themeColor="text1"/>
          <w:sz w:val="21"/>
          <w:szCs w:val="21"/>
          <w:lang w:val="en-AU" w:eastAsia="en-AU"/>
        </w:rPr>
        <w:t>ha</w:t>
      </w:r>
      <w:r w:rsidR="00EB7C4A">
        <w:rPr>
          <w:rFonts w:eastAsia="Times New Roman" w:cs="Arial"/>
          <w:color w:val="000000" w:themeColor="text1"/>
          <w:sz w:val="21"/>
          <w:szCs w:val="21"/>
          <w:lang w:val="en-AU" w:eastAsia="en-AU"/>
        </w:rPr>
        <w:t>ve</w:t>
      </w:r>
      <w:r w:rsidR="00796DC8">
        <w:rPr>
          <w:rFonts w:eastAsia="Times New Roman" w:cs="Arial"/>
          <w:color w:val="000000" w:themeColor="text1"/>
          <w:sz w:val="21"/>
          <w:szCs w:val="21"/>
          <w:lang w:val="en-AU" w:eastAsia="en-AU"/>
        </w:rPr>
        <w:t xml:space="preserve"> “good” </w:t>
      </w:r>
      <w:r w:rsidR="006B2C68">
        <w:rPr>
          <w:rFonts w:eastAsia="Times New Roman" w:cs="Arial"/>
          <w:color w:val="000000" w:themeColor="text1"/>
          <w:sz w:val="21"/>
          <w:szCs w:val="21"/>
          <w:lang w:val="en-AU" w:eastAsia="en-AU"/>
        </w:rPr>
        <w:t>competency i</w:t>
      </w:r>
      <w:r w:rsidR="00884F61">
        <w:rPr>
          <w:rFonts w:eastAsia="Times New Roman" w:cs="Arial"/>
          <w:color w:val="000000" w:themeColor="text1"/>
          <w:sz w:val="21"/>
          <w:szCs w:val="21"/>
          <w:lang w:val="en-AU" w:eastAsia="en-AU"/>
        </w:rPr>
        <w:t>n</w:t>
      </w:r>
      <w:r w:rsidR="006B2C68">
        <w:rPr>
          <w:rFonts w:eastAsia="Times New Roman" w:cs="Arial"/>
          <w:color w:val="000000" w:themeColor="text1"/>
          <w:sz w:val="21"/>
          <w:szCs w:val="21"/>
          <w:lang w:val="en-AU" w:eastAsia="en-AU"/>
        </w:rPr>
        <w:t xml:space="preserve"> mathematics</w:t>
      </w:r>
      <w:r w:rsidR="007A3DD5">
        <w:rPr>
          <w:rStyle w:val="EndnoteReference"/>
          <w:rFonts w:eastAsia="Times New Roman" w:cs="Arial"/>
          <w:color w:val="000000" w:themeColor="text1"/>
          <w:sz w:val="21"/>
          <w:szCs w:val="21"/>
          <w:lang w:val="en-AU" w:eastAsia="en-AU"/>
        </w:rPr>
        <w:endnoteReference w:id="5"/>
      </w:r>
      <w:r w:rsidR="00FE5089">
        <w:rPr>
          <w:rFonts w:eastAsia="Times New Roman" w:cs="Arial"/>
          <w:color w:val="000000" w:themeColor="text1"/>
          <w:sz w:val="21"/>
          <w:szCs w:val="21"/>
          <w:lang w:val="en-AU" w:eastAsia="en-AU"/>
        </w:rPr>
        <w:t xml:space="preserve">. </w:t>
      </w:r>
    </w:p>
    <w:p w:rsidR="00D8647E" w:rsidRDefault="00D8647E" w:rsidP="00EA308A">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Indonesia’s upcoming </w:t>
      </w:r>
      <w:r w:rsidRPr="006C2216">
        <w:rPr>
          <w:rFonts w:eastAsia="Times New Roman" w:cs="Arial"/>
          <w:i/>
          <w:color w:val="000000" w:themeColor="text1"/>
          <w:sz w:val="21"/>
          <w:szCs w:val="21"/>
          <w:lang w:val="en-AU" w:eastAsia="en-AU"/>
        </w:rPr>
        <w:t>N</w:t>
      </w:r>
      <w:r w:rsidRPr="00F8527F">
        <w:rPr>
          <w:rFonts w:eastAsia="Times New Roman" w:cs="Arial"/>
          <w:i/>
          <w:color w:val="000000" w:themeColor="text1"/>
          <w:sz w:val="21"/>
          <w:szCs w:val="21"/>
          <w:lang w:val="en-AU" w:eastAsia="en-AU"/>
        </w:rPr>
        <w:t>ational Medium Term Development Plan for Education</w:t>
      </w:r>
      <w:r>
        <w:rPr>
          <w:rFonts w:eastAsia="Times New Roman" w:cs="Arial"/>
          <w:color w:val="000000" w:themeColor="text1"/>
          <w:sz w:val="21"/>
          <w:szCs w:val="21"/>
          <w:lang w:val="en-AU" w:eastAsia="en-AU"/>
        </w:rPr>
        <w:t xml:space="preserve"> (</w:t>
      </w:r>
      <w:r w:rsidR="00027141">
        <w:rPr>
          <w:rFonts w:eastAsia="Times New Roman" w:cs="Arial"/>
          <w:color w:val="000000" w:themeColor="text1"/>
          <w:sz w:val="21"/>
          <w:szCs w:val="21"/>
          <w:lang w:val="en-AU" w:eastAsia="en-AU"/>
        </w:rPr>
        <w:t xml:space="preserve">RPJMN, </w:t>
      </w:r>
      <w:r>
        <w:rPr>
          <w:rFonts w:eastAsia="Times New Roman" w:cs="Arial"/>
          <w:color w:val="000000" w:themeColor="text1"/>
          <w:sz w:val="21"/>
          <w:szCs w:val="21"/>
          <w:lang w:val="en-AU" w:eastAsia="en-AU"/>
        </w:rPr>
        <w:t xml:space="preserve">2020-24) is expected to emphasize the role of “quality and competitive human resources” in driving national economic development. The Indonesian Government is </w:t>
      </w:r>
      <w:r w:rsidR="00884F61">
        <w:rPr>
          <w:rFonts w:eastAsia="Times New Roman" w:cs="Arial"/>
          <w:color w:val="000000" w:themeColor="text1"/>
          <w:sz w:val="21"/>
          <w:szCs w:val="21"/>
          <w:lang w:val="en-AU" w:eastAsia="en-AU"/>
        </w:rPr>
        <w:t xml:space="preserve">therefore </w:t>
      </w:r>
      <w:r>
        <w:rPr>
          <w:rFonts w:eastAsia="Times New Roman" w:cs="Arial"/>
          <w:color w:val="000000" w:themeColor="text1"/>
          <w:sz w:val="21"/>
          <w:szCs w:val="21"/>
          <w:lang w:val="en-AU" w:eastAsia="en-AU"/>
        </w:rPr>
        <w:t xml:space="preserve">keen to explore </w:t>
      </w:r>
      <w:r w:rsidRPr="00CA33CA">
        <w:rPr>
          <w:rFonts w:eastAsia="Times New Roman" w:cs="Arial"/>
          <w:b/>
          <w:color w:val="000000" w:themeColor="text1"/>
          <w:sz w:val="21"/>
          <w:szCs w:val="21"/>
          <w:lang w:val="en-AU" w:eastAsia="en-AU"/>
        </w:rPr>
        <w:t>opportunities to</w:t>
      </w:r>
      <w:r>
        <w:rPr>
          <w:rFonts w:eastAsia="Times New Roman" w:cs="Arial"/>
          <w:color w:val="000000" w:themeColor="text1"/>
          <w:sz w:val="21"/>
          <w:szCs w:val="21"/>
          <w:lang w:val="en-AU" w:eastAsia="en-AU"/>
        </w:rPr>
        <w:t xml:space="preserve"> </w:t>
      </w:r>
      <w:r w:rsidRPr="00351950">
        <w:rPr>
          <w:rFonts w:eastAsia="Times New Roman" w:cs="Arial"/>
          <w:b/>
          <w:color w:val="000000" w:themeColor="text1"/>
          <w:sz w:val="21"/>
          <w:szCs w:val="21"/>
          <w:lang w:val="en-AU" w:eastAsia="en-AU"/>
        </w:rPr>
        <w:t>address the drivers of poor performance</w:t>
      </w:r>
      <w:r>
        <w:rPr>
          <w:rFonts w:eastAsia="Times New Roman" w:cs="Arial"/>
          <w:color w:val="000000" w:themeColor="text1"/>
          <w:sz w:val="21"/>
          <w:szCs w:val="21"/>
          <w:lang w:val="en-AU" w:eastAsia="en-AU"/>
        </w:rPr>
        <w:t xml:space="preserve"> in the basic education sector</w:t>
      </w:r>
      <w:r w:rsidR="00C36A61">
        <w:rPr>
          <w:rStyle w:val="EndnoteReference"/>
          <w:rFonts w:eastAsia="Times New Roman" w:cs="Arial"/>
          <w:color w:val="000000" w:themeColor="text1"/>
          <w:sz w:val="21"/>
          <w:szCs w:val="21"/>
          <w:lang w:val="en-AU" w:eastAsia="en-AU"/>
        </w:rPr>
        <w:endnoteReference w:id="6"/>
      </w:r>
      <w:r>
        <w:rPr>
          <w:rFonts w:eastAsia="Times New Roman" w:cs="Arial"/>
          <w:color w:val="000000" w:themeColor="text1"/>
          <w:sz w:val="21"/>
          <w:szCs w:val="21"/>
          <w:lang w:val="en-AU" w:eastAsia="en-AU"/>
        </w:rPr>
        <w:t xml:space="preserve">. These are many and complex but often </w:t>
      </w:r>
      <w:r w:rsidR="00CA33CA">
        <w:rPr>
          <w:rFonts w:eastAsia="Times New Roman" w:cs="Arial"/>
          <w:color w:val="000000" w:themeColor="text1"/>
          <w:sz w:val="21"/>
          <w:szCs w:val="21"/>
          <w:lang w:val="en-AU" w:eastAsia="en-AU"/>
        </w:rPr>
        <w:t>manifest themselves in t</w:t>
      </w:r>
      <w:r>
        <w:rPr>
          <w:rFonts w:eastAsia="Times New Roman" w:cs="Arial"/>
          <w:color w:val="000000" w:themeColor="text1"/>
          <w:sz w:val="21"/>
          <w:szCs w:val="21"/>
          <w:lang w:val="en-AU" w:eastAsia="en-AU"/>
        </w:rPr>
        <w:t xml:space="preserve">he variable quality of teaching in many classrooms, the complexities of planning, resourcing and delivering services in a decentralised environment, and the performance or otherwise of accountability and quality assurance mechanisms. </w:t>
      </w:r>
    </w:p>
    <w:p w:rsidR="00D8647E" w:rsidRDefault="00D8647E" w:rsidP="00EA308A">
      <w:pPr>
        <w:tabs>
          <w:tab w:val="left" w:pos="284"/>
        </w:tabs>
        <w:suppressAutoHyphens w:val="0"/>
        <w:spacing w:after="120" w:line="280" w:lineRule="exact"/>
        <w:jc w:val="both"/>
        <w:rPr>
          <w:color w:val="595959" w:themeColor="text1" w:themeTint="A6"/>
        </w:rPr>
      </w:pPr>
      <w:r>
        <w:rPr>
          <w:rFonts w:eastAsia="Times New Roman" w:cs="Arial"/>
          <w:color w:val="000000" w:themeColor="text1"/>
          <w:sz w:val="21"/>
          <w:szCs w:val="21"/>
          <w:lang w:val="en-AU" w:eastAsia="en-AU"/>
        </w:rPr>
        <w:t xml:space="preserve">TASS </w:t>
      </w:r>
      <w:r w:rsidRPr="00C14F9E">
        <w:rPr>
          <w:rFonts w:eastAsia="Times New Roman" w:cs="Arial"/>
          <w:color w:val="000000" w:themeColor="text1"/>
          <w:sz w:val="21"/>
          <w:szCs w:val="21"/>
          <w:lang w:val="en-AU" w:eastAsia="en-AU"/>
        </w:rPr>
        <w:t>work</w:t>
      </w:r>
      <w:r>
        <w:rPr>
          <w:rFonts w:eastAsia="Times New Roman" w:cs="Arial"/>
          <w:color w:val="000000" w:themeColor="text1"/>
          <w:sz w:val="21"/>
          <w:szCs w:val="21"/>
          <w:lang w:val="en-AU" w:eastAsia="en-AU"/>
        </w:rPr>
        <w:t>s</w:t>
      </w:r>
      <w:r w:rsidRPr="00C14F9E">
        <w:rPr>
          <w:rFonts w:eastAsia="Times New Roman" w:cs="Arial"/>
          <w:color w:val="000000" w:themeColor="text1"/>
          <w:sz w:val="21"/>
          <w:szCs w:val="21"/>
          <w:lang w:val="en-AU" w:eastAsia="en-AU"/>
        </w:rPr>
        <w:t xml:space="preserve"> with </w:t>
      </w:r>
      <w:r>
        <w:rPr>
          <w:rFonts w:eastAsia="Times New Roman" w:cs="Arial"/>
          <w:color w:val="000000" w:themeColor="text1"/>
          <w:sz w:val="21"/>
          <w:szCs w:val="21"/>
          <w:lang w:val="en-AU" w:eastAsia="en-AU"/>
        </w:rPr>
        <w:t>national-level policy-makers</w:t>
      </w:r>
      <w:r w:rsidRPr="00C14F9E">
        <w:rPr>
          <w:rFonts w:eastAsia="Times New Roman" w:cs="Arial"/>
          <w:color w:val="000000" w:themeColor="text1"/>
          <w:sz w:val="21"/>
          <w:szCs w:val="21"/>
          <w:lang w:val="en-AU" w:eastAsia="en-AU"/>
        </w:rPr>
        <w:t xml:space="preserve"> to</w:t>
      </w:r>
      <w:r>
        <w:rPr>
          <w:rFonts w:eastAsia="Times New Roman" w:cs="Arial"/>
          <w:color w:val="000000" w:themeColor="text1"/>
          <w:sz w:val="21"/>
          <w:szCs w:val="21"/>
          <w:lang w:val="en-AU" w:eastAsia="en-AU"/>
        </w:rPr>
        <w:t xml:space="preserve"> support the emergence of a</w:t>
      </w:r>
      <w:r w:rsidRPr="00312C16">
        <w:rPr>
          <w:rFonts w:eastAsia="Times New Roman" w:cs="Arial"/>
          <w:b/>
          <w:color w:val="000000" w:themeColor="text1"/>
          <w:sz w:val="21"/>
          <w:szCs w:val="21"/>
          <w:lang w:val="en-AU" w:eastAsia="en-AU"/>
        </w:rPr>
        <w:t xml:space="preserve"> systems-</w:t>
      </w:r>
      <w:r w:rsidR="00BF073F">
        <w:rPr>
          <w:rFonts w:eastAsia="Times New Roman" w:cs="Arial"/>
          <w:b/>
          <w:color w:val="000000" w:themeColor="text1"/>
          <w:sz w:val="21"/>
          <w:szCs w:val="21"/>
          <w:lang w:val="en-AU" w:eastAsia="en-AU"/>
        </w:rPr>
        <w:t>focused</w:t>
      </w:r>
      <w:r w:rsidRPr="00312C16">
        <w:rPr>
          <w:rFonts w:eastAsia="Times New Roman" w:cs="Arial"/>
          <w:b/>
          <w:color w:val="000000" w:themeColor="text1"/>
          <w:sz w:val="21"/>
          <w:szCs w:val="21"/>
          <w:lang w:val="en-AU" w:eastAsia="en-AU"/>
        </w:rPr>
        <w:t xml:space="preserve"> approach to quality teaching and learning </w:t>
      </w:r>
      <w:r w:rsidRPr="006C2216">
        <w:rPr>
          <w:rFonts w:eastAsia="Times New Roman" w:cs="Arial"/>
          <w:b/>
          <w:i/>
          <w:color w:val="000000" w:themeColor="text1"/>
          <w:sz w:val="21"/>
          <w:szCs w:val="21"/>
          <w:lang w:val="en-AU" w:eastAsia="en-AU"/>
        </w:rPr>
        <w:t>for all</w:t>
      </w:r>
      <w:r>
        <w:rPr>
          <w:rFonts w:eastAsia="Times New Roman" w:cs="Arial"/>
          <w:color w:val="000000" w:themeColor="text1"/>
          <w:sz w:val="21"/>
          <w:szCs w:val="21"/>
          <w:lang w:val="en-AU" w:eastAsia="en-AU"/>
        </w:rPr>
        <w:t xml:space="preserve">. Its investments are expected to </w:t>
      </w:r>
      <w:r w:rsidR="005B4DAD">
        <w:rPr>
          <w:rFonts w:eastAsia="Times New Roman" w:cs="Arial"/>
          <w:color w:val="000000" w:themeColor="text1"/>
          <w:sz w:val="21"/>
          <w:szCs w:val="21"/>
          <w:lang w:val="en-AU" w:eastAsia="en-AU"/>
        </w:rPr>
        <w:t>generate</w:t>
      </w:r>
      <w:r>
        <w:rPr>
          <w:rFonts w:eastAsia="Times New Roman" w:cs="Arial"/>
          <w:color w:val="000000" w:themeColor="text1"/>
          <w:sz w:val="21"/>
          <w:szCs w:val="21"/>
          <w:lang w:val="en-AU" w:eastAsia="en-AU"/>
        </w:rPr>
        <w:t xml:space="preserve"> particular benefit </w:t>
      </w:r>
      <w:r w:rsidR="005E53FA">
        <w:rPr>
          <w:rFonts w:eastAsia="Times New Roman" w:cs="Arial"/>
          <w:color w:val="000000" w:themeColor="text1"/>
          <w:sz w:val="21"/>
          <w:szCs w:val="21"/>
          <w:lang w:val="en-AU" w:eastAsia="en-AU"/>
        </w:rPr>
        <w:t>for</w:t>
      </w:r>
      <w:r>
        <w:rPr>
          <w:rFonts w:eastAsia="Times New Roman" w:cs="Arial"/>
          <w:color w:val="000000" w:themeColor="text1"/>
          <w:sz w:val="21"/>
          <w:szCs w:val="21"/>
          <w:lang w:val="en-AU" w:eastAsia="en-AU"/>
        </w:rPr>
        <w:t xml:space="preserve"> </w:t>
      </w:r>
      <w:r w:rsidRPr="00EA32C4">
        <w:rPr>
          <w:rFonts w:eastAsia="Times New Roman" w:cs="Arial"/>
          <w:color w:val="000000" w:themeColor="text1"/>
          <w:sz w:val="21"/>
          <w:szCs w:val="21"/>
          <w:lang w:val="en-AU" w:eastAsia="en-AU"/>
        </w:rPr>
        <w:t xml:space="preserve">primary and junior-secondary </w:t>
      </w:r>
      <w:r>
        <w:rPr>
          <w:rFonts w:eastAsia="Times New Roman" w:cs="Arial"/>
          <w:color w:val="000000" w:themeColor="text1"/>
          <w:sz w:val="21"/>
          <w:szCs w:val="21"/>
          <w:lang w:val="en-AU" w:eastAsia="en-AU"/>
        </w:rPr>
        <w:t>schooling (“basic education”) because of the pivotal role it plays in delivering downstream results in senior secondary education and beyond. However, as a systems-focused facility that operates within a complex and integrated education sector</w:t>
      </w:r>
      <w:r w:rsidR="00767894">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 xml:space="preserve"> some activities</w:t>
      </w:r>
      <w:r w:rsidR="00767894">
        <w:rPr>
          <w:rFonts w:eastAsia="Times New Roman" w:cs="Arial"/>
          <w:color w:val="000000" w:themeColor="text1"/>
          <w:sz w:val="21"/>
          <w:szCs w:val="21"/>
          <w:lang w:val="en-AU" w:eastAsia="en-AU"/>
        </w:rPr>
        <w:t xml:space="preserve"> </w:t>
      </w:r>
      <w:r w:rsidR="00BF073F">
        <w:rPr>
          <w:rFonts w:eastAsia="Times New Roman" w:cs="Arial"/>
          <w:color w:val="000000" w:themeColor="text1"/>
          <w:sz w:val="21"/>
          <w:szCs w:val="21"/>
          <w:lang w:val="en-AU" w:eastAsia="en-AU"/>
        </w:rPr>
        <w:t>will</w:t>
      </w:r>
      <w:r>
        <w:rPr>
          <w:rFonts w:eastAsia="Times New Roman" w:cs="Arial"/>
          <w:color w:val="000000" w:themeColor="text1"/>
          <w:sz w:val="21"/>
          <w:szCs w:val="21"/>
          <w:lang w:val="en-AU" w:eastAsia="en-AU"/>
        </w:rPr>
        <w:t xml:space="preserve"> necessarily have a sector-wide focus (e.g. </w:t>
      </w:r>
      <w:r w:rsidR="00270B13">
        <w:rPr>
          <w:rFonts w:eastAsia="Times New Roman" w:cs="Arial"/>
          <w:color w:val="000000" w:themeColor="text1"/>
          <w:sz w:val="21"/>
          <w:szCs w:val="21"/>
          <w:lang w:val="en-AU" w:eastAsia="en-AU"/>
        </w:rPr>
        <w:t xml:space="preserve">support to </w:t>
      </w:r>
      <w:r w:rsidR="003D32E0">
        <w:rPr>
          <w:rFonts w:eastAsia="Times New Roman" w:cs="Arial"/>
          <w:color w:val="000000" w:themeColor="text1"/>
          <w:sz w:val="21"/>
          <w:szCs w:val="21"/>
          <w:lang w:val="en-AU" w:eastAsia="en-AU"/>
        </w:rPr>
        <w:t>the upcoming RPJMN</w:t>
      </w:r>
      <w:r w:rsidR="00270B13">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 xml:space="preserve"> or will have bearing on</w:t>
      </w:r>
      <w:r w:rsidR="003D32E0">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other sub-sectors (e.g. early childhood, senior secondary).</w:t>
      </w:r>
      <w:r w:rsidRPr="008A3830">
        <w:rPr>
          <w:color w:val="595959" w:themeColor="text1" w:themeTint="A6"/>
        </w:rPr>
        <w:t xml:space="preserve"> </w:t>
      </w:r>
    </w:p>
    <w:p w:rsidR="00D8647E" w:rsidRPr="00C14F9E" w:rsidRDefault="00D8647E" w:rsidP="00EA308A">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TASS </w:t>
      </w:r>
      <w:r w:rsidRPr="00C14F9E">
        <w:rPr>
          <w:rFonts w:eastAsia="Times New Roman" w:cs="Arial"/>
          <w:color w:val="000000" w:themeColor="text1"/>
          <w:sz w:val="21"/>
          <w:szCs w:val="21"/>
          <w:lang w:val="en-AU" w:eastAsia="en-AU"/>
        </w:rPr>
        <w:t xml:space="preserve">will be deemed a </w:t>
      </w:r>
      <w:r w:rsidRPr="00312C16">
        <w:rPr>
          <w:rFonts w:eastAsia="Times New Roman" w:cs="Arial"/>
          <w:b/>
          <w:color w:val="000000" w:themeColor="text1"/>
          <w:sz w:val="21"/>
          <w:szCs w:val="21"/>
          <w:lang w:val="en-AU" w:eastAsia="en-AU"/>
        </w:rPr>
        <w:t>success</w:t>
      </w:r>
      <w:r w:rsidRPr="00C14F9E">
        <w:rPr>
          <w:rFonts w:eastAsia="Times New Roman" w:cs="Arial"/>
          <w:color w:val="000000" w:themeColor="text1"/>
          <w:sz w:val="21"/>
          <w:szCs w:val="21"/>
          <w:lang w:val="en-AU" w:eastAsia="en-AU"/>
        </w:rPr>
        <w:t xml:space="preserve"> when:</w:t>
      </w:r>
    </w:p>
    <w:p w:rsidR="00D8647E" w:rsidRDefault="00D8647E" w:rsidP="00EA308A">
      <w:pPr>
        <w:numPr>
          <w:ilvl w:val="1"/>
          <w:numId w:val="13"/>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It</w:t>
      </w:r>
      <w:r w:rsidRPr="00EE61AA">
        <w:rPr>
          <w:rFonts w:eastAsia="Times New Roman" w:cs="Arial"/>
          <w:color w:val="000000" w:themeColor="text1"/>
          <w:sz w:val="21"/>
          <w:szCs w:val="21"/>
          <w:lang w:val="en-AU" w:eastAsia="en-AU"/>
        </w:rPr>
        <w:t xml:space="preserve"> is considered </w:t>
      </w:r>
      <w:r>
        <w:rPr>
          <w:rFonts w:eastAsia="Times New Roman" w:cs="Arial"/>
          <w:color w:val="000000" w:themeColor="text1"/>
          <w:sz w:val="21"/>
          <w:szCs w:val="21"/>
          <w:lang w:val="en-AU" w:eastAsia="en-AU"/>
        </w:rPr>
        <w:t xml:space="preserve">by </w:t>
      </w:r>
      <w:r w:rsidR="003D32E0">
        <w:rPr>
          <w:rFonts w:eastAsia="Times New Roman" w:cs="Arial"/>
          <w:color w:val="000000" w:themeColor="text1"/>
          <w:sz w:val="21"/>
          <w:szCs w:val="21"/>
          <w:lang w:val="en-AU" w:eastAsia="en-AU"/>
        </w:rPr>
        <w:t>the Ministry of Education and Culture (MoEC), the Ministry of Religious Affairs (MoRA), and the Ministry of National Development Planning (BAPPENAS)</w:t>
      </w:r>
      <w:r>
        <w:rPr>
          <w:rFonts w:eastAsia="Times New Roman" w:cs="Arial"/>
          <w:color w:val="000000" w:themeColor="text1"/>
          <w:sz w:val="21"/>
          <w:szCs w:val="21"/>
          <w:lang w:val="en-AU" w:eastAsia="en-AU"/>
        </w:rPr>
        <w:t xml:space="preserve"> to be </w:t>
      </w:r>
      <w:r w:rsidRPr="00EE61AA">
        <w:rPr>
          <w:rFonts w:eastAsia="Times New Roman" w:cs="Arial"/>
          <w:color w:val="000000" w:themeColor="text1"/>
          <w:sz w:val="21"/>
          <w:szCs w:val="21"/>
          <w:lang w:val="en-AU" w:eastAsia="en-AU"/>
        </w:rPr>
        <w:t>a valuable and respected source of technical</w:t>
      </w:r>
      <w:r>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assistance, knowledge and support</w:t>
      </w:r>
      <w:r w:rsidR="003D32E0">
        <w:rPr>
          <w:rFonts w:eastAsia="Times New Roman" w:cs="Arial"/>
          <w:color w:val="000000" w:themeColor="text1"/>
          <w:sz w:val="21"/>
          <w:szCs w:val="21"/>
          <w:lang w:val="en-AU" w:eastAsia="en-AU"/>
        </w:rPr>
        <w:t>.</w:t>
      </w:r>
    </w:p>
    <w:p w:rsidR="00D8647E" w:rsidRPr="00EE61AA" w:rsidRDefault="00D8647E" w:rsidP="00EA308A">
      <w:pPr>
        <w:numPr>
          <w:ilvl w:val="1"/>
          <w:numId w:val="13"/>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It</w:t>
      </w:r>
      <w:r w:rsidRPr="00EE61AA">
        <w:rPr>
          <w:rFonts w:eastAsia="Times New Roman" w:cs="Arial"/>
          <w:color w:val="000000" w:themeColor="text1"/>
          <w:sz w:val="21"/>
          <w:szCs w:val="21"/>
          <w:lang w:val="en-AU" w:eastAsia="en-AU"/>
        </w:rPr>
        <w:t xml:space="preserve"> is trusted</w:t>
      </w:r>
      <w:r>
        <w:rPr>
          <w:rFonts w:eastAsia="Times New Roman" w:cs="Arial"/>
          <w:color w:val="000000" w:themeColor="text1"/>
          <w:sz w:val="21"/>
          <w:szCs w:val="21"/>
          <w:lang w:val="en-AU" w:eastAsia="en-AU"/>
        </w:rPr>
        <w:t xml:space="preserve"> by the Indonesian Government</w:t>
      </w:r>
      <w:r w:rsidRPr="00EE61AA">
        <w:rPr>
          <w:rFonts w:eastAsia="Times New Roman" w:cs="Arial"/>
          <w:color w:val="000000" w:themeColor="text1"/>
          <w:sz w:val="21"/>
          <w:szCs w:val="21"/>
          <w:lang w:val="en-AU" w:eastAsia="en-AU"/>
        </w:rPr>
        <w:t xml:space="preserve"> to provide essential support to key national</w:t>
      </w:r>
      <w:r>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initiatives, including assessment reforms</w:t>
      </w:r>
      <w:r w:rsidR="00F55FCE">
        <w:rPr>
          <w:rFonts w:eastAsia="Times New Roman" w:cs="Arial"/>
          <w:color w:val="000000" w:themeColor="text1"/>
          <w:sz w:val="21"/>
          <w:szCs w:val="21"/>
          <w:lang w:val="en-AU" w:eastAsia="en-AU"/>
        </w:rPr>
        <w:t>;</w:t>
      </w:r>
      <w:r w:rsidRPr="00EE61AA">
        <w:rPr>
          <w:rFonts w:eastAsia="Times New Roman" w:cs="Arial"/>
          <w:color w:val="000000" w:themeColor="text1"/>
          <w:sz w:val="21"/>
          <w:szCs w:val="21"/>
          <w:lang w:val="en-AU" w:eastAsia="en-AU"/>
        </w:rPr>
        <w:t xml:space="preserve"> curriculum reviews</w:t>
      </w:r>
      <w:r>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and improvements</w:t>
      </w:r>
      <w:r w:rsidR="00F55FCE">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education standards and quality assurance</w:t>
      </w:r>
      <w:r>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mechanisms</w:t>
      </w:r>
      <w:r w:rsidR="00F55FCE">
        <w:rPr>
          <w:rFonts w:eastAsia="Times New Roman" w:cs="Arial"/>
          <w:color w:val="000000" w:themeColor="text1"/>
          <w:sz w:val="21"/>
          <w:szCs w:val="21"/>
          <w:lang w:val="en-AU" w:eastAsia="en-AU"/>
        </w:rPr>
        <w:t>;</w:t>
      </w:r>
      <w:r w:rsidRPr="00EE61AA">
        <w:rPr>
          <w:rFonts w:eastAsia="Times New Roman" w:cs="Arial"/>
          <w:color w:val="000000" w:themeColor="text1"/>
          <w:sz w:val="21"/>
          <w:szCs w:val="21"/>
          <w:lang w:val="en-AU" w:eastAsia="en-AU"/>
        </w:rPr>
        <w:t xml:space="preserve"> systems for improved teacher quality</w:t>
      </w:r>
      <w:r w:rsidR="00D82F34">
        <w:rPr>
          <w:rFonts w:eastAsia="Times New Roman" w:cs="Arial"/>
          <w:color w:val="000000" w:themeColor="text1"/>
          <w:sz w:val="21"/>
          <w:szCs w:val="21"/>
          <w:lang w:val="en-AU" w:eastAsia="en-AU"/>
        </w:rPr>
        <w:t>;</w:t>
      </w:r>
      <w:r w:rsidRPr="00EE61AA">
        <w:rPr>
          <w:rFonts w:eastAsia="Times New Roman" w:cs="Arial"/>
          <w:color w:val="000000" w:themeColor="text1"/>
          <w:sz w:val="21"/>
          <w:szCs w:val="21"/>
          <w:lang w:val="en-AU" w:eastAsia="en-AU"/>
        </w:rPr>
        <w:t xml:space="preserve"> and</w:t>
      </w:r>
      <w:r>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development of strategies for inclusive and equitable schooling</w:t>
      </w:r>
      <w:r>
        <w:rPr>
          <w:rFonts w:eastAsia="Times New Roman" w:cs="Arial"/>
          <w:color w:val="000000" w:themeColor="text1"/>
          <w:sz w:val="21"/>
          <w:szCs w:val="21"/>
          <w:lang w:val="en-AU" w:eastAsia="en-AU"/>
        </w:rPr>
        <w:t>.</w:t>
      </w:r>
    </w:p>
    <w:p w:rsidR="00D8647E" w:rsidRDefault="00D8647E" w:rsidP="00EA308A">
      <w:pPr>
        <w:numPr>
          <w:ilvl w:val="1"/>
          <w:numId w:val="13"/>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sidRPr="00EE61AA">
        <w:rPr>
          <w:rFonts w:eastAsia="Times New Roman" w:cs="Arial"/>
          <w:color w:val="000000" w:themeColor="text1"/>
          <w:sz w:val="21"/>
          <w:szCs w:val="21"/>
          <w:lang w:val="en-AU" w:eastAsia="en-AU"/>
        </w:rPr>
        <w:t xml:space="preserve">Indonesian Government partners </w:t>
      </w:r>
      <w:r w:rsidR="008304D6">
        <w:rPr>
          <w:rFonts w:eastAsia="Times New Roman" w:cs="Arial"/>
          <w:color w:val="000000" w:themeColor="text1"/>
          <w:sz w:val="21"/>
          <w:szCs w:val="21"/>
          <w:lang w:val="en-AU" w:eastAsia="en-AU"/>
        </w:rPr>
        <w:t>make use of TASS-facilitated products and services t</w:t>
      </w:r>
      <w:r w:rsidRPr="00EE61AA">
        <w:rPr>
          <w:rFonts w:eastAsia="Times New Roman" w:cs="Arial"/>
          <w:color w:val="000000" w:themeColor="text1"/>
          <w:sz w:val="21"/>
          <w:szCs w:val="21"/>
          <w:lang w:val="en-AU" w:eastAsia="en-AU"/>
        </w:rPr>
        <w:t xml:space="preserve">o develop </w:t>
      </w:r>
      <w:r>
        <w:rPr>
          <w:rFonts w:eastAsia="Times New Roman" w:cs="Arial"/>
          <w:color w:val="000000" w:themeColor="text1"/>
          <w:sz w:val="21"/>
          <w:szCs w:val="21"/>
          <w:lang w:val="en-AU" w:eastAsia="en-AU"/>
        </w:rPr>
        <w:t xml:space="preserve">and enact </w:t>
      </w:r>
      <w:r w:rsidRPr="00EE61AA">
        <w:rPr>
          <w:rFonts w:eastAsia="Times New Roman" w:cs="Arial"/>
          <w:color w:val="000000" w:themeColor="text1"/>
          <w:sz w:val="21"/>
          <w:szCs w:val="21"/>
          <w:lang w:val="en-AU" w:eastAsia="en-AU"/>
        </w:rPr>
        <w:t>more effective policies, systems</w:t>
      </w:r>
      <w:r>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and</w:t>
      </w:r>
      <w:r>
        <w:rPr>
          <w:rFonts w:eastAsia="Times New Roman" w:cs="Arial"/>
          <w:color w:val="000000" w:themeColor="text1"/>
          <w:sz w:val="21"/>
          <w:szCs w:val="21"/>
          <w:lang w:val="en-AU" w:eastAsia="en-AU"/>
        </w:rPr>
        <w:t>/or</w:t>
      </w:r>
      <w:r w:rsidRPr="00EE61AA">
        <w:rPr>
          <w:rFonts w:eastAsia="Times New Roman" w:cs="Arial"/>
          <w:color w:val="000000" w:themeColor="text1"/>
          <w:sz w:val="21"/>
          <w:szCs w:val="21"/>
          <w:lang w:val="en-AU" w:eastAsia="en-AU"/>
        </w:rPr>
        <w:t xml:space="preserve"> practices that improve the quality of teaching and learning,</w:t>
      </w:r>
      <w:r>
        <w:rPr>
          <w:rFonts w:eastAsia="Times New Roman" w:cs="Arial"/>
          <w:color w:val="000000" w:themeColor="text1"/>
          <w:sz w:val="21"/>
          <w:szCs w:val="21"/>
          <w:lang w:val="en-AU" w:eastAsia="en-AU"/>
        </w:rPr>
        <w:t xml:space="preserve"> </w:t>
      </w:r>
      <w:r w:rsidRPr="00EE61AA">
        <w:rPr>
          <w:rFonts w:eastAsia="Times New Roman" w:cs="Arial"/>
          <w:color w:val="000000" w:themeColor="text1"/>
          <w:sz w:val="21"/>
          <w:szCs w:val="21"/>
          <w:lang w:val="en-AU" w:eastAsia="en-AU"/>
        </w:rPr>
        <w:t>and reduce the impact of disparities on learning outcomes</w:t>
      </w:r>
      <w:r>
        <w:rPr>
          <w:rFonts w:eastAsia="Times New Roman" w:cs="Arial"/>
          <w:color w:val="000000" w:themeColor="text1"/>
          <w:sz w:val="21"/>
          <w:szCs w:val="21"/>
          <w:lang w:val="en-AU" w:eastAsia="en-AU"/>
        </w:rPr>
        <w:t>.</w:t>
      </w:r>
    </w:p>
    <w:p w:rsidR="00D8647E" w:rsidRPr="00AE3CF0" w:rsidRDefault="00D8647E" w:rsidP="00EA308A">
      <w:pPr>
        <w:numPr>
          <w:ilvl w:val="1"/>
          <w:numId w:val="13"/>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It </w:t>
      </w:r>
      <w:r w:rsidR="007B17E8">
        <w:rPr>
          <w:rFonts w:eastAsia="Times New Roman" w:cs="Arial"/>
          <w:color w:val="000000" w:themeColor="text1"/>
          <w:sz w:val="21"/>
          <w:szCs w:val="21"/>
          <w:lang w:val="en-AU" w:eastAsia="en-AU"/>
        </w:rPr>
        <w:t>provides</w:t>
      </w:r>
      <w:r>
        <w:rPr>
          <w:rFonts w:eastAsia="Times New Roman" w:cs="Arial"/>
          <w:color w:val="000000" w:themeColor="text1"/>
          <w:sz w:val="21"/>
          <w:szCs w:val="21"/>
          <w:lang w:val="en-AU" w:eastAsia="en-AU"/>
        </w:rPr>
        <w:t xml:space="preserve"> the Australian Government with regular access to senior government officials and advances Australia’s reputation as a trusted, long-term development partner. </w:t>
      </w:r>
    </w:p>
    <w:p w:rsidR="00D8647E" w:rsidRDefault="00D8647E" w:rsidP="00EA308A">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TASS (</w:t>
      </w:r>
      <w:r w:rsidR="007B17E8">
        <w:rPr>
          <w:rFonts w:eastAsia="Times New Roman" w:cs="Arial"/>
          <w:color w:val="000000" w:themeColor="text1"/>
          <w:sz w:val="21"/>
          <w:szCs w:val="21"/>
          <w:lang w:val="en-AU" w:eastAsia="en-AU"/>
        </w:rPr>
        <w:t>A</w:t>
      </w:r>
      <w:r w:rsidRPr="002D4E54">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11.9</w:t>
      </w:r>
      <w:r w:rsidR="00F55FCE">
        <w:rPr>
          <w:rFonts w:eastAsia="Times New Roman" w:cs="Arial"/>
          <w:color w:val="000000" w:themeColor="text1"/>
          <w:sz w:val="21"/>
          <w:szCs w:val="21"/>
          <w:lang w:val="en-AU" w:eastAsia="en-AU"/>
        </w:rPr>
        <w:t>8</w:t>
      </w:r>
      <w:r w:rsidRPr="002D4E54">
        <w:rPr>
          <w:rFonts w:eastAsia="Times New Roman" w:cs="Arial"/>
          <w:color w:val="000000" w:themeColor="text1"/>
          <w:sz w:val="21"/>
          <w:szCs w:val="21"/>
          <w:lang w:val="en-AU" w:eastAsia="en-AU"/>
        </w:rPr>
        <w:t>m, 201</w:t>
      </w:r>
      <w:r>
        <w:rPr>
          <w:rFonts w:eastAsia="Times New Roman" w:cs="Arial"/>
          <w:color w:val="000000" w:themeColor="text1"/>
          <w:sz w:val="21"/>
          <w:szCs w:val="21"/>
          <w:lang w:val="en-AU" w:eastAsia="en-AU"/>
        </w:rPr>
        <w:t>7</w:t>
      </w:r>
      <w:r w:rsidRPr="002D4E54">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20) is one of four Australia</w:t>
      </w:r>
      <w:r w:rsidR="00F55FCE">
        <w:rPr>
          <w:rFonts w:eastAsia="Times New Roman" w:cs="Arial"/>
          <w:color w:val="000000" w:themeColor="text1"/>
          <w:sz w:val="21"/>
          <w:szCs w:val="21"/>
          <w:lang w:val="en-AU" w:eastAsia="en-AU"/>
        </w:rPr>
        <w:t>n Government</w:t>
      </w:r>
      <w:r w:rsidR="00510CC8">
        <w:rPr>
          <w:rFonts w:eastAsia="Times New Roman" w:cs="Arial"/>
          <w:color w:val="000000" w:themeColor="text1"/>
          <w:sz w:val="21"/>
          <w:szCs w:val="21"/>
          <w:lang w:val="en-AU" w:eastAsia="en-AU"/>
        </w:rPr>
        <w:t>-financed</w:t>
      </w:r>
      <w:r>
        <w:rPr>
          <w:rFonts w:eastAsia="Times New Roman" w:cs="Arial"/>
          <w:color w:val="000000" w:themeColor="text1"/>
          <w:sz w:val="21"/>
          <w:szCs w:val="21"/>
          <w:lang w:val="en-AU" w:eastAsia="en-AU"/>
        </w:rPr>
        <w:t xml:space="preserve"> investments in Indonesia’s education sector</w:t>
      </w:r>
      <w:r w:rsidR="007B17E8">
        <w:rPr>
          <w:rFonts w:eastAsia="Times New Roman" w:cs="Arial"/>
          <w:color w:val="000000" w:themeColor="text1"/>
          <w:sz w:val="21"/>
          <w:szCs w:val="21"/>
          <w:lang w:val="en-AU" w:eastAsia="en-AU"/>
        </w:rPr>
        <w:t>. It works alongside</w:t>
      </w:r>
      <w:r>
        <w:rPr>
          <w:rFonts w:eastAsia="Times New Roman" w:cs="Arial"/>
          <w:color w:val="000000" w:themeColor="text1"/>
          <w:sz w:val="21"/>
          <w:szCs w:val="21"/>
          <w:lang w:val="en-AU" w:eastAsia="en-AU"/>
        </w:rPr>
        <w:t xml:space="preserve">:  </w:t>
      </w:r>
    </w:p>
    <w:p w:rsidR="00D8647E" w:rsidRDefault="00D8647E" w:rsidP="00EA308A">
      <w:pPr>
        <w:numPr>
          <w:ilvl w:val="1"/>
          <w:numId w:val="13"/>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sidRPr="00C94D18">
        <w:rPr>
          <w:rFonts w:eastAsia="Times New Roman" w:cs="Arial"/>
          <w:color w:val="000000" w:themeColor="text1"/>
          <w:sz w:val="21"/>
          <w:szCs w:val="21"/>
          <w:lang w:val="en-AU" w:eastAsia="en-AU"/>
        </w:rPr>
        <w:t>The Palladium-managed,</w:t>
      </w:r>
      <w:r>
        <w:rPr>
          <w:rFonts w:eastAsia="Times New Roman" w:cs="Arial"/>
          <w:i/>
          <w:color w:val="000000" w:themeColor="text1"/>
          <w:sz w:val="21"/>
          <w:szCs w:val="21"/>
          <w:lang w:val="en-AU" w:eastAsia="en-AU"/>
        </w:rPr>
        <w:t xml:space="preserve"> </w:t>
      </w:r>
      <w:hyperlink r:id="rId8" w:history="1">
        <w:r w:rsidRPr="00865362">
          <w:rPr>
            <w:rStyle w:val="Hyperlink"/>
            <w:rFonts w:eastAsia="Times New Roman" w:cs="Arial"/>
            <w:i/>
            <w:sz w:val="21"/>
            <w:szCs w:val="21"/>
            <w:lang w:val="en-AU" w:eastAsia="en-AU"/>
          </w:rPr>
          <w:t>Innovation for Indonesia’s School Children</w:t>
        </w:r>
      </w:hyperlink>
      <w:r w:rsidRPr="002D4E54">
        <w:rPr>
          <w:rFonts w:eastAsia="Times New Roman" w:cs="Arial"/>
          <w:color w:val="000000" w:themeColor="text1"/>
          <w:sz w:val="21"/>
          <w:szCs w:val="21"/>
          <w:lang w:val="en-AU" w:eastAsia="en-AU"/>
        </w:rPr>
        <w:t xml:space="preserve"> (INOVASI, first phase, </w:t>
      </w:r>
      <w:r w:rsidR="007B17E8">
        <w:rPr>
          <w:rFonts w:eastAsia="Times New Roman" w:cs="Arial"/>
          <w:color w:val="000000" w:themeColor="text1"/>
          <w:sz w:val="21"/>
          <w:szCs w:val="21"/>
          <w:lang w:val="en-AU" w:eastAsia="en-AU"/>
        </w:rPr>
        <w:t>A</w:t>
      </w:r>
      <w:r w:rsidRPr="002D4E54">
        <w:rPr>
          <w:rFonts w:eastAsia="Times New Roman" w:cs="Arial"/>
          <w:color w:val="000000" w:themeColor="text1"/>
          <w:sz w:val="21"/>
          <w:szCs w:val="21"/>
          <w:lang w:val="en-AU" w:eastAsia="en-AU"/>
        </w:rPr>
        <w:t>$49m, 2016-19)</w:t>
      </w:r>
      <w:r>
        <w:rPr>
          <w:rFonts w:eastAsia="Times New Roman" w:cs="Arial"/>
          <w:color w:val="000000" w:themeColor="text1"/>
          <w:sz w:val="21"/>
          <w:szCs w:val="21"/>
          <w:lang w:val="en-AU" w:eastAsia="en-AU"/>
        </w:rPr>
        <w:t xml:space="preserve">, which works in partnership with sub-national partners (e.g. schools, districts) to pilot school-level approaches </w:t>
      </w:r>
      <w:r w:rsidRPr="001C41BF">
        <w:rPr>
          <w:rFonts w:eastAsia="Times New Roman" w:cs="Arial"/>
          <w:color w:val="000000" w:themeColor="text1"/>
          <w:sz w:val="21"/>
          <w:szCs w:val="21"/>
          <w:lang w:val="en-AU" w:eastAsia="en-AU"/>
        </w:rPr>
        <w:t>to strengthen the quality of teaching and learning</w:t>
      </w:r>
      <w:r>
        <w:rPr>
          <w:rFonts w:eastAsia="Times New Roman" w:cs="Arial"/>
          <w:color w:val="000000" w:themeColor="text1"/>
          <w:sz w:val="21"/>
          <w:szCs w:val="21"/>
          <w:lang w:val="en-AU" w:eastAsia="en-AU"/>
        </w:rPr>
        <w:t xml:space="preserve">, particularly in early grades. </w:t>
      </w:r>
    </w:p>
    <w:p w:rsidR="00D8647E" w:rsidRDefault="00D8647E" w:rsidP="00EA308A">
      <w:pPr>
        <w:numPr>
          <w:ilvl w:val="1"/>
          <w:numId w:val="13"/>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The World Bank-managed Trust Fund, </w:t>
      </w:r>
      <w:hyperlink r:id="rId9" w:history="1">
        <w:r w:rsidRPr="006B447C">
          <w:rPr>
            <w:rStyle w:val="Hyperlink"/>
            <w:rFonts w:eastAsia="Times New Roman" w:cs="Arial"/>
            <w:i/>
            <w:sz w:val="21"/>
            <w:szCs w:val="21"/>
            <w:lang w:val="en-AU" w:eastAsia="en-AU"/>
          </w:rPr>
          <w:t>Improving Dimensions of Teaching, Education Management, and Learning Environment</w:t>
        </w:r>
      </w:hyperlink>
      <w:r w:rsidRPr="005B608A">
        <w:rPr>
          <w:rFonts w:eastAsia="Times New Roman" w:cs="Arial"/>
          <w:color w:val="000000" w:themeColor="text1"/>
          <w:sz w:val="21"/>
          <w:szCs w:val="21"/>
          <w:lang w:val="en-AU" w:eastAsia="en-AU"/>
        </w:rPr>
        <w:t xml:space="preserve"> (ID-Teman, </w:t>
      </w:r>
      <w:r w:rsidR="007B17E8">
        <w:rPr>
          <w:rFonts w:eastAsia="Times New Roman" w:cs="Arial"/>
          <w:color w:val="000000" w:themeColor="text1"/>
          <w:sz w:val="21"/>
          <w:szCs w:val="21"/>
          <w:lang w:val="en-AU" w:eastAsia="en-AU"/>
        </w:rPr>
        <w:t>A</w:t>
      </w:r>
      <w:r w:rsidRPr="005B608A">
        <w:rPr>
          <w:rFonts w:eastAsia="Times New Roman" w:cs="Arial"/>
          <w:color w:val="000000" w:themeColor="text1"/>
          <w:sz w:val="21"/>
          <w:szCs w:val="21"/>
          <w:lang w:val="en-AU" w:eastAsia="en-AU"/>
        </w:rPr>
        <w:t>$9m, 2016-19)</w:t>
      </w:r>
      <w:r>
        <w:rPr>
          <w:rFonts w:eastAsia="Times New Roman" w:cs="Arial"/>
          <w:color w:val="000000" w:themeColor="text1"/>
          <w:sz w:val="21"/>
          <w:szCs w:val="21"/>
          <w:lang w:val="en-AU" w:eastAsia="en-AU"/>
        </w:rPr>
        <w:t xml:space="preserve">, which provides research, </w:t>
      </w:r>
      <w:r w:rsidRPr="005B608A">
        <w:rPr>
          <w:rFonts w:eastAsia="Times New Roman" w:cs="Arial"/>
          <w:color w:val="000000" w:themeColor="text1"/>
          <w:sz w:val="21"/>
          <w:szCs w:val="21"/>
          <w:lang w:val="en-AU" w:eastAsia="en-AU"/>
        </w:rPr>
        <w:t xml:space="preserve">analytical and advisory support </w:t>
      </w:r>
      <w:r>
        <w:rPr>
          <w:rFonts w:eastAsia="Times New Roman" w:cs="Arial"/>
          <w:color w:val="000000" w:themeColor="text1"/>
          <w:sz w:val="21"/>
          <w:szCs w:val="21"/>
          <w:lang w:val="en-AU" w:eastAsia="en-AU"/>
        </w:rPr>
        <w:t xml:space="preserve">to reforms in MoEC, MORA, and the Ministry of Research, Technology and Higher Education that will lead to more </w:t>
      </w:r>
      <w:r w:rsidRPr="00C24E3A">
        <w:rPr>
          <w:rFonts w:eastAsia="Times New Roman" w:cs="Arial"/>
          <w:color w:val="000000" w:themeColor="text1"/>
          <w:sz w:val="21"/>
          <w:szCs w:val="21"/>
          <w:lang w:val="en-AU" w:eastAsia="en-AU"/>
        </w:rPr>
        <w:t xml:space="preserve">effective teaching and learning processes and </w:t>
      </w:r>
      <w:r>
        <w:rPr>
          <w:rFonts w:eastAsia="Times New Roman" w:cs="Arial"/>
          <w:color w:val="000000" w:themeColor="text1"/>
          <w:sz w:val="21"/>
          <w:szCs w:val="21"/>
          <w:lang w:val="en-AU" w:eastAsia="en-AU"/>
        </w:rPr>
        <w:t>the improved delivery</w:t>
      </w:r>
      <w:r w:rsidRPr="00C24E3A">
        <w:rPr>
          <w:rFonts w:eastAsia="Times New Roman" w:cs="Arial"/>
          <w:color w:val="000000" w:themeColor="text1"/>
          <w:sz w:val="21"/>
          <w:szCs w:val="21"/>
          <w:lang w:val="en-AU" w:eastAsia="en-AU"/>
        </w:rPr>
        <w:t xml:space="preserve"> of education for all</w:t>
      </w:r>
      <w:r>
        <w:rPr>
          <w:rFonts w:eastAsia="Times New Roman" w:cs="Arial"/>
          <w:color w:val="000000" w:themeColor="text1"/>
          <w:sz w:val="21"/>
          <w:szCs w:val="21"/>
          <w:lang w:val="en-AU" w:eastAsia="en-AU"/>
        </w:rPr>
        <w:t>.</w:t>
      </w:r>
    </w:p>
    <w:p w:rsidR="00D8647E" w:rsidRDefault="00D8647E" w:rsidP="00EA308A">
      <w:pPr>
        <w:numPr>
          <w:ilvl w:val="1"/>
          <w:numId w:val="13"/>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The UNICEF-managed </w:t>
      </w:r>
      <w:hyperlink r:id="rId10" w:history="1">
        <w:r w:rsidRPr="00A43B05">
          <w:rPr>
            <w:rStyle w:val="Hyperlink"/>
            <w:rFonts w:eastAsia="Times New Roman" w:cs="Arial"/>
            <w:i/>
            <w:sz w:val="21"/>
            <w:szCs w:val="21"/>
            <w:lang w:val="en-AU" w:eastAsia="en-AU"/>
          </w:rPr>
          <w:t>Rural and Remote Education Initiative for Papuan Provinces</w:t>
        </w:r>
      </w:hyperlink>
      <w:r>
        <w:rPr>
          <w:rFonts w:eastAsia="Times New Roman" w:cs="Arial"/>
          <w:color w:val="000000" w:themeColor="text1"/>
          <w:sz w:val="21"/>
          <w:szCs w:val="21"/>
          <w:lang w:val="en-AU" w:eastAsia="en-AU"/>
        </w:rPr>
        <w:t xml:space="preserve"> (“The Papua program”, </w:t>
      </w:r>
      <w:r w:rsidR="007B17E8">
        <w:rPr>
          <w:rFonts w:eastAsia="Times New Roman" w:cs="Arial"/>
          <w:color w:val="000000" w:themeColor="text1"/>
          <w:sz w:val="21"/>
          <w:szCs w:val="21"/>
          <w:lang w:val="en-AU" w:eastAsia="en-AU"/>
        </w:rPr>
        <w:t>A</w:t>
      </w:r>
      <w:r w:rsidRPr="002D4E54">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16.8</w:t>
      </w:r>
      <w:r w:rsidRPr="002D4E54">
        <w:rPr>
          <w:rFonts w:eastAsia="Times New Roman" w:cs="Arial"/>
          <w:color w:val="000000" w:themeColor="text1"/>
          <w:sz w:val="21"/>
          <w:szCs w:val="21"/>
          <w:lang w:val="en-AU" w:eastAsia="en-AU"/>
        </w:rPr>
        <w:t>m</w:t>
      </w:r>
      <w:r>
        <w:rPr>
          <w:rFonts w:eastAsia="Times New Roman" w:cs="Arial"/>
          <w:color w:val="000000" w:themeColor="text1"/>
          <w:sz w:val="21"/>
          <w:szCs w:val="21"/>
          <w:lang w:val="en-AU" w:eastAsia="en-AU"/>
        </w:rPr>
        <w:t>, 2014-19), which seeks to identify effective and sustainable approaches to improved learning outcomes in early literacy (grades 1-3) in marginalised and remote districts in Papua and West Papua.</w:t>
      </w:r>
    </w:p>
    <w:p w:rsidR="00D8647E" w:rsidRPr="004207A7" w:rsidRDefault="00D8647E" w:rsidP="00EA308A">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AF6190">
        <w:rPr>
          <w:rFonts w:eastAsia="Times New Roman" w:cs="Arial"/>
          <w:color w:val="000000" w:themeColor="text1"/>
          <w:sz w:val="21"/>
          <w:szCs w:val="21"/>
          <w:lang w:val="en-AU" w:eastAsia="en-AU"/>
        </w:rPr>
        <w:lastRenderedPageBreak/>
        <w:t>TASS, INOVASI</w:t>
      </w:r>
      <w:r>
        <w:rPr>
          <w:rFonts w:eastAsia="Times New Roman" w:cs="Arial"/>
          <w:color w:val="000000" w:themeColor="text1"/>
          <w:sz w:val="21"/>
          <w:szCs w:val="21"/>
          <w:lang w:val="en-AU" w:eastAsia="en-AU"/>
        </w:rPr>
        <w:t xml:space="preserve">, </w:t>
      </w:r>
      <w:r w:rsidRPr="00AF6190">
        <w:rPr>
          <w:rFonts w:eastAsia="Times New Roman" w:cs="Arial"/>
          <w:color w:val="000000" w:themeColor="text1"/>
          <w:sz w:val="21"/>
          <w:szCs w:val="21"/>
          <w:lang w:val="en-AU" w:eastAsia="en-AU"/>
        </w:rPr>
        <w:t xml:space="preserve">ID-Teman </w:t>
      </w:r>
      <w:r>
        <w:rPr>
          <w:rFonts w:eastAsia="Times New Roman" w:cs="Arial"/>
          <w:color w:val="000000" w:themeColor="text1"/>
          <w:sz w:val="21"/>
          <w:szCs w:val="21"/>
          <w:lang w:val="en-AU" w:eastAsia="en-AU"/>
        </w:rPr>
        <w:t xml:space="preserve">and the Papua program </w:t>
      </w:r>
      <w:r w:rsidRPr="00AF6190">
        <w:rPr>
          <w:rFonts w:eastAsia="Times New Roman" w:cs="Arial"/>
          <w:color w:val="000000" w:themeColor="text1"/>
          <w:sz w:val="21"/>
          <w:szCs w:val="21"/>
          <w:lang w:val="en-AU" w:eastAsia="en-AU"/>
        </w:rPr>
        <w:t>assist the Indonesia</w:t>
      </w:r>
      <w:r>
        <w:rPr>
          <w:rFonts w:eastAsia="Times New Roman" w:cs="Arial"/>
          <w:color w:val="000000" w:themeColor="text1"/>
          <w:sz w:val="21"/>
          <w:szCs w:val="21"/>
          <w:lang w:val="en-AU" w:eastAsia="en-AU"/>
        </w:rPr>
        <w:t>n Government</w:t>
      </w:r>
      <w:r w:rsidRPr="00AF6190">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 xml:space="preserve">to </w:t>
      </w:r>
      <w:r w:rsidRPr="00AF6190">
        <w:rPr>
          <w:rFonts w:eastAsia="Times New Roman" w:cs="Arial"/>
          <w:color w:val="000000" w:themeColor="text1"/>
          <w:sz w:val="21"/>
          <w:szCs w:val="21"/>
          <w:lang w:val="en-AU" w:eastAsia="en-AU"/>
        </w:rPr>
        <w:t>deliver national, sub-national and school/madrasah-level education policies, practices and systems that are more effective, inclusive and contextually relevant.</w:t>
      </w:r>
      <w:r>
        <w:rPr>
          <w:rFonts w:eastAsia="Times New Roman" w:cs="Arial"/>
          <w:color w:val="000000" w:themeColor="text1"/>
          <w:sz w:val="21"/>
          <w:szCs w:val="21"/>
          <w:lang w:val="en-AU" w:eastAsia="en-AU"/>
        </w:rPr>
        <w:t xml:space="preserve"> Guided by DFAT’s active management, oversight and strategic shaping of its education portfolio, TASS liaises with its sister programs on both strategic and operational matters. It offers partners a vehicle to address missing links and opportunities across the Australian portfolio (subject to resource availability); pool</w:t>
      </w:r>
      <w:r w:rsidR="00777AC2">
        <w:rPr>
          <w:rFonts w:eastAsia="Times New Roman" w:cs="Arial"/>
          <w:color w:val="000000" w:themeColor="text1"/>
          <w:sz w:val="21"/>
          <w:szCs w:val="21"/>
          <w:lang w:val="en-AU" w:eastAsia="en-AU"/>
        </w:rPr>
        <w:t>s</w:t>
      </w:r>
      <w:r>
        <w:rPr>
          <w:rFonts w:eastAsia="Times New Roman" w:cs="Arial"/>
          <w:color w:val="000000" w:themeColor="text1"/>
          <w:sz w:val="21"/>
          <w:szCs w:val="21"/>
          <w:lang w:val="en-AU" w:eastAsia="en-AU"/>
        </w:rPr>
        <w:t xml:space="preserve"> resources, expertise and/or procurement channels with INOVASI</w:t>
      </w:r>
      <w:r w:rsidR="00A00E0F">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 xml:space="preserve"> and elevate</w:t>
      </w:r>
      <w:r w:rsidR="00A862B0">
        <w:rPr>
          <w:rFonts w:eastAsia="Times New Roman" w:cs="Arial"/>
          <w:color w:val="000000" w:themeColor="text1"/>
          <w:sz w:val="21"/>
          <w:szCs w:val="21"/>
          <w:lang w:val="en-AU" w:eastAsia="en-AU"/>
        </w:rPr>
        <w:t>s</w:t>
      </w:r>
      <w:r>
        <w:rPr>
          <w:rFonts w:eastAsia="Times New Roman" w:cs="Arial"/>
          <w:color w:val="000000" w:themeColor="text1"/>
          <w:sz w:val="21"/>
          <w:szCs w:val="21"/>
          <w:lang w:val="en-AU" w:eastAsia="en-AU"/>
        </w:rPr>
        <w:t xml:space="preserve"> issues, lessons and successes emanating from INOVASI to a national level</w:t>
      </w:r>
      <w:r w:rsidR="00A00E0F">
        <w:rPr>
          <w:rFonts w:eastAsia="Times New Roman" w:cs="Arial"/>
          <w:color w:val="000000" w:themeColor="text1"/>
          <w:sz w:val="21"/>
          <w:szCs w:val="21"/>
          <w:lang w:val="en-AU" w:eastAsia="en-AU"/>
        </w:rPr>
        <w:t xml:space="preserve"> (where relevant)</w:t>
      </w:r>
      <w:r>
        <w:rPr>
          <w:rFonts w:eastAsia="Times New Roman" w:cs="Arial"/>
          <w:color w:val="000000" w:themeColor="text1"/>
          <w:sz w:val="21"/>
          <w:szCs w:val="21"/>
          <w:lang w:val="en-AU" w:eastAsia="en-AU"/>
        </w:rPr>
        <w:t xml:space="preserve">. By </w:t>
      </w:r>
      <w:r w:rsidRPr="00847630">
        <w:rPr>
          <w:rFonts w:eastAsia="Times New Roman" w:cs="Arial"/>
          <w:b/>
          <w:color w:val="000000" w:themeColor="text1"/>
          <w:sz w:val="21"/>
          <w:szCs w:val="21"/>
          <w:lang w:val="en-AU" w:eastAsia="en-AU"/>
        </w:rPr>
        <w:t>working in a coherent and complementary way</w:t>
      </w:r>
      <w:r>
        <w:rPr>
          <w:rFonts w:eastAsia="Times New Roman" w:cs="Arial"/>
          <w:color w:val="000000" w:themeColor="text1"/>
          <w:sz w:val="21"/>
          <w:szCs w:val="21"/>
          <w:lang w:val="en-AU" w:eastAsia="en-AU"/>
        </w:rPr>
        <w:t xml:space="preserve">, TASS, INOVASI, ID-Teman and the Papua program seek to increase the effectiveness of sector expenditure and improve learning outcomes </w:t>
      </w:r>
      <w:r w:rsidRPr="00A00E0F">
        <w:rPr>
          <w:rFonts w:eastAsia="Times New Roman" w:cs="Arial"/>
          <w:color w:val="000000" w:themeColor="text1"/>
          <w:sz w:val="21"/>
          <w:szCs w:val="21"/>
          <w:lang w:val="en-AU" w:eastAsia="en-AU"/>
        </w:rPr>
        <w:t>for all</w:t>
      </w:r>
      <w:r>
        <w:rPr>
          <w:rFonts w:eastAsia="Times New Roman" w:cs="Arial"/>
          <w:color w:val="000000" w:themeColor="text1"/>
          <w:sz w:val="21"/>
          <w:szCs w:val="21"/>
          <w:lang w:val="en-AU" w:eastAsia="en-AU"/>
        </w:rPr>
        <w:t xml:space="preserve">.  </w:t>
      </w:r>
      <w:r w:rsidRPr="004207A7">
        <w:rPr>
          <w:rFonts w:eastAsia="Times New Roman" w:cs="Arial"/>
          <w:color w:val="000000" w:themeColor="text1"/>
          <w:sz w:val="21"/>
          <w:szCs w:val="21"/>
          <w:lang w:val="en-AU" w:eastAsia="en-AU"/>
        </w:rPr>
        <w:t xml:space="preserve">  </w:t>
      </w:r>
    </w:p>
    <w:p w:rsidR="00D8647E" w:rsidRPr="00B4548E" w:rsidRDefault="00D8647E" w:rsidP="00E60655">
      <w:pPr>
        <w:pStyle w:val="ListParagraph"/>
        <w:numPr>
          <w:ilvl w:val="0"/>
          <w:numId w:val="30"/>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szCs w:val="21"/>
        </w:rPr>
      </w:pPr>
      <w:r w:rsidRPr="00B4548E">
        <w:rPr>
          <w:rFonts w:asciiTheme="majorHAnsi" w:hAnsiTheme="majorHAnsi"/>
          <w:b/>
          <w:szCs w:val="21"/>
        </w:rPr>
        <w:t>Strategic Intent and Rationale (Why?)</w:t>
      </w:r>
    </w:p>
    <w:p w:rsidR="00D8647E" w:rsidRDefault="00D8647E" w:rsidP="00EA308A">
      <w:pPr>
        <w:tabs>
          <w:tab w:val="left" w:pos="284"/>
        </w:tabs>
        <w:suppressAutoHyphens w:val="0"/>
        <w:spacing w:after="120" w:line="280" w:lineRule="exact"/>
        <w:jc w:val="both"/>
        <w:rPr>
          <w:rFonts w:cs="Arial"/>
          <w:color w:val="000000" w:themeColor="text1"/>
          <w:sz w:val="21"/>
          <w:szCs w:val="21"/>
          <w:lang w:eastAsia="en-AU"/>
        </w:rPr>
      </w:pPr>
      <w:r w:rsidRPr="007371CC">
        <w:rPr>
          <w:rFonts w:cs="Arial"/>
          <w:color w:val="000000" w:themeColor="text1"/>
          <w:sz w:val="21"/>
          <w:szCs w:val="21"/>
          <w:lang w:eastAsia="en-AU"/>
        </w:rPr>
        <w:t xml:space="preserve">Australia’s </w:t>
      </w:r>
      <w:r w:rsidRPr="00927999">
        <w:rPr>
          <w:rFonts w:cs="Arial"/>
          <w:i/>
          <w:color w:val="000000" w:themeColor="text1"/>
          <w:sz w:val="21"/>
          <w:szCs w:val="21"/>
          <w:lang w:eastAsia="en-AU"/>
        </w:rPr>
        <w:t>Foreign Policy White Paper</w:t>
      </w:r>
      <w:r w:rsidRPr="007371CC">
        <w:rPr>
          <w:rFonts w:cs="Arial"/>
          <w:color w:val="000000" w:themeColor="text1"/>
          <w:sz w:val="21"/>
          <w:szCs w:val="21"/>
          <w:lang w:eastAsia="en-AU"/>
        </w:rPr>
        <w:t xml:space="preserve"> </w:t>
      </w:r>
      <w:r>
        <w:rPr>
          <w:rFonts w:cs="Arial"/>
          <w:color w:val="000000" w:themeColor="text1"/>
          <w:sz w:val="21"/>
          <w:szCs w:val="21"/>
          <w:lang w:eastAsia="en-AU"/>
        </w:rPr>
        <w:t>identifies</w:t>
      </w:r>
      <w:r w:rsidRPr="007371CC">
        <w:rPr>
          <w:rFonts w:cs="Arial"/>
          <w:color w:val="000000" w:themeColor="text1"/>
          <w:sz w:val="21"/>
          <w:szCs w:val="21"/>
          <w:lang w:eastAsia="en-AU"/>
        </w:rPr>
        <w:t xml:space="preserve"> Indonesia as a</w:t>
      </w:r>
      <w:r>
        <w:rPr>
          <w:rFonts w:cs="Arial"/>
          <w:color w:val="000000" w:themeColor="text1"/>
          <w:sz w:val="21"/>
          <w:szCs w:val="21"/>
          <w:lang w:eastAsia="en-AU"/>
        </w:rPr>
        <w:t xml:space="preserve"> key </w:t>
      </w:r>
      <w:r w:rsidRPr="007371CC">
        <w:rPr>
          <w:rFonts w:cs="Arial"/>
          <w:color w:val="000000" w:themeColor="text1"/>
          <w:sz w:val="21"/>
          <w:szCs w:val="21"/>
          <w:lang w:eastAsia="en-AU"/>
        </w:rPr>
        <w:t xml:space="preserve">partner </w:t>
      </w:r>
      <w:r>
        <w:rPr>
          <w:rFonts w:cs="Arial"/>
          <w:color w:val="000000" w:themeColor="text1"/>
          <w:sz w:val="21"/>
          <w:szCs w:val="21"/>
          <w:lang w:eastAsia="en-AU"/>
        </w:rPr>
        <w:t xml:space="preserve">within its immediate Indo-Pacific neighbourhood. As a long-standing bilateral partner and dynamic member of the G20, Australia supports </w:t>
      </w:r>
      <w:r w:rsidRPr="003B5A51">
        <w:rPr>
          <w:rFonts w:cs="Arial"/>
          <w:color w:val="000000" w:themeColor="text1"/>
          <w:sz w:val="21"/>
          <w:szCs w:val="21"/>
          <w:lang w:eastAsia="en-AU"/>
        </w:rPr>
        <w:t xml:space="preserve">Indonesia's efforts to tackle inequality and maintain social stability, promote tolerance and pluralism, and counter violent extremism. </w:t>
      </w:r>
      <w:r>
        <w:rPr>
          <w:rFonts w:cs="Arial"/>
          <w:color w:val="000000" w:themeColor="text1"/>
          <w:sz w:val="21"/>
          <w:szCs w:val="21"/>
          <w:lang w:eastAsia="en-AU"/>
        </w:rPr>
        <w:t>As Indonesia</w:t>
      </w:r>
      <w:r w:rsidR="00C70499">
        <w:rPr>
          <w:rFonts w:cs="Arial"/>
          <w:color w:val="000000" w:themeColor="text1"/>
          <w:sz w:val="21"/>
          <w:szCs w:val="21"/>
          <w:lang w:eastAsia="en-AU"/>
        </w:rPr>
        <w:t>’s economy</w:t>
      </w:r>
      <w:r>
        <w:rPr>
          <w:rFonts w:cs="Arial"/>
          <w:color w:val="000000" w:themeColor="text1"/>
          <w:sz w:val="21"/>
          <w:szCs w:val="21"/>
          <w:lang w:eastAsia="en-AU"/>
        </w:rPr>
        <w:t xml:space="preserve"> has </w:t>
      </w:r>
      <w:r w:rsidR="00E7321B">
        <w:rPr>
          <w:rFonts w:cs="Arial"/>
          <w:color w:val="000000" w:themeColor="text1"/>
          <w:sz w:val="21"/>
          <w:szCs w:val="21"/>
          <w:lang w:eastAsia="en-AU"/>
        </w:rPr>
        <w:t>evolved</w:t>
      </w:r>
      <w:r>
        <w:rPr>
          <w:rFonts w:cs="Arial"/>
          <w:color w:val="000000" w:themeColor="text1"/>
          <w:sz w:val="21"/>
          <w:szCs w:val="21"/>
          <w:lang w:eastAsia="en-AU"/>
        </w:rPr>
        <w:t>, so has Australia’s aid policy. In line with the Government’s</w:t>
      </w:r>
      <w:r w:rsidRPr="0040040A">
        <w:t xml:space="preserve"> </w:t>
      </w:r>
      <w:r w:rsidRPr="00732BF0">
        <w:rPr>
          <w:rFonts w:cs="Arial"/>
          <w:i/>
          <w:color w:val="000000" w:themeColor="text1"/>
          <w:sz w:val="21"/>
          <w:szCs w:val="21"/>
          <w:lang w:eastAsia="en-AU"/>
        </w:rPr>
        <w:t xml:space="preserve">Strategy for Australia’s </w:t>
      </w:r>
      <w:r>
        <w:rPr>
          <w:rFonts w:cs="Arial"/>
          <w:i/>
          <w:color w:val="000000" w:themeColor="text1"/>
          <w:sz w:val="21"/>
          <w:szCs w:val="21"/>
          <w:lang w:eastAsia="en-AU"/>
        </w:rPr>
        <w:t>A</w:t>
      </w:r>
      <w:r w:rsidRPr="00732BF0">
        <w:rPr>
          <w:rFonts w:cs="Arial"/>
          <w:i/>
          <w:color w:val="000000" w:themeColor="text1"/>
          <w:sz w:val="21"/>
          <w:szCs w:val="21"/>
          <w:lang w:eastAsia="en-AU"/>
        </w:rPr>
        <w:t xml:space="preserve">id </w:t>
      </w:r>
      <w:r>
        <w:rPr>
          <w:rFonts w:cs="Arial"/>
          <w:i/>
          <w:color w:val="000000" w:themeColor="text1"/>
          <w:sz w:val="21"/>
          <w:szCs w:val="21"/>
          <w:lang w:eastAsia="en-AU"/>
        </w:rPr>
        <w:t>I</w:t>
      </w:r>
      <w:r w:rsidRPr="00732BF0">
        <w:rPr>
          <w:rFonts w:cs="Arial"/>
          <w:i/>
          <w:color w:val="000000" w:themeColor="text1"/>
          <w:sz w:val="21"/>
          <w:szCs w:val="21"/>
          <w:lang w:eastAsia="en-AU"/>
        </w:rPr>
        <w:t xml:space="preserve">nvestments in </w:t>
      </w:r>
      <w:r>
        <w:rPr>
          <w:rFonts w:cs="Arial"/>
          <w:i/>
          <w:color w:val="000000" w:themeColor="text1"/>
          <w:sz w:val="21"/>
          <w:szCs w:val="21"/>
          <w:lang w:eastAsia="en-AU"/>
        </w:rPr>
        <w:t>E</w:t>
      </w:r>
      <w:r w:rsidRPr="00732BF0">
        <w:rPr>
          <w:rFonts w:cs="Arial"/>
          <w:i/>
          <w:color w:val="000000" w:themeColor="text1"/>
          <w:sz w:val="21"/>
          <w:szCs w:val="21"/>
          <w:lang w:eastAsia="en-AU"/>
        </w:rPr>
        <w:t>ducation</w:t>
      </w:r>
      <w:r>
        <w:rPr>
          <w:rFonts w:cs="Arial"/>
          <w:i/>
          <w:color w:val="000000" w:themeColor="text1"/>
          <w:sz w:val="21"/>
          <w:szCs w:val="21"/>
          <w:lang w:eastAsia="en-AU"/>
        </w:rPr>
        <w:t>,</w:t>
      </w:r>
      <w:r w:rsidRPr="00732BF0">
        <w:rPr>
          <w:rFonts w:cs="Arial"/>
          <w:i/>
          <w:color w:val="000000" w:themeColor="text1"/>
          <w:sz w:val="21"/>
          <w:szCs w:val="21"/>
          <w:lang w:eastAsia="en-AU"/>
        </w:rPr>
        <w:t xml:space="preserve"> 2015–2020</w:t>
      </w:r>
      <w:r>
        <w:rPr>
          <w:rFonts w:cs="Arial"/>
          <w:i/>
          <w:color w:val="000000" w:themeColor="text1"/>
          <w:sz w:val="21"/>
          <w:szCs w:val="21"/>
          <w:lang w:eastAsia="en-AU"/>
        </w:rPr>
        <w:t xml:space="preserve"> </w:t>
      </w:r>
      <w:r w:rsidRPr="006C2216">
        <w:rPr>
          <w:rFonts w:cs="Arial"/>
          <w:color w:val="000000" w:themeColor="text1"/>
          <w:sz w:val="21"/>
          <w:szCs w:val="21"/>
          <w:lang w:eastAsia="en-AU"/>
        </w:rPr>
        <w:t>and Australia’s</w:t>
      </w:r>
      <w:r>
        <w:rPr>
          <w:rFonts w:cs="Arial"/>
          <w:i/>
          <w:color w:val="000000" w:themeColor="text1"/>
          <w:sz w:val="21"/>
          <w:szCs w:val="21"/>
          <w:lang w:eastAsia="en-AU"/>
        </w:rPr>
        <w:t xml:space="preserve"> Aid Investment Plan – Indonesia, 2015/16-2018/19,</w:t>
      </w:r>
      <w:r w:rsidR="00C70499">
        <w:rPr>
          <w:rFonts w:cs="Arial"/>
          <w:i/>
          <w:color w:val="000000" w:themeColor="text1"/>
          <w:sz w:val="21"/>
          <w:szCs w:val="21"/>
          <w:lang w:eastAsia="en-AU"/>
        </w:rPr>
        <w:t xml:space="preserve"> </w:t>
      </w:r>
      <w:r w:rsidRPr="009E6988">
        <w:rPr>
          <w:rFonts w:cs="Arial"/>
          <w:color w:val="000000" w:themeColor="text1"/>
          <w:sz w:val="21"/>
          <w:szCs w:val="21"/>
          <w:lang w:eastAsia="en-AU"/>
        </w:rPr>
        <w:t>DFAT r</w:t>
      </w:r>
      <w:r w:rsidRPr="007371CC">
        <w:rPr>
          <w:rFonts w:cs="Arial"/>
          <w:color w:val="000000" w:themeColor="text1"/>
          <w:sz w:val="21"/>
          <w:szCs w:val="21"/>
          <w:lang w:eastAsia="en-AU"/>
        </w:rPr>
        <w:t>ecognises that</w:t>
      </w:r>
      <w:r>
        <w:rPr>
          <w:rFonts w:cs="Arial"/>
          <w:color w:val="000000" w:themeColor="text1"/>
          <w:sz w:val="21"/>
          <w:szCs w:val="21"/>
          <w:lang w:eastAsia="en-AU"/>
        </w:rPr>
        <w:t xml:space="preserve"> responsibility for</w:t>
      </w:r>
      <w:r w:rsidRPr="007371CC">
        <w:rPr>
          <w:rFonts w:cs="Arial"/>
          <w:color w:val="000000" w:themeColor="text1"/>
          <w:sz w:val="21"/>
          <w:szCs w:val="21"/>
          <w:lang w:eastAsia="en-AU"/>
        </w:rPr>
        <w:t xml:space="preserve"> improving education outcomes </w:t>
      </w:r>
      <w:r>
        <w:rPr>
          <w:rFonts w:cs="Arial"/>
          <w:color w:val="000000" w:themeColor="text1"/>
          <w:sz w:val="21"/>
          <w:szCs w:val="21"/>
          <w:lang w:eastAsia="en-AU"/>
        </w:rPr>
        <w:t>resides with</w:t>
      </w:r>
      <w:r w:rsidRPr="007371CC">
        <w:rPr>
          <w:rFonts w:cs="Arial"/>
          <w:color w:val="000000" w:themeColor="text1"/>
          <w:sz w:val="21"/>
          <w:szCs w:val="21"/>
          <w:lang w:eastAsia="en-AU"/>
        </w:rPr>
        <w:t xml:space="preserve"> </w:t>
      </w:r>
      <w:r w:rsidR="00C70499">
        <w:rPr>
          <w:rFonts w:cs="Arial"/>
          <w:color w:val="000000" w:themeColor="text1"/>
          <w:sz w:val="21"/>
          <w:szCs w:val="21"/>
          <w:lang w:eastAsia="en-AU"/>
        </w:rPr>
        <w:t>the Indonesian Government</w:t>
      </w:r>
      <w:r>
        <w:rPr>
          <w:rFonts w:cs="Arial"/>
          <w:color w:val="000000" w:themeColor="text1"/>
          <w:sz w:val="21"/>
          <w:szCs w:val="21"/>
          <w:lang w:eastAsia="en-AU"/>
        </w:rPr>
        <w:t xml:space="preserve">. By delivering </w:t>
      </w:r>
      <w:r w:rsidRPr="00847630">
        <w:rPr>
          <w:rFonts w:cs="Arial"/>
          <w:b/>
          <w:color w:val="000000" w:themeColor="text1"/>
          <w:sz w:val="21"/>
          <w:szCs w:val="21"/>
          <w:lang w:eastAsia="en-AU"/>
        </w:rPr>
        <w:t>catalytic assistance within a systems-focused approach</w:t>
      </w:r>
      <w:r>
        <w:rPr>
          <w:rFonts w:cs="Arial"/>
          <w:color w:val="000000" w:themeColor="text1"/>
          <w:sz w:val="21"/>
          <w:szCs w:val="21"/>
          <w:lang w:eastAsia="en-AU"/>
        </w:rPr>
        <w:t xml:space="preserve">, TASS </w:t>
      </w:r>
      <w:r w:rsidR="008C28D7">
        <w:rPr>
          <w:rFonts w:cs="Arial"/>
          <w:color w:val="000000" w:themeColor="text1"/>
          <w:sz w:val="21"/>
          <w:szCs w:val="21"/>
          <w:lang w:eastAsia="en-AU"/>
        </w:rPr>
        <w:t>helps the Indonesian Government</w:t>
      </w:r>
      <w:r>
        <w:rPr>
          <w:rFonts w:cs="Arial"/>
          <w:color w:val="000000" w:themeColor="text1"/>
          <w:sz w:val="21"/>
          <w:szCs w:val="21"/>
          <w:lang w:eastAsia="en-AU"/>
        </w:rPr>
        <w:t xml:space="preserve"> to tackle the stubborn and complex barriers to </w:t>
      </w:r>
      <w:r w:rsidR="00FB5829">
        <w:rPr>
          <w:rFonts w:cs="Arial"/>
          <w:color w:val="000000" w:themeColor="text1"/>
          <w:sz w:val="21"/>
          <w:szCs w:val="21"/>
          <w:lang w:eastAsia="en-AU"/>
        </w:rPr>
        <w:t xml:space="preserve">unlocking </w:t>
      </w:r>
      <w:r>
        <w:rPr>
          <w:rFonts w:cs="Arial"/>
          <w:color w:val="000000" w:themeColor="text1"/>
          <w:sz w:val="21"/>
          <w:szCs w:val="21"/>
          <w:lang w:eastAsia="en-AU"/>
        </w:rPr>
        <w:t>improved learning for all.</w:t>
      </w:r>
    </w:p>
    <w:p w:rsidR="00D8647E" w:rsidRDefault="00D8647E" w:rsidP="00EA308A">
      <w:pPr>
        <w:tabs>
          <w:tab w:val="left" w:pos="284"/>
        </w:tabs>
        <w:suppressAutoHyphens w:val="0"/>
        <w:spacing w:after="120" w:line="280" w:lineRule="exact"/>
        <w:jc w:val="both"/>
        <w:rPr>
          <w:rFonts w:cs="Arial"/>
          <w:color w:val="000000" w:themeColor="text1"/>
          <w:sz w:val="21"/>
          <w:szCs w:val="21"/>
          <w:lang w:eastAsia="en-AU"/>
        </w:rPr>
      </w:pPr>
      <w:r>
        <w:rPr>
          <w:rFonts w:cs="Arial"/>
          <w:color w:val="000000" w:themeColor="text1"/>
          <w:sz w:val="21"/>
          <w:szCs w:val="21"/>
          <w:lang w:eastAsia="en-AU"/>
        </w:rPr>
        <w:t xml:space="preserve">The TASS investment is aligned with, and is a key component part of, the </w:t>
      </w:r>
      <w:r w:rsidRPr="002822FD">
        <w:rPr>
          <w:rFonts w:cs="Arial"/>
          <w:i/>
          <w:color w:val="000000" w:themeColor="text1"/>
          <w:sz w:val="21"/>
          <w:szCs w:val="21"/>
          <w:lang w:eastAsia="en-AU"/>
        </w:rPr>
        <w:t>Indonesia-Australia Education Partnership – Sector Investment Plan, 2016-2020</w:t>
      </w:r>
      <w:r w:rsidR="00FB5829">
        <w:rPr>
          <w:rFonts w:cs="Arial"/>
          <w:color w:val="000000" w:themeColor="text1"/>
          <w:sz w:val="21"/>
          <w:szCs w:val="21"/>
          <w:lang w:eastAsia="en-AU"/>
        </w:rPr>
        <w:t>. A</w:t>
      </w:r>
      <w:r>
        <w:rPr>
          <w:rFonts w:cs="Arial"/>
          <w:color w:val="000000" w:themeColor="text1"/>
          <w:sz w:val="21"/>
          <w:szCs w:val="21"/>
          <w:lang w:eastAsia="en-AU"/>
        </w:rPr>
        <w:t xml:space="preserve">s a </w:t>
      </w:r>
      <w:r w:rsidRPr="00847630">
        <w:rPr>
          <w:rFonts w:cs="Arial"/>
          <w:b/>
          <w:color w:val="000000" w:themeColor="text1"/>
          <w:sz w:val="21"/>
          <w:szCs w:val="21"/>
          <w:lang w:eastAsia="en-AU"/>
        </w:rPr>
        <w:t>strategic investment in better state capability</w:t>
      </w:r>
      <w:r>
        <w:rPr>
          <w:rFonts w:cs="Arial"/>
          <w:color w:val="000000" w:themeColor="text1"/>
          <w:sz w:val="21"/>
          <w:szCs w:val="21"/>
          <w:lang w:eastAsia="en-AU"/>
        </w:rPr>
        <w:t>, it is regarded by both countries as an important enabler of Indonesia’s continued pursuit of quality education (SDG Goal 4), reduced inequalities (SDG Goal 10), gender equality (SDG Goal 5) and</w:t>
      </w:r>
      <w:r w:rsidR="00F3629C">
        <w:rPr>
          <w:rFonts w:cs="Arial"/>
          <w:color w:val="000000" w:themeColor="text1"/>
          <w:sz w:val="21"/>
          <w:szCs w:val="21"/>
          <w:lang w:eastAsia="en-AU"/>
        </w:rPr>
        <w:t>,</w:t>
      </w:r>
      <w:r>
        <w:rPr>
          <w:rFonts w:cs="Arial"/>
          <w:color w:val="000000" w:themeColor="text1"/>
          <w:sz w:val="21"/>
          <w:szCs w:val="21"/>
          <w:lang w:eastAsia="en-AU"/>
        </w:rPr>
        <w:t xml:space="preserve"> ultimately</w:t>
      </w:r>
      <w:r w:rsidR="00F3629C">
        <w:rPr>
          <w:rFonts w:cs="Arial"/>
          <w:color w:val="000000" w:themeColor="text1"/>
          <w:sz w:val="21"/>
          <w:szCs w:val="21"/>
          <w:lang w:eastAsia="en-AU"/>
        </w:rPr>
        <w:t>,</w:t>
      </w:r>
      <w:r>
        <w:rPr>
          <w:rFonts w:cs="Arial"/>
          <w:color w:val="000000" w:themeColor="text1"/>
          <w:sz w:val="21"/>
          <w:szCs w:val="21"/>
          <w:lang w:eastAsia="en-AU"/>
        </w:rPr>
        <w:t xml:space="preserve"> decent work and economic growth (SDG Goal 8).  </w:t>
      </w:r>
    </w:p>
    <w:p w:rsidR="00D8647E" w:rsidRDefault="00D8647E" w:rsidP="00EA308A">
      <w:pPr>
        <w:tabs>
          <w:tab w:val="left" w:pos="284"/>
        </w:tabs>
        <w:suppressAutoHyphens w:val="0"/>
        <w:spacing w:after="120" w:line="280" w:lineRule="exact"/>
        <w:jc w:val="both"/>
        <w:rPr>
          <w:rFonts w:cs="Arial"/>
          <w:color w:val="000000" w:themeColor="text1"/>
          <w:sz w:val="21"/>
          <w:szCs w:val="21"/>
          <w:lang w:eastAsia="en-AU"/>
        </w:rPr>
      </w:pPr>
      <w:r>
        <w:rPr>
          <w:rFonts w:cs="Arial"/>
          <w:color w:val="000000" w:themeColor="text1"/>
          <w:sz w:val="21"/>
          <w:szCs w:val="21"/>
          <w:lang w:eastAsia="en-AU"/>
        </w:rPr>
        <w:t xml:space="preserve">The TASS investment, and the </w:t>
      </w:r>
      <w:r w:rsidR="008C28D7" w:rsidRPr="002822FD">
        <w:rPr>
          <w:rFonts w:cs="Arial"/>
          <w:i/>
          <w:color w:val="000000" w:themeColor="text1"/>
          <w:sz w:val="21"/>
          <w:szCs w:val="21"/>
          <w:lang w:eastAsia="en-AU"/>
        </w:rPr>
        <w:t xml:space="preserve">Indonesia-Australia Education Partnership – </w:t>
      </w:r>
      <w:r w:rsidRPr="002A3C47">
        <w:rPr>
          <w:rFonts w:cs="Arial"/>
          <w:i/>
          <w:color w:val="000000" w:themeColor="text1"/>
          <w:sz w:val="21"/>
          <w:szCs w:val="21"/>
          <w:lang w:eastAsia="en-AU"/>
        </w:rPr>
        <w:t>Sector Investment Plan</w:t>
      </w:r>
      <w:r>
        <w:rPr>
          <w:rFonts w:cs="Arial"/>
          <w:color w:val="000000" w:themeColor="text1"/>
          <w:sz w:val="21"/>
          <w:szCs w:val="21"/>
          <w:lang w:eastAsia="en-AU"/>
        </w:rPr>
        <w:t xml:space="preserve"> more broadly, pass</w:t>
      </w:r>
      <w:r w:rsidR="00FB5829">
        <w:rPr>
          <w:rFonts w:cs="Arial"/>
          <w:color w:val="000000" w:themeColor="text1"/>
          <w:sz w:val="21"/>
          <w:szCs w:val="21"/>
          <w:lang w:eastAsia="en-AU"/>
        </w:rPr>
        <w:t>es</w:t>
      </w:r>
      <w:r>
        <w:rPr>
          <w:rFonts w:cs="Arial"/>
          <w:color w:val="000000" w:themeColor="text1"/>
          <w:sz w:val="21"/>
          <w:szCs w:val="21"/>
          <w:lang w:eastAsia="en-AU"/>
        </w:rPr>
        <w:t xml:space="preserve"> the </w:t>
      </w:r>
      <w:r w:rsidRPr="006C2216">
        <w:rPr>
          <w:rFonts w:cs="Arial"/>
          <w:b/>
          <w:color w:val="000000" w:themeColor="text1"/>
          <w:sz w:val="21"/>
          <w:szCs w:val="21"/>
          <w:lang w:eastAsia="en-AU"/>
        </w:rPr>
        <w:t>four aid tests</w:t>
      </w:r>
      <w:r>
        <w:rPr>
          <w:rFonts w:cs="Arial"/>
          <w:color w:val="000000" w:themeColor="text1"/>
          <w:sz w:val="21"/>
          <w:szCs w:val="21"/>
          <w:lang w:eastAsia="en-AU"/>
        </w:rPr>
        <w:t xml:space="preserve">. </w:t>
      </w:r>
      <w:r w:rsidR="00461EC6">
        <w:rPr>
          <w:rFonts w:cs="Arial"/>
          <w:color w:val="000000" w:themeColor="text1"/>
          <w:sz w:val="21"/>
          <w:szCs w:val="21"/>
          <w:lang w:eastAsia="en-AU"/>
        </w:rPr>
        <w:t>A</w:t>
      </w:r>
      <w:r>
        <w:rPr>
          <w:rFonts w:cs="Arial"/>
          <w:color w:val="000000" w:themeColor="text1"/>
          <w:sz w:val="21"/>
          <w:szCs w:val="21"/>
          <w:lang w:eastAsia="en-AU"/>
        </w:rPr>
        <w:t xml:space="preserve"> more prosperous and stable Indonesia is in</w:t>
      </w:r>
      <w:r w:rsidR="00DB087D">
        <w:rPr>
          <w:rFonts w:cs="Arial"/>
          <w:color w:val="000000" w:themeColor="text1"/>
          <w:sz w:val="21"/>
          <w:szCs w:val="21"/>
          <w:lang w:eastAsia="en-AU"/>
        </w:rPr>
        <w:t xml:space="preserve"> </w:t>
      </w:r>
      <w:r w:rsidR="00DB087D" w:rsidRPr="00461EC6">
        <w:rPr>
          <w:rFonts w:cs="Arial"/>
          <w:b/>
          <w:color w:val="000000" w:themeColor="text1"/>
          <w:sz w:val="21"/>
          <w:szCs w:val="21"/>
          <w:lang w:eastAsia="en-AU"/>
        </w:rPr>
        <w:t xml:space="preserve">Australia’s </w:t>
      </w:r>
      <w:r w:rsidRPr="00461EC6">
        <w:rPr>
          <w:rFonts w:cs="Arial"/>
          <w:b/>
          <w:color w:val="000000" w:themeColor="text1"/>
          <w:sz w:val="21"/>
          <w:szCs w:val="21"/>
          <w:lang w:eastAsia="en-AU"/>
        </w:rPr>
        <w:t>strategic, security and economic interests</w:t>
      </w:r>
      <w:r w:rsidR="003D657D">
        <w:rPr>
          <w:rFonts w:cs="Arial"/>
          <w:color w:val="000000" w:themeColor="text1"/>
          <w:sz w:val="21"/>
          <w:szCs w:val="21"/>
          <w:lang w:eastAsia="en-AU"/>
        </w:rPr>
        <w:t xml:space="preserve">. However, </w:t>
      </w:r>
      <w:r>
        <w:rPr>
          <w:rFonts w:cs="Arial"/>
          <w:color w:val="000000" w:themeColor="text1"/>
          <w:sz w:val="21"/>
          <w:szCs w:val="21"/>
          <w:lang w:eastAsia="en-AU"/>
        </w:rPr>
        <w:t xml:space="preserve">this ambition will only be realised if the </w:t>
      </w:r>
      <w:r w:rsidR="00461EC6">
        <w:rPr>
          <w:rFonts w:cs="Arial"/>
          <w:color w:val="000000" w:themeColor="text1"/>
          <w:sz w:val="21"/>
          <w:szCs w:val="21"/>
          <w:lang w:eastAsia="en-AU"/>
        </w:rPr>
        <w:t xml:space="preserve">necessary </w:t>
      </w:r>
      <w:r>
        <w:rPr>
          <w:rFonts w:cs="Arial"/>
          <w:color w:val="000000" w:themeColor="text1"/>
          <w:sz w:val="21"/>
          <w:szCs w:val="21"/>
          <w:lang w:eastAsia="en-AU"/>
        </w:rPr>
        <w:t>human capital foundations are in place</w:t>
      </w:r>
      <w:r w:rsidR="00461EC6">
        <w:rPr>
          <w:rFonts w:cs="Arial"/>
          <w:color w:val="000000" w:themeColor="text1"/>
          <w:sz w:val="21"/>
          <w:szCs w:val="21"/>
          <w:lang w:eastAsia="en-AU"/>
        </w:rPr>
        <w:t>. I</w:t>
      </w:r>
      <w:r>
        <w:rPr>
          <w:rFonts w:cs="Arial"/>
          <w:color w:val="000000" w:themeColor="text1"/>
          <w:sz w:val="21"/>
          <w:szCs w:val="21"/>
          <w:lang w:eastAsia="en-AU"/>
        </w:rPr>
        <w:t xml:space="preserve">nternational evidence shows that education is </w:t>
      </w:r>
      <w:r w:rsidR="00F12988">
        <w:rPr>
          <w:rFonts w:cs="Arial"/>
          <w:color w:val="000000" w:themeColor="text1"/>
          <w:sz w:val="21"/>
          <w:szCs w:val="21"/>
          <w:lang w:eastAsia="en-AU"/>
        </w:rPr>
        <w:t>an important driver of increased</w:t>
      </w:r>
      <w:r>
        <w:rPr>
          <w:rFonts w:cs="Arial"/>
          <w:color w:val="000000" w:themeColor="text1"/>
          <w:sz w:val="21"/>
          <w:szCs w:val="21"/>
          <w:lang w:eastAsia="en-AU"/>
        </w:rPr>
        <w:t xml:space="preserve"> household earnings, employment, and </w:t>
      </w:r>
      <w:r w:rsidRPr="00036463">
        <w:rPr>
          <w:rFonts w:cs="Arial"/>
          <w:b/>
          <w:color w:val="000000" w:themeColor="text1"/>
          <w:sz w:val="21"/>
          <w:szCs w:val="21"/>
          <w:lang w:eastAsia="en-AU"/>
        </w:rPr>
        <w:t>inclusive growth and poverty reduction</w:t>
      </w:r>
      <w:r w:rsidR="00E27304">
        <w:rPr>
          <w:rStyle w:val="EndnoteReference"/>
          <w:rFonts w:cs="Arial"/>
          <w:b/>
          <w:color w:val="000000" w:themeColor="text1"/>
          <w:sz w:val="21"/>
          <w:szCs w:val="21"/>
          <w:lang w:eastAsia="en-AU"/>
        </w:rPr>
        <w:endnoteReference w:id="7"/>
      </w:r>
      <w:r>
        <w:rPr>
          <w:rFonts w:cs="Arial"/>
          <w:color w:val="000000" w:themeColor="text1"/>
          <w:sz w:val="21"/>
          <w:szCs w:val="21"/>
          <w:lang w:eastAsia="en-AU"/>
        </w:rPr>
        <w:t xml:space="preserve">. TASS activities seek to </w:t>
      </w:r>
      <w:r w:rsidRPr="00A6338E">
        <w:rPr>
          <w:rFonts w:cs="Arial"/>
          <w:b/>
          <w:color w:val="000000" w:themeColor="text1"/>
          <w:sz w:val="21"/>
          <w:szCs w:val="21"/>
          <w:lang w:eastAsia="en-AU"/>
        </w:rPr>
        <w:t>leverage</w:t>
      </w:r>
      <w:r>
        <w:rPr>
          <w:rFonts w:cs="Arial"/>
          <w:color w:val="000000" w:themeColor="text1"/>
          <w:sz w:val="21"/>
          <w:szCs w:val="21"/>
          <w:lang w:eastAsia="en-AU"/>
        </w:rPr>
        <w:t xml:space="preserve"> and ultimately strengthen</w:t>
      </w:r>
      <w:r w:rsidRPr="00DE11AB">
        <w:rPr>
          <w:rFonts w:cs="Arial"/>
          <w:color w:val="000000" w:themeColor="text1"/>
          <w:sz w:val="21"/>
          <w:szCs w:val="21"/>
          <w:lang w:eastAsia="en-AU"/>
        </w:rPr>
        <w:t xml:space="preserve"> the impact of </w:t>
      </w:r>
      <w:r w:rsidR="00A64848">
        <w:rPr>
          <w:rFonts w:cs="Arial"/>
          <w:color w:val="000000" w:themeColor="text1"/>
          <w:sz w:val="21"/>
          <w:szCs w:val="21"/>
          <w:lang w:eastAsia="en-AU"/>
        </w:rPr>
        <w:t>the Indonesian Government’s</w:t>
      </w:r>
      <w:r w:rsidRPr="00D41BE0">
        <w:rPr>
          <w:rFonts w:cs="Arial"/>
          <w:color w:val="000000" w:themeColor="text1"/>
          <w:sz w:val="21"/>
          <w:szCs w:val="21"/>
          <w:lang w:eastAsia="en-AU"/>
        </w:rPr>
        <w:t xml:space="preserve"> public spending</w:t>
      </w:r>
      <w:r>
        <w:rPr>
          <w:rFonts w:cs="Arial"/>
          <w:color w:val="000000" w:themeColor="text1"/>
          <w:sz w:val="21"/>
          <w:szCs w:val="21"/>
          <w:lang w:eastAsia="en-AU"/>
        </w:rPr>
        <w:t xml:space="preserve">, while </w:t>
      </w:r>
      <w:r w:rsidR="0011487B">
        <w:rPr>
          <w:rFonts w:cs="Arial"/>
          <w:color w:val="000000" w:themeColor="text1"/>
          <w:sz w:val="21"/>
          <w:szCs w:val="21"/>
          <w:lang w:eastAsia="en-AU"/>
        </w:rPr>
        <w:t>DFAT’s</w:t>
      </w:r>
      <w:r>
        <w:rPr>
          <w:rFonts w:cs="Arial"/>
          <w:color w:val="000000" w:themeColor="text1"/>
          <w:sz w:val="21"/>
          <w:szCs w:val="21"/>
          <w:lang w:eastAsia="en-AU"/>
        </w:rPr>
        <w:t xml:space="preserve"> close cooperation with senior ministry-level officials further strengthen</w:t>
      </w:r>
      <w:r w:rsidR="00DF454B">
        <w:rPr>
          <w:rFonts w:cs="Arial"/>
          <w:color w:val="000000" w:themeColor="text1"/>
          <w:sz w:val="21"/>
          <w:szCs w:val="21"/>
          <w:lang w:eastAsia="en-AU"/>
        </w:rPr>
        <w:t>s</w:t>
      </w:r>
      <w:r>
        <w:rPr>
          <w:rFonts w:cs="Arial"/>
          <w:color w:val="000000" w:themeColor="text1"/>
          <w:sz w:val="21"/>
          <w:szCs w:val="21"/>
          <w:lang w:eastAsia="en-AU"/>
        </w:rPr>
        <w:t xml:space="preserve"> Australia’s </w:t>
      </w:r>
      <w:r w:rsidR="004025C8">
        <w:rPr>
          <w:rFonts w:cs="Arial"/>
          <w:color w:val="000000" w:themeColor="text1"/>
          <w:sz w:val="21"/>
          <w:szCs w:val="21"/>
          <w:lang w:eastAsia="en-AU"/>
        </w:rPr>
        <w:t xml:space="preserve">reputation </w:t>
      </w:r>
      <w:r>
        <w:rPr>
          <w:rFonts w:cs="Arial"/>
          <w:color w:val="000000" w:themeColor="text1"/>
          <w:sz w:val="21"/>
          <w:szCs w:val="21"/>
          <w:lang w:eastAsia="en-AU"/>
        </w:rPr>
        <w:t xml:space="preserve">as a long-standing and valued partner in the education sector. </w:t>
      </w:r>
      <w:r w:rsidR="0011487B">
        <w:rPr>
          <w:rFonts w:cs="Arial"/>
          <w:color w:val="000000" w:themeColor="text1"/>
          <w:sz w:val="21"/>
          <w:szCs w:val="21"/>
          <w:lang w:eastAsia="en-AU"/>
        </w:rPr>
        <w:t xml:space="preserve">As a ‘smart facility’ (see below), </w:t>
      </w:r>
      <w:r>
        <w:rPr>
          <w:rFonts w:cs="Arial"/>
          <w:color w:val="000000" w:themeColor="text1"/>
          <w:sz w:val="21"/>
          <w:szCs w:val="21"/>
          <w:lang w:eastAsia="en-AU"/>
        </w:rPr>
        <w:t>TASS embodies Australia’s commitment to the delivery of effective development assistance. It deliver</w:t>
      </w:r>
      <w:r w:rsidR="004025C8">
        <w:rPr>
          <w:rFonts w:cs="Arial"/>
          <w:color w:val="000000" w:themeColor="text1"/>
          <w:sz w:val="21"/>
          <w:szCs w:val="21"/>
          <w:lang w:eastAsia="en-AU"/>
        </w:rPr>
        <w:t>s</w:t>
      </w:r>
      <w:r>
        <w:rPr>
          <w:rFonts w:cs="Arial"/>
          <w:color w:val="000000" w:themeColor="text1"/>
          <w:sz w:val="21"/>
          <w:szCs w:val="21"/>
          <w:lang w:eastAsia="en-AU"/>
        </w:rPr>
        <w:t xml:space="preserve"> </w:t>
      </w:r>
      <w:r w:rsidRPr="00785B10">
        <w:rPr>
          <w:rFonts w:cs="Arial"/>
          <w:b/>
          <w:color w:val="000000" w:themeColor="text1"/>
          <w:sz w:val="21"/>
          <w:szCs w:val="21"/>
          <w:lang w:eastAsia="en-AU"/>
        </w:rPr>
        <w:t>results and value for money</w:t>
      </w:r>
      <w:r>
        <w:rPr>
          <w:rFonts w:cs="Arial"/>
          <w:color w:val="000000" w:themeColor="text1"/>
          <w:sz w:val="21"/>
          <w:szCs w:val="21"/>
          <w:lang w:eastAsia="en-AU"/>
        </w:rPr>
        <w:t xml:space="preserve"> by adopting a strategic and politically savvy approach to </w:t>
      </w:r>
      <w:r w:rsidR="00BB5DD4">
        <w:rPr>
          <w:rFonts w:cs="Arial"/>
          <w:color w:val="000000" w:themeColor="text1"/>
          <w:sz w:val="21"/>
          <w:szCs w:val="21"/>
          <w:lang w:eastAsia="en-AU"/>
        </w:rPr>
        <w:t xml:space="preserve">planning and implementation. Its </w:t>
      </w:r>
      <w:r w:rsidR="00BB5DD4" w:rsidRPr="00834EC5">
        <w:rPr>
          <w:rFonts w:cs="Arial"/>
          <w:i/>
          <w:color w:val="000000" w:themeColor="text1"/>
          <w:sz w:val="21"/>
          <w:szCs w:val="21"/>
          <w:lang w:eastAsia="en-AU"/>
        </w:rPr>
        <w:t>modus operandi</w:t>
      </w:r>
      <w:r w:rsidR="00BB5DD4">
        <w:rPr>
          <w:rFonts w:cs="Arial"/>
          <w:color w:val="000000" w:themeColor="text1"/>
          <w:sz w:val="21"/>
          <w:szCs w:val="21"/>
          <w:lang w:eastAsia="en-AU"/>
        </w:rPr>
        <w:t xml:space="preserve"> is founded on thinking and working politically</w:t>
      </w:r>
      <w:r w:rsidR="002022C7">
        <w:rPr>
          <w:rFonts w:cs="Arial"/>
          <w:color w:val="000000" w:themeColor="text1"/>
          <w:sz w:val="21"/>
          <w:szCs w:val="21"/>
          <w:lang w:eastAsia="en-AU"/>
        </w:rPr>
        <w:t xml:space="preserve">, and that allows it to invest in </w:t>
      </w:r>
      <w:r>
        <w:rPr>
          <w:rFonts w:cs="Arial"/>
          <w:color w:val="000000" w:themeColor="text1"/>
          <w:sz w:val="21"/>
          <w:szCs w:val="21"/>
          <w:lang w:eastAsia="en-AU"/>
        </w:rPr>
        <w:t xml:space="preserve">activities as targeted ‘small bets’, </w:t>
      </w:r>
      <w:r w:rsidR="002022C7">
        <w:rPr>
          <w:rFonts w:cs="Arial"/>
          <w:color w:val="000000" w:themeColor="text1"/>
          <w:sz w:val="21"/>
          <w:szCs w:val="21"/>
          <w:lang w:eastAsia="en-AU"/>
        </w:rPr>
        <w:t xml:space="preserve">to adapt </w:t>
      </w:r>
      <w:r>
        <w:rPr>
          <w:rFonts w:cs="Arial"/>
          <w:color w:val="000000" w:themeColor="text1"/>
          <w:sz w:val="21"/>
          <w:szCs w:val="21"/>
          <w:lang w:eastAsia="en-AU"/>
        </w:rPr>
        <w:t xml:space="preserve">to changes in context, and to </w:t>
      </w:r>
      <w:r w:rsidRPr="00432DBA">
        <w:rPr>
          <w:rFonts w:cs="Arial"/>
          <w:color w:val="000000" w:themeColor="text1"/>
          <w:sz w:val="21"/>
          <w:szCs w:val="21"/>
          <w:lang w:eastAsia="en-AU"/>
        </w:rPr>
        <w:t xml:space="preserve">build on success </w:t>
      </w:r>
      <w:r w:rsidR="002C5847">
        <w:rPr>
          <w:rFonts w:cs="Arial"/>
          <w:color w:val="000000" w:themeColor="text1"/>
          <w:sz w:val="21"/>
          <w:szCs w:val="21"/>
          <w:lang w:eastAsia="en-AU"/>
        </w:rPr>
        <w:t>while</w:t>
      </w:r>
      <w:r>
        <w:rPr>
          <w:rFonts w:cs="Arial"/>
          <w:color w:val="000000" w:themeColor="text1"/>
          <w:sz w:val="21"/>
          <w:szCs w:val="21"/>
          <w:lang w:eastAsia="en-AU"/>
        </w:rPr>
        <w:t xml:space="preserve"> respond</w:t>
      </w:r>
      <w:r w:rsidR="002C5847">
        <w:rPr>
          <w:rFonts w:cs="Arial"/>
          <w:color w:val="000000" w:themeColor="text1"/>
          <w:sz w:val="21"/>
          <w:szCs w:val="21"/>
          <w:lang w:eastAsia="en-AU"/>
        </w:rPr>
        <w:t>ing</w:t>
      </w:r>
      <w:r>
        <w:rPr>
          <w:rFonts w:cs="Arial"/>
          <w:color w:val="000000" w:themeColor="text1"/>
          <w:sz w:val="21"/>
          <w:szCs w:val="21"/>
          <w:lang w:eastAsia="en-AU"/>
        </w:rPr>
        <w:t xml:space="preserve"> to areas of </w:t>
      </w:r>
      <w:r w:rsidRPr="00432DBA">
        <w:rPr>
          <w:rFonts w:cs="Arial"/>
          <w:color w:val="000000" w:themeColor="text1"/>
          <w:sz w:val="21"/>
          <w:szCs w:val="21"/>
          <w:lang w:eastAsia="en-AU"/>
        </w:rPr>
        <w:t>under-performance</w:t>
      </w:r>
      <w:r>
        <w:rPr>
          <w:rFonts w:cs="Arial"/>
          <w:color w:val="000000" w:themeColor="text1"/>
          <w:sz w:val="21"/>
          <w:szCs w:val="21"/>
          <w:lang w:eastAsia="en-AU"/>
        </w:rPr>
        <w:t>.</w:t>
      </w:r>
    </w:p>
    <w:p w:rsidR="00D8647E" w:rsidRPr="00B87C9B" w:rsidRDefault="00D8647E" w:rsidP="00E60655">
      <w:pPr>
        <w:pStyle w:val="ListParagraph"/>
        <w:numPr>
          <w:ilvl w:val="0"/>
          <w:numId w:val="20"/>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szCs w:val="21"/>
        </w:rPr>
      </w:pPr>
      <w:r w:rsidRPr="00B87C9B">
        <w:rPr>
          <w:rFonts w:asciiTheme="majorHAnsi" w:hAnsiTheme="majorHAnsi"/>
          <w:b/>
          <w:szCs w:val="21"/>
        </w:rPr>
        <w:t>Proposed Outcomes (What?)</w:t>
      </w:r>
    </w:p>
    <w:p w:rsidR="00D8647E" w:rsidRPr="00CC12ED" w:rsidRDefault="00D8647E" w:rsidP="00A269A5">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TASS supports the Indonesian Government to</w:t>
      </w:r>
      <w:r w:rsidRPr="00CC12ED">
        <w:rPr>
          <w:rFonts w:eastAsia="Times New Roman" w:cs="Arial"/>
          <w:color w:val="000000" w:themeColor="text1"/>
          <w:sz w:val="21"/>
          <w:szCs w:val="21"/>
          <w:lang w:val="en-AU" w:eastAsia="en-AU"/>
        </w:rPr>
        <w:t xml:space="preserve">: </w:t>
      </w:r>
    </w:p>
    <w:p w:rsidR="00D8647E" w:rsidRPr="00CC12ED"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CC12ED">
        <w:rPr>
          <w:rFonts w:cs="Arial"/>
          <w:color w:val="000000" w:themeColor="text1"/>
          <w:sz w:val="21"/>
          <w:szCs w:val="21"/>
          <w:lang w:eastAsia="en-AU"/>
        </w:rPr>
        <w:t>improve the quality of teaching and learning in classrooms and schools</w:t>
      </w:r>
      <w:r>
        <w:rPr>
          <w:rFonts w:cs="Arial"/>
          <w:color w:val="000000" w:themeColor="text1"/>
          <w:sz w:val="21"/>
          <w:szCs w:val="21"/>
          <w:lang w:eastAsia="en-AU"/>
        </w:rPr>
        <w:t xml:space="preserve"> (</w:t>
      </w:r>
      <w:r w:rsidRPr="00CC12ED">
        <w:rPr>
          <w:rFonts w:cs="Arial"/>
          <w:b/>
          <w:color w:val="000000" w:themeColor="text1"/>
          <w:sz w:val="21"/>
          <w:szCs w:val="21"/>
          <w:lang w:eastAsia="en-AU"/>
        </w:rPr>
        <w:t>Goal 1</w:t>
      </w:r>
      <w:r>
        <w:rPr>
          <w:rFonts w:cs="Arial"/>
          <w:color w:val="000000" w:themeColor="text1"/>
          <w:sz w:val="21"/>
          <w:szCs w:val="21"/>
          <w:lang w:eastAsia="en-AU"/>
        </w:rPr>
        <w:t>)</w:t>
      </w:r>
      <w:r w:rsidR="00FC649F">
        <w:rPr>
          <w:rFonts w:cs="Arial"/>
          <w:color w:val="000000" w:themeColor="text1"/>
          <w:sz w:val="21"/>
          <w:szCs w:val="21"/>
          <w:lang w:eastAsia="en-AU"/>
        </w:rPr>
        <w:t xml:space="preserve">; </w:t>
      </w:r>
      <w:r w:rsidRPr="00CC12ED">
        <w:rPr>
          <w:rFonts w:cs="Arial"/>
          <w:color w:val="000000" w:themeColor="text1"/>
          <w:sz w:val="21"/>
          <w:szCs w:val="21"/>
          <w:lang w:eastAsia="en-AU"/>
        </w:rPr>
        <w:t>and</w:t>
      </w:r>
    </w:p>
    <w:p w:rsidR="00D8647E" w:rsidRPr="00CC12ED"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CC12ED">
        <w:rPr>
          <w:rFonts w:cs="Arial"/>
          <w:color w:val="000000" w:themeColor="text1"/>
          <w:sz w:val="21"/>
          <w:szCs w:val="21"/>
          <w:lang w:eastAsia="en-AU"/>
        </w:rPr>
        <w:t>reduce the impact of disparities on teaching and student learning outcomes</w:t>
      </w:r>
      <w:r>
        <w:rPr>
          <w:rFonts w:cs="Arial"/>
          <w:color w:val="000000" w:themeColor="text1"/>
          <w:sz w:val="21"/>
          <w:szCs w:val="21"/>
          <w:lang w:eastAsia="en-AU"/>
        </w:rPr>
        <w:t xml:space="preserve"> (</w:t>
      </w:r>
      <w:r w:rsidRPr="00CC12ED">
        <w:rPr>
          <w:rFonts w:cs="Arial"/>
          <w:b/>
          <w:color w:val="000000" w:themeColor="text1"/>
          <w:sz w:val="21"/>
          <w:szCs w:val="21"/>
          <w:lang w:eastAsia="en-AU"/>
        </w:rPr>
        <w:t>Goal 2</w:t>
      </w:r>
      <w:r>
        <w:rPr>
          <w:rFonts w:cs="Arial"/>
          <w:color w:val="000000" w:themeColor="text1"/>
          <w:sz w:val="21"/>
          <w:szCs w:val="21"/>
          <w:lang w:eastAsia="en-AU"/>
        </w:rPr>
        <w:t>)</w:t>
      </w:r>
      <w:r w:rsidRPr="00CC12ED">
        <w:rPr>
          <w:rFonts w:cs="Arial"/>
          <w:color w:val="000000" w:themeColor="text1"/>
          <w:sz w:val="21"/>
          <w:szCs w:val="21"/>
          <w:lang w:eastAsia="en-AU"/>
        </w:rPr>
        <w:t>.</w:t>
      </w:r>
    </w:p>
    <w:p w:rsidR="00D8647E" w:rsidRPr="00CC12ED" w:rsidRDefault="00D8647E" w:rsidP="00A269A5">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CC12ED">
        <w:rPr>
          <w:rFonts w:eastAsia="Times New Roman" w:cs="Arial"/>
          <w:color w:val="000000" w:themeColor="text1"/>
          <w:sz w:val="21"/>
          <w:szCs w:val="21"/>
          <w:lang w:val="en-AU" w:eastAsia="en-AU"/>
        </w:rPr>
        <w:t>Guided by those high-level ambitions, TASS wishes to</w:t>
      </w:r>
      <w:r w:rsidR="00530F08">
        <w:rPr>
          <w:rFonts w:eastAsia="Times New Roman" w:cs="Arial"/>
          <w:color w:val="000000" w:themeColor="text1"/>
          <w:sz w:val="21"/>
          <w:szCs w:val="21"/>
          <w:lang w:val="en-AU" w:eastAsia="en-AU"/>
        </w:rPr>
        <w:t xml:space="preserve"> </w:t>
      </w:r>
      <w:r w:rsidR="00530F08" w:rsidRPr="002075A2">
        <w:rPr>
          <w:rFonts w:eastAsia="Times New Roman" w:cs="Arial"/>
          <w:i/>
          <w:color w:val="000000" w:themeColor="text1"/>
          <w:sz w:val="21"/>
          <w:szCs w:val="21"/>
          <w:lang w:val="en-AU" w:eastAsia="en-AU"/>
        </w:rPr>
        <w:t>contribute</w:t>
      </w:r>
      <w:r w:rsidR="00530F08">
        <w:rPr>
          <w:rFonts w:eastAsia="Times New Roman" w:cs="Arial"/>
          <w:color w:val="000000" w:themeColor="text1"/>
          <w:sz w:val="21"/>
          <w:szCs w:val="21"/>
          <w:lang w:val="en-AU" w:eastAsia="en-AU"/>
        </w:rPr>
        <w:t xml:space="preserve"> to</w:t>
      </w:r>
      <w:r w:rsidR="00CF1139">
        <w:rPr>
          <w:rFonts w:eastAsia="Times New Roman" w:cs="Arial"/>
          <w:color w:val="000000" w:themeColor="text1"/>
          <w:sz w:val="21"/>
          <w:szCs w:val="21"/>
          <w:lang w:val="en-AU" w:eastAsia="en-AU"/>
        </w:rPr>
        <w:t xml:space="preserve"> two changes in the sector landscape. It wishes to see</w:t>
      </w:r>
      <w:r w:rsidRPr="00CC12ED">
        <w:rPr>
          <w:rFonts w:eastAsia="Times New Roman" w:cs="Arial"/>
          <w:color w:val="000000" w:themeColor="text1"/>
          <w:sz w:val="21"/>
          <w:szCs w:val="21"/>
          <w:lang w:val="en-AU" w:eastAsia="en-AU"/>
        </w:rPr>
        <w:t>:</w:t>
      </w:r>
    </w:p>
    <w:p w:rsidR="00D8647E" w:rsidRPr="00CC12ED" w:rsidRDefault="00CF1139"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Pr>
          <w:rFonts w:cs="Arial"/>
          <w:color w:val="000000" w:themeColor="text1"/>
          <w:sz w:val="21"/>
          <w:szCs w:val="21"/>
          <w:lang w:eastAsia="en-AU"/>
        </w:rPr>
        <w:t>p</w:t>
      </w:r>
      <w:r w:rsidR="00D8647E" w:rsidRPr="00CC12ED">
        <w:rPr>
          <w:rFonts w:cs="Arial"/>
          <w:color w:val="000000" w:themeColor="text1"/>
          <w:sz w:val="21"/>
          <w:szCs w:val="21"/>
          <w:lang w:eastAsia="en-AU"/>
        </w:rPr>
        <w:t>articipating decision-makers</w:t>
      </w:r>
      <w:r w:rsidR="00D8647E">
        <w:rPr>
          <w:rFonts w:cs="Arial"/>
          <w:color w:val="000000" w:themeColor="text1"/>
          <w:sz w:val="21"/>
          <w:szCs w:val="21"/>
          <w:lang w:eastAsia="en-AU"/>
        </w:rPr>
        <w:t xml:space="preserve"> within the Indonesian Government</w:t>
      </w:r>
      <w:r w:rsidR="00D8647E" w:rsidRPr="00CC12ED">
        <w:rPr>
          <w:rFonts w:cs="Arial"/>
          <w:color w:val="000000" w:themeColor="text1"/>
          <w:sz w:val="21"/>
          <w:szCs w:val="21"/>
          <w:lang w:eastAsia="en-AU"/>
        </w:rPr>
        <w:t xml:space="preserve"> apply </w:t>
      </w:r>
      <w:r w:rsidR="002075A2">
        <w:rPr>
          <w:rFonts w:cs="Arial"/>
          <w:color w:val="000000" w:themeColor="text1"/>
          <w:sz w:val="21"/>
          <w:szCs w:val="21"/>
          <w:lang w:eastAsia="en-AU"/>
        </w:rPr>
        <w:t xml:space="preserve">the </w:t>
      </w:r>
      <w:r w:rsidR="00D8647E" w:rsidRPr="00CC12ED">
        <w:rPr>
          <w:rFonts w:cs="Arial"/>
          <w:color w:val="000000" w:themeColor="text1"/>
          <w:sz w:val="21"/>
          <w:szCs w:val="21"/>
          <w:lang w:eastAsia="en-AU"/>
        </w:rPr>
        <w:t>policies, systems, processes, and programs needed to affect education reform (</w:t>
      </w:r>
      <w:r w:rsidR="00D8647E" w:rsidRPr="00CC12ED">
        <w:rPr>
          <w:rFonts w:cs="Arial"/>
          <w:b/>
          <w:color w:val="000000" w:themeColor="text1"/>
          <w:sz w:val="21"/>
          <w:szCs w:val="21"/>
          <w:lang w:eastAsia="en-AU"/>
        </w:rPr>
        <w:t xml:space="preserve">End of Facility Outcome </w:t>
      </w:r>
      <w:r w:rsidR="00D8647E">
        <w:rPr>
          <w:rFonts w:cs="Arial"/>
          <w:b/>
          <w:color w:val="000000" w:themeColor="text1"/>
          <w:sz w:val="21"/>
          <w:szCs w:val="21"/>
          <w:lang w:eastAsia="en-AU"/>
        </w:rPr>
        <w:t>1</w:t>
      </w:r>
      <w:r w:rsidR="00D8647E" w:rsidRPr="00CC12ED">
        <w:rPr>
          <w:rFonts w:cs="Arial"/>
          <w:color w:val="000000" w:themeColor="text1"/>
          <w:sz w:val="21"/>
          <w:szCs w:val="21"/>
          <w:lang w:eastAsia="en-AU"/>
        </w:rPr>
        <w:t>)</w:t>
      </w:r>
      <w:r w:rsidR="00FC649F">
        <w:rPr>
          <w:rFonts w:cs="Arial"/>
          <w:color w:val="000000" w:themeColor="text1"/>
          <w:sz w:val="21"/>
          <w:szCs w:val="21"/>
          <w:lang w:eastAsia="en-AU"/>
        </w:rPr>
        <w:t xml:space="preserve">; </w:t>
      </w:r>
      <w:r>
        <w:rPr>
          <w:rFonts w:cs="Arial"/>
          <w:color w:val="000000" w:themeColor="text1"/>
          <w:sz w:val="21"/>
          <w:szCs w:val="21"/>
          <w:lang w:eastAsia="en-AU"/>
        </w:rPr>
        <w:t>and</w:t>
      </w:r>
    </w:p>
    <w:p w:rsidR="00D8647E" w:rsidRPr="00CC12ED" w:rsidRDefault="00CF1139"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Pr>
          <w:rFonts w:cs="Arial"/>
          <w:color w:val="000000" w:themeColor="text1"/>
          <w:sz w:val="21"/>
          <w:szCs w:val="21"/>
          <w:lang w:eastAsia="en-AU"/>
        </w:rPr>
        <w:lastRenderedPageBreak/>
        <w:t>p</w:t>
      </w:r>
      <w:r w:rsidR="00D8647E" w:rsidRPr="00CC12ED">
        <w:rPr>
          <w:rFonts w:cs="Arial"/>
          <w:color w:val="000000" w:themeColor="text1"/>
          <w:sz w:val="21"/>
          <w:szCs w:val="21"/>
          <w:lang w:eastAsia="en-AU"/>
        </w:rPr>
        <w:t>articipating decision-makers</w:t>
      </w:r>
      <w:r w:rsidR="00D8647E">
        <w:rPr>
          <w:rFonts w:cs="Arial"/>
          <w:color w:val="000000" w:themeColor="text1"/>
          <w:sz w:val="21"/>
          <w:szCs w:val="21"/>
          <w:lang w:eastAsia="en-AU"/>
        </w:rPr>
        <w:t xml:space="preserve"> within the Indonesian Government</w:t>
      </w:r>
      <w:r w:rsidR="00D8647E" w:rsidRPr="00CC12ED">
        <w:rPr>
          <w:rFonts w:cs="Arial"/>
          <w:color w:val="000000" w:themeColor="text1"/>
          <w:sz w:val="21"/>
          <w:szCs w:val="21"/>
          <w:lang w:eastAsia="en-AU"/>
        </w:rPr>
        <w:t xml:space="preserve"> implement processes that help bridge the divide between policy and implementation (</w:t>
      </w:r>
      <w:r w:rsidR="00D8647E" w:rsidRPr="00CC12ED">
        <w:rPr>
          <w:rFonts w:cs="Arial"/>
          <w:b/>
          <w:color w:val="000000" w:themeColor="text1"/>
          <w:sz w:val="21"/>
          <w:szCs w:val="21"/>
          <w:lang w:eastAsia="en-AU"/>
        </w:rPr>
        <w:t xml:space="preserve">End of Facility Outcome </w:t>
      </w:r>
      <w:r w:rsidR="00D8647E">
        <w:rPr>
          <w:rFonts w:cs="Arial"/>
          <w:b/>
          <w:color w:val="000000" w:themeColor="text1"/>
          <w:sz w:val="21"/>
          <w:szCs w:val="21"/>
          <w:lang w:eastAsia="en-AU"/>
        </w:rPr>
        <w:t>2</w:t>
      </w:r>
      <w:r w:rsidR="00D8647E" w:rsidRPr="006C2216">
        <w:rPr>
          <w:rFonts w:cs="Arial"/>
          <w:color w:val="000000" w:themeColor="text1"/>
          <w:sz w:val="21"/>
          <w:szCs w:val="21"/>
          <w:lang w:eastAsia="en-AU"/>
        </w:rPr>
        <w:t xml:space="preserve">, </w:t>
      </w:r>
      <w:r w:rsidR="00D8647E" w:rsidRPr="00CC12ED">
        <w:rPr>
          <w:rFonts w:cs="Arial"/>
          <w:color w:val="000000" w:themeColor="text1"/>
          <w:sz w:val="21"/>
          <w:szCs w:val="21"/>
          <w:lang w:eastAsia="en-AU"/>
        </w:rPr>
        <w:t xml:space="preserve">see the logic </w:t>
      </w:r>
      <w:r w:rsidR="00D8647E" w:rsidRPr="000F04A9">
        <w:rPr>
          <w:rFonts w:cs="Arial"/>
          <w:color w:val="000000" w:themeColor="text1"/>
          <w:sz w:val="21"/>
          <w:szCs w:val="21"/>
          <w:lang w:eastAsia="en-AU"/>
        </w:rPr>
        <w:t xml:space="preserve">diagram in Annex </w:t>
      </w:r>
      <w:r w:rsidR="002C5847" w:rsidRPr="000F04A9">
        <w:rPr>
          <w:rFonts w:cs="Arial"/>
          <w:color w:val="000000" w:themeColor="text1"/>
          <w:sz w:val="21"/>
          <w:szCs w:val="21"/>
          <w:lang w:eastAsia="en-AU"/>
        </w:rPr>
        <w:t>B</w:t>
      </w:r>
      <w:r w:rsidR="00D8647E" w:rsidRPr="000F04A9">
        <w:rPr>
          <w:rFonts w:cs="Arial"/>
          <w:color w:val="000000" w:themeColor="text1"/>
          <w:sz w:val="21"/>
          <w:szCs w:val="21"/>
          <w:lang w:eastAsia="en-AU"/>
        </w:rPr>
        <w:t>).</w:t>
      </w:r>
    </w:p>
    <w:p w:rsidR="00D8647E" w:rsidRPr="00CC12ED" w:rsidRDefault="00D8647E" w:rsidP="00A269A5">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CC12ED">
        <w:rPr>
          <w:rFonts w:eastAsia="Times New Roman" w:cs="Arial"/>
          <w:color w:val="000000" w:themeColor="text1"/>
          <w:sz w:val="21"/>
          <w:szCs w:val="21"/>
          <w:lang w:val="en-AU" w:eastAsia="en-AU"/>
        </w:rPr>
        <w:t xml:space="preserve">TASS </w:t>
      </w:r>
      <w:r>
        <w:rPr>
          <w:rFonts w:eastAsia="Times New Roman" w:cs="Arial"/>
          <w:color w:val="000000" w:themeColor="text1"/>
          <w:sz w:val="21"/>
          <w:szCs w:val="21"/>
          <w:lang w:val="en-AU" w:eastAsia="en-AU"/>
        </w:rPr>
        <w:t xml:space="preserve">undertakes a range of </w:t>
      </w:r>
      <w:r w:rsidRPr="005429F2">
        <w:rPr>
          <w:rFonts w:eastAsia="Times New Roman" w:cs="Arial"/>
          <w:b/>
          <w:color w:val="000000" w:themeColor="text1"/>
          <w:sz w:val="21"/>
          <w:szCs w:val="21"/>
          <w:lang w:val="en-AU" w:eastAsia="en-AU"/>
        </w:rPr>
        <w:t>activities</w:t>
      </w:r>
      <w:r>
        <w:rPr>
          <w:rFonts w:eastAsia="Times New Roman" w:cs="Arial"/>
          <w:color w:val="000000" w:themeColor="text1"/>
          <w:sz w:val="21"/>
          <w:szCs w:val="21"/>
          <w:lang w:val="en-AU" w:eastAsia="en-AU"/>
        </w:rPr>
        <w:t xml:space="preserve"> in the pursuit of </w:t>
      </w:r>
      <w:r w:rsidR="001C6DE3">
        <w:rPr>
          <w:rFonts w:eastAsia="Times New Roman" w:cs="Arial"/>
          <w:color w:val="000000" w:themeColor="text1"/>
          <w:sz w:val="21"/>
          <w:szCs w:val="21"/>
          <w:lang w:val="en-AU" w:eastAsia="en-AU"/>
        </w:rPr>
        <w:t>th</w:t>
      </w:r>
      <w:r w:rsidR="005F1141">
        <w:rPr>
          <w:rFonts w:eastAsia="Times New Roman" w:cs="Arial"/>
          <w:color w:val="000000" w:themeColor="text1"/>
          <w:sz w:val="21"/>
          <w:szCs w:val="21"/>
          <w:lang w:val="en-AU" w:eastAsia="en-AU"/>
        </w:rPr>
        <w:t>e</w:t>
      </w:r>
      <w:r w:rsidR="001C6DE3">
        <w:rPr>
          <w:rFonts w:eastAsia="Times New Roman" w:cs="Arial"/>
          <w:color w:val="000000" w:themeColor="text1"/>
          <w:sz w:val="21"/>
          <w:szCs w:val="21"/>
          <w:lang w:val="en-AU" w:eastAsia="en-AU"/>
        </w:rPr>
        <w:t xml:space="preserve"> End of Facility Outcomes</w:t>
      </w:r>
      <w:r>
        <w:rPr>
          <w:rFonts w:eastAsia="Times New Roman" w:cs="Arial"/>
          <w:color w:val="000000" w:themeColor="text1"/>
          <w:sz w:val="21"/>
          <w:szCs w:val="21"/>
          <w:lang w:val="en-AU" w:eastAsia="en-AU"/>
        </w:rPr>
        <w:t>. Activities include</w:t>
      </w:r>
      <w:r w:rsidRPr="00CC12ED">
        <w:rPr>
          <w:rFonts w:eastAsia="Times New Roman" w:cs="Arial"/>
          <w:color w:val="000000" w:themeColor="text1"/>
          <w:sz w:val="21"/>
          <w:szCs w:val="21"/>
          <w:lang w:val="en-AU" w:eastAsia="en-AU"/>
        </w:rPr>
        <w:t xml:space="preserve">: </w:t>
      </w:r>
    </w:p>
    <w:p w:rsidR="00D8647E" w:rsidRPr="00CC12ED"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Pr>
          <w:rFonts w:cs="Arial"/>
          <w:color w:val="000000" w:themeColor="text1"/>
          <w:sz w:val="21"/>
          <w:szCs w:val="21"/>
          <w:lang w:eastAsia="en-AU"/>
        </w:rPr>
        <w:t>delivering technical advice</w:t>
      </w:r>
      <w:r w:rsidRPr="00CC12ED">
        <w:rPr>
          <w:rFonts w:cs="Arial"/>
          <w:color w:val="000000" w:themeColor="text1"/>
          <w:sz w:val="21"/>
          <w:szCs w:val="21"/>
          <w:lang w:eastAsia="en-AU"/>
        </w:rPr>
        <w:t xml:space="preserve"> </w:t>
      </w:r>
      <w:r>
        <w:rPr>
          <w:rFonts w:cs="Arial"/>
          <w:color w:val="000000" w:themeColor="text1"/>
          <w:sz w:val="21"/>
          <w:szCs w:val="21"/>
          <w:lang w:eastAsia="en-AU"/>
        </w:rPr>
        <w:t>to key policy-makers, with a view to improving</w:t>
      </w:r>
      <w:r w:rsidR="005F1141">
        <w:rPr>
          <w:rFonts w:cs="Arial"/>
          <w:color w:val="000000" w:themeColor="text1"/>
          <w:sz w:val="21"/>
          <w:szCs w:val="21"/>
          <w:lang w:eastAsia="en-AU"/>
        </w:rPr>
        <w:t xml:space="preserve"> their</w:t>
      </w:r>
      <w:r>
        <w:rPr>
          <w:rFonts w:cs="Arial"/>
          <w:color w:val="000000" w:themeColor="text1"/>
          <w:sz w:val="21"/>
          <w:szCs w:val="21"/>
          <w:lang w:eastAsia="en-AU"/>
        </w:rPr>
        <w:t xml:space="preserve"> understanding, navigation or resolution of issues of significance or emerging importance</w:t>
      </w:r>
      <w:r w:rsidRPr="00CC12ED">
        <w:rPr>
          <w:rFonts w:cs="Arial"/>
          <w:color w:val="000000" w:themeColor="text1"/>
          <w:sz w:val="21"/>
          <w:szCs w:val="21"/>
          <w:lang w:eastAsia="en-AU"/>
        </w:rPr>
        <w:t xml:space="preserve">; </w:t>
      </w:r>
    </w:p>
    <w:p w:rsidR="00D8647E"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CC12ED">
        <w:rPr>
          <w:rFonts w:cs="Arial"/>
          <w:color w:val="000000" w:themeColor="text1"/>
          <w:sz w:val="21"/>
          <w:szCs w:val="21"/>
          <w:lang w:eastAsia="en-AU"/>
        </w:rPr>
        <w:t>rapid</w:t>
      </w:r>
      <w:r>
        <w:rPr>
          <w:rFonts w:cs="Arial"/>
          <w:color w:val="000000" w:themeColor="text1"/>
          <w:sz w:val="21"/>
          <w:szCs w:val="21"/>
          <w:lang w:eastAsia="en-AU"/>
        </w:rPr>
        <w:t xml:space="preserve">ly analysing issues of significance, with a view to informing and advancing policy dialogue; </w:t>
      </w:r>
      <w:r w:rsidRPr="00CC12ED">
        <w:rPr>
          <w:rFonts w:cs="Arial"/>
          <w:color w:val="000000" w:themeColor="text1"/>
          <w:sz w:val="21"/>
          <w:szCs w:val="21"/>
          <w:lang w:eastAsia="en-AU"/>
        </w:rPr>
        <w:t xml:space="preserve"> </w:t>
      </w:r>
    </w:p>
    <w:p w:rsidR="00D8647E" w:rsidRPr="00CC12ED"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Pr>
          <w:rFonts w:cs="Arial"/>
          <w:color w:val="000000" w:themeColor="text1"/>
          <w:sz w:val="21"/>
          <w:szCs w:val="21"/>
          <w:lang w:eastAsia="en-AU"/>
        </w:rPr>
        <w:t xml:space="preserve">brokering dialogue and collaborative engagement between ministries, departments and levels of government, with a view to </w:t>
      </w:r>
      <w:r w:rsidR="006A5453">
        <w:rPr>
          <w:rFonts w:cs="Arial"/>
          <w:color w:val="000000" w:themeColor="text1"/>
          <w:sz w:val="21"/>
          <w:szCs w:val="21"/>
          <w:lang w:eastAsia="en-AU"/>
        </w:rPr>
        <w:t>nurturing</w:t>
      </w:r>
      <w:r>
        <w:rPr>
          <w:rFonts w:cs="Arial"/>
          <w:color w:val="000000" w:themeColor="text1"/>
          <w:sz w:val="21"/>
          <w:szCs w:val="21"/>
          <w:lang w:eastAsia="en-AU"/>
        </w:rPr>
        <w:t xml:space="preserve"> ‘tailwinds’ for reform;</w:t>
      </w:r>
    </w:p>
    <w:p w:rsidR="00D8647E"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Pr>
          <w:rFonts w:cs="Arial"/>
          <w:color w:val="000000" w:themeColor="text1"/>
          <w:sz w:val="21"/>
          <w:szCs w:val="21"/>
          <w:lang w:eastAsia="en-AU"/>
        </w:rPr>
        <w:t>providing trusted, yet independent support, peer review, and encouragement to key decision-makers within the Indonesian Government, with a view to offering the necessary understanding, courage, credibility and/or legitimacy to pursue reform;</w:t>
      </w:r>
    </w:p>
    <w:p w:rsidR="00D8647E"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Pr>
          <w:rFonts w:cs="Arial"/>
          <w:color w:val="000000" w:themeColor="text1"/>
          <w:sz w:val="21"/>
          <w:szCs w:val="21"/>
          <w:lang w:eastAsia="en-AU"/>
        </w:rPr>
        <w:t>providing informal, on-the-job competency development to key decision-makers within the Indonesian Government, with a view to enhanc</w:t>
      </w:r>
      <w:r w:rsidR="001C6DE3">
        <w:rPr>
          <w:rFonts w:cs="Arial"/>
          <w:color w:val="000000" w:themeColor="text1"/>
          <w:sz w:val="21"/>
          <w:szCs w:val="21"/>
          <w:lang w:eastAsia="en-AU"/>
        </w:rPr>
        <w:t>ing</w:t>
      </w:r>
      <w:r>
        <w:rPr>
          <w:rFonts w:cs="Arial"/>
          <w:color w:val="000000" w:themeColor="text1"/>
          <w:sz w:val="21"/>
          <w:szCs w:val="21"/>
          <w:lang w:eastAsia="en-AU"/>
        </w:rPr>
        <w:t xml:space="preserve"> the capability – the ability – of the government to </w:t>
      </w:r>
      <w:r w:rsidR="005200BB">
        <w:rPr>
          <w:rFonts w:cs="Arial"/>
          <w:color w:val="000000" w:themeColor="text1"/>
          <w:sz w:val="21"/>
          <w:szCs w:val="21"/>
          <w:lang w:eastAsia="en-AU"/>
        </w:rPr>
        <w:t>deliver its commitments</w:t>
      </w:r>
      <w:r w:rsidR="00FC649F">
        <w:rPr>
          <w:rFonts w:cs="Arial"/>
          <w:color w:val="000000" w:themeColor="text1"/>
          <w:sz w:val="21"/>
          <w:szCs w:val="21"/>
          <w:lang w:eastAsia="en-AU"/>
        </w:rPr>
        <w:t>;</w:t>
      </w:r>
      <w:r>
        <w:rPr>
          <w:rFonts w:cs="Arial"/>
          <w:color w:val="000000" w:themeColor="text1"/>
          <w:sz w:val="21"/>
          <w:szCs w:val="21"/>
          <w:lang w:eastAsia="en-AU"/>
        </w:rPr>
        <w:t xml:space="preserve"> and</w:t>
      </w:r>
    </w:p>
    <w:p w:rsidR="00D8647E"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Pr>
          <w:rFonts w:cs="Arial"/>
          <w:color w:val="000000" w:themeColor="text1"/>
          <w:sz w:val="21"/>
          <w:szCs w:val="21"/>
          <w:lang w:eastAsia="en-AU"/>
        </w:rPr>
        <w:t xml:space="preserve">supporting the Indonesian Government to pilot </w:t>
      </w:r>
      <w:r w:rsidRPr="00CC12ED">
        <w:rPr>
          <w:rFonts w:cs="Arial"/>
          <w:color w:val="000000" w:themeColor="text1"/>
          <w:sz w:val="21"/>
          <w:szCs w:val="21"/>
          <w:lang w:eastAsia="en-AU"/>
        </w:rPr>
        <w:t>activities that test new strategies for improved quality of schooling</w:t>
      </w:r>
      <w:r>
        <w:rPr>
          <w:rFonts w:cs="Arial"/>
          <w:color w:val="000000" w:themeColor="text1"/>
          <w:sz w:val="21"/>
          <w:szCs w:val="21"/>
          <w:lang w:eastAsia="en-AU"/>
        </w:rPr>
        <w:t>.</w:t>
      </w:r>
      <w:r w:rsidRPr="00CC12ED">
        <w:rPr>
          <w:rFonts w:cs="Arial"/>
          <w:color w:val="000000" w:themeColor="text1"/>
          <w:sz w:val="21"/>
          <w:szCs w:val="21"/>
          <w:lang w:eastAsia="en-AU"/>
        </w:rPr>
        <w:t xml:space="preserve"> </w:t>
      </w:r>
    </w:p>
    <w:p w:rsidR="00D8647E" w:rsidRDefault="00D8647E" w:rsidP="00A269A5">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The </w:t>
      </w:r>
      <w:r w:rsidRPr="00CC12ED">
        <w:rPr>
          <w:rFonts w:eastAsia="Times New Roman" w:cs="Arial"/>
          <w:color w:val="000000" w:themeColor="text1"/>
          <w:sz w:val="21"/>
          <w:szCs w:val="21"/>
          <w:lang w:val="en-AU" w:eastAsia="en-AU"/>
        </w:rPr>
        <w:t xml:space="preserve">activities </w:t>
      </w:r>
      <w:r>
        <w:rPr>
          <w:rFonts w:eastAsia="Times New Roman" w:cs="Arial"/>
          <w:color w:val="000000" w:themeColor="text1"/>
          <w:sz w:val="21"/>
          <w:szCs w:val="21"/>
          <w:lang w:val="en-AU" w:eastAsia="en-AU"/>
        </w:rPr>
        <w:t>result in a suite of</w:t>
      </w:r>
      <w:r w:rsidRPr="00CC12ED">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tailored,</w:t>
      </w:r>
      <w:r w:rsidRPr="00CC12ED">
        <w:rPr>
          <w:rFonts w:eastAsia="Times New Roman" w:cs="Arial"/>
          <w:color w:val="000000" w:themeColor="text1"/>
          <w:sz w:val="21"/>
          <w:szCs w:val="21"/>
          <w:lang w:val="en-AU" w:eastAsia="en-AU"/>
        </w:rPr>
        <w:t xml:space="preserve"> context-specific </w:t>
      </w:r>
      <w:r w:rsidRPr="004F0544">
        <w:rPr>
          <w:rFonts w:eastAsia="Times New Roman" w:cs="Arial"/>
          <w:b/>
          <w:color w:val="000000" w:themeColor="text1"/>
          <w:sz w:val="21"/>
          <w:szCs w:val="21"/>
          <w:lang w:val="en-AU" w:eastAsia="en-AU"/>
        </w:rPr>
        <w:t>outputs</w:t>
      </w:r>
      <w:r>
        <w:rPr>
          <w:rFonts w:eastAsia="Times New Roman" w:cs="Arial"/>
          <w:color w:val="000000" w:themeColor="text1"/>
          <w:sz w:val="21"/>
          <w:szCs w:val="21"/>
          <w:lang w:val="en-AU" w:eastAsia="en-AU"/>
        </w:rPr>
        <w:t xml:space="preserve"> </w:t>
      </w:r>
      <w:r w:rsidR="006A5453">
        <w:rPr>
          <w:rFonts w:eastAsia="Times New Roman" w:cs="Arial"/>
          <w:color w:val="000000" w:themeColor="text1"/>
          <w:sz w:val="21"/>
          <w:szCs w:val="21"/>
          <w:lang w:val="en-AU" w:eastAsia="en-AU"/>
        </w:rPr>
        <w:t xml:space="preserve">- </w:t>
      </w:r>
      <w:r w:rsidRPr="00CC12ED">
        <w:rPr>
          <w:rFonts w:eastAsia="Times New Roman" w:cs="Arial"/>
          <w:color w:val="000000" w:themeColor="text1"/>
          <w:sz w:val="21"/>
          <w:szCs w:val="21"/>
          <w:lang w:val="en-AU" w:eastAsia="en-AU"/>
        </w:rPr>
        <w:t>knowledge, skills, products, and options</w:t>
      </w:r>
      <w:r w:rsidR="006A5453">
        <w:rPr>
          <w:rFonts w:eastAsia="Times New Roman" w:cs="Arial"/>
          <w:color w:val="000000" w:themeColor="text1"/>
          <w:sz w:val="21"/>
          <w:szCs w:val="21"/>
          <w:lang w:val="en-AU" w:eastAsia="en-AU"/>
        </w:rPr>
        <w:t xml:space="preserve"> - </w:t>
      </w:r>
      <w:r>
        <w:rPr>
          <w:rFonts w:eastAsia="Times New Roman" w:cs="Arial"/>
          <w:color w:val="000000" w:themeColor="text1"/>
          <w:sz w:val="21"/>
          <w:szCs w:val="21"/>
          <w:lang w:val="en-AU" w:eastAsia="en-AU"/>
        </w:rPr>
        <w:t>that are both politically informed and technically sound, and which ultimately better enable</w:t>
      </w:r>
      <w:r w:rsidRPr="00CC12ED">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the Indonesian Government</w:t>
      </w:r>
      <w:r w:rsidRPr="00CC12ED">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to address</w:t>
      </w:r>
      <w:r w:rsidR="000E11FE">
        <w:rPr>
          <w:rFonts w:eastAsia="Times New Roman" w:cs="Arial"/>
          <w:color w:val="000000" w:themeColor="text1"/>
          <w:sz w:val="21"/>
          <w:szCs w:val="21"/>
          <w:lang w:val="en-AU" w:eastAsia="en-AU"/>
        </w:rPr>
        <w:t xml:space="preserve"> the</w:t>
      </w:r>
      <w:r>
        <w:rPr>
          <w:rFonts w:eastAsia="Times New Roman" w:cs="Arial"/>
          <w:color w:val="000000" w:themeColor="text1"/>
          <w:sz w:val="21"/>
          <w:szCs w:val="21"/>
          <w:lang w:val="en-AU" w:eastAsia="en-AU"/>
        </w:rPr>
        <w:t>:</w:t>
      </w:r>
    </w:p>
    <w:p w:rsidR="00D8647E"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drivers of </w:t>
      </w:r>
      <w:r w:rsidRPr="00EA6E20">
        <w:rPr>
          <w:rFonts w:cs="Arial"/>
          <w:color w:val="000000" w:themeColor="text1"/>
          <w:sz w:val="21"/>
          <w:szCs w:val="21"/>
          <w:lang w:eastAsia="en-AU"/>
        </w:rPr>
        <w:t>poor</w:t>
      </w:r>
      <w:r w:rsidRPr="00CC12ED">
        <w:rPr>
          <w:rFonts w:eastAsia="Times New Roman" w:cs="Arial"/>
          <w:color w:val="000000" w:themeColor="text1"/>
          <w:sz w:val="21"/>
          <w:szCs w:val="21"/>
          <w:lang w:val="en-AU" w:eastAsia="en-AU"/>
        </w:rPr>
        <w:t xml:space="preserve"> teaching and learning (</w:t>
      </w:r>
      <w:r w:rsidRPr="00CC12ED">
        <w:rPr>
          <w:rFonts w:eastAsia="Times New Roman" w:cs="Arial"/>
          <w:b/>
          <w:color w:val="000000" w:themeColor="text1"/>
          <w:sz w:val="21"/>
          <w:szCs w:val="21"/>
          <w:lang w:val="en-AU" w:eastAsia="en-AU"/>
        </w:rPr>
        <w:t>Focal Area 1</w:t>
      </w:r>
      <w:r w:rsidRPr="00CC12ED">
        <w:rPr>
          <w:rFonts w:eastAsia="Times New Roman" w:cs="Arial"/>
          <w:color w:val="000000" w:themeColor="text1"/>
          <w:sz w:val="21"/>
          <w:szCs w:val="21"/>
          <w:lang w:val="en-AU" w:eastAsia="en-AU"/>
        </w:rPr>
        <w:t>)</w:t>
      </w:r>
      <w:r w:rsidR="00FC649F">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and/</w:t>
      </w:r>
      <w:r w:rsidRPr="00CC12ED">
        <w:rPr>
          <w:rFonts w:eastAsia="Times New Roman" w:cs="Arial"/>
          <w:color w:val="000000" w:themeColor="text1"/>
          <w:sz w:val="21"/>
          <w:szCs w:val="21"/>
          <w:lang w:val="en-AU" w:eastAsia="en-AU"/>
        </w:rPr>
        <w:t>or</w:t>
      </w:r>
    </w:p>
    <w:p w:rsidR="00D8647E"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sidRPr="00CC12ED">
        <w:rPr>
          <w:rFonts w:eastAsia="Times New Roman" w:cs="Arial"/>
          <w:color w:val="000000" w:themeColor="text1"/>
          <w:sz w:val="21"/>
          <w:szCs w:val="21"/>
          <w:lang w:val="en-AU" w:eastAsia="en-AU"/>
        </w:rPr>
        <w:t xml:space="preserve">disparities in </w:t>
      </w:r>
      <w:r w:rsidRPr="00EA6E20">
        <w:rPr>
          <w:rFonts w:cs="Arial"/>
          <w:color w:val="000000" w:themeColor="text1"/>
          <w:sz w:val="21"/>
          <w:szCs w:val="21"/>
          <w:lang w:eastAsia="en-AU"/>
        </w:rPr>
        <w:t>teaching</w:t>
      </w:r>
      <w:r w:rsidRPr="00CC12ED">
        <w:rPr>
          <w:rFonts w:eastAsia="Times New Roman" w:cs="Arial"/>
          <w:color w:val="000000" w:themeColor="text1"/>
          <w:sz w:val="21"/>
          <w:szCs w:val="21"/>
          <w:lang w:val="en-AU" w:eastAsia="en-AU"/>
        </w:rPr>
        <w:t xml:space="preserve"> and learning outcomes (</w:t>
      </w:r>
      <w:r w:rsidRPr="00CC12ED">
        <w:rPr>
          <w:rFonts w:eastAsia="Times New Roman" w:cs="Arial"/>
          <w:b/>
          <w:color w:val="000000" w:themeColor="text1"/>
          <w:sz w:val="21"/>
          <w:szCs w:val="21"/>
          <w:lang w:val="en-AU" w:eastAsia="en-AU"/>
        </w:rPr>
        <w:t>Focal Area 2</w:t>
      </w:r>
      <w:r w:rsidRPr="00CC12ED">
        <w:rPr>
          <w:rFonts w:eastAsia="Times New Roman" w:cs="Arial"/>
          <w:color w:val="000000" w:themeColor="text1"/>
          <w:sz w:val="21"/>
          <w:szCs w:val="21"/>
          <w:lang w:val="en-AU" w:eastAsia="en-AU"/>
        </w:rPr>
        <w:t xml:space="preserve">). </w:t>
      </w:r>
    </w:p>
    <w:p w:rsidR="00D8647E" w:rsidRPr="00CC12ED" w:rsidRDefault="00D8647E" w:rsidP="00A269A5">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The </w:t>
      </w:r>
      <w:r w:rsidRPr="00CC12ED">
        <w:rPr>
          <w:rFonts w:eastAsia="Times New Roman" w:cs="Arial"/>
          <w:color w:val="000000" w:themeColor="text1"/>
          <w:sz w:val="21"/>
          <w:szCs w:val="21"/>
          <w:lang w:val="en-AU" w:eastAsia="en-AU"/>
        </w:rPr>
        <w:t>outputs</w:t>
      </w:r>
      <w:r>
        <w:rPr>
          <w:rFonts w:eastAsia="Times New Roman" w:cs="Arial"/>
          <w:color w:val="000000" w:themeColor="text1"/>
          <w:sz w:val="21"/>
          <w:szCs w:val="21"/>
          <w:lang w:val="en-AU" w:eastAsia="en-AU"/>
        </w:rPr>
        <w:t>, when coupled with the effects of TASS’s ongoing policy engagement, are</w:t>
      </w:r>
      <w:r w:rsidRPr="00CC12ED">
        <w:rPr>
          <w:rFonts w:eastAsia="Times New Roman" w:cs="Arial"/>
          <w:color w:val="000000" w:themeColor="text1"/>
          <w:sz w:val="21"/>
          <w:szCs w:val="21"/>
          <w:lang w:val="en-AU" w:eastAsia="en-AU"/>
        </w:rPr>
        <w:t xml:space="preserve"> expected to </w:t>
      </w:r>
      <w:r>
        <w:rPr>
          <w:rFonts w:eastAsia="Times New Roman" w:cs="Arial"/>
          <w:color w:val="000000" w:themeColor="text1"/>
          <w:sz w:val="21"/>
          <w:szCs w:val="21"/>
          <w:lang w:val="en-AU" w:eastAsia="en-AU"/>
        </w:rPr>
        <w:t xml:space="preserve">lead to three </w:t>
      </w:r>
      <w:r w:rsidRPr="00CC12ED">
        <w:rPr>
          <w:rFonts w:eastAsia="Times New Roman" w:cs="Arial"/>
          <w:b/>
          <w:color w:val="000000" w:themeColor="text1"/>
          <w:sz w:val="21"/>
          <w:szCs w:val="21"/>
          <w:lang w:val="en-AU" w:eastAsia="en-AU"/>
        </w:rPr>
        <w:t>intermediate outcomes</w:t>
      </w:r>
      <w:r w:rsidRPr="00CC12ED">
        <w:rPr>
          <w:rFonts w:eastAsia="Times New Roman" w:cs="Arial"/>
          <w:color w:val="000000" w:themeColor="text1"/>
          <w:sz w:val="21"/>
          <w:szCs w:val="21"/>
          <w:lang w:val="en-AU" w:eastAsia="en-AU"/>
        </w:rPr>
        <w:t>:</w:t>
      </w:r>
    </w:p>
    <w:p w:rsidR="00D8647E" w:rsidRPr="00CC12ED"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CC12ED">
        <w:rPr>
          <w:rFonts w:cs="Arial"/>
          <w:color w:val="000000" w:themeColor="text1"/>
          <w:sz w:val="21"/>
          <w:szCs w:val="21"/>
          <w:lang w:eastAsia="en-AU"/>
        </w:rPr>
        <w:t xml:space="preserve">Participating decision-makers </w:t>
      </w:r>
      <w:r>
        <w:rPr>
          <w:rFonts w:cs="Arial"/>
          <w:color w:val="000000" w:themeColor="text1"/>
          <w:sz w:val="21"/>
          <w:szCs w:val="21"/>
          <w:lang w:eastAsia="en-AU"/>
        </w:rPr>
        <w:t xml:space="preserve">within the Indonesian Government draw on TASS support to improve the feasibility of policy implementation </w:t>
      </w:r>
      <w:r>
        <w:rPr>
          <w:rFonts w:eastAsia="Times New Roman" w:cs="Arial"/>
          <w:b/>
          <w:color w:val="000000" w:themeColor="text1"/>
          <w:sz w:val="21"/>
          <w:szCs w:val="21"/>
          <w:lang w:val="en-AU" w:eastAsia="en-AU"/>
        </w:rPr>
        <w:t>(I</w:t>
      </w:r>
      <w:r w:rsidRPr="00CC12ED">
        <w:rPr>
          <w:rFonts w:eastAsia="Times New Roman" w:cs="Arial"/>
          <w:b/>
          <w:color w:val="000000" w:themeColor="text1"/>
          <w:sz w:val="21"/>
          <w:szCs w:val="21"/>
          <w:lang w:val="en-AU" w:eastAsia="en-AU"/>
        </w:rPr>
        <w:t xml:space="preserve">ntermediate </w:t>
      </w:r>
      <w:r>
        <w:rPr>
          <w:rFonts w:eastAsia="Times New Roman" w:cs="Arial"/>
          <w:b/>
          <w:color w:val="000000" w:themeColor="text1"/>
          <w:sz w:val="21"/>
          <w:szCs w:val="21"/>
          <w:lang w:val="en-AU" w:eastAsia="en-AU"/>
        </w:rPr>
        <w:t>O</w:t>
      </w:r>
      <w:r w:rsidRPr="00CC12ED">
        <w:rPr>
          <w:rFonts w:eastAsia="Times New Roman" w:cs="Arial"/>
          <w:b/>
          <w:color w:val="000000" w:themeColor="text1"/>
          <w:sz w:val="21"/>
          <w:szCs w:val="21"/>
          <w:lang w:val="en-AU" w:eastAsia="en-AU"/>
        </w:rPr>
        <w:t>utcome</w:t>
      </w:r>
      <w:r>
        <w:rPr>
          <w:rFonts w:eastAsia="Times New Roman" w:cs="Arial"/>
          <w:b/>
          <w:color w:val="000000" w:themeColor="text1"/>
          <w:sz w:val="21"/>
          <w:szCs w:val="21"/>
          <w:lang w:val="en-AU" w:eastAsia="en-AU"/>
        </w:rPr>
        <w:t xml:space="preserve"> 1)</w:t>
      </w:r>
      <w:r>
        <w:rPr>
          <w:rFonts w:cs="Arial"/>
          <w:color w:val="000000" w:themeColor="text1"/>
          <w:sz w:val="21"/>
          <w:szCs w:val="21"/>
          <w:lang w:eastAsia="en-AU"/>
        </w:rPr>
        <w:t>, by, for example, supporting ‘reform tailwinds’, creating space for new perspectives, and brokering dialogue and collaboration among relevant actors.</w:t>
      </w:r>
    </w:p>
    <w:p w:rsidR="00D8647E" w:rsidRPr="00CC12ED"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CC12ED">
        <w:rPr>
          <w:rFonts w:cs="Arial"/>
          <w:color w:val="000000" w:themeColor="text1"/>
          <w:sz w:val="21"/>
          <w:szCs w:val="21"/>
          <w:lang w:eastAsia="en-AU"/>
        </w:rPr>
        <w:t xml:space="preserve">Participating decision-makers </w:t>
      </w:r>
      <w:r>
        <w:rPr>
          <w:rFonts w:cs="Arial"/>
          <w:color w:val="000000" w:themeColor="text1"/>
          <w:sz w:val="21"/>
          <w:szCs w:val="21"/>
          <w:lang w:eastAsia="en-AU"/>
        </w:rPr>
        <w:t xml:space="preserve">within the Indonesian Government </w:t>
      </w:r>
      <w:r w:rsidRPr="00CC12ED">
        <w:rPr>
          <w:rFonts w:cs="Arial"/>
          <w:color w:val="000000" w:themeColor="text1"/>
          <w:sz w:val="21"/>
          <w:szCs w:val="21"/>
          <w:lang w:eastAsia="en-AU"/>
        </w:rPr>
        <w:t xml:space="preserve">make </w:t>
      </w:r>
      <w:r w:rsidRPr="00CC12ED">
        <w:rPr>
          <w:rFonts w:cs="Arial"/>
          <w:i/>
          <w:color w:val="000000" w:themeColor="text1"/>
          <w:sz w:val="21"/>
          <w:szCs w:val="21"/>
          <w:lang w:eastAsia="en-AU"/>
        </w:rPr>
        <w:t>conceptual use</w:t>
      </w:r>
      <w:r w:rsidRPr="00CC12ED">
        <w:rPr>
          <w:rFonts w:cs="Arial"/>
          <w:color w:val="000000" w:themeColor="text1"/>
          <w:sz w:val="21"/>
          <w:szCs w:val="21"/>
          <w:lang w:eastAsia="en-AU"/>
        </w:rPr>
        <w:t xml:space="preserve"> of TASS-facilitated products and services</w:t>
      </w:r>
      <w:r>
        <w:rPr>
          <w:rFonts w:cs="Arial"/>
          <w:color w:val="000000" w:themeColor="text1"/>
          <w:sz w:val="21"/>
          <w:szCs w:val="21"/>
          <w:lang w:eastAsia="en-AU"/>
        </w:rPr>
        <w:t xml:space="preserve"> </w:t>
      </w:r>
      <w:r>
        <w:rPr>
          <w:rFonts w:eastAsia="Times New Roman" w:cs="Arial"/>
          <w:b/>
          <w:color w:val="000000" w:themeColor="text1"/>
          <w:sz w:val="21"/>
          <w:szCs w:val="21"/>
          <w:lang w:val="en-AU" w:eastAsia="en-AU"/>
        </w:rPr>
        <w:t>(I</w:t>
      </w:r>
      <w:r w:rsidRPr="00CC12ED">
        <w:rPr>
          <w:rFonts w:eastAsia="Times New Roman" w:cs="Arial"/>
          <w:b/>
          <w:color w:val="000000" w:themeColor="text1"/>
          <w:sz w:val="21"/>
          <w:szCs w:val="21"/>
          <w:lang w:val="en-AU" w:eastAsia="en-AU"/>
        </w:rPr>
        <w:t xml:space="preserve">ntermediate </w:t>
      </w:r>
      <w:r>
        <w:rPr>
          <w:rFonts w:eastAsia="Times New Roman" w:cs="Arial"/>
          <w:b/>
          <w:color w:val="000000" w:themeColor="text1"/>
          <w:sz w:val="21"/>
          <w:szCs w:val="21"/>
          <w:lang w:val="en-AU" w:eastAsia="en-AU"/>
        </w:rPr>
        <w:t>O</w:t>
      </w:r>
      <w:r w:rsidRPr="00CC12ED">
        <w:rPr>
          <w:rFonts w:eastAsia="Times New Roman" w:cs="Arial"/>
          <w:b/>
          <w:color w:val="000000" w:themeColor="text1"/>
          <w:sz w:val="21"/>
          <w:szCs w:val="21"/>
          <w:lang w:val="en-AU" w:eastAsia="en-AU"/>
        </w:rPr>
        <w:t>utcome</w:t>
      </w:r>
      <w:r>
        <w:rPr>
          <w:rFonts w:eastAsia="Times New Roman" w:cs="Arial"/>
          <w:b/>
          <w:color w:val="000000" w:themeColor="text1"/>
          <w:sz w:val="21"/>
          <w:szCs w:val="21"/>
          <w:lang w:val="en-AU" w:eastAsia="en-AU"/>
        </w:rPr>
        <w:t xml:space="preserve"> 2)</w:t>
      </w:r>
      <w:r w:rsidRPr="00CC12ED">
        <w:rPr>
          <w:rFonts w:cs="Arial"/>
          <w:color w:val="000000" w:themeColor="text1"/>
          <w:sz w:val="21"/>
          <w:szCs w:val="21"/>
          <w:lang w:eastAsia="en-AU"/>
        </w:rPr>
        <w:t xml:space="preserve">, such as when they table new ideas for discussion or seek to examine an old problem in a new way. </w:t>
      </w:r>
    </w:p>
    <w:p w:rsidR="00D8647E" w:rsidRDefault="00D8647E" w:rsidP="00A269A5">
      <w:pPr>
        <w:numPr>
          <w:ilvl w:val="1"/>
          <w:numId w:val="16"/>
        </w:numPr>
        <w:tabs>
          <w:tab w:val="left" w:pos="284"/>
        </w:tabs>
        <w:suppressAutoHyphens w:val="0"/>
        <w:spacing w:after="120" w:line="280" w:lineRule="exact"/>
        <w:ind w:left="567" w:hanging="283"/>
        <w:jc w:val="both"/>
        <w:rPr>
          <w:color w:val="595959" w:themeColor="text1" w:themeTint="A6"/>
        </w:rPr>
      </w:pPr>
      <w:r w:rsidRPr="00CC12ED">
        <w:rPr>
          <w:rFonts w:cs="Arial"/>
          <w:color w:val="000000" w:themeColor="text1"/>
          <w:sz w:val="21"/>
          <w:szCs w:val="21"/>
          <w:lang w:eastAsia="en-AU"/>
        </w:rPr>
        <w:t xml:space="preserve">Participating decision-makers </w:t>
      </w:r>
      <w:r>
        <w:rPr>
          <w:rFonts w:cs="Arial"/>
          <w:color w:val="000000" w:themeColor="text1"/>
          <w:sz w:val="21"/>
          <w:szCs w:val="21"/>
          <w:lang w:eastAsia="en-AU"/>
        </w:rPr>
        <w:t xml:space="preserve">within the Indonesian Government </w:t>
      </w:r>
      <w:r w:rsidRPr="00CC12ED">
        <w:rPr>
          <w:rFonts w:cs="Arial"/>
          <w:color w:val="000000" w:themeColor="text1"/>
          <w:sz w:val="21"/>
          <w:szCs w:val="21"/>
          <w:lang w:eastAsia="en-AU"/>
        </w:rPr>
        <w:t>mak</w:t>
      </w:r>
      <w:r>
        <w:rPr>
          <w:rFonts w:cs="Arial"/>
          <w:color w:val="000000" w:themeColor="text1"/>
          <w:sz w:val="21"/>
          <w:szCs w:val="21"/>
          <w:lang w:eastAsia="en-AU"/>
        </w:rPr>
        <w:t>e</w:t>
      </w:r>
      <w:r w:rsidRPr="00CC12ED">
        <w:rPr>
          <w:rFonts w:cs="Arial"/>
          <w:color w:val="000000" w:themeColor="text1"/>
          <w:sz w:val="21"/>
          <w:szCs w:val="21"/>
          <w:lang w:eastAsia="en-AU"/>
        </w:rPr>
        <w:t xml:space="preserve"> </w:t>
      </w:r>
      <w:r w:rsidRPr="00CC12ED">
        <w:rPr>
          <w:rFonts w:cs="Arial"/>
          <w:i/>
          <w:color w:val="000000" w:themeColor="text1"/>
          <w:sz w:val="21"/>
          <w:szCs w:val="21"/>
          <w:lang w:eastAsia="en-AU"/>
        </w:rPr>
        <w:t>instrumental use</w:t>
      </w:r>
      <w:r w:rsidRPr="00CC12ED">
        <w:rPr>
          <w:rFonts w:cs="Arial"/>
          <w:color w:val="000000" w:themeColor="text1"/>
          <w:sz w:val="21"/>
          <w:szCs w:val="21"/>
          <w:lang w:eastAsia="en-AU"/>
        </w:rPr>
        <w:t xml:space="preserve"> of TASS-facilitated products and services</w:t>
      </w:r>
      <w:r w:rsidRPr="000241F7">
        <w:rPr>
          <w:rFonts w:cs="Arial"/>
          <w:color w:val="000000" w:themeColor="text1"/>
          <w:sz w:val="21"/>
          <w:szCs w:val="21"/>
          <w:lang w:eastAsia="en-AU"/>
        </w:rPr>
        <w:t xml:space="preserve"> </w:t>
      </w:r>
      <w:r>
        <w:rPr>
          <w:rFonts w:eastAsia="Times New Roman" w:cs="Arial"/>
          <w:b/>
          <w:color w:val="000000" w:themeColor="text1"/>
          <w:sz w:val="21"/>
          <w:szCs w:val="21"/>
          <w:lang w:val="en-AU" w:eastAsia="en-AU"/>
        </w:rPr>
        <w:t>(I</w:t>
      </w:r>
      <w:r w:rsidRPr="00CC12ED">
        <w:rPr>
          <w:rFonts w:eastAsia="Times New Roman" w:cs="Arial"/>
          <w:b/>
          <w:color w:val="000000" w:themeColor="text1"/>
          <w:sz w:val="21"/>
          <w:szCs w:val="21"/>
          <w:lang w:val="en-AU" w:eastAsia="en-AU"/>
        </w:rPr>
        <w:t xml:space="preserve">ntermediate </w:t>
      </w:r>
      <w:r>
        <w:rPr>
          <w:rFonts w:eastAsia="Times New Roman" w:cs="Arial"/>
          <w:b/>
          <w:color w:val="000000" w:themeColor="text1"/>
          <w:sz w:val="21"/>
          <w:szCs w:val="21"/>
          <w:lang w:val="en-AU" w:eastAsia="en-AU"/>
        </w:rPr>
        <w:t>O</w:t>
      </w:r>
      <w:r w:rsidRPr="00CC12ED">
        <w:rPr>
          <w:rFonts w:eastAsia="Times New Roman" w:cs="Arial"/>
          <w:b/>
          <w:color w:val="000000" w:themeColor="text1"/>
          <w:sz w:val="21"/>
          <w:szCs w:val="21"/>
          <w:lang w:val="en-AU" w:eastAsia="en-AU"/>
        </w:rPr>
        <w:t>utcome</w:t>
      </w:r>
      <w:r>
        <w:rPr>
          <w:rFonts w:eastAsia="Times New Roman" w:cs="Arial"/>
          <w:b/>
          <w:color w:val="000000" w:themeColor="text1"/>
          <w:sz w:val="21"/>
          <w:szCs w:val="21"/>
          <w:lang w:val="en-AU" w:eastAsia="en-AU"/>
        </w:rPr>
        <w:t xml:space="preserve"> 3)</w:t>
      </w:r>
      <w:r w:rsidRPr="00CC12ED">
        <w:rPr>
          <w:rFonts w:cs="Arial"/>
          <w:color w:val="000000" w:themeColor="text1"/>
          <w:sz w:val="21"/>
          <w:szCs w:val="21"/>
          <w:lang w:eastAsia="en-AU"/>
        </w:rPr>
        <w:t xml:space="preserve">, such as when they argue for a particular course of action, </w:t>
      </w:r>
      <w:r w:rsidR="003E0D03">
        <w:rPr>
          <w:rFonts w:cs="Arial"/>
          <w:color w:val="000000" w:themeColor="text1"/>
          <w:sz w:val="21"/>
          <w:szCs w:val="21"/>
          <w:lang w:eastAsia="en-AU"/>
        </w:rPr>
        <w:t>including c</w:t>
      </w:r>
      <w:r w:rsidRPr="00CC12ED">
        <w:rPr>
          <w:rFonts w:cs="Arial"/>
          <w:color w:val="000000" w:themeColor="text1"/>
          <w:sz w:val="21"/>
          <w:szCs w:val="21"/>
          <w:lang w:eastAsia="en-AU"/>
        </w:rPr>
        <w:t>hange</w:t>
      </w:r>
      <w:r w:rsidR="003E0D03">
        <w:rPr>
          <w:rFonts w:cs="Arial"/>
          <w:color w:val="000000" w:themeColor="text1"/>
          <w:sz w:val="21"/>
          <w:szCs w:val="21"/>
          <w:lang w:eastAsia="en-AU"/>
        </w:rPr>
        <w:t>s</w:t>
      </w:r>
      <w:r w:rsidRPr="00CC12ED">
        <w:rPr>
          <w:rFonts w:cs="Arial"/>
          <w:color w:val="000000" w:themeColor="text1"/>
          <w:sz w:val="21"/>
          <w:szCs w:val="21"/>
          <w:lang w:eastAsia="en-AU"/>
        </w:rPr>
        <w:t xml:space="preserve"> to policy, plan, budget or established</w:t>
      </w:r>
      <w:r>
        <w:rPr>
          <w:rFonts w:cs="Arial"/>
          <w:color w:val="000000" w:themeColor="text1"/>
          <w:sz w:val="21"/>
          <w:szCs w:val="21"/>
          <w:lang w:eastAsia="en-AU"/>
        </w:rPr>
        <w:t xml:space="preserve"> practice</w:t>
      </w:r>
      <w:r>
        <w:rPr>
          <w:color w:val="595959" w:themeColor="text1" w:themeTint="A6"/>
        </w:rPr>
        <w:t xml:space="preserve">. </w:t>
      </w:r>
    </w:p>
    <w:p w:rsidR="00D8647E" w:rsidRDefault="00D8647E" w:rsidP="00A269A5">
      <w:pPr>
        <w:tabs>
          <w:tab w:val="left" w:pos="284"/>
        </w:tabs>
        <w:suppressAutoHyphens w:val="0"/>
        <w:spacing w:after="120" w:line="280" w:lineRule="exact"/>
        <w:jc w:val="both"/>
        <w:rPr>
          <w:rFonts w:cs="Arial"/>
          <w:color w:val="000000" w:themeColor="text1"/>
          <w:sz w:val="21"/>
          <w:szCs w:val="21"/>
          <w:lang w:eastAsia="en-AU"/>
        </w:rPr>
      </w:pPr>
      <w:r>
        <w:rPr>
          <w:rFonts w:cs="Arial"/>
          <w:color w:val="000000" w:themeColor="text1"/>
          <w:sz w:val="21"/>
          <w:szCs w:val="21"/>
          <w:lang w:eastAsia="en-AU"/>
        </w:rPr>
        <w:t xml:space="preserve">Beyond its support to the Indonesian Government, TASS may be tasked to offer </w:t>
      </w:r>
      <w:r w:rsidRPr="00A05105">
        <w:rPr>
          <w:rFonts w:cs="Arial"/>
          <w:i/>
          <w:color w:val="000000" w:themeColor="text1"/>
          <w:sz w:val="21"/>
          <w:szCs w:val="21"/>
          <w:lang w:eastAsia="en-AU"/>
        </w:rPr>
        <w:t>ad hoc</w:t>
      </w:r>
      <w:r>
        <w:rPr>
          <w:rFonts w:cs="Arial"/>
          <w:color w:val="000000" w:themeColor="text1"/>
          <w:sz w:val="21"/>
          <w:szCs w:val="21"/>
          <w:lang w:eastAsia="en-AU"/>
        </w:rPr>
        <w:t xml:space="preserve"> support to the Australian Embassy as it coordinates</w:t>
      </w:r>
      <w:r w:rsidR="003E0D03">
        <w:rPr>
          <w:rFonts w:cs="Arial"/>
          <w:color w:val="000000" w:themeColor="text1"/>
          <w:sz w:val="21"/>
          <w:szCs w:val="21"/>
          <w:lang w:eastAsia="en-AU"/>
        </w:rPr>
        <w:t xml:space="preserve"> </w:t>
      </w:r>
      <w:r>
        <w:rPr>
          <w:rFonts w:cs="Arial"/>
          <w:color w:val="000000" w:themeColor="text1"/>
          <w:sz w:val="21"/>
          <w:szCs w:val="21"/>
          <w:lang w:eastAsia="en-AU"/>
        </w:rPr>
        <w:t>and oversights its education sector portfolio. Subject to resource availability,</w:t>
      </w:r>
      <w:r w:rsidR="00E037CA">
        <w:rPr>
          <w:rFonts w:cs="Arial"/>
          <w:color w:val="000000" w:themeColor="text1"/>
          <w:sz w:val="21"/>
          <w:szCs w:val="21"/>
          <w:lang w:eastAsia="en-AU"/>
        </w:rPr>
        <w:t xml:space="preserve"> </w:t>
      </w:r>
      <w:r>
        <w:rPr>
          <w:rFonts w:cs="Arial"/>
          <w:color w:val="000000" w:themeColor="text1"/>
          <w:sz w:val="21"/>
          <w:szCs w:val="21"/>
          <w:lang w:eastAsia="en-AU"/>
        </w:rPr>
        <w:t xml:space="preserve">support may include (but not </w:t>
      </w:r>
      <w:r w:rsidR="005F1141">
        <w:rPr>
          <w:rFonts w:cs="Arial"/>
          <w:color w:val="000000" w:themeColor="text1"/>
          <w:sz w:val="21"/>
          <w:szCs w:val="21"/>
          <w:lang w:eastAsia="en-AU"/>
        </w:rPr>
        <w:t xml:space="preserve">be </w:t>
      </w:r>
      <w:r>
        <w:rPr>
          <w:rFonts w:cs="Arial"/>
          <w:color w:val="000000" w:themeColor="text1"/>
          <w:sz w:val="21"/>
          <w:szCs w:val="21"/>
          <w:lang w:eastAsia="en-AU"/>
        </w:rPr>
        <w:t>limited to) the contracting of TA and the organisation and management of seminars, workshops, conferences and capacity building activities.</w:t>
      </w:r>
    </w:p>
    <w:p w:rsidR="00D8647E" w:rsidRPr="00D7190A" w:rsidRDefault="00D8647E" w:rsidP="00A269A5">
      <w:pPr>
        <w:tabs>
          <w:tab w:val="left" w:pos="284"/>
        </w:tabs>
        <w:suppressAutoHyphens w:val="0"/>
        <w:spacing w:after="120" w:line="280" w:lineRule="exact"/>
        <w:jc w:val="both"/>
        <w:rPr>
          <w:color w:val="595959" w:themeColor="text1" w:themeTint="A6"/>
        </w:rPr>
      </w:pPr>
      <w:r w:rsidRPr="00D7190A">
        <w:rPr>
          <w:rFonts w:cs="Arial"/>
          <w:color w:val="000000" w:themeColor="text1"/>
          <w:sz w:val="21"/>
          <w:szCs w:val="21"/>
          <w:lang w:eastAsia="en-AU"/>
        </w:rPr>
        <w:t xml:space="preserve">TASS is delivered by a commercial contractor (Palladium) appointed by way of a procurement agreement. The facility-based delivery arrangement </w:t>
      </w:r>
      <w:r>
        <w:rPr>
          <w:rFonts w:cs="Arial"/>
          <w:color w:val="000000" w:themeColor="text1"/>
          <w:sz w:val="21"/>
          <w:szCs w:val="21"/>
          <w:lang w:eastAsia="en-AU"/>
        </w:rPr>
        <w:t>offers two advantage</w:t>
      </w:r>
      <w:r w:rsidRPr="00D7190A">
        <w:rPr>
          <w:rFonts w:cs="Arial"/>
          <w:color w:val="000000" w:themeColor="text1"/>
          <w:sz w:val="21"/>
          <w:szCs w:val="21"/>
          <w:lang w:eastAsia="en-AU"/>
        </w:rPr>
        <w:t>s</w:t>
      </w:r>
      <w:r>
        <w:rPr>
          <w:rFonts w:cs="Arial"/>
          <w:color w:val="000000" w:themeColor="text1"/>
          <w:sz w:val="21"/>
          <w:szCs w:val="21"/>
          <w:lang w:eastAsia="en-AU"/>
        </w:rPr>
        <w:t xml:space="preserve"> over other delivery approaches</w:t>
      </w:r>
      <w:r w:rsidRPr="00D7190A">
        <w:rPr>
          <w:rFonts w:cs="Arial"/>
          <w:color w:val="000000" w:themeColor="text1"/>
          <w:sz w:val="21"/>
          <w:szCs w:val="21"/>
          <w:lang w:eastAsia="en-AU"/>
        </w:rPr>
        <w:t>:</w:t>
      </w:r>
    </w:p>
    <w:p w:rsidR="00D8647E" w:rsidRPr="00D7190A"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D7190A">
        <w:rPr>
          <w:rFonts w:cs="Arial"/>
          <w:color w:val="000000" w:themeColor="text1"/>
          <w:sz w:val="21"/>
          <w:szCs w:val="21"/>
          <w:lang w:eastAsia="en-AU"/>
        </w:rPr>
        <w:lastRenderedPageBreak/>
        <w:t xml:space="preserve">For the comparatively small </w:t>
      </w:r>
      <w:r w:rsidRPr="00F51AEF">
        <w:rPr>
          <w:rFonts w:cs="Arial"/>
          <w:b/>
          <w:color w:val="000000" w:themeColor="text1"/>
          <w:sz w:val="21"/>
          <w:szCs w:val="21"/>
          <w:lang w:eastAsia="en-AU"/>
        </w:rPr>
        <w:t>DFAT-facing component</w:t>
      </w:r>
      <w:r w:rsidRPr="00D7190A">
        <w:rPr>
          <w:rFonts w:cs="Arial"/>
          <w:color w:val="000000" w:themeColor="text1"/>
          <w:sz w:val="21"/>
          <w:szCs w:val="21"/>
          <w:lang w:eastAsia="en-AU"/>
        </w:rPr>
        <w:t xml:space="preserve"> of its work, a facility</w:t>
      </w:r>
      <w:r>
        <w:rPr>
          <w:rFonts w:cs="Arial"/>
          <w:color w:val="000000" w:themeColor="text1"/>
          <w:sz w:val="21"/>
          <w:szCs w:val="21"/>
          <w:lang w:eastAsia="en-AU"/>
        </w:rPr>
        <w:t xml:space="preserve"> constitutes a responsive service delivery mechanism that</w:t>
      </w:r>
      <w:r w:rsidRPr="00D7190A">
        <w:rPr>
          <w:rFonts w:cs="Arial"/>
          <w:color w:val="000000" w:themeColor="text1"/>
          <w:sz w:val="21"/>
          <w:szCs w:val="21"/>
          <w:lang w:eastAsia="en-AU"/>
        </w:rPr>
        <w:t xml:space="preserve"> enables DFAT to meet its administrative</w:t>
      </w:r>
      <w:r>
        <w:rPr>
          <w:rFonts w:cs="Arial"/>
          <w:color w:val="000000" w:themeColor="text1"/>
          <w:sz w:val="21"/>
          <w:szCs w:val="21"/>
          <w:lang w:eastAsia="en-AU"/>
        </w:rPr>
        <w:t xml:space="preserve">, </w:t>
      </w:r>
      <w:r w:rsidRPr="00D7190A">
        <w:rPr>
          <w:rFonts w:cs="Arial"/>
          <w:color w:val="000000" w:themeColor="text1"/>
          <w:sz w:val="21"/>
          <w:szCs w:val="21"/>
          <w:lang w:eastAsia="en-AU"/>
        </w:rPr>
        <w:t xml:space="preserve">procurement </w:t>
      </w:r>
      <w:r>
        <w:rPr>
          <w:rFonts w:cs="Arial"/>
          <w:color w:val="000000" w:themeColor="text1"/>
          <w:sz w:val="21"/>
          <w:szCs w:val="21"/>
          <w:lang w:eastAsia="en-AU"/>
        </w:rPr>
        <w:t xml:space="preserve">and capacity-related </w:t>
      </w:r>
      <w:r w:rsidRPr="00D7190A">
        <w:rPr>
          <w:rFonts w:cs="Arial"/>
          <w:color w:val="000000" w:themeColor="text1"/>
          <w:sz w:val="21"/>
          <w:szCs w:val="21"/>
          <w:lang w:eastAsia="en-AU"/>
        </w:rPr>
        <w:t xml:space="preserve">needs in a timely and efficient manner.  </w:t>
      </w:r>
    </w:p>
    <w:p w:rsidR="00D8647E" w:rsidRPr="00D7190A" w:rsidRDefault="00D8647E" w:rsidP="00A269A5">
      <w:pPr>
        <w:numPr>
          <w:ilvl w:val="1"/>
          <w:numId w:val="16"/>
        </w:numPr>
        <w:tabs>
          <w:tab w:val="left" w:pos="284"/>
        </w:tabs>
        <w:suppressAutoHyphens w:val="0"/>
        <w:spacing w:after="120" w:line="280" w:lineRule="exact"/>
        <w:ind w:left="567" w:hanging="283"/>
        <w:jc w:val="both"/>
        <w:rPr>
          <w:rFonts w:cs="Arial"/>
          <w:color w:val="000000" w:themeColor="text1"/>
          <w:sz w:val="21"/>
          <w:szCs w:val="21"/>
          <w:lang w:eastAsia="en-AU"/>
        </w:rPr>
      </w:pPr>
      <w:r w:rsidRPr="00D7190A">
        <w:rPr>
          <w:rFonts w:cs="Arial"/>
          <w:color w:val="000000" w:themeColor="text1"/>
          <w:sz w:val="21"/>
          <w:szCs w:val="21"/>
          <w:lang w:eastAsia="en-AU"/>
        </w:rPr>
        <w:t xml:space="preserve">For the significantly larger </w:t>
      </w:r>
      <w:r w:rsidRPr="00F51AEF">
        <w:rPr>
          <w:rFonts w:cs="Arial"/>
          <w:b/>
          <w:color w:val="000000" w:themeColor="text1"/>
          <w:sz w:val="21"/>
          <w:szCs w:val="21"/>
          <w:lang w:eastAsia="en-AU"/>
        </w:rPr>
        <w:t>Indonesian Government-facing element</w:t>
      </w:r>
      <w:r w:rsidRPr="00D7190A">
        <w:rPr>
          <w:rFonts w:cs="Arial"/>
          <w:color w:val="000000" w:themeColor="text1"/>
          <w:sz w:val="21"/>
          <w:szCs w:val="21"/>
          <w:lang w:eastAsia="en-AU"/>
        </w:rPr>
        <w:t xml:space="preserve"> of its operation, a</w:t>
      </w:r>
      <w:r>
        <w:rPr>
          <w:rFonts w:cs="Arial"/>
          <w:color w:val="000000" w:themeColor="text1"/>
          <w:sz w:val="21"/>
          <w:szCs w:val="21"/>
          <w:lang w:eastAsia="en-AU"/>
        </w:rPr>
        <w:t xml:space="preserve"> flexible,</w:t>
      </w:r>
      <w:r w:rsidRPr="00D7190A">
        <w:rPr>
          <w:rFonts w:cs="Arial"/>
          <w:color w:val="000000" w:themeColor="text1"/>
          <w:sz w:val="21"/>
          <w:szCs w:val="21"/>
          <w:lang w:eastAsia="en-AU"/>
        </w:rPr>
        <w:t xml:space="preserve"> agile and </w:t>
      </w:r>
      <w:r>
        <w:rPr>
          <w:rFonts w:cs="Arial"/>
          <w:color w:val="000000" w:themeColor="text1"/>
          <w:sz w:val="21"/>
          <w:szCs w:val="21"/>
          <w:lang w:eastAsia="en-AU"/>
        </w:rPr>
        <w:t>politically-smart</w:t>
      </w:r>
      <w:r w:rsidRPr="00D7190A">
        <w:rPr>
          <w:rFonts w:cs="Arial"/>
          <w:color w:val="000000" w:themeColor="text1"/>
          <w:sz w:val="21"/>
          <w:szCs w:val="21"/>
          <w:lang w:eastAsia="en-AU"/>
        </w:rPr>
        <w:t xml:space="preserve"> facility enables the two governments to </w:t>
      </w:r>
      <w:r>
        <w:rPr>
          <w:rFonts w:cs="Arial"/>
          <w:color w:val="000000" w:themeColor="text1"/>
          <w:sz w:val="21"/>
          <w:szCs w:val="21"/>
          <w:lang w:eastAsia="en-AU"/>
        </w:rPr>
        <w:t>pursue</w:t>
      </w:r>
      <w:r w:rsidRPr="00D7190A">
        <w:rPr>
          <w:rFonts w:cs="Arial"/>
          <w:color w:val="000000" w:themeColor="text1"/>
          <w:sz w:val="21"/>
          <w:szCs w:val="21"/>
          <w:lang w:eastAsia="en-AU"/>
        </w:rPr>
        <w:t xml:space="preserve"> </w:t>
      </w:r>
      <w:r>
        <w:rPr>
          <w:rFonts w:cs="Arial"/>
          <w:color w:val="000000" w:themeColor="text1"/>
          <w:sz w:val="21"/>
          <w:szCs w:val="21"/>
          <w:lang w:eastAsia="en-AU"/>
        </w:rPr>
        <w:t>their shared ambition to improve teaching and learning outcomes for all (the destination)</w:t>
      </w:r>
      <w:r w:rsidRPr="00D7190A">
        <w:rPr>
          <w:rFonts w:cs="Arial"/>
          <w:color w:val="000000" w:themeColor="text1"/>
          <w:sz w:val="21"/>
          <w:szCs w:val="21"/>
          <w:lang w:eastAsia="en-AU"/>
        </w:rPr>
        <w:t xml:space="preserve"> while maintaining an open mind about the most appropriate reform pathways and strategies</w:t>
      </w:r>
      <w:r>
        <w:rPr>
          <w:rFonts w:cs="Arial"/>
          <w:color w:val="000000" w:themeColor="text1"/>
          <w:sz w:val="21"/>
          <w:szCs w:val="21"/>
          <w:lang w:eastAsia="en-AU"/>
        </w:rPr>
        <w:t xml:space="preserve"> (the route)</w:t>
      </w:r>
      <w:r w:rsidRPr="00D7190A">
        <w:rPr>
          <w:rFonts w:cs="Arial"/>
          <w:color w:val="000000" w:themeColor="text1"/>
          <w:sz w:val="21"/>
          <w:szCs w:val="21"/>
          <w:lang w:eastAsia="en-AU"/>
        </w:rPr>
        <w:t xml:space="preserve">. </w:t>
      </w:r>
    </w:p>
    <w:p w:rsidR="00D8647E" w:rsidRDefault="00D8647E" w:rsidP="00A269A5">
      <w:pPr>
        <w:tabs>
          <w:tab w:val="left" w:pos="284"/>
        </w:tabs>
        <w:suppressAutoHyphens w:val="0"/>
        <w:spacing w:after="120" w:line="280" w:lineRule="exact"/>
        <w:jc w:val="both"/>
        <w:rPr>
          <w:rFonts w:eastAsia="Times New Roman" w:cs="Arial"/>
          <w:color w:val="000000" w:themeColor="text1"/>
          <w:sz w:val="21"/>
          <w:szCs w:val="21"/>
          <w:lang w:val="en-AU" w:eastAsia="en-AU"/>
        </w:rPr>
      </w:pPr>
      <w:r w:rsidRPr="00CC12ED">
        <w:rPr>
          <w:rFonts w:eastAsia="Times New Roman" w:cs="Arial"/>
          <w:color w:val="000000" w:themeColor="text1"/>
          <w:sz w:val="21"/>
          <w:szCs w:val="21"/>
          <w:lang w:val="en-AU" w:eastAsia="en-AU"/>
        </w:rPr>
        <w:t>TASS’s ‘</w:t>
      </w:r>
      <w:r w:rsidRPr="00B20909">
        <w:rPr>
          <w:rFonts w:eastAsia="Times New Roman" w:cs="Arial"/>
          <w:b/>
          <w:color w:val="000000" w:themeColor="text1"/>
          <w:sz w:val="21"/>
          <w:szCs w:val="21"/>
          <w:lang w:val="en-AU" w:eastAsia="en-AU"/>
        </w:rPr>
        <w:t>value proposition</w:t>
      </w:r>
      <w:r w:rsidRPr="00CC12ED">
        <w:rPr>
          <w:rFonts w:eastAsia="Times New Roman" w:cs="Arial"/>
          <w:color w:val="000000" w:themeColor="text1"/>
          <w:sz w:val="21"/>
          <w:szCs w:val="21"/>
          <w:lang w:val="en-AU" w:eastAsia="en-AU"/>
        </w:rPr>
        <w:t xml:space="preserve">’ is </w:t>
      </w:r>
      <w:r>
        <w:rPr>
          <w:rFonts w:eastAsia="Times New Roman" w:cs="Arial"/>
          <w:color w:val="000000" w:themeColor="text1"/>
          <w:sz w:val="21"/>
          <w:szCs w:val="21"/>
          <w:lang w:val="en-AU" w:eastAsia="en-AU"/>
        </w:rPr>
        <w:t>reflected in</w:t>
      </w:r>
      <w:r w:rsidRPr="00CC12ED">
        <w:rPr>
          <w:rFonts w:eastAsia="Times New Roman" w:cs="Arial"/>
          <w:color w:val="000000" w:themeColor="text1"/>
          <w:sz w:val="21"/>
          <w:szCs w:val="21"/>
          <w:lang w:val="en-AU" w:eastAsia="en-AU"/>
        </w:rPr>
        <w:t xml:space="preserve"> its </w:t>
      </w:r>
      <w:r w:rsidRPr="00CC12ED">
        <w:rPr>
          <w:rFonts w:eastAsia="Times New Roman" w:cs="Arial"/>
          <w:b/>
          <w:color w:val="000000" w:themeColor="text1"/>
          <w:sz w:val="21"/>
          <w:szCs w:val="21"/>
          <w:lang w:val="en-AU" w:eastAsia="en-AU"/>
        </w:rPr>
        <w:t>way of working</w:t>
      </w:r>
      <w:r w:rsidRPr="00CC12ED">
        <w:rPr>
          <w:rFonts w:eastAsia="Times New Roman" w:cs="Arial"/>
          <w:color w:val="000000" w:themeColor="text1"/>
          <w:sz w:val="21"/>
          <w:szCs w:val="21"/>
          <w:lang w:val="en-AU" w:eastAsia="en-AU"/>
        </w:rPr>
        <w:t>.</w:t>
      </w:r>
      <w:r>
        <w:rPr>
          <w:rFonts w:eastAsia="Times New Roman" w:cs="Arial"/>
          <w:color w:val="000000" w:themeColor="text1"/>
          <w:sz w:val="21"/>
          <w:szCs w:val="21"/>
          <w:lang w:val="en-AU" w:eastAsia="en-AU"/>
        </w:rPr>
        <w:t xml:space="preserve"> By having </w:t>
      </w:r>
      <w:r w:rsidRPr="00CC12ED">
        <w:rPr>
          <w:rFonts w:eastAsia="Times New Roman" w:cs="Arial"/>
          <w:color w:val="000000" w:themeColor="text1"/>
          <w:sz w:val="21"/>
          <w:szCs w:val="21"/>
          <w:lang w:val="en-AU" w:eastAsia="en-AU"/>
        </w:rPr>
        <w:t>‘tight ends but loose means’</w:t>
      </w:r>
      <w:r>
        <w:rPr>
          <w:rFonts w:eastAsia="Times New Roman" w:cs="Arial"/>
          <w:color w:val="000000" w:themeColor="text1"/>
          <w:sz w:val="21"/>
          <w:szCs w:val="21"/>
          <w:lang w:val="en-AU" w:eastAsia="en-AU"/>
        </w:rPr>
        <w:t xml:space="preserve"> – retaining l</w:t>
      </w:r>
      <w:r w:rsidRPr="00CC12ED">
        <w:rPr>
          <w:rFonts w:eastAsia="Times New Roman" w:cs="Arial"/>
          <w:color w:val="000000" w:themeColor="text1"/>
          <w:sz w:val="21"/>
          <w:szCs w:val="21"/>
          <w:lang w:val="en-AU" w:eastAsia="en-AU"/>
        </w:rPr>
        <w:t xml:space="preserve">ine of sight on its ambition </w:t>
      </w:r>
      <w:r>
        <w:rPr>
          <w:rFonts w:eastAsia="Times New Roman" w:cs="Arial"/>
          <w:color w:val="000000" w:themeColor="text1"/>
          <w:sz w:val="21"/>
          <w:szCs w:val="21"/>
          <w:lang w:val="en-AU" w:eastAsia="en-AU"/>
        </w:rPr>
        <w:t xml:space="preserve">but being </w:t>
      </w:r>
      <w:r w:rsidRPr="00CC12ED">
        <w:rPr>
          <w:rFonts w:eastAsia="Times New Roman" w:cs="Arial"/>
          <w:color w:val="000000" w:themeColor="text1"/>
          <w:sz w:val="21"/>
          <w:szCs w:val="21"/>
          <w:lang w:val="en-AU" w:eastAsia="en-AU"/>
        </w:rPr>
        <w:t xml:space="preserve">flexible in </w:t>
      </w:r>
      <w:r>
        <w:rPr>
          <w:rFonts w:eastAsia="Times New Roman" w:cs="Arial"/>
          <w:color w:val="000000" w:themeColor="text1"/>
          <w:sz w:val="21"/>
          <w:szCs w:val="21"/>
          <w:lang w:val="en-AU" w:eastAsia="en-AU"/>
        </w:rPr>
        <w:t xml:space="preserve">terms of </w:t>
      </w:r>
      <w:r w:rsidRPr="00CC12ED">
        <w:rPr>
          <w:rFonts w:eastAsia="Times New Roman" w:cs="Arial"/>
          <w:color w:val="000000" w:themeColor="text1"/>
          <w:sz w:val="21"/>
          <w:szCs w:val="21"/>
          <w:lang w:val="en-AU" w:eastAsia="en-AU"/>
        </w:rPr>
        <w:t xml:space="preserve">what it does </w:t>
      </w:r>
      <w:r>
        <w:rPr>
          <w:rFonts w:eastAsia="Times New Roman" w:cs="Arial"/>
          <w:color w:val="000000" w:themeColor="text1"/>
          <w:sz w:val="21"/>
          <w:szCs w:val="21"/>
          <w:lang w:val="en-AU" w:eastAsia="en-AU"/>
        </w:rPr>
        <w:t xml:space="preserve">– TASS positions itself as </w:t>
      </w:r>
      <w:r w:rsidRPr="004B24B4">
        <w:rPr>
          <w:rFonts w:eastAsia="Times New Roman" w:cs="Arial"/>
          <w:b/>
          <w:color w:val="000000" w:themeColor="text1"/>
          <w:sz w:val="21"/>
          <w:szCs w:val="21"/>
          <w:lang w:val="en-AU" w:eastAsia="en-AU"/>
        </w:rPr>
        <w:t>a ‘smart facility’</w:t>
      </w:r>
      <w:r>
        <w:rPr>
          <w:rFonts w:eastAsia="Times New Roman" w:cs="Arial"/>
          <w:color w:val="000000" w:themeColor="text1"/>
          <w:sz w:val="21"/>
          <w:szCs w:val="21"/>
          <w:lang w:val="en-AU" w:eastAsia="en-AU"/>
        </w:rPr>
        <w:t xml:space="preserve">. It seeks to </w:t>
      </w:r>
      <w:r w:rsidRPr="004B24B4">
        <w:rPr>
          <w:rFonts w:eastAsia="Times New Roman" w:cs="Arial"/>
          <w:b/>
          <w:color w:val="000000" w:themeColor="text1"/>
          <w:sz w:val="21"/>
          <w:szCs w:val="21"/>
          <w:lang w:val="en-AU" w:eastAsia="en-AU"/>
        </w:rPr>
        <w:t xml:space="preserve">think </w:t>
      </w:r>
      <w:r w:rsidRPr="004B24B4">
        <w:rPr>
          <w:rFonts w:eastAsia="Times New Roman" w:cs="Arial"/>
          <w:b/>
          <w:i/>
          <w:color w:val="000000" w:themeColor="text1"/>
          <w:sz w:val="21"/>
          <w:szCs w:val="21"/>
          <w:lang w:val="en-AU" w:eastAsia="en-AU"/>
        </w:rPr>
        <w:t>and</w:t>
      </w:r>
      <w:r w:rsidRPr="004B24B4">
        <w:rPr>
          <w:rFonts w:eastAsia="Times New Roman" w:cs="Arial"/>
          <w:b/>
          <w:color w:val="000000" w:themeColor="text1"/>
          <w:sz w:val="21"/>
          <w:szCs w:val="21"/>
          <w:lang w:val="en-AU" w:eastAsia="en-AU"/>
        </w:rPr>
        <w:t xml:space="preserve"> work politically</w:t>
      </w:r>
      <w:r>
        <w:rPr>
          <w:rFonts w:eastAsia="Times New Roman" w:cs="Arial"/>
          <w:color w:val="000000" w:themeColor="text1"/>
          <w:sz w:val="21"/>
          <w:szCs w:val="21"/>
          <w:lang w:val="en-AU" w:eastAsia="en-AU"/>
        </w:rPr>
        <w:t xml:space="preserve"> </w:t>
      </w:r>
      <w:r w:rsidR="00BD2B7F">
        <w:rPr>
          <w:rFonts w:eastAsia="Times New Roman" w:cs="Arial"/>
          <w:color w:val="000000" w:themeColor="text1"/>
          <w:sz w:val="21"/>
          <w:szCs w:val="21"/>
          <w:lang w:val="en-AU" w:eastAsia="en-AU"/>
        </w:rPr>
        <w:t xml:space="preserve">(TWP) </w:t>
      </w:r>
      <w:r>
        <w:rPr>
          <w:rFonts w:eastAsia="Times New Roman" w:cs="Arial"/>
          <w:color w:val="000000" w:themeColor="text1"/>
          <w:sz w:val="21"/>
          <w:szCs w:val="21"/>
          <w:lang w:val="en-AU" w:eastAsia="en-AU"/>
        </w:rPr>
        <w:t>by:</w:t>
      </w:r>
    </w:p>
    <w:p w:rsidR="00D8647E"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R</w:t>
      </w:r>
      <w:r w:rsidRPr="00CC12ED">
        <w:rPr>
          <w:rFonts w:eastAsia="Times New Roman" w:cs="Arial"/>
          <w:color w:val="000000" w:themeColor="text1"/>
          <w:sz w:val="21"/>
          <w:szCs w:val="21"/>
          <w:lang w:val="en-AU" w:eastAsia="en-AU"/>
        </w:rPr>
        <w:t>ecognis</w:t>
      </w:r>
      <w:r>
        <w:rPr>
          <w:rFonts w:eastAsia="Times New Roman" w:cs="Arial"/>
          <w:color w:val="000000" w:themeColor="text1"/>
          <w:sz w:val="21"/>
          <w:szCs w:val="21"/>
          <w:lang w:val="en-AU" w:eastAsia="en-AU"/>
        </w:rPr>
        <w:t>ing</w:t>
      </w:r>
      <w:r w:rsidRPr="00CC12ED">
        <w:rPr>
          <w:rFonts w:eastAsia="Times New Roman" w:cs="Arial"/>
          <w:color w:val="000000" w:themeColor="text1"/>
          <w:sz w:val="21"/>
          <w:szCs w:val="21"/>
          <w:lang w:val="en-AU" w:eastAsia="en-AU"/>
        </w:rPr>
        <w:t xml:space="preserve"> that reform processes are inherently political</w:t>
      </w:r>
      <w:r>
        <w:rPr>
          <w:rFonts w:eastAsia="Times New Roman" w:cs="Arial"/>
          <w:color w:val="000000" w:themeColor="text1"/>
          <w:sz w:val="21"/>
          <w:szCs w:val="21"/>
          <w:lang w:val="en-AU" w:eastAsia="en-AU"/>
        </w:rPr>
        <w:t xml:space="preserve">, </w:t>
      </w:r>
      <w:r w:rsidR="00BD2B7F">
        <w:rPr>
          <w:rFonts w:eastAsia="Times New Roman" w:cs="Arial"/>
          <w:color w:val="000000" w:themeColor="text1"/>
          <w:sz w:val="21"/>
          <w:szCs w:val="21"/>
          <w:lang w:val="en-AU" w:eastAsia="en-AU"/>
        </w:rPr>
        <w:t>nece</w:t>
      </w:r>
      <w:r w:rsidR="00402283">
        <w:rPr>
          <w:rFonts w:eastAsia="Times New Roman" w:cs="Arial"/>
          <w:color w:val="000000" w:themeColor="text1"/>
          <w:sz w:val="21"/>
          <w:szCs w:val="21"/>
          <w:lang w:val="en-AU" w:eastAsia="en-AU"/>
        </w:rPr>
        <w:t>ssitating a focus</w:t>
      </w:r>
      <w:r>
        <w:rPr>
          <w:rFonts w:eastAsia="Times New Roman" w:cs="Arial"/>
          <w:color w:val="000000" w:themeColor="text1"/>
          <w:sz w:val="21"/>
          <w:szCs w:val="21"/>
          <w:lang w:val="en-AU" w:eastAsia="en-AU"/>
        </w:rPr>
        <w:t xml:space="preserve"> </w:t>
      </w:r>
      <w:r w:rsidRPr="00D70419">
        <w:rPr>
          <w:rFonts w:eastAsia="Times New Roman" w:cs="Arial"/>
          <w:color w:val="000000" w:themeColor="text1"/>
          <w:sz w:val="21"/>
          <w:szCs w:val="21"/>
          <w:lang w:val="en-AU" w:eastAsia="en-AU"/>
        </w:rPr>
        <w:t xml:space="preserve">on </w:t>
      </w:r>
      <w:r>
        <w:rPr>
          <w:rFonts w:eastAsia="Times New Roman" w:cs="Arial"/>
          <w:color w:val="000000" w:themeColor="text1"/>
          <w:sz w:val="21"/>
          <w:szCs w:val="21"/>
          <w:lang w:val="en-AU" w:eastAsia="en-AU"/>
        </w:rPr>
        <w:t xml:space="preserve">changes that are </w:t>
      </w:r>
      <w:r w:rsidRPr="00384901">
        <w:rPr>
          <w:rFonts w:eastAsia="Times New Roman" w:cs="Arial"/>
          <w:i/>
          <w:color w:val="000000" w:themeColor="text1"/>
          <w:sz w:val="21"/>
          <w:szCs w:val="21"/>
          <w:lang w:val="en-AU" w:eastAsia="en-AU"/>
        </w:rPr>
        <w:t>desirable</w:t>
      </w:r>
      <w:r w:rsidRPr="00CC12ED">
        <w:rPr>
          <w:rFonts w:eastAsia="Times New Roman" w:cs="Arial"/>
          <w:color w:val="000000" w:themeColor="text1"/>
          <w:sz w:val="21"/>
          <w:szCs w:val="21"/>
          <w:lang w:val="en-AU" w:eastAsia="en-AU"/>
        </w:rPr>
        <w:t xml:space="preserve">, technically </w:t>
      </w:r>
      <w:r w:rsidRPr="00384901">
        <w:rPr>
          <w:rFonts w:eastAsia="Times New Roman" w:cs="Arial"/>
          <w:i/>
          <w:color w:val="000000" w:themeColor="text1"/>
          <w:sz w:val="21"/>
          <w:szCs w:val="21"/>
          <w:lang w:val="en-AU" w:eastAsia="en-AU"/>
        </w:rPr>
        <w:t>feasible</w:t>
      </w:r>
      <w:r w:rsidRPr="00CC12ED">
        <w:rPr>
          <w:rFonts w:eastAsia="Times New Roman" w:cs="Arial"/>
          <w:color w:val="000000" w:themeColor="text1"/>
          <w:sz w:val="21"/>
          <w:szCs w:val="21"/>
          <w:lang w:val="en-AU" w:eastAsia="en-AU"/>
        </w:rPr>
        <w:t xml:space="preserve">, and politically and institutionally </w:t>
      </w:r>
      <w:r w:rsidRPr="00384901">
        <w:rPr>
          <w:rFonts w:eastAsia="Times New Roman" w:cs="Arial"/>
          <w:i/>
          <w:color w:val="000000" w:themeColor="text1"/>
          <w:sz w:val="21"/>
          <w:szCs w:val="21"/>
          <w:lang w:val="en-AU" w:eastAsia="en-AU"/>
        </w:rPr>
        <w:t>viable</w:t>
      </w:r>
      <w:r>
        <w:rPr>
          <w:rFonts w:eastAsia="Times New Roman" w:cs="Arial"/>
          <w:color w:val="000000" w:themeColor="text1"/>
          <w:sz w:val="21"/>
          <w:szCs w:val="21"/>
          <w:lang w:val="en-AU" w:eastAsia="en-AU"/>
        </w:rPr>
        <w:t>.</w:t>
      </w:r>
    </w:p>
    <w:p w:rsidR="00D8647E" w:rsidRPr="00E2208F"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Seeking to understand and navigate individual and institutional values, interests, motivations and incentives.</w:t>
      </w:r>
    </w:p>
    <w:p w:rsidR="00D8647E" w:rsidRDefault="002C731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Investing in</w:t>
      </w:r>
      <w:r w:rsidR="00D8647E" w:rsidRPr="00E2208F">
        <w:rPr>
          <w:rFonts w:eastAsia="Times New Roman" w:cs="Arial"/>
          <w:color w:val="000000" w:themeColor="text1"/>
          <w:sz w:val="21"/>
          <w:szCs w:val="21"/>
          <w:lang w:val="en-AU" w:eastAsia="en-AU"/>
        </w:rPr>
        <w:t xml:space="preserve"> ‘small bets’ </w:t>
      </w:r>
      <w:r>
        <w:rPr>
          <w:rFonts w:eastAsia="Times New Roman" w:cs="Arial"/>
          <w:color w:val="000000" w:themeColor="text1"/>
          <w:sz w:val="21"/>
          <w:szCs w:val="21"/>
          <w:lang w:val="en-AU" w:eastAsia="en-AU"/>
        </w:rPr>
        <w:t>– short</w:t>
      </w:r>
      <w:r w:rsidR="00F90BCE">
        <w:rPr>
          <w:rFonts w:eastAsia="Times New Roman" w:cs="Arial"/>
          <w:color w:val="000000" w:themeColor="text1"/>
          <w:sz w:val="21"/>
          <w:szCs w:val="21"/>
          <w:lang w:val="en-AU" w:eastAsia="en-AU"/>
        </w:rPr>
        <w:t xml:space="preserve"> activities with a low financial value – </w:t>
      </w:r>
      <w:r w:rsidR="00D8647E" w:rsidRPr="00E2208F">
        <w:rPr>
          <w:rFonts w:eastAsia="Times New Roman" w:cs="Arial"/>
          <w:color w:val="000000" w:themeColor="text1"/>
          <w:sz w:val="21"/>
          <w:szCs w:val="21"/>
          <w:lang w:val="en-AU" w:eastAsia="en-AU"/>
        </w:rPr>
        <w:t>that serve to test and explore opportunities for reform</w:t>
      </w:r>
      <w:r w:rsidR="00402283">
        <w:rPr>
          <w:rStyle w:val="EndnoteReference"/>
          <w:rFonts w:eastAsia="Times New Roman" w:cs="Arial"/>
          <w:color w:val="000000" w:themeColor="text1"/>
          <w:sz w:val="21"/>
          <w:szCs w:val="21"/>
          <w:lang w:val="en-AU" w:eastAsia="en-AU"/>
        </w:rPr>
        <w:endnoteReference w:id="8"/>
      </w:r>
      <w:r w:rsidR="00D8647E">
        <w:rPr>
          <w:rFonts w:eastAsia="Times New Roman" w:cs="Arial"/>
          <w:color w:val="000000" w:themeColor="text1"/>
          <w:sz w:val="21"/>
          <w:szCs w:val="21"/>
          <w:lang w:val="en-AU" w:eastAsia="en-AU"/>
        </w:rPr>
        <w:t>.</w:t>
      </w:r>
    </w:p>
    <w:p w:rsidR="00D8647E" w:rsidRPr="00E2208F"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Employing an evidence-informed and adaptive approach that is </w:t>
      </w:r>
      <w:r w:rsidR="00F90BCE">
        <w:rPr>
          <w:rFonts w:eastAsia="Times New Roman" w:cs="Arial"/>
          <w:color w:val="000000" w:themeColor="text1"/>
          <w:sz w:val="21"/>
          <w:szCs w:val="21"/>
          <w:lang w:val="en-AU" w:eastAsia="en-AU"/>
        </w:rPr>
        <w:t xml:space="preserve">shaped </w:t>
      </w:r>
      <w:r>
        <w:rPr>
          <w:rFonts w:eastAsia="Times New Roman" w:cs="Arial"/>
          <w:color w:val="000000" w:themeColor="text1"/>
          <w:sz w:val="21"/>
          <w:szCs w:val="21"/>
          <w:lang w:val="en-AU" w:eastAsia="en-AU"/>
        </w:rPr>
        <w:t xml:space="preserve">by </w:t>
      </w:r>
      <w:r w:rsidRPr="00E2208F">
        <w:rPr>
          <w:rFonts w:eastAsia="Times New Roman" w:cs="Arial"/>
          <w:color w:val="000000" w:themeColor="text1"/>
          <w:sz w:val="21"/>
          <w:szCs w:val="21"/>
          <w:lang w:val="en-AU" w:eastAsia="en-AU"/>
        </w:rPr>
        <w:t>rapid learning and feedback.</w:t>
      </w:r>
    </w:p>
    <w:p w:rsidR="00D8647E"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Looking to identify and engage supporters and coalitions</w:t>
      </w:r>
      <w:r w:rsidR="00B90661">
        <w:rPr>
          <w:rFonts w:eastAsia="Times New Roman" w:cs="Arial"/>
          <w:color w:val="000000" w:themeColor="text1"/>
          <w:sz w:val="21"/>
          <w:szCs w:val="21"/>
          <w:lang w:val="en-AU" w:eastAsia="en-AU"/>
        </w:rPr>
        <w:t xml:space="preserve"> within the Indonesian Government</w:t>
      </w:r>
      <w:r>
        <w:rPr>
          <w:rFonts w:eastAsia="Times New Roman" w:cs="Arial"/>
          <w:color w:val="000000" w:themeColor="text1"/>
          <w:sz w:val="21"/>
          <w:szCs w:val="21"/>
          <w:lang w:val="en-AU" w:eastAsia="en-AU"/>
        </w:rPr>
        <w:t xml:space="preserve">, </w:t>
      </w:r>
      <w:r w:rsidR="00B90661">
        <w:rPr>
          <w:rFonts w:eastAsia="Times New Roman" w:cs="Arial"/>
          <w:color w:val="000000" w:themeColor="text1"/>
          <w:sz w:val="21"/>
          <w:szCs w:val="21"/>
          <w:lang w:val="en-AU" w:eastAsia="en-AU"/>
        </w:rPr>
        <w:t xml:space="preserve">while </w:t>
      </w:r>
      <w:r>
        <w:rPr>
          <w:rFonts w:eastAsia="Times New Roman" w:cs="Arial"/>
          <w:color w:val="000000" w:themeColor="text1"/>
          <w:sz w:val="21"/>
          <w:szCs w:val="21"/>
          <w:lang w:val="en-AU" w:eastAsia="en-AU"/>
        </w:rPr>
        <w:t xml:space="preserve">collaborating with other DFAT-funded programs  </w:t>
      </w:r>
      <w:r w:rsidR="00F90BCE">
        <w:rPr>
          <w:rFonts w:eastAsia="Times New Roman" w:cs="Arial"/>
          <w:color w:val="000000" w:themeColor="text1"/>
          <w:sz w:val="21"/>
          <w:szCs w:val="21"/>
          <w:lang w:val="en-AU" w:eastAsia="en-AU"/>
        </w:rPr>
        <w:t xml:space="preserve">and </w:t>
      </w:r>
      <w:r>
        <w:rPr>
          <w:rFonts w:eastAsia="Times New Roman" w:cs="Arial"/>
          <w:color w:val="000000" w:themeColor="text1"/>
          <w:sz w:val="21"/>
          <w:szCs w:val="21"/>
          <w:lang w:val="en-AU" w:eastAsia="en-AU"/>
        </w:rPr>
        <w:t xml:space="preserve">development partners where there is merit.  </w:t>
      </w:r>
    </w:p>
    <w:p w:rsidR="00D8647E" w:rsidRDefault="00D8647E" w:rsidP="00A269A5">
      <w:pPr>
        <w:tabs>
          <w:tab w:val="left" w:pos="284"/>
        </w:tabs>
        <w:suppressAutoHyphens w:val="0"/>
        <w:spacing w:after="120" w:line="280" w:lineRule="exact"/>
        <w:jc w:val="both"/>
      </w:pPr>
      <w:r>
        <w:rPr>
          <w:rFonts w:eastAsia="Times New Roman" w:cs="Arial"/>
          <w:color w:val="000000" w:themeColor="text1"/>
          <w:sz w:val="21"/>
          <w:szCs w:val="21"/>
          <w:lang w:val="en-AU" w:eastAsia="en-AU"/>
        </w:rPr>
        <w:t xml:space="preserve">In doing so, TASS supports </w:t>
      </w:r>
      <w:r w:rsidRPr="00CC12ED">
        <w:rPr>
          <w:rFonts w:eastAsia="Times New Roman" w:cs="Arial"/>
          <w:color w:val="000000" w:themeColor="text1"/>
          <w:sz w:val="21"/>
          <w:szCs w:val="21"/>
          <w:lang w:val="en-AU" w:eastAsia="en-AU"/>
        </w:rPr>
        <w:t xml:space="preserve">domestic efforts to </w:t>
      </w:r>
      <w:r>
        <w:rPr>
          <w:rFonts w:eastAsia="Times New Roman" w:cs="Arial"/>
          <w:color w:val="000000" w:themeColor="text1"/>
          <w:sz w:val="21"/>
          <w:szCs w:val="21"/>
          <w:lang w:val="en-AU" w:eastAsia="en-AU"/>
        </w:rPr>
        <w:t>‘</w:t>
      </w:r>
      <w:r w:rsidRPr="00CC12ED">
        <w:rPr>
          <w:rFonts w:eastAsia="Times New Roman" w:cs="Arial"/>
          <w:color w:val="000000" w:themeColor="text1"/>
          <w:sz w:val="21"/>
          <w:szCs w:val="21"/>
          <w:lang w:val="en-AU" w:eastAsia="en-AU"/>
        </w:rPr>
        <w:t>nudge</w:t>
      </w:r>
      <w:r>
        <w:rPr>
          <w:rFonts w:eastAsia="Times New Roman" w:cs="Arial"/>
          <w:color w:val="000000" w:themeColor="text1"/>
          <w:sz w:val="21"/>
          <w:szCs w:val="21"/>
          <w:lang w:val="en-AU" w:eastAsia="en-AU"/>
        </w:rPr>
        <w:t>’</w:t>
      </w:r>
      <w:r w:rsidRPr="00CC12ED">
        <w:rPr>
          <w:rStyle w:val="EndnoteReference"/>
          <w:rFonts w:ascii="Arial" w:hAnsi="Arial" w:cs="Times New Roman"/>
          <w:color w:val="595959" w:themeColor="text1" w:themeTint="A6"/>
          <w:sz w:val="20"/>
          <w:szCs w:val="24"/>
        </w:rPr>
        <w:t xml:space="preserve"> </w:t>
      </w:r>
      <w:r w:rsidRPr="00CC12ED">
        <w:rPr>
          <w:rFonts w:eastAsia="Times New Roman" w:cs="Arial"/>
          <w:color w:val="000000" w:themeColor="text1"/>
          <w:sz w:val="21"/>
          <w:szCs w:val="21"/>
          <w:lang w:val="en-AU" w:eastAsia="en-AU"/>
        </w:rPr>
        <w:t xml:space="preserve">the sector towards improved policy and practice. </w:t>
      </w:r>
      <w:r>
        <w:rPr>
          <w:rFonts w:eastAsia="Times New Roman" w:cs="Arial"/>
          <w:color w:val="000000" w:themeColor="text1"/>
          <w:sz w:val="21"/>
          <w:szCs w:val="21"/>
          <w:lang w:val="en-AU" w:eastAsia="en-AU"/>
        </w:rPr>
        <w:t xml:space="preserve">From a DFAT-facing perspective, the delivery arrangements offer </w:t>
      </w:r>
      <w:r w:rsidRPr="004C6923">
        <w:rPr>
          <w:rFonts w:eastAsia="Times New Roman" w:cs="Arial"/>
          <w:b/>
          <w:color w:val="000000" w:themeColor="text1"/>
          <w:sz w:val="21"/>
          <w:szCs w:val="21"/>
          <w:lang w:val="en-AU" w:eastAsia="en-AU"/>
        </w:rPr>
        <w:t>value for money</w:t>
      </w:r>
      <w:r>
        <w:rPr>
          <w:rFonts w:eastAsia="Times New Roman" w:cs="Arial"/>
          <w:color w:val="000000" w:themeColor="text1"/>
          <w:sz w:val="21"/>
          <w:szCs w:val="21"/>
          <w:lang w:val="en-AU" w:eastAsia="en-AU"/>
        </w:rPr>
        <w:t xml:space="preserve"> because they are aligned with DFAT’s eight principles (e.g. see the emphasis placed on evidence-informed decision-making and experimentation in a complex political and institutional environment). From a Indonesian Government-facing perspective, the ‘smart facility’ arrangement and its focus on TWP permits delivery of support that is deemed by partners to have:</w:t>
      </w:r>
      <w:r w:rsidRPr="00A91A49">
        <w:t xml:space="preserve"> </w:t>
      </w:r>
    </w:p>
    <w:p w:rsidR="00FF2739" w:rsidRPr="00A91A49" w:rsidRDefault="00FF2739" w:rsidP="00FF2739">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b/>
          <w:color w:val="000000" w:themeColor="text1"/>
          <w:sz w:val="21"/>
          <w:szCs w:val="21"/>
          <w:lang w:val="en-AU" w:eastAsia="en-AU"/>
        </w:rPr>
        <w:t>Merit</w:t>
      </w:r>
      <w:r w:rsidRPr="002846D1">
        <w:rPr>
          <w:rFonts w:eastAsia="Times New Roman" w:cs="Arial"/>
          <w:color w:val="000000" w:themeColor="text1"/>
          <w:sz w:val="21"/>
          <w:szCs w:val="21"/>
          <w:lang w:val="en-AU" w:eastAsia="en-AU"/>
        </w:rPr>
        <w:t xml:space="preserve">, i.e. of having </w:t>
      </w:r>
      <w:r>
        <w:rPr>
          <w:rFonts w:eastAsia="Times New Roman" w:cs="Arial"/>
          <w:color w:val="000000" w:themeColor="text1"/>
          <w:sz w:val="21"/>
          <w:szCs w:val="21"/>
          <w:lang w:val="en-AU" w:eastAsia="en-AU"/>
        </w:rPr>
        <w:t xml:space="preserve">attractive </w:t>
      </w:r>
      <w:r w:rsidRPr="002846D1">
        <w:rPr>
          <w:rFonts w:eastAsia="Times New Roman" w:cs="Arial"/>
          <w:color w:val="000000" w:themeColor="text1"/>
          <w:sz w:val="21"/>
          <w:szCs w:val="21"/>
          <w:lang w:val="en-AU" w:eastAsia="en-AU"/>
        </w:rPr>
        <w:t>qualities</w:t>
      </w:r>
      <w:r>
        <w:rPr>
          <w:rFonts w:eastAsia="Times New Roman" w:cs="Arial"/>
          <w:color w:val="000000" w:themeColor="text1"/>
          <w:sz w:val="21"/>
          <w:szCs w:val="21"/>
          <w:lang w:val="en-AU" w:eastAsia="en-AU"/>
        </w:rPr>
        <w:t xml:space="preserve"> or attributes</w:t>
      </w:r>
      <w:r w:rsidR="009E599A">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 xml:space="preserve">e.g. because </w:t>
      </w:r>
      <w:r w:rsidR="00950B8B">
        <w:rPr>
          <w:rFonts w:eastAsia="Times New Roman" w:cs="Arial"/>
          <w:color w:val="000000" w:themeColor="text1"/>
          <w:sz w:val="21"/>
          <w:szCs w:val="21"/>
          <w:lang w:val="en-AU" w:eastAsia="en-AU"/>
        </w:rPr>
        <w:t>TASS</w:t>
      </w:r>
      <w:r>
        <w:rPr>
          <w:rFonts w:eastAsia="Times New Roman" w:cs="Arial"/>
          <w:color w:val="000000" w:themeColor="text1"/>
          <w:sz w:val="21"/>
          <w:szCs w:val="21"/>
          <w:lang w:val="en-AU" w:eastAsia="en-AU"/>
        </w:rPr>
        <w:t xml:space="preserve"> delivers skills, expertise and experience that is otherwise </w:t>
      </w:r>
      <w:r w:rsidR="00103C8E">
        <w:rPr>
          <w:rFonts w:eastAsia="Times New Roman" w:cs="Arial"/>
          <w:color w:val="000000" w:themeColor="text1"/>
          <w:sz w:val="21"/>
          <w:szCs w:val="21"/>
          <w:lang w:val="en-AU" w:eastAsia="en-AU"/>
        </w:rPr>
        <w:t>un</w:t>
      </w:r>
      <w:r>
        <w:rPr>
          <w:rFonts w:eastAsia="Times New Roman" w:cs="Arial"/>
          <w:color w:val="000000" w:themeColor="text1"/>
          <w:sz w:val="21"/>
          <w:szCs w:val="21"/>
          <w:lang w:val="en-AU" w:eastAsia="en-AU"/>
        </w:rPr>
        <w:t>obtainable to the ministries</w:t>
      </w:r>
      <w:r w:rsidR="009E599A">
        <w:rPr>
          <w:rFonts w:eastAsia="Times New Roman" w:cs="Arial"/>
          <w:color w:val="000000" w:themeColor="text1"/>
          <w:sz w:val="21"/>
          <w:szCs w:val="21"/>
          <w:lang w:val="en-AU" w:eastAsia="en-AU"/>
        </w:rPr>
        <w:t>)</w:t>
      </w:r>
      <w:r w:rsidRPr="002846D1">
        <w:rPr>
          <w:rFonts w:eastAsia="Times New Roman" w:cs="Arial"/>
          <w:color w:val="000000" w:themeColor="text1"/>
          <w:sz w:val="21"/>
          <w:szCs w:val="21"/>
          <w:lang w:val="en-AU" w:eastAsia="en-AU"/>
        </w:rPr>
        <w:t>.</w:t>
      </w:r>
    </w:p>
    <w:p w:rsidR="00D8647E"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sidRPr="00BA058B">
        <w:rPr>
          <w:rFonts w:eastAsia="Times New Roman" w:cs="Arial"/>
          <w:b/>
          <w:color w:val="000000" w:themeColor="text1"/>
          <w:sz w:val="21"/>
          <w:szCs w:val="21"/>
          <w:lang w:val="en-AU" w:eastAsia="en-AU"/>
        </w:rPr>
        <w:t>Worth</w:t>
      </w:r>
      <w:r>
        <w:rPr>
          <w:rFonts w:eastAsia="Times New Roman" w:cs="Arial"/>
          <w:color w:val="000000" w:themeColor="text1"/>
          <w:sz w:val="21"/>
          <w:szCs w:val="21"/>
          <w:lang w:val="en-AU" w:eastAsia="en-AU"/>
        </w:rPr>
        <w:t xml:space="preserve">, i.e. of </w:t>
      </w:r>
      <w:r w:rsidR="00950B8B">
        <w:rPr>
          <w:rFonts w:eastAsia="Times New Roman" w:cs="Arial"/>
          <w:color w:val="000000" w:themeColor="text1"/>
          <w:sz w:val="21"/>
          <w:szCs w:val="21"/>
          <w:lang w:val="en-AU" w:eastAsia="en-AU"/>
        </w:rPr>
        <w:t xml:space="preserve">generating </w:t>
      </w:r>
      <w:r>
        <w:rPr>
          <w:rFonts w:eastAsia="Times New Roman" w:cs="Arial"/>
          <w:color w:val="000000" w:themeColor="text1"/>
          <w:sz w:val="21"/>
          <w:szCs w:val="21"/>
          <w:lang w:val="en-AU" w:eastAsia="en-AU"/>
        </w:rPr>
        <w:t xml:space="preserve">potential upsides </w:t>
      </w:r>
      <w:r w:rsidR="001E6554">
        <w:rPr>
          <w:rFonts w:eastAsia="Times New Roman" w:cs="Arial"/>
          <w:color w:val="000000" w:themeColor="text1"/>
          <w:sz w:val="21"/>
          <w:szCs w:val="21"/>
          <w:lang w:val="en-AU" w:eastAsia="en-AU"/>
        </w:rPr>
        <w:t>that more than offset the time or money required of participating decision-makers</w:t>
      </w:r>
      <w:r w:rsidR="00135978">
        <w:rPr>
          <w:rFonts w:eastAsia="Times New Roman" w:cs="Arial"/>
          <w:color w:val="000000" w:themeColor="text1"/>
          <w:sz w:val="21"/>
          <w:szCs w:val="21"/>
          <w:lang w:val="en-AU" w:eastAsia="en-AU"/>
        </w:rPr>
        <w:t xml:space="preserve"> before, during and after an activity</w:t>
      </w:r>
      <w:r w:rsidRPr="00A91A49">
        <w:rPr>
          <w:rFonts w:eastAsia="Times New Roman" w:cs="Arial"/>
          <w:color w:val="000000" w:themeColor="text1"/>
          <w:sz w:val="21"/>
          <w:szCs w:val="21"/>
          <w:lang w:val="en-AU" w:eastAsia="en-AU"/>
        </w:rPr>
        <w:t xml:space="preserve">.  </w:t>
      </w:r>
    </w:p>
    <w:p w:rsidR="00D8647E" w:rsidRDefault="00D8647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sidRPr="00BA058B">
        <w:rPr>
          <w:rFonts w:eastAsia="Times New Roman" w:cs="Arial"/>
          <w:b/>
          <w:color w:val="000000" w:themeColor="text1"/>
          <w:sz w:val="21"/>
          <w:szCs w:val="21"/>
          <w:lang w:val="en-AU" w:eastAsia="en-AU"/>
        </w:rPr>
        <w:t>Significance</w:t>
      </w:r>
      <w:r w:rsidRPr="00A91A49">
        <w:rPr>
          <w:rFonts w:eastAsia="Times New Roman" w:cs="Arial"/>
          <w:color w:val="000000" w:themeColor="text1"/>
          <w:sz w:val="21"/>
          <w:szCs w:val="21"/>
          <w:lang w:val="en-AU" w:eastAsia="en-AU"/>
        </w:rPr>
        <w:t xml:space="preserve">, i.e. </w:t>
      </w:r>
      <w:r>
        <w:rPr>
          <w:rFonts w:eastAsia="Times New Roman" w:cs="Arial"/>
          <w:color w:val="000000" w:themeColor="text1"/>
          <w:sz w:val="21"/>
          <w:szCs w:val="21"/>
          <w:lang w:val="en-AU" w:eastAsia="en-AU"/>
        </w:rPr>
        <w:t>of having</w:t>
      </w:r>
      <w:r w:rsidRPr="00A91A49">
        <w:rPr>
          <w:rFonts w:eastAsia="Times New Roman" w:cs="Arial"/>
          <w:color w:val="000000" w:themeColor="text1"/>
          <w:sz w:val="21"/>
          <w:szCs w:val="21"/>
          <w:lang w:val="en-AU" w:eastAsia="en-AU"/>
        </w:rPr>
        <w:t xml:space="preserve"> </w:t>
      </w:r>
      <w:r w:rsidRPr="005458A1">
        <w:rPr>
          <w:rFonts w:eastAsia="Times New Roman" w:cs="Arial"/>
          <w:color w:val="000000" w:themeColor="text1"/>
          <w:sz w:val="21"/>
          <w:szCs w:val="21"/>
          <w:lang w:val="en-AU" w:eastAsia="en-AU"/>
        </w:rPr>
        <w:t>importance</w:t>
      </w:r>
      <w:r w:rsidR="009E599A">
        <w:rPr>
          <w:rFonts w:eastAsia="Times New Roman" w:cs="Arial"/>
          <w:color w:val="000000" w:themeColor="text1"/>
          <w:sz w:val="21"/>
          <w:szCs w:val="21"/>
          <w:lang w:val="en-AU" w:eastAsia="en-AU"/>
        </w:rPr>
        <w:t xml:space="preserve"> (</w:t>
      </w:r>
      <w:r>
        <w:rPr>
          <w:rFonts w:eastAsia="Times New Roman" w:cs="Arial"/>
          <w:color w:val="000000" w:themeColor="text1"/>
          <w:sz w:val="21"/>
          <w:szCs w:val="21"/>
          <w:lang w:val="en-AU" w:eastAsia="en-AU"/>
        </w:rPr>
        <w:t xml:space="preserve">e.g. because </w:t>
      </w:r>
      <w:r w:rsidR="00103C8E">
        <w:rPr>
          <w:rFonts w:eastAsia="Times New Roman" w:cs="Arial"/>
          <w:color w:val="000000" w:themeColor="text1"/>
          <w:sz w:val="21"/>
          <w:szCs w:val="21"/>
          <w:lang w:val="en-AU" w:eastAsia="en-AU"/>
        </w:rPr>
        <w:t>TASS</w:t>
      </w:r>
      <w:r>
        <w:rPr>
          <w:rFonts w:eastAsia="Times New Roman" w:cs="Arial"/>
          <w:color w:val="000000" w:themeColor="text1"/>
          <w:sz w:val="21"/>
          <w:szCs w:val="21"/>
          <w:lang w:val="en-AU" w:eastAsia="en-AU"/>
        </w:rPr>
        <w:t xml:space="preserve"> focuses on areas that attract greatest Indonesian Government expenditure or provides further momentum to ‘reform tailwinds’ or acts as a ‘disrupter’, creating space for and interest in new understandings of old or emerging challenges</w:t>
      </w:r>
      <w:r w:rsidR="009E599A">
        <w:rPr>
          <w:rFonts w:eastAsia="Times New Roman" w:cs="Arial"/>
          <w:color w:val="000000" w:themeColor="text1"/>
          <w:sz w:val="21"/>
          <w:szCs w:val="21"/>
          <w:lang w:val="en-AU" w:eastAsia="en-AU"/>
        </w:rPr>
        <w:t>)</w:t>
      </w:r>
      <w:r w:rsidRPr="00A91A49">
        <w:rPr>
          <w:rFonts w:eastAsia="Times New Roman" w:cs="Arial"/>
          <w:color w:val="000000" w:themeColor="text1"/>
          <w:sz w:val="21"/>
          <w:szCs w:val="21"/>
          <w:lang w:val="en-AU" w:eastAsia="en-AU"/>
        </w:rPr>
        <w:t>.</w:t>
      </w:r>
    </w:p>
    <w:p w:rsidR="00D8647E" w:rsidRDefault="00D8647E" w:rsidP="00A269A5">
      <w:pPr>
        <w:tabs>
          <w:tab w:val="left" w:pos="284"/>
        </w:tabs>
        <w:suppressAutoHyphens w:val="0"/>
        <w:spacing w:after="120" w:line="280" w:lineRule="exact"/>
        <w:jc w:val="both"/>
        <w:rPr>
          <w:rFonts w:cs="Arial"/>
          <w:color w:val="000000" w:themeColor="text1"/>
          <w:sz w:val="21"/>
          <w:szCs w:val="21"/>
          <w:lang w:eastAsia="en-AU"/>
        </w:rPr>
      </w:pPr>
      <w:r>
        <w:rPr>
          <w:rFonts w:cs="Arial"/>
          <w:color w:val="000000" w:themeColor="text1"/>
          <w:sz w:val="21"/>
          <w:szCs w:val="21"/>
          <w:lang w:eastAsia="en-AU"/>
        </w:rPr>
        <w:t xml:space="preserve">This emphasis on </w:t>
      </w:r>
      <w:r w:rsidRPr="003C636C">
        <w:rPr>
          <w:rFonts w:cs="Arial"/>
          <w:b/>
          <w:color w:val="000000" w:themeColor="text1"/>
          <w:sz w:val="21"/>
          <w:szCs w:val="21"/>
          <w:lang w:eastAsia="en-AU"/>
        </w:rPr>
        <w:t>partner ownership and leadership</w:t>
      </w:r>
      <w:r>
        <w:rPr>
          <w:rFonts w:cs="Arial"/>
          <w:b/>
          <w:color w:val="000000" w:themeColor="text1"/>
          <w:sz w:val="21"/>
          <w:szCs w:val="21"/>
          <w:lang w:eastAsia="en-AU"/>
        </w:rPr>
        <w:t xml:space="preserve"> </w:t>
      </w:r>
      <w:r w:rsidR="007F0348">
        <w:rPr>
          <w:rFonts w:cs="Arial"/>
          <w:color w:val="000000" w:themeColor="text1"/>
          <w:sz w:val="21"/>
          <w:szCs w:val="21"/>
          <w:lang w:eastAsia="en-AU"/>
        </w:rPr>
        <w:t>means that TASS should have</w:t>
      </w:r>
      <w:r>
        <w:rPr>
          <w:rFonts w:cs="Arial"/>
          <w:color w:val="000000" w:themeColor="text1"/>
          <w:sz w:val="21"/>
          <w:szCs w:val="21"/>
          <w:lang w:eastAsia="en-AU"/>
        </w:rPr>
        <w:t xml:space="preserve"> an </w:t>
      </w:r>
      <w:r w:rsidRPr="006C43C2">
        <w:rPr>
          <w:rFonts w:cs="Arial"/>
          <w:b/>
          <w:color w:val="000000" w:themeColor="text1"/>
          <w:sz w:val="21"/>
          <w:szCs w:val="21"/>
          <w:lang w:eastAsia="en-AU"/>
        </w:rPr>
        <w:t>enduring influence</w:t>
      </w:r>
      <w:r>
        <w:rPr>
          <w:rFonts w:cs="Arial"/>
          <w:color w:val="000000" w:themeColor="text1"/>
          <w:sz w:val="21"/>
          <w:szCs w:val="21"/>
          <w:lang w:eastAsia="en-AU"/>
        </w:rPr>
        <w:t xml:space="preserve"> on the thinking of its Indonesia</w:t>
      </w:r>
      <w:r w:rsidR="00715F52">
        <w:rPr>
          <w:rFonts w:cs="Arial"/>
          <w:color w:val="000000" w:themeColor="text1"/>
          <w:sz w:val="21"/>
          <w:szCs w:val="21"/>
          <w:lang w:eastAsia="en-AU"/>
        </w:rPr>
        <w:t>n</w:t>
      </w:r>
      <w:r>
        <w:rPr>
          <w:rFonts w:cs="Arial"/>
          <w:color w:val="000000" w:themeColor="text1"/>
          <w:sz w:val="21"/>
          <w:szCs w:val="21"/>
          <w:lang w:eastAsia="en-AU"/>
        </w:rPr>
        <w:t xml:space="preserve"> Government partners and, where possible, on their organisational practices</w:t>
      </w:r>
      <w:r>
        <w:rPr>
          <w:rStyle w:val="EndnoteReference"/>
          <w:rFonts w:cs="Arial"/>
          <w:color w:val="000000" w:themeColor="text1"/>
          <w:sz w:val="21"/>
          <w:szCs w:val="21"/>
          <w:lang w:eastAsia="en-AU"/>
        </w:rPr>
        <w:endnoteReference w:id="9"/>
      </w:r>
      <w:r>
        <w:rPr>
          <w:rFonts w:cs="Arial"/>
          <w:color w:val="000000" w:themeColor="text1"/>
          <w:sz w:val="21"/>
          <w:szCs w:val="21"/>
          <w:lang w:eastAsia="en-AU"/>
        </w:rPr>
        <w:t>. By thinking and working politically and by building individual competencies and organisational capabilities,</w:t>
      </w:r>
      <w:r w:rsidRPr="00D758D8">
        <w:t xml:space="preserve"> </w:t>
      </w:r>
      <w:r>
        <w:rPr>
          <w:rFonts w:cs="Arial"/>
          <w:color w:val="000000" w:themeColor="text1"/>
          <w:sz w:val="21"/>
          <w:szCs w:val="21"/>
          <w:lang w:eastAsia="en-AU"/>
        </w:rPr>
        <w:t xml:space="preserve">participating </w:t>
      </w:r>
      <w:r w:rsidR="00292F14">
        <w:rPr>
          <w:rFonts w:cs="Arial"/>
          <w:color w:val="000000" w:themeColor="text1"/>
          <w:sz w:val="21"/>
          <w:szCs w:val="21"/>
          <w:lang w:eastAsia="en-AU"/>
        </w:rPr>
        <w:t>ministries</w:t>
      </w:r>
      <w:r>
        <w:rPr>
          <w:rFonts w:cs="Arial"/>
          <w:color w:val="000000" w:themeColor="text1"/>
          <w:sz w:val="21"/>
          <w:szCs w:val="21"/>
          <w:lang w:eastAsia="en-AU"/>
        </w:rPr>
        <w:t xml:space="preserve"> should have improved adaptive capacity to navigate and adapt to shocks, stresses and opportunities in the political and institutional environment</w:t>
      </w:r>
      <w:r w:rsidR="009A25BA">
        <w:rPr>
          <w:rFonts w:cs="Arial"/>
          <w:color w:val="000000" w:themeColor="text1"/>
          <w:sz w:val="21"/>
          <w:szCs w:val="21"/>
          <w:lang w:eastAsia="en-AU"/>
        </w:rPr>
        <w:t xml:space="preserve"> as they occur</w:t>
      </w:r>
      <w:r w:rsidR="00D011D7">
        <w:rPr>
          <w:rFonts w:cs="Arial"/>
          <w:color w:val="000000" w:themeColor="text1"/>
          <w:sz w:val="21"/>
          <w:szCs w:val="21"/>
          <w:lang w:eastAsia="en-AU"/>
        </w:rPr>
        <w:t xml:space="preserve">. This should mean that </w:t>
      </w:r>
      <w:r w:rsidR="00103C8E">
        <w:rPr>
          <w:rFonts w:cs="Arial"/>
          <w:color w:val="000000" w:themeColor="text1"/>
          <w:sz w:val="21"/>
          <w:szCs w:val="21"/>
          <w:lang w:eastAsia="en-AU"/>
        </w:rPr>
        <w:t>the</w:t>
      </w:r>
      <w:r w:rsidR="00CC2843">
        <w:rPr>
          <w:rFonts w:cs="Arial"/>
          <w:color w:val="000000" w:themeColor="text1"/>
          <w:sz w:val="21"/>
          <w:szCs w:val="21"/>
          <w:lang w:eastAsia="en-AU"/>
        </w:rPr>
        <w:t xml:space="preserve"> </w:t>
      </w:r>
      <w:r w:rsidRPr="006C2216">
        <w:rPr>
          <w:rFonts w:cs="Arial"/>
          <w:color w:val="000000" w:themeColor="text1"/>
          <w:sz w:val="21"/>
          <w:szCs w:val="21"/>
          <w:lang w:eastAsia="en-AU"/>
        </w:rPr>
        <w:t xml:space="preserve">policies, </w:t>
      </w:r>
      <w:r w:rsidRPr="00D758D8">
        <w:rPr>
          <w:rFonts w:cs="Arial"/>
          <w:color w:val="000000" w:themeColor="text1"/>
          <w:sz w:val="21"/>
          <w:szCs w:val="21"/>
          <w:lang w:eastAsia="en-AU"/>
        </w:rPr>
        <w:t>systems</w:t>
      </w:r>
      <w:r>
        <w:rPr>
          <w:rFonts w:cs="Arial"/>
          <w:color w:val="000000" w:themeColor="text1"/>
          <w:sz w:val="21"/>
          <w:szCs w:val="21"/>
          <w:lang w:eastAsia="en-AU"/>
        </w:rPr>
        <w:t xml:space="preserve"> and </w:t>
      </w:r>
      <w:r w:rsidRPr="00D758D8">
        <w:rPr>
          <w:rFonts w:cs="Arial"/>
          <w:color w:val="000000" w:themeColor="text1"/>
          <w:sz w:val="21"/>
          <w:szCs w:val="21"/>
          <w:lang w:eastAsia="en-AU"/>
        </w:rPr>
        <w:t>processes</w:t>
      </w:r>
      <w:r>
        <w:rPr>
          <w:rFonts w:cs="Arial"/>
          <w:color w:val="000000" w:themeColor="text1"/>
          <w:sz w:val="21"/>
          <w:szCs w:val="21"/>
          <w:lang w:eastAsia="en-AU"/>
        </w:rPr>
        <w:t xml:space="preserve"> </w:t>
      </w:r>
      <w:r w:rsidR="00CC2843">
        <w:rPr>
          <w:rFonts w:cs="Arial"/>
          <w:color w:val="000000" w:themeColor="text1"/>
          <w:sz w:val="21"/>
          <w:szCs w:val="21"/>
          <w:lang w:eastAsia="en-AU"/>
        </w:rPr>
        <w:t xml:space="preserve">supported by TASS </w:t>
      </w:r>
      <w:r w:rsidR="00D011D7">
        <w:rPr>
          <w:rFonts w:cs="Arial"/>
          <w:color w:val="000000" w:themeColor="text1"/>
          <w:sz w:val="21"/>
          <w:szCs w:val="21"/>
          <w:lang w:eastAsia="en-AU"/>
        </w:rPr>
        <w:t xml:space="preserve">will </w:t>
      </w:r>
      <w:r>
        <w:rPr>
          <w:rFonts w:cs="Arial"/>
          <w:color w:val="000000" w:themeColor="text1"/>
          <w:sz w:val="21"/>
          <w:szCs w:val="21"/>
          <w:lang w:eastAsia="en-AU"/>
        </w:rPr>
        <w:t xml:space="preserve">continue to </w:t>
      </w:r>
      <w:r w:rsidR="00253295">
        <w:rPr>
          <w:rFonts w:cs="Arial"/>
          <w:color w:val="000000" w:themeColor="text1"/>
          <w:sz w:val="21"/>
          <w:szCs w:val="21"/>
          <w:lang w:eastAsia="en-AU"/>
        </w:rPr>
        <w:t>deliver</w:t>
      </w:r>
      <w:r>
        <w:rPr>
          <w:rFonts w:cs="Arial"/>
          <w:color w:val="000000" w:themeColor="text1"/>
          <w:sz w:val="21"/>
          <w:szCs w:val="21"/>
          <w:lang w:eastAsia="en-AU"/>
        </w:rPr>
        <w:t xml:space="preserve"> </w:t>
      </w:r>
      <w:r w:rsidR="00EB644F">
        <w:rPr>
          <w:rFonts w:cs="Arial"/>
          <w:color w:val="000000" w:themeColor="text1"/>
          <w:sz w:val="21"/>
          <w:szCs w:val="21"/>
          <w:lang w:eastAsia="en-AU"/>
        </w:rPr>
        <w:t xml:space="preserve">benefits </w:t>
      </w:r>
      <w:r w:rsidR="00CC2843">
        <w:rPr>
          <w:rFonts w:cs="Arial"/>
          <w:color w:val="000000" w:themeColor="text1"/>
          <w:sz w:val="21"/>
          <w:szCs w:val="21"/>
          <w:lang w:eastAsia="en-AU"/>
        </w:rPr>
        <w:t>once Australian funding finishes</w:t>
      </w:r>
      <w:r>
        <w:rPr>
          <w:rFonts w:cs="Arial"/>
          <w:color w:val="000000" w:themeColor="text1"/>
          <w:sz w:val="21"/>
          <w:szCs w:val="21"/>
          <w:lang w:eastAsia="en-AU"/>
        </w:rPr>
        <w:t xml:space="preserve">. </w:t>
      </w:r>
    </w:p>
    <w:p w:rsidR="00AC65D6" w:rsidRPr="00255F7A" w:rsidRDefault="00AC65D6" w:rsidP="00C30FE7">
      <w:pPr>
        <w:pStyle w:val="ListParagraph"/>
        <w:numPr>
          <w:ilvl w:val="0"/>
          <w:numId w:val="42"/>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szCs w:val="21"/>
        </w:rPr>
      </w:pPr>
      <w:r w:rsidRPr="00255F7A">
        <w:rPr>
          <w:rFonts w:asciiTheme="majorHAnsi" w:hAnsiTheme="majorHAnsi"/>
          <w:b/>
          <w:szCs w:val="21"/>
        </w:rPr>
        <w:t>Implementation Arrangements (How will DFAT engage in the partnership?)</w:t>
      </w:r>
    </w:p>
    <w:p w:rsidR="00AC65D6" w:rsidRPr="008A3161" w:rsidRDefault="00AC65D6" w:rsidP="00AC65D6">
      <w:pPr>
        <w:pStyle w:val="BodyText"/>
        <w:rPr>
          <w:rFonts w:cs="Arial"/>
          <w:color w:val="557B32" w:themeColor="accent2" w:themeShade="80"/>
          <w:sz w:val="21"/>
          <w:szCs w:val="21"/>
          <w:lang w:eastAsia="en-AU"/>
        </w:rPr>
      </w:pPr>
      <w:r w:rsidRPr="008A3161">
        <w:rPr>
          <w:rFonts w:cs="Arial"/>
          <w:color w:val="557B32" w:themeColor="accent2" w:themeShade="80"/>
          <w:sz w:val="21"/>
          <w:szCs w:val="21"/>
          <w:lang w:eastAsia="en-AU"/>
        </w:rPr>
        <w:t>Governance and management arrangements</w:t>
      </w:r>
    </w:p>
    <w:p w:rsidR="00AC65D6" w:rsidRDefault="00AC65D6" w:rsidP="00AC65D6">
      <w:pPr>
        <w:tabs>
          <w:tab w:val="left" w:pos="284"/>
        </w:tabs>
        <w:suppressAutoHyphens w:val="0"/>
        <w:spacing w:before="0" w:line="280" w:lineRule="exact"/>
        <w:jc w:val="both"/>
        <w:rPr>
          <w:rFonts w:cs="Arial"/>
          <w:color w:val="000000" w:themeColor="text1"/>
          <w:sz w:val="21"/>
          <w:szCs w:val="21"/>
          <w:lang w:eastAsia="en-AU"/>
        </w:rPr>
      </w:pPr>
      <w:r>
        <w:rPr>
          <w:rFonts w:cs="Arial"/>
          <w:color w:val="000000" w:themeColor="text1"/>
          <w:sz w:val="21"/>
          <w:szCs w:val="21"/>
          <w:lang w:eastAsia="en-AU"/>
        </w:rPr>
        <w:t xml:space="preserve">TASS and its sister investment, INOVASI, are framed by a Subsidiary Arrangement between the Governments of Australia and Indonesia. The Facility is governed by a joint </w:t>
      </w:r>
      <w:r w:rsidRPr="00FB7638">
        <w:rPr>
          <w:rFonts w:cs="Arial"/>
          <w:b/>
          <w:color w:val="000000" w:themeColor="text1"/>
          <w:sz w:val="21"/>
          <w:szCs w:val="21"/>
          <w:lang w:eastAsia="en-AU"/>
        </w:rPr>
        <w:t>INOVASI-TASS Steering Committee</w:t>
      </w:r>
      <w:r w:rsidR="00E27164">
        <w:rPr>
          <w:rFonts w:cs="Arial"/>
          <w:b/>
          <w:color w:val="000000" w:themeColor="text1"/>
          <w:sz w:val="21"/>
          <w:szCs w:val="21"/>
          <w:lang w:eastAsia="en-AU"/>
        </w:rPr>
        <w:t xml:space="preserve">: </w:t>
      </w:r>
      <w:r w:rsidR="001B5CBC">
        <w:rPr>
          <w:rFonts w:cs="Arial"/>
          <w:color w:val="000000" w:themeColor="text1"/>
          <w:sz w:val="21"/>
          <w:szCs w:val="21"/>
          <w:lang w:eastAsia="en-AU"/>
        </w:rPr>
        <w:t xml:space="preserve">an arrangement conceived to promote </w:t>
      </w:r>
      <w:r>
        <w:rPr>
          <w:rFonts w:cs="Arial"/>
          <w:color w:val="000000" w:themeColor="text1"/>
          <w:sz w:val="21"/>
          <w:szCs w:val="21"/>
          <w:lang w:eastAsia="en-AU"/>
        </w:rPr>
        <w:t xml:space="preserve">coherence and coordination of DFAT investments and </w:t>
      </w:r>
      <w:r w:rsidR="001B5CBC">
        <w:rPr>
          <w:rFonts w:cs="Arial"/>
          <w:color w:val="000000" w:themeColor="text1"/>
          <w:sz w:val="21"/>
          <w:szCs w:val="21"/>
          <w:lang w:eastAsia="en-AU"/>
        </w:rPr>
        <w:t xml:space="preserve">the </w:t>
      </w:r>
      <w:r>
        <w:rPr>
          <w:rFonts w:cs="Arial"/>
          <w:color w:val="000000" w:themeColor="text1"/>
          <w:sz w:val="21"/>
          <w:szCs w:val="21"/>
          <w:lang w:eastAsia="en-AU"/>
        </w:rPr>
        <w:t xml:space="preserve">exchange of insights between participating decision-makers. The Committee provides strategic direction to TASS and is co-chaired by MoEC’s </w:t>
      </w:r>
      <w:r>
        <w:rPr>
          <w:rFonts w:cs="Arial"/>
          <w:color w:val="000000" w:themeColor="text1"/>
          <w:sz w:val="21"/>
          <w:szCs w:val="21"/>
          <w:lang w:eastAsia="en-AU"/>
        </w:rPr>
        <w:lastRenderedPageBreak/>
        <w:t xml:space="preserve">Secretary General and </w:t>
      </w:r>
      <w:r w:rsidR="0085242F">
        <w:rPr>
          <w:rFonts w:cs="Arial"/>
          <w:color w:val="000000" w:themeColor="text1"/>
          <w:sz w:val="21"/>
          <w:szCs w:val="21"/>
          <w:lang w:eastAsia="en-AU"/>
        </w:rPr>
        <w:t xml:space="preserve">the </w:t>
      </w:r>
      <w:r>
        <w:rPr>
          <w:rFonts w:cs="Arial"/>
          <w:color w:val="000000" w:themeColor="text1"/>
          <w:sz w:val="21"/>
          <w:szCs w:val="21"/>
          <w:lang w:eastAsia="en-AU"/>
        </w:rPr>
        <w:t xml:space="preserve">Head of MoEC’s Board of Research and Development </w:t>
      </w:r>
      <w:r w:rsidR="002D4824">
        <w:rPr>
          <w:rFonts w:cs="Arial"/>
          <w:color w:val="000000" w:themeColor="text1"/>
          <w:sz w:val="21"/>
          <w:szCs w:val="21"/>
          <w:lang w:eastAsia="en-AU"/>
        </w:rPr>
        <w:t>(</w:t>
      </w:r>
      <w:r>
        <w:rPr>
          <w:rFonts w:cs="Arial"/>
          <w:color w:val="000000" w:themeColor="text1"/>
          <w:sz w:val="21"/>
          <w:szCs w:val="21"/>
          <w:lang w:eastAsia="en-AU"/>
        </w:rPr>
        <w:t>or their delegates</w:t>
      </w:r>
      <w:r w:rsidR="002D4824">
        <w:rPr>
          <w:rFonts w:cs="Arial"/>
          <w:color w:val="000000" w:themeColor="text1"/>
          <w:sz w:val="21"/>
          <w:szCs w:val="21"/>
          <w:lang w:eastAsia="en-AU"/>
        </w:rPr>
        <w:t>)</w:t>
      </w:r>
      <w:r>
        <w:rPr>
          <w:rFonts w:cs="Arial"/>
          <w:color w:val="000000" w:themeColor="text1"/>
          <w:sz w:val="21"/>
          <w:szCs w:val="21"/>
          <w:lang w:eastAsia="en-AU"/>
        </w:rPr>
        <w:t xml:space="preserve">. Members include senior representatives of MoEC, MoRA, Bappenas, DFAT, INOVASI and TASS. The Committee meets six-monthly to </w:t>
      </w:r>
      <w:r w:rsidR="0085242F">
        <w:rPr>
          <w:rFonts w:cs="Arial"/>
          <w:color w:val="000000" w:themeColor="text1"/>
          <w:sz w:val="21"/>
          <w:szCs w:val="21"/>
          <w:lang w:eastAsia="en-AU"/>
        </w:rPr>
        <w:t>set the course of direction</w:t>
      </w:r>
      <w:r w:rsidR="00610B3D">
        <w:rPr>
          <w:rFonts w:cs="Arial"/>
          <w:color w:val="000000" w:themeColor="text1"/>
          <w:sz w:val="21"/>
          <w:szCs w:val="21"/>
          <w:lang w:eastAsia="en-AU"/>
        </w:rPr>
        <w:t xml:space="preserve"> and </w:t>
      </w:r>
      <w:r>
        <w:rPr>
          <w:rFonts w:cs="Arial"/>
          <w:color w:val="000000" w:themeColor="text1"/>
          <w:sz w:val="21"/>
          <w:szCs w:val="21"/>
          <w:lang w:eastAsia="en-AU"/>
        </w:rPr>
        <w:t>review progress</w:t>
      </w:r>
      <w:r w:rsidR="00610B3D">
        <w:rPr>
          <w:rFonts w:cs="Arial"/>
          <w:color w:val="000000" w:themeColor="text1"/>
          <w:sz w:val="21"/>
          <w:szCs w:val="21"/>
          <w:lang w:eastAsia="en-AU"/>
        </w:rPr>
        <w:t xml:space="preserve"> </w:t>
      </w:r>
      <w:r w:rsidR="00FD0B78">
        <w:rPr>
          <w:rFonts w:cs="Arial"/>
          <w:color w:val="000000" w:themeColor="text1"/>
          <w:sz w:val="21"/>
          <w:szCs w:val="21"/>
          <w:lang w:eastAsia="en-AU"/>
        </w:rPr>
        <w:t xml:space="preserve">(see </w:t>
      </w:r>
      <w:r w:rsidR="00FD0B78" w:rsidRPr="000F04A9">
        <w:rPr>
          <w:rFonts w:cs="Arial"/>
          <w:color w:val="000000" w:themeColor="text1"/>
          <w:sz w:val="21"/>
          <w:szCs w:val="21"/>
          <w:lang w:eastAsia="en-AU"/>
        </w:rPr>
        <w:t xml:space="preserve">Annex </w:t>
      </w:r>
      <w:r w:rsidR="0098640A">
        <w:rPr>
          <w:rFonts w:cs="Arial"/>
          <w:color w:val="000000" w:themeColor="text1"/>
          <w:sz w:val="21"/>
          <w:szCs w:val="21"/>
          <w:lang w:eastAsia="en-AU"/>
        </w:rPr>
        <w:t>C</w:t>
      </w:r>
      <w:r w:rsidR="00F57B60">
        <w:rPr>
          <w:rFonts w:cs="Arial"/>
          <w:color w:val="000000" w:themeColor="text1"/>
          <w:sz w:val="21"/>
          <w:szCs w:val="21"/>
          <w:lang w:eastAsia="en-AU"/>
        </w:rPr>
        <w:t xml:space="preserve"> for further description of roles and </w:t>
      </w:r>
      <w:r w:rsidR="0098640A">
        <w:rPr>
          <w:rFonts w:cs="Arial"/>
          <w:color w:val="000000" w:themeColor="text1"/>
          <w:sz w:val="21"/>
          <w:szCs w:val="21"/>
          <w:lang w:eastAsia="en-AU"/>
        </w:rPr>
        <w:t>responsibilities</w:t>
      </w:r>
      <w:r w:rsidR="00FD0B78">
        <w:rPr>
          <w:rFonts w:cs="Arial"/>
          <w:color w:val="000000" w:themeColor="text1"/>
          <w:sz w:val="21"/>
          <w:szCs w:val="21"/>
          <w:lang w:eastAsia="en-AU"/>
        </w:rPr>
        <w:t>)</w:t>
      </w:r>
      <w:r>
        <w:rPr>
          <w:rFonts w:cs="Arial"/>
          <w:color w:val="000000" w:themeColor="text1"/>
          <w:sz w:val="21"/>
          <w:szCs w:val="21"/>
          <w:lang w:eastAsia="en-AU"/>
        </w:rPr>
        <w:t>.</w:t>
      </w:r>
    </w:p>
    <w:p w:rsidR="00AC65D6" w:rsidRDefault="00AC65D6" w:rsidP="00AC65D6">
      <w:pPr>
        <w:tabs>
          <w:tab w:val="left" w:pos="284"/>
        </w:tabs>
        <w:suppressAutoHyphens w:val="0"/>
        <w:spacing w:before="0" w:line="280" w:lineRule="exact"/>
        <w:jc w:val="both"/>
        <w:rPr>
          <w:rFonts w:cs="Arial"/>
          <w:color w:val="000000" w:themeColor="text1"/>
          <w:sz w:val="21"/>
          <w:szCs w:val="21"/>
          <w:lang w:eastAsia="en-AU"/>
        </w:rPr>
      </w:pPr>
      <w:r>
        <w:rPr>
          <w:rFonts w:cs="Arial"/>
          <w:color w:val="000000" w:themeColor="text1"/>
          <w:sz w:val="21"/>
          <w:szCs w:val="21"/>
          <w:lang w:eastAsia="en-AU"/>
        </w:rPr>
        <w:t xml:space="preserve">A </w:t>
      </w:r>
      <w:r w:rsidRPr="000E656A">
        <w:rPr>
          <w:rFonts w:cs="Arial"/>
          <w:b/>
          <w:color w:val="000000" w:themeColor="text1"/>
          <w:sz w:val="21"/>
          <w:szCs w:val="21"/>
          <w:lang w:eastAsia="en-AU"/>
        </w:rPr>
        <w:t>managing contractor</w:t>
      </w:r>
      <w:r>
        <w:rPr>
          <w:rFonts w:cs="Arial"/>
          <w:color w:val="000000" w:themeColor="text1"/>
          <w:sz w:val="21"/>
          <w:szCs w:val="21"/>
          <w:lang w:eastAsia="en-AU"/>
        </w:rPr>
        <w:t xml:space="preserve">, Palladium, was appointed to manage TASS following a competitive tender process in 2016. Palladium has responsibility for the day-to-day </w:t>
      </w:r>
      <w:r w:rsidRPr="00FD0B78">
        <w:rPr>
          <w:rFonts w:cs="Arial"/>
          <w:color w:val="000000" w:themeColor="text1"/>
          <w:sz w:val="21"/>
          <w:szCs w:val="21"/>
          <w:lang w:eastAsia="en-AU"/>
        </w:rPr>
        <w:t xml:space="preserve">management </w:t>
      </w:r>
      <w:r w:rsidR="00CE54B8" w:rsidRPr="00FD0B78">
        <w:rPr>
          <w:rFonts w:cs="Arial"/>
          <w:color w:val="000000" w:themeColor="text1"/>
          <w:sz w:val="21"/>
          <w:szCs w:val="21"/>
          <w:lang w:eastAsia="en-AU"/>
        </w:rPr>
        <w:t xml:space="preserve">of TASS, including the </w:t>
      </w:r>
      <w:r w:rsidR="006E640F" w:rsidRPr="00FD0B78">
        <w:rPr>
          <w:rFonts w:cs="Arial"/>
          <w:color w:val="000000" w:themeColor="text1"/>
          <w:sz w:val="21"/>
          <w:szCs w:val="21"/>
          <w:lang w:eastAsia="en-AU"/>
        </w:rPr>
        <w:t>delivery of activities an</w:t>
      </w:r>
      <w:r w:rsidR="00D9595E" w:rsidRPr="00FD0B78">
        <w:rPr>
          <w:rFonts w:cs="Arial"/>
          <w:color w:val="000000" w:themeColor="text1"/>
          <w:sz w:val="21"/>
          <w:szCs w:val="21"/>
          <w:lang w:eastAsia="en-AU"/>
        </w:rPr>
        <w:t xml:space="preserve">d the establishment and implementation of a </w:t>
      </w:r>
      <w:r w:rsidRPr="00FD0B78">
        <w:rPr>
          <w:rFonts w:cs="Arial"/>
          <w:color w:val="000000" w:themeColor="text1"/>
          <w:sz w:val="21"/>
          <w:szCs w:val="21"/>
          <w:lang w:eastAsia="en-AU"/>
        </w:rPr>
        <w:t>monitoring and evaluation syste</w:t>
      </w:r>
      <w:r w:rsidR="00D9595E" w:rsidRPr="00FD0B78">
        <w:rPr>
          <w:rFonts w:cs="Arial"/>
          <w:color w:val="000000" w:themeColor="text1"/>
          <w:sz w:val="21"/>
          <w:szCs w:val="21"/>
          <w:lang w:eastAsia="en-AU"/>
        </w:rPr>
        <w:t>m</w:t>
      </w:r>
      <w:r w:rsidRPr="00FD0B78">
        <w:rPr>
          <w:rFonts w:cs="Arial"/>
          <w:color w:val="000000" w:themeColor="text1"/>
          <w:sz w:val="21"/>
          <w:szCs w:val="21"/>
          <w:lang w:eastAsia="en-AU"/>
        </w:rPr>
        <w:t>.</w:t>
      </w:r>
      <w:r w:rsidR="00D9595E">
        <w:rPr>
          <w:rFonts w:cs="Arial"/>
          <w:color w:val="000000" w:themeColor="text1"/>
          <w:sz w:val="21"/>
          <w:szCs w:val="21"/>
          <w:lang w:eastAsia="en-AU"/>
        </w:rPr>
        <w:t xml:space="preserve"> </w:t>
      </w:r>
      <w:r w:rsidR="00C011DD">
        <w:rPr>
          <w:rFonts w:cs="Arial"/>
          <w:color w:val="000000" w:themeColor="text1"/>
          <w:sz w:val="21"/>
          <w:szCs w:val="21"/>
          <w:lang w:eastAsia="en-AU"/>
        </w:rPr>
        <w:t xml:space="preserve">The Australian Embassy’s </w:t>
      </w:r>
      <w:r w:rsidRPr="00FB7638">
        <w:rPr>
          <w:rFonts w:cs="Arial"/>
          <w:b/>
          <w:color w:val="000000" w:themeColor="text1"/>
          <w:sz w:val="21"/>
          <w:szCs w:val="21"/>
          <w:lang w:eastAsia="en-AU"/>
        </w:rPr>
        <w:t>Human Development team</w:t>
      </w:r>
      <w:r>
        <w:rPr>
          <w:rFonts w:cs="Arial"/>
          <w:color w:val="000000" w:themeColor="text1"/>
          <w:sz w:val="21"/>
          <w:szCs w:val="21"/>
          <w:lang w:eastAsia="en-AU"/>
        </w:rPr>
        <w:t xml:space="preserve">, and specifically its Counsellor and the Manager of the Basic Education Unit, oversee the strategic and operational performance of TASS. They also lead strategic engagement, direction setting and policy dialogue with the Indonesian Government, supported both formally and informally by TASS. The </w:t>
      </w:r>
      <w:r w:rsidRPr="005E4DCA">
        <w:rPr>
          <w:rFonts w:cs="Arial"/>
          <w:b/>
          <w:color w:val="000000" w:themeColor="text1"/>
          <w:sz w:val="21"/>
          <w:szCs w:val="21"/>
          <w:lang w:eastAsia="en-AU"/>
        </w:rPr>
        <w:t>Indonesian Government</w:t>
      </w:r>
      <w:r>
        <w:rPr>
          <w:rFonts w:cs="Arial"/>
          <w:color w:val="000000" w:themeColor="text1"/>
          <w:sz w:val="21"/>
          <w:szCs w:val="21"/>
          <w:lang w:eastAsia="en-AU"/>
        </w:rPr>
        <w:t xml:space="preserve">, and specifically participating decision-makers in MoEC, MoRA and Bappenas, are responsible for leading reform efforts with the active support of TASS and DFAT. </w:t>
      </w:r>
    </w:p>
    <w:p w:rsidR="00AC65D6" w:rsidRDefault="00AC65D6" w:rsidP="00AC65D6">
      <w:pPr>
        <w:tabs>
          <w:tab w:val="left" w:pos="284"/>
        </w:tabs>
        <w:suppressAutoHyphens w:val="0"/>
        <w:spacing w:before="0" w:line="280" w:lineRule="exact"/>
        <w:jc w:val="both"/>
        <w:rPr>
          <w:rFonts w:cs="Arial"/>
          <w:color w:val="000000" w:themeColor="text1"/>
          <w:sz w:val="21"/>
          <w:szCs w:val="21"/>
          <w:lang w:eastAsia="en-AU"/>
        </w:rPr>
      </w:pPr>
      <w:r>
        <w:rPr>
          <w:rFonts w:cs="Arial"/>
          <w:color w:val="000000" w:themeColor="text1"/>
          <w:sz w:val="21"/>
          <w:szCs w:val="21"/>
          <w:lang w:eastAsia="en-AU"/>
        </w:rPr>
        <w:t>Senior</w:t>
      </w:r>
      <w:r w:rsidRPr="006F7EAF">
        <w:rPr>
          <w:rFonts w:cs="Arial"/>
          <w:color w:val="000000" w:themeColor="text1"/>
          <w:sz w:val="21"/>
          <w:szCs w:val="21"/>
          <w:lang w:eastAsia="en-AU"/>
        </w:rPr>
        <w:t xml:space="preserve"> DFAT and TASS staff (e.g. </w:t>
      </w:r>
      <w:r>
        <w:rPr>
          <w:rFonts w:cs="Arial"/>
          <w:color w:val="000000" w:themeColor="text1"/>
          <w:sz w:val="21"/>
          <w:szCs w:val="21"/>
          <w:lang w:eastAsia="en-AU"/>
        </w:rPr>
        <w:t xml:space="preserve">the Counsellor and Unit Manager, and </w:t>
      </w:r>
      <w:r w:rsidRPr="006F7EAF">
        <w:rPr>
          <w:rFonts w:cs="Arial"/>
          <w:color w:val="000000" w:themeColor="text1"/>
          <w:sz w:val="21"/>
          <w:szCs w:val="21"/>
          <w:lang w:eastAsia="en-AU"/>
        </w:rPr>
        <w:t>Facility Director</w:t>
      </w:r>
      <w:r>
        <w:rPr>
          <w:rFonts w:cs="Arial"/>
          <w:color w:val="000000" w:themeColor="text1"/>
          <w:sz w:val="21"/>
          <w:szCs w:val="21"/>
          <w:lang w:eastAsia="en-AU"/>
        </w:rPr>
        <w:t xml:space="preserve"> respectively</w:t>
      </w:r>
      <w:r w:rsidRPr="006F7EAF">
        <w:rPr>
          <w:rFonts w:cs="Arial"/>
          <w:color w:val="000000" w:themeColor="text1"/>
          <w:sz w:val="21"/>
          <w:szCs w:val="21"/>
          <w:lang w:eastAsia="en-AU"/>
        </w:rPr>
        <w:t>)</w:t>
      </w:r>
      <w:r>
        <w:rPr>
          <w:rFonts w:cs="Arial"/>
          <w:color w:val="000000" w:themeColor="text1"/>
          <w:sz w:val="21"/>
          <w:szCs w:val="21"/>
          <w:lang w:eastAsia="en-AU"/>
        </w:rPr>
        <w:t xml:space="preserve"> hold regular senior management meetings to discuss the TASS workplan, the status of current activities, and opportunities for future activities and strategic positioning. Insofar as possible, DFAT seeks to prioritise strategic management</w:t>
      </w:r>
      <w:r w:rsidR="00A056AE">
        <w:rPr>
          <w:rFonts w:cs="Arial"/>
          <w:color w:val="000000" w:themeColor="text1"/>
          <w:sz w:val="21"/>
          <w:szCs w:val="21"/>
          <w:lang w:eastAsia="en-AU"/>
        </w:rPr>
        <w:t xml:space="preserve">, </w:t>
      </w:r>
      <w:r>
        <w:rPr>
          <w:rFonts w:cs="Arial"/>
          <w:color w:val="000000" w:themeColor="text1"/>
          <w:sz w:val="21"/>
          <w:szCs w:val="21"/>
          <w:lang w:eastAsia="en-AU"/>
        </w:rPr>
        <w:t xml:space="preserve">policy engagement </w:t>
      </w:r>
      <w:r w:rsidR="00275B39">
        <w:rPr>
          <w:rFonts w:cs="Arial"/>
          <w:color w:val="000000" w:themeColor="text1"/>
          <w:sz w:val="21"/>
          <w:szCs w:val="21"/>
          <w:lang w:eastAsia="en-AU"/>
        </w:rPr>
        <w:t>and flexib</w:t>
      </w:r>
      <w:r w:rsidR="00A056AE">
        <w:rPr>
          <w:rFonts w:cs="Arial"/>
          <w:color w:val="000000" w:themeColor="text1"/>
          <w:sz w:val="21"/>
          <w:szCs w:val="21"/>
          <w:lang w:eastAsia="en-AU"/>
        </w:rPr>
        <w:t xml:space="preserve">ility </w:t>
      </w:r>
      <w:r w:rsidR="004F38FD">
        <w:rPr>
          <w:rFonts w:cs="Arial"/>
          <w:color w:val="000000" w:themeColor="text1"/>
          <w:sz w:val="21"/>
          <w:szCs w:val="21"/>
          <w:lang w:eastAsia="en-AU"/>
        </w:rPr>
        <w:t>over activity implementation</w:t>
      </w:r>
      <w:r>
        <w:rPr>
          <w:rFonts w:cs="Arial"/>
          <w:color w:val="000000" w:themeColor="text1"/>
          <w:sz w:val="21"/>
          <w:szCs w:val="21"/>
          <w:lang w:eastAsia="en-AU"/>
        </w:rPr>
        <w:t xml:space="preserve"> </w:t>
      </w:r>
      <w:r w:rsidRPr="00117DED">
        <w:rPr>
          <w:rFonts w:cs="Arial"/>
          <w:color w:val="000000" w:themeColor="text1"/>
          <w:sz w:val="21"/>
          <w:szCs w:val="21"/>
          <w:lang w:eastAsia="en-AU"/>
        </w:rPr>
        <w:t>and</w:t>
      </w:r>
      <w:r w:rsidR="0032447E">
        <w:rPr>
          <w:rFonts w:cs="Arial"/>
          <w:color w:val="000000" w:themeColor="text1"/>
          <w:sz w:val="21"/>
          <w:szCs w:val="21"/>
          <w:lang w:eastAsia="en-AU"/>
        </w:rPr>
        <w:t xml:space="preserve"> prescri</w:t>
      </w:r>
      <w:r w:rsidR="004F38FD">
        <w:rPr>
          <w:rFonts w:cs="Arial"/>
          <w:color w:val="000000" w:themeColor="text1"/>
          <w:sz w:val="21"/>
          <w:szCs w:val="21"/>
          <w:lang w:eastAsia="en-AU"/>
        </w:rPr>
        <w:t>ptive</w:t>
      </w:r>
      <w:r w:rsidRPr="00117DED">
        <w:rPr>
          <w:rFonts w:cs="Arial"/>
          <w:color w:val="000000" w:themeColor="text1"/>
          <w:sz w:val="21"/>
          <w:szCs w:val="21"/>
          <w:lang w:eastAsia="en-AU"/>
        </w:rPr>
        <w:t xml:space="preserve"> contract management, </w:t>
      </w:r>
      <w:r w:rsidR="0050436D" w:rsidRPr="00117DED">
        <w:rPr>
          <w:rFonts w:cs="Arial"/>
          <w:color w:val="000000" w:themeColor="text1"/>
          <w:sz w:val="21"/>
          <w:szCs w:val="21"/>
          <w:lang w:eastAsia="en-AU"/>
        </w:rPr>
        <w:t xml:space="preserve">while </w:t>
      </w:r>
      <w:r w:rsidRPr="00117DED">
        <w:rPr>
          <w:rFonts w:cs="Arial"/>
          <w:color w:val="000000" w:themeColor="text1"/>
          <w:sz w:val="21"/>
          <w:szCs w:val="21"/>
          <w:lang w:eastAsia="en-AU"/>
        </w:rPr>
        <w:t xml:space="preserve">delegating </w:t>
      </w:r>
      <w:r w:rsidR="00286B54" w:rsidRPr="00117DED">
        <w:rPr>
          <w:rFonts w:cs="Arial"/>
          <w:color w:val="000000" w:themeColor="text1"/>
          <w:sz w:val="21"/>
          <w:szCs w:val="21"/>
          <w:lang w:eastAsia="en-AU"/>
        </w:rPr>
        <w:t>a</w:t>
      </w:r>
      <w:r w:rsidR="00C656FD">
        <w:rPr>
          <w:rFonts w:cs="Arial"/>
          <w:color w:val="000000" w:themeColor="text1"/>
          <w:sz w:val="21"/>
          <w:szCs w:val="21"/>
          <w:lang w:eastAsia="en-AU"/>
        </w:rPr>
        <w:t xml:space="preserve">n appropriate </w:t>
      </w:r>
      <w:r w:rsidR="00286B54" w:rsidRPr="00117DED">
        <w:rPr>
          <w:rFonts w:cs="Arial"/>
          <w:color w:val="000000" w:themeColor="text1"/>
          <w:sz w:val="21"/>
          <w:szCs w:val="21"/>
          <w:lang w:eastAsia="en-AU"/>
        </w:rPr>
        <w:t xml:space="preserve">degree of </w:t>
      </w:r>
      <w:r w:rsidRPr="00117DED">
        <w:rPr>
          <w:rFonts w:cs="Arial"/>
          <w:color w:val="000000" w:themeColor="text1"/>
          <w:sz w:val="21"/>
          <w:szCs w:val="21"/>
          <w:lang w:eastAsia="en-AU"/>
        </w:rPr>
        <w:t>responsibility for operational matters to</w:t>
      </w:r>
      <w:r>
        <w:rPr>
          <w:rFonts w:cs="Arial"/>
          <w:color w:val="000000" w:themeColor="text1"/>
          <w:sz w:val="21"/>
          <w:szCs w:val="21"/>
          <w:lang w:eastAsia="en-AU"/>
        </w:rPr>
        <w:t xml:space="preserve"> TASS</w:t>
      </w:r>
      <w:r w:rsidR="00117DED">
        <w:rPr>
          <w:rFonts w:cs="Arial"/>
          <w:color w:val="000000" w:themeColor="text1"/>
          <w:sz w:val="21"/>
          <w:szCs w:val="21"/>
          <w:lang w:eastAsia="en-AU"/>
        </w:rPr>
        <w:t>. DFAT and TASS both seek to navigate DF</w:t>
      </w:r>
      <w:r>
        <w:rPr>
          <w:rFonts w:cs="Arial"/>
          <w:color w:val="000000" w:themeColor="text1"/>
          <w:sz w:val="21"/>
          <w:szCs w:val="21"/>
          <w:lang w:eastAsia="en-AU"/>
        </w:rPr>
        <w:t xml:space="preserve">AT’s policies and processes such that they </w:t>
      </w:r>
      <w:r w:rsidRPr="00117DED">
        <w:rPr>
          <w:rFonts w:cs="Arial"/>
          <w:i/>
          <w:color w:val="000000" w:themeColor="text1"/>
          <w:sz w:val="21"/>
          <w:szCs w:val="21"/>
          <w:lang w:eastAsia="en-AU"/>
        </w:rPr>
        <w:t>enable</w:t>
      </w:r>
      <w:r>
        <w:rPr>
          <w:rFonts w:cs="Arial"/>
          <w:color w:val="000000" w:themeColor="text1"/>
          <w:sz w:val="21"/>
          <w:szCs w:val="21"/>
          <w:lang w:eastAsia="en-AU"/>
        </w:rPr>
        <w:t xml:space="preserve">, not </w:t>
      </w:r>
      <w:r w:rsidRPr="00117DED">
        <w:rPr>
          <w:rFonts w:cs="Arial"/>
          <w:i/>
          <w:color w:val="000000" w:themeColor="text1"/>
          <w:sz w:val="21"/>
          <w:szCs w:val="21"/>
          <w:lang w:eastAsia="en-AU"/>
        </w:rPr>
        <w:t>constrain</w:t>
      </w:r>
      <w:r>
        <w:rPr>
          <w:rFonts w:cs="Arial"/>
          <w:color w:val="000000" w:themeColor="text1"/>
          <w:sz w:val="21"/>
          <w:szCs w:val="21"/>
          <w:lang w:eastAsia="en-AU"/>
        </w:rPr>
        <w:t xml:space="preserve">, timely, flexible and adaptive programming. </w:t>
      </w:r>
      <w:r w:rsidRPr="006F7EAF">
        <w:rPr>
          <w:rFonts w:cs="Arial"/>
          <w:color w:val="000000" w:themeColor="text1"/>
          <w:sz w:val="21"/>
          <w:szCs w:val="21"/>
          <w:lang w:eastAsia="en-AU"/>
        </w:rPr>
        <w:t xml:space="preserve"> </w:t>
      </w:r>
    </w:p>
    <w:p w:rsidR="00AC65D6" w:rsidRDefault="00AC65D6" w:rsidP="00AC65D6">
      <w:pPr>
        <w:tabs>
          <w:tab w:val="left" w:pos="284"/>
        </w:tabs>
        <w:suppressAutoHyphens w:val="0"/>
        <w:spacing w:before="0" w:line="280" w:lineRule="exact"/>
        <w:jc w:val="both"/>
        <w:rPr>
          <w:rFonts w:cs="Arial"/>
          <w:color w:val="000000" w:themeColor="text1"/>
          <w:sz w:val="21"/>
          <w:szCs w:val="21"/>
          <w:lang w:eastAsia="en-AU"/>
        </w:rPr>
      </w:pPr>
      <w:r>
        <w:rPr>
          <w:rFonts w:cs="Arial"/>
          <w:color w:val="000000" w:themeColor="text1"/>
          <w:sz w:val="21"/>
          <w:szCs w:val="21"/>
          <w:lang w:eastAsia="en-AU"/>
        </w:rPr>
        <w:t xml:space="preserve">While the INOVASI-TASS Steering Committee is responsible for setting the overall strategic direction, the TASS team has significant authority to determine how best to operationalise the strategy. The TASS </w:t>
      </w:r>
      <w:r w:rsidR="00190B17">
        <w:rPr>
          <w:rFonts w:cs="Arial"/>
          <w:color w:val="000000" w:themeColor="text1"/>
          <w:sz w:val="21"/>
          <w:szCs w:val="21"/>
          <w:lang w:eastAsia="en-AU"/>
        </w:rPr>
        <w:t xml:space="preserve">team </w:t>
      </w:r>
      <w:r>
        <w:rPr>
          <w:rFonts w:cs="Arial"/>
          <w:color w:val="000000" w:themeColor="text1"/>
          <w:sz w:val="21"/>
          <w:szCs w:val="21"/>
          <w:lang w:eastAsia="en-AU"/>
        </w:rPr>
        <w:t xml:space="preserve">works with the Steering Committee, participating decision-makers within the Indonesian Government and DFAT to co-identify and develop new opportunities and, if agreed, to design, manage and administer activities that meet Australia’s quality requirements and the Indonesian Government’s expectations. In line with </w:t>
      </w:r>
      <w:r w:rsidRPr="00FC5241">
        <w:rPr>
          <w:rFonts w:cs="Arial"/>
          <w:b/>
          <w:color w:val="000000" w:themeColor="text1"/>
          <w:sz w:val="21"/>
          <w:szCs w:val="21"/>
          <w:lang w:eastAsia="en-AU"/>
        </w:rPr>
        <w:t xml:space="preserve">DFAT’s </w:t>
      </w:r>
      <w:r w:rsidRPr="00FC5241">
        <w:rPr>
          <w:rFonts w:cs="Arial"/>
          <w:b/>
          <w:i/>
          <w:color w:val="000000" w:themeColor="text1"/>
          <w:sz w:val="21"/>
          <w:szCs w:val="21"/>
          <w:lang w:eastAsia="en-AU"/>
        </w:rPr>
        <w:t>Public Diplomacy Strategy</w:t>
      </w:r>
      <w:r>
        <w:rPr>
          <w:rFonts w:cs="Arial"/>
          <w:color w:val="000000" w:themeColor="text1"/>
          <w:sz w:val="21"/>
          <w:szCs w:val="21"/>
          <w:lang w:eastAsia="en-AU"/>
        </w:rPr>
        <w:t xml:space="preserve"> and TASS’s </w:t>
      </w:r>
      <w:r w:rsidRPr="00615AF3">
        <w:rPr>
          <w:rFonts w:cs="Arial"/>
          <w:i/>
          <w:color w:val="000000" w:themeColor="text1"/>
          <w:sz w:val="21"/>
          <w:szCs w:val="21"/>
          <w:lang w:eastAsia="en-AU"/>
        </w:rPr>
        <w:t>Communications Plan</w:t>
      </w:r>
      <w:r>
        <w:rPr>
          <w:rFonts w:cs="Arial"/>
          <w:i/>
          <w:color w:val="000000" w:themeColor="text1"/>
          <w:sz w:val="21"/>
          <w:szCs w:val="21"/>
          <w:lang w:eastAsia="en-AU"/>
        </w:rPr>
        <w:t>,</w:t>
      </w:r>
      <w:r>
        <w:rPr>
          <w:rFonts w:cs="Arial"/>
          <w:color w:val="000000" w:themeColor="text1"/>
          <w:sz w:val="21"/>
          <w:szCs w:val="21"/>
          <w:lang w:eastAsia="en-AU"/>
        </w:rPr>
        <w:t xml:space="preserve"> DFAT and TASS actively look to </w:t>
      </w:r>
      <w:r w:rsidRPr="00DC21BB">
        <w:rPr>
          <w:rFonts w:cs="Arial"/>
          <w:color w:val="000000" w:themeColor="text1"/>
          <w:sz w:val="21"/>
          <w:szCs w:val="21"/>
          <w:lang w:eastAsia="en-AU"/>
        </w:rPr>
        <w:t>inform</w:t>
      </w:r>
      <w:r>
        <w:rPr>
          <w:rFonts w:cs="Arial"/>
          <w:color w:val="000000" w:themeColor="text1"/>
          <w:sz w:val="21"/>
          <w:szCs w:val="21"/>
          <w:lang w:eastAsia="en-AU"/>
        </w:rPr>
        <w:t xml:space="preserve"> and, where relevant, shape</w:t>
      </w:r>
      <w:r w:rsidRPr="00DC21BB">
        <w:rPr>
          <w:rFonts w:cs="Arial"/>
          <w:color w:val="000000" w:themeColor="text1"/>
          <w:sz w:val="21"/>
          <w:szCs w:val="21"/>
          <w:lang w:eastAsia="en-AU"/>
        </w:rPr>
        <w:t xml:space="preserve"> </w:t>
      </w:r>
      <w:r>
        <w:rPr>
          <w:rFonts w:cs="Arial"/>
          <w:color w:val="000000" w:themeColor="text1"/>
          <w:sz w:val="21"/>
          <w:szCs w:val="21"/>
          <w:lang w:eastAsia="en-AU"/>
        </w:rPr>
        <w:t>the understanding of reform-minded ‘policy entrepreneurs’ whose interests are aligned with the End-of-Facility-Outcomes and</w:t>
      </w:r>
      <w:r w:rsidR="00BB6A6F">
        <w:rPr>
          <w:rFonts w:cs="Arial"/>
          <w:color w:val="000000" w:themeColor="text1"/>
          <w:sz w:val="21"/>
          <w:szCs w:val="21"/>
          <w:lang w:eastAsia="en-AU"/>
        </w:rPr>
        <w:t xml:space="preserve">, more broadly, to inform </w:t>
      </w:r>
      <w:r>
        <w:rPr>
          <w:rFonts w:cs="Arial"/>
          <w:color w:val="000000" w:themeColor="text1"/>
          <w:sz w:val="21"/>
          <w:szCs w:val="21"/>
          <w:lang w:eastAsia="en-AU"/>
        </w:rPr>
        <w:t xml:space="preserve">the wider population </w:t>
      </w:r>
      <w:r w:rsidR="00BB6A6F">
        <w:rPr>
          <w:rFonts w:cs="Arial"/>
          <w:color w:val="000000" w:themeColor="text1"/>
          <w:sz w:val="21"/>
          <w:szCs w:val="21"/>
          <w:lang w:eastAsia="en-AU"/>
        </w:rPr>
        <w:t>about</w:t>
      </w:r>
      <w:r>
        <w:rPr>
          <w:rFonts w:cs="Arial"/>
          <w:color w:val="000000" w:themeColor="text1"/>
          <w:sz w:val="21"/>
          <w:szCs w:val="21"/>
          <w:lang w:eastAsia="en-AU"/>
        </w:rPr>
        <w:t xml:space="preserve"> TASS and Australian development assistance</w:t>
      </w:r>
      <w:r w:rsidR="00815A2D">
        <w:rPr>
          <w:rFonts w:cs="Arial"/>
          <w:color w:val="000000" w:themeColor="text1"/>
          <w:sz w:val="21"/>
          <w:szCs w:val="21"/>
          <w:lang w:eastAsia="en-AU"/>
        </w:rPr>
        <w:t xml:space="preserve"> more </w:t>
      </w:r>
      <w:r w:rsidR="00C962DD">
        <w:rPr>
          <w:rFonts w:cs="Arial"/>
          <w:color w:val="000000" w:themeColor="text1"/>
          <w:sz w:val="21"/>
          <w:szCs w:val="21"/>
          <w:lang w:eastAsia="en-AU"/>
        </w:rPr>
        <w:t>generally</w:t>
      </w:r>
      <w:r>
        <w:rPr>
          <w:rFonts w:cs="Arial"/>
          <w:color w:val="000000" w:themeColor="text1"/>
          <w:sz w:val="21"/>
          <w:szCs w:val="21"/>
          <w:lang w:eastAsia="en-AU"/>
        </w:rPr>
        <w:t xml:space="preserve">. </w:t>
      </w:r>
    </w:p>
    <w:p w:rsidR="00AC65D6" w:rsidRPr="008A3161" w:rsidRDefault="00AC65D6" w:rsidP="00AC65D6">
      <w:pPr>
        <w:pStyle w:val="BodyText"/>
        <w:rPr>
          <w:rFonts w:cs="Arial"/>
          <w:color w:val="557B32" w:themeColor="accent2" w:themeShade="80"/>
          <w:sz w:val="21"/>
          <w:szCs w:val="21"/>
          <w:lang w:eastAsia="en-AU"/>
        </w:rPr>
      </w:pPr>
      <w:r w:rsidRPr="008A3161">
        <w:rPr>
          <w:rFonts w:cs="Arial"/>
          <w:color w:val="557B32" w:themeColor="accent2" w:themeShade="80"/>
          <w:sz w:val="21"/>
          <w:szCs w:val="21"/>
          <w:lang w:eastAsia="en-AU"/>
        </w:rPr>
        <w:t xml:space="preserve">Identification, appraisal and implementation of activities </w:t>
      </w:r>
    </w:p>
    <w:p w:rsidR="00AC65D6" w:rsidRDefault="00AC65D6" w:rsidP="003D2FAE">
      <w:pPr>
        <w:tabs>
          <w:tab w:val="left" w:pos="284"/>
        </w:tabs>
        <w:suppressAutoHyphens w:val="0"/>
        <w:spacing w:before="0" w:line="280" w:lineRule="exact"/>
        <w:jc w:val="both"/>
        <w:rPr>
          <w:rFonts w:cs="Arial"/>
          <w:color w:val="000000" w:themeColor="text1"/>
          <w:sz w:val="21"/>
          <w:szCs w:val="21"/>
          <w:lang w:eastAsia="en-AU"/>
        </w:rPr>
      </w:pPr>
      <w:r w:rsidRPr="00BD71AB">
        <w:rPr>
          <w:rFonts w:cs="Arial"/>
          <w:color w:val="000000" w:themeColor="text1"/>
          <w:sz w:val="21"/>
          <w:szCs w:val="21"/>
          <w:lang w:eastAsia="en-AU"/>
        </w:rPr>
        <w:t>TASS is not a ‘responsive</w:t>
      </w:r>
      <w:r>
        <w:rPr>
          <w:rFonts w:cs="Arial"/>
          <w:color w:val="000000" w:themeColor="text1"/>
          <w:sz w:val="21"/>
          <w:szCs w:val="21"/>
          <w:lang w:eastAsia="en-AU"/>
        </w:rPr>
        <w:t>,</w:t>
      </w:r>
      <w:r w:rsidRPr="00BD71AB">
        <w:rPr>
          <w:rFonts w:cs="Arial"/>
          <w:color w:val="000000" w:themeColor="text1"/>
          <w:sz w:val="21"/>
          <w:szCs w:val="21"/>
          <w:lang w:eastAsia="en-AU"/>
        </w:rPr>
        <w:t xml:space="preserve"> demand-driven’ facility</w:t>
      </w:r>
      <w:r>
        <w:rPr>
          <w:rFonts w:cs="Arial"/>
          <w:color w:val="000000" w:themeColor="text1"/>
          <w:sz w:val="21"/>
          <w:szCs w:val="21"/>
          <w:lang w:eastAsia="en-AU"/>
        </w:rPr>
        <w:t xml:space="preserve"> </w:t>
      </w:r>
      <w:r w:rsidRPr="007C7B32">
        <w:rPr>
          <w:rFonts w:cs="Arial"/>
          <w:i/>
          <w:color w:val="000000" w:themeColor="text1"/>
          <w:sz w:val="21"/>
          <w:szCs w:val="21"/>
          <w:lang w:eastAsia="en-AU"/>
        </w:rPr>
        <w:t>per se</w:t>
      </w:r>
      <w:r>
        <w:rPr>
          <w:rFonts w:cs="Arial"/>
          <w:color w:val="000000" w:themeColor="text1"/>
          <w:sz w:val="21"/>
          <w:szCs w:val="21"/>
          <w:lang w:eastAsia="en-AU"/>
        </w:rPr>
        <w:t xml:space="preserve"> - </w:t>
      </w:r>
      <w:r w:rsidRPr="00BD71AB">
        <w:rPr>
          <w:rFonts w:cs="Arial"/>
          <w:color w:val="000000" w:themeColor="text1"/>
          <w:sz w:val="21"/>
          <w:szCs w:val="21"/>
          <w:lang w:eastAsia="en-AU"/>
        </w:rPr>
        <w:t xml:space="preserve">it is not </w:t>
      </w:r>
      <w:r>
        <w:rPr>
          <w:rFonts w:cs="Arial"/>
          <w:color w:val="000000" w:themeColor="text1"/>
          <w:sz w:val="21"/>
          <w:szCs w:val="21"/>
          <w:lang w:eastAsia="en-AU"/>
        </w:rPr>
        <w:t>a</w:t>
      </w:r>
      <w:r w:rsidRPr="00BD71AB">
        <w:rPr>
          <w:rFonts w:cs="Arial"/>
          <w:color w:val="000000" w:themeColor="text1"/>
          <w:sz w:val="21"/>
          <w:szCs w:val="21"/>
          <w:lang w:eastAsia="en-AU"/>
        </w:rPr>
        <w:t xml:space="preserve"> passive recipient of requests</w:t>
      </w:r>
      <w:r w:rsidR="00C962DD">
        <w:rPr>
          <w:rFonts w:cs="Arial"/>
          <w:color w:val="000000" w:themeColor="text1"/>
          <w:sz w:val="21"/>
          <w:szCs w:val="21"/>
          <w:lang w:eastAsia="en-AU"/>
        </w:rPr>
        <w:t xml:space="preserve"> </w:t>
      </w:r>
      <w:r w:rsidR="000E4B8F">
        <w:rPr>
          <w:rFonts w:cs="Arial"/>
          <w:color w:val="000000" w:themeColor="text1"/>
          <w:sz w:val="21"/>
          <w:szCs w:val="21"/>
          <w:lang w:eastAsia="en-AU"/>
        </w:rPr>
        <w:t>or</w:t>
      </w:r>
      <w:r>
        <w:rPr>
          <w:rFonts w:cs="Arial"/>
          <w:color w:val="000000" w:themeColor="text1"/>
          <w:sz w:val="21"/>
          <w:szCs w:val="21"/>
          <w:lang w:eastAsia="en-AU"/>
        </w:rPr>
        <w:t xml:space="preserve"> a sector-wide ‘enabling facility’ conceived to </w:t>
      </w:r>
      <w:r w:rsidR="003D2FAE">
        <w:rPr>
          <w:rFonts w:cs="Arial"/>
          <w:color w:val="000000" w:themeColor="text1"/>
          <w:sz w:val="21"/>
          <w:szCs w:val="21"/>
          <w:lang w:eastAsia="en-AU"/>
        </w:rPr>
        <w:t xml:space="preserve">process activities and </w:t>
      </w:r>
      <w:r>
        <w:rPr>
          <w:rFonts w:cs="Arial"/>
          <w:color w:val="000000" w:themeColor="text1"/>
          <w:sz w:val="21"/>
          <w:szCs w:val="21"/>
          <w:lang w:eastAsia="en-AU"/>
        </w:rPr>
        <w:t>deliver efficiency gains</w:t>
      </w:r>
      <w:r w:rsidRPr="00BD71AB">
        <w:rPr>
          <w:rFonts w:cs="Arial"/>
          <w:color w:val="000000" w:themeColor="text1"/>
          <w:sz w:val="21"/>
          <w:szCs w:val="21"/>
          <w:lang w:eastAsia="en-AU"/>
        </w:rPr>
        <w:t xml:space="preserve">. </w:t>
      </w:r>
      <w:r w:rsidR="003D2FAE">
        <w:rPr>
          <w:rFonts w:cs="Arial"/>
          <w:color w:val="000000" w:themeColor="text1"/>
          <w:sz w:val="21"/>
          <w:szCs w:val="21"/>
          <w:lang w:eastAsia="en-AU"/>
        </w:rPr>
        <w:t>Rather a</w:t>
      </w:r>
      <w:r w:rsidRPr="00BD71AB">
        <w:rPr>
          <w:rFonts w:cs="Arial"/>
          <w:color w:val="000000" w:themeColor="text1"/>
          <w:sz w:val="21"/>
          <w:szCs w:val="21"/>
          <w:lang w:eastAsia="en-AU"/>
        </w:rPr>
        <w:t xml:space="preserve">s a ‘smart facility’ that seeks to think and work politically, </w:t>
      </w:r>
      <w:r w:rsidRPr="00020A64">
        <w:rPr>
          <w:rFonts w:cs="Arial"/>
          <w:b/>
          <w:color w:val="000000" w:themeColor="text1"/>
          <w:sz w:val="21"/>
          <w:szCs w:val="21"/>
          <w:lang w:eastAsia="en-AU"/>
        </w:rPr>
        <w:t>TASS is an active participant in the Indonesian education sector</w:t>
      </w:r>
      <w:r w:rsidRPr="00BD71AB">
        <w:rPr>
          <w:rFonts w:cs="Arial"/>
          <w:color w:val="000000" w:themeColor="text1"/>
          <w:sz w:val="21"/>
          <w:szCs w:val="21"/>
          <w:lang w:eastAsia="en-AU"/>
        </w:rPr>
        <w:t>: it is variously a broker, a shaper, a disrupter and supporter of locally-led reform agendas.</w:t>
      </w:r>
      <w:r w:rsidR="003D2FAE">
        <w:rPr>
          <w:rFonts w:cs="Arial"/>
          <w:color w:val="000000" w:themeColor="text1"/>
          <w:sz w:val="21"/>
          <w:szCs w:val="21"/>
          <w:lang w:eastAsia="en-AU"/>
        </w:rPr>
        <w:t xml:space="preserve"> As such, </w:t>
      </w:r>
      <w:r>
        <w:rPr>
          <w:rFonts w:cs="Arial"/>
          <w:color w:val="000000" w:themeColor="text1"/>
          <w:sz w:val="21"/>
          <w:szCs w:val="21"/>
          <w:lang w:eastAsia="en-AU"/>
        </w:rPr>
        <w:t xml:space="preserve">TASS seeks to apply processes that are fit for purpose and which meet </w:t>
      </w:r>
      <w:r w:rsidR="005E6D26">
        <w:rPr>
          <w:rFonts w:cs="Arial"/>
          <w:color w:val="000000" w:themeColor="text1"/>
          <w:sz w:val="21"/>
          <w:szCs w:val="21"/>
          <w:lang w:eastAsia="en-AU"/>
        </w:rPr>
        <w:t>the processual</w:t>
      </w:r>
      <w:r>
        <w:rPr>
          <w:rFonts w:cs="Arial"/>
          <w:color w:val="000000" w:themeColor="text1"/>
          <w:sz w:val="21"/>
          <w:szCs w:val="21"/>
          <w:lang w:eastAsia="en-AU"/>
        </w:rPr>
        <w:t xml:space="preserve"> requirements of the Australian Government. Insofar as there is a typical activity, they are first screened and scoped, then designed, prepared</w:t>
      </w:r>
      <w:r w:rsidR="00750824">
        <w:rPr>
          <w:rFonts w:cs="Arial"/>
          <w:color w:val="000000" w:themeColor="text1"/>
          <w:sz w:val="21"/>
          <w:szCs w:val="21"/>
          <w:lang w:eastAsia="en-AU"/>
        </w:rPr>
        <w:t xml:space="preserve"> and approved</w:t>
      </w:r>
      <w:r>
        <w:rPr>
          <w:rFonts w:cs="Arial"/>
          <w:color w:val="000000" w:themeColor="text1"/>
          <w:sz w:val="21"/>
          <w:szCs w:val="21"/>
          <w:lang w:eastAsia="en-AU"/>
        </w:rPr>
        <w:t xml:space="preserve">, </w:t>
      </w:r>
      <w:r w:rsidR="005E6D26">
        <w:rPr>
          <w:rFonts w:cs="Arial"/>
          <w:color w:val="000000" w:themeColor="text1"/>
          <w:sz w:val="21"/>
          <w:szCs w:val="21"/>
          <w:lang w:eastAsia="en-AU"/>
        </w:rPr>
        <w:t xml:space="preserve">and </w:t>
      </w:r>
      <w:r>
        <w:rPr>
          <w:rFonts w:cs="Arial"/>
          <w:color w:val="000000" w:themeColor="text1"/>
          <w:sz w:val="21"/>
          <w:szCs w:val="21"/>
          <w:lang w:eastAsia="en-AU"/>
        </w:rPr>
        <w:t xml:space="preserve">then </w:t>
      </w:r>
      <w:r w:rsidR="005E6D26">
        <w:rPr>
          <w:rFonts w:cs="Arial"/>
          <w:color w:val="000000" w:themeColor="text1"/>
          <w:sz w:val="21"/>
          <w:szCs w:val="21"/>
          <w:lang w:eastAsia="en-AU"/>
        </w:rPr>
        <w:t xml:space="preserve">implemented and </w:t>
      </w:r>
      <w:r>
        <w:rPr>
          <w:rFonts w:cs="Arial"/>
          <w:color w:val="000000" w:themeColor="text1"/>
          <w:sz w:val="21"/>
          <w:szCs w:val="21"/>
          <w:lang w:eastAsia="en-AU"/>
        </w:rPr>
        <w:t>followed-up (i.e. reviewed and assessed for necessary actions) (</w:t>
      </w:r>
      <w:r w:rsidRPr="000F04A9">
        <w:rPr>
          <w:rFonts w:cs="Arial"/>
          <w:color w:val="000000" w:themeColor="text1"/>
          <w:sz w:val="21"/>
          <w:szCs w:val="21"/>
          <w:lang w:eastAsia="en-AU"/>
        </w:rPr>
        <w:t>see Annex</w:t>
      </w:r>
      <w:r w:rsidR="006C2D7B" w:rsidRPr="000F04A9">
        <w:rPr>
          <w:rFonts w:cs="Arial"/>
          <w:color w:val="000000" w:themeColor="text1"/>
          <w:sz w:val="21"/>
          <w:szCs w:val="21"/>
          <w:lang w:eastAsia="en-AU"/>
        </w:rPr>
        <w:t>es</w:t>
      </w:r>
      <w:r w:rsidRPr="000F04A9">
        <w:rPr>
          <w:rFonts w:cs="Arial"/>
          <w:color w:val="000000" w:themeColor="text1"/>
          <w:sz w:val="21"/>
          <w:szCs w:val="21"/>
          <w:lang w:eastAsia="en-AU"/>
        </w:rPr>
        <w:t xml:space="preserve"> </w:t>
      </w:r>
      <w:r w:rsidR="00340F79" w:rsidRPr="000F04A9">
        <w:rPr>
          <w:rFonts w:cs="Arial"/>
          <w:color w:val="000000" w:themeColor="text1"/>
          <w:sz w:val="21"/>
          <w:szCs w:val="21"/>
          <w:lang w:eastAsia="en-AU"/>
        </w:rPr>
        <w:t>D</w:t>
      </w:r>
      <w:r w:rsidR="006C2D7B" w:rsidRPr="000F04A9">
        <w:rPr>
          <w:rFonts w:cs="Arial"/>
          <w:color w:val="000000" w:themeColor="text1"/>
          <w:sz w:val="21"/>
          <w:szCs w:val="21"/>
          <w:lang w:eastAsia="en-AU"/>
        </w:rPr>
        <w:t xml:space="preserve"> and E</w:t>
      </w:r>
      <w:r w:rsidRPr="000F04A9">
        <w:rPr>
          <w:rFonts w:cs="Arial"/>
          <w:color w:val="000000" w:themeColor="text1"/>
          <w:sz w:val="21"/>
          <w:szCs w:val="21"/>
          <w:lang w:eastAsia="en-AU"/>
        </w:rPr>
        <w:t xml:space="preserve">). Where </w:t>
      </w:r>
      <w:r w:rsidR="00AB1140" w:rsidRPr="000F04A9">
        <w:rPr>
          <w:rFonts w:cs="Arial"/>
          <w:color w:val="000000" w:themeColor="text1"/>
          <w:sz w:val="21"/>
          <w:szCs w:val="21"/>
          <w:lang w:eastAsia="en-AU"/>
        </w:rPr>
        <w:t>potential</w:t>
      </w:r>
      <w:r w:rsidRPr="000F04A9">
        <w:rPr>
          <w:rFonts w:cs="Arial"/>
          <w:color w:val="000000" w:themeColor="text1"/>
          <w:sz w:val="21"/>
          <w:szCs w:val="21"/>
          <w:lang w:eastAsia="en-AU"/>
        </w:rPr>
        <w:t xml:space="preserve"> activities first appear </w:t>
      </w:r>
      <w:r w:rsidR="00AB1140" w:rsidRPr="000F04A9">
        <w:rPr>
          <w:rFonts w:cs="Arial"/>
          <w:color w:val="000000" w:themeColor="text1"/>
          <w:sz w:val="21"/>
          <w:szCs w:val="21"/>
          <w:lang w:eastAsia="en-AU"/>
        </w:rPr>
        <w:t>to be unstrategic</w:t>
      </w:r>
      <w:r w:rsidRPr="000F04A9">
        <w:rPr>
          <w:rFonts w:cs="Arial"/>
          <w:color w:val="000000" w:themeColor="text1"/>
          <w:sz w:val="21"/>
          <w:szCs w:val="21"/>
          <w:lang w:eastAsia="en-AU"/>
        </w:rPr>
        <w:t xml:space="preserve"> in nature, TASS may have discussions with the requesting</w:t>
      </w:r>
      <w:r w:rsidRPr="00303041">
        <w:rPr>
          <w:rFonts w:cs="Arial"/>
          <w:color w:val="000000" w:themeColor="text1"/>
          <w:sz w:val="21"/>
          <w:szCs w:val="21"/>
          <w:lang w:eastAsia="en-AU"/>
        </w:rPr>
        <w:t xml:space="preserve"> agency to better refine or reshape the request</w:t>
      </w:r>
      <w:r>
        <w:rPr>
          <w:rFonts w:cs="Arial"/>
          <w:color w:val="000000" w:themeColor="text1"/>
          <w:sz w:val="21"/>
          <w:szCs w:val="21"/>
          <w:lang w:eastAsia="en-AU"/>
        </w:rPr>
        <w:t xml:space="preserve"> so that it becomes more transformative in nature</w:t>
      </w:r>
      <w:r w:rsidRPr="00303041">
        <w:rPr>
          <w:rFonts w:cs="Arial"/>
          <w:color w:val="000000" w:themeColor="text1"/>
          <w:sz w:val="21"/>
          <w:szCs w:val="21"/>
          <w:lang w:eastAsia="en-AU"/>
        </w:rPr>
        <w:t xml:space="preserve">. </w:t>
      </w:r>
      <w:r>
        <w:rPr>
          <w:rFonts w:cs="Arial"/>
          <w:color w:val="000000" w:themeColor="text1"/>
          <w:sz w:val="21"/>
          <w:szCs w:val="21"/>
          <w:lang w:eastAsia="en-AU"/>
        </w:rPr>
        <w:t>Funding decisions are taken by DFAT (in collaboration with TASS and within the parameters agreed by the INOVASI-TASS Steering Committee).</w:t>
      </w:r>
    </w:p>
    <w:p w:rsidR="00883C2C" w:rsidRDefault="00883C2C" w:rsidP="00AC65D6">
      <w:pPr>
        <w:tabs>
          <w:tab w:val="left" w:pos="284"/>
        </w:tabs>
        <w:suppressAutoHyphens w:val="0"/>
        <w:spacing w:after="120" w:line="280" w:lineRule="exact"/>
        <w:jc w:val="both"/>
        <w:rPr>
          <w:rFonts w:cs="Arial"/>
          <w:color w:val="000000" w:themeColor="text1"/>
          <w:sz w:val="21"/>
          <w:szCs w:val="21"/>
          <w:lang w:eastAsia="en-AU"/>
        </w:rPr>
      </w:pPr>
      <w:r w:rsidRPr="00883C2C">
        <w:rPr>
          <w:rFonts w:cs="Arial"/>
          <w:color w:val="000000" w:themeColor="text1"/>
          <w:sz w:val="21"/>
          <w:szCs w:val="21"/>
          <w:lang w:eastAsia="en-AU"/>
        </w:rPr>
        <w:t>For DFAT</w:t>
      </w:r>
      <w:r w:rsidR="00B04836">
        <w:rPr>
          <w:rFonts w:cs="Arial"/>
          <w:color w:val="000000" w:themeColor="text1"/>
          <w:sz w:val="21"/>
          <w:szCs w:val="21"/>
          <w:lang w:eastAsia="en-AU"/>
        </w:rPr>
        <w:t>-</w:t>
      </w:r>
      <w:r w:rsidRPr="00883C2C">
        <w:rPr>
          <w:rFonts w:cs="Arial"/>
          <w:color w:val="000000" w:themeColor="text1"/>
          <w:sz w:val="21"/>
          <w:szCs w:val="21"/>
          <w:lang w:eastAsia="en-AU"/>
        </w:rPr>
        <w:t>generated tasking notes</w:t>
      </w:r>
      <w:r w:rsidR="00B04836">
        <w:rPr>
          <w:rFonts w:cs="Arial"/>
          <w:color w:val="000000" w:themeColor="text1"/>
          <w:sz w:val="21"/>
          <w:szCs w:val="21"/>
          <w:lang w:eastAsia="en-AU"/>
        </w:rPr>
        <w:t>,</w:t>
      </w:r>
      <w:r w:rsidRPr="00883C2C">
        <w:rPr>
          <w:rFonts w:cs="Arial"/>
          <w:color w:val="000000" w:themeColor="text1"/>
          <w:sz w:val="21"/>
          <w:szCs w:val="21"/>
          <w:lang w:eastAsia="en-AU"/>
        </w:rPr>
        <w:t xml:space="preserve"> TASS develop</w:t>
      </w:r>
      <w:r w:rsidR="00B04836">
        <w:rPr>
          <w:rFonts w:cs="Arial"/>
          <w:color w:val="000000" w:themeColor="text1"/>
          <w:sz w:val="21"/>
          <w:szCs w:val="21"/>
          <w:lang w:eastAsia="en-AU"/>
        </w:rPr>
        <w:t>s</w:t>
      </w:r>
      <w:r w:rsidRPr="00883C2C">
        <w:rPr>
          <w:rFonts w:cs="Arial"/>
          <w:color w:val="000000" w:themeColor="text1"/>
          <w:sz w:val="21"/>
          <w:szCs w:val="21"/>
          <w:lang w:eastAsia="en-AU"/>
        </w:rPr>
        <w:t xml:space="preserve"> an activity package that contains a Tasking Note and/or Terms of Reference for approval</w:t>
      </w:r>
      <w:r w:rsidR="00F5497F">
        <w:rPr>
          <w:rFonts w:cs="Arial"/>
          <w:color w:val="000000" w:themeColor="text1"/>
          <w:sz w:val="21"/>
          <w:szCs w:val="21"/>
          <w:lang w:eastAsia="en-AU"/>
        </w:rPr>
        <w:t xml:space="preserve"> and, where relevant, a</w:t>
      </w:r>
      <w:r w:rsidRPr="00883C2C">
        <w:rPr>
          <w:rFonts w:cs="Arial"/>
          <w:color w:val="000000" w:themeColor="text1"/>
          <w:sz w:val="21"/>
          <w:szCs w:val="21"/>
          <w:lang w:eastAsia="en-AU"/>
        </w:rPr>
        <w:t xml:space="preserve"> budget and/or procurement proposal.</w:t>
      </w:r>
    </w:p>
    <w:p w:rsidR="00AC65D6" w:rsidRPr="008A3161" w:rsidRDefault="00580D7F" w:rsidP="00AC65D6">
      <w:pPr>
        <w:pStyle w:val="BodyText"/>
        <w:spacing w:after="120" w:line="280" w:lineRule="exact"/>
        <w:jc w:val="both"/>
        <w:rPr>
          <w:rFonts w:cs="Arial"/>
          <w:color w:val="557B32" w:themeColor="accent2" w:themeShade="80"/>
          <w:sz w:val="21"/>
          <w:szCs w:val="21"/>
          <w:lang w:eastAsia="en-AU"/>
        </w:rPr>
      </w:pPr>
      <w:r>
        <w:rPr>
          <w:rFonts w:cs="Arial"/>
          <w:color w:val="557B32" w:themeColor="accent2" w:themeShade="80"/>
          <w:sz w:val="21"/>
          <w:szCs w:val="21"/>
          <w:lang w:eastAsia="en-AU"/>
        </w:rPr>
        <w:t>I</w:t>
      </w:r>
      <w:r w:rsidR="00AC65D6" w:rsidRPr="008A3161">
        <w:rPr>
          <w:rFonts w:cs="Arial"/>
          <w:color w:val="557B32" w:themeColor="accent2" w:themeShade="80"/>
          <w:sz w:val="21"/>
          <w:szCs w:val="21"/>
          <w:lang w:eastAsia="en-AU"/>
        </w:rPr>
        <w:t xml:space="preserve">ssues that may affect investment sustainability, i.e. the pursuit of ‘enduring </w:t>
      </w:r>
      <w:r w:rsidR="00CD4391">
        <w:rPr>
          <w:rFonts w:cs="Arial"/>
          <w:color w:val="557B32" w:themeColor="accent2" w:themeShade="80"/>
          <w:sz w:val="21"/>
          <w:szCs w:val="21"/>
          <w:lang w:eastAsia="en-AU"/>
        </w:rPr>
        <w:t>influence</w:t>
      </w:r>
      <w:r w:rsidR="00AC65D6" w:rsidRPr="008A3161">
        <w:rPr>
          <w:rFonts w:cs="Arial"/>
          <w:color w:val="557B32" w:themeColor="accent2" w:themeShade="80"/>
          <w:sz w:val="21"/>
          <w:szCs w:val="21"/>
          <w:lang w:eastAsia="en-AU"/>
        </w:rPr>
        <w:t xml:space="preserve">’ . </w:t>
      </w:r>
    </w:p>
    <w:p w:rsidR="00AC65D6" w:rsidRDefault="003034FD" w:rsidP="00AC65D6">
      <w:pPr>
        <w:tabs>
          <w:tab w:val="left" w:pos="284"/>
        </w:tabs>
        <w:suppressAutoHyphens w:val="0"/>
        <w:spacing w:after="120" w:line="280" w:lineRule="exact"/>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 xml:space="preserve">The pursuit of </w:t>
      </w:r>
      <w:r w:rsidR="006F7A02">
        <w:rPr>
          <w:rFonts w:eastAsia="Times New Roman" w:cs="Arial"/>
          <w:color w:val="000000" w:themeColor="text1"/>
          <w:sz w:val="21"/>
          <w:szCs w:val="21"/>
          <w:lang w:val="en-AU" w:eastAsia="en-AU"/>
        </w:rPr>
        <w:t xml:space="preserve">systems strengthening </w:t>
      </w:r>
      <w:r w:rsidR="00AC65D6" w:rsidRPr="00C30DDF">
        <w:rPr>
          <w:rFonts w:eastAsia="Times New Roman" w:cs="Arial"/>
          <w:color w:val="000000" w:themeColor="text1"/>
          <w:sz w:val="21"/>
          <w:szCs w:val="21"/>
          <w:lang w:val="en-AU" w:eastAsia="en-AU"/>
        </w:rPr>
        <w:t>is complicated and frequently complex</w:t>
      </w:r>
      <w:r w:rsidR="00401B75">
        <w:rPr>
          <w:rFonts w:eastAsia="Times New Roman" w:cs="Arial"/>
          <w:color w:val="000000" w:themeColor="text1"/>
          <w:sz w:val="21"/>
          <w:szCs w:val="21"/>
          <w:lang w:val="en-AU" w:eastAsia="en-AU"/>
        </w:rPr>
        <w:t>. The</w:t>
      </w:r>
      <w:r w:rsidR="00401B75" w:rsidRPr="00C30DDF">
        <w:rPr>
          <w:rFonts w:eastAsia="Times New Roman" w:cs="Arial"/>
          <w:color w:val="000000" w:themeColor="text1"/>
          <w:sz w:val="21"/>
          <w:szCs w:val="21"/>
          <w:lang w:val="en-AU" w:eastAsia="en-AU"/>
        </w:rPr>
        <w:t xml:space="preserve"> </w:t>
      </w:r>
      <w:hyperlink r:id="rId11" w:history="1">
        <w:r w:rsidR="00401B75" w:rsidRPr="006271EB">
          <w:rPr>
            <w:rStyle w:val="Hyperlink"/>
            <w:rFonts w:eastAsia="Times New Roman" w:cs="Arial"/>
            <w:i/>
            <w:sz w:val="21"/>
            <w:szCs w:val="21"/>
            <w:lang w:val="en-AU" w:eastAsia="en-AU"/>
          </w:rPr>
          <w:t>Independent Completion Report of the Australia-Indonesia Education Partnership</w:t>
        </w:r>
      </w:hyperlink>
      <w:r w:rsidR="00401B75" w:rsidRPr="00C30DDF">
        <w:rPr>
          <w:rFonts w:eastAsia="Times New Roman" w:cs="Arial"/>
          <w:color w:val="000000" w:themeColor="text1"/>
          <w:sz w:val="21"/>
          <w:szCs w:val="21"/>
          <w:lang w:val="en-AU" w:eastAsia="en-AU"/>
        </w:rPr>
        <w:t xml:space="preserve"> (2011-16) and a </w:t>
      </w:r>
      <w:r w:rsidR="00C43A94">
        <w:rPr>
          <w:rFonts w:eastAsia="Times New Roman" w:cs="Arial"/>
          <w:color w:val="000000" w:themeColor="text1"/>
          <w:sz w:val="21"/>
          <w:szCs w:val="21"/>
          <w:lang w:val="en-AU" w:eastAsia="en-AU"/>
        </w:rPr>
        <w:t>World Bank</w:t>
      </w:r>
      <w:r w:rsidR="00401B75">
        <w:rPr>
          <w:rFonts w:eastAsia="Times New Roman" w:cs="Arial"/>
          <w:color w:val="000000" w:themeColor="text1"/>
          <w:sz w:val="21"/>
          <w:szCs w:val="21"/>
          <w:lang w:val="en-AU" w:eastAsia="en-AU"/>
        </w:rPr>
        <w:t xml:space="preserve">-funded </w:t>
      </w:r>
      <w:r w:rsidR="00401B75" w:rsidRPr="00C30DDF">
        <w:rPr>
          <w:rFonts w:eastAsia="Times New Roman" w:cs="Arial"/>
          <w:i/>
          <w:color w:val="000000" w:themeColor="text1"/>
          <w:sz w:val="21"/>
          <w:szCs w:val="21"/>
          <w:lang w:val="en-AU" w:eastAsia="en-AU"/>
        </w:rPr>
        <w:t>Review of Reforms/Projects in Basic Education in Indonesia, 1975-2015</w:t>
      </w:r>
      <w:r w:rsidR="00401B75">
        <w:rPr>
          <w:rFonts w:eastAsia="Times New Roman" w:cs="Arial"/>
          <w:i/>
          <w:color w:val="000000" w:themeColor="text1"/>
          <w:sz w:val="21"/>
          <w:szCs w:val="21"/>
          <w:lang w:val="en-AU" w:eastAsia="en-AU"/>
        </w:rPr>
        <w:t xml:space="preserve"> </w:t>
      </w:r>
      <w:r w:rsidR="00407179" w:rsidRPr="006F7A02">
        <w:rPr>
          <w:rFonts w:eastAsia="Times New Roman" w:cs="Arial"/>
          <w:color w:val="000000" w:themeColor="text1"/>
          <w:sz w:val="21"/>
          <w:szCs w:val="21"/>
          <w:lang w:val="en-AU" w:eastAsia="en-AU"/>
        </w:rPr>
        <w:t>found that c</w:t>
      </w:r>
      <w:r w:rsidR="00AC65D6" w:rsidRPr="00C30DDF">
        <w:rPr>
          <w:rFonts w:eastAsia="Times New Roman" w:cs="Arial"/>
          <w:color w:val="000000" w:themeColor="text1"/>
          <w:sz w:val="21"/>
          <w:szCs w:val="21"/>
          <w:lang w:val="en-AU" w:eastAsia="en-AU"/>
        </w:rPr>
        <w:t xml:space="preserve">apacity and technical knowledge </w:t>
      </w:r>
      <w:r w:rsidR="00072784">
        <w:rPr>
          <w:rFonts w:eastAsia="Times New Roman" w:cs="Arial"/>
          <w:color w:val="000000" w:themeColor="text1"/>
          <w:sz w:val="21"/>
          <w:szCs w:val="21"/>
          <w:lang w:val="en-AU" w:eastAsia="en-AU"/>
        </w:rPr>
        <w:t>are</w:t>
      </w:r>
      <w:r w:rsidR="00AC65D6" w:rsidRPr="00C30DDF">
        <w:rPr>
          <w:rFonts w:eastAsia="Times New Roman" w:cs="Arial"/>
          <w:color w:val="000000" w:themeColor="text1"/>
          <w:sz w:val="21"/>
          <w:szCs w:val="21"/>
          <w:lang w:val="en-AU" w:eastAsia="en-AU"/>
        </w:rPr>
        <w:t xml:space="preserve"> insufficient to tackle stubborn challenges</w:t>
      </w:r>
      <w:r w:rsidR="00B82367">
        <w:rPr>
          <w:rFonts w:eastAsia="Times New Roman" w:cs="Arial"/>
          <w:color w:val="000000" w:themeColor="text1"/>
          <w:sz w:val="21"/>
          <w:szCs w:val="21"/>
          <w:lang w:val="en-AU" w:eastAsia="en-AU"/>
        </w:rPr>
        <w:t>. They also suggested th</w:t>
      </w:r>
      <w:r w:rsidR="00072784">
        <w:rPr>
          <w:rFonts w:eastAsia="Times New Roman" w:cs="Arial"/>
          <w:color w:val="000000" w:themeColor="text1"/>
          <w:sz w:val="21"/>
          <w:szCs w:val="21"/>
          <w:lang w:val="en-AU" w:eastAsia="en-AU"/>
        </w:rPr>
        <w:t>at the</w:t>
      </w:r>
      <w:r w:rsidR="00AC65D6" w:rsidRPr="00C30DDF">
        <w:rPr>
          <w:rFonts w:eastAsia="Times New Roman" w:cs="Arial"/>
          <w:color w:val="000000" w:themeColor="text1"/>
          <w:sz w:val="21"/>
          <w:szCs w:val="21"/>
          <w:lang w:val="en-AU" w:eastAsia="en-AU"/>
        </w:rPr>
        <w:t xml:space="preserve"> relevance of inflexible and expensive programs can wane as priorities and policies evolve over time</w:t>
      </w:r>
      <w:r w:rsidR="00685964">
        <w:rPr>
          <w:rFonts w:eastAsia="Times New Roman" w:cs="Arial"/>
          <w:color w:val="000000" w:themeColor="text1"/>
          <w:sz w:val="21"/>
          <w:szCs w:val="21"/>
          <w:lang w:val="en-AU" w:eastAsia="en-AU"/>
        </w:rPr>
        <w:t>.</w:t>
      </w:r>
      <w:r w:rsidR="00571434">
        <w:rPr>
          <w:rFonts w:eastAsia="Times New Roman" w:cs="Arial"/>
          <w:color w:val="000000" w:themeColor="text1"/>
          <w:sz w:val="21"/>
          <w:szCs w:val="21"/>
          <w:lang w:val="en-AU" w:eastAsia="en-AU"/>
        </w:rPr>
        <w:t xml:space="preserve"> By thinking and working politically, TASS moves political and institutional considerations from the risk matrix to centre stage</w:t>
      </w:r>
      <w:r w:rsidR="00C74883">
        <w:rPr>
          <w:rFonts w:eastAsia="Times New Roman" w:cs="Arial"/>
          <w:color w:val="000000" w:themeColor="text1"/>
          <w:sz w:val="21"/>
          <w:szCs w:val="21"/>
          <w:lang w:val="en-AU" w:eastAsia="en-AU"/>
        </w:rPr>
        <w:t xml:space="preserve">. While </w:t>
      </w:r>
      <w:r w:rsidR="00B80F06">
        <w:rPr>
          <w:rFonts w:eastAsia="Times New Roman" w:cs="Arial"/>
          <w:color w:val="000000" w:themeColor="text1"/>
          <w:sz w:val="21"/>
          <w:szCs w:val="21"/>
          <w:lang w:val="en-AU" w:eastAsia="en-AU"/>
        </w:rPr>
        <w:t>vested interests</w:t>
      </w:r>
      <w:r w:rsidR="00730BF6">
        <w:rPr>
          <w:rFonts w:eastAsia="Times New Roman" w:cs="Arial"/>
          <w:color w:val="000000" w:themeColor="text1"/>
          <w:sz w:val="21"/>
          <w:szCs w:val="21"/>
          <w:lang w:val="en-AU" w:eastAsia="en-AU"/>
        </w:rPr>
        <w:t xml:space="preserve">, divergent needs and motivations, and </w:t>
      </w:r>
      <w:r w:rsidR="00730BF6">
        <w:rPr>
          <w:rFonts w:eastAsia="Times New Roman" w:cs="Arial"/>
          <w:color w:val="000000" w:themeColor="text1"/>
          <w:sz w:val="21"/>
          <w:szCs w:val="21"/>
          <w:lang w:val="en-AU" w:eastAsia="en-AU"/>
        </w:rPr>
        <w:lastRenderedPageBreak/>
        <w:t xml:space="preserve">changes in policy priorities may all affect </w:t>
      </w:r>
      <w:r w:rsidR="00C04665">
        <w:rPr>
          <w:rFonts w:eastAsia="Times New Roman" w:cs="Arial"/>
          <w:color w:val="000000" w:themeColor="text1"/>
          <w:sz w:val="21"/>
          <w:szCs w:val="21"/>
          <w:lang w:val="en-AU" w:eastAsia="en-AU"/>
        </w:rPr>
        <w:t xml:space="preserve">the prospects of </w:t>
      </w:r>
      <w:r w:rsidR="003A7AE7">
        <w:rPr>
          <w:rFonts w:eastAsia="Times New Roman" w:cs="Arial"/>
          <w:color w:val="000000" w:themeColor="text1"/>
          <w:sz w:val="21"/>
          <w:szCs w:val="21"/>
          <w:lang w:val="en-AU" w:eastAsia="en-AU"/>
        </w:rPr>
        <w:t>TASS having an</w:t>
      </w:r>
      <w:r w:rsidR="00C04665">
        <w:rPr>
          <w:rFonts w:eastAsia="Times New Roman" w:cs="Arial"/>
          <w:color w:val="000000" w:themeColor="text1"/>
          <w:sz w:val="21"/>
          <w:szCs w:val="21"/>
          <w:lang w:val="en-AU" w:eastAsia="en-AU"/>
        </w:rPr>
        <w:t xml:space="preserve"> ‘enduring</w:t>
      </w:r>
      <w:r w:rsidR="00CD4391">
        <w:rPr>
          <w:rFonts w:eastAsia="Times New Roman" w:cs="Arial"/>
          <w:color w:val="000000" w:themeColor="text1"/>
          <w:sz w:val="21"/>
          <w:szCs w:val="21"/>
          <w:lang w:val="en-AU" w:eastAsia="en-AU"/>
        </w:rPr>
        <w:t xml:space="preserve"> influence</w:t>
      </w:r>
      <w:r w:rsidR="00946797">
        <w:rPr>
          <w:rFonts w:eastAsia="Times New Roman" w:cs="Arial"/>
          <w:color w:val="000000" w:themeColor="text1"/>
          <w:sz w:val="21"/>
          <w:szCs w:val="21"/>
          <w:lang w:val="en-AU" w:eastAsia="en-AU"/>
        </w:rPr>
        <w:t xml:space="preserve">’, the application of </w:t>
      </w:r>
      <w:r w:rsidR="00153CAA">
        <w:rPr>
          <w:rFonts w:eastAsia="Times New Roman" w:cs="Arial"/>
          <w:color w:val="000000" w:themeColor="text1"/>
          <w:sz w:val="21"/>
          <w:szCs w:val="21"/>
          <w:lang w:val="en-AU" w:eastAsia="en-AU"/>
        </w:rPr>
        <w:t>partner-led</w:t>
      </w:r>
      <w:r w:rsidR="00ED734A">
        <w:rPr>
          <w:rFonts w:eastAsia="Times New Roman" w:cs="Arial"/>
          <w:color w:val="000000" w:themeColor="text1"/>
          <w:sz w:val="21"/>
          <w:szCs w:val="21"/>
          <w:lang w:val="en-AU" w:eastAsia="en-AU"/>
        </w:rPr>
        <w:t xml:space="preserve"> ‘small bets’</w:t>
      </w:r>
      <w:r w:rsidR="00946797">
        <w:rPr>
          <w:rFonts w:eastAsia="Times New Roman" w:cs="Arial"/>
          <w:color w:val="000000" w:themeColor="text1"/>
          <w:sz w:val="21"/>
          <w:szCs w:val="21"/>
          <w:lang w:val="en-AU" w:eastAsia="en-AU"/>
        </w:rPr>
        <w:t xml:space="preserve">, the </w:t>
      </w:r>
      <w:r w:rsidR="00BC5F4D">
        <w:rPr>
          <w:rFonts w:eastAsia="Times New Roman" w:cs="Arial"/>
          <w:color w:val="000000" w:themeColor="text1"/>
          <w:sz w:val="21"/>
          <w:szCs w:val="21"/>
          <w:lang w:val="en-AU" w:eastAsia="en-AU"/>
        </w:rPr>
        <w:t xml:space="preserve">appointment of well networked personnel, and the continued implementation of </w:t>
      </w:r>
      <w:r w:rsidR="000C4BCE">
        <w:rPr>
          <w:rFonts w:eastAsia="Times New Roman" w:cs="Arial"/>
          <w:color w:val="000000" w:themeColor="text1"/>
          <w:sz w:val="21"/>
          <w:szCs w:val="21"/>
          <w:lang w:val="en-AU" w:eastAsia="en-AU"/>
        </w:rPr>
        <w:t xml:space="preserve">horizon scanning, rapid feedback and </w:t>
      </w:r>
      <w:r w:rsidR="00ED734A">
        <w:rPr>
          <w:rFonts w:eastAsia="Times New Roman" w:cs="Arial"/>
          <w:color w:val="000000" w:themeColor="text1"/>
          <w:sz w:val="21"/>
          <w:szCs w:val="21"/>
          <w:lang w:val="en-AU" w:eastAsia="en-AU"/>
        </w:rPr>
        <w:t>structured reflection points</w:t>
      </w:r>
      <w:r w:rsidR="000C4BCE">
        <w:rPr>
          <w:rFonts w:eastAsia="Times New Roman" w:cs="Arial"/>
          <w:color w:val="000000" w:themeColor="text1"/>
          <w:sz w:val="21"/>
          <w:szCs w:val="21"/>
          <w:lang w:val="en-AU" w:eastAsia="en-AU"/>
        </w:rPr>
        <w:t xml:space="preserve"> </w:t>
      </w:r>
      <w:r w:rsidR="003A7AE7">
        <w:rPr>
          <w:rFonts w:eastAsia="Times New Roman" w:cs="Arial"/>
          <w:color w:val="000000" w:themeColor="text1"/>
          <w:sz w:val="21"/>
          <w:szCs w:val="21"/>
          <w:lang w:val="en-AU" w:eastAsia="en-AU"/>
        </w:rPr>
        <w:t>creates</w:t>
      </w:r>
      <w:r w:rsidR="00BC5F4D">
        <w:rPr>
          <w:rFonts w:eastAsia="Times New Roman" w:cs="Arial"/>
          <w:color w:val="000000" w:themeColor="text1"/>
          <w:sz w:val="21"/>
          <w:szCs w:val="21"/>
          <w:lang w:val="en-AU" w:eastAsia="en-AU"/>
        </w:rPr>
        <w:t xml:space="preserve"> the </w:t>
      </w:r>
      <w:r w:rsidR="00903C13">
        <w:rPr>
          <w:rFonts w:eastAsia="Times New Roman" w:cs="Arial"/>
          <w:color w:val="000000" w:themeColor="text1"/>
          <w:sz w:val="21"/>
          <w:szCs w:val="21"/>
          <w:lang w:val="en-AU" w:eastAsia="en-AU"/>
        </w:rPr>
        <w:t xml:space="preserve">optimal conditions for success. </w:t>
      </w:r>
      <w:r w:rsidR="001A53D4">
        <w:rPr>
          <w:rFonts w:eastAsia="Times New Roman" w:cs="Arial"/>
          <w:color w:val="000000" w:themeColor="text1"/>
          <w:sz w:val="21"/>
          <w:szCs w:val="21"/>
          <w:lang w:val="en-AU" w:eastAsia="en-AU"/>
        </w:rPr>
        <w:t xml:space="preserve"> </w:t>
      </w:r>
      <w:r w:rsidR="00685964">
        <w:rPr>
          <w:rFonts w:eastAsia="Times New Roman" w:cs="Arial"/>
          <w:color w:val="000000" w:themeColor="text1"/>
          <w:sz w:val="21"/>
          <w:szCs w:val="21"/>
          <w:lang w:val="en-AU" w:eastAsia="en-AU"/>
        </w:rPr>
        <w:t xml:space="preserve"> </w:t>
      </w:r>
      <w:r w:rsidR="00AC65D6" w:rsidRPr="00C30DDF">
        <w:rPr>
          <w:rFonts w:eastAsia="Times New Roman" w:cs="Arial"/>
          <w:color w:val="000000" w:themeColor="text1"/>
          <w:sz w:val="21"/>
          <w:szCs w:val="21"/>
          <w:lang w:val="en-AU" w:eastAsia="en-AU"/>
        </w:rPr>
        <w:t xml:space="preserve"> </w:t>
      </w:r>
    </w:p>
    <w:p w:rsidR="00D426EB" w:rsidRPr="00935027" w:rsidRDefault="00D426EB" w:rsidP="00052F9C">
      <w:pPr>
        <w:numPr>
          <w:ilvl w:val="0"/>
          <w:numId w:val="42"/>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szCs w:val="21"/>
        </w:rPr>
      </w:pPr>
      <w:r w:rsidRPr="00935027">
        <w:rPr>
          <w:rFonts w:asciiTheme="majorHAnsi" w:hAnsiTheme="majorHAnsi"/>
          <w:b/>
          <w:szCs w:val="21"/>
        </w:rPr>
        <w:t>Monitoring</w:t>
      </w:r>
      <w:r>
        <w:rPr>
          <w:rFonts w:asciiTheme="majorHAnsi" w:hAnsiTheme="majorHAnsi"/>
          <w:b/>
          <w:szCs w:val="21"/>
        </w:rPr>
        <w:t xml:space="preserve"> and </w:t>
      </w:r>
      <w:r w:rsidRPr="00935027">
        <w:rPr>
          <w:rFonts w:asciiTheme="majorHAnsi" w:hAnsiTheme="majorHAnsi"/>
          <w:b/>
          <w:szCs w:val="21"/>
        </w:rPr>
        <w:t>Evaluation (How will DFAT measure performance?)</w:t>
      </w:r>
    </w:p>
    <w:p w:rsidR="00107BCE" w:rsidRPr="00F239A6" w:rsidRDefault="00107BCE" w:rsidP="00107BCE">
      <w:pPr>
        <w:tabs>
          <w:tab w:val="left" w:pos="284"/>
        </w:tabs>
        <w:suppressAutoHyphens w:val="0"/>
        <w:spacing w:after="120" w:line="280" w:lineRule="exact"/>
        <w:jc w:val="both"/>
        <w:rPr>
          <w:color w:val="000000" w:themeColor="text1"/>
          <w:sz w:val="21"/>
          <w:szCs w:val="21"/>
        </w:rPr>
      </w:pPr>
      <w:r w:rsidRPr="00F239A6">
        <w:rPr>
          <w:color w:val="000000" w:themeColor="text1"/>
          <w:sz w:val="21"/>
          <w:szCs w:val="21"/>
        </w:rPr>
        <w:t>TASS</w:t>
      </w:r>
      <w:r w:rsidR="003E60B0">
        <w:rPr>
          <w:color w:val="000000" w:themeColor="text1"/>
          <w:sz w:val="21"/>
          <w:szCs w:val="21"/>
        </w:rPr>
        <w:t xml:space="preserve">’s </w:t>
      </w:r>
      <w:r w:rsidRPr="007D168D">
        <w:rPr>
          <w:color w:val="000000" w:themeColor="text1"/>
          <w:sz w:val="21"/>
          <w:szCs w:val="21"/>
        </w:rPr>
        <w:t>approach</w:t>
      </w:r>
      <w:r w:rsidRPr="00F239A6">
        <w:rPr>
          <w:color w:val="000000" w:themeColor="text1"/>
          <w:sz w:val="21"/>
          <w:szCs w:val="21"/>
        </w:rPr>
        <w:t xml:space="preserve"> to monitoring and evaluation is informed by DFAT</w:t>
      </w:r>
      <w:r>
        <w:rPr>
          <w:color w:val="000000" w:themeColor="text1"/>
          <w:sz w:val="21"/>
          <w:szCs w:val="21"/>
        </w:rPr>
        <w:t xml:space="preserve">’s </w:t>
      </w:r>
      <w:r w:rsidRPr="004B74BD">
        <w:rPr>
          <w:i/>
          <w:color w:val="000000" w:themeColor="text1"/>
          <w:sz w:val="21"/>
          <w:szCs w:val="21"/>
        </w:rPr>
        <w:t>Monitoring and Evaluation Standards</w:t>
      </w:r>
      <w:r w:rsidRPr="00F239A6">
        <w:rPr>
          <w:color w:val="000000" w:themeColor="text1"/>
          <w:sz w:val="21"/>
          <w:szCs w:val="21"/>
        </w:rPr>
        <w:t xml:space="preserve"> and </w:t>
      </w:r>
      <w:r>
        <w:rPr>
          <w:color w:val="000000" w:themeColor="text1"/>
          <w:sz w:val="21"/>
          <w:szCs w:val="21"/>
        </w:rPr>
        <w:t>is</w:t>
      </w:r>
      <w:r w:rsidRPr="00F239A6">
        <w:rPr>
          <w:color w:val="000000" w:themeColor="text1"/>
          <w:sz w:val="21"/>
          <w:szCs w:val="21"/>
        </w:rPr>
        <w:t xml:space="preserve"> aligned </w:t>
      </w:r>
      <w:r>
        <w:rPr>
          <w:color w:val="000000" w:themeColor="text1"/>
          <w:sz w:val="21"/>
          <w:szCs w:val="21"/>
        </w:rPr>
        <w:t xml:space="preserve">with the reporting expectations outlined in the </w:t>
      </w:r>
      <w:r w:rsidRPr="00F239A6">
        <w:rPr>
          <w:color w:val="000000" w:themeColor="text1"/>
          <w:sz w:val="21"/>
          <w:szCs w:val="21"/>
        </w:rPr>
        <w:t>Performance Assessment Framework</w:t>
      </w:r>
      <w:r>
        <w:rPr>
          <w:color w:val="000000" w:themeColor="text1"/>
          <w:sz w:val="21"/>
          <w:szCs w:val="21"/>
        </w:rPr>
        <w:t xml:space="preserve"> of</w:t>
      </w:r>
      <w:r w:rsidRPr="00F239A6">
        <w:rPr>
          <w:color w:val="000000" w:themeColor="text1"/>
          <w:sz w:val="21"/>
          <w:szCs w:val="21"/>
        </w:rPr>
        <w:t xml:space="preserve"> Australia’s </w:t>
      </w:r>
      <w:r w:rsidRPr="00F239A6">
        <w:rPr>
          <w:i/>
          <w:color w:val="000000" w:themeColor="text1"/>
          <w:sz w:val="21"/>
          <w:szCs w:val="21"/>
        </w:rPr>
        <w:t xml:space="preserve">Aid Investment Plan </w:t>
      </w:r>
      <w:r w:rsidR="00704394">
        <w:rPr>
          <w:i/>
          <w:color w:val="000000" w:themeColor="text1"/>
          <w:sz w:val="21"/>
          <w:szCs w:val="21"/>
        </w:rPr>
        <w:t xml:space="preserve">(AIP) </w:t>
      </w:r>
      <w:r w:rsidRPr="00F239A6">
        <w:rPr>
          <w:i/>
          <w:color w:val="000000" w:themeColor="text1"/>
          <w:sz w:val="21"/>
          <w:szCs w:val="21"/>
        </w:rPr>
        <w:t>– Indonesia, 2015/16-2018/19</w:t>
      </w:r>
      <w:r w:rsidRPr="00F239A6">
        <w:rPr>
          <w:color w:val="000000" w:themeColor="text1"/>
          <w:sz w:val="21"/>
          <w:szCs w:val="21"/>
        </w:rPr>
        <w:t>’s and</w:t>
      </w:r>
      <w:r w:rsidR="00467745">
        <w:rPr>
          <w:color w:val="000000" w:themeColor="text1"/>
          <w:sz w:val="21"/>
          <w:szCs w:val="21"/>
        </w:rPr>
        <w:t>, by extension, the</w:t>
      </w:r>
      <w:r w:rsidRPr="00F239A6">
        <w:rPr>
          <w:color w:val="000000" w:themeColor="text1"/>
          <w:sz w:val="21"/>
          <w:szCs w:val="21"/>
        </w:rPr>
        <w:t xml:space="preserve"> </w:t>
      </w:r>
      <w:r w:rsidRPr="00F239A6">
        <w:rPr>
          <w:i/>
          <w:color w:val="000000" w:themeColor="text1"/>
          <w:sz w:val="21"/>
          <w:szCs w:val="21"/>
        </w:rPr>
        <w:t>Indonesia-Australia Education Partnership – Sector Investment Plan, 2016-2020</w:t>
      </w:r>
      <w:r w:rsidRPr="00F239A6">
        <w:rPr>
          <w:color w:val="000000" w:themeColor="text1"/>
          <w:sz w:val="21"/>
          <w:szCs w:val="21"/>
        </w:rPr>
        <w:t xml:space="preserve">. </w:t>
      </w:r>
    </w:p>
    <w:p w:rsidR="00107BCE" w:rsidRPr="004F6B7F" w:rsidRDefault="00107BCE" w:rsidP="00783E59">
      <w:pPr>
        <w:pStyle w:val="BodyText"/>
        <w:spacing w:after="120" w:line="280" w:lineRule="exact"/>
        <w:jc w:val="both"/>
        <w:rPr>
          <w:color w:val="000000" w:themeColor="text1"/>
          <w:sz w:val="21"/>
          <w:szCs w:val="21"/>
        </w:rPr>
      </w:pPr>
      <w:r>
        <w:rPr>
          <w:color w:val="000000" w:themeColor="text1"/>
          <w:sz w:val="21"/>
          <w:szCs w:val="21"/>
        </w:rPr>
        <w:t xml:space="preserve">The TASS M&amp;E system </w:t>
      </w:r>
      <w:r w:rsidR="009A7065">
        <w:rPr>
          <w:color w:val="000000" w:themeColor="text1"/>
          <w:sz w:val="21"/>
          <w:szCs w:val="21"/>
        </w:rPr>
        <w:t xml:space="preserve">seeks </w:t>
      </w:r>
      <w:r>
        <w:rPr>
          <w:color w:val="000000" w:themeColor="text1"/>
          <w:sz w:val="21"/>
          <w:szCs w:val="21"/>
        </w:rPr>
        <w:t>to generate timely, informative and practicable insights and recommendations</w:t>
      </w:r>
      <w:r w:rsidR="003E60B0">
        <w:rPr>
          <w:color w:val="000000" w:themeColor="text1"/>
          <w:sz w:val="21"/>
          <w:szCs w:val="21"/>
        </w:rPr>
        <w:t xml:space="preserve"> </w:t>
      </w:r>
      <w:r w:rsidR="003E60B0" w:rsidRPr="00F239A6">
        <w:rPr>
          <w:color w:val="000000" w:themeColor="text1"/>
          <w:sz w:val="21"/>
          <w:szCs w:val="21"/>
        </w:rPr>
        <w:t>(</w:t>
      </w:r>
      <w:r w:rsidR="003E60B0" w:rsidRPr="000F04A9">
        <w:rPr>
          <w:color w:val="000000" w:themeColor="text1"/>
          <w:sz w:val="21"/>
          <w:szCs w:val="21"/>
        </w:rPr>
        <w:t xml:space="preserve">see Annex </w:t>
      </w:r>
      <w:r w:rsidR="00951047" w:rsidRPr="000F04A9">
        <w:rPr>
          <w:color w:val="000000" w:themeColor="text1"/>
          <w:sz w:val="21"/>
          <w:szCs w:val="21"/>
        </w:rPr>
        <w:t>F</w:t>
      </w:r>
      <w:r w:rsidR="003E60B0" w:rsidRPr="00F239A6">
        <w:rPr>
          <w:color w:val="000000" w:themeColor="text1"/>
          <w:sz w:val="21"/>
          <w:szCs w:val="21"/>
        </w:rPr>
        <w:t xml:space="preserve"> for further details).</w:t>
      </w:r>
      <w:r w:rsidRPr="00F239A6">
        <w:rPr>
          <w:color w:val="000000" w:themeColor="text1"/>
          <w:sz w:val="21"/>
          <w:szCs w:val="21"/>
        </w:rPr>
        <w:t xml:space="preserve"> </w:t>
      </w:r>
      <w:r w:rsidR="00DA505C">
        <w:rPr>
          <w:color w:val="000000" w:themeColor="text1"/>
          <w:sz w:val="21"/>
          <w:szCs w:val="21"/>
        </w:rPr>
        <w:t>Its primary intent is to</w:t>
      </w:r>
      <w:r w:rsidR="00744A76">
        <w:rPr>
          <w:color w:val="000000" w:themeColor="text1"/>
          <w:sz w:val="21"/>
          <w:szCs w:val="21"/>
        </w:rPr>
        <w:t xml:space="preserve"> capture and understand </w:t>
      </w:r>
      <w:r w:rsidR="00964E8A">
        <w:rPr>
          <w:color w:val="000000" w:themeColor="text1"/>
          <w:sz w:val="21"/>
          <w:szCs w:val="21"/>
        </w:rPr>
        <w:t xml:space="preserve">the </w:t>
      </w:r>
      <w:r w:rsidR="00964E8A" w:rsidRPr="007D168D">
        <w:rPr>
          <w:b/>
          <w:color w:val="000000" w:themeColor="text1"/>
          <w:sz w:val="21"/>
          <w:szCs w:val="21"/>
        </w:rPr>
        <w:t xml:space="preserve">results </w:t>
      </w:r>
      <w:r w:rsidR="009E1CA1" w:rsidRPr="007D168D">
        <w:rPr>
          <w:b/>
          <w:color w:val="000000" w:themeColor="text1"/>
          <w:sz w:val="21"/>
          <w:szCs w:val="21"/>
        </w:rPr>
        <w:t>stemming from</w:t>
      </w:r>
      <w:r w:rsidR="00964E8A" w:rsidRPr="007D168D">
        <w:rPr>
          <w:b/>
          <w:color w:val="000000" w:themeColor="text1"/>
          <w:sz w:val="21"/>
          <w:szCs w:val="21"/>
        </w:rPr>
        <w:t xml:space="preserve"> individual activities </w:t>
      </w:r>
      <w:r w:rsidR="00964E8A">
        <w:rPr>
          <w:color w:val="000000" w:themeColor="text1"/>
          <w:sz w:val="21"/>
          <w:szCs w:val="21"/>
        </w:rPr>
        <w:t xml:space="preserve">and </w:t>
      </w:r>
      <w:r w:rsidR="00744A76">
        <w:rPr>
          <w:color w:val="000000" w:themeColor="text1"/>
          <w:sz w:val="21"/>
          <w:szCs w:val="21"/>
        </w:rPr>
        <w:t>the</w:t>
      </w:r>
      <w:r w:rsidR="00DA505C">
        <w:rPr>
          <w:color w:val="000000" w:themeColor="text1"/>
          <w:sz w:val="21"/>
          <w:szCs w:val="21"/>
        </w:rPr>
        <w:t xml:space="preserve"> </w:t>
      </w:r>
      <w:r w:rsidR="00744A76" w:rsidRPr="007E0BB7">
        <w:rPr>
          <w:b/>
          <w:color w:val="000000" w:themeColor="text1"/>
          <w:sz w:val="21"/>
          <w:szCs w:val="21"/>
        </w:rPr>
        <w:t>aggregated effect of TASS’s activities and its engagement with government</w:t>
      </w:r>
      <w:r w:rsidR="00552ABD">
        <w:rPr>
          <w:color w:val="000000" w:themeColor="text1"/>
          <w:sz w:val="21"/>
          <w:szCs w:val="21"/>
        </w:rPr>
        <w:t xml:space="preserve">. By doing so </w:t>
      </w:r>
      <w:r w:rsidR="009236AA">
        <w:rPr>
          <w:color w:val="000000" w:themeColor="text1"/>
          <w:sz w:val="21"/>
          <w:szCs w:val="21"/>
        </w:rPr>
        <w:t>during the course of TASS implementation and at its end</w:t>
      </w:r>
      <w:r w:rsidR="00552ABD">
        <w:rPr>
          <w:color w:val="000000" w:themeColor="text1"/>
          <w:sz w:val="21"/>
          <w:szCs w:val="21"/>
        </w:rPr>
        <w:t xml:space="preserve">, </w:t>
      </w:r>
      <w:r w:rsidR="0073610D">
        <w:rPr>
          <w:color w:val="000000" w:themeColor="text1"/>
          <w:sz w:val="21"/>
          <w:szCs w:val="21"/>
        </w:rPr>
        <w:t xml:space="preserve">key questions can be considered in a timely manner: </w:t>
      </w:r>
      <w:r w:rsidR="00D4457B">
        <w:rPr>
          <w:i/>
          <w:color w:val="000000" w:themeColor="text1"/>
          <w:sz w:val="21"/>
          <w:szCs w:val="21"/>
        </w:rPr>
        <w:t>W</w:t>
      </w:r>
      <w:r w:rsidR="004E6963" w:rsidRPr="00D4457B">
        <w:rPr>
          <w:i/>
          <w:color w:val="000000" w:themeColor="text1"/>
          <w:sz w:val="21"/>
          <w:szCs w:val="21"/>
        </w:rPr>
        <w:t xml:space="preserve">hat happened? </w:t>
      </w:r>
      <w:r w:rsidR="00D4457B">
        <w:rPr>
          <w:i/>
          <w:color w:val="000000" w:themeColor="text1"/>
          <w:sz w:val="21"/>
          <w:szCs w:val="21"/>
        </w:rPr>
        <w:t>What does this mean</w:t>
      </w:r>
      <w:r w:rsidR="004E6963" w:rsidRPr="00D4457B">
        <w:rPr>
          <w:i/>
          <w:color w:val="000000" w:themeColor="text1"/>
          <w:sz w:val="21"/>
          <w:szCs w:val="21"/>
        </w:rPr>
        <w:t>? What now?</w:t>
      </w:r>
      <w:r w:rsidR="00C205A4">
        <w:rPr>
          <w:color w:val="000000" w:themeColor="text1"/>
          <w:sz w:val="21"/>
          <w:szCs w:val="21"/>
        </w:rPr>
        <w:t xml:space="preserve"> </w:t>
      </w:r>
      <w:r w:rsidR="000163EC">
        <w:rPr>
          <w:color w:val="000000" w:themeColor="text1"/>
          <w:sz w:val="21"/>
          <w:szCs w:val="21"/>
        </w:rPr>
        <w:t>Given these ambitions and the very short duration of some activities</w:t>
      </w:r>
      <w:r w:rsidR="00C205A4">
        <w:rPr>
          <w:color w:val="000000" w:themeColor="text1"/>
          <w:sz w:val="21"/>
          <w:szCs w:val="21"/>
        </w:rPr>
        <w:t>, the M</w:t>
      </w:r>
      <w:r w:rsidR="005061FB">
        <w:rPr>
          <w:color w:val="000000" w:themeColor="text1"/>
          <w:sz w:val="21"/>
          <w:szCs w:val="21"/>
        </w:rPr>
        <w:t xml:space="preserve">&amp;E system </w:t>
      </w:r>
      <w:r w:rsidR="00C731C4">
        <w:rPr>
          <w:color w:val="000000" w:themeColor="text1"/>
          <w:sz w:val="21"/>
          <w:szCs w:val="21"/>
        </w:rPr>
        <w:t xml:space="preserve">monitors the </w:t>
      </w:r>
      <w:r w:rsidR="00C379AD">
        <w:rPr>
          <w:color w:val="000000" w:themeColor="text1"/>
          <w:sz w:val="21"/>
          <w:szCs w:val="21"/>
        </w:rPr>
        <w:t>performance</w:t>
      </w:r>
      <w:r>
        <w:rPr>
          <w:color w:val="000000" w:themeColor="text1"/>
          <w:sz w:val="21"/>
          <w:szCs w:val="21"/>
        </w:rPr>
        <w:t xml:space="preserve"> of</w:t>
      </w:r>
      <w:r w:rsidR="00C205A4">
        <w:rPr>
          <w:color w:val="000000" w:themeColor="text1"/>
          <w:sz w:val="21"/>
          <w:szCs w:val="21"/>
        </w:rPr>
        <w:t xml:space="preserve"> a </w:t>
      </w:r>
      <w:r w:rsidR="00C205A4" w:rsidRPr="009A15E4">
        <w:rPr>
          <w:i/>
          <w:color w:val="000000" w:themeColor="text1"/>
          <w:sz w:val="21"/>
          <w:szCs w:val="21"/>
        </w:rPr>
        <w:t>sample</w:t>
      </w:r>
      <w:r w:rsidR="00C205A4">
        <w:rPr>
          <w:color w:val="000000" w:themeColor="text1"/>
          <w:sz w:val="21"/>
          <w:szCs w:val="21"/>
        </w:rPr>
        <w:t xml:space="preserve"> </w:t>
      </w:r>
      <w:r w:rsidR="00C205A4" w:rsidRPr="00034D9E">
        <w:rPr>
          <w:color w:val="000000" w:themeColor="text1"/>
          <w:sz w:val="21"/>
          <w:szCs w:val="21"/>
        </w:rPr>
        <w:t>of</w:t>
      </w:r>
      <w:r w:rsidRPr="009A15E4">
        <w:rPr>
          <w:i/>
          <w:color w:val="000000" w:themeColor="text1"/>
          <w:sz w:val="21"/>
          <w:szCs w:val="21"/>
        </w:rPr>
        <w:t xml:space="preserve"> </w:t>
      </w:r>
      <w:r w:rsidRPr="004F6B7F">
        <w:rPr>
          <w:color w:val="000000" w:themeColor="text1"/>
          <w:sz w:val="21"/>
          <w:szCs w:val="21"/>
        </w:rPr>
        <w:t>Indonesian Government-facing investments</w:t>
      </w:r>
      <w:r w:rsidR="00783E59">
        <w:rPr>
          <w:color w:val="000000" w:themeColor="text1"/>
          <w:sz w:val="21"/>
          <w:szCs w:val="21"/>
        </w:rPr>
        <w:t xml:space="preserve"> </w:t>
      </w:r>
      <w:r w:rsidR="00C205A4">
        <w:rPr>
          <w:color w:val="000000" w:themeColor="text1"/>
          <w:sz w:val="21"/>
          <w:szCs w:val="21"/>
        </w:rPr>
        <w:t>(w</w:t>
      </w:r>
      <w:r w:rsidR="001E1B69">
        <w:rPr>
          <w:color w:val="000000" w:themeColor="text1"/>
          <w:sz w:val="21"/>
          <w:szCs w:val="21"/>
        </w:rPr>
        <w:t xml:space="preserve">hereas TASS staff seek to track and interpret the performance of </w:t>
      </w:r>
      <w:r w:rsidR="00C379AD" w:rsidRPr="009A15E4">
        <w:rPr>
          <w:i/>
          <w:color w:val="000000" w:themeColor="text1"/>
          <w:sz w:val="21"/>
          <w:szCs w:val="21"/>
        </w:rPr>
        <w:t>all</w:t>
      </w:r>
      <w:r w:rsidR="00C379AD">
        <w:rPr>
          <w:color w:val="000000" w:themeColor="text1"/>
          <w:sz w:val="21"/>
          <w:szCs w:val="21"/>
        </w:rPr>
        <w:t xml:space="preserve"> </w:t>
      </w:r>
      <w:r w:rsidR="001E1B69">
        <w:rPr>
          <w:color w:val="000000" w:themeColor="text1"/>
          <w:sz w:val="21"/>
          <w:szCs w:val="21"/>
        </w:rPr>
        <w:t>individual activities in real time such that corrective action and informed decision-making may occur</w:t>
      </w:r>
      <w:r w:rsidR="007E0BB7">
        <w:rPr>
          <w:color w:val="000000" w:themeColor="text1"/>
          <w:sz w:val="21"/>
          <w:szCs w:val="21"/>
        </w:rPr>
        <w:t xml:space="preserve"> in timely fashion</w:t>
      </w:r>
      <w:r w:rsidR="00C205A4">
        <w:rPr>
          <w:color w:val="000000" w:themeColor="text1"/>
          <w:sz w:val="21"/>
          <w:szCs w:val="21"/>
        </w:rPr>
        <w:t>)</w:t>
      </w:r>
      <w:r w:rsidR="00FA2FAE">
        <w:rPr>
          <w:color w:val="000000" w:themeColor="text1"/>
          <w:sz w:val="21"/>
          <w:szCs w:val="21"/>
        </w:rPr>
        <w:t xml:space="preserve">. </w:t>
      </w:r>
      <w:r w:rsidRPr="004F6B7F">
        <w:rPr>
          <w:color w:val="000000" w:themeColor="text1"/>
          <w:sz w:val="21"/>
          <w:szCs w:val="21"/>
        </w:rPr>
        <w:t xml:space="preserve"> </w:t>
      </w:r>
    </w:p>
    <w:p w:rsidR="00107BCE" w:rsidRDefault="00107BCE" w:rsidP="00107BCE">
      <w:pPr>
        <w:pStyle w:val="BodyText"/>
        <w:spacing w:after="120" w:line="280" w:lineRule="exact"/>
        <w:jc w:val="both"/>
        <w:rPr>
          <w:color w:val="000000" w:themeColor="text1"/>
          <w:sz w:val="21"/>
          <w:szCs w:val="21"/>
        </w:rPr>
      </w:pPr>
      <w:r>
        <w:rPr>
          <w:color w:val="000000" w:themeColor="text1"/>
          <w:sz w:val="21"/>
          <w:szCs w:val="21"/>
        </w:rPr>
        <w:t xml:space="preserve">The EOFO-focused evaluative component – the mid-term </w:t>
      </w:r>
      <w:r w:rsidR="004469ED">
        <w:rPr>
          <w:color w:val="000000" w:themeColor="text1"/>
          <w:sz w:val="21"/>
          <w:szCs w:val="21"/>
        </w:rPr>
        <w:t>evaluation</w:t>
      </w:r>
      <w:r>
        <w:rPr>
          <w:color w:val="000000" w:themeColor="text1"/>
          <w:sz w:val="21"/>
          <w:szCs w:val="21"/>
        </w:rPr>
        <w:t xml:space="preserve"> in 2018, </w:t>
      </w:r>
      <w:r w:rsidR="00BB2F25">
        <w:rPr>
          <w:color w:val="000000" w:themeColor="text1"/>
          <w:sz w:val="21"/>
          <w:szCs w:val="21"/>
        </w:rPr>
        <w:t xml:space="preserve">the </w:t>
      </w:r>
      <w:r>
        <w:rPr>
          <w:color w:val="000000" w:themeColor="text1"/>
          <w:sz w:val="21"/>
          <w:szCs w:val="21"/>
        </w:rPr>
        <w:t>end-point evaluation in 2019, and the periodic structured reflections</w:t>
      </w:r>
      <w:r w:rsidR="0034060B">
        <w:rPr>
          <w:color w:val="000000" w:themeColor="text1"/>
          <w:sz w:val="21"/>
          <w:szCs w:val="21"/>
        </w:rPr>
        <w:t xml:space="preserve"> from 2017 to 2020</w:t>
      </w:r>
      <w:r>
        <w:rPr>
          <w:color w:val="000000" w:themeColor="text1"/>
          <w:sz w:val="21"/>
          <w:szCs w:val="21"/>
        </w:rPr>
        <w:t xml:space="preserve"> – allows TASS and its partners to make </w:t>
      </w:r>
      <w:r w:rsidRPr="00645609">
        <w:rPr>
          <w:i/>
          <w:color w:val="000000" w:themeColor="text1"/>
          <w:sz w:val="21"/>
          <w:szCs w:val="21"/>
        </w:rPr>
        <w:t>judgements</w:t>
      </w:r>
      <w:r>
        <w:rPr>
          <w:color w:val="000000" w:themeColor="text1"/>
          <w:sz w:val="21"/>
          <w:szCs w:val="21"/>
        </w:rPr>
        <w:t xml:space="preserve"> about the merit, worth or significance of TASS’s work. These judgements feed into discussions about strategic direction while meeting DFAT’s accountability-related reporting needs. </w:t>
      </w:r>
    </w:p>
    <w:p w:rsidR="00107BCE" w:rsidRDefault="00107BCE" w:rsidP="00107BCE">
      <w:pPr>
        <w:pStyle w:val="BodyText"/>
        <w:spacing w:after="120" w:line="280" w:lineRule="exact"/>
        <w:jc w:val="both"/>
        <w:rPr>
          <w:color w:val="000000" w:themeColor="text1"/>
          <w:sz w:val="21"/>
          <w:szCs w:val="21"/>
        </w:rPr>
      </w:pPr>
      <w:r>
        <w:rPr>
          <w:color w:val="000000" w:themeColor="text1"/>
          <w:sz w:val="21"/>
          <w:szCs w:val="21"/>
        </w:rPr>
        <w:t xml:space="preserve">While </w:t>
      </w:r>
      <w:r w:rsidR="004C4011">
        <w:rPr>
          <w:color w:val="000000" w:themeColor="text1"/>
          <w:sz w:val="21"/>
          <w:szCs w:val="21"/>
        </w:rPr>
        <w:t>all TASS</w:t>
      </w:r>
      <w:r>
        <w:rPr>
          <w:color w:val="000000" w:themeColor="text1"/>
          <w:sz w:val="21"/>
          <w:szCs w:val="21"/>
        </w:rPr>
        <w:t xml:space="preserve"> staff have some responsibility for the quality and relevance of M&amp;E outputs, responsibility ultimately resides with the TASS Facility Director and, for technical direction, TASS’s International M&amp;E Specialist. Evaluations are led by the same International M&amp;E Specialist: an ‘insider-outsider arrangement’ that offers some detachment and independence from the individual activities, while providing conditions for capacity building and the application of insights. The monitoring activities and evaluative studies employ </w:t>
      </w:r>
      <w:r w:rsidRPr="00B72F6C">
        <w:rPr>
          <w:b/>
          <w:color w:val="000000" w:themeColor="text1"/>
          <w:sz w:val="21"/>
          <w:szCs w:val="21"/>
        </w:rPr>
        <w:t>mixed-method approaches</w:t>
      </w:r>
      <w:r>
        <w:rPr>
          <w:color w:val="000000" w:themeColor="text1"/>
          <w:sz w:val="21"/>
          <w:szCs w:val="21"/>
        </w:rPr>
        <w:t xml:space="preserve">.  </w:t>
      </w:r>
    </w:p>
    <w:p w:rsidR="00D426EB" w:rsidRPr="00107BCE" w:rsidRDefault="00107BCE" w:rsidP="00107BCE">
      <w:pPr>
        <w:pStyle w:val="BodyText"/>
        <w:spacing w:after="120" w:line="280" w:lineRule="exact"/>
        <w:jc w:val="both"/>
        <w:rPr>
          <w:color w:val="000000" w:themeColor="text1"/>
          <w:sz w:val="21"/>
          <w:szCs w:val="21"/>
        </w:rPr>
      </w:pPr>
      <w:r>
        <w:rPr>
          <w:color w:val="000000" w:themeColor="text1"/>
          <w:sz w:val="21"/>
          <w:szCs w:val="21"/>
        </w:rPr>
        <w:t xml:space="preserve">TASS’s M&amp;E activities have a dedicated budget of </w:t>
      </w:r>
      <w:r w:rsidR="00983231">
        <w:rPr>
          <w:color w:val="000000" w:themeColor="text1"/>
          <w:sz w:val="21"/>
          <w:szCs w:val="21"/>
        </w:rPr>
        <w:t xml:space="preserve">just over </w:t>
      </w:r>
      <w:r>
        <w:rPr>
          <w:color w:val="000000" w:themeColor="text1"/>
          <w:sz w:val="21"/>
          <w:szCs w:val="21"/>
        </w:rPr>
        <w:t>A$22</w:t>
      </w:r>
      <w:r w:rsidR="00983231">
        <w:rPr>
          <w:color w:val="000000" w:themeColor="text1"/>
          <w:sz w:val="21"/>
          <w:szCs w:val="21"/>
        </w:rPr>
        <w:t>0</w:t>
      </w:r>
      <w:r>
        <w:rPr>
          <w:color w:val="000000" w:themeColor="text1"/>
          <w:sz w:val="21"/>
          <w:szCs w:val="21"/>
        </w:rPr>
        <w:t>,</w:t>
      </w:r>
      <w:r w:rsidR="00983231">
        <w:rPr>
          <w:color w:val="000000" w:themeColor="text1"/>
          <w:sz w:val="21"/>
          <w:szCs w:val="21"/>
        </w:rPr>
        <w:t>000</w:t>
      </w:r>
      <w:r>
        <w:rPr>
          <w:color w:val="000000" w:themeColor="text1"/>
          <w:sz w:val="21"/>
          <w:szCs w:val="21"/>
        </w:rPr>
        <w:t>. This covers the International and National M&amp;E Specialists</w:t>
      </w:r>
      <w:r w:rsidR="00A845EA">
        <w:rPr>
          <w:color w:val="000000" w:themeColor="text1"/>
          <w:sz w:val="21"/>
          <w:szCs w:val="21"/>
        </w:rPr>
        <w:t xml:space="preserve"> and their activities</w:t>
      </w:r>
      <w:r>
        <w:rPr>
          <w:color w:val="000000" w:themeColor="text1"/>
          <w:sz w:val="21"/>
          <w:szCs w:val="21"/>
        </w:rPr>
        <w:t xml:space="preserve">. The allocation represents less than 1.9% of the total facility value, although the real cost is slightly higher given </w:t>
      </w:r>
      <w:r w:rsidR="00537370">
        <w:rPr>
          <w:color w:val="000000" w:themeColor="text1"/>
          <w:sz w:val="21"/>
          <w:szCs w:val="21"/>
        </w:rPr>
        <w:t xml:space="preserve">that participation in M&amp;E is built into all positions, from the </w:t>
      </w:r>
      <w:r>
        <w:rPr>
          <w:color w:val="000000" w:themeColor="text1"/>
          <w:sz w:val="21"/>
          <w:szCs w:val="21"/>
        </w:rPr>
        <w:t>Facility Director, Activity Managers, and Planning and Quality Assurance Manager</w:t>
      </w:r>
      <w:r w:rsidR="00DE6511">
        <w:rPr>
          <w:color w:val="000000" w:themeColor="text1"/>
          <w:sz w:val="21"/>
          <w:szCs w:val="21"/>
        </w:rPr>
        <w:t xml:space="preserve"> to the STA</w:t>
      </w:r>
      <w:r>
        <w:rPr>
          <w:color w:val="000000" w:themeColor="text1"/>
          <w:sz w:val="21"/>
          <w:szCs w:val="21"/>
        </w:rPr>
        <w:t xml:space="preserve">. </w:t>
      </w:r>
    </w:p>
    <w:p w:rsidR="00D8647E" w:rsidRPr="005359EC" w:rsidRDefault="00D8647E" w:rsidP="00E60655">
      <w:pPr>
        <w:numPr>
          <w:ilvl w:val="0"/>
          <w:numId w:val="33"/>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contextualSpacing/>
        <w:rPr>
          <w:rFonts w:ascii="Calibri" w:eastAsia="Calibri Light" w:hAnsi="Calibri" w:cs="Times New Roman"/>
          <w:b/>
          <w:szCs w:val="21"/>
        </w:rPr>
      </w:pPr>
      <w:r w:rsidRPr="005359EC">
        <w:rPr>
          <w:rFonts w:ascii="Calibri" w:eastAsia="Calibri Light" w:hAnsi="Calibri" w:cs="Times New Roman"/>
          <w:b/>
          <w:szCs w:val="21"/>
        </w:rPr>
        <w:t>Gender, Disability and Other Cross Cutting Issues</w:t>
      </w:r>
    </w:p>
    <w:p w:rsidR="00D8647E" w:rsidRPr="005359EC" w:rsidRDefault="00D8647E" w:rsidP="005359EC">
      <w:pPr>
        <w:rPr>
          <w:rFonts w:ascii="Calibri Light" w:eastAsia="Calibri Light" w:hAnsi="Calibri Light" w:cs="Arial"/>
          <w:color w:val="000000" w:themeColor="text1"/>
          <w:sz w:val="21"/>
          <w:szCs w:val="21"/>
          <w:lang w:eastAsia="en-AU"/>
        </w:rPr>
      </w:pPr>
    </w:p>
    <w:p w:rsidR="00D8647E" w:rsidRPr="005359EC" w:rsidRDefault="00D8647E" w:rsidP="00A269A5">
      <w:pPr>
        <w:spacing w:after="120" w:line="280" w:lineRule="exact"/>
        <w:jc w:val="both"/>
        <w:rPr>
          <w:rFonts w:ascii="Calibri Light" w:eastAsia="Calibri Light" w:hAnsi="Calibri Light" w:cs="Arial"/>
          <w:color w:val="000000" w:themeColor="text1"/>
          <w:sz w:val="21"/>
          <w:szCs w:val="21"/>
          <w:lang w:eastAsia="en-AU"/>
        </w:rPr>
      </w:pPr>
      <w:r w:rsidRPr="005359EC">
        <w:rPr>
          <w:rFonts w:ascii="Calibri Light" w:eastAsia="Calibri Light" w:hAnsi="Calibri Light" w:cs="Arial"/>
          <w:color w:val="000000" w:themeColor="text1"/>
          <w:sz w:val="21"/>
          <w:szCs w:val="21"/>
          <w:lang w:eastAsia="en-AU"/>
        </w:rPr>
        <w:t xml:space="preserve">The </w:t>
      </w:r>
      <w:r w:rsidRPr="005359EC">
        <w:rPr>
          <w:rFonts w:ascii="Calibri Light" w:eastAsia="Calibri Light" w:hAnsi="Calibri Light" w:cs="Arial"/>
          <w:i/>
          <w:color w:val="000000" w:themeColor="text1"/>
          <w:sz w:val="21"/>
          <w:szCs w:val="21"/>
          <w:lang w:eastAsia="en-AU"/>
        </w:rPr>
        <w:t>TASS Gender and Disability Inclusion Plan</w:t>
      </w:r>
      <w:r w:rsidR="006A1458">
        <w:rPr>
          <w:rFonts w:ascii="Calibri Light" w:eastAsia="Calibri Light" w:hAnsi="Calibri Light" w:cs="Arial"/>
          <w:i/>
          <w:color w:val="000000" w:themeColor="text1"/>
          <w:sz w:val="21"/>
          <w:szCs w:val="21"/>
          <w:lang w:eastAsia="en-AU"/>
        </w:rPr>
        <w:t xml:space="preserve"> </w:t>
      </w:r>
      <w:r w:rsidR="006A1458" w:rsidRPr="006C2216">
        <w:rPr>
          <w:rFonts w:ascii="Calibri Light" w:eastAsia="Calibri Light" w:hAnsi="Calibri Light" w:cs="Arial"/>
          <w:color w:val="000000" w:themeColor="text1"/>
          <w:sz w:val="21"/>
          <w:szCs w:val="21"/>
          <w:lang w:eastAsia="en-AU"/>
        </w:rPr>
        <w:t>(updated annually)</w:t>
      </w:r>
      <w:r w:rsidRPr="005359EC">
        <w:rPr>
          <w:rFonts w:ascii="Calibri Light" w:eastAsia="Calibri Light" w:hAnsi="Calibri Light" w:cs="Arial"/>
          <w:color w:val="000000" w:themeColor="text1"/>
          <w:sz w:val="21"/>
          <w:szCs w:val="21"/>
          <w:lang w:eastAsia="en-AU"/>
        </w:rPr>
        <w:t xml:space="preserve"> is framed by DFAT’s </w:t>
      </w:r>
      <w:r w:rsidRPr="005359EC">
        <w:rPr>
          <w:rFonts w:ascii="Calibri Light" w:eastAsia="Calibri Light" w:hAnsi="Calibri Light" w:cs="Arial"/>
          <w:i/>
          <w:color w:val="000000" w:themeColor="text1"/>
          <w:sz w:val="21"/>
          <w:szCs w:val="21"/>
          <w:lang w:eastAsia="en-AU"/>
        </w:rPr>
        <w:t>Gender Equality and Women’s Empowerment Strategy</w:t>
      </w:r>
      <w:r w:rsidRPr="005359EC">
        <w:rPr>
          <w:rFonts w:ascii="Calibri Light" w:eastAsia="Calibri Light" w:hAnsi="Calibri Light" w:cs="Arial"/>
          <w:color w:val="000000" w:themeColor="text1"/>
          <w:sz w:val="21"/>
          <w:szCs w:val="21"/>
          <w:lang w:eastAsia="en-AU"/>
        </w:rPr>
        <w:t xml:space="preserve">, DFAT’s </w:t>
      </w:r>
      <w:r w:rsidRPr="005359EC">
        <w:rPr>
          <w:rFonts w:ascii="Calibri Light" w:eastAsia="Calibri Light" w:hAnsi="Calibri Light" w:cs="Arial"/>
          <w:i/>
          <w:color w:val="000000" w:themeColor="text1"/>
          <w:sz w:val="21"/>
          <w:szCs w:val="21"/>
          <w:lang w:eastAsia="en-AU"/>
        </w:rPr>
        <w:t>Development for All 2015-2020</w:t>
      </w:r>
      <w:r w:rsidRPr="005359EC">
        <w:rPr>
          <w:rFonts w:ascii="Calibri Light" w:eastAsia="Calibri Light" w:hAnsi="Calibri Light" w:cs="Arial"/>
          <w:color w:val="000000" w:themeColor="text1"/>
          <w:sz w:val="21"/>
          <w:szCs w:val="21"/>
          <w:lang w:eastAsia="en-AU"/>
        </w:rPr>
        <w:t xml:space="preserve"> Strategy, and </w:t>
      </w:r>
      <w:r w:rsidR="00FC649F">
        <w:rPr>
          <w:rFonts w:ascii="Calibri Light" w:eastAsia="Calibri Light" w:hAnsi="Calibri Light" w:cs="Arial"/>
          <w:color w:val="000000" w:themeColor="text1"/>
          <w:sz w:val="21"/>
          <w:szCs w:val="21"/>
          <w:lang w:eastAsia="en-AU"/>
        </w:rPr>
        <w:t>DFAT’s</w:t>
      </w:r>
      <w:r w:rsidRPr="005359EC">
        <w:rPr>
          <w:rFonts w:ascii="Calibri Light" w:eastAsia="Calibri Light" w:hAnsi="Calibri Light" w:cs="Arial"/>
          <w:color w:val="000000" w:themeColor="text1"/>
          <w:sz w:val="21"/>
          <w:szCs w:val="21"/>
          <w:lang w:eastAsia="en-AU"/>
        </w:rPr>
        <w:t xml:space="preserve"> Education Sector Investment Plan’s </w:t>
      </w:r>
      <w:r w:rsidRPr="005359EC">
        <w:rPr>
          <w:rFonts w:ascii="Calibri Light" w:eastAsia="Calibri Light" w:hAnsi="Calibri Light" w:cs="Arial"/>
          <w:i/>
          <w:color w:val="000000" w:themeColor="text1"/>
          <w:sz w:val="21"/>
          <w:szCs w:val="21"/>
          <w:lang w:eastAsia="en-AU"/>
        </w:rPr>
        <w:t>Gender Action Plan</w:t>
      </w:r>
      <w:r w:rsidRPr="005359EC">
        <w:rPr>
          <w:rFonts w:ascii="Calibri Light" w:eastAsia="Calibri Light" w:hAnsi="Calibri Light" w:cs="Arial"/>
          <w:color w:val="000000" w:themeColor="text1"/>
          <w:sz w:val="21"/>
          <w:szCs w:val="21"/>
          <w:lang w:eastAsia="en-AU"/>
        </w:rPr>
        <w:t>. TASS is actively committed to:</w:t>
      </w:r>
    </w:p>
    <w:p w:rsidR="00D8647E" w:rsidRPr="005359EC" w:rsidRDefault="0058216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s</w:t>
      </w:r>
      <w:r w:rsidR="00D8647E" w:rsidRPr="005359EC">
        <w:rPr>
          <w:rFonts w:eastAsia="Times New Roman" w:cs="Arial"/>
          <w:color w:val="000000" w:themeColor="text1"/>
          <w:sz w:val="21"/>
          <w:szCs w:val="21"/>
          <w:lang w:val="en-AU" w:eastAsia="en-AU"/>
        </w:rPr>
        <w:t>upporting the Indonesian Government to enhance women’s voices in leadership and decision-making, and advanc</w:t>
      </w:r>
      <w:r w:rsidR="000159D2">
        <w:rPr>
          <w:rFonts w:eastAsia="Times New Roman" w:cs="Arial"/>
          <w:color w:val="000000" w:themeColor="text1"/>
          <w:sz w:val="21"/>
          <w:szCs w:val="21"/>
          <w:lang w:val="en-AU" w:eastAsia="en-AU"/>
        </w:rPr>
        <w:t>ing</w:t>
      </w:r>
      <w:r w:rsidR="00D8647E" w:rsidRPr="005359EC">
        <w:rPr>
          <w:rFonts w:eastAsia="Times New Roman" w:cs="Arial"/>
          <w:color w:val="000000" w:themeColor="text1"/>
          <w:sz w:val="21"/>
          <w:szCs w:val="21"/>
          <w:lang w:val="en-AU" w:eastAsia="en-AU"/>
        </w:rPr>
        <w:t xml:space="preserve"> outcomes for girls and women as actors and participants in education</w:t>
      </w:r>
      <w:r>
        <w:rPr>
          <w:rFonts w:eastAsia="Times New Roman" w:cs="Arial"/>
          <w:color w:val="000000" w:themeColor="text1"/>
          <w:sz w:val="21"/>
          <w:szCs w:val="21"/>
          <w:lang w:val="en-AU" w:eastAsia="en-AU"/>
        </w:rPr>
        <w:t>;</w:t>
      </w:r>
      <w:r w:rsidR="00D8647E" w:rsidRPr="005359EC">
        <w:rPr>
          <w:rFonts w:eastAsia="Times New Roman" w:cs="Arial"/>
          <w:color w:val="000000" w:themeColor="text1"/>
          <w:sz w:val="21"/>
          <w:szCs w:val="21"/>
          <w:lang w:val="en-AU" w:eastAsia="en-AU"/>
        </w:rPr>
        <w:t xml:space="preserve"> </w:t>
      </w:r>
    </w:p>
    <w:p w:rsidR="00D8647E" w:rsidRPr="005359EC" w:rsidRDefault="0058216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s</w:t>
      </w:r>
      <w:r w:rsidR="00D8647E" w:rsidRPr="005359EC">
        <w:rPr>
          <w:rFonts w:eastAsia="Times New Roman" w:cs="Arial"/>
          <w:color w:val="000000" w:themeColor="text1"/>
          <w:sz w:val="21"/>
          <w:szCs w:val="21"/>
          <w:lang w:val="en-AU" w:eastAsia="en-AU"/>
        </w:rPr>
        <w:t>upporting the Indonesian Government to promote the needs of boys</w:t>
      </w:r>
      <w:r>
        <w:rPr>
          <w:rFonts w:eastAsia="Times New Roman" w:cs="Arial"/>
          <w:color w:val="000000" w:themeColor="text1"/>
          <w:sz w:val="21"/>
          <w:szCs w:val="21"/>
          <w:lang w:val="en-AU" w:eastAsia="en-AU"/>
        </w:rPr>
        <w:t>;</w:t>
      </w:r>
    </w:p>
    <w:p w:rsidR="00D8647E" w:rsidRPr="005359EC" w:rsidRDefault="0058216E" w:rsidP="00A269A5">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Pr>
          <w:rFonts w:eastAsia="Times New Roman" w:cs="Arial"/>
          <w:color w:val="000000" w:themeColor="text1"/>
          <w:sz w:val="21"/>
          <w:szCs w:val="21"/>
          <w:lang w:val="en-AU" w:eastAsia="en-AU"/>
        </w:rPr>
        <w:t>s</w:t>
      </w:r>
      <w:r w:rsidR="00D8647E" w:rsidRPr="005359EC">
        <w:rPr>
          <w:rFonts w:eastAsia="Times New Roman" w:cs="Arial"/>
          <w:color w:val="000000" w:themeColor="text1"/>
          <w:sz w:val="21"/>
          <w:szCs w:val="21"/>
          <w:lang w:val="en-AU" w:eastAsia="en-AU"/>
        </w:rPr>
        <w:t>upporting the Indonesian Government to enhance the voices of people with disability in leadership and decision</w:t>
      </w:r>
      <w:r w:rsidR="00FC649F">
        <w:rPr>
          <w:rFonts w:eastAsia="Times New Roman" w:cs="Arial"/>
          <w:color w:val="000000" w:themeColor="text1"/>
          <w:sz w:val="21"/>
          <w:szCs w:val="21"/>
          <w:lang w:val="en-AU" w:eastAsia="en-AU"/>
        </w:rPr>
        <w:t>-</w:t>
      </w:r>
      <w:r w:rsidR="00D8647E" w:rsidRPr="005359EC">
        <w:rPr>
          <w:rFonts w:eastAsia="Times New Roman" w:cs="Arial"/>
          <w:color w:val="000000" w:themeColor="text1"/>
          <w:sz w:val="21"/>
          <w:szCs w:val="21"/>
          <w:lang w:val="en-AU" w:eastAsia="en-AU"/>
        </w:rPr>
        <w:t>makin</w:t>
      </w:r>
      <w:r w:rsidR="00FC649F">
        <w:rPr>
          <w:rFonts w:eastAsia="Times New Roman" w:cs="Arial"/>
          <w:color w:val="000000" w:themeColor="text1"/>
          <w:sz w:val="21"/>
          <w:szCs w:val="21"/>
          <w:lang w:val="en-AU" w:eastAsia="en-AU"/>
        </w:rPr>
        <w:t>g;</w:t>
      </w:r>
      <w:r w:rsidR="00BB6CD1">
        <w:rPr>
          <w:rFonts w:eastAsia="Times New Roman" w:cs="Arial"/>
          <w:color w:val="000000" w:themeColor="text1"/>
          <w:sz w:val="21"/>
          <w:szCs w:val="21"/>
          <w:lang w:val="en-AU" w:eastAsia="en-AU"/>
        </w:rPr>
        <w:t xml:space="preserve"> and</w:t>
      </w:r>
    </w:p>
    <w:p w:rsidR="00FC649F" w:rsidRDefault="006A1458" w:rsidP="006C2216">
      <w:pPr>
        <w:numPr>
          <w:ilvl w:val="1"/>
          <w:numId w:val="16"/>
        </w:numPr>
        <w:tabs>
          <w:tab w:val="left" w:pos="284"/>
        </w:tabs>
        <w:suppressAutoHyphens w:val="0"/>
        <w:spacing w:after="120" w:line="280" w:lineRule="exact"/>
        <w:ind w:left="567" w:hanging="283"/>
        <w:jc w:val="both"/>
        <w:rPr>
          <w:rFonts w:ascii="Calibri Light" w:eastAsia="Calibri Light" w:hAnsi="Calibri Light" w:cs="Arial"/>
          <w:color w:val="000000" w:themeColor="text1"/>
          <w:sz w:val="21"/>
          <w:szCs w:val="21"/>
          <w:lang w:eastAsia="en-AU"/>
        </w:rPr>
      </w:pPr>
      <w:r w:rsidRPr="006A1458">
        <w:rPr>
          <w:rFonts w:eastAsia="Times New Roman" w:cs="Arial"/>
          <w:color w:val="000000" w:themeColor="text1"/>
          <w:sz w:val="21"/>
          <w:szCs w:val="21"/>
          <w:lang w:val="en-AU" w:eastAsia="en-AU"/>
        </w:rPr>
        <w:t>supporting the Indonesian Government to identify and address</w:t>
      </w:r>
      <w:r w:rsidR="000159D2">
        <w:rPr>
          <w:rFonts w:eastAsia="Times New Roman" w:cs="Arial"/>
          <w:color w:val="000000" w:themeColor="text1"/>
          <w:sz w:val="21"/>
          <w:szCs w:val="21"/>
          <w:lang w:val="en-AU" w:eastAsia="en-AU"/>
        </w:rPr>
        <w:t xml:space="preserve"> </w:t>
      </w:r>
      <w:r w:rsidR="00D8647E" w:rsidRPr="006A1458">
        <w:rPr>
          <w:rFonts w:ascii="Calibri Light" w:eastAsia="Calibri Light" w:hAnsi="Calibri Light" w:cs="Arial"/>
          <w:color w:val="000000" w:themeColor="text1"/>
          <w:sz w:val="21"/>
          <w:szCs w:val="21"/>
          <w:lang w:eastAsia="en-AU"/>
        </w:rPr>
        <w:t>barriers that prevent people with disabilities participating in and benefiting from education</w:t>
      </w:r>
      <w:r w:rsidR="00DE5E22">
        <w:rPr>
          <w:rFonts w:ascii="Calibri Light" w:eastAsia="Calibri Light" w:hAnsi="Calibri Light" w:cs="Arial"/>
          <w:color w:val="000000" w:themeColor="text1"/>
          <w:sz w:val="21"/>
          <w:szCs w:val="21"/>
          <w:lang w:eastAsia="en-AU"/>
        </w:rPr>
        <w:t xml:space="preserve">. </w:t>
      </w:r>
    </w:p>
    <w:p w:rsidR="00D8647E" w:rsidRPr="006A1458" w:rsidRDefault="00D8647E" w:rsidP="00FC649F">
      <w:pPr>
        <w:spacing w:after="120" w:line="280" w:lineRule="exact"/>
        <w:jc w:val="both"/>
        <w:rPr>
          <w:rFonts w:ascii="Calibri Light" w:eastAsia="Calibri Light" w:hAnsi="Calibri Light" w:cs="Arial"/>
          <w:color w:val="000000" w:themeColor="text1"/>
          <w:sz w:val="21"/>
          <w:szCs w:val="21"/>
          <w:lang w:eastAsia="en-AU"/>
        </w:rPr>
      </w:pPr>
      <w:r w:rsidRPr="006A1458">
        <w:rPr>
          <w:rFonts w:ascii="Calibri Light" w:eastAsia="Calibri Light" w:hAnsi="Calibri Light" w:cs="Arial"/>
          <w:color w:val="000000" w:themeColor="text1"/>
          <w:sz w:val="21"/>
          <w:szCs w:val="21"/>
          <w:lang w:eastAsia="en-AU"/>
        </w:rPr>
        <w:lastRenderedPageBreak/>
        <w:t>Its pursuit of these ambitions is framed by both its resource envelope (a constraining factor) and its sphere of influence within policy-making circles (a potential opportunity). TASS therefore</w:t>
      </w:r>
      <w:r w:rsidR="00FC649F">
        <w:rPr>
          <w:rFonts w:ascii="Calibri Light" w:eastAsia="Calibri Light" w:hAnsi="Calibri Light" w:cs="Arial"/>
          <w:color w:val="000000" w:themeColor="text1"/>
          <w:sz w:val="21"/>
          <w:szCs w:val="21"/>
          <w:lang w:eastAsia="en-AU"/>
        </w:rPr>
        <w:t xml:space="preserve"> seeks to</w:t>
      </w:r>
      <w:r w:rsidRPr="006A1458">
        <w:rPr>
          <w:rFonts w:ascii="Calibri Light" w:eastAsia="Calibri Light" w:hAnsi="Calibri Light" w:cs="Arial"/>
          <w:color w:val="000000" w:themeColor="text1"/>
          <w:sz w:val="21"/>
          <w:szCs w:val="21"/>
          <w:lang w:eastAsia="en-AU"/>
        </w:rPr>
        <w:t xml:space="preserve">: </w:t>
      </w:r>
    </w:p>
    <w:p w:rsidR="00D8647E" w:rsidRDefault="00DE5E22" w:rsidP="00A269A5">
      <w:pPr>
        <w:numPr>
          <w:ilvl w:val="1"/>
          <w:numId w:val="16"/>
        </w:numPr>
        <w:tabs>
          <w:tab w:val="left" w:pos="284"/>
        </w:tabs>
        <w:suppressAutoHyphens w:val="0"/>
        <w:spacing w:after="120" w:line="280" w:lineRule="exact"/>
        <w:ind w:left="567" w:hanging="283"/>
        <w:jc w:val="both"/>
        <w:rPr>
          <w:rFonts w:ascii="Calibri Light" w:eastAsia="Calibri Light" w:hAnsi="Calibri Light" w:cs="Arial"/>
          <w:color w:val="000000" w:themeColor="text1"/>
          <w:sz w:val="21"/>
          <w:szCs w:val="21"/>
          <w:lang w:eastAsia="en-AU"/>
        </w:rPr>
      </w:pPr>
      <w:r>
        <w:rPr>
          <w:rFonts w:ascii="Calibri Light" w:eastAsia="Calibri Light" w:hAnsi="Calibri Light" w:cs="Arial"/>
          <w:color w:val="000000" w:themeColor="text1"/>
          <w:sz w:val="21"/>
          <w:szCs w:val="21"/>
          <w:lang w:eastAsia="en-AU"/>
        </w:rPr>
        <w:t>mainstream</w:t>
      </w:r>
      <w:r w:rsidR="00D8647E" w:rsidRPr="005359EC">
        <w:rPr>
          <w:rFonts w:ascii="Calibri Light" w:eastAsia="Calibri Light" w:hAnsi="Calibri Light" w:cs="Arial"/>
          <w:b/>
          <w:color w:val="000000" w:themeColor="text1"/>
          <w:sz w:val="21"/>
          <w:szCs w:val="21"/>
          <w:lang w:eastAsia="en-AU"/>
        </w:rPr>
        <w:t xml:space="preserve"> gender and disability inclusion</w:t>
      </w:r>
      <w:r w:rsidR="00D8647E" w:rsidRPr="005359EC">
        <w:rPr>
          <w:rFonts w:ascii="Calibri Light" w:eastAsia="Calibri Light" w:hAnsi="Calibri Light" w:cs="Arial"/>
          <w:color w:val="000000" w:themeColor="text1"/>
          <w:sz w:val="21"/>
          <w:szCs w:val="21"/>
          <w:lang w:eastAsia="en-AU"/>
        </w:rPr>
        <w:t xml:space="preserve"> in each activity (e.g. at the screening stage</w:t>
      </w:r>
      <w:r w:rsidR="000159D2">
        <w:rPr>
          <w:rFonts w:ascii="Calibri Light" w:eastAsia="Calibri Light" w:hAnsi="Calibri Light" w:cs="Arial"/>
          <w:color w:val="000000" w:themeColor="text1"/>
          <w:sz w:val="21"/>
          <w:szCs w:val="21"/>
          <w:lang w:eastAsia="en-AU"/>
        </w:rPr>
        <w:t xml:space="preserve"> and</w:t>
      </w:r>
      <w:r w:rsidR="00D8647E" w:rsidRPr="005359EC">
        <w:rPr>
          <w:rFonts w:ascii="Calibri Light" w:eastAsia="Calibri Light" w:hAnsi="Calibri Light" w:cs="Arial"/>
          <w:color w:val="000000" w:themeColor="text1"/>
          <w:sz w:val="21"/>
          <w:szCs w:val="21"/>
          <w:lang w:eastAsia="en-AU"/>
        </w:rPr>
        <w:t xml:space="preserve"> during </w:t>
      </w:r>
      <w:r w:rsidR="00D8647E" w:rsidRPr="005359EC">
        <w:rPr>
          <w:rFonts w:eastAsia="Times New Roman" w:cs="Arial"/>
          <w:color w:val="000000" w:themeColor="text1"/>
          <w:sz w:val="21"/>
          <w:szCs w:val="21"/>
          <w:lang w:val="en-AU" w:eastAsia="en-AU"/>
        </w:rPr>
        <w:t>implementation</w:t>
      </w:r>
      <w:r w:rsidR="00D8647E" w:rsidRPr="005359EC">
        <w:rPr>
          <w:rFonts w:ascii="Calibri Light" w:eastAsia="Calibri Light" w:hAnsi="Calibri Light" w:cs="Arial"/>
          <w:color w:val="000000" w:themeColor="text1"/>
          <w:sz w:val="21"/>
          <w:szCs w:val="21"/>
          <w:lang w:eastAsia="en-AU"/>
        </w:rPr>
        <w:t>)</w:t>
      </w:r>
      <w:r w:rsidR="00D8647E">
        <w:rPr>
          <w:rFonts w:ascii="Calibri Light" w:eastAsia="Calibri Light" w:hAnsi="Calibri Light" w:cs="Arial"/>
          <w:color w:val="000000" w:themeColor="text1"/>
          <w:sz w:val="21"/>
          <w:szCs w:val="21"/>
          <w:lang w:eastAsia="en-AU"/>
        </w:rPr>
        <w:t>;</w:t>
      </w:r>
    </w:p>
    <w:p w:rsidR="00D8647E" w:rsidRPr="005359EC" w:rsidRDefault="00D8647E" w:rsidP="00A269A5">
      <w:pPr>
        <w:numPr>
          <w:ilvl w:val="1"/>
          <w:numId w:val="16"/>
        </w:numPr>
        <w:tabs>
          <w:tab w:val="left" w:pos="284"/>
        </w:tabs>
        <w:suppressAutoHyphens w:val="0"/>
        <w:spacing w:after="120" w:line="280" w:lineRule="exact"/>
        <w:ind w:left="567" w:hanging="283"/>
        <w:jc w:val="both"/>
        <w:rPr>
          <w:rFonts w:ascii="Calibri Light" w:eastAsia="Calibri Light" w:hAnsi="Calibri Light" w:cs="Arial"/>
          <w:color w:val="000000" w:themeColor="text1"/>
          <w:sz w:val="21"/>
          <w:szCs w:val="21"/>
          <w:lang w:eastAsia="en-AU"/>
        </w:rPr>
      </w:pPr>
      <w:r>
        <w:rPr>
          <w:rFonts w:ascii="Calibri Light" w:eastAsia="Calibri Light" w:hAnsi="Calibri Light" w:cs="Arial"/>
          <w:color w:val="000000" w:themeColor="text1"/>
          <w:sz w:val="21"/>
          <w:szCs w:val="21"/>
          <w:lang w:eastAsia="en-AU"/>
        </w:rPr>
        <w:t>include gender and disability-related recommendations in each activity output (as appropriate)</w:t>
      </w:r>
      <w:r w:rsidR="00FC649F">
        <w:rPr>
          <w:rFonts w:ascii="Calibri Light" w:eastAsia="Calibri Light" w:hAnsi="Calibri Light" w:cs="Arial"/>
          <w:color w:val="000000" w:themeColor="text1"/>
          <w:sz w:val="21"/>
          <w:szCs w:val="21"/>
          <w:lang w:eastAsia="en-AU"/>
        </w:rPr>
        <w:t xml:space="preserve">; </w:t>
      </w:r>
      <w:r w:rsidRPr="005359EC">
        <w:rPr>
          <w:rFonts w:ascii="Calibri Light" w:eastAsia="Calibri Light" w:hAnsi="Calibri Light" w:cs="Arial"/>
          <w:color w:val="000000" w:themeColor="text1"/>
          <w:sz w:val="21"/>
          <w:szCs w:val="21"/>
          <w:lang w:eastAsia="en-AU"/>
        </w:rPr>
        <w:t xml:space="preserve">and </w:t>
      </w:r>
    </w:p>
    <w:p w:rsidR="00D8647E" w:rsidRPr="005359EC" w:rsidRDefault="00D8647E" w:rsidP="00A269A5">
      <w:pPr>
        <w:numPr>
          <w:ilvl w:val="1"/>
          <w:numId w:val="16"/>
        </w:numPr>
        <w:tabs>
          <w:tab w:val="left" w:pos="284"/>
        </w:tabs>
        <w:suppressAutoHyphens w:val="0"/>
        <w:spacing w:after="120" w:line="280" w:lineRule="exact"/>
        <w:ind w:left="567" w:hanging="283"/>
        <w:jc w:val="both"/>
        <w:rPr>
          <w:rFonts w:ascii="Calibri Light" w:eastAsia="Calibri Light" w:hAnsi="Calibri Light" w:cs="Arial"/>
          <w:color w:val="000000" w:themeColor="text1"/>
          <w:sz w:val="21"/>
          <w:szCs w:val="21"/>
          <w:lang w:eastAsia="en-AU"/>
        </w:rPr>
      </w:pPr>
      <w:r w:rsidRPr="005359EC">
        <w:rPr>
          <w:rFonts w:ascii="Calibri Light" w:eastAsia="Calibri Light" w:hAnsi="Calibri Light" w:cs="Arial"/>
          <w:color w:val="000000" w:themeColor="text1"/>
          <w:sz w:val="21"/>
          <w:szCs w:val="21"/>
          <w:lang w:eastAsia="en-AU"/>
        </w:rPr>
        <w:t xml:space="preserve">adopt an </w:t>
      </w:r>
      <w:r w:rsidRPr="005359EC">
        <w:rPr>
          <w:rFonts w:ascii="Calibri Light" w:eastAsia="Calibri Light" w:hAnsi="Calibri Light" w:cs="Arial"/>
          <w:b/>
          <w:color w:val="000000" w:themeColor="text1"/>
          <w:sz w:val="21"/>
          <w:szCs w:val="21"/>
          <w:lang w:eastAsia="en-AU"/>
        </w:rPr>
        <w:t>advocacy and, where possible, data-led approach</w:t>
      </w:r>
      <w:r w:rsidRPr="005359EC">
        <w:rPr>
          <w:rFonts w:ascii="Calibri Light" w:eastAsia="Calibri Light" w:hAnsi="Calibri Light" w:cs="Arial"/>
          <w:color w:val="000000" w:themeColor="text1"/>
          <w:sz w:val="21"/>
          <w:szCs w:val="21"/>
          <w:lang w:eastAsia="en-AU"/>
        </w:rPr>
        <w:t xml:space="preserve"> to increasing interest in gender and disability inclusion, </w:t>
      </w:r>
      <w:r w:rsidRPr="005359EC">
        <w:rPr>
          <w:rFonts w:eastAsia="Times New Roman" w:cs="Arial"/>
          <w:color w:val="000000" w:themeColor="text1"/>
          <w:sz w:val="21"/>
          <w:szCs w:val="21"/>
          <w:lang w:val="en-AU" w:eastAsia="en-AU"/>
        </w:rPr>
        <w:t>with</w:t>
      </w:r>
      <w:r w:rsidRPr="005359EC">
        <w:rPr>
          <w:rFonts w:ascii="Calibri Light" w:eastAsia="Calibri Light" w:hAnsi="Calibri Light" w:cs="Arial"/>
          <w:color w:val="000000" w:themeColor="text1"/>
          <w:sz w:val="21"/>
          <w:szCs w:val="21"/>
          <w:lang w:eastAsia="en-AU"/>
        </w:rPr>
        <w:t xml:space="preserve"> a view to shaping understanding and attitudes</w:t>
      </w:r>
      <w:r w:rsidR="000159D2">
        <w:rPr>
          <w:rFonts w:ascii="Calibri Light" w:eastAsia="Calibri Light" w:hAnsi="Calibri Light" w:cs="Arial"/>
          <w:color w:val="000000" w:themeColor="text1"/>
          <w:sz w:val="21"/>
          <w:szCs w:val="21"/>
          <w:lang w:eastAsia="en-AU"/>
        </w:rPr>
        <w:t>,</w:t>
      </w:r>
      <w:r w:rsidRPr="005359EC">
        <w:rPr>
          <w:rFonts w:ascii="Calibri Light" w:eastAsia="Calibri Light" w:hAnsi="Calibri Light" w:cs="Arial"/>
          <w:color w:val="000000" w:themeColor="text1"/>
          <w:sz w:val="21"/>
          <w:szCs w:val="21"/>
          <w:lang w:eastAsia="en-AU"/>
        </w:rPr>
        <w:t xml:space="preserve"> and ultimately to increase the likelihood that future changes in policies, systems and practices</w:t>
      </w:r>
      <w:r w:rsidRPr="005359EC">
        <w:rPr>
          <w:rFonts w:ascii="Calibri Light" w:eastAsia="Times New Roman" w:hAnsi="Calibri Light" w:cs="Arial"/>
          <w:color w:val="000000" w:themeColor="text1"/>
          <w:sz w:val="21"/>
          <w:szCs w:val="21"/>
          <w:lang w:val="en-AU" w:eastAsia="en-AU"/>
        </w:rPr>
        <w:t xml:space="preserve"> will benefit </w:t>
      </w:r>
      <w:r w:rsidRPr="005359EC">
        <w:rPr>
          <w:rFonts w:ascii="Calibri Light" w:eastAsia="Calibri Light" w:hAnsi="Calibri Light" w:cs="Arial"/>
          <w:color w:val="000000" w:themeColor="text1"/>
          <w:sz w:val="21"/>
          <w:szCs w:val="21"/>
          <w:lang w:eastAsia="en-AU"/>
        </w:rPr>
        <w:t xml:space="preserve">all. </w:t>
      </w:r>
    </w:p>
    <w:p w:rsidR="00D8647E" w:rsidRPr="005359EC" w:rsidRDefault="00D8647E" w:rsidP="00A269A5">
      <w:pPr>
        <w:tabs>
          <w:tab w:val="left" w:pos="284"/>
        </w:tabs>
        <w:suppressAutoHyphens w:val="0"/>
        <w:spacing w:after="120" w:line="280" w:lineRule="exact"/>
        <w:jc w:val="both"/>
        <w:rPr>
          <w:rFonts w:ascii="Calibri Light" w:eastAsia="Calibri Light" w:hAnsi="Calibri Light" w:cs="Arial"/>
          <w:color w:val="000000" w:themeColor="text1"/>
          <w:sz w:val="21"/>
          <w:szCs w:val="21"/>
          <w:lang w:eastAsia="en-AU"/>
        </w:rPr>
      </w:pPr>
      <w:r>
        <w:rPr>
          <w:rFonts w:ascii="Calibri Light" w:eastAsia="Calibri Light" w:hAnsi="Calibri Light" w:cs="Arial"/>
          <w:color w:val="000000" w:themeColor="text1"/>
          <w:sz w:val="21"/>
          <w:szCs w:val="21"/>
          <w:lang w:eastAsia="en-AU"/>
        </w:rPr>
        <w:t xml:space="preserve">Where feasible and should resourcing allow, TASS will undertake specific studies that address issues related to gender and disability in education (involving people with disability and disabled people’s organisations in the activity cycle wherever possible). </w:t>
      </w:r>
    </w:p>
    <w:p w:rsidR="00D8647E" w:rsidRPr="000E10B9" w:rsidRDefault="00D8647E" w:rsidP="000B1A9B">
      <w:pPr>
        <w:pStyle w:val="ListParagraph"/>
        <w:numPr>
          <w:ilvl w:val="0"/>
          <w:numId w:val="40"/>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rPr>
      </w:pPr>
      <w:r w:rsidRPr="000E10B9">
        <w:rPr>
          <w:rFonts w:asciiTheme="majorHAnsi" w:hAnsiTheme="majorHAnsi"/>
          <w:b/>
        </w:rPr>
        <w:t xml:space="preserve">Budget </w:t>
      </w:r>
      <w:r w:rsidRPr="000E10B9">
        <w:rPr>
          <w:rFonts w:asciiTheme="majorHAnsi" w:hAnsiTheme="majorHAnsi"/>
          <w:b/>
          <w:szCs w:val="21"/>
        </w:rPr>
        <w:t>and</w:t>
      </w:r>
      <w:r w:rsidRPr="000E10B9">
        <w:rPr>
          <w:rFonts w:asciiTheme="majorHAnsi" w:hAnsiTheme="majorHAnsi"/>
          <w:b/>
        </w:rPr>
        <w:t xml:space="preserve"> Resourcing (What will it cost?)</w:t>
      </w:r>
    </w:p>
    <w:p w:rsidR="00D8647E" w:rsidRPr="008702BE" w:rsidRDefault="00D8647E" w:rsidP="008702BE">
      <w:pPr>
        <w:tabs>
          <w:tab w:val="left" w:pos="284"/>
        </w:tabs>
        <w:suppressAutoHyphens w:val="0"/>
        <w:spacing w:after="120" w:line="280" w:lineRule="exact"/>
        <w:jc w:val="both"/>
        <w:rPr>
          <w:rFonts w:ascii="Calibri Light" w:eastAsia="Calibri Light" w:hAnsi="Calibri Light" w:cs="Arial"/>
          <w:color w:val="000000" w:themeColor="text1"/>
          <w:sz w:val="21"/>
          <w:szCs w:val="21"/>
          <w:lang w:eastAsia="en-AU"/>
        </w:rPr>
      </w:pPr>
      <w:r w:rsidRPr="008702BE">
        <w:rPr>
          <w:rFonts w:ascii="Calibri Light" w:eastAsia="Calibri Light" w:hAnsi="Calibri Light" w:cs="Arial"/>
          <w:color w:val="000000" w:themeColor="text1"/>
          <w:sz w:val="21"/>
          <w:szCs w:val="21"/>
          <w:lang w:eastAsia="en-AU"/>
        </w:rPr>
        <w:t xml:space="preserve">TASS commenced in January 2017 and will be implemented over a </w:t>
      </w:r>
      <w:r w:rsidRPr="008702BE">
        <w:rPr>
          <w:rFonts w:ascii="Calibri Light" w:eastAsia="Calibri Light" w:hAnsi="Calibri Light" w:cs="Arial"/>
          <w:b/>
          <w:color w:val="000000" w:themeColor="text1"/>
          <w:sz w:val="21"/>
          <w:szCs w:val="21"/>
          <w:lang w:eastAsia="en-AU"/>
        </w:rPr>
        <w:t>three-year period</w:t>
      </w:r>
      <w:r w:rsidRPr="008702BE">
        <w:rPr>
          <w:rFonts w:ascii="Calibri Light" w:eastAsia="Calibri Light" w:hAnsi="Calibri Light" w:cs="Arial"/>
          <w:color w:val="000000" w:themeColor="text1"/>
          <w:sz w:val="21"/>
          <w:szCs w:val="21"/>
          <w:lang w:eastAsia="en-AU"/>
        </w:rPr>
        <w:t xml:space="preserve">. The </w:t>
      </w:r>
      <w:r w:rsidRPr="00B17597">
        <w:rPr>
          <w:rFonts w:ascii="Calibri Light" w:eastAsia="Calibri Light" w:hAnsi="Calibri Light" w:cs="Arial"/>
          <w:i/>
          <w:color w:val="000000" w:themeColor="text1"/>
          <w:sz w:val="21"/>
          <w:szCs w:val="21"/>
          <w:lang w:eastAsia="en-AU"/>
        </w:rPr>
        <w:t>Strategic Review of DFAT’s Education Sector investments (TASS, INOVASI, ID-Teman)</w:t>
      </w:r>
      <w:r w:rsidRPr="008702BE">
        <w:rPr>
          <w:rFonts w:ascii="Calibri Light" w:eastAsia="Calibri Light" w:hAnsi="Calibri Light" w:cs="Arial"/>
          <w:color w:val="000000" w:themeColor="text1"/>
          <w:sz w:val="21"/>
          <w:szCs w:val="21"/>
          <w:lang w:eastAsia="en-AU"/>
        </w:rPr>
        <w:t xml:space="preserve"> in late 2018 will, in part, inform DFAT’s decision as to whether or not to exercise the option of continuing the Facility for a further </w:t>
      </w:r>
      <w:r w:rsidR="00452EBE">
        <w:rPr>
          <w:rFonts w:ascii="Calibri Light" w:eastAsia="Calibri Light" w:hAnsi="Calibri Light" w:cs="Arial"/>
          <w:color w:val="000000" w:themeColor="text1"/>
          <w:sz w:val="21"/>
          <w:szCs w:val="21"/>
          <w:lang w:eastAsia="en-AU"/>
        </w:rPr>
        <w:t>two</w:t>
      </w:r>
      <w:r w:rsidR="00D26C59" w:rsidRPr="008702BE">
        <w:rPr>
          <w:rFonts w:ascii="Calibri Light" w:eastAsia="Calibri Light" w:hAnsi="Calibri Light" w:cs="Arial"/>
          <w:color w:val="000000" w:themeColor="text1"/>
          <w:sz w:val="21"/>
          <w:szCs w:val="21"/>
          <w:lang w:eastAsia="en-AU"/>
        </w:rPr>
        <w:t xml:space="preserve"> </w:t>
      </w:r>
      <w:r w:rsidRPr="008702BE">
        <w:rPr>
          <w:rFonts w:ascii="Calibri Light" w:eastAsia="Calibri Light" w:hAnsi="Calibri Light" w:cs="Arial"/>
          <w:color w:val="000000" w:themeColor="text1"/>
          <w:sz w:val="21"/>
          <w:szCs w:val="21"/>
          <w:lang w:eastAsia="en-AU"/>
        </w:rPr>
        <w:t xml:space="preserve">years. </w:t>
      </w:r>
    </w:p>
    <w:p w:rsidR="00D8647E" w:rsidRPr="008702BE" w:rsidRDefault="00D8647E" w:rsidP="008702BE">
      <w:pPr>
        <w:tabs>
          <w:tab w:val="left" w:pos="284"/>
        </w:tabs>
        <w:suppressAutoHyphens w:val="0"/>
        <w:spacing w:after="120" w:line="280" w:lineRule="exact"/>
        <w:jc w:val="both"/>
        <w:rPr>
          <w:rFonts w:ascii="Calibri Light" w:eastAsia="Calibri Light" w:hAnsi="Calibri Light" w:cs="Arial"/>
          <w:color w:val="000000" w:themeColor="text1"/>
          <w:sz w:val="21"/>
          <w:szCs w:val="21"/>
          <w:lang w:eastAsia="en-AU"/>
        </w:rPr>
      </w:pPr>
      <w:r w:rsidRPr="008702BE">
        <w:rPr>
          <w:rFonts w:ascii="Calibri Light" w:eastAsia="Calibri Light" w:hAnsi="Calibri Light" w:cs="Arial"/>
          <w:color w:val="000000" w:themeColor="text1"/>
          <w:sz w:val="21"/>
          <w:szCs w:val="21"/>
          <w:lang w:eastAsia="en-AU"/>
        </w:rPr>
        <w:t xml:space="preserve">The </w:t>
      </w:r>
      <w:r w:rsidR="008E03AF">
        <w:rPr>
          <w:rFonts w:ascii="Calibri Light" w:eastAsia="Calibri Light" w:hAnsi="Calibri Light" w:cs="Arial"/>
          <w:color w:val="000000" w:themeColor="text1"/>
          <w:sz w:val="21"/>
          <w:szCs w:val="21"/>
          <w:lang w:eastAsia="en-AU"/>
        </w:rPr>
        <w:t>budget</w:t>
      </w:r>
      <w:r w:rsidRPr="008702BE">
        <w:rPr>
          <w:rFonts w:ascii="Calibri Light" w:eastAsia="Calibri Light" w:hAnsi="Calibri Light" w:cs="Arial"/>
          <w:color w:val="000000" w:themeColor="text1"/>
          <w:sz w:val="21"/>
          <w:szCs w:val="21"/>
          <w:lang w:eastAsia="en-AU"/>
        </w:rPr>
        <w:t xml:space="preserve"> for the first three years is </w:t>
      </w:r>
      <w:r w:rsidRPr="008702BE">
        <w:rPr>
          <w:rFonts w:ascii="Calibri Light" w:eastAsia="Calibri Light" w:hAnsi="Calibri Light" w:cs="Arial"/>
          <w:b/>
          <w:color w:val="000000" w:themeColor="text1"/>
          <w:sz w:val="21"/>
          <w:szCs w:val="21"/>
          <w:lang w:eastAsia="en-AU"/>
        </w:rPr>
        <w:t>A$11.98m</w:t>
      </w:r>
      <w:r w:rsidRPr="008702BE">
        <w:rPr>
          <w:rFonts w:ascii="Calibri Light" w:eastAsia="Calibri Light" w:hAnsi="Calibri Light" w:cs="Arial"/>
          <w:color w:val="000000" w:themeColor="text1"/>
          <w:sz w:val="21"/>
          <w:szCs w:val="21"/>
          <w:lang w:eastAsia="en-AU"/>
        </w:rPr>
        <w:t>. This includes program and facility costs, and management fees (</w:t>
      </w:r>
      <w:r w:rsidRPr="000F04A9">
        <w:rPr>
          <w:rFonts w:ascii="Calibri Light" w:eastAsia="Calibri Light" w:hAnsi="Calibri Light" w:cs="Arial"/>
          <w:color w:val="000000" w:themeColor="text1"/>
          <w:sz w:val="21"/>
          <w:szCs w:val="21"/>
          <w:lang w:eastAsia="en-AU"/>
        </w:rPr>
        <w:t xml:space="preserve">see Annex </w:t>
      </w:r>
      <w:r w:rsidR="0003686B" w:rsidRPr="000F04A9">
        <w:rPr>
          <w:rFonts w:ascii="Calibri Light" w:eastAsia="Calibri Light" w:hAnsi="Calibri Light" w:cs="Arial"/>
          <w:color w:val="000000" w:themeColor="text1"/>
          <w:sz w:val="21"/>
          <w:szCs w:val="21"/>
          <w:lang w:eastAsia="en-AU"/>
        </w:rPr>
        <w:t>G</w:t>
      </w:r>
      <w:r w:rsidR="008E03AF" w:rsidRPr="000F04A9">
        <w:rPr>
          <w:rFonts w:ascii="Calibri Light" w:eastAsia="Calibri Light" w:hAnsi="Calibri Light" w:cs="Arial"/>
          <w:color w:val="000000" w:themeColor="text1"/>
          <w:sz w:val="21"/>
          <w:szCs w:val="21"/>
          <w:lang w:eastAsia="en-AU"/>
        </w:rPr>
        <w:t xml:space="preserve"> for</w:t>
      </w:r>
      <w:r w:rsidR="008E03AF">
        <w:rPr>
          <w:rFonts w:ascii="Calibri Light" w:eastAsia="Calibri Light" w:hAnsi="Calibri Light" w:cs="Arial"/>
          <w:color w:val="000000" w:themeColor="text1"/>
          <w:sz w:val="21"/>
          <w:szCs w:val="21"/>
          <w:lang w:eastAsia="en-AU"/>
        </w:rPr>
        <w:t xml:space="preserve"> more detail</w:t>
      </w:r>
      <w:r w:rsidRPr="008702BE">
        <w:rPr>
          <w:rFonts w:ascii="Calibri Light" w:eastAsia="Calibri Light" w:hAnsi="Calibri Light" w:cs="Arial"/>
          <w:color w:val="000000" w:themeColor="text1"/>
          <w:sz w:val="21"/>
          <w:szCs w:val="21"/>
          <w:lang w:eastAsia="en-AU"/>
        </w:rPr>
        <w:t xml:space="preserve">). The entire amount will be financed from DFAT’s own budget. DFAT’s budget will not finance physical infrastructure. The Indonesian Government </w:t>
      </w:r>
      <w:r w:rsidR="006A1458">
        <w:rPr>
          <w:rFonts w:ascii="Calibri Light" w:eastAsia="Calibri Light" w:hAnsi="Calibri Light" w:cs="Arial"/>
          <w:color w:val="000000" w:themeColor="text1"/>
          <w:sz w:val="21"/>
          <w:szCs w:val="21"/>
          <w:lang w:eastAsia="en-AU"/>
        </w:rPr>
        <w:t xml:space="preserve">contributes in kind through </w:t>
      </w:r>
      <w:r w:rsidR="00430F87">
        <w:rPr>
          <w:rFonts w:ascii="Calibri Light" w:eastAsia="Calibri Light" w:hAnsi="Calibri Light" w:cs="Arial"/>
          <w:color w:val="000000" w:themeColor="text1"/>
          <w:sz w:val="21"/>
          <w:szCs w:val="21"/>
          <w:lang w:eastAsia="en-AU"/>
        </w:rPr>
        <w:t xml:space="preserve">the </w:t>
      </w:r>
      <w:r w:rsidR="006A1458">
        <w:rPr>
          <w:rFonts w:ascii="Calibri Light" w:eastAsia="Calibri Light" w:hAnsi="Calibri Light" w:cs="Arial"/>
          <w:color w:val="000000" w:themeColor="text1"/>
          <w:sz w:val="21"/>
          <w:szCs w:val="21"/>
          <w:lang w:eastAsia="en-AU"/>
        </w:rPr>
        <w:t>provision of office space, personnel for participation in TASS activities, and co-funding of activities and events</w:t>
      </w:r>
      <w:r w:rsidR="0091508A">
        <w:rPr>
          <w:rFonts w:ascii="Calibri Light" w:eastAsia="Calibri Light" w:hAnsi="Calibri Light" w:cs="Arial"/>
          <w:color w:val="000000" w:themeColor="text1"/>
          <w:sz w:val="21"/>
          <w:szCs w:val="21"/>
          <w:lang w:eastAsia="en-AU"/>
        </w:rPr>
        <w:t>.</w:t>
      </w:r>
    </w:p>
    <w:p w:rsidR="00D8647E" w:rsidRPr="008702BE" w:rsidRDefault="00D8647E" w:rsidP="008702BE">
      <w:pPr>
        <w:tabs>
          <w:tab w:val="left" w:pos="284"/>
        </w:tabs>
        <w:suppressAutoHyphens w:val="0"/>
        <w:spacing w:after="120" w:line="280" w:lineRule="exact"/>
        <w:jc w:val="both"/>
        <w:rPr>
          <w:rFonts w:ascii="Calibri Light" w:eastAsia="Calibri Light" w:hAnsi="Calibri Light" w:cs="Arial"/>
          <w:color w:val="000000" w:themeColor="text1"/>
          <w:sz w:val="21"/>
          <w:szCs w:val="21"/>
          <w:lang w:eastAsia="en-AU"/>
        </w:rPr>
      </w:pPr>
      <w:r w:rsidRPr="008702BE">
        <w:rPr>
          <w:rFonts w:ascii="Calibri Light" w:eastAsia="Calibri Light" w:hAnsi="Calibri Light" w:cs="Arial"/>
          <w:color w:val="000000" w:themeColor="text1"/>
          <w:sz w:val="21"/>
          <w:szCs w:val="21"/>
          <w:lang w:eastAsia="en-AU"/>
        </w:rPr>
        <w:t xml:space="preserve">TASS’s way of working, coupled with the fluid political-institutional environment within which it works, means that budget planning and management </w:t>
      </w:r>
      <w:r w:rsidR="008E03AF">
        <w:rPr>
          <w:rFonts w:ascii="Calibri Light" w:eastAsia="Calibri Light" w:hAnsi="Calibri Light" w:cs="Arial"/>
          <w:color w:val="000000" w:themeColor="text1"/>
          <w:sz w:val="21"/>
          <w:szCs w:val="21"/>
          <w:lang w:eastAsia="en-AU"/>
        </w:rPr>
        <w:t>is</w:t>
      </w:r>
      <w:r w:rsidRPr="008702BE">
        <w:rPr>
          <w:rFonts w:ascii="Calibri Light" w:eastAsia="Calibri Light" w:hAnsi="Calibri Light" w:cs="Arial"/>
          <w:color w:val="000000" w:themeColor="text1"/>
          <w:sz w:val="21"/>
          <w:szCs w:val="21"/>
          <w:lang w:eastAsia="en-AU"/>
        </w:rPr>
        <w:t xml:space="preserve"> dynamic and complicated. TASS, DFAT and the Indonesian Government will regularly review the facility’s budget and expenditure position (e.g. in the Steering Committee and in ‘bilateral’ meetings). Insofar as possible, partners will seek to keep a proportion of TASS’s annual budget unallocated so that the facility can remain opportunistic</w:t>
      </w:r>
      <w:r w:rsidR="00D16192">
        <w:rPr>
          <w:rFonts w:ascii="Calibri Light" w:eastAsia="Calibri Light" w:hAnsi="Calibri Light" w:cs="Arial"/>
          <w:color w:val="000000" w:themeColor="text1"/>
          <w:sz w:val="21"/>
          <w:szCs w:val="21"/>
          <w:lang w:eastAsia="en-AU"/>
        </w:rPr>
        <w:t xml:space="preserve"> and responsive</w:t>
      </w:r>
      <w:r w:rsidRPr="008702BE">
        <w:rPr>
          <w:rFonts w:ascii="Calibri Light" w:eastAsia="Calibri Light" w:hAnsi="Calibri Light" w:cs="Arial"/>
          <w:color w:val="000000" w:themeColor="text1"/>
          <w:sz w:val="21"/>
          <w:szCs w:val="21"/>
          <w:lang w:eastAsia="en-AU"/>
        </w:rPr>
        <w:t xml:space="preserve">. </w:t>
      </w:r>
    </w:p>
    <w:p w:rsidR="00D16192" w:rsidRPr="008702BE" w:rsidRDefault="00D16192" w:rsidP="00D16192">
      <w:pPr>
        <w:tabs>
          <w:tab w:val="left" w:pos="284"/>
        </w:tabs>
        <w:suppressAutoHyphens w:val="0"/>
        <w:spacing w:after="120" w:line="280" w:lineRule="exact"/>
        <w:jc w:val="both"/>
        <w:rPr>
          <w:rFonts w:ascii="Calibri Light" w:eastAsia="Calibri Light" w:hAnsi="Calibri Light" w:cs="Arial"/>
          <w:color w:val="000000" w:themeColor="text1"/>
          <w:sz w:val="21"/>
          <w:szCs w:val="21"/>
          <w:lang w:eastAsia="en-AU"/>
        </w:rPr>
      </w:pPr>
      <w:r>
        <w:rPr>
          <w:rFonts w:ascii="Calibri Light" w:eastAsia="Calibri Light" w:hAnsi="Calibri Light" w:cs="Arial"/>
          <w:color w:val="000000" w:themeColor="text1"/>
          <w:sz w:val="21"/>
          <w:szCs w:val="21"/>
          <w:lang w:eastAsia="en-AU"/>
        </w:rPr>
        <w:t>In accordance with its head contract with DFAT, Palladium</w:t>
      </w:r>
      <w:r w:rsidR="00D8647E" w:rsidRPr="008702BE">
        <w:rPr>
          <w:rFonts w:ascii="Calibri Light" w:eastAsia="Calibri Light" w:hAnsi="Calibri Light" w:cs="Arial"/>
          <w:color w:val="000000" w:themeColor="text1"/>
          <w:sz w:val="21"/>
          <w:szCs w:val="21"/>
          <w:lang w:eastAsia="en-AU"/>
        </w:rPr>
        <w:t xml:space="preserve"> </w:t>
      </w:r>
      <w:r w:rsidR="009739E8">
        <w:rPr>
          <w:rFonts w:ascii="Calibri Light" w:eastAsia="Calibri Light" w:hAnsi="Calibri Light" w:cs="Arial"/>
          <w:color w:val="000000" w:themeColor="text1"/>
          <w:sz w:val="21"/>
          <w:szCs w:val="21"/>
          <w:lang w:eastAsia="en-AU"/>
        </w:rPr>
        <w:t>is required to recruit and manage</w:t>
      </w:r>
      <w:r w:rsidR="00D8647E" w:rsidRPr="008702BE">
        <w:rPr>
          <w:rFonts w:ascii="Calibri Light" w:eastAsia="Calibri Light" w:hAnsi="Calibri Light" w:cs="Arial"/>
          <w:color w:val="000000" w:themeColor="text1"/>
          <w:sz w:val="21"/>
          <w:szCs w:val="21"/>
          <w:lang w:eastAsia="en-AU"/>
        </w:rPr>
        <w:t xml:space="preserve"> both long-term personnel (e.g. Facility Director, </w:t>
      </w:r>
      <w:r w:rsidR="00A46113">
        <w:rPr>
          <w:rFonts w:ascii="Calibri Light" w:eastAsia="Calibri Light" w:hAnsi="Calibri Light" w:cs="Arial"/>
          <w:color w:val="000000" w:themeColor="text1"/>
          <w:sz w:val="21"/>
          <w:szCs w:val="21"/>
          <w:lang w:eastAsia="en-AU"/>
        </w:rPr>
        <w:t xml:space="preserve">Activity </w:t>
      </w:r>
      <w:r w:rsidR="00D8647E" w:rsidRPr="008702BE">
        <w:rPr>
          <w:rFonts w:ascii="Calibri Light" w:eastAsia="Calibri Light" w:hAnsi="Calibri Light" w:cs="Arial"/>
          <w:color w:val="000000" w:themeColor="text1"/>
          <w:sz w:val="21"/>
          <w:szCs w:val="21"/>
          <w:lang w:eastAsia="en-AU"/>
        </w:rPr>
        <w:t>Manager</w:t>
      </w:r>
      <w:r w:rsidR="00A46113">
        <w:rPr>
          <w:rFonts w:ascii="Calibri Light" w:eastAsia="Calibri Light" w:hAnsi="Calibri Light" w:cs="Arial"/>
          <w:color w:val="000000" w:themeColor="text1"/>
          <w:sz w:val="21"/>
          <w:szCs w:val="21"/>
          <w:lang w:eastAsia="en-AU"/>
        </w:rPr>
        <w:t>s</w:t>
      </w:r>
      <w:r w:rsidR="00D8647E" w:rsidRPr="008702BE">
        <w:rPr>
          <w:rFonts w:ascii="Calibri Light" w:eastAsia="Calibri Light" w:hAnsi="Calibri Light" w:cs="Arial"/>
          <w:color w:val="000000" w:themeColor="text1"/>
          <w:sz w:val="21"/>
          <w:szCs w:val="21"/>
          <w:lang w:eastAsia="en-AU"/>
        </w:rPr>
        <w:t>, program management and administrative staff) and short-term advisors</w:t>
      </w:r>
      <w:r w:rsidR="00D32222">
        <w:rPr>
          <w:rFonts w:ascii="Calibri Light" w:eastAsia="Calibri Light" w:hAnsi="Calibri Light" w:cs="Arial"/>
          <w:color w:val="000000" w:themeColor="text1"/>
          <w:sz w:val="21"/>
          <w:szCs w:val="21"/>
          <w:lang w:eastAsia="en-AU"/>
        </w:rPr>
        <w:t xml:space="preserve">. The latter includes those on </w:t>
      </w:r>
      <w:r w:rsidR="00D8647E" w:rsidRPr="008702BE">
        <w:rPr>
          <w:rFonts w:ascii="Calibri Light" w:eastAsia="Calibri Light" w:hAnsi="Calibri Light" w:cs="Arial"/>
          <w:color w:val="000000" w:themeColor="text1"/>
          <w:sz w:val="21"/>
          <w:szCs w:val="21"/>
          <w:lang w:eastAsia="en-AU"/>
        </w:rPr>
        <w:t>draw-down contracts</w:t>
      </w:r>
      <w:r w:rsidR="00D32222">
        <w:rPr>
          <w:rFonts w:ascii="Calibri Light" w:eastAsia="Calibri Light" w:hAnsi="Calibri Light" w:cs="Arial"/>
          <w:color w:val="000000" w:themeColor="text1"/>
          <w:sz w:val="21"/>
          <w:szCs w:val="21"/>
          <w:lang w:eastAsia="en-AU"/>
        </w:rPr>
        <w:t xml:space="preserve"> (e.g. the Education Specialists) and those appointed for specific activities</w:t>
      </w:r>
      <w:r w:rsidR="00D8647E" w:rsidRPr="008702BE">
        <w:rPr>
          <w:rFonts w:ascii="Calibri Light" w:eastAsia="Calibri Light" w:hAnsi="Calibri Light" w:cs="Arial"/>
          <w:color w:val="000000" w:themeColor="text1"/>
          <w:sz w:val="21"/>
          <w:szCs w:val="21"/>
          <w:lang w:eastAsia="en-AU"/>
        </w:rPr>
        <w:t>.</w:t>
      </w:r>
      <w:r w:rsidRPr="00D16192">
        <w:rPr>
          <w:rFonts w:ascii="Calibri Light" w:eastAsia="Calibri Light" w:hAnsi="Calibri Light" w:cs="Arial"/>
          <w:color w:val="000000" w:themeColor="text1"/>
          <w:sz w:val="21"/>
          <w:szCs w:val="21"/>
          <w:lang w:eastAsia="en-AU"/>
        </w:rPr>
        <w:t xml:space="preserve"> </w:t>
      </w:r>
      <w:r w:rsidRPr="008702BE">
        <w:rPr>
          <w:rFonts w:ascii="Calibri Light" w:eastAsia="Calibri Light" w:hAnsi="Calibri Light" w:cs="Arial"/>
          <w:color w:val="000000" w:themeColor="text1"/>
          <w:sz w:val="21"/>
          <w:szCs w:val="21"/>
          <w:lang w:eastAsia="en-AU"/>
        </w:rPr>
        <w:t>To meet its obligations, DFAT require</w:t>
      </w:r>
      <w:r>
        <w:rPr>
          <w:rFonts w:ascii="Calibri Light" w:eastAsia="Calibri Light" w:hAnsi="Calibri Light" w:cs="Arial"/>
          <w:color w:val="000000" w:themeColor="text1"/>
          <w:sz w:val="21"/>
          <w:szCs w:val="21"/>
          <w:lang w:eastAsia="en-AU"/>
        </w:rPr>
        <w:t>s</w:t>
      </w:r>
      <w:r w:rsidRPr="008702BE">
        <w:rPr>
          <w:rFonts w:ascii="Calibri Light" w:eastAsia="Calibri Light" w:hAnsi="Calibri Light" w:cs="Arial"/>
          <w:color w:val="000000" w:themeColor="text1"/>
          <w:sz w:val="21"/>
          <w:szCs w:val="21"/>
          <w:lang w:eastAsia="en-AU"/>
        </w:rPr>
        <w:t xml:space="preserve"> a blend of </w:t>
      </w:r>
      <w:r w:rsidR="003A23CF">
        <w:rPr>
          <w:rFonts w:ascii="Calibri Light" w:eastAsia="Calibri Light" w:hAnsi="Calibri Light" w:cs="Arial"/>
          <w:color w:val="000000" w:themeColor="text1"/>
          <w:sz w:val="21"/>
          <w:szCs w:val="21"/>
          <w:lang w:eastAsia="en-AU"/>
        </w:rPr>
        <w:t xml:space="preserve">technical, management and administrative </w:t>
      </w:r>
      <w:r w:rsidRPr="008702BE">
        <w:rPr>
          <w:rFonts w:ascii="Calibri Light" w:eastAsia="Calibri Light" w:hAnsi="Calibri Light" w:cs="Arial"/>
          <w:color w:val="000000" w:themeColor="text1"/>
          <w:sz w:val="21"/>
          <w:szCs w:val="21"/>
          <w:lang w:eastAsia="en-AU"/>
        </w:rPr>
        <w:t>staff</w:t>
      </w:r>
      <w:r w:rsidR="003A23CF">
        <w:rPr>
          <w:rFonts w:ascii="Calibri Light" w:eastAsia="Calibri Light" w:hAnsi="Calibri Light" w:cs="Arial"/>
          <w:color w:val="000000" w:themeColor="text1"/>
          <w:sz w:val="21"/>
          <w:szCs w:val="21"/>
          <w:lang w:eastAsia="en-AU"/>
        </w:rPr>
        <w:t xml:space="preserve"> to variously </w:t>
      </w:r>
      <w:r w:rsidRPr="008702BE">
        <w:rPr>
          <w:rFonts w:ascii="Calibri Light" w:eastAsia="Calibri Light" w:hAnsi="Calibri Light" w:cs="Arial"/>
          <w:color w:val="000000" w:themeColor="text1"/>
          <w:sz w:val="21"/>
          <w:szCs w:val="21"/>
          <w:lang w:eastAsia="en-AU"/>
        </w:rPr>
        <w:t xml:space="preserve">engage in policy dialogue, to manage the facility, administer contracts and agreements, and to monitor </w:t>
      </w:r>
      <w:r w:rsidR="007E7BC2">
        <w:rPr>
          <w:rFonts w:ascii="Calibri Light" w:eastAsia="Calibri Light" w:hAnsi="Calibri Light" w:cs="Arial"/>
          <w:color w:val="000000" w:themeColor="text1"/>
          <w:sz w:val="21"/>
          <w:szCs w:val="21"/>
          <w:lang w:eastAsia="en-AU"/>
        </w:rPr>
        <w:t xml:space="preserve">TASS’s </w:t>
      </w:r>
      <w:r w:rsidRPr="008702BE">
        <w:rPr>
          <w:rFonts w:ascii="Calibri Light" w:eastAsia="Calibri Light" w:hAnsi="Calibri Light" w:cs="Arial"/>
          <w:color w:val="000000" w:themeColor="text1"/>
          <w:sz w:val="21"/>
          <w:szCs w:val="21"/>
          <w:lang w:eastAsia="en-AU"/>
        </w:rPr>
        <w:t xml:space="preserve">performance. </w:t>
      </w:r>
    </w:p>
    <w:p w:rsidR="00D8647E" w:rsidRPr="008702BE" w:rsidRDefault="00D8647E" w:rsidP="008702BE">
      <w:pPr>
        <w:tabs>
          <w:tab w:val="left" w:pos="284"/>
        </w:tabs>
        <w:suppressAutoHyphens w:val="0"/>
        <w:spacing w:after="120" w:line="280" w:lineRule="exact"/>
        <w:jc w:val="both"/>
        <w:rPr>
          <w:rFonts w:ascii="Calibri Light" w:eastAsia="Calibri Light" w:hAnsi="Calibri Light" w:cs="Arial"/>
          <w:color w:val="000000" w:themeColor="text1"/>
          <w:sz w:val="21"/>
          <w:szCs w:val="21"/>
          <w:lang w:eastAsia="en-AU"/>
        </w:rPr>
      </w:pPr>
      <w:r w:rsidRPr="008702BE">
        <w:rPr>
          <w:rFonts w:ascii="Calibri Light" w:eastAsia="Calibri Light" w:hAnsi="Calibri Light" w:cs="Arial"/>
          <w:color w:val="000000" w:themeColor="text1"/>
          <w:sz w:val="21"/>
          <w:szCs w:val="21"/>
          <w:lang w:eastAsia="en-AU"/>
        </w:rPr>
        <w:t>Every six-months DFAT undertake</w:t>
      </w:r>
      <w:r w:rsidR="008E03AF">
        <w:rPr>
          <w:rFonts w:ascii="Calibri Light" w:eastAsia="Calibri Light" w:hAnsi="Calibri Light" w:cs="Arial"/>
          <w:color w:val="000000" w:themeColor="text1"/>
          <w:sz w:val="21"/>
          <w:szCs w:val="21"/>
          <w:lang w:eastAsia="en-AU"/>
        </w:rPr>
        <w:t>s</w:t>
      </w:r>
      <w:r w:rsidRPr="008702BE">
        <w:rPr>
          <w:rFonts w:ascii="Calibri Light" w:eastAsia="Calibri Light" w:hAnsi="Calibri Light" w:cs="Arial"/>
          <w:color w:val="000000" w:themeColor="text1"/>
          <w:sz w:val="21"/>
          <w:szCs w:val="21"/>
          <w:lang w:eastAsia="en-AU"/>
        </w:rPr>
        <w:t xml:space="preserve"> an Partner Performance Assessment of TASS. The results </w:t>
      </w:r>
      <w:r w:rsidR="006E254B">
        <w:rPr>
          <w:rFonts w:ascii="Calibri Light" w:eastAsia="Calibri Light" w:hAnsi="Calibri Light" w:cs="Arial"/>
          <w:color w:val="000000" w:themeColor="text1"/>
          <w:sz w:val="21"/>
          <w:szCs w:val="21"/>
          <w:lang w:eastAsia="en-AU"/>
        </w:rPr>
        <w:t>are</w:t>
      </w:r>
      <w:r w:rsidRPr="008702BE">
        <w:rPr>
          <w:rFonts w:ascii="Calibri Light" w:eastAsia="Calibri Light" w:hAnsi="Calibri Light" w:cs="Arial"/>
          <w:color w:val="000000" w:themeColor="text1"/>
          <w:sz w:val="21"/>
          <w:szCs w:val="21"/>
          <w:lang w:eastAsia="en-AU"/>
        </w:rPr>
        <w:t xml:space="preserve"> used as the basis for contractor performance payments, with the six-monthly </w:t>
      </w:r>
      <w:r w:rsidR="006E254B">
        <w:rPr>
          <w:rFonts w:ascii="Calibri Light" w:eastAsia="Calibri Light" w:hAnsi="Calibri Light" w:cs="Arial"/>
          <w:color w:val="000000" w:themeColor="text1"/>
          <w:sz w:val="21"/>
          <w:szCs w:val="21"/>
          <w:lang w:eastAsia="en-AU"/>
        </w:rPr>
        <w:t>performance-related</w:t>
      </w:r>
      <w:r w:rsidRPr="008702BE">
        <w:rPr>
          <w:rFonts w:ascii="Calibri Light" w:eastAsia="Calibri Light" w:hAnsi="Calibri Light" w:cs="Arial"/>
          <w:color w:val="000000" w:themeColor="text1"/>
          <w:sz w:val="21"/>
          <w:szCs w:val="21"/>
          <w:lang w:eastAsia="en-AU"/>
        </w:rPr>
        <w:t xml:space="preserve"> fee adjusted to reflect performance during the preceding six-month period.</w:t>
      </w:r>
    </w:p>
    <w:p w:rsidR="00D8647E" w:rsidRPr="006633DA" w:rsidRDefault="00D8647E" w:rsidP="00052F9C">
      <w:pPr>
        <w:pStyle w:val="ListParagraph"/>
        <w:numPr>
          <w:ilvl w:val="0"/>
          <w:numId w:val="40"/>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357" w:hanging="357"/>
        <w:rPr>
          <w:rFonts w:asciiTheme="majorHAnsi" w:hAnsiTheme="majorHAnsi"/>
          <w:b/>
          <w:szCs w:val="21"/>
        </w:rPr>
      </w:pPr>
      <w:r w:rsidRPr="006633DA">
        <w:rPr>
          <w:rFonts w:asciiTheme="majorHAnsi" w:hAnsiTheme="majorHAnsi"/>
          <w:b/>
          <w:szCs w:val="21"/>
        </w:rPr>
        <w:t>Risk Management and Safeguards (What might go wrong?)</w:t>
      </w:r>
    </w:p>
    <w:p w:rsidR="00D8647E" w:rsidRDefault="00D8647E" w:rsidP="00A269A5">
      <w:pPr>
        <w:tabs>
          <w:tab w:val="left" w:pos="284"/>
        </w:tabs>
        <w:suppressAutoHyphens w:val="0"/>
        <w:spacing w:after="120" w:line="280" w:lineRule="exact"/>
        <w:jc w:val="both"/>
        <w:rPr>
          <w:i/>
          <w:color w:val="auto"/>
          <w:sz w:val="21"/>
          <w:szCs w:val="21"/>
        </w:rPr>
      </w:pPr>
      <w:r w:rsidRPr="008D0BC9">
        <w:rPr>
          <w:color w:val="auto"/>
          <w:sz w:val="21"/>
          <w:szCs w:val="21"/>
        </w:rPr>
        <w:t>All parties recognise that reform processes are inherently political. By extension, development assistance that</w:t>
      </w:r>
      <w:r w:rsidRPr="000C651C">
        <w:rPr>
          <w:color w:val="auto"/>
          <w:sz w:val="21"/>
          <w:szCs w:val="21"/>
        </w:rPr>
        <w:t xml:space="preserve"> seeks to support changes to policy and practice </w:t>
      </w:r>
      <w:r w:rsidR="007D23BE">
        <w:rPr>
          <w:color w:val="auto"/>
          <w:sz w:val="21"/>
          <w:szCs w:val="21"/>
        </w:rPr>
        <w:t>carries</w:t>
      </w:r>
      <w:r>
        <w:rPr>
          <w:color w:val="auto"/>
          <w:sz w:val="21"/>
          <w:szCs w:val="21"/>
        </w:rPr>
        <w:t xml:space="preserve"> some degree of risk</w:t>
      </w:r>
      <w:r w:rsidRPr="000C651C">
        <w:rPr>
          <w:color w:val="auto"/>
          <w:sz w:val="21"/>
          <w:szCs w:val="21"/>
        </w:rPr>
        <w:t xml:space="preserve">, particularly where partners are seeking to engage in a catalytic and ultimately transformative manner. </w:t>
      </w:r>
    </w:p>
    <w:p w:rsidR="00D8647E" w:rsidRDefault="00D8647E" w:rsidP="00A269A5">
      <w:pPr>
        <w:tabs>
          <w:tab w:val="left" w:pos="284"/>
        </w:tabs>
        <w:suppressAutoHyphens w:val="0"/>
        <w:spacing w:after="120" w:line="280" w:lineRule="exact"/>
        <w:jc w:val="both"/>
        <w:rPr>
          <w:color w:val="auto"/>
          <w:sz w:val="21"/>
          <w:szCs w:val="21"/>
        </w:rPr>
      </w:pPr>
      <w:r w:rsidRPr="00597063">
        <w:rPr>
          <w:color w:val="auto"/>
          <w:sz w:val="21"/>
          <w:szCs w:val="21"/>
        </w:rPr>
        <w:t xml:space="preserve">As the guardian of </w:t>
      </w:r>
      <w:r>
        <w:rPr>
          <w:color w:val="auto"/>
          <w:sz w:val="21"/>
          <w:szCs w:val="21"/>
        </w:rPr>
        <w:t>taxpayers’</w:t>
      </w:r>
      <w:r w:rsidRPr="00597063">
        <w:rPr>
          <w:color w:val="auto"/>
          <w:sz w:val="21"/>
          <w:szCs w:val="21"/>
        </w:rPr>
        <w:t xml:space="preserve"> </w:t>
      </w:r>
      <w:r>
        <w:rPr>
          <w:color w:val="auto"/>
          <w:sz w:val="21"/>
          <w:szCs w:val="21"/>
        </w:rPr>
        <w:t>funds</w:t>
      </w:r>
      <w:r w:rsidRPr="00597063">
        <w:rPr>
          <w:color w:val="auto"/>
          <w:sz w:val="21"/>
          <w:szCs w:val="21"/>
        </w:rPr>
        <w:t xml:space="preserve">, DFAT’s Counsellor for Human Development (or his/her delegate) has overall responsibility for </w:t>
      </w:r>
      <w:r>
        <w:rPr>
          <w:color w:val="auto"/>
          <w:sz w:val="21"/>
          <w:szCs w:val="21"/>
        </w:rPr>
        <w:t xml:space="preserve">the performance of TASS. That includes the timely mitigation, management and resolution of facility-level risks and matters pertaining to the relationship between DFAT and its Indonesian Government partners. Notwithstanding, all three partners – DFAT, the Indonesian Government, and the TASS </w:t>
      </w:r>
      <w:r w:rsidR="0087783D">
        <w:rPr>
          <w:color w:val="auto"/>
          <w:sz w:val="21"/>
          <w:szCs w:val="21"/>
        </w:rPr>
        <w:t>team</w:t>
      </w:r>
      <w:r>
        <w:rPr>
          <w:color w:val="auto"/>
          <w:sz w:val="21"/>
          <w:szCs w:val="21"/>
        </w:rPr>
        <w:t xml:space="preserve"> – will actively </w:t>
      </w:r>
      <w:r>
        <w:rPr>
          <w:color w:val="auto"/>
          <w:sz w:val="21"/>
          <w:szCs w:val="21"/>
        </w:rPr>
        <w:lastRenderedPageBreak/>
        <w:t xml:space="preserve">identify, monitor and review risks on an ongoing basis and in line with </w:t>
      </w:r>
      <w:r w:rsidRPr="008D0BC9">
        <w:rPr>
          <w:color w:val="auto"/>
          <w:sz w:val="21"/>
          <w:szCs w:val="21"/>
        </w:rPr>
        <w:t>their roles and responsibilities for the governance, management and implementation of the facility and its activities</w:t>
      </w:r>
      <w:r w:rsidRPr="008D0BC9">
        <w:rPr>
          <w:rStyle w:val="EndnoteReference"/>
          <w:color w:val="auto"/>
          <w:sz w:val="21"/>
          <w:szCs w:val="21"/>
        </w:rPr>
        <w:endnoteReference w:id="10"/>
      </w:r>
      <w:r w:rsidRPr="008D0BC9">
        <w:rPr>
          <w:color w:val="auto"/>
          <w:sz w:val="21"/>
          <w:szCs w:val="21"/>
        </w:rPr>
        <w:t xml:space="preserve">.  </w:t>
      </w:r>
    </w:p>
    <w:p w:rsidR="001B792B" w:rsidRPr="001629BF" w:rsidRDefault="00D8647E" w:rsidP="00A269A5">
      <w:pPr>
        <w:tabs>
          <w:tab w:val="left" w:pos="284"/>
        </w:tabs>
        <w:suppressAutoHyphens w:val="0"/>
        <w:spacing w:after="120" w:line="280" w:lineRule="exact"/>
        <w:jc w:val="both"/>
        <w:rPr>
          <w:color w:val="auto"/>
          <w:sz w:val="21"/>
          <w:szCs w:val="21"/>
        </w:rPr>
      </w:pPr>
      <w:r>
        <w:rPr>
          <w:color w:val="auto"/>
          <w:sz w:val="21"/>
          <w:szCs w:val="21"/>
        </w:rPr>
        <w:t xml:space="preserve">All activities implemented by TASS </w:t>
      </w:r>
      <w:r w:rsidR="002D3017">
        <w:rPr>
          <w:color w:val="auto"/>
          <w:sz w:val="21"/>
          <w:szCs w:val="21"/>
        </w:rPr>
        <w:t>are</w:t>
      </w:r>
      <w:r>
        <w:rPr>
          <w:color w:val="auto"/>
          <w:sz w:val="21"/>
          <w:szCs w:val="21"/>
        </w:rPr>
        <w:t xml:space="preserve"> required to meet </w:t>
      </w:r>
      <w:r w:rsidRPr="006A6AE2">
        <w:rPr>
          <w:b/>
          <w:color w:val="auto"/>
          <w:sz w:val="21"/>
          <w:szCs w:val="21"/>
        </w:rPr>
        <w:t>DFAT’s quality and risk management requirements</w:t>
      </w:r>
      <w:r>
        <w:rPr>
          <w:color w:val="auto"/>
          <w:sz w:val="21"/>
          <w:szCs w:val="21"/>
        </w:rPr>
        <w:t>. TASS maintain</w:t>
      </w:r>
      <w:r w:rsidR="002D3017">
        <w:rPr>
          <w:color w:val="auto"/>
          <w:sz w:val="21"/>
          <w:szCs w:val="21"/>
        </w:rPr>
        <w:t>s</w:t>
      </w:r>
      <w:r>
        <w:rPr>
          <w:color w:val="auto"/>
          <w:sz w:val="21"/>
          <w:szCs w:val="21"/>
        </w:rPr>
        <w:t xml:space="preserve"> a Risk </w:t>
      </w:r>
      <w:r w:rsidRPr="003222F8">
        <w:rPr>
          <w:color w:val="auto"/>
          <w:sz w:val="21"/>
          <w:szCs w:val="21"/>
        </w:rPr>
        <w:t>Management Plan</w:t>
      </w:r>
      <w:r w:rsidR="0087783D">
        <w:rPr>
          <w:color w:val="auto"/>
          <w:sz w:val="21"/>
          <w:szCs w:val="21"/>
        </w:rPr>
        <w:t xml:space="preserve"> that draws</w:t>
      </w:r>
      <w:r>
        <w:rPr>
          <w:color w:val="auto"/>
          <w:sz w:val="21"/>
          <w:szCs w:val="21"/>
        </w:rPr>
        <w:t xml:space="preserve"> on </w:t>
      </w:r>
      <w:r w:rsidRPr="00053B5D">
        <w:rPr>
          <w:i/>
          <w:color w:val="auto"/>
          <w:sz w:val="21"/>
          <w:szCs w:val="21"/>
        </w:rPr>
        <w:t>DFAT’s Risk and Safeguards Assessment Tool</w:t>
      </w:r>
      <w:r w:rsidR="00590503">
        <w:rPr>
          <w:i/>
          <w:color w:val="auto"/>
          <w:sz w:val="21"/>
          <w:szCs w:val="21"/>
        </w:rPr>
        <w:t xml:space="preserve"> </w:t>
      </w:r>
      <w:r w:rsidR="00590503" w:rsidRPr="003A5ABA">
        <w:rPr>
          <w:color w:val="auto"/>
          <w:sz w:val="21"/>
          <w:szCs w:val="21"/>
        </w:rPr>
        <w:t>(</w:t>
      </w:r>
      <w:r w:rsidR="00590503" w:rsidRPr="000F04A9">
        <w:rPr>
          <w:color w:val="auto"/>
          <w:sz w:val="21"/>
          <w:szCs w:val="21"/>
        </w:rPr>
        <w:t xml:space="preserve">see Annex </w:t>
      </w:r>
      <w:r w:rsidR="00616FEE" w:rsidRPr="000F04A9">
        <w:rPr>
          <w:color w:val="auto"/>
          <w:sz w:val="21"/>
          <w:szCs w:val="21"/>
        </w:rPr>
        <w:t>H</w:t>
      </w:r>
      <w:r w:rsidR="003A5ABA" w:rsidRPr="003A5ABA">
        <w:rPr>
          <w:color w:val="auto"/>
          <w:sz w:val="21"/>
          <w:szCs w:val="21"/>
        </w:rPr>
        <w:t xml:space="preserve"> </w:t>
      </w:r>
      <w:r w:rsidR="00590503" w:rsidRPr="003A5ABA">
        <w:rPr>
          <w:color w:val="auto"/>
          <w:sz w:val="21"/>
          <w:szCs w:val="21"/>
        </w:rPr>
        <w:t xml:space="preserve">for </w:t>
      </w:r>
      <w:r w:rsidR="003A5ABA" w:rsidRPr="003A5ABA">
        <w:rPr>
          <w:color w:val="auto"/>
          <w:sz w:val="21"/>
          <w:szCs w:val="21"/>
        </w:rPr>
        <w:t>headline</w:t>
      </w:r>
      <w:r w:rsidR="006F62F8">
        <w:rPr>
          <w:color w:val="auto"/>
          <w:sz w:val="21"/>
          <w:szCs w:val="21"/>
        </w:rPr>
        <w:t xml:space="preserve"> risks</w:t>
      </w:r>
      <w:r w:rsidR="003A5ABA" w:rsidRPr="003A5ABA">
        <w:rPr>
          <w:color w:val="auto"/>
          <w:sz w:val="21"/>
          <w:szCs w:val="21"/>
        </w:rPr>
        <w:t xml:space="preserve"> as of early 2019)</w:t>
      </w:r>
      <w:r w:rsidRPr="003A5ABA">
        <w:rPr>
          <w:color w:val="auto"/>
          <w:sz w:val="21"/>
          <w:szCs w:val="21"/>
        </w:rPr>
        <w:t>.</w:t>
      </w:r>
      <w:r>
        <w:rPr>
          <w:color w:val="auto"/>
          <w:sz w:val="21"/>
          <w:szCs w:val="21"/>
        </w:rPr>
        <w:t xml:space="preserve"> The </w:t>
      </w:r>
      <w:r w:rsidR="00616FEE">
        <w:rPr>
          <w:color w:val="auto"/>
          <w:sz w:val="21"/>
          <w:szCs w:val="21"/>
        </w:rPr>
        <w:t>Plan</w:t>
      </w:r>
      <w:r>
        <w:rPr>
          <w:color w:val="auto"/>
          <w:sz w:val="21"/>
          <w:szCs w:val="21"/>
        </w:rPr>
        <w:t xml:space="preserve"> capture</w:t>
      </w:r>
      <w:r w:rsidR="002D3017">
        <w:rPr>
          <w:color w:val="auto"/>
          <w:sz w:val="21"/>
          <w:szCs w:val="21"/>
        </w:rPr>
        <w:t>s</w:t>
      </w:r>
      <w:r>
        <w:rPr>
          <w:color w:val="auto"/>
          <w:sz w:val="21"/>
          <w:szCs w:val="21"/>
        </w:rPr>
        <w:t xml:space="preserve"> risks</w:t>
      </w:r>
      <w:r>
        <w:rPr>
          <w:rStyle w:val="EndnoteReference"/>
          <w:color w:val="auto"/>
          <w:sz w:val="21"/>
          <w:szCs w:val="21"/>
        </w:rPr>
        <w:endnoteReference w:id="11"/>
      </w:r>
      <w:r>
        <w:rPr>
          <w:color w:val="auto"/>
          <w:sz w:val="21"/>
          <w:szCs w:val="21"/>
        </w:rPr>
        <w:t xml:space="preserve"> </w:t>
      </w:r>
      <w:r w:rsidR="008516E0">
        <w:rPr>
          <w:color w:val="auto"/>
          <w:sz w:val="21"/>
          <w:szCs w:val="21"/>
        </w:rPr>
        <w:t xml:space="preserve">- not just headline risks – </w:t>
      </w:r>
      <w:r w:rsidR="001B792B">
        <w:rPr>
          <w:color w:val="auto"/>
          <w:sz w:val="21"/>
          <w:szCs w:val="21"/>
        </w:rPr>
        <w:t xml:space="preserve">pertaining to </w:t>
      </w:r>
      <w:r w:rsidR="007F0235">
        <w:rPr>
          <w:color w:val="auto"/>
          <w:sz w:val="21"/>
          <w:szCs w:val="21"/>
        </w:rPr>
        <w:t xml:space="preserve">the operating environment, anticipated results (i.e. developmental risks), ‘sustainability’ (i.e. as they may affect the anticipated </w:t>
      </w:r>
      <w:r w:rsidR="007F0235" w:rsidRPr="00D30867">
        <w:rPr>
          <w:i/>
          <w:color w:val="auto"/>
          <w:sz w:val="21"/>
          <w:szCs w:val="21"/>
        </w:rPr>
        <w:t xml:space="preserve">enduring </w:t>
      </w:r>
      <w:r w:rsidR="007F0235">
        <w:rPr>
          <w:i/>
          <w:color w:val="auto"/>
          <w:sz w:val="21"/>
          <w:szCs w:val="21"/>
        </w:rPr>
        <w:t>influence</w:t>
      </w:r>
      <w:r w:rsidR="007F0235">
        <w:rPr>
          <w:color w:val="auto"/>
          <w:sz w:val="21"/>
          <w:szCs w:val="21"/>
        </w:rPr>
        <w:t xml:space="preserve">), </w:t>
      </w:r>
      <w:r w:rsidR="001B792B">
        <w:rPr>
          <w:color w:val="auto"/>
          <w:sz w:val="21"/>
          <w:szCs w:val="21"/>
        </w:rPr>
        <w:t xml:space="preserve">task implementation (i.e. delivery-related risks), safeguards (and specifically </w:t>
      </w:r>
      <w:r w:rsidR="001B792B" w:rsidRPr="00311D6C">
        <w:rPr>
          <w:color w:val="auto"/>
          <w:sz w:val="21"/>
          <w:szCs w:val="21"/>
        </w:rPr>
        <w:t xml:space="preserve">children, </w:t>
      </w:r>
      <w:r w:rsidR="001B792B">
        <w:rPr>
          <w:color w:val="auto"/>
          <w:sz w:val="21"/>
          <w:szCs w:val="21"/>
        </w:rPr>
        <w:t>vulnerable</w:t>
      </w:r>
      <w:r w:rsidR="001B792B" w:rsidRPr="00311D6C">
        <w:rPr>
          <w:color w:val="auto"/>
          <w:sz w:val="21"/>
          <w:szCs w:val="21"/>
        </w:rPr>
        <w:t xml:space="preserve"> and disadvantaged groups</w:t>
      </w:r>
      <w:r w:rsidR="001B792B">
        <w:rPr>
          <w:color w:val="auto"/>
          <w:sz w:val="21"/>
          <w:szCs w:val="21"/>
        </w:rPr>
        <w:t>), and fraud and/or fiduciary risks. In addition, TASS remain</w:t>
      </w:r>
      <w:r w:rsidR="00836927">
        <w:rPr>
          <w:color w:val="auto"/>
          <w:sz w:val="21"/>
          <w:szCs w:val="21"/>
        </w:rPr>
        <w:t>s</w:t>
      </w:r>
      <w:r w:rsidR="001B792B">
        <w:rPr>
          <w:color w:val="auto"/>
          <w:sz w:val="21"/>
          <w:szCs w:val="21"/>
        </w:rPr>
        <w:t xml:space="preserve"> cognisant of possible reputational risks to DFAT (and the Indonesian Government), escalating these where required. </w:t>
      </w:r>
    </w:p>
    <w:p w:rsidR="001B792B" w:rsidRDefault="001B792B" w:rsidP="00A269A5">
      <w:pPr>
        <w:tabs>
          <w:tab w:val="left" w:pos="284"/>
        </w:tabs>
        <w:suppressAutoHyphens w:val="0"/>
        <w:spacing w:after="120" w:line="280" w:lineRule="exact"/>
        <w:jc w:val="both"/>
        <w:rPr>
          <w:color w:val="auto"/>
          <w:sz w:val="21"/>
          <w:szCs w:val="21"/>
        </w:rPr>
      </w:pPr>
      <w:r w:rsidRPr="007F6F33">
        <w:rPr>
          <w:color w:val="auto"/>
          <w:sz w:val="21"/>
          <w:szCs w:val="21"/>
        </w:rPr>
        <w:t>TASS and DFAT share and update their respective risk registers at least quarterly</w:t>
      </w:r>
      <w:r w:rsidR="008516E0">
        <w:rPr>
          <w:color w:val="auto"/>
          <w:sz w:val="21"/>
          <w:szCs w:val="21"/>
        </w:rPr>
        <w:t xml:space="preserve">, </w:t>
      </w:r>
      <w:r w:rsidR="00092F4B">
        <w:rPr>
          <w:color w:val="auto"/>
          <w:sz w:val="21"/>
          <w:szCs w:val="21"/>
        </w:rPr>
        <w:t xml:space="preserve">allowing for coordinated implementation of </w:t>
      </w:r>
      <w:r w:rsidRPr="007F6F33">
        <w:rPr>
          <w:color w:val="auto"/>
          <w:sz w:val="21"/>
          <w:szCs w:val="21"/>
        </w:rPr>
        <w:t xml:space="preserve">controls and treatments. Emergent risks </w:t>
      </w:r>
      <w:r w:rsidR="003427AB">
        <w:rPr>
          <w:color w:val="auto"/>
          <w:sz w:val="21"/>
          <w:szCs w:val="21"/>
        </w:rPr>
        <w:t>are</w:t>
      </w:r>
      <w:r w:rsidRPr="007F6F33">
        <w:rPr>
          <w:color w:val="auto"/>
          <w:sz w:val="21"/>
          <w:szCs w:val="21"/>
        </w:rPr>
        <w:t xml:space="preserve"> reported to DFAT as they arise</w:t>
      </w:r>
      <w:r w:rsidR="003427AB">
        <w:rPr>
          <w:color w:val="auto"/>
          <w:sz w:val="21"/>
          <w:szCs w:val="21"/>
        </w:rPr>
        <w:t xml:space="preserve"> and a</w:t>
      </w:r>
      <w:r w:rsidRPr="007F6F33">
        <w:rPr>
          <w:color w:val="auto"/>
          <w:sz w:val="21"/>
          <w:szCs w:val="21"/>
        </w:rPr>
        <w:t xml:space="preserve"> management plan </w:t>
      </w:r>
      <w:r w:rsidR="003055ED">
        <w:rPr>
          <w:color w:val="auto"/>
          <w:sz w:val="21"/>
          <w:szCs w:val="21"/>
        </w:rPr>
        <w:t xml:space="preserve">is </w:t>
      </w:r>
      <w:r w:rsidRPr="007F6F33">
        <w:rPr>
          <w:color w:val="auto"/>
          <w:sz w:val="21"/>
          <w:szCs w:val="21"/>
        </w:rPr>
        <w:t xml:space="preserve">agreed where appropriate. Risks </w:t>
      </w:r>
      <w:r w:rsidR="003427AB">
        <w:rPr>
          <w:color w:val="auto"/>
          <w:sz w:val="21"/>
          <w:szCs w:val="21"/>
        </w:rPr>
        <w:t>are</w:t>
      </w:r>
      <w:r w:rsidRPr="007F6F33">
        <w:rPr>
          <w:color w:val="auto"/>
          <w:sz w:val="21"/>
          <w:szCs w:val="21"/>
        </w:rPr>
        <w:t xml:space="preserve"> proactively managed through inclusion of controls and treatments in TASS procedures, templates, tools and practices. TASS formally review</w:t>
      </w:r>
      <w:r w:rsidR="00E02C78">
        <w:rPr>
          <w:color w:val="auto"/>
          <w:sz w:val="21"/>
          <w:szCs w:val="21"/>
        </w:rPr>
        <w:t>s</w:t>
      </w:r>
      <w:r w:rsidRPr="007F6F33">
        <w:rPr>
          <w:color w:val="auto"/>
          <w:sz w:val="21"/>
          <w:szCs w:val="21"/>
        </w:rPr>
        <w:t xml:space="preserve"> risks and the effectiveness of control measures as part of </w:t>
      </w:r>
      <w:r w:rsidR="00F15DE5">
        <w:rPr>
          <w:color w:val="auto"/>
          <w:sz w:val="21"/>
          <w:szCs w:val="21"/>
        </w:rPr>
        <w:t>routine</w:t>
      </w:r>
      <w:r w:rsidRPr="007F6F33">
        <w:rPr>
          <w:color w:val="auto"/>
          <w:sz w:val="21"/>
          <w:szCs w:val="21"/>
        </w:rPr>
        <w:t xml:space="preserve"> reporting, and </w:t>
      </w:r>
      <w:r w:rsidR="003055ED">
        <w:rPr>
          <w:color w:val="auto"/>
          <w:sz w:val="21"/>
          <w:szCs w:val="21"/>
        </w:rPr>
        <w:t xml:space="preserve">it </w:t>
      </w:r>
      <w:r w:rsidRPr="007F6F33">
        <w:rPr>
          <w:color w:val="auto"/>
          <w:sz w:val="21"/>
          <w:szCs w:val="21"/>
        </w:rPr>
        <w:t>update</w:t>
      </w:r>
      <w:r w:rsidR="003055ED">
        <w:rPr>
          <w:color w:val="auto"/>
          <w:sz w:val="21"/>
          <w:szCs w:val="21"/>
        </w:rPr>
        <w:t>s</w:t>
      </w:r>
      <w:r w:rsidRPr="007F6F33">
        <w:rPr>
          <w:color w:val="auto"/>
          <w:sz w:val="21"/>
          <w:szCs w:val="21"/>
        </w:rPr>
        <w:t xml:space="preserve"> procedures, templates, and practices accordingly. </w:t>
      </w:r>
    </w:p>
    <w:p w:rsidR="001B792B" w:rsidRPr="007F6F33" w:rsidRDefault="001B792B" w:rsidP="00A269A5">
      <w:pPr>
        <w:tabs>
          <w:tab w:val="left" w:pos="284"/>
        </w:tabs>
        <w:suppressAutoHyphens w:val="0"/>
        <w:spacing w:after="120" w:line="280" w:lineRule="exact"/>
        <w:jc w:val="both"/>
        <w:rPr>
          <w:color w:val="auto"/>
          <w:sz w:val="21"/>
          <w:szCs w:val="21"/>
        </w:rPr>
      </w:pPr>
      <w:r w:rsidRPr="00E46758">
        <w:rPr>
          <w:color w:val="auto"/>
          <w:sz w:val="21"/>
          <w:szCs w:val="21"/>
        </w:rPr>
        <w:t xml:space="preserve">TASS activities may involve contact with </w:t>
      </w:r>
      <w:r w:rsidRPr="007242F6">
        <w:rPr>
          <w:b/>
          <w:color w:val="auto"/>
          <w:sz w:val="21"/>
          <w:szCs w:val="21"/>
        </w:rPr>
        <w:t>children and vulnerable and disadvantage groups</w:t>
      </w:r>
      <w:r>
        <w:rPr>
          <w:color w:val="auto"/>
          <w:sz w:val="21"/>
          <w:szCs w:val="21"/>
        </w:rPr>
        <w:t>.</w:t>
      </w:r>
      <w:r w:rsidRPr="00E46758">
        <w:rPr>
          <w:color w:val="auto"/>
          <w:sz w:val="21"/>
          <w:szCs w:val="21"/>
        </w:rPr>
        <w:t xml:space="preserve"> </w:t>
      </w:r>
      <w:r>
        <w:rPr>
          <w:color w:val="auto"/>
          <w:sz w:val="21"/>
          <w:szCs w:val="21"/>
        </w:rPr>
        <w:t>In line with DFAT</w:t>
      </w:r>
      <w:r w:rsidR="003D5DF4">
        <w:rPr>
          <w:color w:val="auto"/>
          <w:sz w:val="21"/>
          <w:szCs w:val="21"/>
        </w:rPr>
        <w:t xml:space="preserve">’s </w:t>
      </w:r>
      <w:r w:rsidR="003D5DF4" w:rsidRPr="003055ED">
        <w:rPr>
          <w:b/>
          <w:i/>
          <w:color w:val="auto"/>
          <w:sz w:val="21"/>
          <w:szCs w:val="21"/>
        </w:rPr>
        <w:t>Child Protection Policy</w:t>
      </w:r>
      <w:r w:rsidR="003D5DF4">
        <w:rPr>
          <w:color w:val="auto"/>
          <w:sz w:val="21"/>
          <w:szCs w:val="21"/>
        </w:rPr>
        <w:t>, TASS has conducted a facility-level a</w:t>
      </w:r>
      <w:r w:rsidRPr="00E46758">
        <w:rPr>
          <w:color w:val="auto"/>
          <w:sz w:val="21"/>
          <w:szCs w:val="21"/>
        </w:rPr>
        <w:t>ssessment of child protection</w:t>
      </w:r>
      <w:r>
        <w:rPr>
          <w:color w:val="auto"/>
          <w:sz w:val="21"/>
          <w:szCs w:val="21"/>
        </w:rPr>
        <w:t>-related</w:t>
      </w:r>
      <w:r w:rsidRPr="00E46758">
        <w:rPr>
          <w:color w:val="auto"/>
          <w:sz w:val="21"/>
          <w:szCs w:val="21"/>
        </w:rPr>
        <w:t xml:space="preserve"> risk</w:t>
      </w:r>
      <w:r>
        <w:rPr>
          <w:color w:val="auto"/>
          <w:sz w:val="21"/>
          <w:szCs w:val="21"/>
        </w:rPr>
        <w:t>s</w:t>
      </w:r>
      <w:r w:rsidRPr="00E46758">
        <w:rPr>
          <w:color w:val="auto"/>
          <w:sz w:val="21"/>
          <w:szCs w:val="21"/>
        </w:rPr>
        <w:t xml:space="preserve">. </w:t>
      </w:r>
      <w:r>
        <w:rPr>
          <w:color w:val="auto"/>
          <w:sz w:val="21"/>
          <w:szCs w:val="21"/>
        </w:rPr>
        <w:t xml:space="preserve">Mitigation measures </w:t>
      </w:r>
      <w:r w:rsidR="00D86C52">
        <w:rPr>
          <w:color w:val="auto"/>
          <w:sz w:val="21"/>
          <w:szCs w:val="21"/>
        </w:rPr>
        <w:t>are</w:t>
      </w:r>
      <w:r>
        <w:rPr>
          <w:color w:val="auto"/>
          <w:sz w:val="21"/>
          <w:szCs w:val="21"/>
        </w:rPr>
        <w:t xml:space="preserve"> applied where necessary and all new staff and/or STA </w:t>
      </w:r>
      <w:r w:rsidR="00D86C52">
        <w:rPr>
          <w:color w:val="auto"/>
          <w:sz w:val="21"/>
          <w:szCs w:val="21"/>
        </w:rPr>
        <w:t>are</w:t>
      </w:r>
      <w:r>
        <w:rPr>
          <w:color w:val="auto"/>
          <w:sz w:val="21"/>
          <w:szCs w:val="21"/>
        </w:rPr>
        <w:t xml:space="preserve"> required to complete chi</w:t>
      </w:r>
      <w:r w:rsidRPr="00E46758">
        <w:rPr>
          <w:color w:val="auto"/>
          <w:sz w:val="21"/>
          <w:szCs w:val="21"/>
        </w:rPr>
        <w:t xml:space="preserve">ld protection </w:t>
      </w:r>
      <w:r w:rsidR="00F15DE5">
        <w:rPr>
          <w:color w:val="auto"/>
          <w:sz w:val="21"/>
          <w:szCs w:val="21"/>
        </w:rPr>
        <w:t>training</w:t>
      </w:r>
      <w:r w:rsidR="00F15DE5" w:rsidRPr="00E46758">
        <w:rPr>
          <w:color w:val="auto"/>
          <w:sz w:val="21"/>
          <w:szCs w:val="21"/>
        </w:rPr>
        <w:t xml:space="preserve"> </w:t>
      </w:r>
      <w:r w:rsidRPr="00E46758">
        <w:rPr>
          <w:color w:val="auto"/>
          <w:sz w:val="21"/>
          <w:szCs w:val="21"/>
        </w:rPr>
        <w:t>as part of their inception program.</w:t>
      </w:r>
    </w:p>
    <w:p w:rsidR="004504A7" w:rsidRDefault="00A269A5">
      <w:pPr>
        <w:suppressAutoHyphens w:val="0"/>
        <w:spacing w:before="0" w:after="120" w:line="440" w:lineRule="atLeast"/>
        <w:rPr>
          <w:rFonts w:cs="Arial"/>
          <w:sz w:val="21"/>
          <w:szCs w:val="21"/>
          <w:lang w:eastAsia="en-AU"/>
        </w:rPr>
        <w:sectPr w:rsidR="004504A7" w:rsidSect="00B87C9B">
          <w:headerReference w:type="even" r:id="rId12"/>
          <w:headerReference w:type="default" r:id="rId13"/>
          <w:footerReference w:type="even" r:id="rId14"/>
          <w:footerReference w:type="default" r:id="rId15"/>
          <w:headerReference w:type="first" r:id="rId16"/>
          <w:footerReference w:type="first" r:id="rId17"/>
          <w:pgSz w:w="11906" w:h="16838" w:code="9"/>
          <w:pgMar w:top="1701" w:right="1134" w:bottom="1418" w:left="1134" w:header="425" w:footer="493" w:gutter="0"/>
          <w:cols w:space="397"/>
          <w:titlePg/>
          <w:docGrid w:linePitch="360"/>
        </w:sectPr>
      </w:pPr>
      <w:r>
        <w:rPr>
          <w:rFonts w:cs="Arial"/>
          <w:sz w:val="21"/>
          <w:szCs w:val="21"/>
          <w:lang w:eastAsia="en-AU"/>
        </w:rPr>
        <w:br w:type="page"/>
      </w:r>
    </w:p>
    <w:p w:rsidR="00A269A5" w:rsidRDefault="00A269A5">
      <w:pPr>
        <w:suppressAutoHyphens w:val="0"/>
        <w:spacing w:before="0" w:after="120" w:line="440" w:lineRule="atLeast"/>
        <w:rPr>
          <w:rFonts w:cs="Arial"/>
          <w:sz w:val="21"/>
          <w:szCs w:val="21"/>
          <w:lang w:eastAsia="en-AU"/>
        </w:rPr>
      </w:pPr>
    </w:p>
    <w:p w:rsidR="005E7001" w:rsidRPr="006633DA" w:rsidRDefault="005E7001" w:rsidP="005E7001">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Pr>
          <w:rFonts w:asciiTheme="majorHAnsi" w:hAnsiTheme="majorHAnsi"/>
          <w:b/>
          <w:szCs w:val="21"/>
        </w:rPr>
        <w:t xml:space="preserve">Annex A: </w:t>
      </w:r>
      <w:r w:rsidR="00F3099F">
        <w:rPr>
          <w:rFonts w:asciiTheme="majorHAnsi" w:hAnsiTheme="majorHAnsi"/>
          <w:b/>
          <w:szCs w:val="21"/>
        </w:rPr>
        <w:t>Snapshot of the Learning Challenge</w:t>
      </w:r>
    </w:p>
    <w:p w:rsidR="00DE06E9" w:rsidRPr="00F23B86" w:rsidRDefault="00760497" w:rsidP="00F23B86">
      <w:pPr>
        <w:tabs>
          <w:tab w:val="left" w:pos="284"/>
        </w:tabs>
        <w:suppressAutoHyphens w:val="0"/>
        <w:spacing w:after="120" w:line="280" w:lineRule="exact"/>
        <w:jc w:val="center"/>
        <w:rPr>
          <w:b/>
          <w:color w:val="auto"/>
        </w:rPr>
      </w:pPr>
      <w:r w:rsidRPr="00760497">
        <w:rPr>
          <w:b/>
          <w:color w:val="auto"/>
        </w:rPr>
        <w:t xml:space="preserve">Percentage of </w:t>
      </w:r>
      <w:r w:rsidR="00EA6E97">
        <w:rPr>
          <w:b/>
          <w:color w:val="auto"/>
        </w:rPr>
        <w:t>C</w:t>
      </w:r>
      <w:r w:rsidRPr="00760497">
        <w:rPr>
          <w:b/>
          <w:color w:val="auto"/>
        </w:rPr>
        <w:t>hildren in Grade 4</w:t>
      </w:r>
      <w:r w:rsidR="00EA6E97">
        <w:rPr>
          <w:b/>
          <w:color w:val="auto"/>
        </w:rPr>
        <w:t xml:space="preserve"> A</w:t>
      </w:r>
      <w:r w:rsidRPr="00760497">
        <w:rPr>
          <w:b/>
          <w:color w:val="auto"/>
        </w:rPr>
        <w:t xml:space="preserve">chieving at </w:t>
      </w:r>
      <w:r w:rsidR="00EA6E97">
        <w:rPr>
          <w:b/>
          <w:color w:val="auto"/>
        </w:rPr>
        <w:t>L</w:t>
      </w:r>
      <w:r w:rsidRPr="00760497">
        <w:rPr>
          <w:b/>
          <w:color w:val="auto"/>
        </w:rPr>
        <w:t xml:space="preserve">east a </w:t>
      </w:r>
      <w:r w:rsidR="00EA6E97">
        <w:rPr>
          <w:b/>
          <w:color w:val="auto"/>
        </w:rPr>
        <w:t>M</w:t>
      </w:r>
      <w:r w:rsidRPr="00760497">
        <w:rPr>
          <w:b/>
          <w:color w:val="auto"/>
        </w:rPr>
        <w:t xml:space="preserve">inimum </w:t>
      </w:r>
      <w:r w:rsidR="00EA6E97">
        <w:rPr>
          <w:b/>
          <w:color w:val="auto"/>
        </w:rPr>
        <w:t>P</w:t>
      </w:r>
      <w:r w:rsidRPr="00760497">
        <w:rPr>
          <w:b/>
          <w:color w:val="auto"/>
        </w:rPr>
        <w:t xml:space="preserve">roficiency in </w:t>
      </w:r>
      <w:r w:rsidR="00EA6E97">
        <w:rPr>
          <w:b/>
          <w:color w:val="auto"/>
        </w:rPr>
        <w:t>R</w:t>
      </w:r>
      <w:r w:rsidRPr="00760497">
        <w:rPr>
          <w:b/>
          <w:color w:val="auto"/>
        </w:rPr>
        <w:t xml:space="preserve">eading and </w:t>
      </w:r>
      <w:r w:rsidR="00EA6E97">
        <w:rPr>
          <w:b/>
          <w:color w:val="auto"/>
        </w:rPr>
        <w:t>M</w:t>
      </w:r>
      <w:r w:rsidRPr="00760497">
        <w:rPr>
          <w:b/>
          <w:color w:val="auto"/>
        </w:rPr>
        <w:t>athematics, 2016</w:t>
      </w:r>
    </w:p>
    <w:p w:rsidR="00F3099F" w:rsidRDefault="006B2364" w:rsidP="006B2364">
      <w:pPr>
        <w:suppressAutoHyphens w:val="0"/>
        <w:spacing w:before="0" w:after="120" w:line="440" w:lineRule="atLeast"/>
        <w:jc w:val="center"/>
        <w:rPr>
          <w:rFonts w:asciiTheme="majorHAnsi" w:hAnsiTheme="majorHAnsi"/>
          <w:b/>
          <w:szCs w:val="21"/>
        </w:rPr>
      </w:pPr>
      <w:r>
        <w:rPr>
          <w:rFonts w:asciiTheme="majorHAnsi" w:hAnsiTheme="majorHAnsi"/>
          <w:b/>
          <w:noProof/>
          <w:szCs w:val="21"/>
          <w:lang w:val="en-AU" w:eastAsia="en-AU"/>
        </w:rPr>
        <w:drawing>
          <wp:inline distT="0" distB="0" distL="0" distR="0" wp14:anchorId="558F4DDD" wp14:editId="3089A49F">
            <wp:extent cx="5107305" cy="4199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9492" cy="4209626"/>
                    </a:xfrm>
                    <a:prstGeom prst="rect">
                      <a:avLst/>
                    </a:prstGeom>
                    <a:noFill/>
                  </pic:spPr>
                </pic:pic>
              </a:graphicData>
            </a:graphic>
          </wp:inline>
        </w:drawing>
      </w:r>
    </w:p>
    <w:p w:rsidR="00F3099F" w:rsidRPr="00DE06E9" w:rsidRDefault="003A6297" w:rsidP="0078132E">
      <w:pPr>
        <w:tabs>
          <w:tab w:val="left" w:pos="284"/>
        </w:tabs>
        <w:suppressAutoHyphens w:val="0"/>
        <w:spacing w:after="120" w:line="280" w:lineRule="exact"/>
        <w:jc w:val="center"/>
        <w:rPr>
          <w:i/>
          <w:color w:val="auto"/>
          <w:sz w:val="20"/>
          <w:szCs w:val="20"/>
        </w:rPr>
      </w:pPr>
      <w:r w:rsidRPr="00DE06E9">
        <w:rPr>
          <w:i/>
          <w:color w:val="auto"/>
          <w:sz w:val="20"/>
          <w:szCs w:val="20"/>
        </w:rPr>
        <w:t xml:space="preserve">Source: </w:t>
      </w:r>
      <w:r w:rsidR="008904B9">
        <w:rPr>
          <w:i/>
          <w:color w:val="auto"/>
          <w:sz w:val="20"/>
          <w:szCs w:val="20"/>
        </w:rPr>
        <w:t>BAPPENAS/UNICEF</w:t>
      </w:r>
      <w:r w:rsidR="0078132E" w:rsidRPr="00DE06E9">
        <w:rPr>
          <w:i/>
          <w:color w:val="auto"/>
          <w:sz w:val="20"/>
          <w:szCs w:val="20"/>
        </w:rPr>
        <w:t>.</w:t>
      </w:r>
      <w:r w:rsidR="008904B9">
        <w:rPr>
          <w:i/>
          <w:color w:val="auto"/>
          <w:sz w:val="20"/>
          <w:szCs w:val="20"/>
        </w:rPr>
        <w:t xml:space="preserve"> 2017. </w:t>
      </w:r>
      <w:r w:rsidR="004F4624">
        <w:rPr>
          <w:i/>
          <w:color w:val="auto"/>
          <w:sz w:val="20"/>
          <w:szCs w:val="20"/>
        </w:rPr>
        <w:t xml:space="preserve">SDG Baseline Report on Children in Indonesia. </w:t>
      </w:r>
      <w:r w:rsidR="0089129E">
        <w:rPr>
          <w:i/>
          <w:color w:val="auto"/>
          <w:sz w:val="20"/>
          <w:szCs w:val="20"/>
        </w:rPr>
        <w:t>BAPPENAS/UNICEF.</w:t>
      </w:r>
    </w:p>
    <w:p w:rsidR="00F3099F" w:rsidRDefault="00F3099F" w:rsidP="00F3099F">
      <w:pPr>
        <w:rPr>
          <w:rFonts w:asciiTheme="majorHAnsi" w:hAnsiTheme="majorHAnsi"/>
          <w:b/>
          <w:szCs w:val="21"/>
        </w:rPr>
      </w:pPr>
    </w:p>
    <w:p w:rsidR="00F3099F" w:rsidRPr="00F3099F" w:rsidRDefault="00F3099F" w:rsidP="00F3099F">
      <w:pPr>
        <w:rPr>
          <w:rFonts w:cs="Arial"/>
          <w:sz w:val="21"/>
          <w:szCs w:val="21"/>
          <w:lang w:eastAsia="en-AU"/>
        </w:rPr>
        <w:sectPr w:rsidR="00F3099F" w:rsidRPr="00F3099F" w:rsidSect="00F3099F">
          <w:pgSz w:w="11906" w:h="16838" w:code="9"/>
          <w:pgMar w:top="1701" w:right="1134" w:bottom="1418" w:left="1134" w:header="425" w:footer="493" w:gutter="0"/>
          <w:cols w:space="397"/>
          <w:titlePg/>
          <w:docGrid w:linePitch="360"/>
        </w:sectPr>
      </w:pPr>
    </w:p>
    <w:p w:rsidR="005E7001" w:rsidRDefault="005E7001">
      <w:pPr>
        <w:suppressAutoHyphens w:val="0"/>
        <w:spacing w:before="0" w:after="120" w:line="440" w:lineRule="atLeast"/>
        <w:rPr>
          <w:rFonts w:cs="Arial"/>
          <w:sz w:val="21"/>
          <w:szCs w:val="21"/>
          <w:lang w:eastAsia="en-AU"/>
        </w:rPr>
      </w:pPr>
    </w:p>
    <w:p w:rsidR="005E7001" w:rsidRDefault="005E7001">
      <w:pPr>
        <w:suppressAutoHyphens w:val="0"/>
        <w:spacing w:before="0" w:after="120" w:line="440" w:lineRule="atLeast"/>
        <w:rPr>
          <w:rFonts w:cs="Arial"/>
          <w:sz w:val="21"/>
          <w:szCs w:val="21"/>
          <w:lang w:eastAsia="en-AU"/>
        </w:rPr>
      </w:pPr>
    </w:p>
    <w:p w:rsidR="004504A7" w:rsidRPr="006633DA" w:rsidRDefault="004504A7" w:rsidP="004504A7">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Pr>
          <w:rFonts w:asciiTheme="majorHAnsi" w:hAnsiTheme="majorHAnsi"/>
          <w:b/>
          <w:szCs w:val="21"/>
        </w:rPr>
        <w:t xml:space="preserve">Annex </w:t>
      </w:r>
      <w:r w:rsidR="005E7001">
        <w:rPr>
          <w:rFonts w:asciiTheme="majorHAnsi" w:hAnsiTheme="majorHAnsi"/>
          <w:b/>
          <w:szCs w:val="21"/>
        </w:rPr>
        <w:t>B</w:t>
      </w:r>
      <w:r>
        <w:rPr>
          <w:rFonts w:asciiTheme="majorHAnsi" w:hAnsiTheme="majorHAnsi"/>
          <w:b/>
          <w:szCs w:val="21"/>
        </w:rPr>
        <w:t xml:space="preserve">: TASS </w:t>
      </w:r>
      <w:r w:rsidR="00E958FC">
        <w:rPr>
          <w:rFonts w:asciiTheme="majorHAnsi" w:hAnsiTheme="majorHAnsi"/>
          <w:b/>
          <w:szCs w:val="21"/>
        </w:rPr>
        <w:t>L</w:t>
      </w:r>
      <w:r>
        <w:rPr>
          <w:rFonts w:asciiTheme="majorHAnsi" w:hAnsiTheme="majorHAnsi"/>
          <w:b/>
          <w:szCs w:val="21"/>
        </w:rPr>
        <w:t xml:space="preserve">ogic </w:t>
      </w:r>
      <w:r w:rsidR="00E958FC">
        <w:rPr>
          <w:rFonts w:asciiTheme="majorHAnsi" w:hAnsiTheme="majorHAnsi"/>
          <w:b/>
          <w:szCs w:val="21"/>
        </w:rPr>
        <w:t>M</w:t>
      </w:r>
      <w:r>
        <w:rPr>
          <w:rFonts w:asciiTheme="majorHAnsi" w:hAnsiTheme="majorHAnsi"/>
          <w:b/>
          <w:szCs w:val="21"/>
        </w:rPr>
        <w:t>odel</w:t>
      </w:r>
    </w:p>
    <w:p w:rsidR="004504A7" w:rsidRDefault="00F033E8" w:rsidP="00F033E8">
      <w:pPr>
        <w:suppressAutoHyphens w:val="0"/>
        <w:spacing w:before="0" w:after="120" w:line="440" w:lineRule="atLeast"/>
        <w:jc w:val="center"/>
        <w:rPr>
          <w:rFonts w:cs="Arial"/>
          <w:sz w:val="21"/>
          <w:szCs w:val="21"/>
          <w:lang w:eastAsia="en-AU"/>
        </w:rPr>
        <w:sectPr w:rsidR="004504A7" w:rsidSect="00E958FC">
          <w:pgSz w:w="16838" w:h="11906" w:orient="landscape" w:code="9"/>
          <w:pgMar w:top="1134" w:right="1418" w:bottom="1134" w:left="1701" w:header="425" w:footer="493" w:gutter="0"/>
          <w:cols w:space="397"/>
          <w:titlePg/>
          <w:docGrid w:linePitch="360"/>
        </w:sectPr>
      </w:pPr>
      <w:r>
        <w:rPr>
          <w:rFonts w:cs="Arial"/>
          <w:noProof/>
          <w:sz w:val="21"/>
          <w:szCs w:val="21"/>
          <w:lang w:val="en-AU" w:eastAsia="en-AU"/>
        </w:rPr>
        <w:drawing>
          <wp:inline distT="0" distB="0" distL="0" distR="0" wp14:anchorId="181C5B75" wp14:editId="683742C7">
            <wp:extent cx="6668425" cy="5000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8425" cy="5000625"/>
                    </a:xfrm>
                    <a:prstGeom prst="rect">
                      <a:avLst/>
                    </a:prstGeom>
                    <a:noFill/>
                  </pic:spPr>
                </pic:pic>
              </a:graphicData>
            </a:graphic>
          </wp:inline>
        </w:drawing>
      </w:r>
    </w:p>
    <w:p w:rsidR="004504A7" w:rsidRDefault="004504A7">
      <w:pPr>
        <w:suppressAutoHyphens w:val="0"/>
        <w:spacing w:before="0" w:after="120" w:line="440" w:lineRule="atLeast"/>
        <w:rPr>
          <w:rFonts w:cs="Arial"/>
          <w:sz w:val="21"/>
          <w:szCs w:val="21"/>
          <w:lang w:eastAsia="en-AU"/>
        </w:rPr>
      </w:pPr>
    </w:p>
    <w:p w:rsidR="004E3118" w:rsidRDefault="004E3118">
      <w:pPr>
        <w:suppressAutoHyphens w:val="0"/>
        <w:spacing w:before="0" w:after="120" w:line="440" w:lineRule="atLeast"/>
        <w:rPr>
          <w:rFonts w:cs="Arial"/>
          <w:sz w:val="21"/>
          <w:szCs w:val="21"/>
          <w:lang w:eastAsia="en-AU"/>
        </w:rPr>
      </w:pPr>
    </w:p>
    <w:p w:rsidR="004504A7" w:rsidRPr="006633DA" w:rsidRDefault="004504A7" w:rsidP="004504A7">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Pr>
          <w:rFonts w:asciiTheme="majorHAnsi" w:hAnsiTheme="majorHAnsi"/>
          <w:b/>
          <w:szCs w:val="21"/>
        </w:rPr>
        <w:t xml:space="preserve">Annex </w:t>
      </w:r>
      <w:r w:rsidR="0015597D">
        <w:rPr>
          <w:rFonts w:asciiTheme="majorHAnsi" w:hAnsiTheme="majorHAnsi"/>
          <w:b/>
          <w:szCs w:val="21"/>
        </w:rPr>
        <w:t>C</w:t>
      </w:r>
      <w:r>
        <w:rPr>
          <w:rFonts w:asciiTheme="majorHAnsi" w:hAnsiTheme="majorHAnsi"/>
          <w:b/>
          <w:szCs w:val="21"/>
        </w:rPr>
        <w:t xml:space="preserve">: Roles and Responsibilities </w:t>
      </w:r>
    </w:p>
    <w:p w:rsidR="004504A7" w:rsidRDefault="00CD5653" w:rsidP="000E64AD">
      <w:pPr>
        <w:suppressAutoHyphens w:val="0"/>
        <w:spacing w:before="0" w:after="120" w:line="440" w:lineRule="atLeast"/>
        <w:jc w:val="center"/>
        <w:rPr>
          <w:rFonts w:cs="Arial"/>
          <w:sz w:val="21"/>
          <w:szCs w:val="21"/>
          <w:lang w:eastAsia="en-AU"/>
        </w:rPr>
      </w:pPr>
      <w:r>
        <w:rPr>
          <w:rFonts w:cs="Arial"/>
          <w:noProof/>
          <w:sz w:val="21"/>
          <w:szCs w:val="21"/>
          <w:lang w:val="en-AU" w:eastAsia="en-AU"/>
        </w:rPr>
        <w:drawing>
          <wp:inline distT="0" distB="0" distL="0" distR="0" wp14:anchorId="2AE962A4" wp14:editId="5BC64EBD">
            <wp:extent cx="8266430" cy="464938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07630" cy="4672555"/>
                    </a:xfrm>
                    <a:prstGeom prst="rect">
                      <a:avLst/>
                    </a:prstGeom>
                    <a:noFill/>
                  </pic:spPr>
                </pic:pic>
              </a:graphicData>
            </a:graphic>
          </wp:inline>
        </w:drawing>
      </w:r>
    </w:p>
    <w:p w:rsidR="004504A7" w:rsidRDefault="004504A7" w:rsidP="004504A7">
      <w:pPr>
        <w:suppressAutoHyphens w:val="0"/>
        <w:spacing w:before="0" w:after="120" w:line="440" w:lineRule="atLeast"/>
        <w:rPr>
          <w:rFonts w:cs="Arial"/>
          <w:sz w:val="21"/>
          <w:szCs w:val="21"/>
          <w:lang w:eastAsia="en-AU"/>
        </w:rPr>
      </w:pPr>
    </w:p>
    <w:p w:rsidR="00D8475E" w:rsidRDefault="00D8475E" w:rsidP="004504A7">
      <w:pPr>
        <w:suppressAutoHyphens w:val="0"/>
        <w:spacing w:before="0" w:after="120" w:line="440" w:lineRule="atLeast"/>
        <w:rPr>
          <w:rFonts w:cs="Arial"/>
          <w:sz w:val="21"/>
          <w:szCs w:val="21"/>
          <w:lang w:eastAsia="en-AU"/>
        </w:rPr>
        <w:sectPr w:rsidR="00D8475E" w:rsidSect="004E3118">
          <w:pgSz w:w="16838" w:h="11906" w:orient="landscape" w:code="9"/>
          <w:pgMar w:top="1134" w:right="1418" w:bottom="1134" w:left="1701" w:header="425" w:footer="493" w:gutter="0"/>
          <w:cols w:space="397"/>
          <w:titlePg/>
          <w:docGrid w:linePitch="360"/>
        </w:sectPr>
      </w:pPr>
    </w:p>
    <w:p w:rsidR="004504A7" w:rsidRDefault="004504A7" w:rsidP="004504A7">
      <w:pPr>
        <w:suppressAutoHyphens w:val="0"/>
        <w:spacing w:before="0" w:after="120" w:line="440" w:lineRule="atLeast"/>
        <w:rPr>
          <w:rFonts w:cs="Arial"/>
          <w:sz w:val="21"/>
          <w:szCs w:val="21"/>
          <w:lang w:eastAsia="en-AU"/>
        </w:rPr>
      </w:pPr>
    </w:p>
    <w:p w:rsidR="00C31DDB" w:rsidRDefault="00C31DDB" w:rsidP="004504A7">
      <w:pPr>
        <w:suppressAutoHyphens w:val="0"/>
        <w:spacing w:before="0" w:after="120" w:line="440" w:lineRule="atLeast"/>
        <w:rPr>
          <w:rFonts w:cs="Arial"/>
          <w:sz w:val="21"/>
          <w:szCs w:val="21"/>
          <w:lang w:eastAsia="en-AU"/>
        </w:rPr>
      </w:pPr>
    </w:p>
    <w:p w:rsidR="00D8475E" w:rsidRPr="006633DA" w:rsidRDefault="00D8475E" w:rsidP="00D8475E">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Pr>
          <w:rFonts w:asciiTheme="majorHAnsi" w:hAnsiTheme="majorHAnsi"/>
          <w:b/>
          <w:szCs w:val="21"/>
        </w:rPr>
        <w:t xml:space="preserve">Annex </w:t>
      </w:r>
      <w:r w:rsidR="0015597D">
        <w:rPr>
          <w:rFonts w:asciiTheme="majorHAnsi" w:hAnsiTheme="majorHAnsi"/>
          <w:b/>
          <w:szCs w:val="21"/>
        </w:rPr>
        <w:t>D</w:t>
      </w:r>
      <w:r>
        <w:rPr>
          <w:rFonts w:asciiTheme="majorHAnsi" w:hAnsiTheme="majorHAnsi"/>
          <w:b/>
          <w:szCs w:val="21"/>
        </w:rPr>
        <w:t xml:space="preserve">: </w:t>
      </w:r>
      <w:r w:rsidR="00313607">
        <w:rPr>
          <w:rFonts w:asciiTheme="majorHAnsi" w:hAnsiTheme="majorHAnsi"/>
          <w:b/>
          <w:szCs w:val="21"/>
        </w:rPr>
        <w:t>Activity</w:t>
      </w:r>
      <w:r w:rsidR="008A7674">
        <w:rPr>
          <w:rFonts w:asciiTheme="majorHAnsi" w:hAnsiTheme="majorHAnsi"/>
          <w:b/>
          <w:szCs w:val="21"/>
        </w:rPr>
        <w:t xml:space="preserve"> Design and Implementation </w:t>
      </w:r>
      <w:r>
        <w:rPr>
          <w:rFonts w:asciiTheme="majorHAnsi" w:hAnsiTheme="majorHAnsi"/>
          <w:b/>
          <w:szCs w:val="21"/>
        </w:rPr>
        <w:t xml:space="preserve"> </w:t>
      </w:r>
    </w:p>
    <w:p w:rsidR="00D8475E" w:rsidRDefault="00C31DDB" w:rsidP="008A7674">
      <w:pPr>
        <w:suppressAutoHyphens w:val="0"/>
        <w:spacing w:before="0" w:after="120" w:line="440" w:lineRule="atLeast"/>
        <w:jc w:val="center"/>
        <w:rPr>
          <w:rFonts w:cs="Arial"/>
          <w:sz w:val="21"/>
          <w:szCs w:val="21"/>
          <w:lang w:eastAsia="en-AU"/>
        </w:rPr>
      </w:pPr>
      <w:r>
        <w:rPr>
          <w:rFonts w:cs="Arial"/>
          <w:noProof/>
          <w:sz w:val="21"/>
          <w:szCs w:val="21"/>
          <w:lang w:val="en-AU" w:eastAsia="en-AU"/>
        </w:rPr>
        <w:drawing>
          <wp:inline distT="0" distB="0" distL="0" distR="0" wp14:anchorId="765CD1D4" wp14:editId="08B37F79">
            <wp:extent cx="7210425" cy="479595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15877" cy="4799581"/>
                    </a:xfrm>
                    <a:prstGeom prst="rect">
                      <a:avLst/>
                    </a:prstGeom>
                    <a:noFill/>
                  </pic:spPr>
                </pic:pic>
              </a:graphicData>
            </a:graphic>
          </wp:inline>
        </w:drawing>
      </w:r>
    </w:p>
    <w:p w:rsidR="007950A2" w:rsidRDefault="007950A2" w:rsidP="004504A7">
      <w:pPr>
        <w:suppressAutoHyphens w:val="0"/>
        <w:spacing w:before="0" w:after="120" w:line="440" w:lineRule="atLeast"/>
        <w:rPr>
          <w:rFonts w:cs="Arial"/>
          <w:sz w:val="21"/>
          <w:szCs w:val="21"/>
          <w:lang w:eastAsia="en-AU"/>
        </w:rPr>
        <w:sectPr w:rsidR="007950A2" w:rsidSect="00313607">
          <w:pgSz w:w="16838" w:h="11906" w:orient="landscape" w:code="9"/>
          <w:pgMar w:top="1134" w:right="1701" w:bottom="1134" w:left="1418" w:header="425" w:footer="493" w:gutter="0"/>
          <w:cols w:space="397"/>
          <w:titlePg/>
          <w:docGrid w:linePitch="360"/>
        </w:sectPr>
      </w:pPr>
    </w:p>
    <w:p w:rsidR="00313607" w:rsidRDefault="00313607" w:rsidP="004504A7">
      <w:pPr>
        <w:suppressAutoHyphens w:val="0"/>
        <w:spacing w:before="0" w:after="120" w:line="440" w:lineRule="atLeast"/>
        <w:rPr>
          <w:rFonts w:cs="Arial"/>
          <w:sz w:val="21"/>
          <w:szCs w:val="21"/>
          <w:lang w:eastAsia="en-AU"/>
        </w:rPr>
      </w:pPr>
    </w:p>
    <w:p w:rsidR="007950A2" w:rsidRDefault="007950A2" w:rsidP="004504A7">
      <w:pPr>
        <w:suppressAutoHyphens w:val="0"/>
        <w:spacing w:before="0" w:after="120" w:line="440" w:lineRule="atLeast"/>
        <w:rPr>
          <w:rFonts w:cs="Arial"/>
          <w:sz w:val="21"/>
          <w:szCs w:val="21"/>
          <w:lang w:eastAsia="en-AU"/>
        </w:rPr>
      </w:pPr>
    </w:p>
    <w:p w:rsidR="00652F38" w:rsidRPr="006633DA" w:rsidRDefault="00652F38" w:rsidP="00652F38">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Pr>
          <w:rFonts w:asciiTheme="majorHAnsi" w:hAnsiTheme="majorHAnsi"/>
          <w:b/>
          <w:szCs w:val="21"/>
        </w:rPr>
        <w:t xml:space="preserve">Annex E: </w:t>
      </w:r>
      <w:r w:rsidR="00EB68A4">
        <w:rPr>
          <w:rFonts w:asciiTheme="majorHAnsi" w:hAnsiTheme="majorHAnsi"/>
          <w:b/>
          <w:szCs w:val="21"/>
        </w:rPr>
        <w:t xml:space="preserve">Activity </w:t>
      </w:r>
      <w:r>
        <w:rPr>
          <w:rFonts w:asciiTheme="majorHAnsi" w:hAnsiTheme="majorHAnsi"/>
          <w:b/>
          <w:szCs w:val="21"/>
        </w:rPr>
        <w:t xml:space="preserve">Screening Matrix </w:t>
      </w:r>
    </w:p>
    <w:tbl>
      <w:tblPr>
        <w:tblStyle w:val="TableGrid3"/>
        <w:tblW w:w="13608" w:type="dxa"/>
        <w:tblInd w:w="279" w:type="dxa"/>
        <w:tblLayout w:type="fixed"/>
        <w:tblLook w:val="04A0" w:firstRow="1" w:lastRow="0" w:firstColumn="1" w:lastColumn="0" w:noHBand="0" w:noVBand="1"/>
      </w:tblPr>
      <w:tblGrid>
        <w:gridCol w:w="1252"/>
        <w:gridCol w:w="3851"/>
        <w:gridCol w:w="567"/>
        <w:gridCol w:w="709"/>
        <w:gridCol w:w="580"/>
        <w:gridCol w:w="4131"/>
        <w:gridCol w:w="2518"/>
      </w:tblGrid>
      <w:tr w:rsidR="00652F38" w:rsidRPr="00521CEE" w:rsidTr="00034714">
        <w:trPr>
          <w:trHeight w:val="396"/>
          <w:tblHeader/>
        </w:trPr>
        <w:tc>
          <w:tcPr>
            <w:tcW w:w="1252" w:type="dxa"/>
            <w:vMerge w:val="restart"/>
            <w:shd w:val="clear" w:color="auto" w:fill="C1E7E0" w:themeFill="accent1" w:themeFillTint="66"/>
            <w:vAlign w:val="center"/>
          </w:tcPr>
          <w:p w:rsidR="00652F38" w:rsidRPr="002948E7" w:rsidRDefault="00652F38" w:rsidP="00034714">
            <w:pPr>
              <w:spacing w:after="120" w:line="280" w:lineRule="exact"/>
              <w:contextualSpacing/>
              <w:jc w:val="center"/>
              <w:rPr>
                <w:b/>
                <w:sz w:val="20"/>
                <w:szCs w:val="18"/>
              </w:rPr>
            </w:pPr>
            <w:r w:rsidRPr="002948E7">
              <w:rPr>
                <w:b/>
                <w:sz w:val="20"/>
                <w:szCs w:val="18"/>
              </w:rPr>
              <w:t>Factor</w:t>
            </w:r>
          </w:p>
        </w:tc>
        <w:tc>
          <w:tcPr>
            <w:tcW w:w="3851" w:type="dxa"/>
            <w:vMerge w:val="restart"/>
            <w:shd w:val="clear" w:color="auto" w:fill="C1E7E0" w:themeFill="accent1" w:themeFillTint="66"/>
            <w:vAlign w:val="center"/>
          </w:tcPr>
          <w:p w:rsidR="00652F38" w:rsidRPr="002948E7" w:rsidRDefault="00652F38" w:rsidP="00034714">
            <w:pPr>
              <w:spacing w:after="120" w:line="280" w:lineRule="exact"/>
              <w:contextualSpacing/>
              <w:jc w:val="center"/>
              <w:rPr>
                <w:b/>
                <w:sz w:val="20"/>
                <w:szCs w:val="18"/>
              </w:rPr>
            </w:pPr>
            <w:r w:rsidRPr="002948E7">
              <w:rPr>
                <w:b/>
                <w:sz w:val="20"/>
                <w:szCs w:val="18"/>
              </w:rPr>
              <w:t>Indicators of low viability</w:t>
            </w:r>
          </w:p>
        </w:tc>
        <w:tc>
          <w:tcPr>
            <w:tcW w:w="1856" w:type="dxa"/>
            <w:gridSpan w:val="3"/>
            <w:shd w:val="clear" w:color="auto" w:fill="C1E7E0" w:themeFill="accent1" w:themeFillTint="66"/>
            <w:vAlign w:val="center"/>
          </w:tcPr>
          <w:p w:rsidR="00652F38" w:rsidRPr="002948E7" w:rsidRDefault="00652F38" w:rsidP="00034714">
            <w:pPr>
              <w:spacing w:after="120" w:line="280" w:lineRule="exact"/>
              <w:contextualSpacing/>
              <w:jc w:val="center"/>
              <w:rPr>
                <w:b/>
                <w:sz w:val="20"/>
                <w:szCs w:val="18"/>
              </w:rPr>
            </w:pPr>
            <w:r w:rsidRPr="002948E7">
              <w:rPr>
                <w:b/>
                <w:sz w:val="20"/>
                <w:szCs w:val="18"/>
              </w:rPr>
              <w:t>Rating</w:t>
            </w:r>
          </w:p>
        </w:tc>
        <w:tc>
          <w:tcPr>
            <w:tcW w:w="4131" w:type="dxa"/>
            <w:vMerge w:val="restart"/>
            <w:shd w:val="clear" w:color="auto" w:fill="C1E7E0" w:themeFill="accent1" w:themeFillTint="66"/>
            <w:vAlign w:val="center"/>
          </w:tcPr>
          <w:p w:rsidR="00652F38" w:rsidRPr="002948E7" w:rsidRDefault="00652F38" w:rsidP="00034714">
            <w:pPr>
              <w:spacing w:after="120" w:line="280" w:lineRule="exact"/>
              <w:contextualSpacing/>
              <w:jc w:val="center"/>
              <w:rPr>
                <w:b/>
                <w:sz w:val="20"/>
                <w:szCs w:val="18"/>
              </w:rPr>
            </w:pPr>
            <w:r w:rsidRPr="002948E7">
              <w:rPr>
                <w:b/>
                <w:sz w:val="20"/>
                <w:szCs w:val="18"/>
              </w:rPr>
              <w:t>Indicators of high viability</w:t>
            </w:r>
          </w:p>
        </w:tc>
        <w:tc>
          <w:tcPr>
            <w:tcW w:w="2518" w:type="dxa"/>
            <w:vMerge w:val="restart"/>
            <w:shd w:val="clear" w:color="auto" w:fill="C1E7E0" w:themeFill="accent1" w:themeFillTint="66"/>
            <w:vAlign w:val="center"/>
          </w:tcPr>
          <w:p w:rsidR="00652F38" w:rsidRPr="002948E7" w:rsidRDefault="00652F38" w:rsidP="00034714">
            <w:pPr>
              <w:spacing w:after="120" w:line="280" w:lineRule="exact"/>
              <w:contextualSpacing/>
              <w:jc w:val="center"/>
              <w:rPr>
                <w:b/>
                <w:sz w:val="20"/>
                <w:szCs w:val="18"/>
              </w:rPr>
            </w:pPr>
            <w:r w:rsidRPr="002948E7">
              <w:rPr>
                <w:b/>
                <w:sz w:val="20"/>
                <w:szCs w:val="18"/>
              </w:rPr>
              <w:t>Justification for rating</w:t>
            </w:r>
          </w:p>
        </w:tc>
      </w:tr>
      <w:tr w:rsidR="00652F38" w:rsidRPr="00521CEE" w:rsidTr="00034714">
        <w:trPr>
          <w:trHeight w:val="396"/>
          <w:tblHeader/>
        </w:trPr>
        <w:tc>
          <w:tcPr>
            <w:tcW w:w="1252" w:type="dxa"/>
            <w:vMerge/>
            <w:shd w:val="clear" w:color="auto" w:fill="8496B0"/>
            <w:vAlign w:val="center"/>
          </w:tcPr>
          <w:p w:rsidR="00652F38" w:rsidRPr="00521CEE" w:rsidRDefault="00652F38" w:rsidP="00034714">
            <w:pPr>
              <w:spacing w:after="120" w:line="280" w:lineRule="exact"/>
              <w:contextualSpacing/>
              <w:jc w:val="center"/>
              <w:rPr>
                <w:b/>
                <w:sz w:val="18"/>
                <w:szCs w:val="18"/>
              </w:rPr>
            </w:pPr>
          </w:p>
        </w:tc>
        <w:tc>
          <w:tcPr>
            <w:tcW w:w="3851" w:type="dxa"/>
            <w:vMerge/>
            <w:shd w:val="clear" w:color="auto" w:fill="8496B0"/>
            <w:vAlign w:val="center"/>
          </w:tcPr>
          <w:p w:rsidR="00652F38" w:rsidRPr="00521CEE" w:rsidRDefault="00652F38" w:rsidP="00034714">
            <w:pPr>
              <w:spacing w:after="120" w:line="280" w:lineRule="exact"/>
              <w:contextualSpacing/>
              <w:jc w:val="center"/>
              <w:rPr>
                <w:b/>
                <w:sz w:val="18"/>
                <w:szCs w:val="18"/>
              </w:rPr>
            </w:pPr>
          </w:p>
        </w:tc>
        <w:tc>
          <w:tcPr>
            <w:tcW w:w="567" w:type="dxa"/>
            <w:shd w:val="clear" w:color="auto" w:fill="E4B69E" w:themeFill="accent3" w:themeFillTint="99"/>
            <w:vAlign w:val="center"/>
          </w:tcPr>
          <w:p w:rsidR="00652F38" w:rsidRPr="00521CEE" w:rsidRDefault="00652F38" w:rsidP="00034714">
            <w:pPr>
              <w:spacing w:after="120" w:line="280" w:lineRule="exact"/>
              <w:contextualSpacing/>
              <w:jc w:val="center"/>
              <w:rPr>
                <w:b/>
                <w:sz w:val="18"/>
                <w:szCs w:val="18"/>
              </w:rPr>
            </w:pPr>
            <w:r w:rsidRPr="00521CEE">
              <w:rPr>
                <w:b/>
                <w:sz w:val="18"/>
                <w:szCs w:val="18"/>
              </w:rPr>
              <w:t>Low</w:t>
            </w:r>
          </w:p>
        </w:tc>
        <w:tc>
          <w:tcPr>
            <w:tcW w:w="709" w:type="dxa"/>
            <w:shd w:val="clear" w:color="auto" w:fill="FFF371" w:themeFill="accent4" w:themeFillShade="E6"/>
            <w:vAlign w:val="center"/>
          </w:tcPr>
          <w:p w:rsidR="00652F38" w:rsidRPr="00521CEE" w:rsidRDefault="00652F38" w:rsidP="00034714">
            <w:pPr>
              <w:spacing w:after="120" w:line="280" w:lineRule="exact"/>
              <w:contextualSpacing/>
              <w:jc w:val="center"/>
              <w:rPr>
                <w:b/>
                <w:sz w:val="18"/>
                <w:szCs w:val="18"/>
              </w:rPr>
            </w:pPr>
            <w:r w:rsidRPr="00521CEE">
              <w:rPr>
                <w:b/>
                <w:sz w:val="18"/>
                <w:szCs w:val="18"/>
              </w:rPr>
              <w:t>Med</w:t>
            </w:r>
          </w:p>
        </w:tc>
        <w:tc>
          <w:tcPr>
            <w:tcW w:w="580" w:type="dxa"/>
            <w:shd w:val="clear" w:color="auto" w:fill="7FB64D" w:themeFill="accent2" w:themeFillShade="BF"/>
            <w:vAlign w:val="center"/>
          </w:tcPr>
          <w:p w:rsidR="00652F38" w:rsidRPr="00521CEE" w:rsidRDefault="00652F38" w:rsidP="00034714">
            <w:pPr>
              <w:spacing w:after="120" w:line="280" w:lineRule="exact"/>
              <w:contextualSpacing/>
              <w:jc w:val="center"/>
              <w:rPr>
                <w:b/>
                <w:sz w:val="18"/>
                <w:szCs w:val="18"/>
              </w:rPr>
            </w:pPr>
            <w:r w:rsidRPr="00521CEE">
              <w:rPr>
                <w:b/>
                <w:sz w:val="18"/>
                <w:szCs w:val="18"/>
              </w:rPr>
              <w:t>Hi</w:t>
            </w:r>
          </w:p>
        </w:tc>
        <w:tc>
          <w:tcPr>
            <w:tcW w:w="4131" w:type="dxa"/>
            <w:vMerge/>
            <w:shd w:val="clear" w:color="auto" w:fill="8496B0"/>
            <w:vAlign w:val="center"/>
          </w:tcPr>
          <w:p w:rsidR="00652F38" w:rsidRPr="00521CEE" w:rsidRDefault="00652F38" w:rsidP="00034714">
            <w:pPr>
              <w:spacing w:after="120" w:line="280" w:lineRule="exact"/>
              <w:contextualSpacing/>
              <w:jc w:val="center"/>
              <w:rPr>
                <w:b/>
                <w:sz w:val="18"/>
                <w:szCs w:val="18"/>
              </w:rPr>
            </w:pPr>
          </w:p>
        </w:tc>
        <w:tc>
          <w:tcPr>
            <w:tcW w:w="2518" w:type="dxa"/>
            <w:vMerge/>
            <w:shd w:val="clear" w:color="auto" w:fill="8496B0"/>
            <w:vAlign w:val="center"/>
          </w:tcPr>
          <w:p w:rsidR="00652F38" w:rsidRPr="00521CEE" w:rsidRDefault="00652F38" w:rsidP="00034714">
            <w:pPr>
              <w:spacing w:after="120" w:line="280" w:lineRule="exact"/>
              <w:contextualSpacing/>
              <w:jc w:val="center"/>
              <w:rPr>
                <w:b/>
                <w:sz w:val="18"/>
                <w:szCs w:val="18"/>
              </w:rPr>
            </w:pPr>
          </w:p>
        </w:tc>
      </w:tr>
      <w:tr w:rsidR="00652F38" w:rsidRPr="00521CEE" w:rsidTr="00034714">
        <w:tc>
          <w:tcPr>
            <w:tcW w:w="13608" w:type="dxa"/>
            <w:gridSpan w:val="7"/>
            <w:shd w:val="clear" w:color="auto" w:fill="C1E7E0" w:themeFill="accent1" w:themeFillTint="66"/>
            <w:vAlign w:val="center"/>
          </w:tcPr>
          <w:p w:rsidR="00652F38" w:rsidRPr="0013315B" w:rsidRDefault="00652F38" w:rsidP="00034714">
            <w:pPr>
              <w:spacing w:after="120" w:line="280" w:lineRule="exact"/>
              <w:contextualSpacing/>
              <w:rPr>
                <w:b/>
                <w:sz w:val="18"/>
                <w:szCs w:val="18"/>
              </w:rPr>
            </w:pPr>
            <w:r>
              <w:rPr>
                <w:b/>
                <w:sz w:val="18"/>
                <w:szCs w:val="18"/>
              </w:rPr>
              <w:t xml:space="preserve">Area 1: </w:t>
            </w:r>
            <w:r w:rsidRPr="00521CEE">
              <w:rPr>
                <w:b/>
                <w:sz w:val="18"/>
                <w:szCs w:val="18"/>
              </w:rPr>
              <w:t>THE PROBLEM to be addressed</w:t>
            </w:r>
          </w:p>
        </w:tc>
      </w:tr>
      <w:tr w:rsidR="00652F38" w:rsidRPr="00521CEE" w:rsidTr="00034714">
        <w:tc>
          <w:tcPr>
            <w:tcW w:w="1252"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Alignment </w:t>
            </w:r>
          </w:p>
        </w:tc>
        <w:tc>
          <w:tcPr>
            <w:tcW w:w="385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The thematic focus and/or requested activity/TA is outside the scope of TASS; the thematic focus and/or requested activity/TA is not in an area of DFAT/Australian comparative advantage</w:t>
            </w:r>
            <w:r w:rsidRPr="00521CEE">
              <w:rPr>
                <w:i/>
                <w:sz w:val="18"/>
                <w:szCs w:val="18"/>
                <w:vertAlign w:val="superscript"/>
              </w:rPr>
              <w:footnoteReference w:id="1"/>
            </w:r>
            <w:r w:rsidRPr="00521CEE">
              <w:rPr>
                <w:i/>
                <w:sz w:val="18"/>
                <w:szCs w:val="18"/>
              </w:rPr>
              <w:t>; the requested activity/TA has weak line of sight to TASS outcomes and objective; other partners or programs are better placed to assist the requesting agency</w:t>
            </w:r>
          </w:p>
        </w:tc>
        <w:tc>
          <w:tcPr>
            <w:tcW w:w="567" w:type="dxa"/>
            <w:shd w:val="clear" w:color="auto" w:fill="FFFFFF"/>
            <w:vAlign w:val="center"/>
          </w:tcPr>
          <w:p w:rsidR="00652F38" w:rsidRPr="00835A11" w:rsidRDefault="00652F38" w:rsidP="00034714">
            <w:pPr>
              <w:spacing w:after="120" w:line="280" w:lineRule="exact"/>
              <w:contextualSpacing/>
              <w:jc w:val="center"/>
              <w:rPr>
                <w:b/>
                <w:i/>
                <w:sz w:val="18"/>
                <w:szCs w:val="18"/>
              </w:rPr>
            </w:pPr>
          </w:p>
        </w:tc>
        <w:tc>
          <w:tcPr>
            <w:tcW w:w="709" w:type="dxa"/>
            <w:shd w:val="clear" w:color="auto" w:fill="FFF371" w:themeFill="accent4" w:themeFillShade="E6"/>
            <w:vAlign w:val="center"/>
          </w:tcPr>
          <w:p w:rsidR="00652F38" w:rsidRPr="00835A11" w:rsidRDefault="00652F38" w:rsidP="00034714">
            <w:pPr>
              <w:spacing w:after="120" w:line="280" w:lineRule="exact"/>
              <w:contextualSpacing/>
              <w:jc w:val="center"/>
              <w:rPr>
                <w:b/>
                <w:i/>
                <w:sz w:val="18"/>
                <w:szCs w:val="18"/>
              </w:rPr>
            </w:pPr>
            <w:r w:rsidRPr="00835A11">
              <w:rPr>
                <w:b/>
                <w:i/>
                <w:sz w:val="18"/>
                <w:szCs w:val="18"/>
              </w:rPr>
              <w:t>x</w:t>
            </w:r>
          </w:p>
        </w:tc>
        <w:tc>
          <w:tcPr>
            <w:tcW w:w="580" w:type="dxa"/>
            <w:shd w:val="clear" w:color="auto" w:fill="FFFFFF"/>
            <w:vAlign w:val="center"/>
          </w:tcPr>
          <w:p w:rsidR="00652F38" w:rsidRPr="00835A11" w:rsidRDefault="00652F38" w:rsidP="00034714">
            <w:pPr>
              <w:spacing w:after="120" w:line="280" w:lineRule="exact"/>
              <w:contextualSpacing/>
              <w:jc w:val="center"/>
              <w:rPr>
                <w:b/>
                <w:i/>
                <w:sz w:val="18"/>
                <w:szCs w:val="18"/>
              </w:rPr>
            </w:pPr>
          </w:p>
        </w:tc>
        <w:tc>
          <w:tcPr>
            <w:tcW w:w="413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Fully consistent with the focal areas </w:t>
            </w:r>
            <w:r>
              <w:rPr>
                <w:i/>
                <w:sz w:val="18"/>
                <w:szCs w:val="18"/>
              </w:rPr>
              <w:t xml:space="preserve">(constraints) </w:t>
            </w:r>
            <w:r w:rsidRPr="00521CEE">
              <w:rPr>
                <w:i/>
                <w:sz w:val="18"/>
                <w:szCs w:val="18"/>
              </w:rPr>
              <w:t>identified for TASS; the requested activity/TA allows DFAT to draw on and showcase DFAT and Australian experience and expertise; the requested activity/TA has strong line of sight to TASS outcomes and objective; the request is consistent with the competitive and comparative advantages of TASS vis-à-vis other programs and partners</w:t>
            </w:r>
            <w:r>
              <w:rPr>
                <w:i/>
                <w:sz w:val="18"/>
                <w:szCs w:val="18"/>
              </w:rPr>
              <w:t>; enables consideration of gender and disability-inclusion issues.</w:t>
            </w:r>
            <w:r w:rsidRPr="00521CEE">
              <w:rPr>
                <w:i/>
                <w:sz w:val="18"/>
                <w:szCs w:val="18"/>
              </w:rPr>
              <w:t xml:space="preserve"> </w:t>
            </w:r>
          </w:p>
        </w:tc>
        <w:tc>
          <w:tcPr>
            <w:tcW w:w="2518" w:type="dxa"/>
            <w:tcBorders>
              <w:bottom w:val="single" w:sz="4" w:space="0" w:color="auto"/>
            </w:tcBorders>
            <w:shd w:val="clear" w:color="auto" w:fill="FFFFFF"/>
            <w:vAlign w:val="center"/>
          </w:tcPr>
          <w:p w:rsidR="00652F38" w:rsidRPr="00521CEE" w:rsidRDefault="00652F38" w:rsidP="00034714">
            <w:pPr>
              <w:spacing w:after="120" w:line="280" w:lineRule="exact"/>
              <w:ind w:left="360"/>
              <w:contextualSpacing/>
              <w:rPr>
                <w:sz w:val="18"/>
                <w:szCs w:val="18"/>
              </w:rPr>
            </w:pPr>
            <w:r>
              <w:rPr>
                <w:sz w:val="18"/>
                <w:szCs w:val="18"/>
              </w:rPr>
              <w:t>[free text cell]</w:t>
            </w:r>
          </w:p>
        </w:tc>
      </w:tr>
      <w:tr w:rsidR="00652F38" w:rsidRPr="00521CEE" w:rsidTr="00034714">
        <w:tc>
          <w:tcPr>
            <w:tcW w:w="1252"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The focal problem </w:t>
            </w:r>
          </w:p>
        </w:tc>
        <w:tc>
          <w:tcPr>
            <w:tcW w:w="385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The request lacks a clear problem focus; the problem analysis is shallow, e.g. it fails to uncover root causes or it mistakes symptoms for causes.</w:t>
            </w:r>
          </w:p>
        </w:tc>
        <w:tc>
          <w:tcPr>
            <w:tcW w:w="567" w:type="dxa"/>
            <w:shd w:val="clear" w:color="auto" w:fill="FFFFFF"/>
            <w:vAlign w:val="center"/>
          </w:tcPr>
          <w:p w:rsidR="00652F38" w:rsidRPr="00835A11" w:rsidRDefault="00652F38" w:rsidP="00034714">
            <w:pPr>
              <w:spacing w:after="120" w:line="280" w:lineRule="exact"/>
              <w:contextualSpacing/>
              <w:jc w:val="center"/>
              <w:rPr>
                <w:b/>
                <w:i/>
                <w:sz w:val="18"/>
                <w:szCs w:val="18"/>
              </w:rPr>
            </w:pPr>
          </w:p>
        </w:tc>
        <w:tc>
          <w:tcPr>
            <w:tcW w:w="709" w:type="dxa"/>
            <w:shd w:val="clear" w:color="auto" w:fill="FFFFFF"/>
            <w:vAlign w:val="center"/>
          </w:tcPr>
          <w:p w:rsidR="00652F38" w:rsidRPr="00835A11" w:rsidRDefault="00652F38" w:rsidP="00034714">
            <w:pPr>
              <w:spacing w:after="120" w:line="280" w:lineRule="exact"/>
              <w:contextualSpacing/>
              <w:jc w:val="center"/>
              <w:rPr>
                <w:b/>
                <w:i/>
                <w:sz w:val="18"/>
                <w:szCs w:val="18"/>
              </w:rPr>
            </w:pPr>
          </w:p>
        </w:tc>
        <w:tc>
          <w:tcPr>
            <w:tcW w:w="580" w:type="dxa"/>
            <w:shd w:val="clear" w:color="auto" w:fill="7FB64D" w:themeFill="accent2" w:themeFillShade="BF"/>
            <w:vAlign w:val="center"/>
          </w:tcPr>
          <w:p w:rsidR="00652F38" w:rsidRPr="00835A11" w:rsidRDefault="00652F38" w:rsidP="00034714">
            <w:pPr>
              <w:spacing w:after="120" w:line="280" w:lineRule="exact"/>
              <w:contextualSpacing/>
              <w:jc w:val="center"/>
              <w:rPr>
                <w:b/>
                <w:i/>
                <w:sz w:val="18"/>
                <w:szCs w:val="18"/>
              </w:rPr>
            </w:pPr>
            <w:r w:rsidRPr="00835A11">
              <w:rPr>
                <w:b/>
                <w:i/>
                <w:sz w:val="18"/>
                <w:szCs w:val="18"/>
              </w:rPr>
              <w:t>x</w:t>
            </w:r>
          </w:p>
        </w:tc>
        <w:tc>
          <w:tcPr>
            <w:tcW w:w="413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The problem is readily apparent and well-articulated; the problem is deconstructed to reveal its causes; the proposal does not conflate symptoms with root causes; the problem represents a performance shortcoming; the problem is penetrable, i.e. the nature of the problem allows real, sequenced, strategic responses by TASS and others - it can be broken down into manageable parts. </w:t>
            </w:r>
          </w:p>
        </w:tc>
        <w:tc>
          <w:tcPr>
            <w:tcW w:w="2518" w:type="dxa"/>
            <w:tcBorders>
              <w:bottom w:val="single" w:sz="4" w:space="0" w:color="auto"/>
            </w:tcBorders>
            <w:shd w:val="clear" w:color="auto" w:fill="FFFFFF"/>
            <w:vAlign w:val="center"/>
          </w:tcPr>
          <w:p w:rsidR="00652F38" w:rsidRPr="00521CEE" w:rsidRDefault="00652F38" w:rsidP="00034714">
            <w:pPr>
              <w:spacing w:after="120" w:line="280" w:lineRule="exact"/>
              <w:ind w:left="360"/>
              <w:contextualSpacing/>
              <w:rPr>
                <w:sz w:val="18"/>
                <w:szCs w:val="18"/>
              </w:rPr>
            </w:pPr>
            <w:r>
              <w:rPr>
                <w:sz w:val="18"/>
                <w:szCs w:val="18"/>
              </w:rPr>
              <w:t>[free text cell]</w:t>
            </w:r>
          </w:p>
        </w:tc>
      </w:tr>
      <w:tr w:rsidR="00652F38" w:rsidRPr="00521CEE" w:rsidTr="00034714">
        <w:tc>
          <w:tcPr>
            <w:tcW w:w="1252"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Local ownership</w:t>
            </w:r>
          </w:p>
        </w:tc>
        <w:tc>
          <w:tcPr>
            <w:tcW w:w="385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The problem has been identified by an outsider; the performance shortcoming is frequently denied or ignored by key local actors; the </w:t>
            </w:r>
            <w:r w:rsidRPr="00521CEE">
              <w:rPr>
                <w:i/>
                <w:sz w:val="18"/>
                <w:szCs w:val="18"/>
              </w:rPr>
              <w:lastRenderedPageBreak/>
              <w:t>problem is routinely accepted as normal and unavoidable or too difficult or risky to address.</w:t>
            </w:r>
          </w:p>
        </w:tc>
        <w:tc>
          <w:tcPr>
            <w:tcW w:w="567" w:type="dxa"/>
            <w:shd w:val="clear" w:color="auto" w:fill="FFFFFF"/>
            <w:vAlign w:val="center"/>
          </w:tcPr>
          <w:p w:rsidR="00652F38" w:rsidRPr="00835A11" w:rsidRDefault="00652F38" w:rsidP="00034714">
            <w:pPr>
              <w:spacing w:after="120" w:line="280" w:lineRule="exact"/>
              <w:contextualSpacing/>
              <w:jc w:val="center"/>
              <w:rPr>
                <w:b/>
                <w:i/>
                <w:sz w:val="18"/>
                <w:szCs w:val="18"/>
              </w:rPr>
            </w:pPr>
          </w:p>
        </w:tc>
        <w:tc>
          <w:tcPr>
            <w:tcW w:w="709" w:type="dxa"/>
            <w:shd w:val="clear" w:color="auto" w:fill="FFFFFF"/>
            <w:vAlign w:val="center"/>
          </w:tcPr>
          <w:p w:rsidR="00652F38" w:rsidRPr="00835A11" w:rsidRDefault="00652F38" w:rsidP="00034714">
            <w:pPr>
              <w:spacing w:after="120" w:line="280" w:lineRule="exact"/>
              <w:contextualSpacing/>
              <w:jc w:val="center"/>
              <w:rPr>
                <w:b/>
                <w:i/>
                <w:sz w:val="18"/>
                <w:szCs w:val="18"/>
              </w:rPr>
            </w:pPr>
          </w:p>
        </w:tc>
        <w:tc>
          <w:tcPr>
            <w:tcW w:w="580" w:type="dxa"/>
            <w:shd w:val="clear" w:color="auto" w:fill="FFFFFF"/>
            <w:vAlign w:val="center"/>
          </w:tcPr>
          <w:p w:rsidR="00652F38" w:rsidRPr="00835A11" w:rsidRDefault="00652F38" w:rsidP="00034714">
            <w:pPr>
              <w:spacing w:after="120" w:line="280" w:lineRule="exact"/>
              <w:contextualSpacing/>
              <w:jc w:val="center"/>
              <w:rPr>
                <w:b/>
                <w:i/>
                <w:sz w:val="18"/>
                <w:szCs w:val="18"/>
              </w:rPr>
            </w:pPr>
          </w:p>
        </w:tc>
        <w:tc>
          <w:tcPr>
            <w:tcW w:w="413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The problem has been identified and defined by local actors; there is a specific problem that has grabbed the attention of key policy-makers; the existence of the performance shortcoming is widely accepted by </w:t>
            </w:r>
            <w:r w:rsidRPr="00521CEE">
              <w:rPr>
                <w:i/>
                <w:sz w:val="18"/>
                <w:szCs w:val="18"/>
              </w:rPr>
              <w:lastRenderedPageBreak/>
              <w:t>local actors; the resolution of the problem inspires and encourages vision and action.</w:t>
            </w:r>
          </w:p>
        </w:tc>
        <w:tc>
          <w:tcPr>
            <w:tcW w:w="2518" w:type="dxa"/>
            <w:tcBorders>
              <w:bottom w:val="single" w:sz="4" w:space="0" w:color="auto"/>
            </w:tcBorders>
            <w:shd w:val="clear" w:color="auto" w:fill="FFFFFF"/>
            <w:vAlign w:val="center"/>
          </w:tcPr>
          <w:p w:rsidR="00652F38" w:rsidRPr="00521CEE" w:rsidRDefault="00652F38" w:rsidP="00034714">
            <w:pPr>
              <w:spacing w:after="120" w:line="280" w:lineRule="exact"/>
              <w:ind w:left="360"/>
              <w:contextualSpacing/>
              <w:rPr>
                <w:sz w:val="18"/>
                <w:szCs w:val="18"/>
              </w:rPr>
            </w:pPr>
            <w:r>
              <w:rPr>
                <w:sz w:val="18"/>
                <w:szCs w:val="18"/>
              </w:rPr>
              <w:lastRenderedPageBreak/>
              <w:t>Etc.</w:t>
            </w:r>
          </w:p>
        </w:tc>
      </w:tr>
      <w:tr w:rsidR="00652F38" w:rsidRPr="00521CEE" w:rsidTr="00034714">
        <w:tc>
          <w:tcPr>
            <w:tcW w:w="13608" w:type="dxa"/>
            <w:gridSpan w:val="7"/>
            <w:shd w:val="clear" w:color="auto" w:fill="C1E7E0" w:themeFill="accent1" w:themeFillTint="66"/>
            <w:vAlign w:val="center"/>
          </w:tcPr>
          <w:p w:rsidR="00652F38" w:rsidRPr="0013315B" w:rsidRDefault="00652F38" w:rsidP="00034714">
            <w:pPr>
              <w:spacing w:after="120" w:line="280" w:lineRule="exact"/>
              <w:contextualSpacing/>
              <w:rPr>
                <w:b/>
                <w:sz w:val="18"/>
                <w:szCs w:val="18"/>
              </w:rPr>
            </w:pPr>
            <w:r>
              <w:rPr>
                <w:b/>
                <w:sz w:val="18"/>
                <w:szCs w:val="18"/>
              </w:rPr>
              <w:t xml:space="preserve">Area 2: </w:t>
            </w:r>
            <w:r w:rsidRPr="00521CEE">
              <w:rPr>
                <w:b/>
                <w:sz w:val="18"/>
                <w:szCs w:val="18"/>
              </w:rPr>
              <w:t>THE CONTEXT, i.e. the space for change</w:t>
            </w:r>
          </w:p>
        </w:tc>
      </w:tr>
      <w:tr w:rsidR="00652F38" w:rsidRPr="00521CEE" w:rsidTr="00034714">
        <w:tc>
          <w:tcPr>
            <w:tcW w:w="1252" w:type="dxa"/>
            <w:shd w:val="clear" w:color="auto" w:fill="F2F2F2" w:themeFill="background1" w:themeFillShade="F2"/>
            <w:vAlign w:val="center"/>
          </w:tcPr>
          <w:p w:rsidR="00652F38" w:rsidRPr="00B477E7" w:rsidRDefault="00652F38" w:rsidP="00034714">
            <w:pPr>
              <w:spacing w:after="120" w:line="280" w:lineRule="exact"/>
              <w:contextualSpacing/>
              <w:rPr>
                <w:i/>
                <w:sz w:val="18"/>
                <w:szCs w:val="18"/>
              </w:rPr>
            </w:pPr>
            <w:r w:rsidRPr="00521CEE">
              <w:rPr>
                <w:i/>
                <w:sz w:val="18"/>
                <w:szCs w:val="18"/>
              </w:rPr>
              <w:t xml:space="preserve">The political feasibility </w:t>
            </w:r>
          </w:p>
        </w:tc>
        <w:tc>
          <w:tcPr>
            <w:tcW w:w="3851" w:type="dxa"/>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No explicit consideration is given to the context within which the problem occurs; the extent to which the problem and its solution will have bearing on prevailing interests and incentives is overlooked; the problem feels too big and too thorny to make sense of; power structures (e.g. as manifested through resourcing decisions) are such that change will not occur.</w:t>
            </w:r>
          </w:p>
        </w:tc>
        <w:tc>
          <w:tcPr>
            <w:tcW w:w="567" w:type="dxa"/>
            <w:shd w:val="clear" w:color="auto" w:fill="FFFFFF"/>
            <w:vAlign w:val="center"/>
          </w:tcPr>
          <w:p w:rsidR="00652F38" w:rsidRPr="00521CEE" w:rsidRDefault="00652F38" w:rsidP="00034714">
            <w:pPr>
              <w:spacing w:after="120" w:line="280" w:lineRule="exact"/>
              <w:contextualSpacing/>
              <w:rPr>
                <w:sz w:val="18"/>
                <w:szCs w:val="18"/>
              </w:rPr>
            </w:pPr>
          </w:p>
        </w:tc>
        <w:tc>
          <w:tcPr>
            <w:tcW w:w="709" w:type="dxa"/>
            <w:shd w:val="clear" w:color="auto" w:fill="FFFFFF"/>
            <w:vAlign w:val="center"/>
          </w:tcPr>
          <w:p w:rsidR="00652F38" w:rsidRPr="00521CEE" w:rsidRDefault="00652F38" w:rsidP="00034714">
            <w:pPr>
              <w:spacing w:after="120" w:line="280" w:lineRule="exact"/>
              <w:contextualSpacing/>
              <w:rPr>
                <w:sz w:val="18"/>
                <w:szCs w:val="18"/>
              </w:rPr>
            </w:pPr>
          </w:p>
        </w:tc>
        <w:tc>
          <w:tcPr>
            <w:tcW w:w="580" w:type="dxa"/>
            <w:shd w:val="clear" w:color="auto" w:fill="FFFFFF"/>
            <w:vAlign w:val="center"/>
          </w:tcPr>
          <w:p w:rsidR="00652F38" w:rsidRPr="00521CEE" w:rsidRDefault="00652F38" w:rsidP="00034714">
            <w:pPr>
              <w:spacing w:after="120" w:line="280" w:lineRule="exact"/>
              <w:contextualSpacing/>
              <w:rPr>
                <w:sz w:val="18"/>
                <w:szCs w:val="18"/>
              </w:rPr>
            </w:pPr>
          </w:p>
        </w:tc>
        <w:tc>
          <w:tcPr>
            <w:tcW w:w="4131" w:type="dxa"/>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Those who will be affected by reform or change accept the need for change and the implications of change; the problem matters to key change agents; there is robust evidence that they are actively searching for solutions; there is a clear sense of who cares about the problem AND who needs to care more AND how the activity will give the problem the attention it requires, paving the way for probable change. </w:t>
            </w:r>
          </w:p>
        </w:tc>
        <w:tc>
          <w:tcPr>
            <w:tcW w:w="2518" w:type="dxa"/>
            <w:shd w:val="clear" w:color="auto" w:fill="FFFFFF"/>
            <w:vAlign w:val="center"/>
          </w:tcPr>
          <w:p w:rsidR="00652F38" w:rsidRPr="00521CEE" w:rsidRDefault="00652F38" w:rsidP="00034714">
            <w:pPr>
              <w:spacing w:after="120" w:line="280" w:lineRule="exact"/>
              <w:ind w:left="360"/>
              <w:contextualSpacing/>
              <w:rPr>
                <w:sz w:val="18"/>
                <w:szCs w:val="18"/>
              </w:rPr>
            </w:pPr>
          </w:p>
        </w:tc>
      </w:tr>
      <w:tr w:rsidR="00652F38" w:rsidRPr="00521CEE" w:rsidTr="00034714">
        <w:tc>
          <w:tcPr>
            <w:tcW w:w="1252" w:type="dxa"/>
            <w:shd w:val="clear" w:color="auto" w:fill="F2F2F2" w:themeFill="background1" w:themeFillShade="F2"/>
            <w:vAlign w:val="center"/>
          </w:tcPr>
          <w:p w:rsidR="00652F38" w:rsidRPr="00B477E7" w:rsidRDefault="00652F38" w:rsidP="00034714">
            <w:pPr>
              <w:spacing w:after="120" w:line="280" w:lineRule="exact"/>
              <w:contextualSpacing/>
              <w:rPr>
                <w:i/>
                <w:sz w:val="18"/>
                <w:szCs w:val="18"/>
              </w:rPr>
            </w:pPr>
            <w:r w:rsidRPr="00521CEE">
              <w:rPr>
                <w:i/>
                <w:sz w:val="18"/>
                <w:szCs w:val="18"/>
              </w:rPr>
              <w:t xml:space="preserve">The support base </w:t>
            </w:r>
          </w:p>
        </w:tc>
        <w:tc>
          <w:tcPr>
            <w:tcW w:w="3851" w:type="dxa"/>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Local actors show limited enthusiasm for the proposed activity; limited breadth of support; powerful agitators will probably disrupt to such an extent that progress will be stifled, with no feasible risk management/mitigation strategy open to TASS/GoI. </w:t>
            </w:r>
          </w:p>
        </w:tc>
        <w:tc>
          <w:tcPr>
            <w:tcW w:w="567" w:type="dxa"/>
            <w:shd w:val="clear" w:color="auto" w:fill="FFFFFF"/>
            <w:vAlign w:val="center"/>
          </w:tcPr>
          <w:p w:rsidR="00652F38" w:rsidRPr="00521CEE" w:rsidRDefault="00652F38" w:rsidP="00034714">
            <w:pPr>
              <w:spacing w:after="120" w:line="280" w:lineRule="exact"/>
              <w:contextualSpacing/>
              <w:rPr>
                <w:sz w:val="18"/>
                <w:szCs w:val="18"/>
              </w:rPr>
            </w:pPr>
          </w:p>
        </w:tc>
        <w:tc>
          <w:tcPr>
            <w:tcW w:w="709" w:type="dxa"/>
            <w:shd w:val="clear" w:color="auto" w:fill="FFFFFF"/>
            <w:vAlign w:val="center"/>
          </w:tcPr>
          <w:p w:rsidR="00652F38" w:rsidRPr="00521CEE" w:rsidRDefault="00652F38" w:rsidP="00034714">
            <w:pPr>
              <w:spacing w:after="120" w:line="280" w:lineRule="exact"/>
              <w:contextualSpacing/>
              <w:rPr>
                <w:sz w:val="18"/>
                <w:szCs w:val="18"/>
              </w:rPr>
            </w:pPr>
          </w:p>
        </w:tc>
        <w:tc>
          <w:tcPr>
            <w:tcW w:w="580" w:type="dxa"/>
            <w:shd w:val="clear" w:color="auto" w:fill="FFFFFF"/>
            <w:vAlign w:val="center"/>
          </w:tcPr>
          <w:p w:rsidR="00652F38" w:rsidRPr="00521CEE" w:rsidRDefault="00652F38" w:rsidP="00034714">
            <w:pPr>
              <w:spacing w:after="120" w:line="280" w:lineRule="exact"/>
              <w:contextualSpacing/>
              <w:rPr>
                <w:sz w:val="18"/>
                <w:szCs w:val="18"/>
              </w:rPr>
            </w:pPr>
          </w:p>
        </w:tc>
        <w:tc>
          <w:tcPr>
            <w:tcW w:w="4131" w:type="dxa"/>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The network of stakeholders involved is well understood; the support base extends beyond the immediate proposer; coalitions of interested parties exist; the activity will engage with leaders and coalitions that have the interest, power and ability to influence change.</w:t>
            </w:r>
          </w:p>
        </w:tc>
        <w:tc>
          <w:tcPr>
            <w:tcW w:w="2518" w:type="dxa"/>
            <w:shd w:val="clear" w:color="auto" w:fill="FFFFFF"/>
            <w:vAlign w:val="center"/>
          </w:tcPr>
          <w:p w:rsidR="00652F38" w:rsidRPr="00521CEE" w:rsidRDefault="00652F38" w:rsidP="00034714">
            <w:pPr>
              <w:spacing w:after="120" w:line="280" w:lineRule="exact"/>
              <w:ind w:left="360"/>
              <w:contextualSpacing/>
              <w:rPr>
                <w:sz w:val="18"/>
                <w:szCs w:val="18"/>
              </w:rPr>
            </w:pPr>
          </w:p>
        </w:tc>
      </w:tr>
      <w:tr w:rsidR="00652F38" w:rsidRPr="00521CEE" w:rsidTr="00034714">
        <w:tc>
          <w:tcPr>
            <w:tcW w:w="13608" w:type="dxa"/>
            <w:gridSpan w:val="7"/>
            <w:shd w:val="clear" w:color="auto" w:fill="C1E7E0" w:themeFill="accent1" w:themeFillTint="66"/>
            <w:vAlign w:val="center"/>
          </w:tcPr>
          <w:p w:rsidR="00652F38" w:rsidRPr="0013315B" w:rsidRDefault="00652F38" w:rsidP="00034714">
            <w:pPr>
              <w:spacing w:after="120" w:line="280" w:lineRule="exact"/>
              <w:contextualSpacing/>
              <w:rPr>
                <w:b/>
                <w:sz w:val="18"/>
                <w:szCs w:val="18"/>
              </w:rPr>
            </w:pPr>
            <w:r>
              <w:rPr>
                <w:b/>
                <w:sz w:val="18"/>
                <w:szCs w:val="18"/>
              </w:rPr>
              <w:t xml:space="preserve">Area 3: </w:t>
            </w:r>
            <w:r w:rsidRPr="00521CEE">
              <w:rPr>
                <w:b/>
                <w:sz w:val="18"/>
                <w:szCs w:val="18"/>
              </w:rPr>
              <w:t>THE TECHNICAL VIABILITY of the proposed activity/TA input</w:t>
            </w:r>
          </w:p>
        </w:tc>
      </w:tr>
      <w:tr w:rsidR="00652F38" w:rsidRPr="00521CEE" w:rsidTr="00034714">
        <w:tc>
          <w:tcPr>
            <w:tcW w:w="1252"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Quality of activity design</w:t>
            </w:r>
          </w:p>
        </w:tc>
        <w:tc>
          <w:tcPr>
            <w:tcW w:w="385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The request speaks to a solution, without paying adequate attention to the problem and its root causes; the proposed approach is inflexible, e.g. it does not easily permit timely withdrawal or scaling back if need arises; the request tackles symptoms or superficial causes, not root causes; more cost-effective measures exist.</w:t>
            </w:r>
          </w:p>
        </w:tc>
        <w:tc>
          <w:tcPr>
            <w:tcW w:w="567" w:type="dxa"/>
            <w:shd w:val="clear" w:color="auto" w:fill="FFFFFF"/>
            <w:vAlign w:val="center"/>
          </w:tcPr>
          <w:p w:rsidR="00652F38" w:rsidRPr="00521CEE" w:rsidRDefault="00652F38" w:rsidP="00034714">
            <w:pPr>
              <w:spacing w:after="120" w:line="280" w:lineRule="exact"/>
              <w:contextualSpacing/>
              <w:rPr>
                <w:sz w:val="18"/>
                <w:szCs w:val="18"/>
              </w:rPr>
            </w:pPr>
          </w:p>
        </w:tc>
        <w:tc>
          <w:tcPr>
            <w:tcW w:w="709" w:type="dxa"/>
            <w:shd w:val="clear" w:color="auto" w:fill="FFFFFF"/>
            <w:vAlign w:val="center"/>
          </w:tcPr>
          <w:p w:rsidR="00652F38" w:rsidRPr="00521CEE" w:rsidRDefault="00652F38" w:rsidP="00034714">
            <w:pPr>
              <w:spacing w:after="120" w:line="280" w:lineRule="exact"/>
              <w:contextualSpacing/>
              <w:rPr>
                <w:sz w:val="18"/>
                <w:szCs w:val="18"/>
              </w:rPr>
            </w:pPr>
          </w:p>
        </w:tc>
        <w:tc>
          <w:tcPr>
            <w:tcW w:w="580" w:type="dxa"/>
            <w:shd w:val="clear" w:color="auto" w:fill="FFFFFF"/>
            <w:vAlign w:val="center"/>
          </w:tcPr>
          <w:p w:rsidR="00652F38" w:rsidRPr="00521CEE" w:rsidRDefault="00652F38" w:rsidP="00034714">
            <w:pPr>
              <w:spacing w:after="120" w:line="280" w:lineRule="exact"/>
              <w:contextualSpacing/>
              <w:rPr>
                <w:sz w:val="18"/>
                <w:szCs w:val="18"/>
              </w:rPr>
            </w:pPr>
          </w:p>
        </w:tc>
        <w:tc>
          <w:tcPr>
            <w:tcW w:w="4131" w:type="dxa"/>
            <w:shd w:val="clear" w:color="auto" w:fill="F1F9F7"/>
            <w:vAlign w:val="center"/>
          </w:tcPr>
          <w:p w:rsidR="00652F38" w:rsidRPr="00521CEE" w:rsidRDefault="00652F38" w:rsidP="00034714">
            <w:pPr>
              <w:spacing w:after="120" w:line="280" w:lineRule="exact"/>
              <w:contextualSpacing/>
              <w:rPr>
                <w:i/>
                <w:sz w:val="18"/>
                <w:szCs w:val="18"/>
              </w:rPr>
            </w:pPr>
            <w:r w:rsidRPr="00521CEE">
              <w:rPr>
                <w:i/>
                <w:sz w:val="18"/>
                <w:szCs w:val="18"/>
              </w:rPr>
              <w:t>The requested activity/TA offers a tailored response to a specific problem; the activity/TA represents one or more small experimental or incremental steps; the proposed approach is flexible, e.g. it easily permits timely withdrawal or scaling back if need arises, or modified, expanded or extended where there is merit; it is easy to routinely appraise progress and context; the proposed approach reflects the experience of positive deviants that are already working in the local environment.</w:t>
            </w:r>
          </w:p>
        </w:tc>
        <w:tc>
          <w:tcPr>
            <w:tcW w:w="2518" w:type="dxa"/>
            <w:tcBorders>
              <w:bottom w:val="single" w:sz="4" w:space="0" w:color="auto"/>
            </w:tcBorders>
            <w:shd w:val="clear" w:color="auto" w:fill="FFFFFF"/>
            <w:vAlign w:val="center"/>
          </w:tcPr>
          <w:p w:rsidR="00652F38" w:rsidRPr="00521CEE" w:rsidRDefault="00652F38" w:rsidP="00034714">
            <w:pPr>
              <w:spacing w:after="120" w:line="280" w:lineRule="exact"/>
              <w:ind w:left="360"/>
              <w:contextualSpacing/>
              <w:rPr>
                <w:sz w:val="18"/>
                <w:szCs w:val="18"/>
              </w:rPr>
            </w:pPr>
          </w:p>
        </w:tc>
      </w:tr>
      <w:tr w:rsidR="00652F38" w:rsidRPr="00521CEE" w:rsidTr="00034714">
        <w:tc>
          <w:tcPr>
            <w:tcW w:w="13608" w:type="dxa"/>
            <w:gridSpan w:val="7"/>
            <w:shd w:val="clear" w:color="auto" w:fill="C1E7E0" w:themeFill="accent1" w:themeFillTint="66"/>
            <w:vAlign w:val="center"/>
          </w:tcPr>
          <w:p w:rsidR="00652F38" w:rsidRPr="0013315B" w:rsidRDefault="00652F38" w:rsidP="00034714">
            <w:pPr>
              <w:spacing w:after="120" w:line="280" w:lineRule="exact"/>
              <w:contextualSpacing/>
              <w:rPr>
                <w:b/>
                <w:sz w:val="18"/>
                <w:szCs w:val="18"/>
              </w:rPr>
            </w:pPr>
            <w:r>
              <w:rPr>
                <w:b/>
                <w:sz w:val="18"/>
                <w:szCs w:val="18"/>
              </w:rPr>
              <w:t xml:space="preserve">Area 4: </w:t>
            </w:r>
            <w:r w:rsidRPr="00521CEE">
              <w:rPr>
                <w:b/>
                <w:sz w:val="18"/>
                <w:szCs w:val="18"/>
              </w:rPr>
              <w:t>THE OUTLOOK, i.e. the prospects for change once the proposed activity/TA input is completed</w:t>
            </w:r>
          </w:p>
        </w:tc>
      </w:tr>
      <w:tr w:rsidR="00652F38" w:rsidRPr="00521CEE" w:rsidTr="00034714">
        <w:tc>
          <w:tcPr>
            <w:tcW w:w="1252" w:type="dxa"/>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lastRenderedPageBreak/>
              <w:t>Clarity of vision</w:t>
            </w:r>
          </w:p>
        </w:tc>
        <w:tc>
          <w:tcPr>
            <w:tcW w:w="3851" w:type="dxa"/>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No clear articulation of what will stem from the activity/TA (e.g. in terms of tangible behavioural change); the expected results are unrealistic, e.g. in terms of reach/scale, timeframe</w:t>
            </w:r>
          </w:p>
        </w:tc>
        <w:tc>
          <w:tcPr>
            <w:tcW w:w="567" w:type="dxa"/>
            <w:shd w:val="clear" w:color="auto" w:fill="FFFFFF"/>
            <w:vAlign w:val="center"/>
          </w:tcPr>
          <w:p w:rsidR="00652F38" w:rsidRPr="00521CEE" w:rsidRDefault="00652F38" w:rsidP="00034714">
            <w:pPr>
              <w:spacing w:after="120" w:line="280" w:lineRule="exact"/>
              <w:contextualSpacing/>
              <w:rPr>
                <w:sz w:val="18"/>
                <w:szCs w:val="18"/>
              </w:rPr>
            </w:pPr>
          </w:p>
        </w:tc>
        <w:tc>
          <w:tcPr>
            <w:tcW w:w="709" w:type="dxa"/>
            <w:shd w:val="clear" w:color="auto" w:fill="FFFFFF"/>
            <w:vAlign w:val="center"/>
          </w:tcPr>
          <w:p w:rsidR="00652F38" w:rsidRPr="00521CEE" w:rsidRDefault="00652F38" w:rsidP="00034714">
            <w:pPr>
              <w:spacing w:after="120" w:line="280" w:lineRule="exact"/>
              <w:contextualSpacing/>
              <w:rPr>
                <w:sz w:val="18"/>
                <w:szCs w:val="18"/>
              </w:rPr>
            </w:pPr>
          </w:p>
        </w:tc>
        <w:tc>
          <w:tcPr>
            <w:tcW w:w="580" w:type="dxa"/>
            <w:shd w:val="clear" w:color="auto" w:fill="FFFFFF"/>
            <w:vAlign w:val="center"/>
          </w:tcPr>
          <w:p w:rsidR="00652F38" w:rsidRPr="00521CEE" w:rsidRDefault="00652F38" w:rsidP="00034714">
            <w:pPr>
              <w:spacing w:after="120" w:line="280" w:lineRule="exact"/>
              <w:contextualSpacing/>
              <w:rPr>
                <w:sz w:val="18"/>
                <w:szCs w:val="18"/>
              </w:rPr>
            </w:pPr>
          </w:p>
        </w:tc>
        <w:tc>
          <w:tcPr>
            <w:tcW w:w="4131" w:type="dxa"/>
            <w:tcBorders>
              <w:bottom w:val="single" w:sz="4" w:space="0" w:color="auto"/>
            </w:tcBorders>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Clear sense of the change that will occur because of the activity/TA and over an agreed timeframe, e.g. six months; the role of the activity/TA input within broader change processes is understood and is defensible, both technically and politically; the activity/TA input represents a progressive approach to tackling a performance problem; the expected results are realistic.</w:t>
            </w:r>
          </w:p>
        </w:tc>
        <w:tc>
          <w:tcPr>
            <w:tcW w:w="2518" w:type="dxa"/>
            <w:tcBorders>
              <w:bottom w:val="single" w:sz="4" w:space="0" w:color="auto"/>
            </w:tcBorders>
            <w:vAlign w:val="center"/>
          </w:tcPr>
          <w:p w:rsidR="00652F38" w:rsidRPr="00521CEE" w:rsidRDefault="00652F38" w:rsidP="00034714">
            <w:pPr>
              <w:spacing w:after="120" w:line="280" w:lineRule="exact"/>
              <w:ind w:left="720" w:hanging="360"/>
              <w:contextualSpacing/>
              <w:rPr>
                <w:sz w:val="18"/>
                <w:szCs w:val="18"/>
              </w:rPr>
            </w:pPr>
          </w:p>
        </w:tc>
      </w:tr>
      <w:tr w:rsidR="00652F38" w:rsidRPr="00521CEE" w:rsidTr="00034714">
        <w:tc>
          <w:tcPr>
            <w:tcW w:w="1252" w:type="dxa"/>
            <w:tcBorders>
              <w:bottom w:val="single" w:sz="4" w:space="0" w:color="auto"/>
            </w:tcBorders>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Dependency on other factors</w:t>
            </w:r>
          </w:p>
        </w:tc>
        <w:tc>
          <w:tcPr>
            <w:tcW w:w="3851" w:type="dxa"/>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Other activities must take place or changes must occur (e.g. to the regulatory environment) before the proposed activity is undertaken and for it to be successful.  </w:t>
            </w:r>
          </w:p>
        </w:tc>
        <w:tc>
          <w:tcPr>
            <w:tcW w:w="567" w:type="dxa"/>
            <w:shd w:val="clear" w:color="auto" w:fill="FFFFFF"/>
            <w:vAlign w:val="center"/>
          </w:tcPr>
          <w:p w:rsidR="00652F38" w:rsidRPr="00521CEE" w:rsidRDefault="00652F38" w:rsidP="00034714">
            <w:pPr>
              <w:spacing w:after="120" w:line="280" w:lineRule="exact"/>
              <w:contextualSpacing/>
              <w:rPr>
                <w:sz w:val="18"/>
                <w:szCs w:val="18"/>
              </w:rPr>
            </w:pPr>
          </w:p>
        </w:tc>
        <w:tc>
          <w:tcPr>
            <w:tcW w:w="709" w:type="dxa"/>
            <w:shd w:val="clear" w:color="auto" w:fill="FFFFFF"/>
            <w:vAlign w:val="center"/>
          </w:tcPr>
          <w:p w:rsidR="00652F38" w:rsidRPr="00521CEE" w:rsidRDefault="00652F38" w:rsidP="00034714">
            <w:pPr>
              <w:spacing w:after="120" w:line="280" w:lineRule="exact"/>
              <w:contextualSpacing/>
              <w:rPr>
                <w:sz w:val="18"/>
                <w:szCs w:val="18"/>
              </w:rPr>
            </w:pPr>
          </w:p>
        </w:tc>
        <w:tc>
          <w:tcPr>
            <w:tcW w:w="580" w:type="dxa"/>
            <w:shd w:val="clear" w:color="auto" w:fill="FFFFFF"/>
            <w:vAlign w:val="center"/>
          </w:tcPr>
          <w:p w:rsidR="00652F38" w:rsidRPr="00521CEE" w:rsidRDefault="00652F38" w:rsidP="00034714">
            <w:pPr>
              <w:spacing w:after="120" w:line="280" w:lineRule="exact"/>
              <w:contextualSpacing/>
              <w:rPr>
                <w:sz w:val="18"/>
                <w:szCs w:val="18"/>
              </w:rPr>
            </w:pPr>
          </w:p>
        </w:tc>
        <w:tc>
          <w:tcPr>
            <w:tcW w:w="4131" w:type="dxa"/>
            <w:tcBorders>
              <w:bottom w:val="single" w:sz="4" w:space="0" w:color="auto"/>
            </w:tcBorders>
            <w:shd w:val="clear" w:color="auto" w:fill="F2F2F2" w:themeFill="background1" w:themeFillShade="F2"/>
            <w:vAlign w:val="center"/>
          </w:tcPr>
          <w:p w:rsidR="00652F38" w:rsidRPr="00521CEE" w:rsidRDefault="00652F38" w:rsidP="00034714">
            <w:pPr>
              <w:spacing w:after="120" w:line="280" w:lineRule="exact"/>
              <w:contextualSpacing/>
              <w:rPr>
                <w:i/>
                <w:sz w:val="18"/>
                <w:szCs w:val="18"/>
              </w:rPr>
            </w:pPr>
            <w:r w:rsidRPr="00521CEE">
              <w:rPr>
                <w:i/>
                <w:sz w:val="18"/>
                <w:szCs w:val="18"/>
              </w:rPr>
              <w:t xml:space="preserve">There are no insurmountable ‘killer factors’ in the short- to medium-term that are needed to effect reform or policy change (legal, organisational…) and upon which the success of this activity/TA input is dependent; critical, practical building blocks and resources (e.g. time, money, skills) to deliver reform or change are present or in motion. </w:t>
            </w:r>
          </w:p>
        </w:tc>
        <w:tc>
          <w:tcPr>
            <w:tcW w:w="2518" w:type="dxa"/>
            <w:tcBorders>
              <w:bottom w:val="single" w:sz="4" w:space="0" w:color="auto"/>
            </w:tcBorders>
            <w:vAlign w:val="center"/>
          </w:tcPr>
          <w:p w:rsidR="00652F38" w:rsidRPr="00521CEE" w:rsidRDefault="00652F38" w:rsidP="00034714">
            <w:pPr>
              <w:spacing w:after="120" w:line="280" w:lineRule="exact"/>
              <w:ind w:left="720" w:hanging="360"/>
              <w:contextualSpacing/>
              <w:rPr>
                <w:sz w:val="18"/>
                <w:szCs w:val="18"/>
              </w:rPr>
            </w:pPr>
          </w:p>
        </w:tc>
      </w:tr>
      <w:tr w:rsidR="00652F38" w:rsidRPr="00521CEE" w:rsidTr="00034714">
        <w:tc>
          <w:tcPr>
            <w:tcW w:w="1252" w:type="dxa"/>
            <w:tcBorders>
              <w:left w:val="nil"/>
              <w:bottom w:val="nil"/>
            </w:tcBorders>
            <w:vAlign w:val="center"/>
          </w:tcPr>
          <w:p w:rsidR="00652F38" w:rsidRPr="00521CEE" w:rsidRDefault="00652F38" w:rsidP="00034714">
            <w:pPr>
              <w:spacing w:after="120" w:line="280" w:lineRule="exact"/>
              <w:contextualSpacing/>
              <w:rPr>
                <w:i/>
                <w:sz w:val="18"/>
                <w:szCs w:val="18"/>
              </w:rPr>
            </w:pPr>
          </w:p>
        </w:tc>
        <w:tc>
          <w:tcPr>
            <w:tcW w:w="3851" w:type="dxa"/>
            <w:tcBorders>
              <w:bottom w:val="single" w:sz="4" w:space="0" w:color="auto"/>
            </w:tcBorders>
            <w:vAlign w:val="center"/>
          </w:tcPr>
          <w:p w:rsidR="00652F38" w:rsidRPr="00521CEE" w:rsidRDefault="00652F38" w:rsidP="00034714">
            <w:pPr>
              <w:spacing w:after="120" w:line="280" w:lineRule="exact"/>
              <w:contextualSpacing/>
              <w:rPr>
                <w:i/>
                <w:sz w:val="18"/>
                <w:szCs w:val="18"/>
              </w:rPr>
            </w:pPr>
            <w:r>
              <w:rPr>
                <w:i/>
                <w:sz w:val="18"/>
                <w:szCs w:val="18"/>
              </w:rPr>
              <w:t>Overall rating (select one cell)</w:t>
            </w:r>
          </w:p>
        </w:tc>
        <w:tc>
          <w:tcPr>
            <w:tcW w:w="567" w:type="dxa"/>
            <w:tcBorders>
              <w:bottom w:val="single" w:sz="4" w:space="0" w:color="auto"/>
            </w:tcBorders>
            <w:shd w:val="clear" w:color="auto" w:fill="F6E6DE" w:themeFill="accent3" w:themeFillTint="33"/>
            <w:vAlign w:val="center"/>
          </w:tcPr>
          <w:p w:rsidR="00652F38" w:rsidRPr="00521CEE" w:rsidRDefault="00652F38" w:rsidP="00034714">
            <w:pPr>
              <w:spacing w:after="120" w:line="280" w:lineRule="exact"/>
              <w:contextualSpacing/>
              <w:rPr>
                <w:sz w:val="18"/>
                <w:szCs w:val="18"/>
              </w:rPr>
            </w:pPr>
          </w:p>
        </w:tc>
        <w:tc>
          <w:tcPr>
            <w:tcW w:w="709" w:type="dxa"/>
            <w:tcBorders>
              <w:bottom w:val="single" w:sz="4" w:space="0" w:color="auto"/>
            </w:tcBorders>
            <w:shd w:val="clear" w:color="auto" w:fill="FFF371" w:themeFill="accent4" w:themeFillShade="E6"/>
            <w:vAlign w:val="center"/>
          </w:tcPr>
          <w:p w:rsidR="00652F38" w:rsidRPr="00521CEE" w:rsidRDefault="00652F38" w:rsidP="00034714">
            <w:pPr>
              <w:spacing w:after="120" w:line="280" w:lineRule="exact"/>
              <w:contextualSpacing/>
              <w:rPr>
                <w:sz w:val="18"/>
                <w:szCs w:val="18"/>
              </w:rPr>
            </w:pPr>
          </w:p>
        </w:tc>
        <w:tc>
          <w:tcPr>
            <w:tcW w:w="580" w:type="dxa"/>
            <w:tcBorders>
              <w:bottom w:val="single" w:sz="4" w:space="0" w:color="auto"/>
            </w:tcBorders>
            <w:shd w:val="clear" w:color="auto" w:fill="EEF5E7" w:themeFill="accent2" w:themeFillTint="33"/>
            <w:vAlign w:val="center"/>
          </w:tcPr>
          <w:p w:rsidR="00652F38" w:rsidRPr="00521CEE" w:rsidRDefault="00652F38" w:rsidP="00034714">
            <w:pPr>
              <w:spacing w:after="120" w:line="280" w:lineRule="exact"/>
              <w:contextualSpacing/>
              <w:rPr>
                <w:sz w:val="18"/>
                <w:szCs w:val="18"/>
              </w:rPr>
            </w:pPr>
          </w:p>
        </w:tc>
        <w:tc>
          <w:tcPr>
            <w:tcW w:w="4131" w:type="dxa"/>
            <w:tcBorders>
              <w:bottom w:val="nil"/>
              <w:right w:val="nil"/>
            </w:tcBorders>
            <w:vAlign w:val="center"/>
          </w:tcPr>
          <w:p w:rsidR="00652F38" w:rsidRPr="00521CEE" w:rsidRDefault="00652F38" w:rsidP="00034714">
            <w:pPr>
              <w:spacing w:after="120" w:line="280" w:lineRule="exact"/>
              <w:contextualSpacing/>
              <w:rPr>
                <w:i/>
                <w:sz w:val="18"/>
                <w:szCs w:val="18"/>
              </w:rPr>
            </w:pPr>
          </w:p>
        </w:tc>
        <w:tc>
          <w:tcPr>
            <w:tcW w:w="2518" w:type="dxa"/>
            <w:tcBorders>
              <w:left w:val="nil"/>
              <w:right w:val="nil"/>
            </w:tcBorders>
            <w:vAlign w:val="center"/>
          </w:tcPr>
          <w:p w:rsidR="00652F38" w:rsidRPr="00521CEE" w:rsidRDefault="00652F38" w:rsidP="00034714">
            <w:pPr>
              <w:spacing w:after="120" w:line="280" w:lineRule="exact"/>
              <w:ind w:left="720" w:hanging="360"/>
              <w:contextualSpacing/>
              <w:rPr>
                <w:sz w:val="18"/>
                <w:szCs w:val="18"/>
              </w:rPr>
            </w:pPr>
          </w:p>
        </w:tc>
      </w:tr>
      <w:tr w:rsidR="00652F38" w:rsidRPr="00521CEE" w:rsidTr="00034714">
        <w:tc>
          <w:tcPr>
            <w:tcW w:w="1252" w:type="dxa"/>
            <w:tcBorders>
              <w:top w:val="nil"/>
              <w:left w:val="nil"/>
              <w:bottom w:val="nil"/>
              <w:right w:val="nil"/>
            </w:tcBorders>
            <w:vAlign w:val="center"/>
          </w:tcPr>
          <w:p w:rsidR="00652F38" w:rsidRPr="00521CEE" w:rsidRDefault="00652F38" w:rsidP="00034714">
            <w:pPr>
              <w:spacing w:after="120" w:line="280" w:lineRule="exact"/>
              <w:contextualSpacing/>
              <w:rPr>
                <w:i/>
                <w:sz w:val="18"/>
                <w:szCs w:val="18"/>
              </w:rPr>
            </w:pPr>
          </w:p>
        </w:tc>
        <w:tc>
          <w:tcPr>
            <w:tcW w:w="3851" w:type="dxa"/>
            <w:tcBorders>
              <w:left w:val="nil"/>
              <w:right w:val="nil"/>
            </w:tcBorders>
            <w:vAlign w:val="center"/>
          </w:tcPr>
          <w:p w:rsidR="00652F38" w:rsidRDefault="00652F38" w:rsidP="00034714">
            <w:pPr>
              <w:spacing w:after="120" w:line="280" w:lineRule="exact"/>
              <w:contextualSpacing/>
              <w:rPr>
                <w:i/>
                <w:sz w:val="18"/>
                <w:szCs w:val="18"/>
              </w:rPr>
            </w:pPr>
          </w:p>
        </w:tc>
        <w:tc>
          <w:tcPr>
            <w:tcW w:w="567" w:type="dxa"/>
            <w:tcBorders>
              <w:left w:val="nil"/>
              <w:right w:val="nil"/>
            </w:tcBorders>
            <w:shd w:val="clear" w:color="auto" w:fill="auto"/>
            <w:vAlign w:val="center"/>
          </w:tcPr>
          <w:p w:rsidR="00652F38" w:rsidRPr="00521CEE" w:rsidRDefault="00652F38" w:rsidP="00034714">
            <w:pPr>
              <w:spacing w:after="120" w:line="280" w:lineRule="exact"/>
              <w:contextualSpacing/>
              <w:rPr>
                <w:sz w:val="18"/>
                <w:szCs w:val="18"/>
              </w:rPr>
            </w:pPr>
          </w:p>
        </w:tc>
        <w:tc>
          <w:tcPr>
            <w:tcW w:w="709" w:type="dxa"/>
            <w:tcBorders>
              <w:left w:val="nil"/>
              <w:right w:val="nil"/>
            </w:tcBorders>
            <w:shd w:val="clear" w:color="auto" w:fill="auto"/>
            <w:vAlign w:val="center"/>
          </w:tcPr>
          <w:p w:rsidR="00652F38" w:rsidRPr="00521CEE" w:rsidRDefault="00652F38" w:rsidP="00034714">
            <w:pPr>
              <w:spacing w:after="120" w:line="280" w:lineRule="exact"/>
              <w:contextualSpacing/>
              <w:rPr>
                <w:sz w:val="18"/>
                <w:szCs w:val="18"/>
              </w:rPr>
            </w:pPr>
          </w:p>
        </w:tc>
        <w:tc>
          <w:tcPr>
            <w:tcW w:w="580" w:type="dxa"/>
            <w:tcBorders>
              <w:left w:val="nil"/>
              <w:right w:val="nil"/>
            </w:tcBorders>
            <w:shd w:val="clear" w:color="auto" w:fill="auto"/>
            <w:vAlign w:val="center"/>
          </w:tcPr>
          <w:p w:rsidR="00652F38" w:rsidRPr="00521CEE" w:rsidRDefault="00652F38" w:rsidP="00034714">
            <w:pPr>
              <w:spacing w:after="120" w:line="280" w:lineRule="exact"/>
              <w:contextualSpacing/>
              <w:rPr>
                <w:sz w:val="18"/>
                <w:szCs w:val="18"/>
              </w:rPr>
            </w:pPr>
          </w:p>
        </w:tc>
        <w:tc>
          <w:tcPr>
            <w:tcW w:w="4131" w:type="dxa"/>
            <w:tcBorders>
              <w:top w:val="nil"/>
              <w:left w:val="nil"/>
            </w:tcBorders>
            <w:vAlign w:val="center"/>
          </w:tcPr>
          <w:p w:rsidR="00652F38" w:rsidRPr="00521CEE" w:rsidRDefault="00652F38" w:rsidP="00034714">
            <w:pPr>
              <w:spacing w:after="120" w:line="280" w:lineRule="exact"/>
              <w:contextualSpacing/>
              <w:rPr>
                <w:i/>
                <w:sz w:val="18"/>
                <w:szCs w:val="18"/>
              </w:rPr>
            </w:pPr>
          </w:p>
        </w:tc>
        <w:tc>
          <w:tcPr>
            <w:tcW w:w="2518" w:type="dxa"/>
            <w:vAlign w:val="center"/>
          </w:tcPr>
          <w:p w:rsidR="00652F38" w:rsidRPr="00521CEE" w:rsidRDefault="00652F38" w:rsidP="00034714">
            <w:pPr>
              <w:spacing w:after="120" w:line="280" w:lineRule="exact"/>
              <w:contextualSpacing/>
              <w:jc w:val="center"/>
              <w:rPr>
                <w:sz w:val="18"/>
                <w:szCs w:val="18"/>
              </w:rPr>
            </w:pPr>
            <w:r>
              <w:rPr>
                <w:sz w:val="18"/>
                <w:szCs w:val="18"/>
              </w:rPr>
              <w:t>Tick one</w:t>
            </w:r>
          </w:p>
        </w:tc>
      </w:tr>
      <w:tr w:rsidR="00652F38" w:rsidRPr="00521CEE" w:rsidTr="00034714">
        <w:tc>
          <w:tcPr>
            <w:tcW w:w="1252" w:type="dxa"/>
            <w:tcBorders>
              <w:top w:val="nil"/>
              <w:left w:val="nil"/>
              <w:bottom w:val="nil"/>
            </w:tcBorders>
            <w:vAlign w:val="center"/>
          </w:tcPr>
          <w:p w:rsidR="00652F38" w:rsidRPr="00521CEE" w:rsidRDefault="00652F38" w:rsidP="00034714">
            <w:pPr>
              <w:spacing w:after="120" w:line="280" w:lineRule="exact"/>
              <w:contextualSpacing/>
              <w:rPr>
                <w:i/>
                <w:sz w:val="18"/>
                <w:szCs w:val="18"/>
              </w:rPr>
            </w:pPr>
          </w:p>
        </w:tc>
        <w:tc>
          <w:tcPr>
            <w:tcW w:w="5707" w:type="dxa"/>
            <w:gridSpan w:val="4"/>
            <w:vMerge w:val="restart"/>
            <w:vAlign w:val="center"/>
          </w:tcPr>
          <w:p w:rsidR="00652F38" w:rsidRPr="00521CEE" w:rsidRDefault="00652F38" w:rsidP="00034714">
            <w:pPr>
              <w:spacing w:after="120" w:line="280" w:lineRule="exact"/>
              <w:contextualSpacing/>
              <w:rPr>
                <w:sz w:val="18"/>
                <w:szCs w:val="18"/>
              </w:rPr>
            </w:pPr>
            <w:r>
              <w:rPr>
                <w:i/>
                <w:sz w:val="18"/>
                <w:szCs w:val="18"/>
              </w:rPr>
              <w:t>Recommended action</w:t>
            </w:r>
          </w:p>
        </w:tc>
        <w:tc>
          <w:tcPr>
            <w:tcW w:w="4131" w:type="dxa"/>
            <w:shd w:val="clear" w:color="auto" w:fill="EEF5E7" w:themeFill="accent2" w:themeFillTint="33"/>
            <w:vAlign w:val="center"/>
          </w:tcPr>
          <w:p w:rsidR="00652F38" w:rsidRPr="00521CEE" w:rsidRDefault="00652F38" w:rsidP="00034714">
            <w:pPr>
              <w:spacing w:after="120" w:line="280" w:lineRule="exact"/>
              <w:contextualSpacing/>
              <w:rPr>
                <w:i/>
                <w:sz w:val="18"/>
                <w:szCs w:val="18"/>
              </w:rPr>
            </w:pPr>
            <w:r>
              <w:rPr>
                <w:i/>
                <w:sz w:val="18"/>
                <w:szCs w:val="18"/>
              </w:rPr>
              <w:t>Recommend for support</w:t>
            </w:r>
          </w:p>
        </w:tc>
        <w:tc>
          <w:tcPr>
            <w:tcW w:w="2518" w:type="dxa"/>
            <w:vAlign w:val="center"/>
          </w:tcPr>
          <w:p w:rsidR="00652F38" w:rsidRPr="00521CEE" w:rsidRDefault="00652F38" w:rsidP="00034714">
            <w:pPr>
              <w:spacing w:after="120" w:line="280" w:lineRule="exact"/>
              <w:ind w:left="720" w:hanging="360"/>
              <w:contextualSpacing/>
              <w:rPr>
                <w:sz w:val="18"/>
                <w:szCs w:val="18"/>
              </w:rPr>
            </w:pPr>
          </w:p>
        </w:tc>
      </w:tr>
      <w:tr w:rsidR="00652F38" w:rsidRPr="00521CEE" w:rsidTr="00034714">
        <w:tc>
          <w:tcPr>
            <w:tcW w:w="1252" w:type="dxa"/>
            <w:tcBorders>
              <w:top w:val="nil"/>
              <w:left w:val="nil"/>
              <w:bottom w:val="nil"/>
            </w:tcBorders>
            <w:vAlign w:val="center"/>
          </w:tcPr>
          <w:p w:rsidR="00652F38" w:rsidRPr="00521CEE" w:rsidRDefault="00652F38" w:rsidP="00034714">
            <w:pPr>
              <w:spacing w:after="120" w:line="280" w:lineRule="exact"/>
              <w:contextualSpacing/>
              <w:rPr>
                <w:i/>
                <w:sz w:val="18"/>
                <w:szCs w:val="18"/>
              </w:rPr>
            </w:pPr>
          </w:p>
        </w:tc>
        <w:tc>
          <w:tcPr>
            <w:tcW w:w="5707" w:type="dxa"/>
            <w:gridSpan w:val="4"/>
            <w:vMerge/>
            <w:vAlign w:val="center"/>
          </w:tcPr>
          <w:p w:rsidR="00652F38" w:rsidRPr="00521CEE" w:rsidRDefault="00652F38" w:rsidP="00034714">
            <w:pPr>
              <w:spacing w:after="120" w:line="280" w:lineRule="exact"/>
              <w:contextualSpacing/>
              <w:rPr>
                <w:sz w:val="18"/>
                <w:szCs w:val="18"/>
              </w:rPr>
            </w:pPr>
          </w:p>
        </w:tc>
        <w:tc>
          <w:tcPr>
            <w:tcW w:w="4131" w:type="dxa"/>
            <w:shd w:val="clear" w:color="auto" w:fill="FFF371" w:themeFill="accent4" w:themeFillShade="E6"/>
            <w:vAlign w:val="center"/>
          </w:tcPr>
          <w:p w:rsidR="00652F38" w:rsidRDefault="00652F38" w:rsidP="00034714">
            <w:pPr>
              <w:spacing w:after="120" w:line="280" w:lineRule="exact"/>
              <w:contextualSpacing/>
              <w:rPr>
                <w:i/>
                <w:sz w:val="18"/>
                <w:szCs w:val="18"/>
              </w:rPr>
            </w:pPr>
            <w:r>
              <w:rPr>
                <w:i/>
                <w:sz w:val="18"/>
                <w:szCs w:val="18"/>
              </w:rPr>
              <w:t>Reshape request and reconsider</w:t>
            </w:r>
          </w:p>
        </w:tc>
        <w:tc>
          <w:tcPr>
            <w:tcW w:w="2518" w:type="dxa"/>
            <w:vAlign w:val="center"/>
          </w:tcPr>
          <w:p w:rsidR="00652F38" w:rsidRPr="00521CEE" w:rsidRDefault="00652F38" w:rsidP="00034714">
            <w:pPr>
              <w:spacing w:after="120" w:line="280" w:lineRule="exact"/>
              <w:ind w:left="720" w:hanging="360"/>
              <w:contextualSpacing/>
              <w:rPr>
                <w:sz w:val="18"/>
                <w:szCs w:val="18"/>
              </w:rPr>
            </w:pPr>
          </w:p>
        </w:tc>
      </w:tr>
      <w:tr w:rsidR="00652F38" w:rsidRPr="00521CEE" w:rsidTr="00034714">
        <w:tc>
          <w:tcPr>
            <w:tcW w:w="1252" w:type="dxa"/>
            <w:tcBorders>
              <w:top w:val="nil"/>
              <w:left w:val="nil"/>
              <w:bottom w:val="nil"/>
            </w:tcBorders>
            <w:vAlign w:val="center"/>
          </w:tcPr>
          <w:p w:rsidR="00652F38" w:rsidRPr="00521CEE" w:rsidRDefault="00652F38" w:rsidP="00034714">
            <w:pPr>
              <w:spacing w:after="120" w:line="280" w:lineRule="exact"/>
              <w:contextualSpacing/>
              <w:rPr>
                <w:i/>
                <w:sz w:val="18"/>
                <w:szCs w:val="18"/>
              </w:rPr>
            </w:pPr>
          </w:p>
        </w:tc>
        <w:tc>
          <w:tcPr>
            <w:tcW w:w="5707" w:type="dxa"/>
            <w:gridSpan w:val="4"/>
            <w:vMerge/>
            <w:vAlign w:val="center"/>
          </w:tcPr>
          <w:p w:rsidR="00652F38" w:rsidRPr="00521CEE" w:rsidRDefault="00652F38" w:rsidP="00034714">
            <w:pPr>
              <w:spacing w:after="120" w:line="280" w:lineRule="exact"/>
              <w:contextualSpacing/>
              <w:rPr>
                <w:sz w:val="18"/>
                <w:szCs w:val="18"/>
              </w:rPr>
            </w:pPr>
          </w:p>
        </w:tc>
        <w:tc>
          <w:tcPr>
            <w:tcW w:w="4131" w:type="dxa"/>
            <w:shd w:val="clear" w:color="auto" w:fill="F6E6DE" w:themeFill="accent3" w:themeFillTint="33"/>
            <w:vAlign w:val="center"/>
          </w:tcPr>
          <w:p w:rsidR="00652F38" w:rsidRDefault="00652F38" w:rsidP="00034714">
            <w:pPr>
              <w:spacing w:after="120" w:line="280" w:lineRule="exact"/>
              <w:contextualSpacing/>
              <w:rPr>
                <w:i/>
                <w:sz w:val="18"/>
                <w:szCs w:val="18"/>
              </w:rPr>
            </w:pPr>
            <w:r>
              <w:rPr>
                <w:i/>
                <w:sz w:val="18"/>
                <w:szCs w:val="18"/>
              </w:rPr>
              <w:t>Refer to other support mechanisms (e.g. ID-Teman)</w:t>
            </w:r>
          </w:p>
        </w:tc>
        <w:tc>
          <w:tcPr>
            <w:tcW w:w="2518" w:type="dxa"/>
            <w:vAlign w:val="center"/>
          </w:tcPr>
          <w:p w:rsidR="00652F38" w:rsidRPr="00521CEE" w:rsidRDefault="00652F38" w:rsidP="00034714">
            <w:pPr>
              <w:spacing w:after="120" w:line="280" w:lineRule="exact"/>
              <w:ind w:left="720" w:hanging="360"/>
              <w:contextualSpacing/>
              <w:rPr>
                <w:sz w:val="18"/>
                <w:szCs w:val="18"/>
              </w:rPr>
            </w:pPr>
          </w:p>
        </w:tc>
      </w:tr>
      <w:tr w:rsidR="00652F38" w:rsidRPr="00521CEE" w:rsidTr="00034714">
        <w:tc>
          <w:tcPr>
            <w:tcW w:w="1252" w:type="dxa"/>
            <w:tcBorders>
              <w:top w:val="nil"/>
              <w:left w:val="nil"/>
              <w:bottom w:val="nil"/>
            </w:tcBorders>
            <w:vAlign w:val="center"/>
          </w:tcPr>
          <w:p w:rsidR="00652F38" w:rsidRPr="00521CEE" w:rsidRDefault="00652F38" w:rsidP="00034714">
            <w:pPr>
              <w:spacing w:after="120" w:line="280" w:lineRule="exact"/>
              <w:contextualSpacing/>
              <w:rPr>
                <w:i/>
                <w:sz w:val="18"/>
                <w:szCs w:val="18"/>
              </w:rPr>
            </w:pPr>
          </w:p>
        </w:tc>
        <w:tc>
          <w:tcPr>
            <w:tcW w:w="5707" w:type="dxa"/>
            <w:gridSpan w:val="4"/>
            <w:vMerge/>
            <w:vAlign w:val="center"/>
          </w:tcPr>
          <w:p w:rsidR="00652F38" w:rsidRPr="00521CEE" w:rsidRDefault="00652F38" w:rsidP="00034714">
            <w:pPr>
              <w:spacing w:after="120" w:line="280" w:lineRule="exact"/>
              <w:contextualSpacing/>
              <w:rPr>
                <w:sz w:val="18"/>
                <w:szCs w:val="18"/>
              </w:rPr>
            </w:pPr>
          </w:p>
        </w:tc>
        <w:tc>
          <w:tcPr>
            <w:tcW w:w="4131" w:type="dxa"/>
            <w:shd w:val="clear" w:color="auto" w:fill="F6E6DE" w:themeFill="accent3" w:themeFillTint="33"/>
            <w:vAlign w:val="center"/>
          </w:tcPr>
          <w:p w:rsidR="00652F38" w:rsidRDefault="00652F38" w:rsidP="00034714">
            <w:pPr>
              <w:spacing w:after="120" w:line="280" w:lineRule="exact"/>
              <w:contextualSpacing/>
              <w:rPr>
                <w:i/>
                <w:sz w:val="18"/>
                <w:szCs w:val="18"/>
              </w:rPr>
            </w:pPr>
            <w:r>
              <w:rPr>
                <w:i/>
                <w:sz w:val="18"/>
                <w:szCs w:val="18"/>
              </w:rPr>
              <w:t>Recommend reject</w:t>
            </w:r>
          </w:p>
        </w:tc>
        <w:tc>
          <w:tcPr>
            <w:tcW w:w="2518" w:type="dxa"/>
            <w:vAlign w:val="center"/>
          </w:tcPr>
          <w:p w:rsidR="00652F38" w:rsidRPr="00521CEE" w:rsidRDefault="00652F38" w:rsidP="00034714">
            <w:pPr>
              <w:spacing w:after="120" w:line="280" w:lineRule="exact"/>
              <w:ind w:left="720" w:hanging="360"/>
              <w:contextualSpacing/>
              <w:rPr>
                <w:sz w:val="18"/>
                <w:szCs w:val="18"/>
              </w:rPr>
            </w:pPr>
          </w:p>
        </w:tc>
      </w:tr>
    </w:tbl>
    <w:p w:rsidR="00652F38" w:rsidRDefault="00652F38" w:rsidP="00652F38">
      <w:pPr>
        <w:pStyle w:val="SpacebeforeTitle"/>
        <w:spacing w:after="120"/>
        <w:jc w:val="both"/>
        <w:rPr>
          <w:color w:val="000000" w:themeColor="text1"/>
          <w:sz w:val="21"/>
          <w:szCs w:val="21"/>
        </w:rPr>
      </w:pPr>
    </w:p>
    <w:p w:rsidR="00652F38" w:rsidRDefault="00652F38" w:rsidP="004504A7">
      <w:pPr>
        <w:suppressAutoHyphens w:val="0"/>
        <w:spacing w:before="0" w:after="120" w:line="440" w:lineRule="atLeast"/>
        <w:rPr>
          <w:rFonts w:cs="Arial"/>
          <w:sz w:val="21"/>
          <w:szCs w:val="21"/>
          <w:lang w:eastAsia="en-AU"/>
        </w:rPr>
        <w:sectPr w:rsidR="00652F38" w:rsidSect="00313607">
          <w:pgSz w:w="16838" w:h="11906" w:orient="landscape" w:code="9"/>
          <w:pgMar w:top="1134" w:right="1701" w:bottom="1134" w:left="1418" w:header="425" w:footer="493" w:gutter="0"/>
          <w:cols w:space="397"/>
          <w:titlePg/>
          <w:docGrid w:linePitch="360"/>
        </w:sectPr>
      </w:pPr>
    </w:p>
    <w:p w:rsidR="00C26D7E" w:rsidRDefault="00C26D7E" w:rsidP="004504A7">
      <w:pPr>
        <w:suppressAutoHyphens w:val="0"/>
        <w:spacing w:before="0" w:after="120" w:line="440" w:lineRule="atLeast"/>
        <w:rPr>
          <w:rFonts w:cs="Arial"/>
          <w:sz w:val="21"/>
          <w:szCs w:val="21"/>
          <w:lang w:eastAsia="en-AU"/>
        </w:rPr>
      </w:pPr>
    </w:p>
    <w:p w:rsidR="00C26D7E" w:rsidRPr="006633DA" w:rsidRDefault="00C26D7E" w:rsidP="00C26D7E">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Pr>
          <w:rFonts w:asciiTheme="majorHAnsi" w:hAnsiTheme="majorHAnsi"/>
          <w:b/>
          <w:szCs w:val="21"/>
        </w:rPr>
        <w:t xml:space="preserve">Annex </w:t>
      </w:r>
      <w:r w:rsidR="00652F38">
        <w:rPr>
          <w:rFonts w:asciiTheme="majorHAnsi" w:hAnsiTheme="majorHAnsi"/>
          <w:b/>
          <w:szCs w:val="21"/>
        </w:rPr>
        <w:t>F</w:t>
      </w:r>
      <w:r>
        <w:rPr>
          <w:rFonts w:asciiTheme="majorHAnsi" w:hAnsiTheme="majorHAnsi"/>
          <w:b/>
          <w:szCs w:val="21"/>
        </w:rPr>
        <w:t xml:space="preserve">: </w:t>
      </w:r>
      <w:r w:rsidR="004E3118">
        <w:rPr>
          <w:rFonts w:asciiTheme="majorHAnsi" w:hAnsiTheme="majorHAnsi"/>
          <w:b/>
          <w:szCs w:val="21"/>
        </w:rPr>
        <w:t>A Summary of the M&amp;E Approach</w:t>
      </w:r>
      <w:r>
        <w:rPr>
          <w:rFonts w:asciiTheme="majorHAnsi" w:hAnsiTheme="majorHAnsi"/>
          <w:b/>
          <w:szCs w:val="21"/>
        </w:rPr>
        <w:t xml:space="preserve"> </w:t>
      </w:r>
    </w:p>
    <w:p w:rsidR="00625F83" w:rsidRDefault="00625F83" w:rsidP="00625F83">
      <w:pPr>
        <w:tabs>
          <w:tab w:val="left" w:pos="284"/>
        </w:tabs>
        <w:suppressAutoHyphens w:val="0"/>
        <w:spacing w:before="0" w:line="280" w:lineRule="exact"/>
        <w:rPr>
          <w:color w:val="3DA18F" w:themeColor="accent1" w:themeShade="BF"/>
          <w:sz w:val="21"/>
          <w:szCs w:val="21"/>
        </w:rPr>
      </w:pPr>
      <w:r>
        <w:rPr>
          <w:color w:val="3DA18F" w:themeColor="accent1" w:themeShade="BF"/>
          <w:sz w:val="21"/>
          <w:szCs w:val="21"/>
        </w:rPr>
        <w:t>Intent and focus</w:t>
      </w:r>
    </w:p>
    <w:p w:rsidR="00625F83" w:rsidRPr="00C727D1" w:rsidRDefault="00625F83" w:rsidP="00C727D1">
      <w:pPr>
        <w:tabs>
          <w:tab w:val="left" w:pos="284"/>
        </w:tabs>
        <w:suppressAutoHyphens w:val="0"/>
        <w:spacing w:after="120" w:line="280" w:lineRule="exact"/>
        <w:jc w:val="both"/>
        <w:rPr>
          <w:color w:val="auto"/>
          <w:sz w:val="21"/>
          <w:szCs w:val="21"/>
        </w:rPr>
      </w:pPr>
      <w:r w:rsidRPr="00C727D1">
        <w:rPr>
          <w:color w:val="auto"/>
          <w:sz w:val="21"/>
          <w:szCs w:val="21"/>
        </w:rPr>
        <w:t xml:space="preserve">TASS distinguishes between those things it can control (i.e. its inputs, activities and outputs), those it can influence (i.e. the Intermediate Outcomes) and those it is interested in or motivated by (i.e. the </w:t>
      </w:r>
      <w:r w:rsidR="00FF429F" w:rsidRPr="00133962">
        <w:rPr>
          <w:color w:val="auto"/>
          <w:sz w:val="21"/>
          <w:szCs w:val="21"/>
        </w:rPr>
        <w:t xml:space="preserve">End-of-Facility-Outcomes </w:t>
      </w:r>
      <w:r w:rsidRPr="00C727D1">
        <w:rPr>
          <w:color w:val="auto"/>
          <w:sz w:val="21"/>
          <w:szCs w:val="21"/>
        </w:rPr>
        <w:t xml:space="preserve">and the longer-term objectives) (see Figure 1). </w:t>
      </w:r>
      <w:r w:rsidR="00D9301C">
        <w:rPr>
          <w:color w:val="auto"/>
          <w:sz w:val="21"/>
          <w:szCs w:val="21"/>
        </w:rPr>
        <w:t xml:space="preserve">These distinctions are critically important because </w:t>
      </w:r>
      <w:r w:rsidR="00D9301C" w:rsidRPr="004B2058">
        <w:rPr>
          <w:color w:val="auto"/>
          <w:sz w:val="21"/>
          <w:szCs w:val="21"/>
        </w:rPr>
        <w:t xml:space="preserve">TASS cannot offer a suite of comprehensive activities that are sufficient to achieve the EOFOs; its mandate and footprint are too small to control or even </w:t>
      </w:r>
      <w:r w:rsidR="00D9301C" w:rsidRPr="004B2058">
        <w:rPr>
          <w:i/>
          <w:color w:val="auto"/>
          <w:sz w:val="21"/>
          <w:szCs w:val="21"/>
        </w:rPr>
        <w:t>directly influence</w:t>
      </w:r>
      <w:r w:rsidR="00D9301C" w:rsidRPr="004B2058">
        <w:rPr>
          <w:color w:val="auto"/>
          <w:sz w:val="21"/>
          <w:szCs w:val="21"/>
        </w:rPr>
        <w:t xml:space="preserve"> the political-institutional trajectories of those Indonesian Government partners with whom it engages. Rather, TASS seeks to nurture the emergence of the necessary </w:t>
      </w:r>
      <w:r w:rsidR="00D9301C" w:rsidRPr="004B2058">
        <w:rPr>
          <w:i/>
          <w:color w:val="auto"/>
          <w:sz w:val="21"/>
          <w:szCs w:val="21"/>
        </w:rPr>
        <w:t>preconditions</w:t>
      </w:r>
      <w:r w:rsidR="00D9301C" w:rsidRPr="004B2058">
        <w:rPr>
          <w:color w:val="auto"/>
          <w:sz w:val="21"/>
          <w:szCs w:val="21"/>
        </w:rPr>
        <w:t xml:space="preserve"> for meaningful change to occur.</w:t>
      </w:r>
    </w:p>
    <w:p w:rsidR="00625F83" w:rsidRPr="009B298E" w:rsidRDefault="00625F83" w:rsidP="00625F83">
      <w:pPr>
        <w:tabs>
          <w:tab w:val="left" w:pos="284"/>
        </w:tabs>
        <w:suppressAutoHyphens w:val="0"/>
        <w:spacing w:after="120" w:line="280" w:lineRule="exact"/>
        <w:jc w:val="center"/>
        <w:rPr>
          <w:i/>
          <w:color w:val="3DA18F" w:themeColor="accent1" w:themeShade="BF"/>
          <w:sz w:val="21"/>
          <w:szCs w:val="21"/>
        </w:rPr>
      </w:pPr>
      <w:r>
        <w:rPr>
          <w:i/>
          <w:color w:val="3DA18F" w:themeColor="accent1" w:themeShade="BF"/>
          <w:sz w:val="21"/>
          <w:szCs w:val="21"/>
        </w:rPr>
        <w:t>Figure</w:t>
      </w:r>
      <w:r w:rsidRPr="009B298E">
        <w:rPr>
          <w:i/>
          <w:color w:val="3DA18F" w:themeColor="accent1" w:themeShade="BF"/>
          <w:sz w:val="21"/>
          <w:szCs w:val="21"/>
        </w:rPr>
        <w:t xml:space="preserve"> 1: </w:t>
      </w:r>
      <w:r>
        <w:rPr>
          <w:i/>
          <w:color w:val="3DA18F" w:themeColor="accent1" w:themeShade="BF"/>
          <w:sz w:val="21"/>
          <w:szCs w:val="21"/>
        </w:rPr>
        <w:t>Line of Sight and Degrees of Accountability</w:t>
      </w:r>
    </w:p>
    <w:p w:rsidR="00625F83" w:rsidRDefault="00625F83" w:rsidP="00625F83">
      <w:pPr>
        <w:pStyle w:val="BodyText"/>
        <w:jc w:val="center"/>
        <w:rPr>
          <w:sz w:val="21"/>
          <w:szCs w:val="21"/>
        </w:rPr>
      </w:pPr>
      <w:r>
        <w:rPr>
          <w:noProof/>
          <w:color w:val="3DA18F" w:themeColor="accent1" w:themeShade="BF"/>
          <w:sz w:val="21"/>
          <w:szCs w:val="21"/>
          <w:lang w:val="en-AU" w:eastAsia="en-AU"/>
        </w:rPr>
        <w:drawing>
          <wp:inline distT="0" distB="0" distL="0" distR="0" wp14:anchorId="5670E950" wp14:editId="105A4207">
            <wp:extent cx="3858764" cy="19240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3445" cy="1931370"/>
                    </a:xfrm>
                    <a:prstGeom prst="rect">
                      <a:avLst/>
                    </a:prstGeom>
                    <a:noFill/>
                  </pic:spPr>
                </pic:pic>
              </a:graphicData>
            </a:graphic>
          </wp:inline>
        </w:drawing>
      </w:r>
    </w:p>
    <w:p w:rsidR="00625F83" w:rsidRPr="00C727D1" w:rsidRDefault="00D9301C" w:rsidP="00C727D1">
      <w:pPr>
        <w:tabs>
          <w:tab w:val="left" w:pos="284"/>
        </w:tabs>
        <w:suppressAutoHyphens w:val="0"/>
        <w:spacing w:after="120" w:line="280" w:lineRule="exact"/>
        <w:jc w:val="both"/>
        <w:rPr>
          <w:color w:val="auto"/>
          <w:sz w:val="21"/>
          <w:szCs w:val="21"/>
        </w:rPr>
      </w:pPr>
      <w:r w:rsidRPr="00133962">
        <w:rPr>
          <w:color w:val="auto"/>
          <w:sz w:val="21"/>
          <w:szCs w:val="21"/>
        </w:rPr>
        <w:t xml:space="preserve">TASS’s M&amp;E activities are intended to support and track the achievement of the facility’s Intermediate Outcomes and TASS’s contribution to the emergence of the two EOFOs. </w:t>
      </w:r>
      <w:r w:rsidR="00625F83" w:rsidRPr="00C727D1">
        <w:rPr>
          <w:color w:val="auto"/>
          <w:sz w:val="21"/>
          <w:szCs w:val="21"/>
        </w:rPr>
        <w:t xml:space="preserve">In some cases the cause-effect relationship will be known, though multiple interventions may be required by TASS and others to </w:t>
      </w:r>
      <w:r w:rsidR="00E35655" w:rsidRPr="00C727D1">
        <w:rPr>
          <w:color w:val="auto"/>
          <w:sz w:val="21"/>
          <w:szCs w:val="21"/>
        </w:rPr>
        <w:t>‘</w:t>
      </w:r>
      <w:r w:rsidR="00625F83" w:rsidRPr="00C727D1">
        <w:rPr>
          <w:color w:val="auto"/>
          <w:sz w:val="21"/>
          <w:szCs w:val="21"/>
        </w:rPr>
        <w:t>nudge</w:t>
      </w:r>
      <w:r w:rsidR="00E35655" w:rsidRPr="00C727D1">
        <w:rPr>
          <w:color w:val="auto"/>
          <w:sz w:val="21"/>
          <w:szCs w:val="21"/>
        </w:rPr>
        <w:t>’</w:t>
      </w:r>
      <w:r w:rsidR="00490646" w:rsidRPr="00C727D1">
        <w:rPr>
          <w:color w:val="auto"/>
          <w:sz w:val="21"/>
          <w:szCs w:val="21"/>
        </w:rPr>
        <w:t xml:space="preserve"> the</w:t>
      </w:r>
      <w:r w:rsidR="00625F83" w:rsidRPr="00C727D1">
        <w:rPr>
          <w:color w:val="auto"/>
          <w:sz w:val="21"/>
          <w:szCs w:val="21"/>
        </w:rPr>
        <w:t xml:space="preserve"> system</w:t>
      </w:r>
      <w:r w:rsidR="00490646" w:rsidRPr="00C727D1">
        <w:rPr>
          <w:color w:val="auto"/>
          <w:sz w:val="21"/>
          <w:szCs w:val="21"/>
        </w:rPr>
        <w:t xml:space="preserve"> </w:t>
      </w:r>
      <w:r w:rsidR="00625F83" w:rsidRPr="00C727D1">
        <w:rPr>
          <w:color w:val="auto"/>
          <w:sz w:val="21"/>
          <w:szCs w:val="21"/>
        </w:rPr>
        <w:t xml:space="preserve">towards the desired ends. In other cases, a number of interconnected and interdependent variables will be at play, the drivers and trajectories of change will be uncertain, and a degree of experimentation will be required. </w:t>
      </w:r>
    </w:p>
    <w:p w:rsidR="00625F83" w:rsidRPr="000D55BD" w:rsidRDefault="00625F83" w:rsidP="00625F83">
      <w:pPr>
        <w:tabs>
          <w:tab w:val="left" w:pos="284"/>
        </w:tabs>
        <w:suppressAutoHyphens w:val="0"/>
        <w:spacing w:after="120" w:line="280" w:lineRule="exact"/>
        <w:rPr>
          <w:color w:val="3DA18F" w:themeColor="accent1" w:themeShade="BF"/>
          <w:sz w:val="21"/>
          <w:szCs w:val="21"/>
        </w:rPr>
      </w:pPr>
      <w:r>
        <w:rPr>
          <w:color w:val="3DA18F" w:themeColor="accent1" w:themeShade="BF"/>
          <w:sz w:val="21"/>
          <w:szCs w:val="21"/>
        </w:rPr>
        <w:t>Performance monitoring and e</w:t>
      </w:r>
      <w:r w:rsidRPr="000D55BD">
        <w:rPr>
          <w:color w:val="3DA18F" w:themeColor="accent1" w:themeShade="BF"/>
          <w:sz w:val="21"/>
          <w:szCs w:val="21"/>
        </w:rPr>
        <w:t>valuation</w:t>
      </w:r>
    </w:p>
    <w:p w:rsidR="0084368B" w:rsidRPr="00C727D1" w:rsidRDefault="0084368B" w:rsidP="0084368B">
      <w:pPr>
        <w:pStyle w:val="BodyText"/>
        <w:spacing w:after="120" w:line="280" w:lineRule="exact"/>
        <w:jc w:val="both"/>
        <w:rPr>
          <w:color w:val="auto"/>
          <w:sz w:val="21"/>
          <w:szCs w:val="21"/>
        </w:rPr>
      </w:pPr>
      <w:r w:rsidRPr="00C727D1">
        <w:rPr>
          <w:color w:val="auto"/>
          <w:sz w:val="21"/>
          <w:szCs w:val="21"/>
        </w:rPr>
        <w:t xml:space="preserve">TASS’s annual M&amp;E Plan describes, </w:t>
      </w:r>
      <w:r w:rsidRPr="00C727D1">
        <w:rPr>
          <w:i/>
          <w:color w:val="auto"/>
          <w:sz w:val="21"/>
          <w:szCs w:val="21"/>
        </w:rPr>
        <w:t>inter alia</w:t>
      </w:r>
      <w:r w:rsidRPr="00C727D1">
        <w:rPr>
          <w:color w:val="auto"/>
          <w:sz w:val="21"/>
          <w:szCs w:val="21"/>
        </w:rPr>
        <w:t xml:space="preserve">, </w:t>
      </w:r>
      <w:r w:rsidR="005D3BA5">
        <w:rPr>
          <w:color w:val="auto"/>
          <w:sz w:val="21"/>
          <w:szCs w:val="21"/>
        </w:rPr>
        <w:t>its</w:t>
      </w:r>
      <w:r w:rsidRPr="00C727D1">
        <w:rPr>
          <w:color w:val="auto"/>
          <w:sz w:val="21"/>
          <w:szCs w:val="21"/>
        </w:rPr>
        <w:t xml:space="preserve"> </w:t>
      </w:r>
      <w:r w:rsidRPr="00A069F7">
        <w:rPr>
          <w:color w:val="auto"/>
          <w:sz w:val="21"/>
          <w:szCs w:val="21"/>
        </w:rPr>
        <w:t>Results Framework</w:t>
      </w:r>
      <w:r w:rsidRPr="00C727D1">
        <w:rPr>
          <w:color w:val="auto"/>
          <w:sz w:val="21"/>
          <w:szCs w:val="21"/>
        </w:rPr>
        <w:t xml:space="preserve"> (including EOFO-level indicators, targets and means of verification)</w:t>
      </w:r>
      <w:r w:rsidR="00714CF6">
        <w:rPr>
          <w:color w:val="auto"/>
          <w:sz w:val="21"/>
          <w:szCs w:val="21"/>
        </w:rPr>
        <w:t xml:space="preserve">, </w:t>
      </w:r>
      <w:r w:rsidR="00C44F60">
        <w:rPr>
          <w:color w:val="auto"/>
          <w:sz w:val="21"/>
          <w:szCs w:val="21"/>
        </w:rPr>
        <w:t>monitoring and evaluation plans, learning processes</w:t>
      </w:r>
      <w:r w:rsidR="00361124">
        <w:rPr>
          <w:color w:val="auto"/>
          <w:sz w:val="21"/>
          <w:szCs w:val="21"/>
        </w:rPr>
        <w:t>, and communication and dissemination strategies</w:t>
      </w:r>
      <w:r w:rsidRPr="00C727D1">
        <w:rPr>
          <w:color w:val="auto"/>
          <w:sz w:val="21"/>
          <w:szCs w:val="21"/>
        </w:rPr>
        <w:t>. TASS uses a mix of methods</w:t>
      </w:r>
      <w:r w:rsidR="00B02A30">
        <w:rPr>
          <w:color w:val="auto"/>
          <w:sz w:val="21"/>
          <w:szCs w:val="21"/>
        </w:rPr>
        <w:t xml:space="preserve"> and tools</w:t>
      </w:r>
      <w:r w:rsidRPr="00C727D1">
        <w:rPr>
          <w:color w:val="auto"/>
          <w:sz w:val="21"/>
          <w:szCs w:val="21"/>
        </w:rPr>
        <w:t xml:space="preserve"> to triangulate and interpret data, such as impact logs, tailored rubrics, and semi-structured interviews.</w:t>
      </w:r>
    </w:p>
    <w:p w:rsidR="00D41816" w:rsidRPr="00C727D1" w:rsidRDefault="00D41816" w:rsidP="00D41816">
      <w:pPr>
        <w:pStyle w:val="BodyText"/>
        <w:spacing w:after="120" w:line="280" w:lineRule="exact"/>
        <w:jc w:val="both"/>
        <w:rPr>
          <w:color w:val="auto"/>
          <w:sz w:val="21"/>
          <w:szCs w:val="21"/>
        </w:rPr>
      </w:pPr>
      <w:r w:rsidRPr="00C727D1">
        <w:rPr>
          <w:color w:val="auto"/>
          <w:sz w:val="21"/>
          <w:szCs w:val="21"/>
        </w:rPr>
        <w:t>Activity-level monitoring</w:t>
      </w:r>
      <w:r w:rsidR="002033FA" w:rsidRPr="00C727D1">
        <w:rPr>
          <w:color w:val="auto"/>
          <w:sz w:val="21"/>
          <w:szCs w:val="21"/>
        </w:rPr>
        <w:t xml:space="preserve"> </w:t>
      </w:r>
      <w:r w:rsidRPr="00C727D1">
        <w:rPr>
          <w:color w:val="auto"/>
          <w:sz w:val="21"/>
          <w:szCs w:val="21"/>
        </w:rPr>
        <w:t>has two distinct elements:</w:t>
      </w:r>
    </w:p>
    <w:p w:rsidR="00D41816" w:rsidRPr="00C727D1" w:rsidRDefault="00D41816" w:rsidP="00D41816">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sidRPr="00C727D1">
        <w:rPr>
          <w:rFonts w:eastAsia="Times New Roman" w:cs="Arial"/>
          <w:color w:val="000000" w:themeColor="text1"/>
          <w:sz w:val="21"/>
          <w:szCs w:val="21"/>
          <w:lang w:val="en-AU" w:eastAsia="en-AU"/>
        </w:rPr>
        <w:t>Routine</w:t>
      </w:r>
      <w:r w:rsidR="002033FA">
        <w:rPr>
          <w:rFonts w:eastAsia="Times New Roman" w:cs="Arial"/>
          <w:i/>
          <w:color w:val="000000" w:themeColor="text1"/>
          <w:sz w:val="21"/>
          <w:szCs w:val="21"/>
          <w:lang w:val="en-AU" w:eastAsia="en-AU"/>
        </w:rPr>
        <w:t xml:space="preserve"> </w:t>
      </w:r>
      <w:r w:rsidRPr="00C727D1">
        <w:rPr>
          <w:rFonts w:eastAsia="Times New Roman" w:cs="Arial"/>
          <w:i/>
          <w:color w:val="000000" w:themeColor="text1"/>
          <w:sz w:val="21"/>
          <w:szCs w:val="21"/>
          <w:lang w:val="en-AU" w:eastAsia="en-AU"/>
        </w:rPr>
        <w:t>performance monitoring</w:t>
      </w:r>
      <w:r w:rsidRPr="00C727D1">
        <w:rPr>
          <w:rFonts w:eastAsia="Times New Roman" w:cs="Arial"/>
          <w:color w:val="000000" w:themeColor="text1"/>
          <w:sz w:val="21"/>
          <w:szCs w:val="21"/>
          <w:lang w:val="en-AU" w:eastAsia="en-AU"/>
        </w:rPr>
        <w:t xml:space="preserve"> by TASS staff to appraise the ongoing relevance, quality, timeliness, effectiveness, risk profile </w:t>
      </w:r>
      <w:r w:rsidRPr="00133962">
        <w:rPr>
          <w:rFonts w:eastAsia="Times New Roman" w:cs="Arial"/>
          <w:color w:val="000000" w:themeColor="text1"/>
          <w:sz w:val="21"/>
          <w:szCs w:val="21"/>
          <w:lang w:val="en-AU" w:eastAsia="en-AU"/>
        </w:rPr>
        <w:t>and</w:t>
      </w:r>
      <w:r w:rsidRPr="00C727D1">
        <w:rPr>
          <w:rFonts w:eastAsia="Times New Roman" w:cs="Arial"/>
          <w:color w:val="000000" w:themeColor="text1"/>
          <w:sz w:val="21"/>
          <w:szCs w:val="21"/>
          <w:lang w:val="en-AU" w:eastAsia="en-AU"/>
        </w:rPr>
        <w:t xml:space="preserve"> future trajectory of individual investment</w:t>
      </w:r>
      <w:r w:rsidR="00EF6B9C">
        <w:rPr>
          <w:rFonts w:eastAsia="Times New Roman" w:cs="Arial"/>
          <w:color w:val="000000" w:themeColor="text1"/>
          <w:sz w:val="21"/>
          <w:szCs w:val="21"/>
          <w:lang w:val="en-AU" w:eastAsia="en-AU"/>
        </w:rPr>
        <w:t>s, with a view to in</w:t>
      </w:r>
      <w:r w:rsidR="00DC2169">
        <w:rPr>
          <w:rFonts w:eastAsia="Times New Roman" w:cs="Arial"/>
          <w:color w:val="000000" w:themeColor="text1"/>
          <w:sz w:val="21"/>
          <w:szCs w:val="21"/>
          <w:lang w:val="en-AU" w:eastAsia="en-AU"/>
        </w:rPr>
        <w:t xml:space="preserve">forming </w:t>
      </w:r>
      <w:r w:rsidRPr="00C727D1">
        <w:rPr>
          <w:rFonts w:eastAsia="Times New Roman" w:cs="Arial"/>
          <w:color w:val="000000" w:themeColor="text1"/>
          <w:sz w:val="21"/>
          <w:szCs w:val="21"/>
          <w:lang w:val="en-AU" w:eastAsia="en-AU"/>
        </w:rPr>
        <w:t xml:space="preserve">tactical and operational decisions as implementation proceeds.  </w:t>
      </w:r>
    </w:p>
    <w:p w:rsidR="002033FA" w:rsidRPr="00C727D1" w:rsidRDefault="00C40E79" w:rsidP="002033FA">
      <w:pPr>
        <w:numPr>
          <w:ilvl w:val="1"/>
          <w:numId w:val="16"/>
        </w:numPr>
        <w:tabs>
          <w:tab w:val="left" w:pos="284"/>
        </w:tabs>
        <w:suppressAutoHyphens w:val="0"/>
        <w:spacing w:after="120" w:line="280" w:lineRule="exact"/>
        <w:ind w:left="567" w:hanging="283"/>
        <w:jc w:val="both"/>
        <w:rPr>
          <w:rFonts w:eastAsia="Times New Roman" w:cs="Arial"/>
          <w:color w:val="000000" w:themeColor="text1"/>
          <w:sz w:val="21"/>
          <w:szCs w:val="21"/>
          <w:lang w:val="en-AU" w:eastAsia="en-AU"/>
        </w:rPr>
      </w:pPr>
      <w:r w:rsidRPr="00C727D1">
        <w:rPr>
          <w:rFonts w:eastAsia="Times New Roman" w:cs="Arial"/>
          <w:i/>
          <w:color w:val="000000" w:themeColor="text1"/>
          <w:sz w:val="21"/>
          <w:szCs w:val="21"/>
          <w:lang w:val="en-AU" w:eastAsia="en-AU"/>
        </w:rPr>
        <w:t>E</w:t>
      </w:r>
      <w:r w:rsidR="00D41816" w:rsidRPr="00C727D1">
        <w:rPr>
          <w:rFonts w:eastAsia="Times New Roman" w:cs="Arial"/>
          <w:i/>
          <w:color w:val="000000" w:themeColor="text1"/>
          <w:sz w:val="21"/>
          <w:szCs w:val="21"/>
          <w:lang w:val="en-AU" w:eastAsia="en-AU"/>
        </w:rPr>
        <w:t>valuative monitoring</w:t>
      </w:r>
      <w:r w:rsidR="00D41816" w:rsidRPr="00C727D1">
        <w:rPr>
          <w:rFonts w:eastAsia="Times New Roman" w:cs="Arial"/>
          <w:color w:val="000000" w:themeColor="text1"/>
          <w:sz w:val="21"/>
          <w:szCs w:val="21"/>
          <w:lang w:val="en-AU" w:eastAsia="en-AU"/>
        </w:rPr>
        <w:t xml:space="preserve"> of a sample of activities by TASS’s M&amp;E Specialists</w:t>
      </w:r>
      <w:r w:rsidR="00DC2169">
        <w:rPr>
          <w:rFonts w:eastAsia="Times New Roman" w:cs="Arial"/>
          <w:color w:val="000000" w:themeColor="text1"/>
          <w:sz w:val="21"/>
          <w:szCs w:val="21"/>
          <w:lang w:val="en-AU" w:eastAsia="en-AU"/>
        </w:rPr>
        <w:t xml:space="preserve">, </w:t>
      </w:r>
      <w:r w:rsidR="00F32C09">
        <w:rPr>
          <w:rFonts w:eastAsia="Times New Roman" w:cs="Arial"/>
          <w:color w:val="000000" w:themeColor="text1"/>
          <w:sz w:val="21"/>
          <w:szCs w:val="21"/>
          <w:lang w:val="en-AU" w:eastAsia="en-AU"/>
        </w:rPr>
        <w:t xml:space="preserve">to capture individual activity results and with a view to </w:t>
      </w:r>
      <w:r w:rsidR="00DC2169">
        <w:rPr>
          <w:rFonts w:eastAsia="Times New Roman" w:cs="Arial"/>
          <w:color w:val="000000" w:themeColor="text1"/>
          <w:sz w:val="21"/>
          <w:szCs w:val="21"/>
          <w:lang w:val="en-AU" w:eastAsia="en-AU"/>
        </w:rPr>
        <w:t>providing the b</w:t>
      </w:r>
      <w:r w:rsidR="00D41816" w:rsidRPr="00C727D1">
        <w:rPr>
          <w:rFonts w:eastAsia="Times New Roman" w:cs="Arial"/>
          <w:color w:val="000000" w:themeColor="text1"/>
          <w:sz w:val="21"/>
          <w:szCs w:val="21"/>
          <w:lang w:val="en-AU" w:eastAsia="en-AU"/>
        </w:rPr>
        <w:t xml:space="preserve">uilding blocks </w:t>
      </w:r>
      <w:r w:rsidR="00DC2169">
        <w:rPr>
          <w:rFonts w:eastAsia="Times New Roman" w:cs="Arial"/>
          <w:color w:val="000000" w:themeColor="text1"/>
          <w:sz w:val="21"/>
          <w:szCs w:val="21"/>
          <w:lang w:val="en-AU" w:eastAsia="en-AU"/>
        </w:rPr>
        <w:t xml:space="preserve">necessary </w:t>
      </w:r>
      <w:r w:rsidR="00D41816" w:rsidRPr="00C727D1">
        <w:rPr>
          <w:rFonts w:eastAsia="Times New Roman" w:cs="Arial"/>
          <w:color w:val="000000" w:themeColor="text1"/>
          <w:sz w:val="21"/>
          <w:szCs w:val="21"/>
          <w:lang w:val="en-AU" w:eastAsia="en-AU"/>
        </w:rPr>
        <w:t>for the mid-point and end-point evaluations in 2018 and 2019 respectively.</w:t>
      </w:r>
    </w:p>
    <w:p w:rsidR="002033FA" w:rsidRDefault="002033FA" w:rsidP="00C40E79">
      <w:pPr>
        <w:pStyle w:val="BodyText"/>
        <w:spacing w:after="120" w:line="280" w:lineRule="exact"/>
        <w:jc w:val="both"/>
        <w:rPr>
          <w:color w:val="auto"/>
          <w:sz w:val="21"/>
          <w:szCs w:val="21"/>
        </w:rPr>
      </w:pPr>
      <w:r w:rsidRPr="00C727D1">
        <w:rPr>
          <w:color w:val="auto"/>
          <w:sz w:val="21"/>
          <w:szCs w:val="21"/>
        </w:rPr>
        <w:t xml:space="preserve">The mid-term and end-point evaluations are framed by a set of key evaluation questions (see Table </w:t>
      </w:r>
      <w:r w:rsidR="00C40E79">
        <w:rPr>
          <w:color w:val="auto"/>
          <w:sz w:val="21"/>
          <w:szCs w:val="21"/>
        </w:rPr>
        <w:t>1</w:t>
      </w:r>
      <w:r w:rsidRPr="00C727D1">
        <w:rPr>
          <w:color w:val="auto"/>
          <w:sz w:val="21"/>
          <w:szCs w:val="21"/>
        </w:rPr>
        <w:t>).</w:t>
      </w:r>
      <w:r w:rsidR="00E15B8D">
        <w:rPr>
          <w:color w:val="auto"/>
          <w:sz w:val="21"/>
          <w:szCs w:val="21"/>
        </w:rPr>
        <w:t xml:space="preserve"> The evaluations </w:t>
      </w:r>
      <w:r w:rsidRPr="00C727D1">
        <w:rPr>
          <w:color w:val="auto"/>
          <w:sz w:val="21"/>
          <w:szCs w:val="21"/>
        </w:rPr>
        <w:t xml:space="preserve">also appraise TASS’s Value for Money proposition in terms of its economy (or cost), efficiency, effectiveness and equity. </w:t>
      </w:r>
    </w:p>
    <w:p w:rsidR="0063730E" w:rsidRPr="00C727D1" w:rsidRDefault="0063730E" w:rsidP="00C727D1">
      <w:pPr>
        <w:pStyle w:val="BodyText"/>
        <w:spacing w:after="120" w:line="280" w:lineRule="exact"/>
        <w:jc w:val="both"/>
        <w:rPr>
          <w:color w:val="auto"/>
          <w:sz w:val="21"/>
          <w:szCs w:val="21"/>
        </w:rPr>
      </w:pPr>
    </w:p>
    <w:p w:rsidR="002033FA" w:rsidRPr="00C727D1" w:rsidRDefault="002033FA" w:rsidP="00C727D1">
      <w:pPr>
        <w:tabs>
          <w:tab w:val="left" w:pos="284"/>
        </w:tabs>
        <w:suppressAutoHyphens w:val="0"/>
        <w:spacing w:after="120" w:line="280" w:lineRule="exact"/>
        <w:jc w:val="center"/>
        <w:rPr>
          <w:i/>
          <w:color w:val="3DA18F" w:themeColor="accent1" w:themeShade="BF"/>
          <w:sz w:val="21"/>
          <w:szCs w:val="21"/>
        </w:rPr>
      </w:pPr>
      <w:r w:rsidRPr="00C727D1">
        <w:rPr>
          <w:i/>
          <w:color w:val="3DA18F" w:themeColor="accent1" w:themeShade="BF"/>
          <w:sz w:val="21"/>
          <w:szCs w:val="21"/>
        </w:rPr>
        <w:t xml:space="preserve">Table 1: </w:t>
      </w:r>
      <w:r>
        <w:rPr>
          <w:i/>
          <w:color w:val="3DA18F" w:themeColor="accent1" w:themeShade="BF"/>
          <w:sz w:val="21"/>
          <w:szCs w:val="21"/>
        </w:rPr>
        <w:t>Framing</w:t>
      </w:r>
      <w:r w:rsidRPr="00C727D1">
        <w:rPr>
          <w:i/>
          <w:color w:val="3DA18F" w:themeColor="accent1" w:themeShade="BF"/>
          <w:sz w:val="21"/>
          <w:szCs w:val="21"/>
        </w:rPr>
        <w:t xml:space="preserve"> Questions</w:t>
      </w:r>
    </w:p>
    <w:tbl>
      <w:tblPr>
        <w:tblStyle w:val="TableGrid"/>
        <w:tblW w:w="9634" w:type="dxa"/>
        <w:tblLayout w:type="fixed"/>
        <w:tblLook w:val="04A0" w:firstRow="1" w:lastRow="0" w:firstColumn="1" w:lastColumn="0" w:noHBand="0" w:noVBand="1"/>
      </w:tblPr>
      <w:tblGrid>
        <w:gridCol w:w="1413"/>
        <w:gridCol w:w="8221"/>
      </w:tblGrid>
      <w:tr w:rsidR="00001E3C" w:rsidTr="00C727D1">
        <w:tc>
          <w:tcPr>
            <w:tcW w:w="1413" w:type="dxa"/>
            <w:shd w:val="clear" w:color="auto" w:fill="C1E7E0" w:themeFill="accent1" w:themeFillTint="66"/>
          </w:tcPr>
          <w:p w:rsidR="00001E3C" w:rsidRDefault="00001E3C" w:rsidP="00034714">
            <w:pPr>
              <w:tabs>
                <w:tab w:val="left" w:pos="284"/>
              </w:tabs>
              <w:suppressAutoHyphens w:val="0"/>
              <w:spacing w:before="0" w:line="280" w:lineRule="exact"/>
              <w:jc w:val="center"/>
              <w:rPr>
                <w:color w:val="000000" w:themeColor="text1"/>
                <w:sz w:val="21"/>
                <w:szCs w:val="21"/>
              </w:rPr>
            </w:pPr>
            <w:r>
              <w:rPr>
                <w:color w:val="000000" w:themeColor="text1"/>
                <w:sz w:val="21"/>
                <w:szCs w:val="21"/>
              </w:rPr>
              <w:t>Focus Area</w:t>
            </w:r>
          </w:p>
        </w:tc>
        <w:tc>
          <w:tcPr>
            <w:tcW w:w="8221" w:type="dxa"/>
            <w:shd w:val="clear" w:color="auto" w:fill="C1E7E0" w:themeFill="accent1" w:themeFillTint="66"/>
          </w:tcPr>
          <w:p w:rsidR="00001E3C" w:rsidRDefault="00001E3C" w:rsidP="00034714">
            <w:pPr>
              <w:tabs>
                <w:tab w:val="left" w:pos="284"/>
              </w:tabs>
              <w:suppressAutoHyphens w:val="0"/>
              <w:spacing w:before="0" w:line="280" w:lineRule="exact"/>
              <w:jc w:val="center"/>
              <w:rPr>
                <w:color w:val="000000" w:themeColor="text1"/>
                <w:sz w:val="21"/>
                <w:szCs w:val="21"/>
              </w:rPr>
            </w:pPr>
            <w:r>
              <w:rPr>
                <w:color w:val="000000" w:themeColor="text1"/>
                <w:sz w:val="21"/>
                <w:szCs w:val="21"/>
              </w:rPr>
              <w:t>KEQs</w:t>
            </w:r>
          </w:p>
        </w:tc>
      </w:tr>
      <w:tr w:rsidR="00001E3C" w:rsidTr="00C727D1">
        <w:tc>
          <w:tcPr>
            <w:tcW w:w="1413" w:type="dxa"/>
            <w:vAlign w:val="center"/>
          </w:tcPr>
          <w:p w:rsidR="00001E3C" w:rsidRPr="00C727D1" w:rsidRDefault="00001E3C" w:rsidP="00034714">
            <w:pPr>
              <w:pStyle w:val="BodyText"/>
              <w:spacing w:before="60" w:line="280" w:lineRule="exact"/>
              <w:jc w:val="center"/>
              <w:rPr>
                <w:color w:val="auto"/>
                <w:sz w:val="20"/>
                <w:szCs w:val="21"/>
              </w:rPr>
            </w:pPr>
            <w:r w:rsidRPr="00C727D1">
              <w:rPr>
                <w:color w:val="auto"/>
                <w:sz w:val="20"/>
                <w:szCs w:val="21"/>
              </w:rPr>
              <w:t>Impact</w:t>
            </w:r>
          </w:p>
        </w:tc>
        <w:tc>
          <w:tcPr>
            <w:tcW w:w="8221" w:type="dxa"/>
            <w:vAlign w:val="center"/>
          </w:tcPr>
          <w:p w:rsidR="00001E3C" w:rsidRPr="00C727D1" w:rsidRDefault="00001E3C" w:rsidP="00034714">
            <w:pPr>
              <w:pStyle w:val="BodyText"/>
              <w:spacing w:before="60" w:line="280" w:lineRule="exact"/>
              <w:jc w:val="both"/>
              <w:rPr>
                <w:color w:val="auto"/>
                <w:sz w:val="20"/>
                <w:szCs w:val="21"/>
              </w:rPr>
            </w:pPr>
            <w:r w:rsidRPr="00C727D1">
              <w:rPr>
                <w:color w:val="auto"/>
                <w:sz w:val="20"/>
                <w:szCs w:val="21"/>
              </w:rPr>
              <w:t>To what extent did TASS contribute to the reduction of the two key constraints?</w:t>
            </w:r>
            <w:r w:rsidR="00AC3FB8">
              <w:rPr>
                <w:rStyle w:val="FootnoteReference"/>
                <w:color w:val="auto"/>
                <w:sz w:val="20"/>
                <w:szCs w:val="21"/>
              </w:rPr>
              <w:footnoteReference w:id="2"/>
            </w:r>
            <w:r w:rsidRPr="00C727D1">
              <w:rPr>
                <w:color w:val="auto"/>
                <w:sz w:val="20"/>
                <w:szCs w:val="21"/>
              </w:rPr>
              <w:t xml:space="preserve"> Why or why not?</w:t>
            </w:r>
          </w:p>
        </w:tc>
      </w:tr>
      <w:tr w:rsidR="00001E3C" w:rsidTr="00C727D1">
        <w:tc>
          <w:tcPr>
            <w:tcW w:w="1413" w:type="dxa"/>
            <w:vAlign w:val="center"/>
          </w:tcPr>
          <w:p w:rsidR="00001E3C" w:rsidRPr="00C727D1" w:rsidRDefault="00001E3C" w:rsidP="00034714">
            <w:pPr>
              <w:pStyle w:val="BodyText"/>
              <w:spacing w:before="60" w:line="280" w:lineRule="exact"/>
              <w:jc w:val="center"/>
              <w:rPr>
                <w:color w:val="auto"/>
                <w:sz w:val="20"/>
                <w:szCs w:val="21"/>
              </w:rPr>
            </w:pPr>
            <w:r w:rsidRPr="00C727D1">
              <w:rPr>
                <w:color w:val="auto"/>
                <w:sz w:val="20"/>
                <w:szCs w:val="21"/>
              </w:rPr>
              <w:t>Effectiveness</w:t>
            </w:r>
          </w:p>
        </w:tc>
        <w:tc>
          <w:tcPr>
            <w:tcW w:w="8221" w:type="dxa"/>
            <w:vAlign w:val="center"/>
          </w:tcPr>
          <w:p w:rsidR="00001E3C" w:rsidRPr="00C727D1" w:rsidRDefault="00001E3C" w:rsidP="00034714">
            <w:pPr>
              <w:pStyle w:val="BodyText"/>
              <w:spacing w:before="60" w:line="280" w:lineRule="exact"/>
              <w:jc w:val="both"/>
              <w:rPr>
                <w:color w:val="auto"/>
                <w:sz w:val="20"/>
                <w:szCs w:val="21"/>
              </w:rPr>
            </w:pPr>
            <w:r w:rsidRPr="00C727D1">
              <w:rPr>
                <w:color w:val="auto"/>
                <w:sz w:val="20"/>
                <w:szCs w:val="21"/>
              </w:rPr>
              <w:t>To what extent is TASS achieving the desired outcomes</w:t>
            </w:r>
            <w:r>
              <w:rPr>
                <w:color w:val="auto"/>
                <w:sz w:val="20"/>
                <w:szCs w:val="21"/>
              </w:rPr>
              <w:t xml:space="preserve"> (i.e. </w:t>
            </w:r>
            <w:r w:rsidR="00384EB0">
              <w:rPr>
                <w:color w:val="auto"/>
                <w:sz w:val="20"/>
                <w:szCs w:val="21"/>
              </w:rPr>
              <w:t xml:space="preserve">its </w:t>
            </w:r>
            <w:r>
              <w:rPr>
                <w:color w:val="auto"/>
                <w:sz w:val="20"/>
                <w:szCs w:val="21"/>
              </w:rPr>
              <w:t>intermediate outcomes and EOFOs)</w:t>
            </w:r>
            <w:r w:rsidRPr="00C727D1">
              <w:rPr>
                <w:color w:val="auto"/>
                <w:sz w:val="20"/>
                <w:szCs w:val="21"/>
              </w:rPr>
              <w:t>? Why or why not?</w:t>
            </w:r>
          </w:p>
        </w:tc>
      </w:tr>
      <w:tr w:rsidR="00001E3C" w:rsidTr="00C727D1">
        <w:tc>
          <w:tcPr>
            <w:tcW w:w="1413" w:type="dxa"/>
            <w:vAlign w:val="center"/>
          </w:tcPr>
          <w:p w:rsidR="00001E3C" w:rsidRPr="00C727D1" w:rsidRDefault="00001E3C" w:rsidP="00034714">
            <w:pPr>
              <w:pStyle w:val="BodyText"/>
              <w:spacing w:before="60" w:line="280" w:lineRule="exact"/>
              <w:jc w:val="center"/>
              <w:rPr>
                <w:color w:val="auto"/>
                <w:sz w:val="20"/>
                <w:szCs w:val="21"/>
              </w:rPr>
            </w:pPr>
            <w:r w:rsidRPr="00C727D1">
              <w:rPr>
                <w:color w:val="auto"/>
                <w:sz w:val="20"/>
                <w:szCs w:val="21"/>
              </w:rPr>
              <w:t>Relevance</w:t>
            </w:r>
          </w:p>
        </w:tc>
        <w:tc>
          <w:tcPr>
            <w:tcW w:w="8221" w:type="dxa"/>
            <w:vAlign w:val="center"/>
          </w:tcPr>
          <w:p w:rsidR="00001E3C" w:rsidRPr="00C727D1" w:rsidRDefault="00001E3C" w:rsidP="00034714">
            <w:pPr>
              <w:pStyle w:val="BodyText"/>
              <w:spacing w:before="60" w:line="280" w:lineRule="exact"/>
              <w:jc w:val="both"/>
              <w:rPr>
                <w:color w:val="auto"/>
                <w:sz w:val="20"/>
                <w:szCs w:val="21"/>
              </w:rPr>
            </w:pPr>
            <w:r w:rsidRPr="00C727D1">
              <w:rPr>
                <w:color w:val="auto"/>
                <w:sz w:val="20"/>
                <w:szCs w:val="21"/>
              </w:rPr>
              <w:t>How well are TASS activities and outputs meeting needs and priorities, and responding to changing circumstances?</w:t>
            </w:r>
          </w:p>
        </w:tc>
      </w:tr>
      <w:tr w:rsidR="00001E3C" w:rsidTr="00C727D1">
        <w:tc>
          <w:tcPr>
            <w:tcW w:w="1413" w:type="dxa"/>
            <w:vAlign w:val="center"/>
          </w:tcPr>
          <w:p w:rsidR="00001E3C" w:rsidRPr="00C727D1" w:rsidRDefault="00001E3C" w:rsidP="00034714">
            <w:pPr>
              <w:pStyle w:val="BodyText"/>
              <w:spacing w:before="60" w:line="280" w:lineRule="exact"/>
              <w:jc w:val="center"/>
              <w:rPr>
                <w:color w:val="auto"/>
                <w:sz w:val="20"/>
                <w:szCs w:val="21"/>
              </w:rPr>
            </w:pPr>
            <w:r w:rsidRPr="00C727D1">
              <w:rPr>
                <w:color w:val="auto"/>
                <w:sz w:val="20"/>
                <w:szCs w:val="21"/>
              </w:rPr>
              <w:t>Efficiency</w:t>
            </w:r>
          </w:p>
        </w:tc>
        <w:tc>
          <w:tcPr>
            <w:tcW w:w="8221" w:type="dxa"/>
            <w:vAlign w:val="center"/>
          </w:tcPr>
          <w:p w:rsidR="00001E3C" w:rsidRPr="00C727D1" w:rsidRDefault="00001E3C" w:rsidP="00034714">
            <w:pPr>
              <w:pStyle w:val="BodyText"/>
              <w:spacing w:before="60" w:line="280" w:lineRule="exact"/>
              <w:jc w:val="both"/>
              <w:rPr>
                <w:color w:val="auto"/>
                <w:sz w:val="20"/>
                <w:szCs w:val="21"/>
              </w:rPr>
            </w:pPr>
            <w:r w:rsidRPr="00C727D1">
              <w:rPr>
                <w:color w:val="auto"/>
                <w:sz w:val="20"/>
                <w:szCs w:val="21"/>
              </w:rPr>
              <w:t>To what extent is TASS targeting investments to activities that are likely to make the greatest impact?</w:t>
            </w:r>
          </w:p>
        </w:tc>
      </w:tr>
      <w:tr w:rsidR="00001E3C" w:rsidTr="00C727D1">
        <w:tc>
          <w:tcPr>
            <w:tcW w:w="1413" w:type="dxa"/>
            <w:vAlign w:val="center"/>
          </w:tcPr>
          <w:p w:rsidR="00001E3C" w:rsidRPr="00C727D1" w:rsidRDefault="00001E3C" w:rsidP="00034714">
            <w:pPr>
              <w:pStyle w:val="BodyText"/>
              <w:spacing w:before="60" w:line="280" w:lineRule="exact"/>
              <w:jc w:val="center"/>
              <w:rPr>
                <w:color w:val="auto"/>
                <w:sz w:val="20"/>
                <w:szCs w:val="21"/>
              </w:rPr>
            </w:pPr>
            <w:r w:rsidRPr="00C727D1">
              <w:rPr>
                <w:color w:val="auto"/>
                <w:sz w:val="20"/>
                <w:szCs w:val="21"/>
              </w:rPr>
              <w:t>Learning</w:t>
            </w:r>
          </w:p>
        </w:tc>
        <w:tc>
          <w:tcPr>
            <w:tcW w:w="8221" w:type="dxa"/>
            <w:vAlign w:val="center"/>
          </w:tcPr>
          <w:p w:rsidR="00001E3C" w:rsidRPr="00C727D1" w:rsidRDefault="00001E3C" w:rsidP="00034714">
            <w:pPr>
              <w:pStyle w:val="BodyText"/>
              <w:spacing w:before="60" w:line="280" w:lineRule="exact"/>
              <w:jc w:val="both"/>
              <w:rPr>
                <w:color w:val="auto"/>
                <w:sz w:val="20"/>
                <w:szCs w:val="21"/>
              </w:rPr>
            </w:pPr>
            <w:r w:rsidRPr="00C727D1">
              <w:rPr>
                <w:color w:val="auto"/>
                <w:sz w:val="20"/>
                <w:szCs w:val="21"/>
              </w:rPr>
              <w:t>What lessons can be drawn from the TASS experience?</w:t>
            </w:r>
          </w:p>
        </w:tc>
      </w:tr>
    </w:tbl>
    <w:p w:rsidR="00FC3C14" w:rsidRDefault="00E15B8D" w:rsidP="00FC3C14">
      <w:pPr>
        <w:pStyle w:val="BodyText"/>
        <w:spacing w:after="120" w:line="280" w:lineRule="exact"/>
        <w:jc w:val="both"/>
        <w:rPr>
          <w:color w:val="auto"/>
          <w:sz w:val="21"/>
          <w:szCs w:val="21"/>
        </w:rPr>
      </w:pPr>
      <w:r w:rsidRPr="00133962">
        <w:rPr>
          <w:color w:val="auto"/>
          <w:sz w:val="21"/>
          <w:szCs w:val="21"/>
        </w:rPr>
        <w:t xml:space="preserve">The </w:t>
      </w:r>
      <w:r w:rsidR="00DD7528">
        <w:rPr>
          <w:color w:val="auto"/>
          <w:sz w:val="21"/>
          <w:szCs w:val="21"/>
        </w:rPr>
        <w:t xml:space="preserve">mid-point and end-point </w:t>
      </w:r>
      <w:r>
        <w:rPr>
          <w:color w:val="auto"/>
          <w:sz w:val="21"/>
          <w:szCs w:val="21"/>
        </w:rPr>
        <w:t xml:space="preserve">evaluation </w:t>
      </w:r>
      <w:r w:rsidRPr="00133962">
        <w:rPr>
          <w:color w:val="auto"/>
          <w:sz w:val="21"/>
          <w:szCs w:val="21"/>
        </w:rPr>
        <w:t>studies draw on a modified success case method in which the evaluation deliberately examines the most and least successful activities in terms of the application of TASS’s expected way</w:t>
      </w:r>
      <w:r w:rsidR="0063730E">
        <w:rPr>
          <w:color w:val="auto"/>
          <w:sz w:val="21"/>
          <w:szCs w:val="21"/>
        </w:rPr>
        <w:t>s</w:t>
      </w:r>
      <w:r w:rsidRPr="00133962">
        <w:rPr>
          <w:color w:val="auto"/>
          <w:sz w:val="21"/>
          <w:szCs w:val="21"/>
        </w:rPr>
        <w:t xml:space="preserve"> of working.</w:t>
      </w:r>
      <w:r w:rsidR="00FC3C14">
        <w:rPr>
          <w:color w:val="auto"/>
          <w:sz w:val="21"/>
          <w:szCs w:val="21"/>
        </w:rPr>
        <w:t xml:space="preserve"> </w:t>
      </w:r>
      <w:r w:rsidR="00FC3C14" w:rsidRPr="00133962">
        <w:rPr>
          <w:color w:val="auto"/>
          <w:sz w:val="21"/>
          <w:szCs w:val="21"/>
        </w:rPr>
        <w:t xml:space="preserve">The </w:t>
      </w:r>
      <w:r w:rsidR="00DD7528">
        <w:rPr>
          <w:color w:val="auto"/>
          <w:sz w:val="21"/>
          <w:szCs w:val="21"/>
        </w:rPr>
        <w:t>two</w:t>
      </w:r>
      <w:r w:rsidR="00FC3C14" w:rsidRPr="00133962">
        <w:rPr>
          <w:color w:val="auto"/>
          <w:sz w:val="21"/>
          <w:szCs w:val="21"/>
        </w:rPr>
        <w:t xml:space="preserve"> evaluations are led by TASS’s International M&amp;E Specialist and National M&amp;E Specialist (both of whom are on draw-down STA contracts for the duration of TASS). They are not involved in the design or implementation of the activities but their long-term involvement in the TASS facility provides a cost-effective approach to internal learning</w:t>
      </w:r>
      <w:r w:rsidR="002246FF">
        <w:rPr>
          <w:rStyle w:val="FootnoteReference"/>
          <w:color w:val="auto"/>
          <w:sz w:val="21"/>
          <w:szCs w:val="21"/>
        </w:rPr>
        <w:footnoteReference w:id="3"/>
      </w:r>
      <w:r w:rsidR="00FC3C14" w:rsidRPr="00133962">
        <w:rPr>
          <w:color w:val="auto"/>
          <w:sz w:val="21"/>
          <w:szCs w:val="21"/>
        </w:rPr>
        <w:t xml:space="preserve">. </w:t>
      </w:r>
    </w:p>
    <w:p w:rsidR="00FC3C14" w:rsidRDefault="00FC3C14" w:rsidP="00A5181B">
      <w:pPr>
        <w:pStyle w:val="BodyText"/>
        <w:spacing w:after="120" w:line="280" w:lineRule="exact"/>
        <w:jc w:val="both"/>
        <w:rPr>
          <w:color w:val="auto"/>
          <w:sz w:val="21"/>
          <w:szCs w:val="21"/>
        </w:rPr>
      </w:pPr>
      <w:r>
        <w:rPr>
          <w:color w:val="auto"/>
          <w:sz w:val="21"/>
          <w:szCs w:val="21"/>
        </w:rPr>
        <w:t xml:space="preserve">Beyond the evaluation studies, </w:t>
      </w:r>
      <w:r w:rsidR="00A5181B" w:rsidRPr="00133962">
        <w:rPr>
          <w:color w:val="auto"/>
          <w:sz w:val="21"/>
          <w:szCs w:val="21"/>
        </w:rPr>
        <w:t>TASS nurtures evaluation-thinking culture by using and critically appraising program theory (e.g. in annual reviews), undertaking periodic reviews and reflective thinking after the completion of key activities,</w:t>
      </w:r>
      <w:r w:rsidR="00FF429F">
        <w:rPr>
          <w:color w:val="auto"/>
          <w:sz w:val="21"/>
          <w:szCs w:val="21"/>
        </w:rPr>
        <w:t xml:space="preserve"> and</w:t>
      </w:r>
      <w:r w:rsidR="00A5181B" w:rsidRPr="00133962">
        <w:rPr>
          <w:color w:val="auto"/>
          <w:sz w:val="21"/>
          <w:szCs w:val="21"/>
        </w:rPr>
        <w:t xml:space="preserve"> sharing the learning that arises from the various M&amp;E activities. </w:t>
      </w:r>
    </w:p>
    <w:p w:rsidR="00A5181B" w:rsidRPr="00133962" w:rsidRDefault="002B57B4" w:rsidP="00A5181B">
      <w:pPr>
        <w:pStyle w:val="BodyText"/>
        <w:spacing w:after="120" w:line="280" w:lineRule="exact"/>
        <w:jc w:val="both"/>
        <w:rPr>
          <w:color w:val="auto"/>
          <w:sz w:val="21"/>
          <w:szCs w:val="21"/>
        </w:rPr>
      </w:pPr>
      <w:r>
        <w:rPr>
          <w:color w:val="auto"/>
          <w:sz w:val="21"/>
          <w:szCs w:val="21"/>
        </w:rPr>
        <w:t xml:space="preserve">Given the complicated, often complex, nature of the change processes TASS supports, TASS does not </w:t>
      </w:r>
      <w:r w:rsidR="00456EF0">
        <w:rPr>
          <w:color w:val="auto"/>
          <w:sz w:val="21"/>
          <w:szCs w:val="21"/>
        </w:rPr>
        <w:t xml:space="preserve">collect baseline data in a manner akin to simple interventions </w:t>
      </w:r>
      <w:r w:rsidR="00547AF5">
        <w:rPr>
          <w:color w:val="auto"/>
          <w:sz w:val="21"/>
          <w:szCs w:val="21"/>
        </w:rPr>
        <w:t xml:space="preserve">where there are direct causal links. TASS’s mapping of sectoral </w:t>
      </w:r>
      <w:r w:rsidR="00DD7528">
        <w:rPr>
          <w:color w:val="auto"/>
          <w:sz w:val="21"/>
          <w:szCs w:val="21"/>
        </w:rPr>
        <w:t>priorities</w:t>
      </w:r>
      <w:r w:rsidR="00547AF5">
        <w:rPr>
          <w:color w:val="auto"/>
          <w:sz w:val="21"/>
          <w:szCs w:val="21"/>
        </w:rPr>
        <w:t xml:space="preserve"> in 2017 and the scoping exercises for specific investments provide</w:t>
      </w:r>
      <w:r w:rsidR="00C232AA">
        <w:rPr>
          <w:color w:val="auto"/>
          <w:sz w:val="21"/>
          <w:szCs w:val="21"/>
        </w:rPr>
        <w:t xml:space="preserve"> general descriptions of the ‘state of play’ </w:t>
      </w:r>
      <w:r w:rsidR="008111CF">
        <w:rPr>
          <w:color w:val="auto"/>
          <w:sz w:val="21"/>
          <w:szCs w:val="21"/>
        </w:rPr>
        <w:t>in particular contexts. These can be used for comparative before-and-after purposes and are supplemented by theory-based</w:t>
      </w:r>
      <w:r w:rsidR="00102D18">
        <w:rPr>
          <w:color w:val="auto"/>
          <w:sz w:val="21"/>
          <w:szCs w:val="21"/>
        </w:rPr>
        <w:t xml:space="preserve"> (i.e. forward-looking)</w:t>
      </w:r>
      <w:r w:rsidR="008111CF">
        <w:rPr>
          <w:color w:val="auto"/>
          <w:sz w:val="21"/>
          <w:szCs w:val="21"/>
        </w:rPr>
        <w:t xml:space="preserve"> </w:t>
      </w:r>
      <w:r w:rsidR="00102D18">
        <w:rPr>
          <w:color w:val="auto"/>
          <w:sz w:val="21"/>
          <w:szCs w:val="21"/>
        </w:rPr>
        <w:t>and/</w:t>
      </w:r>
      <w:r w:rsidR="008111CF">
        <w:rPr>
          <w:color w:val="auto"/>
          <w:sz w:val="21"/>
          <w:szCs w:val="21"/>
        </w:rPr>
        <w:t>or case-centric</w:t>
      </w:r>
      <w:r w:rsidR="00102D18">
        <w:rPr>
          <w:color w:val="auto"/>
          <w:sz w:val="21"/>
          <w:szCs w:val="21"/>
        </w:rPr>
        <w:t xml:space="preserve"> (i.e. backward-looking)</w:t>
      </w:r>
      <w:r w:rsidR="008111CF">
        <w:rPr>
          <w:color w:val="auto"/>
          <w:sz w:val="21"/>
          <w:szCs w:val="21"/>
        </w:rPr>
        <w:t xml:space="preserve"> </w:t>
      </w:r>
      <w:r w:rsidR="00102D18">
        <w:rPr>
          <w:color w:val="auto"/>
          <w:sz w:val="21"/>
          <w:szCs w:val="21"/>
        </w:rPr>
        <w:t>measures to understand the direction, extent and drivers of travel</w:t>
      </w:r>
      <w:r w:rsidR="0025618C">
        <w:rPr>
          <w:color w:val="auto"/>
          <w:sz w:val="21"/>
          <w:szCs w:val="21"/>
        </w:rPr>
        <w:t>, particularly during the mid-point and end-point evaluations</w:t>
      </w:r>
      <w:r w:rsidR="00102D18">
        <w:rPr>
          <w:color w:val="auto"/>
          <w:sz w:val="21"/>
          <w:szCs w:val="21"/>
        </w:rPr>
        <w:t xml:space="preserve">. </w:t>
      </w:r>
    </w:p>
    <w:p w:rsidR="00625F83" w:rsidRPr="00C40608" w:rsidRDefault="00625F83" w:rsidP="00625F83">
      <w:pPr>
        <w:tabs>
          <w:tab w:val="left" w:pos="284"/>
        </w:tabs>
        <w:suppressAutoHyphens w:val="0"/>
        <w:spacing w:after="120" w:line="280" w:lineRule="exact"/>
        <w:rPr>
          <w:color w:val="3DA18F" w:themeColor="accent1" w:themeShade="BF"/>
          <w:sz w:val="21"/>
          <w:szCs w:val="21"/>
        </w:rPr>
      </w:pPr>
      <w:r w:rsidRPr="00C40608">
        <w:rPr>
          <w:color w:val="3DA18F" w:themeColor="accent1" w:themeShade="BF"/>
          <w:sz w:val="21"/>
          <w:szCs w:val="21"/>
        </w:rPr>
        <w:t>TASS M&amp;E as an evolving practice</w:t>
      </w:r>
    </w:p>
    <w:p w:rsidR="00625F83" w:rsidRPr="00C727D1" w:rsidRDefault="00625F83" w:rsidP="00625F83">
      <w:pPr>
        <w:pStyle w:val="BodyText"/>
        <w:spacing w:after="120" w:line="280" w:lineRule="exact"/>
        <w:jc w:val="both"/>
        <w:rPr>
          <w:color w:val="auto"/>
          <w:sz w:val="21"/>
          <w:szCs w:val="21"/>
        </w:rPr>
      </w:pPr>
      <w:r w:rsidRPr="00C727D1">
        <w:rPr>
          <w:color w:val="auto"/>
          <w:sz w:val="21"/>
          <w:szCs w:val="21"/>
        </w:rPr>
        <w:t xml:space="preserve">The TASS M&amp;E Plan is a living document. The annual plans are adapted to reflect the evolving nature of the facility and the lessons learned through ongoing monitoring of activities and outcomes, and periodic reflection. Updates are captured and submitted to DFAT alongside the Annual Work Plan and are discussed with TASS stakeholders as and when required. </w:t>
      </w:r>
    </w:p>
    <w:p w:rsidR="000B72B1" w:rsidRDefault="000B72B1" w:rsidP="000B72B1">
      <w:pPr>
        <w:tabs>
          <w:tab w:val="left" w:pos="284"/>
        </w:tabs>
        <w:suppressAutoHyphens w:val="0"/>
        <w:spacing w:after="120" w:line="280" w:lineRule="exact"/>
        <w:rPr>
          <w:sz w:val="21"/>
          <w:szCs w:val="21"/>
        </w:rPr>
      </w:pPr>
      <w:r w:rsidRPr="000B72B1">
        <w:rPr>
          <w:color w:val="3DA18F" w:themeColor="accent1" w:themeShade="BF"/>
          <w:sz w:val="21"/>
          <w:szCs w:val="21"/>
        </w:rPr>
        <w:t>Standards</w:t>
      </w:r>
    </w:p>
    <w:p w:rsidR="00625F83" w:rsidRDefault="000B72B1" w:rsidP="00625F83">
      <w:pPr>
        <w:tabs>
          <w:tab w:val="left" w:pos="284"/>
        </w:tabs>
        <w:suppressAutoHyphens w:val="0"/>
        <w:spacing w:before="0" w:line="280" w:lineRule="exact"/>
        <w:rPr>
          <w:color w:val="000000" w:themeColor="text1"/>
          <w:sz w:val="21"/>
          <w:szCs w:val="21"/>
        </w:rPr>
      </w:pPr>
      <w:r w:rsidRPr="00C727D1">
        <w:rPr>
          <w:color w:val="auto"/>
          <w:sz w:val="21"/>
          <w:szCs w:val="21"/>
        </w:rPr>
        <w:t xml:space="preserve">TASS’s M&amp;E activities are guided by DFAT’s </w:t>
      </w:r>
      <w:r w:rsidRPr="00C727D1">
        <w:rPr>
          <w:i/>
          <w:color w:val="auto"/>
          <w:sz w:val="21"/>
          <w:szCs w:val="21"/>
        </w:rPr>
        <w:t>Monitoring and Evaluation Standards</w:t>
      </w:r>
      <w:r w:rsidRPr="00C727D1">
        <w:rPr>
          <w:color w:val="auto"/>
          <w:sz w:val="21"/>
          <w:szCs w:val="21"/>
        </w:rPr>
        <w:t xml:space="preserve"> and the Australian Evaluation Society’s </w:t>
      </w:r>
      <w:r w:rsidRPr="00C727D1">
        <w:rPr>
          <w:i/>
          <w:color w:val="auto"/>
          <w:sz w:val="21"/>
          <w:szCs w:val="21"/>
        </w:rPr>
        <w:t>Guidelines for the Ethical Conduct of Evaluations</w:t>
      </w:r>
      <w:r w:rsidRPr="00C727D1">
        <w:rPr>
          <w:color w:val="auto"/>
          <w:sz w:val="21"/>
          <w:szCs w:val="21"/>
        </w:rPr>
        <w:t xml:space="preserve">. </w:t>
      </w:r>
    </w:p>
    <w:p w:rsidR="004E3118" w:rsidRDefault="004E3118" w:rsidP="00C26D7E">
      <w:pPr>
        <w:suppressAutoHyphens w:val="0"/>
        <w:spacing w:before="0" w:after="120" w:line="440" w:lineRule="atLeast"/>
        <w:rPr>
          <w:rFonts w:cs="Arial"/>
          <w:sz w:val="21"/>
          <w:szCs w:val="21"/>
          <w:lang w:eastAsia="en-AU"/>
        </w:rPr>
      </w:pPr>
    </w:p>
    <w:p w:rsidR="004E3118" w:rsidRDefault="004E3118" w:rsidP="00C26D7E">
      <w:pPr>
        <w:suppressAutoHyphens w:val="0"/>
        <w:spacing w:before="0" w:after="120" w:line="440" w:lineRule="atLeast"/>
        <w:rPr>
          <w:rFonts w:cs="Arial"/>
          <w:sz w:val="21"/>
          <w:szCs w:val="21"/>
          <w:lang w:eastAsia="en-AU"/>
        </w:rPr>
        <w:sectPr w:rsidR="004E3118" w:rsidSect="00B87C9B">
          <w:pgSz w:w="11906" w:h="16838" w:code="9"/>
          <w:pgMar w:top="1701" w:right="1134" w:bottom="1418" w:left="1134" w:header="425" w:footer="493" w:gutter="0"/>
          <w:cols w:space="397"/>
          <w:titlePg/>
          <w:docGrid w:linePitch="360"/>
        </w:sectPr>
      </w:pPr>
    </w:p>
    <w:p w:rsidR="004E3118" w:rsidRDefault="004E3118" w:rsidP="00C26D7E">
      <w:pPr>
        <w:suppressAutoHyphens w:val="0"/>
        <w:spacing w:before="0" w:after="120" w:line="440" w:lineRule="atLeast"/>
        <w:rPr>
          <w:rFonts w:cs="Arial"/>
          <w:sz w:val="21"/>
          <w:szCs w:val="21"/>
          <w:lang w:eastAsia="en-AU"/>
        </w:rPr>
      </w:pPr>
    </w:p>
    <w:p w:rsidR="00600EEF" w:rsidRDefault="00600EEF" w:rsidP="00C26D7E">
      <w:pPr>
        <w:suppressAutoHyphens w:val="0"/>
        <w:spacing w:before="0" w:after="120" w:line="440" w:lineRule="atLeast"/>
        <w:rPr>
          <w:rFonts w:cs="Arial"/>
          <w:sz w:val="21"/>
          <w:szCs w:val="21"/>
          <w:lang w:eastAsia="en-AU"/>
        </w:rPr>
      </w:pPr>
    </w:p>
    <w:p w:rsidR="00407346" w:rsidRPr="006633DA" w:rsidRDefault="004E3118" w:rsidP="00407346">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Pr>
          <w:rFonts w:asciiTheme="majorHAnsi" w:hAnsiTheme="majorHAnsi"/>
          <w:b/>
          <w:szCs w:val="21"/>
        </w:rPr>
        <w:t xml:space="preserve">Annex </w:t>
      </w:r>
      <w:r w:rsidR="00652F38">
        <w:rPr>
          <w:rFonts w:asciiTheme="majorHAnsi" w:hAnsiTheme="majorHAnsi"/>
          <w:b/>
          <w:szCs w:val="21"/>
        </w:rPr>
        <w:t>G</w:t>
      </w:r>
      <w:r>
        <w:rPr>
          <w:rFonts w:asciiTheme="majorHAnsi" w:hAnsiTheme="majorHAnsi"/>
          <w:b/>
          <w:szCs w:val="21"/>
        </w:rPr>
        <w:t xml:space="preserve">: Budget Summary  </w:t>
      </w:r>
    </w:p>
    <w:tbl>
      <w:tblPr>
        <w:tblStyle w:val="TableGrid"/>
        <w:tblW w:w="13887" w:type="dxa"/>
        <w:tblLook w:val="04A0" w:firstRow="1" w:lastRow="0" w:firstColumn="1" w:lastColumn="0" w:noHBand="0" w:noVBand="1"/>
      </w:tblPr>
      <w:tblGrid>
        <w:gridCol w:w="3209"/>
        <w:gridCol w:w="2031"/>
        <w:gridCol w:w="8647"/>
      </w:tblGrid>
      <w:tr w:rsidR="0019553F" w:rsidTr="00034714">
        <w:tc>
          <w:tcPr>
            <w:tcW w:w="3209" w:type="dxa"/>
            <w:shd w:val="clear" w:color="auto" w:fill="C1E7E0" w:themeFill="accent1" w:themeFillTint="66"/>
            <w:vAlign w:val="center"/>
          </w:tcPr>
          <w:p w:rsidR="0019553F" w:rsidRDefault="0019553F" w:rsidP="00034714">
            <w:pPr>
              <w:pStyle w:val="SpacebeforeTitle"/>
              <w:spacing w:after="120"/>
              <w:jc w:val="center"/>
              <w:rPr>
                <w:color w:val="000000" w:themeColor="text1"/>
                <w:sz w:val="21"/>
                <w:szCs w:val="21"/>
              </w:rPr>
            </w:pPr>
            <w:r>
              <w:rPr>
                <w:color w:val="000000" w:themeColor="text1"/>
                <w:sz w:val="21"/>
                <w:szCs w:val="21"/>
              </w:rPr>
              <w:t>Item</w:t>
            </w:r>
          </w:p>
        </w:tc>
        <w:tc>
          <w:tcPr>
            <w:tcW w:w="2031" w:type="dxa"/>
            <w:shd w:val="clear" w:color="auto" w:fill="C1E7E0" w:themeFill="accent1" w:themeFillTint="66"/>
            <w:vAlign w:val="center"/>
          </w:tcPr>
          <w:p w:rsidR="0019553F" w:rsidRDefault="0019553F" w:rsidP="00034714">
            <w:pPr>
              <w:pStyle w:val="SpacebeforeTitle"/>
              <w:spacing w:after="120"/>
              <w:jc w:val="center"/>
              <w:rPr>
                <w:color w:val="000000" w:themeColor="text1"/>
                <w:sz w:val="21"/>
                <w:szCs w:val="21"/>
              </w:rPr>
            </w:pPr>
            <w:r>
              <w:rPr>
                <w:color w:val="000000" w:themeColor="text1"/>
                <w:sz w:val="21"/>
                <w:szCs w:val="21"/>
              </w:rPr>
              <w:t>Maximum Amount Payable (AUD)</w:t>
            </w:r>
          </w:p>
        </w:tc>
        <w:tc>
          <w:tcPr>
            <w:tcW w:w="8647" w:type="dxa"/>
            <w:shd w:val="clear" w:color="auto" w:fill="C1E7E0" w:themeFill="accent1" w:themeFillTint="66"/>
            <w:vAlign w:val="center"/>
          </w:tcPr>
          <w:p w:rsidR="0019553F" w:rsidRDefault="0019553F" w:rsidP="00034714">
            <w:pPr>
              <w:pStyle w:val="SpacebeforeTitle"/>
              <w:spacing w:after="120"/>
              <w:jc w:val="center"/>
              <w:rPr>
                <w:color w:val="000000" w:themeColor="text1"/>
                <w:sz w:val="21"/>
                <w:szCs w:val="21"/>
              </w:rPr>
            </w:pPr>
            <w:r>
              <w:rPr>
                <w:color w:val="000000" w:themeColor="text1"/>
                <w:sz w:val="21"/>
                <w:szCs w:val="21"/>
              </w:rPr>
              <w:t>Notes</w:t>
            </w:r>
          </w:p>
        </w:tc>
      </w:tr>
      <w:tr w:rsidR="0019553F" w:rsidRPr="0061025F" w:rsidTr="00034714">
        <w:tc>
          <w:tcPr>
            <w:tcW w:w="3209"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Management fees</w:t>
            </w:r>
          </w:p>
        </w:tc>
        <w:tc>
          <w:tcPr>
            <w:tcW w:w="2031"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1,739,179</w:t>
            </w:r>
          </w:p>
        </w:tc>
        <w:tc>
          <w:tcPr>
            <w:tcW w:w="8647" w:type="dxa"/>
            <w:vAlign w:val="center"/>
          </w:tcPr>
          <w:p w:rsidR="0019553F" w:rsidRPr="0061025F" w:rsidRDefault="00D106D1" w:rsidP="00034714">
            <w:pPr>
              <w:pStyle w:val="SpacebeforeTitle"/>
              <w:spacing w:after="120" w:line="280" w:lineRule="exact"/>
              <w:rPr>
                <w:color w:val="000000" w:themeColor="text1"/>
                <w:sz w:val="20"/>
                <w:szCs w:val="21"/>
              </w:rPr>
            </w:pPr>
            <w:r>
              <w:rPr>
                <w:color w:val="000000" w:themeColor="text1"/>
                <w:sz w:val="20"/>
                <w:szCs w:val="21"/>
              </w:rPr>
              <w:t>Including</w:t>
            </w:r>
            <w:r w:rsidR="0019553F">
              <w:rPr>
                <w:color w:val="000000" w:themeColor="text1"/>
                <w:sz w:val="20"/>
                <w:szCs w:val="21"/>
              </w:rPr>
              <w:t xml:space="preserve"> monthly payments and </w:t>
            </w:r>
            <w:r>
              <w:rPr>
                <w:color w:val="000000" w:themeColor="text1"/>
                <w:sz w:val="20"/>
                <w:szCs w:val="21"/>
              </w:rPr>
              <w:t xml:space="preserve">provision for </w:t>
            </w:r>
            <w:r w:rsidR="0019553F">
              <w:rPr>
                <w:color w:val="000000" w:themeColor="text1"/>
                <w:sz w:val="20"/>
                <w:szCs w:val="21"/>
              </w:rPr>
              <w:t>six-monthly performance-related payments.</w:t>
            </w:r>
          </w:p>
        </w:tc>
      </w:tr>
      <w:tr w:rsidR="0019553F" w:rsidRPr="0061025F" w:rsidTr="00034714">
        <w:tc>
          <w:tcPr>
            <w:tcW w:w="3209"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Personnel</w:t>
            </w:r>
          </w:p>
        </w:tc>
        <w:tc>
          <w:tcPr>
            <w:tcW w:w="2031"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2,621,532</w:t>
            </w:r>
          </w:p>
        </w:tc>
        <w:tc>
          <w:tcPr>
            <w:tcW w:w="8647" w:type="dxa"/>
            <w:vAlign w:val="center"/>
          </w:tcPr>
          <w:p w:rsidR="0019553F" w:rsidRPr="0061025F" w:rsidRDefault="0019553F" w:rsidP="00034714">
            <w:pPr>
              <w:pStyle w:val="SpacebeforeTitle"/>
              <w:spacing w:after="120" w:line="280" w:lineRule="exact"/>
              <w:rPr>
                <w:color w:val="000000" w:themeColor="text1"/>
                <w:sz w:val="20"/>
                <w:szCs w:val="21"/>
              </w:rPr>
            </w:pPr>
            <w:r>
              <w:rPr>
                <w:color w:val="000000" w:themeColor="text1"/>
                <w:sz w:val="20"/>
                <w:szCs w:val="21"/>
              </w:rPr>
              <w:t>Includes long-term advisors (e.g. the Facility Director, Facility Manager, Planning and Quality Assurance Manager), short-term advisors on draw-down contracts, and staff undertaking financial and administrative functions.</w:t>
            </w:r>
          </w:p>
        </w:tc>
      </w:tr>
      <w:tr w:rsidR="0019553F" w:rsidRPr="0061025F" w:rsidTr="00034714">
        <w:tc>
          <w:tcPr>
            <w:tcW w:w="3209"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Advisor Support Costs</w:t>
            </w:r>
          </w:p>
        </w:tc>
        <w:tc>
          <w:tcPr>
            <w:tcW w:w="2031"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787,063</w:t>
            </w:r>
          </w:p>
        </w:tc>
        <w:tc>
          <w:tcPr>
            <w:tcW w:w="8647" w:type="dxa"/>
            <w:vAlign w:val="center"/>
          </w:tcPr>
          <w:p w:rsidR="0019553F" w:rsidRPr="0061025F" w:rsidRDefault="0019553F" w:rsidP="00034714">
            <w:pPr>
              <w:pStyle w:val="SpacebeforeTitle"/>
              <w:spacing w:after="120" w:line="280" w:lineRule="exact"/>
              <w:rPr>
                <w:color w:val="000000" w:themeColor="text1"/>
                <w:sz w:val="20"/>
                <w:szCs w:val="21"/>
              </w:rPr>
            </w:pPr>
            <w:r>
              <w:rPr>
                <w:color w:val="000000" w:themeColor="text1"/>
                <w:sz w:val="20"/>
                <w:szCs w:val="21"/>
              </w:rPr>
              <w:t>Costs associated with the deployment of long-term advisors (e.g. mobilisation, demobilisation) and short-term advisors (e.g. airfares, hotel accommodation).</w:t>
            </w:r>
          </w:p>
        </w:tc>
      </w:tr>
      <w:tr w:rsidR="0019553F" w:rsidRPr="0061025F" w:rsidTr="00034714">
        <w:tc>
          <w:tcPr>
            <w:tcW w:w="3209"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Operational Costs</w:t>
            </w:r>
          </w:p>
        </w:tc>
        <w:tc>
          <w:tcPr>
            <w:tcW w:w="2031"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466,400</w:t>
            </w:r>
          </w:p>
        </w:tc>
        <w:tc>
          <w:tcPr>
            <w:tcW w:w="8647" w:type="dxa"/>
            <w:vAlign w:val="center"/>
          </w:tcPr>
          <w:p w:rsidR="0019553F" w:rsidRPr="0061025F" w:rsidRDefault="0019553F" w:rsidP="00034714">
            <w:pPr>
              <w:pStyle w:val="SpacebeforeTitle"/>
              <w:spacing w:after="120" w:line="280" w:lineRule="exact"/>
              <w:rPr>
                <w:color w:val="000000" w:themeColor="text1"/>
                <w:sz w:val="20"/>
                <w:szCs w:val="21"/>
              </w:rPr>
            </w:pPr>
            <w:r>
              <w:rPr>
                <w:color w:val="000000" w:themeColor="text1"/>
                <w:sz w:val="20"/>
                <w:szCs w:val="21"/>
              </w:rPr>
              <w:t xml:space="preserve">Includes (but is not limited to) office rental and utilities, office maintenance costs, and IT equipment. </w:t>
            </w:r>
          </w:p>
        </w:tc>
      </w:tr>
      <w:tr w:rsidR="0019553F" w:rsidRPr="0061025F" w:rsidTr="00034714">
        <w:tc>
          <w:tcPr>
            <w:tcW w:w="3209"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Program Activity Costs</w:t>
            </w:r>
          </w:p>
        </w:tc>
        <w:tc>
          <w:tcPr>
            <w:tcW w:w="2031" w:type="dxa"/>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6,367,778</w:t>
            </w:r>
          </w:p>
        </w:tc>
        <w:tc>
          <w:tcPr>
            <w:tcW w:w="8647" w:type="dxa"/>
            <w:tcBorders>
              <w:bottom w:val="single" w:sz="4" w:space="0" w:color="auto"/>
            </w:tcBorders>
            <w:vAlign w:val="center"/>
          </w:tcPr>
          <w:p w:rsidR="0019553F" w:rsidRPr="0061025F" w:rsidRDefault="0019553F" w:rsidP="00034714">
            <w:pPr>
              <w:pStyle w:val="SpacebeforeTitle"/>
              <w:spacing w:after="120" w:line="280" w:lineRule="exact"/>
              <w:rPr>
                <w:color w:val="000000" w:themeColor="text1"/>
                <w:sz w:val="20"/>
                <w:szCs w:val="21"/>
              </w:rPr>
            </w:pPr>
            <w:r>
              <w:rPr>
                <w:color w:val="000000" w:themeColor="text1"/>
                <w:sz w:val="20"/>
                <w:szCs w:val="21"/>
              </w:rPr>
              <w:t>Can only be used for implementation of activities approved by DFAT. Items include (but are not limited to) activity-specific short-term advisors, their support costs, and the holding of conferences and seminars.</w:t>
            </w:r>
          </w:p>
        </w:tc>
      </w:tr>
      <w:tr w:rsidR="0019553F" w:rsidRPr="0061025F" w:rsidTr="00034714">
        <w:tc>
          <w:tcPr>
            <w:tcW w:w="3209" w:type="dxa"/>
            <w:shd w:val="clear" w:color="auto" w:fill="E0F3EF" w:themeFill="accent1" w:themeFillTint="33"/>
            <w:vAlign w:val="center"/>
          </w:tcPr>
          <w:p w:rsidR="0019553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Total Payment Summary</w:t>
            </w:r>
          </w:p>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(excluding GST)</w:t>
            </w:r>
          </w:p>
        </w:tc>
        <w:tc>
          <w:tcPr>
            <w:tcW w:w="2031" w:type="dxa"/>
            <w:shd w:val="clear" w:color="auto" w:fill="E0F3EF" w:themeFill="accent1" w:themeFillTint="33"/>
            <w:vAlign w:val="center"/>
          </w:tcPr>
          <w:p w:rsidR="0019553F" w:rsidRPr="0061025F" w:rsidRDefault="0019553F" w:rsidP="00034714">
            <w:pPr>
              <w:pStyle w:val="SpacebeforeTitle"/>
              <w:spacing w:after="120" w:line="280" w:lineRule="exact"/>
              <w:jc w:val="center"/>
              <w:rPr>
                <w:color w:val="000000" w:themeColor="text1"/>
                <w:sz w:val="20"/>
                <w:szCs w:val="21"/>
              </w:rPr>
            </w:pPr>
            <w:r w:rsidRPr="0061025F">
              <w:rPr>
                <w:color w:val="000000" w:themeColor="text1"/>
                <w:sz w:val="20"/>
                <w:szCs w:val="21"/>
              </w:rPr>
              <w:t>11,981,953</w:t>
            </w:r>
          </w:p>
        </w:tc>
        <w:tc>
          <w:tcPr>
            <w:tcW w:w="8647" w:type="dxa"/>
            <w:tcBorders>
              <w:bottom w:val="nil"/>
              <w:right w:val="nil"/>
            </w:tcBorders>
            <w:vAlign w:val="center"/>
          </w:tcPr>
          <w:p w:rsidR="0019553F" w:rsidRPr="0061025F" w:rsidRDefault="0019553F" w:rsidP="00034714">
            <w:pPr>
              <w:pStyle w:val="SpacebeforeTitle"/>
              <w:spacing w:after="120" w:line="280" w:lineRule="exact"/>
              <w:rPr>
                <w:color w:val="000000" w:themeColor="text1"/>
                <w:sz w:val="20"/>
                <w:szCs w:val="21"/>
              </w:rPr>
            </w:pPr>
          </w:p>
        </w:tc>
      </w:tr>
    </w:tbl>
    <w:p w:rsidR="00450B55" w:rsidRDefault="00450B55" w:rsidP="00450B55">
      <w:pPr>
        <w:suppressAutoHyphens w:val="0"/>
        <w:spacing w:before="0" w:after="120" w:line="440" w:lineRule="atLeast"/>
        <w:rPr>
          <w:rFonts w:cs="Arial"/>
          <w:sz w:val="21"/>
          <w:szCs w:val="21"/>
          <w:lang w:eastAsia="en-AU"/>
        </w:rPr>
      </w:pPr>
    </w:p>
    <w:p w:rsidR="00C26D7E" w:rsidRDefault="00C26D7E" w:rsidP="004504A7">
      <w:pPr>
        <w:suppressAutoHyphens w:val="0"/>
        <w:spacing w:before="0" w:after="120" w:line="440" w:lineRule="atLeast"/>
        <w:rPr>
          <w:rFonts w:cs="Arial"/>
          <w:sz w:val="21"/>
          <w:szCs w:val="21"/>
          <w:lang w:eastAsia="en-AU"/>
        </w:rPr>
        <w:sectPr w:rsidR="00C26D7E" w:rsidSect="00600EEF">
          <w:pgSz w:w="16838" w:h="11906" w:orient="landscape" w:code="9"/>
          <w:pgMar w:top="1134" w:right="1418" w:bottom="1134" w:left="1701" w:header="425" w:footer="493" w:gutter="0"/>
          <w:cols w:space="397"/>
          <w:titlePg/>
          <w:docGrid w:linePitch="360"/>
        </w:sectPr>
      </w:pPr>
    </w:p>
    <w:p w:rsidR="004504A7" w:rsidRDefault="004504A7">
      <w:pPr>
        <w:suppressAutoHyphens w:val="0"/>
        <w:spacing w:before="0" w:after="120" w:line="440" w:lineRule="atLeast"/>
        <w:rPr>
          <w:rFonts w:cs="Arial"/>
          <w:sz w:val="21"/>
          <w:szCs w:val="21"/>
          <w:lang w:eastAsia="en-AU"/>
        </w:rPr>
      </w:pPr>
    </w:p>
    <w:p w:rsidR="00943613" w:rsidRDefault="00943613">
      <w:pPr>
        <w:suppressAutoHyphens w:val="0"/>
        <w:spacing w:before="0" w:after="120" w:line="440" w:lineRule="atLeast"/>
        <w:rPr>
          <w:rFonts w:cs="Arial"/>
          <w:sz w:val="21"/>
          <w:szCs w:val="21"/>
          <w:lang w:eastAsia="en-AU"/>
        </w:rPr>
      </w:pPr>
    </w:p>
    <w:p w:rsidR="00F217DF" w:rsidRPr="006633DA" w:rsidRDefault="00F217DF" w:rsidP="00F217DF">
      <w:pPr>
        <w:pStyle w:val="ListParagraph"/>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ind w:left="0"/>
        <w:rPr>
          <w:rFonts w:asciiTheme="majorHAnsi" w:hAnsiTheme="majorHAnsi"/>
          <w:b/>
          <w:szCs w:val="21"/>
        </w:rPr>
      </w:pPr>
      <w:r w:rsidDel="00F217DF">
        <w:rPr>
          <w:rFonts w:cs="Arial"/>
          <w:sz w:val="21"/>
          <w:szCs w:val="21"/>
          <w:lang w:eastAsia="en-AU"/>
        </w:rPr>
        <w:t xml:space="preserve"> </w:t>
      </w:r>
      <w:r w:rsidRPr="00F217DF">
        <w:rPr>
          <w:rFonts w:asciiTheme="majorHAnsi" w:hAnsiTheme="majorHAnsi"/>
          <w:b/>
          <w:szCs w:val="21"/>
        </w:rPr>
        <w:t xml:space="preserve"> </w:t>
      </w:r>
      <w:r>
        <w:rPr>
          <w:rFonts w:asciiTheme="majorHAnsi" w:hAnsiTheme="majorHAnsi"/>
          <w:b/>
          <w:szCs w:val="21"/>
        </w:rPr>
        <w:t xml:space="preserve">Annex </w:t>
      </w:r>
      <w:r w:rsidR="00652F38">
        <w:rPr>
          <w:rFonts w:asciiTheme="majorHAnsi" w:hAnsiTheme="majorHAnsi"/>
          <w:b/>
          <w:szCs w:val="21"/>
        </w:rPr>
        <w:t>H</w:t>
      </w:r>
      <w:r>
        <w:rPr>
          <w:rFonts w:asciiTheme="majorHAnsi" w:hAnsiTheme="majorHAnsi"/>
          <w:b/>
          <w:szCs w:val="21"/>
        </w:rPr>
        <w:t>: Headline Risks (i.e. pre-</w:t>
      </w:r>
      <w:r w:rsidR="009B4B40">
        <w:rPr>
          <w:rFonts w:asciiTheme="majorHAnsi" w:hAnsiTheme="majorHAnsi"/>
          <w:b/>
          <w:szCs w:val="21"/>
        </w:rPr>
        <w:t>contro</w:t>
      </w:r>
      <w:r w:rsidR="003F600E">
        <w:rPr>
          <w:rFonts w:asciiTheme="majorHAnsi" w:hAnsiTheme="majorHAnsi"/>
          <w:b/>
          <w:szCs w:val="21"/>
        </w:rPr>
        <w:t xml:space="preserve">l and </w:t>
      </w:r>
      <w:r>
        <w:rPr>
          <w:rFonts w:asciiTheme="majorHAnsi" w:hAnsiTheme="majorHAnsi"/>
          <w:b/>
          <w:szCs w:val="21"/>
        </w:rPr>
        <w:t xml:space="preserve">treatment risk rating of </w:t>
      </w:r>
      <w:r w:rsidRPr="0083261A">
        <w:rPr>
          <w:rFonts w:asciiTheme="majorHAnsi" w:hAnsiTheme="majorHAnsi"/>
          <w:b/>
          <w:i/>
          <w:szCs w:val="21"/>
        </w:rPr>
        <w:t>Moderate</w:t>
      </w:r>
      <w:r>
        <w:rPr>
          <w:rFonts w:asciiTheme="majorHAnsi" w:hAnsiTheme="majorHAnsi"/>
          <w:b/>
          <w:szCs w:val="21"/>
        </w:rPr>
        <w:t xml:space="preserve">, </w:t>
      </w:r>
      <w:r w:rsidRPr="0083261A">
        <w:rPr>
          <w:rFonts w:asciiTheme="majorHAnsi" w:hAnsiTheme="majorHAnsi"/>
          <w:b/>
          <w:i/>
          <w:szCs w:val="21"/>
        </w:rPr>
        <w:t>High</w:t>
      </w:r>
      <w:r>
        <w:rPr>
          <w:rFonts w:asciiTheme="majorHAnsi" w:hAnsiTheme="majorHAnsi"/>
          <w:b/>
          <w:szCs w:val="21"/>
        </w:rPr>
        <w:t xml:space="preserve"> or </w:t>
      </w:r>
      <w:r w:rsidRPr="0083261A">
        <w:rPr>
          <w:rFonts w:asciiTheme="majorHAnsi" w:hAnsiTheme="majorHAnsi"/>
          <w:b/>
          <w:i/>
          <w:szCs w:val="21"/>
        </w:rPr>
        <w:t>Very High</w:t>
      </w:r>
      <w:r>
        <w:rPr>
          <w:rFonts w:asciiTheme="majorHAnsi" w:hAnsiTheme="majorHAnsi"/>
          <w:b/>
          <w:szCs w:val="21"/>
        </w:rPr>
        <w:t>)</w:t>
      </w:r>
    </w:p>
    <w:tbl>
      <w:tblPr>
        <w:tblStyle w:val="TableGrid"/>
        <w:tblW w:w="0" w:type="auto"/>
        <w:tblLayout w:type="fixed"/>
        <w:tblLook w:val="04A0" w:firstRow="1" w:lastRow="0" w:firstColumn="1" w:lastColumn="0" w:noHBand="0" w:noVBand="1"/>
      </w:tblPr>
      <w:tblGrid>
        <w:gridCol w:w="1838"/>
        <w:gridCol w:w="1134"/>
        <w:gridCol w:w="992"/>
        <w:gridCol w:w="1134"/>
        <w:gridCol w:w="4253"/>
        <w:gridCol w:w="1276"/>
        <w:gridCol w:w="1027"/>
        <w:gridCol w:w="1027"/>
        <w:gridCol w:w="1028"/>
      </w:tblGrid>
      <w:tr w:rsidR="00F217DF" w:rsidTr="00B101A4">
        <w:tc>
          <w:tcPr>
            <w:tcW w:w="1838" w:type="dxa"/>
            <w:vMerge w:val="restart"/>
            <w:shd w:val="clear" w:color="auto" w:fill="A2DCD1" w:themeFill="accent1" w:themeFillTint="99"/>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Risk event</w:t>
            </w:r>
          </w:p>
        </w:tc>
        <w:tc>
          <w:tcPr>
            <w:tcW w:w="3260" w:type="dxa"/>
            <w:gridSpan w:val="3"/>
            <w:shd w:val="clear" w:color="auto" w:fill="A2DCD1" w:themeFill="accent1" w:themeFillTint="99"/>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Risk rating (</w:t>
            </w:r>
            <w:r w:rsidR="00C14401">
              <w:rPr>
                <w:rFonts w:cs="Arial"/>
                <w:sz w:val="19"/>
                <w:szCs w:val="19"/>
                <w:lang w:eastAsia="en-AU"/>
              </w:rPr>
              <w:t>pre-</w:t>
            </w:r>
            <w:r w:rsidRPr="001753B6">
              <w:rPr>
                <w:rFonts w:cs="Arial"/>
                <w:sz w:val="19"/>
                <w:szCs w:val="19"/>
                <w:lang w:eastAsia="en-AU"/>
              </w:rPr>
              <w:t>controls</w:t>
            </w:r>
            <w:r w:rsidR="00DB765F">
              <w:rPr>
                <w:rFonts w:cs="Arial"/>
                <w:sz w:val="19"/>
                <w:szCs w:val="19"/>
                <w:lang w:eastAsia="en-AU"/>
              </w:rPr>
              <w:t xml:space="preserve"> &amp; treatments</w:t>
            </w:r>
            <w:r w:rsidRPr="001753B6">
              <w:rPr>
                <w:rFonts w:cs="Arial"/>
                <w:sz w:val="19"/>
                <w:szCs w:val="19"/>
                <w:lang w:eastAsia="en-AU"/>
              </w:rPr>
              <w:t>)</w:t>
            </w:r>
          </w:p>
        </w:tc>
        <w:tc>
          <w:tcPr>
            <w:tcW w:w="4253" w:type="dxa"/>
            <w:vMerge w:val="restart"/>
            <w:shd w:val="clear" w:color="auto" w:fill="A2DCD1" w:themeFill="accent1" w:themeFillTint="99"/>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Pr>
                <w:rFonts w:cs="Arial"/>
                <w:sz w:val="19"/>
                <w:szCs w:val="19"/>
                <w:lang w:eastAsia="en-AU"/>
              </w:rPr>
              <w:t xml:space="preserve">Headline </w:t>
            </w:r>
            <w:r w:rsidR="00DB765F">
              <w:rPr>
                <w:rFonts w:cs="Arial"/>
                <w:sz w:val="19"/>
                <w:szCs w:val="19"/>
                <w:lang w:eastAsia="en-AU"/>
              </w:rPr>
              <w:t xml:space="preserve">controls &amp; </w:t>
            </w:r>
            <w:r>
              <w:rPr>
                <w:rFonts w:cs="Arial"/>
                <w:sz w:val="19"/>
                <w:szCs w:val="19"/>
                <w:lang w:eastAsia="en-AU"/>
              </w:rPr>
              <w:t>t</w:t>
            </w:r>
            <w:r w:rsidRPr="001753B6">
              <w:rPr>
                <w:rFonts w:cs="Arial"/>
                <w:sz w:val="19"/>
                <w:szCs w:val="19"/>
                <w:lang w:eastAsia="en-AU"/>
              </w:rPr>
              <w:t>reatments</w:t>
            </w:r>
          </w:p>
        </w:tc>
        <w:tc>
          <w:tcPr>
            <w:tcW w:w="1276" w:type="dxa"/>
            <w:vMerge w:val="restart"/>
            <w:shd w:val="clear" w:color="auto" w:fill="A2DCD1" w:themeFill="accent1" w:themeFillTint="99"/>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Pr>
                <w:rFonts w:cs="Arial"/>
                <w:sz w:val="19"/>
                <w:szCs w:val="19"/>
                <w:lang w:eastAsia="en-AU"/>
              </w:rPr>
              <w:t>R</w:t>
            </w:r>
            <w:r w:rsidRPr="001753B6">
              <w:rPr>
                <w:rFonts w:cs="Arial"/>
                <w:sz w:val="19"/>
                <w:szCs w:val="19"/>
                <w:lang w:eastAsia="en-AU"/>
              </w:rPr>
              <w:t>esponsib</w:t>
            </w:r>
            <w:r>
              <w:rPr>
                <w:rFonts w:cs="Arial"/>
                <w:sz w:val="19"/>
                <w:szCs w:val="19"/>
                <w:lang w:eastAsia="en-AU"/>
              </w:rPr>
              <w:t>ility</w:t>
            </w:r>
            <w:r w:rsidRPr="001753B6">
              <w:rPr>
                <w:rFonts w:cs="Arial"/>
                <w:sz w:val="19"/>
                <w:szCs w:val="19"/>
                <w:lang w:eastAsia="en-AU"/>
              </w:rPr>
              <w:t xml:space="preserve"> (timetable)</w:t>
            </w:r>
          </w:p>
        </w:tc>
        <w:tc>
          <w:tcPr>
            <w:tcW w:w="3082" w:type="dxa"/>
            <w:gridSpan w:val="3"/>
            <w:shd w:val="clear" w:color="auto" w:fill="A2DCD1" w:themeFill="accent1" w:themeFillTint="99"/>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Pr>
                <w:rFonts w:cs="Arial"/>
                <w:sz w:val="19"/>
                <w:szCs w:val="19"/>
                <w:lang w:eastAsia="en-AU"/>
              </w:rPr>
              <w:t>Adjusted r</w:t>
            </w:r>
            <w:r w:rsidRPr="001753B6">
              <w:rPr>
                <w:rFonts w:cs="Arial"/>
                <w:sz w:val="19"/>
                <w:szCs w:val="19"/>
                <w:lang w:eastAsia="en-AU"/>
              </w:rPr>
              <w:t>isk rating</w:t>
            </w:r>
          </w:p>
        </w:tc>
      </w:tr>
      <w:tr w:rsidR="00F217DF" w:rsidTr="00B101A4">
        <w:tc>
          <w:tcPr>
            <w:tcW w:w="1838" w:type="dxa"/>
            <w:vMerge/>
          </w:tcPr>
          <w:p w:rsidR="00F217DF" w:rsidRPr="001753B6" w:rsidRDefault="00F217DF" w:rsidP="00034714">
            <w:pPr>
              <w:suppressAutoHyphens w:val="0"/>
              <w:spacing w:before="0" w:after="120" w:line="440" w:lineRule="atLeast"/>
              <w:rPr>
                <w:rFonts w:cs="Arial"/>
                <w:sz w:val="19"/>
                <w:szCs w:val="19"/>
                <w:lang w:eastAsia="en-AU"/>
              </w:rPr>
            </w:pPr>
          </w:p>
        </w:tc>
        <w:tc>
          <w:tcPr>
            <w:tcW w:w="1134" w:type="dxa"/>
            <w:shd w:val="clear" w:color="auto" w:fill="E0F3EF" w:themeFill="accent1" w:themeFillTint="33"/>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Likelihood</w:t>
            </w:r>
          </w:p>
        </w:tc>
        <w:tc>
          <w:tcPr>
            <w:tcW w:w="992" w:type="dxa"/>
            <w:shd w:val="clear" w:color="auto" w:fill="E0F3EF" w:themeFill="accent1" w:themeFillTint="33"/>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Conseq</w:t>
            </w:r>
            <w:r>
              <w:rPr>
                <w:rFonts w:cs="Arial"/>
                <w:sz w:val="19"/>
                <w:szCs w:val="19"/>
                <w:lang w:eastAsia="en-AU"/>
              </w:rPr>
              <w:t>.</w:t>
            </w:r>
          </w:p>
        </w:tc>
        <w:tc>
          <w:tcPr>
            <w:tcW w:w="1134" w:type="dxa"/>
            <w:shd w:val="clear" w:color="auto" w:fill="E0F3EF" w:themeFill="accent1" w:themeFillTint="33"/>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Risk rating</w:t>
            </w:r>
          </w:p>
        </w:tc>
        <w:tc>
          <w:tcPr>
            <w:tcW w:w="4253" w:type="dxa"/>
            <w:vMerge/>
            <w:vAlign w:val="center"/>
          </w:tcPr>
          <w:p w:rsidR="00F217DF" w:rsidRPr="001753B6" w:rsidRDefault="00F217DF" w:rsidP="00034714">
            <w:pPr>
              <w:suppressAutoHyphens w:val="0"/>
              <w:spacing w:before="0" w:after="120" w:line="440" w:lineRule="atLeast"/>
              <w:jc w:val="center"/>
              <w:rPr>
                <w:rFonts w:cs="Arial"/>
                <w:sz w:val="19"/>
                <w:szCs w:val="19"/>
                <w:lang w:eastAsia="en-AU"/>
              </w:rPr>
            </w:pPr>
          </w:p>
        </w:tc>
        <w:tc>
          <w:tcPr>
            <w:tcW w:w="1276" w:type="dxa"/>
            <w:vMerge/>
            <w:vAlign w:val="center"/>
          </w:tcPr>
          <w:p w:rsidR="00F217DF" w:rsidRPr="001753B6" w:rsidRDefault="00F217DF" w:rsidP="00034714">
            <w:pPr>
              <w:suppressAutoHyphens w:val="0"/>
              <w:spacing w:before="0" w:after="120" w:line="440" w:lineRule="atLeast"/>
              <w:jc w:val="center"/>
              <w:rPr>
                <w:rFonts w:cs="Arial"/>
                <w:sz w:val="19"/>
                <w:szCs w:val="19"/>
                <w:lang w:eastAsia="en-AU"/>
              </w:rPr>
            </w:pPr>
          </w:p>
        </w:tc>
        <w:tc>
          <w:tcPr>
            <w:tcW w:w="1027" w:type="dxa"/>
            <w:shd w:val="clear" w:color="auto" w:fill="E0F3EF" w:themeFill="accent1" w:themeFillTint="33"/>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Likelihood</w:t>
            </w:r>
          </w:p>
        </w:tc>
        <w:tc>
          <w:tcPr>
            <w:tcW w:w="1027" w:type="dxa"/>
            <w:shd w:val="clear" w:color="auto" w:fill="E0F3EF" w:themeFill="accent1" w:themeFillTint="33"/>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Conseq</w:t>
            </w:r>
            <w:r>
              <w:rPr>
                <w:rFonts w:cs="Arial"/>
                <w:sz w:val="19"/>
                <w:szCs w:val="19"/>
                <w:lang w:eastAsia="en-AU"/>
              </w:rPr>
              <w:t>.</w:t>
            </w:r>
          </w:p>
        </w:tc>
        <w:tc>
          <w:tcPr>
            <w:tcW w:w="1028" w:type="dxa"/>
            <w:shd w:val="clear" w:color="auto" w:fill="E0F3EF" w:themeFill="accent1" w:themeFillTint="33"/>
            <w:vAlign w:val="center"/>
          </w:tcPr>
          <w:p w:rsidR="00F217DF" w:rsidRPr="001753B6" w:rsidRDefault="00F217DF" w:rsidP="00034714">
            <w:pPr>
              <w:suppressAutoHyphens w:val="0"/>
              <w:spacing w:before="0" w:after="120" w:line="440" w:lineRule="atLeast"/>
              <w:jc w:val="center"/>
              <w:rPr>
                <w:rFonts w:cs="Arial"/>
                <w:sz w:val="19"/>
                <w:szCs w:val="19"/>
                <w:lang w:eastAsia="en-AU"/>
              </w:rPr>
            </w:pPr>
            <w:r w:rsidRPr="001753B6">
              <w:rPr>
                <w:rFonts w:cs="Arial"/>
                <w:sz w:val="19"/>
                <w:szCs w:val="19"/>
                <w:lang w:eastAsia="en-AU"/>
              </w:rPr>
              <w:t>Risk rating</w:t>
            </w:r>
          </w:p>
        </w:tc>
      </w:tr>
      <w:tr w:rsidR="0099336F" w:rsidTr="00034714">
        <w:tc>
          <w:tcPr>
            <w:tcW w:w="13709" w:type="dxa"/>
            <w:gridSpan w:val="9"/>
            <w:shd w:val="clear" w:color="auto" w:fill="D9D9D9" w:themeFill="background1" w:themeFillShade="D9"/>
            <w:vAlign w:val="center"/>
          </w:tcPr>
          <w:p w:rsidR="0099336F"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Results-related risks</w:t>
            </w:r>
          </w:p>
        </w:tc>
      </w:tr>
      <w:tr w:rsidR="0099336F" w:rsidTr="00E510C3">
        <w:trPr>
          <w:trHeight w:val="2778"/>
        </w:trPr>
        <w:tc>
          <w:tcPr>
            <w:tcW w:w="1838" w:type="dxa"/>
            <w:vAlign w:val="center"/>
          </w:tcPr>
          <w:p w:rsidR="0099336F" w:rsidRPr="00FF16E4" w:rsidRDefault="0099336F" w:rsidP="00034714">
            <w:pPr>
              <w:suppressAutoHyphens w:val="0"/>
              <w:spacing w:before="60" w:line="240" w:lineRule="auto"/>
              <w:rPr>
                <w:rFonts w:cstheme="minorHAnsi"/>
                <w:sz w:val="18"/>
                <w:szCs w:val="18"/>
                <w:highlight w:val="yellow"/>
                <w:lang w:eastAsia="en-AU"/>
              </w:rPr>
            </w:pPr>
            <w:r w:rsidRPr="00696AF9">
              <w:rPr>
                <w:rFonts w:cstheme="minorHAnsi"/>
                <w:sz w:val="18"/>
                <w:szCs w:val="18"/>
                <w:lang w:eastAsia="en-AU"/>
              </w:rPr>
              <w:t xml:space="preserve">The </w:t>
            </w:r>
            <w:r w:rsidR="00F17E0B">
              <w:rPr>
                <w:rFonts w:cstheme="minorHAnsi"/>
                <w:sz w:val="18"/>
                <w:szCs w:val="18"/>
                <w:lang w:eastAsia="en-AU"/>
              </w:rPr>
              <w:t>broad emphasis</w:t>
            </w:r>
            <w:r w:rsidRPr="00696AF9">
              <w:rPr>
                <w:rFonts w:cstheme="minorHAnsi"/>
                <w:sz w:val="18"/>
                <w:szCs w:val="18"/>
                <w:lang w:eastAsia="en-AU"/>
              </w:rPr>
              <w:t xml:space="preserve"> on systems strengthening, coupled with any desire to generate benefits for all Director-Generals, leads to a portfolio</w:t>
            </w:r>
            <w:r w:rsidR="00F17E0B">
              <w:rPr>
                <w:rFonts w:cstheme="minorHAnsi"/>
                <w:sz w:val="18"/>
                <w:szCs w:val="18"/>
                <w:lang w:eastAsia="en-AU"/>
              </w:rPr>
              <w:t xml:space="preserve"> of activities</w:t>
            </w:r>
            <w:r w:rsidRPr="00696AF9">
              <w:rPr>
                <w:rFonts w:cstheme="minorHAnsi"/>
                <w:sz w:val="18"/>
                <w:szCs w:val="18"/>
                <w:lang w:eastAsia="en-AU"/>
              </w:rPr>
              <w:t xml:space="preserve"> that lacks ‘shape’, focus and/or depth</w:t>
            </w:r>
          </w:p>
        </w:tc>
        <w:tc>
          <w:tcPr>
            <w:tcW w:w="1134" w:type="dxa"/>
            <w:vAlign w:val="center"/>
          </w:tcPr>
          <w:p w:rsidR="0099336F" w:rsidRPr="00FF16E4"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992" w:type="dxa"/>
            <w:vAlign w:val="center"/>
          </w:tcPr>
          <w:p w:rsidR="0099336F" w:rsidRPr="00FF16E4"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Minor</w:t>
            </w:r>
          </w:p>
        </w:tc>
        <w:tc>
          <w:tcPr>
            <w:tcW w:w="1134" w:type="dxa"/>
            <w:shd w:val="clear" w:color="auto" w:fill="FFF799" w:themeFill="accent4"/>
            <w:vAlign w:val="center"/>
          </w:tcPr>
          <w:p w:rsidR="0099336F" w:rsidRPr="00FF16E4"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c>
          <w:tcPr>
            <w:tcW w:w="4253" w:type="dxa"/>
            <w:vAlign w:val="center"/>
          </w:tcPr>
          <w:p w:rsidR="0099336F" w:rsidRPr="00696AF9"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 xml:space="preserve">(1) The Steering Committee, DFAT and TASS </w:t>
            </w:r>
            <w:r w:rsidR="003B066A">
              <w:rPr>
                <w:rFonts w:cstheme="minorHAnsi"/>
                <w:sz w:val="18"/>
                <w:szCs w:val="18"/>
                <w:lang w:eastAsia="en-AU"/>
              </w:rPr>
              <w:t xml:space="preserve">to </w:t>
            </w:r>
            <w:r>
              <w:rPr>
                <w:rFonts w:cstheme="minorHAnsi"/>
                <w:sz w:val="18"/>
                <w:szCs w:val="18"/>
                <w:lang w:eastAsia="en-AU"/>
              </w:rPr>
              <w:t xml:space="preserve">regularly review the current portfolio and pipeline for its strategic merit and direction; (2) TASS </w:t>
            </w:r>
            <w:r w:rsidR="003B066A">
              <w:rPr>
                <w:rFonts w:cstheme="minorHAnsi"/>
                <w:sz w:val="18"/>
                <w:szCs w:val="18"/>
                <w:lang w:eastAsia="en-AU"/>
              </w:rPr>
              <w:t xml:space="preserve">to </w:t>
            </w:r>
            <w:r>
              <w:rPr>
                <w:rFonts w:cstheme="minorHAnsi"/>
                <w:sz w:val="18"/>
                <w:szCs w:val="18"/>
                <w:lang w:eastAsia="en-AU"/>
              </w:rPr>
              <w:t xml:space="preserve">regularly review the political-institutional landscape for opportunities and consider its portfolio and pipeline in light of </w:t>
            </w:r>
            <w:r w:rsidR="00F04468">
              <w:rPr>
                <w:rFonts w:cstheme="minorHAnsi"/>
                <w:sz w:val="18"/>
                <w:szCs w:val="18"/>
                <w:lang w:eastAsia="en-AU"/>
              </w:rPr>
              <w:t>any changes</w:t>
            </w:r>
            <w:r w:rsidR="002144E9">
              <w:rPr>
                <w:rFonts w:cstheme="minorHAnsi"/>
                <w:sz w:val="18"/>
                <w:szCs w:val="18"/>
                <w:lang w:eastAsia="en-AU"/>
              </w:rPr>
              <w:t xml:space="preserve">; (3) </w:t>
            </w:r>
            <w:r w:rsidR="00F04468">
              <w:rPr>
                <w:rFonts w:cstheme="minorHAnsi"/>
                <w:sz w:val="18"/>
                <w:szCs w:val="18"/>
                <w:lang w:eastAsia="en-AU"/>
              </w:rPr>
              <w:t xml:space="preserve">TASS </w:t>
            </w:r>
            <w:r w:rsidR="003B066A">
              <w:rPr>
                <w:rFonts w:cstheme="minorHAnsi"/>
                <w:sz w:val="18"/>
                <w:szCs w:val="18"/>
                <w:lang w:eastAsia="en-AU"/>
              </w:rPr>
              <w:t xml:space="preserve">to </w:t>
            </w:r>
            <w:r w:rsidR="002144E9" w:rsidRPr="005F3E06">
              <w:rPr>
                <w:rFonts w:cstheme="minorHAnsi"/>
                <w:sz w:val="18"/>
                <w:szCs w:val="18"/>
                <w:lang w:eastAsia="en-AU"/>
              </w:rPr>
              <w:t>promote</w:t>
            </w:r>
            <w:r w:rsidR="00F04468" w:rsidRPr="005F3E06">
              <w:rPr>
                <w:rFonts w:cstheme="minorHAnsi"/>
                <w:sz w:val="18"/>
                <w:szCs w:val="18"/>
                <w:lang w:eastAsia="en-AU"/>
              </w:rPr>
              <w:t xml:space="preserve"> the merits of a </w:t>
            </w:r>
            <w:r w:rsidR="002144E9" w:rsidRPr="005F3E06">
              <w:rPr>
                <w:rFonts w:cstheme="minorHAnsi"/>
                <w:sz w:val="18"/>
                <w:szCs w:val="18"/>
                <w:lang w:eastAsia="en-AU"/>
              </w:rPr>
              <w:t xml:space="preserve">structured work plan that focuses </w:t>
            </w:r>
            <w:r w:rsidR="00F04468" w:rsidRPr="005F3E06">
              <w:rPr>
                <w:rFonts w:cstheme="minorHAnsi"/>
                <w:sz w:val="18"/>
                <w:szCs w:val="18"/>
                <w:lang w:eastAsia="en-AU"/>
              </w:rPr>
              <w:t xml:space="preserve">on areas </w:t>
            </w:r>
            <w:r w:rsidR="005F3E06" w:rsidRPr="005F3E06">
              <w:rPr>
                <w:rFonts w:cstheme="minorHAnsi"/>
                <w:sz w:val="18"/>
                <w:szCs w:val="18"/>
                <w:lang w:eastAsia="en-AU"/>
              </w:rPr>
              <w:t xml:space="preserve">where reform is </w:t>
            </w:r>
            <w:r w:rsidR="005F3E06">
              <w:rPr>
                <w:rFonts w:cstheme="minorHAnsi"/>
                <w:sz w:val="18"/>
                <w:szCs w:val="18"/>
                <w:lang w:eastAsia="en-AU"/>
              </w:rPr>
              <w:t>most likely.</w:t>
            </w:r>
          </w:p>
        </w:tc>
        <w:tc>
          <w:tcPr>
            <w:tcW w:w="1276" w:type="dxa"/>
            <w:vAlign w:val="center"/>
          </w:tcPr>
          <w:p w:rsidR="0099336F"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Steering Committee, DFAT</w:t>
            </w:r>
            <w:r w:rsidR="005F3E06">
              <w:rPr>
                <w:rFonts w:cstheme="minorHAnsi"/>
                <w:sz w:val="18"/>
                <w:szCs w:val="18"/>
                <w:lang w:eastAsia="en-AU"/>
              </w:rPr>
              <w:t xml:space="preserve"> &amp; </w:t>
            </w:r>
            <w:r>
              <w:rPr>
                <w:rFonts w:cstheme="minorHAnsi"/>
                <w:sz w:val="18"/>
                <w:szCs w:val="18"/>
                <w:lang w:eastAsia="en-AU"/>
              </w:rPr>
              <w:t>TASS FD</w:t>
            </w:r>
          </w:p>
          <w:p w:rsidR="0099336F" w:rsidRPr="00FF16E4"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(Ongoing)</w:t>
            </w:r>
          </w:p>
        </w:tc>
        <w:tc>
          <w:tcPr>
            <w:tcW w:w="1027" w:type="dxa"/>
            <w:vAlign w:val="center"/>
          </w:tcPr>
          <w:p w:rsidR="0099336F" w:rsidRPr="00FF16E4"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Unlikely</w:t>
            </w:r>
          </w:p>
        </w:tc>
        <w:tc>
          <w:tcPr>
            <w:tcW w:w="1027" w:type="dxa"/>
            <w:vAlign w:val="center"/>
          </w:tcPr>
          <w:p w:rsidR="0099336F" w:rsidRPr="00FF16E4"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Minor</w:t>
            </w:r>
          </w:p>
        </w:tc>
        <w:tc>
          <w:tcPr>
            <w:tcW w:w="1028" w:type="dxa"/>
            <w:shd w:val="clear" w:color="auto" w:fill="DDECD0" w:themeFill="accent2" w:themeFillTint="66"/>
            <w:vAlign w:val="center"/>
          </w:tcPr>
          <w:p w:rsidR="0099336F" w:rsidRPr="00FF16E4"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Low</w:t>
            </w:r>
          </w:p>
        </w:tc>
      </w:tr>
      <w:tr w:rsidR="0099336F" w:rsidTr="00E510C3">
        <w:tc>
          <w:tcPr>
            <w:tcW w:w="1838" w:type="dxa"/>
            <w:vAlign w:val="center"/>
          </w:tcPr>
          <w:p w:rsidR="0099336F" w:rsidRPr="00704DB3"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Sensitivities within the Indonesian Government mean that DFAT is unable to publicly announce its contribution to reform processes, including policy change</w:t>
            </w:r>
          </w:p>
        </w:tc>
        <w:tc>
          <w:tcPr>
            <w:tcW w:w="1134" w:type="dxa"/>
            <w:vAlign w:val="center"/>
          </w:tcPr>
          <w:p w:rsidR="0099336F" w:rsidRPr="00704DB3"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992" w:type="dxa"/>
            <w:vAlign w:val="center"/>
          </w:tcPr>
          <w:p w:rsidR="0099336F" w:rsidRPr="00704DB3"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Minor</w:t>
            </w:r>
          </w:p>
        </w:tc>
        <w:tc>
          <w:tcPr>
            <w:tcW w:w="1134" w:type="dxa"/>
            <w:shd w:val="clear" w:color="auto" w:fill="FFF799" w:themeFill="accent4"/>
            <w:vAlign w:val="center"/>
          </w:tcPr>
          <w:p w:rsidR="0099336F" w:rsidRPr="00704DB3"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c>
          <w:tcPr>
            <w:tcW w:w="4253" w:type="dxa"/>
            <w:vAlign w:val="center"/>
          </w:tcPr>
          <w:p w:rsidR="0099336F" w:rsidRPr="009A4FDA"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 xml:space="preserve">(1) </w:t>
            </w:r>
            <w:r w:rsidRPr="009A4FDA">
              <w:rPr>
                <w:rFonts w:cstheme="minorHAnsi"/>
                <w:sz w:val="18"/>
                <w:szCs w:val="18"/>
                <w:lang w:eastAsia="en-AU"/>
              </w:rPr>
              <w:t>DFAT and TASS</w:t>
            </w:r>
            <w:r w:rsidR="003B066A">
              <w:rPr>
                <w:rFonts w:cstheme="minorHAnsi"/>
                <w:sz w:val="18"/>
                <w:szCs w:val="18"/>
                <w:lang w:eastAsia="en-AU"/>
              </w:rPr>
              <w:t xml:space="preserve"> to</w:t>
            </w:r>
            <w:r w:rsidRPr="009A4FDA">
              <w:rPr>
                <w:rFonts w:cstheme="minorHAnsi"/>
                <w:sz w:val="18"/>
                <w:szCs w:val="18"/>
                <w:lang w:eastAsia="en-AU"/>
              </w:rPr>
              <w:t xml:space="preserve"> utilise their networks/relationships to </w:t>
            </w:r>
            <w:r w:rsidR="00A70688">
              <w:rPr>
                <w:rFonts w:cstheme="minorHAnsi"/>
                <w:sz w:val="18"/>
                <w:szCs w:val="18"/>
                <w:lang w:eastAsia="en-AU"/>
              </w:rPr>
              <w:t>identify</w:t>
            </w:r>
            <w:r w:rsidRPr="009A4FDA">
              <w:rPr>
                <w:rFonts w:cstheme="minorHAnsi"/>
                <w:sz w:val="18"/>
                <w:szCs w:val="18"/>
                <w:lang w:eastAsia="en-AU"/>
              </w:rPr>
              <w:t xml:space="preserve"> any sensitivities and to discuss permissible framing; (2) TASS </w:t>
            </w:r>
            <w:r w:rsidR="003B066A">
              <w:rPr>
                <w:rFonts w:cstheme="minorHAnsi"/>
                <w:sz w:val="18"/>
                <w:szCs w:val="18"/>
                <w:lang w:eastAsia="en-AU"/>
              </w:rPr>
              <w:t xml:space="preserve">to </w:t>
            </w:r>
            <w:r w:rsidR="000843D9">
              <w:rPr>
                <w:rFonts w:cstheme="minorHAnsi"/>
                <w:sz w:val="18"/>
                <w:szCs w:val="18"/>
                <w:lang w:eastAsia="en-AU"/>
              </w:rPr>
              <w:t>identif</w:t>
            </w:r>
            <w:r w:rsidR="003B066A">
              <w:rPr>
                <w:rFonts w:cstheme="minorHAnsi"/>
                <w:sz w:val="18"/>
                <w:szCs w:val="18"/>
                <w:lang w:eastAsia="en-AU"/>
              </w:rPr>
              <w:t>y</w:t>
            </w:r>
            <w:r w:rsidR="000843D9">
              <w:rPr>
                <w:rFonts w:cstheme="minorHAnsi"/>
                <w:sz w:val="18"/>
                <w:szCs w:val="18"/>
                <w:lang w:eastAsia="en-AU"/>
              </w:rPr>
              <w:t xml:space="preserve"> i</w:t>
            </w:r>
            <w:r w:rsidRPr="009A4FDA">
              <w:rPr>
                <w:rFonts w:cstheme="minorHAnsi"/>
                <w:sz w:val="18"/>
                <w:szCs w:val="18"/>
                <w:lang w:eastAsia="en-AU"/>
              </w:rPr>
              <w:t>nnovative ways to increase understanding/awareness/</w:t>
            </w:r>
            <w:r w:rsidRPr="000843D9">
              <w:rPr>
                <w:rFonts w:cstheme="minorHAnsi"/>
                <w:sz w:val="18"/>
                <w:szCs w:val="18"/>
                <w:lang w:eastAsia="en-AU"/>
              </w:rPr>
              <w:t>visibility</w:t>
            </w:r>
            <w:r w:rsidR="00DC4DCA" w:rsidRPr="00DC4DCA">
              <w:rPr>
                <w:rFonts w:cstheme="minorHAnsi"/>
                <w:sz w:val="18"/>
                <w:szCs w:val="18"/>
                <w:lang w:eastAsia="en-AU"/>
              </w:rPr>
              <w:t>.</w:t>
            </w:r>
          </w:p>
        </w:tc>
        <w:tc>
          <w:tcPr>
            <w:tcW w:w="1276" w:type="dxa"/>
            <w:vAlign w:val="center"/>
          </w:tcPr>
          <w:p w:rsidR="0099336F"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DFAT with TASS FD</w:t>
            </w:r>
          </w:p>
          <w:p w:rsidR="0099336F" w:rsidRPr="00704DB3" w:rsidRDefault="0099336F" w:rsidP="00034714">
            <w:pPr>
              <w:suppressAutoHyphens w:val="0"/>
              <w:spacing w:before="60" w:line="240" w:lineRule="auto"/>
              <w:rPr>
                <w:rFonts w:cstheme="minorHAnsi"/>
                <w:sz w:val="18"/>
                <w:szCs w:val="18"/>
                <w:lang w:eastAsia="en-AU"/>
              </w:rPr>
            </w:pPr>
            <w:r>
              <w:rPr>
                <w:rFonts w:cstheme="minorHAnsi"/>
                <w:sz w:val="18"/>
                <w:szCs w:val="18"/>
                <w:lang w:eastAsia="en-AU"/>
              </w:rPr>
              <w:t>(As required)</w:t>
            </w:r>
          </w:p>
        </w:tc>
        <w:tc>
          <w:tcPr>
            <w:tcW w:w="1027" w:type="dxa"/>
            <w:vAlign w:val="center"/>
          </w:tcPr>
          <w:p w:rsidR="0099336F" w:rsidRPr="00704DB3"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1027" w:type="dxa"/>
            <w:vAlign w:val="center"/>
          </w:tcPr>
          <w:p w:rsidR="0099336F" w:rsidRPr="00704DB3"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Minor</w:t>
            </w:r>
          </w:p>
        </w:tc>
        <w:tc>
          <w:tcPr>
            <w:tcW w:w="1028" w:type="dxa"/>
            <w:shd w:val="clear" w:color="auto" w:fill="FFF799" w:themeFill="accent4"/>
            <w:vAlign w:val="center"/>
          </w:tcPr>
          <w:p w:rsidR="0099336F" w:rsidRPr="00704DB3" w:rsidRDefault="0099336F"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r>
      <w:tr w:rsidR="00F217DF" w:rsidTr="00034714">
        <w:tc>
          <w:tcPr>
            <w:tcW w:w="13709" w:type="dxa"/>
            <w:gridSpan w:val="9"/>
            <w:shd w:val="clear" w:color="auto" w:fill="D9D9D9" w:themeFill="background1" w:themeFillShade="D9"/>
            <w:vAlign w:val="center"/>
          </w:tcPr>
          <w:p w:rsidR="00F217DF"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Implementation-related risks</w:t>
            </w:r>
          </w:p>
        </w:tc>
      </w:tr>
      <w:tr w:rsidR="00DA389F" w:rsidTr="00B936A0">
        <w:tc>
          <w:tcPr>
            <w:tcW w:w="1838" w:type="dxa"/>
            <w:vAlign w:val="center"/>
          </w:tcPr>
          <w:p w:rsidR="00DA389F" w:rsidRPr="008B7C3B" w:rsidRDefault="00DA389F" w:rsidP="00034714">
            <w:pPr>
              <w:suppressAutoHyphens w:val="0"/>
              <w:spacing w:before="60" w:line="240" w:lineRule="auto"/>
              <w:rPr>
                <w:rFonts w:cstheme="minorHAnsi"/>
                <w:sz w:val="18"/>
                <w:szCs w:val="18"/>
                <w:lang w:eastAsia="en-AU"/>
              </w:rPr>
            </w:pPr>
            <w:r w:rsidRPr="00D71BE1">
              <w:rPr>
                <w:rFonts w:cstheme="minorHAnsi"/>
                <w:sz w:val="18"/>
                <w:szCs w:val="18"/>
                <w:lang w:eastAsia="en-AU"/>
              </w:rPr>
              <w:t>Opportunities to support reforms are missed due to budget limitations</w:t>
            </w:r>
            <w:r>
              <w:rPr>
                <w:rFonts w:cstheme="minorHAnsi"/>
                <w:sz w:val="18"/>
                <w:szCs w:val="18"/>
                <w:lang w:eastAsia="en-AU"/>
              </w:rPr>
              <w:t xml:space="preserve"> within </w:t>
            </w:r>
            <w:r>
              <w:rPr>
                <w:rFonts w:cstheme="minorHAnsi"/>
                <w:sz w:val="18"/>
                <w:szCs w:val="18"/>
                <w:lang w:eastAsia="en-AU"/>
              </w:rPr>
              <w:lastRenderedPageBreak/>
              <w:t>TASS</w:t>
            </w:r>
            <w:r w:rsidR="003555D5">
              <w:rPr>
                <w:rFonts w:cstheme="minorHAnsi"/>
                <w:sz w:val="18"/>
                <w:szCs w:val="18"/>
                <w:lang w:eastAsia="en-AU"/>
              </w:rPr>
              <w:t xml:space="preserve">, i.e. demand outstrips </w:t>
            </w:r>
            <w:r w:rsidR="00633C19">
              <w:rPr>
                <w:rFonts w:cstheme="minorHAnsi"/>
                <w:sz w:val="18"/>
                <w:szCs w:val="18"/>
                <w:lang w:eastAsia="en-AU"/>
              </w:rPr>
              <w:t>supply</w:t>
            </w:r>
          </w:p>
        </w:tc>
        <w:tc>
          <w:tcPr>
            <w:tcW w:w="1134" w:type="dxa"/>
            <w:vAlign w:val="center"/>
          </w:tcPr>
          <w:p w:rsidR="00DA389F" w:rsidRPr="008B7C3B"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lastRenderedPageBreak/>
              <w:t>Likely</w:t>
            </w:r>
          </w:p>
        </w:tc>
        <w:tc>
          <w:tcPr>
            <w:tcW w:w="992" w:type="dxa"/>
            <w:vAlign w:val="center"/>
          </w:tcPr>
          <w:p w:rsidR="00DA389F" w:rsidRPr="008B7C3B"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c>
          <w:tcPr>
            <w:tcW w:w="1134" w:type="dxa"/>
            <w:shd w:val="clear" w:color="auto" w:fill="E4B69E" w:themeFill="accent3" w:themeFillTint="99"/>
            <w:vAlign w:val="center"/>
          </w:tcPr>
          <w:p w:rsidR="00DA389F" w:rsidRPr="008B7C3B"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High</w:t>
            </w:r>
          </w:p>
        </w:tc>
        <w:tc>
          <w:tcPr>
            <w:tcW w:w="4253" w:type="dxa"/>
            <w:vAlign w:val="center"/>
          </w:tcPr>
          <w:p w:rsidR="00DA389F" w:rsidRPr="008B7C3B" w:rsidRDefault="00DA389F" w:rsidP="00034714">
            <w:pPr>
              <w:suppressAutoHyphens w:val="0"/>
              <w:spacing w:before="60" w:line="240" w:lineRule="auto"/>
              <w:rPr>
                <w:rFonts w:cstheme="minorHAnsi"/>
                <w:sz w:val="18"/>
                <w:szCs w:val="18"/>
                <w:lang w:eastAsia="en-AU"/>
              </w:rPr>
            </w:pPr>
            <w:r w:rsidRPr="000B4AFF">
              <w:rPr>
                <w:rFonts w:cstheme="minorHAnsi"/>
                <w:sz w:val="18"/>
                <w:szCs w:val="18"/>
                <w:lang w:eastAsia="en-AU"/>
              </w:rPr>
              <w:t xml:space="preserve">(1) </w:t>
            </w:r>
            <w:r w:rsidR="00F653DB">
              <w:rPr>
                <w:rFonts w:cstheme="minorHAnsi"/>
                <w:sz w:val="18"/>
                <w:szCs w:val="18"/>
                <w:lang w:eastAsia="en-AU"/>
              </w:rPr>
              <w:t xml:space="preserve">TASS, DFAT and the Steering Committee </w:t>
            </w:r>
            <w:r w:rsidR="003B066A">
              <w:rPr>
                <w:rFonts w:cstheme="minorHAnsi"/>
                <w:sz w:val="18"/>
                <w:szCs w:val="18"/>
                <w:lang w:eastAsia="en-AU"/>
              </w:rPr>
              <w:t xml:space="preserve">to </w:t>
            </w:r>
            <w:r w:rsidR="00F653DB">
              <w:rPr>
                <w:rFonts w:cstheme="minorHAnsi"/>
                <w:sz w:val="18"/>
                <w:szCs w:val="18"/>
                <w:lang w:eastAsia="en-AU"/>
              </w:rPr>
              <w:t>regularly track and/or review expenditure</w:t>
            </w:r>
            <w:r w:rsidR="00347B1A">
              <w:rPr>
                <w:rFonts w:cstheme="minorHAnsi"/>
                <w:sz w:val="18"/>
                <w:szCs w:val="18"/>
                <w:lang w:eastAsia="en-AU"/>
              </w:rPr>
              <w:t xml:space="preserve"> patterns and budget availability; </w:t>
            </w:r>
            <w:r>
              <w:rPr>
                <w:rFonts w:cstheme="minorHAnsi"/>
                <w:sz w:val="18"/>
                <w:szCs w:val="18"/>
                <w:lang w:eastAsia="en-AU"/>
              </w:rPr>
              <w:t>(</w:t>
            </w:r>
            <w:r w:rsidR="00347B1A">
              <w:rPr>
                <w:rFonts w:cstheme="minorHAnsi"/>
                <w:sz w:val="18"/>
                <w:szCs w:val="18"/>
                <w:lang w:eastAsia="en-AU"/>
              </w:rPr>
              <w:t>2</w:t>
            </w:r>
            <w:r>
              <w:rPr>
                <w:rFonts w:cstheme="minorHAnsi"/>
                <w:sz w:val="18"/>
                <w:szCs w:val="18"/>
                <w:lang w:eastAsia="en-AU"/>
              </w:rPr>
              <w:t>)</w:t>
            </w:r>
            <w:r w:rsidR="00347B1A">
              <w:rPr>
                <w:rFonts w:cstheme="minorHAnsi"/>
                <w:sz w:val="18"/>
                <w:szCs w:val="18"/>
                <w:lang w:eastAsia="en-AU"/>
              </w:rPr>
              <w:t xml:space="preserve"> TASS </w:t>
            </w:r>
            <w:r w:rsidR="003B066A">
              <w:rPr>
                <w:rFonts w:cstheme="minorHAnsi"/>
                <w:sz w:val="18"/>
                <w:szCs w:val="18"/>
                <w:lang w:eastAsia="en-AU"/>
              </w:rPr>
              <w:t>to apply</w:t>
            </w:r>
            <w:r w:rsidR="00347B1A">
              <w:rPr>
                <w:rFonts w:cstheme="minorHAnsi"/>
                <w:sz w:val="18"/>
                <w:szCs w:val="18"/>
                <w:lang w:eastAsia="en-AU"/>
              </w:rPr>
              <w:t xml:space="preserve"> screening guidelines to </w:t>
            </w:r>
            <w:r w:rsidR="00E74443">
              <w:rPr>
                <w:rFonts w:cstheme="minorHAnsi"/>
                <w:sz w:val="18"/>
                <w:szCs w:val="18"/>
                <w:lang w:eastAsia="en-AU"/>
              </w:rPr>
              <w:t xml:space="preserve">ensure, insofar as possible, that the most strategic activities are supported; (3) TASS, DFAT and the </w:t>
            </w:r>
            <w:r w:rsidR="00E74443">
              <w:rPr>
                <w:rFonts w:cstheme="minorHAnsi"/>
                <w:sz w:val="18"/>
                <w:szCs w:val="18"/>
                <w:lang w:eastAsia="en-AU"/>
              </w:rPr>
              <w:lastRenderedPageBreak/>
              <w:t>Steering Committee</w:t>
            </w:r>
            <w:r w:rsidR="00490F58">
              <w:rPr>
                <w:rFonts w:cstheme="minorHAnsi"/>
                <w:sz w:val="18"/>
                <w:szCs w:val="18"/>
                <w:lang w:eastAsia="en-AU"/>
              </w:rPr>
              <w:t xml:space="preserve"> </w:t>
            </w:r>
            <w:r w:rsidR="00B96488">
              <w:rPr>
                <w:rFonts w:cstheme="minorHAnsi"/>
                <w:sz w:val="18"/>
                <w:szCs w:val="18"/>
                <w:lang w:eastAsia="en-AU"/>
              </w:rPr>
              <w:t xml:space="preserve">to </w:t>
            </w:r>
            <w:r w:rsidR="00490F58">
              <w:rPr>
                <w:rFonts w:cstheme="minorHAnsi"/>
                <w:sz w:val="18"/>
                <w:szCs w:val="18"/>
                <w:lang w:eastAsia="en-AU"/>
              </w:rPr>
              <w:t xml:space="preserve">review overall resource envelope </w:t>
            </w:r>
            <w:r w:rsidR="000312A9">
              <w:rPr>
                <w:rFonts w:cstheme="minorHAnsi"/>
                <w:sz w:val="18"/>
                <w:szCs w:val="18"/>
                <w:lang w:eastAsia="en-AU"/>
              </w:rPr>
              <w:t>as and when required</w:t>
            </w:r>
            <w:r w:rsidR="00B719D5">
              <w:rPr>
                <w:rFonts w:cstheme="minorHAnsi"/>
                <w:sz w:val="18"/>
                <w:szCs w:val="18"/>
                <w:lang w:eastAsia="en-AU"/>
              </w:rPr>
              <w:t xml:space="preserve">; (4) </w:t>
            </w:r>
            <w:r w:rsidR="00B719D5" w:rsidRPr="00B719D5">
              <w:rPr>
                <w:rFonts w:cstheme="minorHAnsi"/>
                <w:sz w:val="18"/>
                <w:szCs w:val="18"/>
                <w:lang w:eastAsia="en-AU"/>
              </w:rPr>
              <w:t xml:space="preserve">DFAT, TASS, and GoI to </w:t>
            </w:r>
            <w:r w:rsidR="00B719D5">
              <w:rPr>
                <w:rFonts w:cstheme="minorHAnsi"/>
                <w:sz w:val="18"/>
                <w:szCs w:val="18"/>
                <w:lang w:eastAsia="en-AU"/>
              </w:rPr>
              <w:t xml:space="preserve">maintain </w:t>
            </w:r>
            <w:r w:rsidR="00B719D5" w:rsidRPr="00B719D5">
              <w:rPr>
                <w:rFonts w:cstheme="minorHAnsi"/>
                <w:sz w:val="18"/>
                <w:szCs w:val="18"/>
                <w:lang w:eastAsia="en-AU"/>
              </w:rPr>
              <w:t xml:space="preserve">continuous dialogue </w:t>
            </w:r>
            <w:r w:rsidR="00B719D5">
              <w:rPr>
                <w:rFonts w:cstheme="minorHAnsi"/>
                <w:sz w:val="18"/>
                <w:szCs w:val="18"/>
                <w:lang w:eastAsia="en-AU"/>
              </w:rPr>
              <w:t>about</w:t>
            </w:r>
            <w:r w:rsidR="00B719D5" w:rsidRPr="00B719D5">
              <w:rPr>
                <w:rFonts w:cstheme="minorHAnsi"/>
                <w:sz w:val="18"/>
                <w:szCs w:val="18"/>
                <w:lang w:eastAsia="en-AU"/>
              </w:rPr>
              <w:t xml:space="preserve"> the most strategic activities within the budget availability</w:t>
            </w:r>
          </w:p>
        </w:tc>
        <w:tc>
          <w:tcPr>
            <w:tcW w:w="1276" w:type="dxa"/>
            <w:vAlign w:val="center"/>
          </w:tcPr>
          <w:p w:rsidR="00DA389F" w:rsidRDefault="00DA389F" w:rsidP="00034714">
            <w:pPr>
              <w:suppressAutoHyphens w:val="0"/>
              <w:spacing w:before="60" w:line="240" w:lineRule="auto"/>
              <w:rPr>
                <w:rFonts w:cstheme="minorHAnsi"/>
                <w:sz w:val="18"/>
                <w:szCs w:val="18"/>
                <w:lang w:eastAsia="en-AU"/>
              </w:rPr>
            </w:pPr>
            <w:r>
              <w:rPr>
                <w:rFonts w:cstheme="minorHAnsi"/>
                <w:sz w:val="18"/>
                <w:szCs w:val="18"/>
                <w:lang w:eastAsia="en-AU"/>
              </w:rPr>
              <w:lastRenderedPageBreak/>
              <w:t>TASS FD/CR, DFAT &amp; Steering Committee</w:t>
            </w:r>
          </w:p>
          <w:p w:rsidR="00DA389F" w:rsidRPr="008B7C3B" w:rsidRDefault="00DA389F" w:rsidP="00034714">
            <w:pPr>
              <w:suppressAutoHyphens w:val="0"/>
              <w:spacing w:before="60" w:line="240" w:lineRule="auto"/>
              <w:rPr>
                <w:rFonts w:cstheme="minorHAnsi"/>
                <w:sz w:val="18"/>
                <w:szCs w:val="18"/>
                <w:lang w:eastAsia="en-AU"/>
              </w:rPr>
            </w:pPr>
            <w:r>
              <w:rPr>
                <w:rFonts w:cstheme="minorHAnsi"/>
                <w:sz w:val="18"/>
                <w:szCs w:val="18"/>
                <w:lang w:eastAsia="en-AU"/>
              </w:rPr>
              <w:lastRenderedPageBreak/>
              <w:t>(Ongoing)</w:t>
            </w:r>
          </w:p>
        </w:tc>
        <w:tc>
          <w:tcPr>
            <w:tcW w:w="1027" w:type="dxa"/>
            <w:vAlign w:val="center"/>
          </w:tcPr>
          <w:p w:rsidR="00DA389F" w:rsidRPr="008B7C3B" w:rsidRDefault="00AE0B2C" w:rsidP="00E510C3">
            <w:pPr>
              <w:suppressAutoHyphens w:val="0"/>
              <w:spacing w:before="60" w:line="240" w:lineRule="auto"/>
              <w:jc w:val="center"/>
              <w:rPr>
                <w:rFonts w:cstheme="minorHAnsi"/>
                <w:sz w:val="18"/>
                <w:szCs w:val="18"/>
                <w:lang w:eastAsia="en-AU"/>
              </w:rPr>
            </w:pPr>
            <w:r>
              <w:rPr>
                <w:rFonts w:cstheme="minorHAnsi"/>
                <w:sz w:val="18"/>
                <w:szCs w:val="18"/>
                <w:lang w:eastAsia="en-AU"/>
              </w:rPr>
              <w:lastRenderedPageBreak/>
              <w:t>Unlikely</w:t>
            </w:r>
          </w:p>
        </w:tc>
        <w:tc>
          <w:tcPr>
            <w:tcW w:w="1027" w:type="dxa"/>
            <w:vAlign w:val="center"/>
          </w:tcPr>
          <w:p w:rsidR="00DA389F" w:rsidRPr="008B7C3B"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c>
          <w:tcPr>
            <w:tcW w:w="1028" w:type="dxa"/>
            <w:shd w:val="clear" w:color="auto" w:fill="FFF799" w:themeFill="accent4"/>
            <w:vAlign w:val="center"/>
          </w:tcPr>
          <w:p w:rsidR="00DA389F" w:rsidRPr="008B7C3B" w:rsidRDefault="00B936A0"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r>
      <w:tr w:rsidR="00DA389F" w:rsidTr="00E510C3">
        <w:tc>
          <w:tcPr>
            <w:tcW w:w="1838" w:type="dxa"/>
            <w:vAlign w:val="center"/>
          </w:tcPr>
          <w:p w:rsidR="00DA389F" w:rsidRPr="00F42CBF" w:rsidDel="00A27233" w:rsidRDefault="00DA389F" w:rsidP="00034714">
            <w:pPr>
              <w:suppressAutoHyphens w:val="0"/>
              <w:spacing w:before="60" w:line="240" w:lineRule="auto"/>
              <w:rPr>
                <w:rFonts w:cstheme="minorHAnsi"/>
                <w:sz w:val="18"/>
                <w:szCs w:val="18"/>
                <w:lang w:eastAsia="en-AU"/>
              </w:rPr>
            </w:pPr>
            <w:r>
              <w:rPr>
                <w:rFonts w:cstheme="minorHAnsi"/>
                <w:sz w:val="18"/>
                <w:szCs w:val="18"/>
                <w:lang w:eastAsia="en-AU"/>
              </w:rPr>
              <w:t>DFAT lacks the necessary human resources to successfully fulfil its strategic engagement, policy dialogue and direction-setting roles</w:t>
            </w:r>
          </w:p>
        </w:tc>
        <w:tc>
          <w:tcPr>
            <w:tcW w:w="1134" w:type="dxa"/>
            <w:vAlign w:val="center"/>
          </w:tcPr>
          <w:p w:rsidR="00DA389F"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992" w:type="dxa"/>
            <w:vAlign w:val="center"/>
          </w:tcPr>
          <w:p w:rsidR="00DA389F" w:rsidRDefault="00DA389F" w:rsidP="00E510C3">
            <w:pPr>
              <w:suppressAutoHyphens w:val="0"/>
              <w:spacing w:before="60" w:line="240" w:lineRule="auto"/>
              <w:jc w:val="center"/>
              <w:rPr>
                <w:rStyle w:val="CommentReference"/>
              </w:rPr>
            </w:pPr>
            <w:r>
              <w:rPr>
                <w:rStyle w:val="CommentReference"/>
              </w:rPr>
              <w:t>Moderate</w:t>
            </w:r>
          </w:p>
        </w:tc>
        <w:tc>
          <w:tcPr>
            <w:tcW w:w="1134" w:type="dxa"/>
            <w:shd w:val="clear" w:color="auto" w:fill="E4B69E" w:themeFill="accent3" w:themeFillTint="99"/>
            <w:vAlign w:val="center"/>
          </w:tcPr>
          <w:p w:rsidR="00DA389F" w:rsidDel="0078585D"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High</w:t>
            </w:r>
          </w:p>
        </w:tc>
        <w:tc>
          <w:tcPr>
            <w:tcW w:w="4253" w:type="dxa"/>
            <w:vAlign w:val="center"/>
          </w:tcPr>
          <w:p w:rsidR="00DA389F" w:rsidRPr="00696AF9" w:rsidRDefault="00082F49" w:rsidP="00034714">
            <w:pPr>
              <w:suppressAutoHyphens w:val="0"/>
              <w:spacing w:before="60" w:line="240" w:lineRule="auto"/>
              <w:rPr>
                <w:rFonts w:cstheme="minorHAnsi"/>
                <w:sz w:val="18"/>
                <w:szCs w:val="18"/>
                <w:lang w:eastAsia="en-AU"/>
              </w:rPr>
            </w:pPr>
            <w:r>
              <w:rPr>
                <w:rFonts w:cstheme="minorHAnsi"/>
                <w:sz w:val="18"/>
                <w:szCs w:val="18"/>
                <w:lang w:eastAsia="en-AU"/>
              </w:rPr>
              <w:t xml:space="preserve">(1) </w:t>
            </w:r>
            <w:r w:rsidR="00DA389F">
              <w:rPr>
                <w:rFonts w:cstheme="minorHAnsi"/>
                <w:sz w:val="18"/>
                <w:szCs w:val="18"/>
                <w:lang w:eastAsia="en-AU"/>
              </w:rPr>
              <w:t xml:space="preserve">DFAT </w:t>
            </w:r>
            <w:r w:rsidR="00B96488">
              <w:rPr>
                <w:rFonts w:cstheme="minorHAnsi"/>
                <w:sz w:val="18"/>
                <w:szCs w:val="18"/>
                <w:lang w:eastAsia="en-AU"/>
              </w:rPr>
              <w:t xml:space="preserve">to </w:t>
            </w:r>
            <w:r w:rsidR="00DA389F">
              <w:rPr>
                <w:rFonts w:cstheme="minorHAnsi"/>
                <w:sz w:val="18"/>
                <w:szCs w:val="18"/>
                <w:lang w:eastAsia="en-AU"/>
              </w:rPr>
              <w:t xml:space="preserve">actively delegate </w:t>
            </w:r>
            <w:r w:rsidR="0072272A">
              <w:rPr>
                <w:rFonts w:cstheme="minorHAnsi"/>
                <w:sz w:val="18"/>
                <w:szCs w:val="18"/>
                <w:lang w:eastAsia="en-AU"/>
              </w:rPr>
              <w:t xml:space="preserve">an appropriate </w:t>
            </w:r>
            <w:r w:rsidR="00FB1C44">
              <w:rPr>
                <w:rFonts w:cstheme="minorHAnsi"/>
                <w:sz w:val="18"/>
                <w:szCs w:val="18"/>
                <w:lang w:eastAsia="en-AU"/>
              </w:rPr>
              <w:t xml:space="preserve">degree of responsibility for </w:t>
            </w:r>
            <w:r w:rsidR="00DA389F">
              <w:rPr>
                <w:rFonts w:cstheme="minorHAnsi"/>
                <w:sz w:val="18"/>
                <w:szCs w:val="18"/>
                <w:lang w:eastAsia="en-AU"/>
              </w:rPr>
              <w:t xml:space="preserve">operational matters to TASS, thereby freeing up resources to focus on strategic matters; (2) DFAT </w:t>
            </w:r>
            <w:r w:rsidR="00B96488">
              <w:rPr>
                <w:rFonts w:cstheme="minorHAnsi"/>
                <w:sz w:val="18"/>
                <w:szCs w:val="18"/>
                <w:lang w:eastAsia="en-AU"/>
              </w:rPr>
              <w:t>to appoint</w:t>
            </w:r>
            <w:r w:rsidR="00DA389F">
              <w:rPr>
                <w:rFonts w:cstheme="minorHAnsi"/>
                <w:sz w:val="18"/>
                <w:szCs w:val="18"/>
                <w:lang w:eastAsia="en-AU"/>
              </w:rPr>
              <w:t xml:space="preserve"> an in-house Education Advisor to the Embassy from Q1 2019 to undertake or assist with the undertaking of strategic matters.</w:t>
            </w:r>
          </w:p>
        </w:tc>
        <w:tc>
          <w:tcPr>
            <w:tcW w:w="1276" w:type="dxa"/>
            <w:vAlign w:val="center"/>
          </w:tcPr>
          <w:p w:rsidR="00DA389F" w:rsidRDefault="00DA389F" w:rsidP="00034714">
            <w:pPr>
              <w:suppressAutoHyphens w:val="0"/>
              <w:spacing w:before="60" w:line="240" w:lineRule="auto"/>
              <w:rPr>
                <w:rFonts w:cstheme="minorHAnsi"/>
                <w:sz w:val="18"/>
                <w:szCs w:val="18"/>
                <w:lang w:eastAsia="en-AU"/>
              </w:rPr>
            </w:pPr>
            <w:r>
              <w:rPr>
                <w:rFonts w:cstheme="minorHAnsi"/>
                <w:sz w:val="18"/>
                <w:szCs w:val="18"/>
                <w:lang w:eastAsia="en-AU"/>
              </w:rPr>
              <w:t>DFAT Counsellor/ Unit Manager</w:t>
            </w:r>
          </w:p>
          <w:p w:rsidR="00DA389F" w:rsidRPr="00F005FB" w:rsidRDefault="00DA389F" w:rsidP="00034714">
            <w:pPr>
              <w:suppressAutoHyphens w:val="0"/>
              <w:spacing w:before="60" w:line="240" w:lineRule="auto"/>
              <w:rPr>
                <w:rFonts w:cstheme="minorHAnsi"/>
                <w:sz w:val="18"/>
                <w:szCs w:val="18"/>
                <w:lang w:eastAsia="en-AU"/>
              </w:rPr>
            </w:pPr>
            <w:r>
              <w:rPr>
                <w:rFonts w:cstheme="minorHAnsi"/>
                <w:sz w:val="18"/>
                <w:szCs w:val="18"/>
                <w:lang w:eastAsia="en-AU"/>
              </w:rPr>
              <w:t>(Ongoing)</w:t>
            </w:r>
          </w:p>
        </w:tc>
        <w:tc>
          <w:tcPr>
            <w:tcW w:w="1027" w:type="dxa"/>
            <w:vAlign w:val="center"/>
          </w:tcPr>
          <w:p w:rsidR="00DA389F"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Unlikely</w:t>
            </w:r>
          </w:p>
        </w:tc>
        <w:tc>
          <w:tcPr>
            <w:tcW w:w="1027" w:type="dxa"/>
            <w:vAlign w:val="center"/>
          </w:tcPr>
          <w:p w:rsidR="00DA389F"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c>
          <w:tcPr>
            <w:tcW w:w="1028" w:type="dxa"/>
            <w:shd w:val="clear" w:color="auto" w:fill="FFF799" w:themeFill="accent4"/>
            <w:vAlign w:val="center"/>
          </w:tcPr>
          <w:p w:rsidR="00DA389F" w:rsidRDefault="00DA389F" w:rsidP="00E510C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r>
      <w:tr w:rsidR="00F217DF" w:rsidTr="00E510C3">
        <w:tc>
          <w:tcPr>
            <w:tcW w:w="1838" w:type="dxa"/>
            <w:vAlign w:val="center"/>
          </w:tcPr>
          <w:p w:rsidR="00F217DF" w:rsidRPr="008B7C3B" w:rsidRDefault="00F217DF" w:rsidP="00034714">
            <w:pPr>
              <w:suppressAutoHyphens w:val="0"/>
              <w:spacing w:before="60" w:line="240" w:lineRule="auto"/>
              <w:rPr>
                <w:rFonts w:cstheme="minorHAnsi"/>
                <w:sz w:val="18"/>
                <w:szCs w:val="18"/>
                <w:lang w:eastAsia="en-AU"/>
              </w:rPr>
            </w:pPr>
            <w:r w:rsidRPr="008B7C3B">
              <w:rPr>
                <w:rFonts w:cstheme="minorHAnsi"/>
                <w:sz w:val="18"/>
                <w:szCs w:val="18"/>
                <w:lang w:eastAsia="en-AU"/>
              </w:rPr>
              <w:t xml:space="preserve">TASS is unable to recruit suitable TA to </w:t>
            </w:r>
            <w:r>
              <w:rPr>
                <w:rFonts w:cstheme="minorHAnsi"/>
                <w:sz w:val="18"/>
                <w:szCs w:val="18"/>
                <w:lang w:eastAsia="en-AU"/>
              </w:rPr>
              <w:t>meet</w:t>
            </w:r>
            <w:r w:rsidRPr="008B7C3B">
              <w:rPr>
                <w:rFonts w:cstheme="minorHAnsi"/>
                <w:sz w:val="18"/>
                <w:szCs w:val="18"/>
                <w:lang w:eastAsia="en-AU"/>
              </w:rPr>
              <w:t xml:space="preserve"> GoI/DFAT </w:t>
            </w:r>
            <w:r>
              <w:rPr>
                <w:rFonts w:cstheme="minorHAnsi"/>
                <w:sz w:val="18"/>
                <w:szCs w:val="18"/>
                <w:lang w:eastAsia="en-AU"/>
              </w:rPr>
              <w:t>needs</w:t>
            </w:r>
          </w:p>
        </w:tc>
        <w:tc>
          <w:tcPr>
            <w:tcW w:w="1134"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sidRPr="008B7C3B">
              <w:rPr>
                <w:rFonts w:cstheme="minorHAnsi"/>
                <w:sz w:val="18"/>
                <w:szCs w:val="18"/>
                <w:lang w:eastAsia="en-AU"/>
              </w:rPr>
              <w:t>Possible</w:t>
            </w:r>
          </w:p>
        </w:tc>
        <w:tc>
          <w:tcPr>
            <w:tcW w:w="992"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sidRPr="008B7C3B">
              <w:rPr>
                <w:rFonts w:cstheme="minorHAnsi"/>
                <w:sz w:val="18"/>
                <w:szCs w:val="18"/>
                <w:lang w:eastAsia="en-AU"/>
              </w:rPr>
              <w:t>Minor</w:t>
            </w:r>
          </w:p>
        </w:tc>
        <w:tc>
          <w:tcPr>
            <w:tcW w:w="1134" w:type="dxa"/>
            <w:shd w:val="clear" w:color="auto" w:fill="FFF799" w:themeFill="accent4"/>
            <w:vAlign w:val="center"/>
          </w:tcPr>
          <w:p w:rsidR="00F217DF" w:rsidRPr="008B7C3B" w:rsidRDefault="00F217DF" w:rsidP="00E510C3">
            <w:pPr>
              <w:suppressAutoHyphens w:val="0"/>
              <w:spacing w:before="60" w:line="240" w:lineRule="auto"/>
              <w:jc w:val="center"/>
              <w:rPr>
                <w:rFonts w:cstheme="minorHAnsi"/>
                <w:sz w:val="18"/>
                <w:szCs w:val="18"/>
                <w:lang w:eastAsia="en-AU"/>
              </w:rPr>
            </w:pPr>
            <w:r w:rsidRPr="008B7C3B">
              <w:rPr>
                <w:rFonts w:cstheme="minorHAnsi"/>
                <w:sz w:val="18"/>
                <w:szCs w:val="18"/>
                <w:lang w:eastAsia="en-AU"/>
              </w:rPr>
              <w:t>Moderate</w:t>
            </w:r>
          </w:p>
        </w:tc>
        <w:tc>
          <w:tcPr>
            <w:tcW w:w="4253" w:type="dxa"/>
            <w:vAlign w:val="center"/>
          </w:tcPr>
          <w:p w:rsidR="00F217DF" w:rsidRPr="008B7C3B"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w:t>
            </w:r>
            <w:r w:rsidRPr="003153A1">
              <w:rPr>
                <w:rFonts w:cstheme="minorHAnsi"/>
                <w:sz w:val="18"/>
                <w:szCs w:val="18"/>
                <w:lang w:eastAsia="en-AU"/>
              </w:rPr>
              <w:t xml:space="preserve">1) </w:t>
            </w:r>
            <w:r>
              <w:rPr>
                <w:rFonts w:cstheme="minorHAnsi"/>
                <w:sz w:val="18"/>
                <w:szCs w:val="18"/>
                <w:lang w:eastAsia="en-AU"/>
              </w:rPr>
              <w:t>All parties</w:t>
            </w:r>
            <w:r w:rsidR="00B96488">
              <w:rPr>
                <w:rFonts w:cstheme="minorHAnsi"/>
                <w:sz w:val="18"/>
                <w:szCs w:val="18"/>
                <w:lang w:eastAsia="en-AU"/>
              </w:rPr>
              <w:t xml:space="preserve"> to</w:t>
            </w:r>
            <w:r>
              <w:rPr>
                <w:rFonts w:cstheme="minorHAnsi"/>
                <w:sz w:val="18"/>
                <w:szCs w:val="18"/>
                <w:lang w:eastAsia="en-AU"/>
              </w:rPr>
              <w:t xml:space="preserve"> build in sufficient time for r</w:t>
            </w:r>
            <w:r w:rsidRPr="003153A1">
              <w:rPr>
                <w:rFonts w:cstheme="minorHAnsi"/>
                <w:sz w:val="18"/>
                <w:szCs w:val="18"/>
                <w:lang w:eastAsia="en-AU"/>
              </w:rPr>
              <w:t xml:space="preserve">ecruitment </w:t>
            </w:r>
            <w:r>
              <w:rPr>
                <w:rFonts w:cstheme="minorHAnsi"/>
                <w:sz w:val="18"/>
                <w:szCs w:val="18"/>
                <w:lang w:eastAsia="en-AU"/>
              </w:rPr>
              <w:t>(where possible)</w:t>
            </w:r>
            <w:r w:rsidRPr="003153A1">
              <w:rPr>
                <w:rFonts w:cstheme="minorHAnsi"/>
                <w:sz w:val="18"/>
                <w:szCs w:val="18"/>
                <w:lang w:eastAsia="en-AU"/>
              </w:rPr>
              <w:t>;</w:t>
            </w:r>
            <w:r>
              <w:rPr>
                <w:rFonts w:cstheme="minorHAnsi"/>
                <w:sz w:val="18"/>
                <w:szCs w:val="18"/>
                <w:lang w:eastAsia="en-AU"/>
              </w:rPr>
              <w:t xml:space="preserve"> (2) TASS </w:t>
            </w:r>
            <w:r w:rsidR="00B96488">
              <w:rPr>
                <w:rFonts w:cstheme="minorHAnsi"/>
                <w:sz w:val="18"/>
                <w:szCs w:val="18"/>
                <w:lang w:eastAsia="en-AU"/>
              </w:rPr>
              <w:t>to establish and maintain</w:t>
            </w:r>
            <w:r>
              <w:rPr>
                <w:rFonts w:cstheme="minorHAnsi"/>
                <w:sz w:val="18"/>
                <w:szCs w:val="18"/>
                <w:lang w:eastAsia="en-AU"/>
              </w:rPr>
              <w:t xml:space="preserve"> a pool of </w:t>
            </w:r>
            <w:r w:rsidRPr="003153A1">
              <w:rPr>
                <w:rFonts w:cstheme="minorHAnsi"/>
                <w:sz w:val="18"/>
                <w:szCs w:val="18"/>
                <w:lang w:eastAsia="en-AU"/>
              </w:rPr>
              <w:t xml:space="preserve">STA </w:t>
            </w:r>
            <w:r>
              <w:rPr>
                <w:rFonts w:cstheme="minorHAnsi"/>
                <w:sz w:val="18"/>
                <w:szCs w:val="18"/>
                <w:lang w:eastAsia="en-AU"/>
              </w:rPr>
              <w:t xml:space="preserve">with relevant skills and experience; </w:t>
            </w:r>
            <w:r w:rsidRPr="003153A1">
              <w:rPr>
                <w:rFonts w:cstheme="minorHAnsi"/>
                <w:sz w:val="18"/>
                <w:szCs w:val="18"/>
                <w:lang w:eastAsia="en-AU"/>
              </w:rPr>
              <w:t>(</w:t>
            </w:r>
            <w:r>
              <w:rPr>
                <w:rFonts w:cstheme="minorHAnsi"/>
                <w:sz w:val="18"/>
                <w:szCs w:val="18"/>
                <w:lang w:eastAsia="en-AU"/>
              </w:rPr>
              <w:t>3</w:t>
            </w:r>
            <w:r w:rsidRPr="003153A1">
              <w:rPr>
                <w:rFonts w:cstheme="minorHAnsi"/>
                <w:sz w:val="18"/>
                <w:szCs w:val="18"/>
                <w:lang w:eastAsia="en-AU"/>
              </w:rPr>
              <w:t>)</w:t>
            </w:r>
            <w:r>
              <w:rPr>
                <w:rFonts w:cstheme="minorHAnsi"/>
                <w:sz w:val="18"/>
                <w:szCs w:val="18"/>
                <w:lang w:eastAsia="en-AU"/>
              </w:rPr>
              <w:t xml:space="preserve"> TASS and </w:t>
            </w:r>
            <w:r w:rsidR="00615C27">
              <w:rPr>
                <w:rFonts w:cstheme="minorHAnsi"/>
                <w:sz w:val="18"/>
                <w:szCs w:val="18"/>
                <w:lang w:eastAsia="en-AU"/>
              </w:rPr>
              <w:t xml:space="preserve">the </w:t>
            </w:r>
            <w:r>
              <w:rPr>
                <w:rFonts w:cstheme="minorHAnsi"/>
                <w:sz w:val="18"/>
                <w:szCs w:val="18"/>
                <w:lang w:eastAsia="en-AU"/>
              </w:rPr>
              <w:t xml:space="preserve">Indonesian Government </w:t>
            </w:r>
            <w:r w:rsidR="00B96488">
              <w:rPr>
                <w:rFonts w:cstheme="minorHAnsi"/>
                <w:sz w:val="18"/>
                <w:szCs w:val="18"/>
                <w:lang w:eastAsia="en-AU"/>
              </w:rPr>
              <w:t xml:space="preserve">to </w:t>
            </w:r>
            <w:r>
              <w:rPr>
                <w:rFonts w:cstheme="minorHAnsi"/>
                <w:sz w:val="18"/>
                <w:szCs w:val="18"/>
                <w:lang w:eastAsia="en-AU"/>
              </w:rPr>
              <w:t xml:space="preserve">invest in task scoping, </w:t>
            </w:r>
            <w:r w:rsidR="00615C27">
              <w:rPr>
                <w:rFonts w:cstheme="minorHAnsi"/>
                <w:sz w:val="18"/>
                <w:szCs w:val="18"/>
                <w:lang w:eastAsia="en-AU"/>
              </w:rPr>
              <w:t xml:space="preserve">the </w:t>
            </w:r>
            <w:r>
              <w:rPr>
                <w:rFonts w:cstheme="minorHAnsi"/>
                <w:sz w:val="18"/>
                <w:szCs w:val="18"/>
                <w:lang w:eastAsia="en-AU"/>
              </w:rPr>
              <w:t xml:space="preserve">identification of clear TA specification and realistic ToR; (4) TASS </w:t>
            </w:r>
            <w:r w:rsidR="00B96488">
              <w:rPr>
                <w:rFonts w:cstheme="minorHAnsi"/>
                <w:sz w:val="18"/>
                <w:szCs w:val="18"/>
                <w:lang w:eastAsia="en-AU"/>
              </w:rPr>
              <w:t>to provide</w:t>
            </w:r>
            <w:r>
              <w:rPr>
                <w:rFonts w:cstheme="minorHAnsi"/>
                <w:sz w:val="18"/>
                <w:szCs w:val="18"/>
                <w:lang w:eastAsia="en-AU"/>
              </w:rPr>
              <w:t xml:space="preserve"> </w:t>
            </w:r>
            <w:r w:rsidRPr="00107B4D">
              <w:rPr>
                <w:rFonts w:cstheme="minorHAnsi"/>
                <w:sz w:val="18"/>
                <w:szCs w:val="18"/>
                <w:lang w:eastAsia="en-AU"/>
              </w:rPr>
              <w:t xml:space="preserve">early warning to DFAT and </w:t>
            </w:r>
            <w:r>
              <w:rPr>
                <w:rFonts w:cstheme="minorHAnsi"/>
                <w:sz w:val="18"/>
                <w:szCs w:val="18"/>
                <w:lang w:eastAsia="en-AU"/>
              </w:rPr>
              <w:t>Indonesian Government</w:t>
            </w:r>
            <w:r w:rsidRPr="00107B4D">
              <w:rPr>
                <w:rFonts w:cstheme="minorHAnsi"/>
                <w:sz w:val="18"/>
                <w:szCs w:val="18"/>
                <w:lang w:eastAsia="en-AU"/>
              </w:rPr>
              <w:t xml:space="preserve"> where challenging recruitment is anticipated so that alternative</w:t>
            </w:r>
            <w:r w:rsidR="00615C27">
              <w:rPr>
                <w:rFonts w:cstheme="minorHAnsi"/>
                <w:sz w:val="18"/>
                <w:szCs w:val="18"/>
                <w:lang w:eastAsia="en-AU"/>
              </w:rPr>
              <w:t xml:space="preserve"> route</w:t>
            </w:r>
            <w:r w:rsidR="00084FA4">
              <w:rPr>
                <w:rFonts w:cstheme="minorHAnsi"/>
                <w:sz w:val="18"/>
                <w:szCs w:val="18"/>
                <w:lang w:eastAsia="en-AU"/>
              </w:rPr>
              <w:t>s</w:t>
            </w:r>
            <w:r w:rsidRPr="00107B4D">
              <w:rPr>
                <w:rFonts w:cstheme="minorHAnsi"/>
                <w:sz w:val="18"/>
                <w:szCs w:val="18"/>
                <w:lang w:eastAsia="en-AU"/>
              </w:rPr>
              <w:t xml:space="preserve"> can be explored and negotiated</w:t>
            </w:r>
            <w:r>
              <w:rPr>
                <w:rFonts w:cstheme="minorHAnsi"/>
                <w:sz w:val="18"/>
                <w:szCs w:val="18"/>
                <w:lang w:eastAsia="en-AU"/>
              </w:rPr>
              <w:t xml:space="preserve">; (5) TASS </w:t>
            </w:r>
            <w:r w:rsidR="00B96488">
              <w:rPr>
                <w:rFonts w:cstheme="minorHAnsi"/>
                <w:sz w:val="18"/>
                <w:szCs w:val="18"/>
                <w:lang w:eastAsia="en-AU"/>
              </w:rPr>
              <w:t>to share</w:t>
            </w:r>
            <w:r>
              <w:rPr>
                <w:rFonts w:cstheme="minorHAnsi"/>
                <w:sz w:val="18"/>
                <w:szCs w:val="18"/>
                <w:lang w:eastAsia="en-AU"/>
              </w:rPr>
              <w:t xml:space="preserve"> va</w:t>
            </w:r>
            <w:r w:rsidRPr="00107B4D">
              <w:rPr>
                <w:rFonts w:cstheme="minorHAnsi"/>
                <w:sz w:val="18"/>
                <w:szCs w:val="18"/>
                <w:lang w:eastAsia="en-AU"/>
              </w:rPr>
              <w:t>canc</w:t>
            </w:r>
            <w:r>
              <w:rPr>
                <w:rFonts w:cstheme="minorHAnsi"/>
                <w:sz w:val="18"/>
                <w:szCs w:val="18"/>
                <w:lang w:eastAsia="en-AU"/>
              </w:rPr>
              <w:t xml:space="preserve">y announcements with </w:t>
            </w:r>
            <w:r w:rsidRPr="00107B4D">
              <w:rPr>
                <w:rFonts w:cstheme="minorHAnsi"/>
                <w:sz w:val="18"/>
                <w:szCs w:val="18"/>
                <w:lang w:eastAsia="en-AU"/>
              </w:rPr>
              <w:t xml:space="preserve">INOVASI, </w:t>
            </w:r>
            <w:r w:rsidR="003409D3">
              <w:rPr>
                <w:rFonts w:cstheme="minorHAnsi"/>
                <w:sz w:val="18"/>
                <w:szCs w:val="18"/>
                <w:lang w:eastAsia="en-AU"/>
              </w:rPr>
              <w:t xml:space="preserve">the </w:t>
            </w:r>
            <w:r w:rsidRPr="00107B4D">
              <w:rPr>
                <w:rFonts w:cstheme="minorHAnsi"/>
                <w:sz w:val="18"/>
                <w:szCs w:val="18"/>
                <w:lang w:eastAsia="en-AU"/>
              </w:rPr>
              <w:t>Palladium Education Practice Area, DFAT and relevant DFAT programs</w:t>
            </w:r>
            <w:r>
              <w:rPr>
                <w:rFonts w:cstheme="minorHAnsi"/>
                <w:sz w:val="18"/>
                <w:szCs w:val="18"/>
                <w:lang w:eastAsia="en-AU"/>
              </w:rPr>
              <w:t xml:space="preserve">; </w:t>
            </w:r>
            <w:r w:rsidR="00084FA4">
              <w:rPr>
                <w:rFonts w:cstheme="minorHAnsi"/>
                <w:sz w:val="18"/>
                <w:szCs w:val="18"/>
                <w:lang w:eastAsia="en-AU"/>
              </w:rPr>
              <w:t xml:space="preserve">(6) </w:t>
            </w:r>
            <w:r w:rsidR="001A1FE6">
              <w:rPr>
                <w:rFonts w:cstheme="minorHAnsi"/>
                <w:sz w:val="18"/>
                <w:szCs w:val="18"/>
                <w:lang w:eastAsia="en-AU"/>
              </w:rPr>
              <w:t>A</w:t>
            </w:r>
            <w:r w:rsidR="00084FA4">
              <w:rPr>
                <w:rFonts w:cstheme="minorHAnsi"/>
                <w:sz w:val="18"/>
                <w:szCs w:val="18"/>
                <w:lang w:eastAsia="en-AU"/>
              </w:rPr>
              <w:t xml:space="preserve">dvertisements </w:t>
            </w:r>
            <w:r w:rsidR="00B96488">
              <w:rPr>
                <w:rFonts w:cstheme="minorHAnsi"/>
                <w:sz w:val="18"/>
                <w:szCs w:val="18"/>
                <w:lang w:eastAsia="en-AU"/>
              </w:rPr>
              <w:t>to be</w:t>
            </w:r>
            <w:r w:rsidR="00084FA4">
              <w:rPr>
                <w:rFonts w:cstheme="minorHAnsi"/>
                <w:sz w:val="18"/>
                <w:szCs w:val="18"/>
                <w:lang w:eastAsia="en-AU"/>
              </w:rPr>
              <w:t xml:space="preserve"> placed on the </w:t>
            </w:r>
            <w:r>
              <w:rPr>
                <w:rFonts w:cstheme="minorHAnsi"/>
                <w:sz w:val="18"/>
                <w:szCs w:val="18"/>
                <w:lang w:eastAsia="en-AU"/>
              </w:rPr>
              <w:t>DFAT AusConnect portal.</w:t>
            </w:r>
          </w:p>
        </w:tc>
        <w:tc>
          <w:tcPr>
            <w:tcW w:w="1276" w:type="dxa"/>
            <w:vAlign w:val="center"/>
          </w:tcPr>
          <w:p w:rsidR="00F217DF" w:rsidRDefault="00F217DF" w:rsidP="00034714">
            <w:pPr>
              <w:suppressAutoHyphens w:val="0"/>
              <w:spacing w:before="60" w:line="240" w:lineRule="auto"/>
              <w:rPr>
                <w:rFonts w:cstheme="minorHAnsi"/>
                <w:sz w:val="18"/>
                <w:szCs w:val="18"/>
                <w:lang w:eastAsia="en-AU"/>
              </w:rPr>
            </w:pPr>
            <w:r w:rsidRPr="005F0FF8">
              <w:rPr>
                <w:rFonts w:cstheme="minorHAnsi"/>
                <w:sz w:val="18"/>
                <w:szCs w:val="18"/>
                <w:lang w:eastAsia="en-AU"/>
              </w:rPr>
              <w:t>TASS FD /FM/TASM and Education Specialists</w:t>
            </w:r>
            <w:r>
              <w:rPr>
                <w:rFonts w:cstheme="minorHAnsi"/>
                <w:sz w:val="18"/>
                <w:szCs w:val="18"/>
                <w:lang w:eastAsia="en-AU"/>
              </w:rPr>
              <w:t xml:space="preserve"> </w:t>
            </w:r>
            <w:r w:rsidR="004E1BC7">
              <w:rPr>
                <w:rFonts w:cstheme="minorHAnsi"/>
                <w:sz w:val="18"/>
                <w:szCs w:val="18"/>
                <w:lang w:eastAsia="en-AU"/>
              </w:rPr>
              <w:t>with DFAT and the Indonesian Government</w:t>
            </w:r>
          </w:p>
          <w:p w:rsidR="00F217DF" w:rsidRPr="008B7C3B"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(Ongoing)</w:t>
            </w:r>
          </w:p>
        </w:tc>
        <w:tc>
          <w:tcPr>
            <w:tcW w:w="1027"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1027"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Neg.</w:t>
            </w:r>
          </w:p>
        </w:tc>
        <w:tc>
          <w:tcPr>
            <w:tcW w:w="1028" w:type="dxa"/>
            <w:shd w:val="clear" w:color="auto" w:fill="DDECD0" w:themeFill="accent2" w:themeFillTint="66"/>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Low</w:t>
            </w:r>
          </w:p>
        </w:tc>
      </w:tr>
      <w:tr w:rsidR="00F217DF" w:rsidTr="00E510C3">
        <w:tc>
          <w:tcPr>
            <w:tcW w:w="1838" w:type="dxa"/>
            <w:vAlign w:val="center"/>
          </w:tcPr>
          <w:p w:rsidR="00F217DF" w:rsidRPr="008B7C3B"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TASS cannot mobilise TA</w:t>
            </w:r>
            <w:r w:rsidRPr="00F42CBF">
              <w:rPr>
                <w:rFonts w:cstheme="minorHAnsi"/>
                <w:sz w:val="18"/>
                <w:szCs w:val="18"/>
                <w:lang w:eastAsia="en-AU"/>
              </w:rPr>
              <w:t xml:space="preserve"> quickly enough to meet GoI/GoA timeframes</w:t>
            </w:r>
            <w:r>
              <w:rPr>
                <w:rFonts w:cstheme="minorHAnsi"/>
                <w:sz w:val="18"/>
                <w:szCs w:val="18"/>
                <w:lang w:eastAsia="en-AU"/>
              </w:rPr>
              <w:t xml:space="preserve"> and needs</w:t>
            </w:r>
            <w:r w:rsidRPr="00F42CBF">
              <w:rPr>
                <w:rFonts w:cstheme="minorHAnsi"/>
                <w:sz w:val="18"/>
                <w:szCs w:val="18"/>
                <w:lang w:eastAsia="en-AU"/>
              </w:rPr>
              <w:t>.</w:t>
            </w:r>
          </w:p>
        </w:tc>
        <w:tc>
          <w:tcPr>
            <w:tcW w:w="1134"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992"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Major</w:t>
            </w:r>
          </w:p>
        </w:tc>
        <w:tc>
          <w:tcPr>
            <w:tcW w:w="1134" w:type="dxa"/>
            <w:shd w:val="clear" w:color="auto" w:fill="E4B69E" w:themeFill="accent3" w:themeFillTint="99"/>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High</w:t>
            </w:r>
          </w:p>
        </w:tc>
        <w:tc>
          <w:tcPr>
            <w:tcW w:w="4253" w:type="dxa"/>
            <w:vAlign w:val="center"/>
          </w:tcPr>
          <w:p w:rsidR="00F217DF" w:rsidRPr="008B7C3B"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w:t>
            </w:r>
            <w:r w:rsidRPr="002973FE">
              <w:rPr>
                <w:rFonts w:cstheme="minorHAnsi"/>
                <w:sz w:val="18"/>
                <w:szCs w:val="18"/>
                <w:lang w:eastAsia="en-AU"/>
              </w:rPr>
              <w:t xml:space="preserve">1) </w:t>
            </w:r>
            <w:r w:rsidR="00EA4C6E">
              <w:rPr>
                <w:rFonts w:cstheme="minorHAnsi"/>
                <w:sz w:val="18"/>
                <w:szCs w:val="18"/>
                <w:lang w:eastAsia="en-AU"/>
              </w:rPr>
              <w:t xml:space="preserve">TASS </w:t>
            </w:r>
            <w:r w:rsidR="00EA6FBA">
              <w:rPr>
                <w:rFonts w:cstheme="minorHAnsi"/>
                <w:sz w:val="18"/>
                <w:szCs w:val="18"/>
                <w:lang w:eastAsia="en-AU"/>
              </w:rPr>
              <w:t xml:space="preserve">to highlight the need </w:t>
            </w:r>
            <w:r>
              <w:rPr>
                <w:rFonts w:cstheme="minorHAnsi"/>
                <w:sz w:val="18"/>
                <w:szCs w:val="18"/>
                <w:lang w:eastAsia="en-AU"/>
              </w:rPr>
              <w:t xml:space="preserve">for </w:t>
            </w:r>
            <w:r w:rsidRPr="002973FE">
              <w:rPr>
                <w:rFonts w:cstheme="minorHAnsi"/>
                <w:sz w:val="18"/>
                <w:szCs w:val="18"/>
                <w:lang w:eastAsia="en-AU"/>
              </w:rPr>
              <w:t xml:space="preserve">rapid TA mobilisation </w:t>
            </w:r>
            <w:r w:rsidR="00EA6FBA">
              <w:rPr>
                <w:rFonts w:cstheme="minorHAnsi"/>
                <w:sz w:val="18"/>
                <w:szCs w:val="18"/>
                <w:lang w:eastAsia="en-AU"/>
              </w:rPr>
              <w:t>when submitting</w:t>
            </w:r>
            <w:r w:rsidRPr="002973FE">
              <w:rPr>
                <w:rFonts w:cstheme="minorHAnsi"/>
                <w:sz w:val="18"/>
                <w:szCs w:val="18"/>
                <w:lang w:eastAsia="en-AU"/>
              </w:rPr>
              <w:t xml:space="preserve"> Tasking Note</w:t>
            </w:r>
            <w:r w:rsidR="00EA6FBA">
              <w:rPr>
                <w:rFonts w:cstheme="minorHAnsi"/>
                <w:sz w:val="18"/>
                <w:szCs w:val="18"/>
                <w:lang w:eastAsia="en-AU"/>
              </w:rPr>
              <w:t>s</w:t>
            </w:r>
            <w:r>
              <w:rPr>
                <w:rFonts w:cstheme="minorHAnsi"/>
                <w:sz w:val="18"/>
                <w:szCs w:val="18"/>
                <w:lang w:eastAsia="en-AU"/>
              </w:rPr>
              <w:t xml:space="preserve">, with TASS and DFAT to negotiate </w:t>
            </w:r>
            <w:r w:rsidRPr="002973FE">
              <w:rPr>
                <w:rFonts w:cstheme="minorHAnsi"/>
                <w:sz w:val="18"/>
                <w:szCs w:val="18"/>
                <w:lang w:eastAsia="en-AU"/>
              </w:rPr>
              <w:t>alternative recruitment processes</w:t>
            </w:r>
            <w:r>
              <w:rPr>
                <w:rFonts w:cstheme="minorHAnsi"/>
                <w:sz w:val="18"/>
                <w:szCs w:val="18"/>
                <w:lang w:eastAsia="en-AU"/>
              </w:rPr>
              <w:t xml:space="preserve"> where required; (2) TASS to draw TA down from </w:t>
            </w:r>
            <w:r w:rsidR="00EE5EA4">
              <w:rPr>
                <w:rFonts w:cstheme="minorHAnsi"/>
                <w:sz w:val="18"/>
                <w:szCs w:val="18"/>
                <w:lang w:eastAsia="en-AU"/>
              </w:rPr>
              <w:t>its pool of</w:t>
            </w:r>
            <w:r>
              <w:rPr>
                <w:rFonts w:cstheme="minorHAnsi"/>
                <w:sz w:val="18"/>
                <w:szCs w:val="18"/>
                <w:lang w:eastAsia="en-AU"/>
              </w:rPr>
              <w:t xml:space="preserve"> pre-qualified STA; (3) TASS to inform and update the Indonesian Government</w:t>
            </w:r>
            <w:r w:rsidRPr="002973FE">
              <w:rPr>
                <w:rFonts w:cstheme="minorHAnsi"/>
                <w:sz w:val="18"/>
                <w:szCs w:val="18"/>
                <w:lang w:eastAsia="en-AU"/>
              </w:rPr>
              <w:t xml:space="preserve"> </w:t>
            </w:r>
            <w:r>
              <w:rPr>
                <w:rFonts w:cstheme="minorHAnsi"/>
                <w:sz w:val="18"/>
                <w:szCs w:val="18"/>
                <w:lang w:eastAsia="en-AU"/>
              </w:rPr>
              <w:t xml:space="preserve">about expected timeframes </w:t>
            </w:r>
            <w:r w:rsidRPr="002973FE">
              <w:rPr>
                <w:rFonts w:cstheme="minorHAnsi"/>
                <w:sz w:val="18"/>
                <w:szCs w:val="18"/>
                <w:lang w:eastAsia="en-AU"/>
              </w:rPr>
              <w:t xml:space="preserve">for TA mobilisation; </w:t>
            </w:r>
            <w:r>
              <w:rPr>
                <w:rFonts w:cstheme="minorHAnsi"/>
                <w:sz w:val="18"/>
                <w:szCs w:val="18"/>
                <w:lang w:eastAsia="en-AU"/>
              </w:rPr>
              <w:t xml:space="preserve">(4) TASS to regularly check the availability of its </w:t>
            </w:r>
            <w:r w:rsidR="00EE5EA4">
              <w:rPr>
                <w:rFonts w:cstheme="minorHAnsi"/>
                <w:sz w:val="18"/>
                <w:szCs w:val="18"/>
                <w:lang w:eastAsia="en-AU"/>
              </w:rPr>
              <w:t xml:space="preserve">pool of </w:t>
            </w:r>
            <w:r>
              <w:rPr>
                <w:rFonts w:cstheme="minorHAnsi"/>
                <w:sz w:val="18"/>
                <w:szCs w:val="18"/>
                <w:lang w:eastAsia="en-AU"/>
              </w:rPr>
              <w:t>pre-qualified STA and refresh the list of experts as required; (5) TASS</w:t>
            </w:r>
            <w:r w:rsidRPr="002973FE">
              <w:rPr>
                <w:rFonts w:cstheme="minorHAnsi"/>
                <w:sz w:val="18"/>
                <w:szCs w:val="18"/>
                <w:lang w:eastAsia="en-AU"/>
              </w:rPr>
              <w:t xml:space="preserve"> </w:t>
            </w:r>
            <w:r>
              <w:rPr>
                <w:rFonts w:cstheme="minorHAnsi"/>
                <w:sz w:val="18"/>
                <w:szCs w:val="18"/>
                <w:lang w:eastAsia="en-AU"/>
              </w:rPr>
              <w:t>to identify</w:t>
            </w:r>
            <w:r w:rsidRPr="002973FE">
              <w:rPr>
                <w:rFonts w:cstheme="minorHAnsi"/>
                <w:sz w:val="18"/>
                <w:szCs w:val="18"/>
                <w:lang w:eastAsia="en-AU"/>
              </w:rPr>
              <w:t xml:space="preserve"> potential TA candidates during task scoping such that candidates can be contacted and encouraged to apply when advertisements are placed.</w:t>
            </w:r>
          </w:p>
        </w:tc>
        <w:tc>
          <w:tcPr>
            <w:tcW w:w="1276" w:type="dxa"/>
            <w:vAlign w:val="center"/>
          </w:tcPr>
          <w:p w:rsidR="00F217DF" w:rsidRDefault="00F217DF" w:rsidP="00034714">
            <w:pPr>
              <w:suppressAutoHyphens w:val="0"/>
              <w:spacing w:before="60" w:line="240" w:lineRule="auto"/>
              <w:rPr>
                <w:rFonts w:cstheme="minorHAnsi"/>
                <w:sz w:val="18"/>
                <w:szCs w:val="18"/>
                <w:lang w:eastAsia="en-AU"/>
              </w:rPr>
            </w:pPr>
            <w:r w:rsidRPr="00F005FB">
              <w:rPr>
                <w:rFonts w:cstheme="minorHAnsi"/>
                <w:sz w:val="18"/>
                <w:szCs w:val="18"/>
                <w:lang w:eastAsia="en-AU"/>
              </w:rPr>
              <w:t>TASS FD / AM /PQAM / TASM and Education Specialists</w:t>
            </w:r>
          </w:p>
          <w:p w:rsidR="00F217DF" w:rsidRPr="008B7C3B"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(Ongoing)</w:t>
            </w:r>
          </w:p>
        </w:tc>
        <w:tc>
          <w:tcPr>
            <w:tcW w:w="1027"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1027" w:type="dxa"/>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Negligible</w:t>
            </w:r>
          </w:p>
        </w:tc>
        <w:tc>
          <w:tcPr>
            <w:tcW w:w="1028" w:type="dxa"/>
            <w:shd w:val="clear" w:color="auto" w:fill="DDECD0" w:themeFill="accent2" w:themeFillTint="66"/>
            <w:vAlign w:val="center"/>
          </w:tcPr>
          <w:p w:rsidR="00F217DF" w:rsidRPr="008B7C3B" w:rsidRDefault="00F217DF" w:rsidP="00E510C3">
            <w:pPr>
              <w:suppressAutoHyphens w:val="0"/>
              <w:spacing w:before="60" w:line="240" w:lineRule="auto"/>
              <w:jc w:val="center"/>
              <w:rPr>
                <w:rFonts w:cstheme="minorHAnsi"/>
                <w:sz w:val="18"/>
                <w:szCs w:val="18"/>
                <w:lang w:eastAsia="en-AU"/>
              </w:rPr>
            </w:pPr>
            <w:r>
              <w:rPr>
                <w:rFonts w:cstheme="minorHAnsi"/>
                <w:sz w:val="18"/>
                <w:szCs w:val="18"/>
                <w:lang w:eastAsia="en-AU"/>
              </w:rPr>
              <w:t>Low</w:t>
            </w:r>
          </w:p>
        </w:tc>
      </w:tr>
      <w:tr w:rsidR="00F217DF" w:rsidTr="00034714">
        <w:tc>
          <w:tcPr>
            <w:tcW w:w="13709" w:type="dxa"/>
            <w:gridSpan w:val="9"/>
            <w:shd w:val="clear" w:color="auto" w:fill="D9D9D9" w:themeFill="background1" w:themeFillShade="D9"/>
            <w:vAlign w:val="center"/>
          </w:tcPr>
          <w:p w:rsidR="00F217DF"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Operating environment-related risks</w:t>
            </w:r>
          </w:p>
        </w:tc>
      </w:tr>
      <w:tr w:rsidR="00EE2F69" w:rsidTr="00983013">
        <w:tc>
          <w:tcPr>
            <w:tcW w:w="1838" w:type="dxa"/>
            <w:vAlign w:val="center"/>
          </w:tcPr>
          <w:p w:rsidR="00EE2F69" w:rsidRPr="008B7C3B" w:rsidRDefault="00A328A9" w:rsidP="00034714">
            <w:pPr>
              <w:suppressAutoHyphens w:val="0"/>
              <w:spacing w:before="60" w:line="240" w:lineRule="auto"/>
              <w:rPr>
                <w:rFonts w:cstheme="minorHAnsi"/>
                <w:sz w:val="18"/>
                <w:szCs w:val="18"/>
                <w:lang w:eastAsia="en-AU"/>
              </w:rPr>
            </w:pPr>
            <w:r>
              <w:rPr>
                <w:rFonts w:cstheme="minorHAnsi"/>
                <w:sz w:val="18"/>
                <w:szCs w:val="18"/>
                <w:lang w:eastAsia="en-AU"/>
              </w:rPr>
              <w:t>Indonesian e</w:t>
            </w:r>
            <w:r w:rsidR="007B20E3">
              <w:rPr>
                <w:rFonts w:cstheme="minorHAnsi"/>
                <w:sz w:val="18"/>
                <w:szCs w:val="18"/>
                <w:lang w:eastAsia="en-AU"/>
              </w:rPr>
              <w:t xml:space="preserve">lections and associated changes in personnel </w:t>
            </w:r>
            <w:r w:rsidR="001B513C">
              <w:rPr>
                <w:rFonts w:cstheme="minorHAnsi"/>
                <w:sz w:val="18"/>
                <w:szCs w:val="18"/>
                <w:lang w:eastAsia="en-AU"/>
              </w:rPr>
              <w:lastRenderedPageBreak/>
              <w:t xml:space="preserve">slow momentum and create delays </w:t>
            </w:r>
          </w:p>
        </w:tc>
        <w:tc>
          <w:tcPr>
            <w:tcW w:w="1134" w:type="dxa"/>
            <w:vAlign w:val="center"/>
          </w:tcPr>
          <w:p w:rsidR="00EE2F69" w:rsidRPr="008B7C3B" w:rsidRDefault="00EE2F69" w:rsidP="00983013">
            <w:pPr>
              <w:suppressAutoHyphens w:val="0"/>
              <w:spacing w:before="60" w:line="240" w:lineRule="auto"/>
              <w:jc w:val="center"/>
              <w:rPr>
                <w:rFonts w:cstheme="minorHAnsi"/>
                <w:sz w:val="18"/>
                <w:szCs w:val="18"/>
                <w:lang w:eastAsia="en-AU"/>
              </w:rPr>
            </w:pPr>
            <w:r>
              <w:rPr>
                <w:rFonts w:cstheme="minorHAnsi"/>
                <w:sz w:val="18"/>
                <w:szCs w:val="18"/>
                <w:lang w:eastAsia="en-AU"/>
              </w:rPr>
              <w:lastRenderedPageBreak/>
              <w:t>Possible</w:t>
            </w:r>
          </w:p>
        </w:tc>
        <w:tc>
          <w:tcPr>
            <w:tcW w:w="992" w:type="dxa"/>
            <w:vAlign w:val="center"/>
          </w:tcPr>
          <w:p w:rsidR="00EE2F69" w:rsidRPr="008B7C3B" w:rsidRDefault="008D1312" w:rsidP="00983013">
            <w:pPr>
              <w:suppressAutoHyphens w:val="0"/>
              <w:spacing w:before="60" w:line="240" w:lineRule="auto"/>
              <w:jc w:val="center"/>
              <w:rPr>
                <w:rFonts w:cstheme="minorHAnsi"/>
                <w:sz w:val="18"/>
                <w:szCs w:val="18"/>
                <w:lang w:eastAsia="en-AU"/>
              </w:rPr>
            </w:pPr>
            <w:r>
              <w:rPr>
                <w:rFonts w:cstheme="minorHAnsi"/>
                <w:sz w:val="18"/>
                <w:szCs w:val="18"/>
                <w:lang w:eastAsia="en-AU"/>
              </w:rPr>
              <w:t>Minor</w:t>
            </w:r>
          </w:p>
        </w:tc>
        <w:tc>
          <w:tcPr>
            <w:tcW w:w="1134" w:type="dxa"/>
            <w:shd w:val="clear" w:color="auto" w:fill="FFF799" w:themeFill="accent4"/>
            <w:vAlign w:val="center"/>
          </w:tcPr>
          <w:p w:rsidR="00EE2F69" w:rsidRPr="008B7C3B" w:rsidRDefault="00215432" w:rsidP="0098301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c>
          <w:tcPr>
            <w:tcW w:w="4253" w:type="dxa"/>
            <w:vAlign w:val="center"/>
          </w:tcPr>
          <w:p w:rsidR="00EE2F69" w:rsidRPr="008B7C3B" w:rsidRDefault="00EE2F69" w:rsidP="00034714">
            <w:pPr>
              <w:suppressAutoHyphens w:val="0"/>
              <w:spacing w:before="60" w:line="240" w:lineRule="auto"/>
              <w:rPr>
                <w:rFonts w:cstheme="minorHAnsi"/>
                <w:sz w:val="18"/>
                <w:szCs w:val="18"/>
                <w:lang w:eastAsia="en-AU"/>
              </w:rPr>
            </w:pPr>
            <w:r w:rsidRPr="000B4AFF">
              <w:rPr>
                <w:rFonts w:cstheme="minorHAnsi"/>
                <w:sz w:val="18"/>
                <w:szCs w:val="18"/>
                <w:lang w:eastAsia="en-AU"/>
              </w:rPr>
              <w:t xml:space="preserve">(1) </w:t>
            </w:r>
            <w:r w:rsidR="00502F29">
              <w:rPr>
                <w:rFonts w:cstheme="minorHAnsi"/>
                <w:sz w:val="18"/>
                <w:szCs w:val="18"/>
                <w:lang w:eastAsia="en-AU"/>
              </w:rPr>
              <w:t>TASS and its partners to plan and schedule activities while remaining cognisant of likely changes and uncertainty</w:t>
            </w:r>
            <w:r w:rsidR="000E5764">
              <w:rPr>
                <w:rFonts w:cstheme="minorHAnsi"/>
                <w:sz w:val="18"/>
                <w:szCs w:val="18"/>
                <w:lang w:eastAsia="en-AU"/>
              </w:rPr>
              <w:t>.</w:t>
            </w:r>
          </w:p>
        </w:tc>
        <w:tc>
          <w:tcPr>
            <w:tcW w:w="1276" w:type="dxa"/>
            <w:vAlign w:val="center"/>
          </w:tcPr>
          <w:p w:rsidR="00EE2F69" w:rsidRDefault="00EE2F69" w:rsidP="00034714">
            <w:pPr>
              <w:suppressAutoHyphens w:val="0"/>
              <w:spacing w:before="60" w:line="240" w:lineRule="auto"/>
              <w:rPr>
                <w:rFonts w:cstheme="minorHAnsi"/>
                <w:sz w:val="18"/>
                <w:szCs w:val="18"/>
                <w:lang w:eastAsia="en-AU"/>
              </w:rPr>
            </w:pPr>
            <w:r>
              <w:rPr>
                <w:rFonts w:cstheme="minorHAnsi"/>
                <w:sz w:val="18"/>
                <w:szCs w:val="18"/>
                <w:lang w:eastAsia="en-AU"/>
              </w:rPr>
              <w:t xml:space="preserve">TASS </w:t>
            </w:r>
            <w:r w:rsidR="00215432">
              <w:rPr>
                <w:rFonts w:cstheme="minorHAnsi"/>
                <w:sz w:val="18"/>
                <w:szCs w:val="18"/>
                <w:lang w:eastAsia="en-AU"/>
              </w:rPr>
              <w:t>FD</w:t>
            </w:r>
            <w:r>
              <w:rPr>
                <w:rFonts w:cstheme="minorHAnsi"/>
                <w:sz w:val="18"/>
                <w:szCs w:val="18"/>
                <w:lang w:eastAsia="en-AU"/>
              </w:rPr>
              <w:t>/CR</w:t>
            </w:r>
            <w:r w:rsidR="00215432">
              <w:rPr>
                <w:rFonts w:cstheme="minorHAnsi"/>
                <w:sz w:val="18"/>
                <w:szCs w:val="18"/>
                <w:lang w:eastAsia="en-AU"/>
              </w:rPr>
              <w:t xml:space="preserve"> &amp; DFAT</w:t>
            </w:r>
          </w:p>
          <w:p w:rsidR="00EE2F69" w:rsidRPr="008B7C3B" w:rsidRDefault="00EE2F69" w:rsidP="00034714">
            <w:pPr>
              <w:suppressAutoHyphens w:val="0"/>
              <w:spacing w:before="60" w:line="240" w:lineRule="auto"/>
              <w:rPr>
                <w:rFonts w:cstheme="minorHAnsi"/>
                <w:sz w:val="18"/>
                <w:szCs w:val="18"/>
                <w:lang w:eastAsia="en-AU"/>
              </w:rPr>
            </w:pPr>
            <w:r>
              <w:rPr>
                <w:rFonts w:cstheme="minorHAnsi"/>
                <w:sz w:val="18"/>
                <w:szCs w:val="18"/>
                <w:lang w:eastAsia="en-AU"/>
              </w:rPr>
              <w:t>(Ongoing)</w:t>
            </w:r>
          </w:p>
        </w:tc>
        <w:tc>
          <w:tcPr>
            <w:tcW w:w="1027" w:type="dxa"/>
            <w:vAlign w:val="center"/>
          </w:tcPr>
          <w:p w:rsidR="00EE2F69" w:rsidRPr="008B7C3B" w:rsidRDefault="00EE2F69" w:rsidP="00983013">
            <w:pPr>
              <w:suppressAutoHyphens w:val="0"/>
              <w:spacing w:before="60" w:line="240" w:lineRule="auto"/>
              <w:jc w:val="center"/>
              <w:rPr>
                <w:rFonts w:cstheme="minorHAnsi"/>
                <w:sz w:val="18"/>
                <w:szCs w:val="18"/>
                <w:lang w:eastAsia="en-AU"/>
              </w:rPr>
            </w:pPr>
            <w:r>
              <w:rPr>
                <w:rFonts w:cstheme="minorHAnsi"/>
                <w:sz w:val="18"/>
                <w:szCs w:val="18"/>
                <w:lang w:eastAsia="en-AU"/>
              </w:rPr>
              <w:t>Possible</w:t>
            </w:r>
          </w:p>
        </w:tc>
        <w:tc>
          <w:tcPr>
            <w:tcW w:w="1027" w:type="dxa"/>
            <w:vAlign w:val="center"/>
          </w:tcPr>
          <w:p w:rsidR="00EE2F69" w:rsidRPr="008B7C3B" w:rsidRDefault="000E5764" w:rsidP="00983013">
            <w:pPr>
              <w:suppressAutoHyphens w:val="0"/>
              <w:spacing w:before="60" w:line="240" w:lineRule="auto"/>
              <w:jc w:val="center"/>
              <w:rPr>
                <w:rFonts w:cstheme="minorHAnsi"/>
                <w:sz w:val="18"/>
                <w:szCs w:val="18"/>
                <w:lang w:eastAsia="en-AU"/>
              </w:rPr>
            </w:pPr>
            <w:r>
              <w:rPr>
                <w:rFonts w:cstheme="minorHAnsi"/>
                <w:sz w:val="18"/>
                <w:szCs w:val="18"/>
                <w:lang w:eastAsia="en-AU"/>
              </w:rPr>
              <w:t>Neg.</w:t>
            </w:r>
          </w:p>
        </w:tc>
        <w:tc>
          <w:tcPr>
            <w:tcW w:w="1028" w:type="dxa"/>
            <w:shd w:val="clear" w:color="auto" w:fill="DDECD0" w:themeFill="accent2" w:themeFillTint="66"/>
            <w:vAlign w:val="center"/>
          </w:tcPr>
          <w:p w:rsidR="00EE2F69" w:rsidRPr="008B7C3B" w:rsidRDefault="00983013" w:rsidP="00983013">
            <w:pPr>
              <w:suppressAutoHyphens w:val="0"/>
              <w:spacing w:before="60" w:line="240" w:lineRule="auto"/>
              <w:jc w:val="center"/>
              <w:rPr>
                <w:rFonts w:cstheme="minorHAnsi"/>
                <w:sz w:val="18"/>
                <w:szCs w:val="18"/>
                <w:lang w:eastAsia="en-AU"/>
              </w:rPr>
            </w:pPr>
            <w:r>
              <w:rPr>
                <w:rFonts w:cstheme="minorHAnsi"/>
                <w:sz w:val="18"/>
                <w:szCs w:val="18"/>
                <w:lang w:eastAsia="en-AU"/>
              </w:rPr>
              <w:t>Low</w:t>
            </w:r>
          </w:p>
        </w:tc>
      </w:tr>
      <w:tr w:rsidR="00F217DF" w:rsidTr="00983013">
        <w:tc>
          <w:tcPr>
            <w:tcW w:w="13709" w:type="dxa"/>
            <w:gridSpan w:val="9"/>
            <w:shd w:val="clear" w:color="auto" w:fill="D9D9D9" w:themeFill="background1" w:themeFillShade="D9"/>
            <w:vAlign w:val="center"/>
          </w:tcPr>
          <w:p w:rsidR="00F217DF" w:rsidRDefault="00F217DF" w:rsidP="00983013">
            <w:pPr>
              <w:suppressAutoHyphens w:val="0"/>
              <w:spacing w:before="60" w:line="240" w:lineRule="auto"/>
              <w:jc w:val="center"/>
              <w:rPr>
                <w:rFonts w:cstheme="minorHAnsi"/>
                <w:sz w:val="18"/>
                <w:szCs w:val="18"/>
                <w:lang w:eastAsia="en-AU"/>
              </w:rPr>
            </w:pPr>
            <w:r>
              <w:rPr>
                <w:rFonts w:cstheme="minorHAnsi"/>
                <w:sz w:val="18"/>
                <w:szCs w:val="18"/>
                <w:lang w:eastAsia="en-AU"/>
              </w:rPr>
              <w:t>Safeguard-related risks</w:t>
            </w:r>
          </w:p>
        </w:tc>
      </w:tr>
      <w:tr w:rsidR="00F217DF" w:rsidTr="00983013">
        <w:tc>
          <w:tcPr>
            <w:tcW w:w="1838" w:type="dxa"/>
            <w:vAlign w:val="center"/>
          </w:tcPr>
          <w:p w:rsidR="00F217DF" w:rsidRPr="00FF58E6" w:rsidRDefault="00F217DF" w:rsidP="00034714">
            <w:pPr>
              <w:suppressAutoHyphens w:val="0"/>
              <w:spacing w:before="60" w:line="240" w:lineRule="auto"/>
              <w:rPr>
                <w:rFonts w:cstheme="minorHAnsi"/>
                <w:sz w:val="18"/>
                <w:szCs w:val="18"/>
                <w:lang w:eastAsia="en-AU"/>
              </w:rPr>
            </w:pPr>
            <w:r w:rsidRPr="002B5142">
              <w:rPr>
                <w:rFonts w:cstheme="minorHAnsi"/>
                <w:sz w:val="18"/>
                <w:szCs w:val="18"/>
                <w:lang w:eastAsia="en-AU"/>
              </w:rPr>
              <w:t xml:space="preserve">Subcontracted institutions, NGOs, or other partners </w:t>
            </w:r>
            <w:r>
              <w:rPr>
                <w:rFonts w:cstheme="minorHAnsi"/>
                <w:sz w:val="18"/>
                <w:szCs w:val="18"/>
                <w:lang w:eastAsia="en-AU"/>
              </w:rPr>
              <w:t>do not</w:t>
            </w:r>
            <w:r w:rsidRPr="002B5142">
              <w:rPr>
                <w:rFonts w:cstheme="minorHAnsi"/>
                <w:sz w:val="18"/>
                <w:szCs w:val="18"/>
                <w:lang w:eastAsia="en-AU"/>
              </w:rPr>
              <w:t xml:space="preserve"> comply with DFAT Child Protection Policy.</w:t>
            </w:r>
          </w:p>
        </w:tc>
        <w:tc>
          <w:tcPr>
            <w:tcW w:w="1134" w:type="dxa"/>
            <w:vAlign w:val="center"/>
          </w:tcPr>
          <w:p w:rsidR="00F217DF" w:rsidRDefault="00F217DF" w:rsidP="00983013">
            <w:pPr>
              <w:suppressAutoHyphens w:val="0"/>
              <w:spacing w:before="60" w:line="240" w:lineRule="auto"/>
              <w:jc w:val="center"/>
              <w:rPr>
                <w:rFonts w:cstheme="minorHAnsi"/>
                <w:sz w:val="18"/>
                <w:szCs w:val="18"/>
                <w:lang w:eastAsia="en-AU"/>
              </w:rPr>
            </w:pPr>
            <w:r>
              <w:rPr>
                <w:rFonts w:cstheme="minorHAnsi"/>
                <w:sz w:val="18"/>
                <w:szCs w:val="18"/>
                <w:lang w:eastAsia="en-AU"/>
              </w:rPr>
              <w:t>Unlikely</w:t>
            </w:r>
          </w:p>
        </w:tc>
        <w:tc>
          <w:tcPr>
            <w:tcW w:w="992" w:type="dxa"/>
            <w:vAlign w:val="center"/>
          </w:tcPr>
          <w:p w:rsidR="00F217DF" w:rsidRDefault="00F217DF" w:rsidP="00983013">
            <w:pPr>
              <w:suppressAutoHyphens w:val="0"/>
              <w:spacing w:before="60" w:line="240" w:lineRule="auto"/>
              <w:jc w:val="center"/>
              <w:rPr>
                <w:rFonts w:cstheme="minorHAnsi"/>
                <w:sz w:val="18"/>
                <w:szCs w:val="18"/>
                <w:lang w:eastAsia="en-AU"/>
              </w:rPr>
            </w:pPr>
            <w:r>
              <w:rPr>
                <w:rFonts w:cstheme="minorHAnsi"/>
                <w:sz w:val="18"/>
                <w:szCs w:val="18"/>
                <w:lang w:eastAsia="en-AU"/>
              </w:rPr>
              <w:t>Major</w:t>
            </w:r>
          </w:p>
        </w:tc>
        <w:tc>
          <w:tcPr>
            <w:tcW w:w="1134" w:type="dxa"/>
            <w:shd w:val="clear" w:color="auto" w:fill="FFF799" w:themeFill="accent4"/>
            <w:vAlign w:val="center"/>
          </w:tcPr>
          <w:p w:rsidR="00F217DF" w:rsidRDefault="00F217DF" w:rsidP="0098301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c>
          <w:tcPr>
            <w:tcW w:w="4253" w:type="dxa"/>
            <w:vAlign w:val="center"/>
          </w:tcPr>
          <w:p w:rsidR="00F217DF" w:rsidRPr="00696AF9" w:rsidRDefault="009A4FDA" w:rsidP="00034714">
            <w:pPr>
              <w:suppressAutoHyphens w:val="0"/>
              <w:spacing w:before="60" w:line="240" w:lineRule="auto"/>
              <w:rPr>
                <w:rFonts w:cstheme="minorHAnsi"/>
                <w:sz w:val="18"/>
                <w:szCs w:val="18"/>
                <w:lang w:eastAsia="en-AU"/>
              </w:rPr>
            </w:pPr>
            <w:r>
              <w:rPr>
                <w:rFonts w:cstheme="minorHAnsi"/>
                <w:sz w:val="18"/>
                <w:szCs w:val="18"/>
                <w:lang w:eastAsia="en-AU"/>
              </w:rPr>
              <w:t xml:space="preserve">(1) </w:t>
            </w:r>
            <w:r w:rsidR="00F217DF">
              <w:rPr>
                <w:rFonts w:cstheme="minorHAnsi"/>
                <w:sz w:val="18"/>
                <w:szCs w:val="18"/>
                <w:lang w:eastAsia="en-AU"/>
              </w:rPr>
              <w:t xml:space="preserve">TASS </w:t>
            </w:r>
            <w:r w:rsidR="001C2C08">
              <w:rPr>
                <w:rFonts w:cstheme="minorHAnsi"/>
                <w:sz w:val="18"/>
                <w:szCs w:val="18"/>
                <w:lang w:eastAsia="en-AU"/>
              </w:rPr>
              <w:t xml:space="preserve">to </w:t>
            </w:r>
            <w:r w:rsidR="00F217DF">
              <w:rPr>
                <w:rFonts w:cstheme="minorHAnsi"/>
                <w:sz w:val="18"/>
                <w:szCs w:val="18"/>
                <w:lang w:eastAsia="en-AU"/>
              </w:rPr>
              <w:t xml:space="preserve">routinely review </w:t>
            </w:r>
            <w:r w:rsidR="00F217DF" w:rsidRPr="00696AF9">
              <w:rPr>
                <w:rFonts w:cstheme="minorHAnsi"/>
                <w:sz w:val="18"/>
                <w:szCs w:val="18"/>
                <w:lang w:eastAsia="en-AU"/>
              </w:rPr>
              <w:t>compliance with controls</w:t>
            </w:r>
            <w:r w:rsidR="00F217DF">
              <w:rPr>
                <w:rFonts w:cstheme="minorHAnsi"/>
                <w:sz w:val="18"/>
                <w:szCs w:val="18"/>
                <w:lang w:eastAsia="en-AU"/>
              </w:rPr>
              <w:t xml:space="preserve"> and update procedures and processes as appropriate</w:t>
            </w:r>
            <w:r w:rsidR="001C2C08">
              <w:rPr>
                <w:rFonts w:cstheme="minorHAnsi"/>
                <w:sz w:val="18"/>
                <w:szCs w:val="18"/>
                <w:lang w:eastAsia="en-AU"/>
              </w:rPr>
              <w:t xml:space="preserve">; (2) DFAT to advise the Managing Contractor of any </w:t>
            </w:r>
            <w:r w:rsidR="00F217DF">
              <w:rPr>
                <w:rFonts w:cstheme="minorHAnsi"/>
                <w:sz w:val="18"/>
                <w:szCs w:val="18"/>
                <w:lang w:eastAsia="en-AU"/>
              </w:rPr>
              <w:t>changes in</w:t>
            </w:r>
            <w:r w:rsidR="001C2C08">
              <w:rPr>
                <w:rFonts w:cstheme="minorHAnsi"/>
                <w:sz w:val="18"/>
                <w:szCs w:val="18"/>
                <w:lang w:eastAsia="en-AU"/>
              </w:rPr>
              <w:t xml:space="preserve"> its</w:t>
            </w:r>
            <w:r w:rsidR="00F217DF">
              <w:rPr>
                <w:rFonts w:cstheme="minorHAnsi"/>
                <w:sz w:val="18"/>
                <w:szCs w:val="18"/>
                <w:lang w:eastAsia="en-AU"/>
              </w:rPr>
              <w:t xml:space="preserve"> policy</w:t>
            </w:r>
            <w:r w:rsidR="001C2C08">
              <w:rPr>
                <w:rFonts w:cstheme="minorHAnsi"/>
                <w:sz w:val="18"/>
                <w:szCs w:val="18"/>
                <w:lang w:eastAsia="en-AU"/>
              </w:rPr>
              <w:t xml:space="preserve">. </w:t>
            </w:r>
          </w:p>
        </w:tc>
        <w:tc>
          <w:tcPr>
            <w:tcW w:w="1276" w:type="dxa"/>
            <w:vAlign w:val="center"/>
          </w:tcPr>
          <w:p w:rsidR="00CF4D8A" w:rsidRDefault="00F217DF" w:rsidP="00034714">
            <w:pPr>
              <w:suppressAutoHyphens w:val="0"/>
              <w:spacing w:before="60" w:line="240" w:lineRule="auto"/>
              <w:rPr>
                <w:rFonts w:cstheme="minorHAnsi"/>
                <w:sz w:val="18"/>
                <w:szCs w:val="18"/>
                <w:lang w:eastAsia="en-AU"/>
              </w:rPr>
            </w:pPr>
            <w:r w:rsidRPr="00D61454">
              <w:rPr>
                <w:rFonts w:cstheme="minorHAnsi"/>
                <w:sz w:val="18"/>
                <w:szCs w:val="18"/>
                <w:lang w:eastAsia="en-AU"/>
              </w:rPr>
              <w:t xml:space="preserve">TASS FD/PM </w:t>
            </w:r>
            <w:r w:rsidR="00CF4D8A">
              <w:rPr>
                <w:rFonts w:cstheme="minorHAnsi"/>
                <w:sz w:val="18"/>
                <w:szCs w:val="18"/>
                <w:lang w:eastAsia="en-AU"/>
              </w:rPr>
              <w:t>with DFAT</w:t>
            </w:r>
          </w:p>
          <w:p w:rsidR="00F217DF"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(Ongoing)</w:t>
            </w:r>
          </w:p>
        </w:tc>
        <w:tc>
          <w:tcPr>
            <w:tcW w:w="1027" w:type="dxa"/>
            <w:vAlign w:val="center"/>
          </w:tcPr>
          <w:p w:rsidR="00F217DF" w:rsidRDefault="00F75E6D" w:rsidP="00983013">
            <w:pPr>
              <w:suppressAutoHyphens w:val="0"/>
              <w:spacing w:before="60" w:line="240" w:lineRule="auto"/>
              <w:jc w:val="center"/>
              <w:rPr>
                <w:rFonts w:cstheme="minorHAnsi"/>
                <w:sz w:val="18"/>
                <w:szCs w:val="18"/>
                <w:lang w:eastAsia="en-AU"/>
              </w:rPr>
            </w:pPr>
            <w:r>
              <w:rPr>
                <w:rFonts w:cstheme="minorHAnsi"/>
                <w:sz w:val="18"/>
                <w:szCs w:val="18"/>
                <w:lang w:eastAsia="en-AU"/>
              </w:rPr>
              <w:t>Rare</w:t>
            </w:r>
          </w:p>
        </w:tc>
        <w:tc>
          <w:tcPr>
            <w:tcW w:w="1027" w:type="dxa"/>
            <w:vAlign w:val="center"/>
          </w:tcPr>
          <w:p w:rsidR="00F217DF" w:rsidRDefault="00F217DF" w:rsidP="00983013">
            <w:pPr>
              <w:suppressAutoHyphens w:val="0"/>
              <w:spacing w:before="60" w:line="240" w:lineRule="auto"/>
              <w:jc w:val="center"/>
              <w:rPr>
                <w:rFonts w:cstheme="minorHAnsi"/>
                <w:sz w:val="18"/>
                <w:szCs w:val="18"/>
                <w:lang w:eastAsia="en-AU"/>
              </w:rPr>
            </w:pPr>
            <w:r>
              <w:rPr>
                <w:rFonts w:cstheme="minorHAnsi"/>
                <w:sz w:val="18"/>
                <w:szCs w:val="18"/>
                <w:lang w:eastAsia="en-AU"/>
              </w:rPr>
              <w:t>Major</w:t>
            </w:r>
          </w:p>
        </w:tc>
        <w:tc>
          <w:tcPr>
            <w:tcW w:w="1028" w:type="dxa"/>
            <w:shd w:val="clear" w:color="auto" w:fill="FFF799" w:themeFill="accent4"/>
            <w:vAlign w:val="center"/>
          </w:tcPr>
          <w:p w:rsidR="00F217DF" w:rsidRDefault="00F217DF" w:rsidP="00983013">
            <w:pPr>
              <w:suppressAutoHyphens w:val="0"/>
              <w:spacing w:before="60" w:line="240" w:lineRule="auto"/>
              <w:jc w:val="center"/>
              <w:rPr>
                <w:rFonts w:cstheme="minorHAnsi"/>
                <w:sz w:val="18"/>
                <w:szCs w:val="18"/>
                <w:lang w:eastAsia="en-AU"/>
              </w:rPr>
            </w:pPr>
            <w:r>
              <w:rPr>
                <w:rFonts w:cstheme="minorHAnsi"/>
                <w:sz w:val="18"/>
                <w:szCs w:val="18"/>
                <w:lang w:eastAsia="en-AU"/>
              </w:rPr>
              <w:t>Moderate</w:t>
            </w:r>
          </w:p>
        </w:tc>
      </w:tr>
      <w:tr w:rsidR="00F217DF" w:rsidTr="00034714">
        <w:tc>
          <w:tcPr>
            <w:tcW w:w="13709" w:type="dxa"/>
            <w:gridSpan w:val="9"/>
            <w:shd w:val="clear" w:color="auto" w:fill="D9D9D9" w:themeFill="background1" w:themeFillShade="D9"/>
            <w:vAlign w:val="center"/>
          </w:tcPr>
          <w:p w:rsidR="00F217DF"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Fraud/fiduciary-related risks</w:t>
            </w:r>
          </w:p>
        </w:tc>
      </w:tr>
      <w:tr w:rsidR="00F217DF" w:rsidTr="007F68F6">
        <w:tc>
          <w:tcPr>
            <w:tcW w:w="1838" w:type="dxa"/>
            <w:vAlign w:val="center"/>
          </w:tcPr>
          <w:p w:rsidR="00F217DF" w:rsidRPr="002B5142" w:rsidRDefault="00652293" w:rsidP="00034714">
            <w:pPr>
              <w:suppressAutoHyphens w:val="0"/>
              <w:spacing w:before="60" w:line="240" w:lineRule="auto"/>
              <w:rPr>
                <w:rFonts w:cstheme="minorHAnsi"/>
                <w:sz w:val="18"/>
                <w:szCs w:val="18"/>
                <w:lang w:eastAsia="en-AU"/>
              </w:rPr>
            </w:pPr>
            <w:r>
              <w:rPr>
                <w:rFonts w:cstheme="minorHAnsi"/>
                <w:sz w:val="18"/>
                <w:szCs w:val="18"/>
                <w:lang w:eastAsia="en-AU"/>
              </w:rPr>
              <w:t>Funds are not used for intended purposes</w:t>
            </w:r>
            <w:r w:rsidR="00F217DF" w:rsidRPr="00007DA1">
              <w:rPr>
                <w:rFonts w:cstheme="minorHAnsi"/>
                <w:sz w:val="18"/>
                <w:szCs w:val="18"/>
                <w:lang w:eastAsia="en-AU"/>
              </w:rPr>
              <w:t>.</w:t>
            </w:r>
          </w:p>
        </w:tc>
        <w:tc>
          <w:tcPr>
            <w:tcW w:w="1134" w:type="dxa"/>
            <w:vAlign w:val="center"/>
          </w:tcPr>
          <w:p w:rsidR="00F217DF"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Possible</w:t>
            </w:r>
          </w:p>
        </w:tc>
        <w:tc>
          <w:tcPr>
            <w:tcW w:w="992" w:type="dxa"/>
            <w:vAlign w:val="center"/>
          </w:tcPr>
          <w:p w:rsidR="00F217DF" w:rsidRDefault="001825AA" w:rsidP="00034714">
            <w:pPr>
              <w:suppressAutoHyphens w:val="0"/>
              <w:spacing w:before="60" w:line="240" w:lineRule="auto"/>
              <w:rPr>
                <w:rFonts w:cstheme="minorHAnsi"/>
                <w:sz w:val="18"/>
                <w:szCs w:val="18"/>
                <w:lang w:eastAsia="en-AU"/>
              </w:rPr>
            </w:pPr>
            <w:r>
              <w:rPr>
                <w:rFonts w:cstheme="minorHAnsi"/>
                <w:sz w:val="18"/>
                <w:szCs w:val="18"/>
                <w:lang w:eastAsia="en-AU"/>
              </w:rPr>
              <w:t>Minor</w:t>
            </w:r>
          </w:p>
        </w:tc>
        <w:tc>
          <w:tcPr>
            <w:tcW w:w="1134" w:type="dxa"/>
            <w:shd w:val="clear" w:color="auto" w:fill="FFF799" w:themeFill="accent4"/>
            <w:vAlign w:val="center"/>
          </w:tcPr>
          <w:p w:rsidR="00F217DF" w:rsidRDefault="00034714" w:rsidP="00034714">
            <w:pPr>
              <w:suppressAutoHyphens w:val="0"/>
              <w:spacing w:before="60" w:line="240" w:lineRule="auto"/>
              <w:rPr>
                <w:rFonts w:cstheme="minorHAnsi"/>
                <w:sz w:val="18"/>
                <w:szCs w:val="18"/>
                <w:lang w:eastAsia="en-AU"/>
              </w:rPr>
            </w:pPr>
            <w:r>
              <w:rPr>
                <w:rFonts w:cstheme="minorHAnsi"/>
                <w:sz w:val="18"/>
                <w:szCs w:val="18"/>
                <w:lang w:eastAsia="en-AU"/>
              </w:rPr>
              <w:t>Moderate</w:t>
            </w:r>
          </w:p>
        </w:tc>
        <w:tc>
          <w:tcPr>
            <w:tcW w:w="4253" w:type="dxa"/>
            <w:vAlign w:val="center"/>
          </w:tcPr>
          <w:p w:rsidR="00F217DF" w:rsidRDefault="00F217DF" w:rsidP="00034714">
            <w:pPr>
              <w:suppressAutoHyphens w:val="0"/>
              <w:spacing w:before="60" w:line="240" w:lineRule="auto"/>
              <w:rPr>
                <w:rFonts w:cstheme="minorHAnsi"/>
                <w:sz w:val="18"/>
                <w:szCs w:val="18"/>
                <w:lang w:eastAsia="en-AU"/>
              </w:rPr>
            </w:pPr>
            <w:r w:rsidRPr="00782E52">
              <w:rPr>
                <w:rFonts w:cstheme="minorHAnsi"/>
                <w:sz w:val="18"/>
                <w:szCs w:val="18"/>
                <w:lang w:eastAsia="en-AU"/>
              </w:rPr>
              <w:t xml:space="preserve">(1) Palladium </w:t>
            </w:r>
            <w:r w:rsidR="004273A6">
              <w:rPr>
                <w:rFonts w:cstheme="minorHAnsi"/>
                <w:sz w:val="18"/>
                <w:szCs w:val="18"/>
                <w:lang w:eastAsia="en-AU"/>
              </w:rPr>
              <w:t xml:space="preserve">to apply its </w:t>
            </w:r>
            <w:r w:rsidRPr="00782E52">
              <w:rPr>
                <w:rFonts w:cstheme="minorHAnsi"/>
                <w:sz w:val="18"/>
                <w:szCs w:val="18"/>
                <w:lang w:eastAsia="en-AU"/>
              </w:rPr>
              <w:t xml:space="preserve">policies and procedures: Code of Conduct, Whistle-blower Protection Policy, OHS Policy, Privacy Policy, Good Fame and Character Declaration; (2) </w:t>
            </w:r>
            <w:r w:rsidR="004273A6">
              <w:rPr>
                <w:rFonts w:cstheme="minorHAnsi"/>
                <w:sz w:val="18"/>
                <w:szCs w:val="18"/>
                <w:lang w:eastAsia="en-AU"/>
              </w:rPr>
              <w:t xml:space="preserve">TASS to apply its </w:t>
            </w:r>
            <w:r w:rsidRPr="00782E52">
              <w:rPr>
                <w:rFonts w:cstheme="minorHAnsi"/>
                <w:sz w:val="18"/>
                <w:szCs w:val="18"/>
                <w:lang w:eastAsia="en-AU"/>
              </w:rPr>
              <w:t xml:space="preserve">Fraud and Risk Control Policy </w:t>
            </w:r>
            <w:r w:rsidR="004C0DA5">
              <w:rPr>
                <w:rFonts w:cstheme="minorHAnsi"/>
                <w:sz w:val="18"/>
                <w:szCs w:val="18"/>
                <w:lang w:eastAsia="en-AU"/>
              </w:rPr>
              <w:t>(a part of the</w:t>
            </w:r>
            <w:r w:rsidRPr="00782E52">
              <w:rPr>
                <w:rFonts w:cstheme="minorHAnsi"/>
                <w:sz w:val="18"/>
                <w:szCs w:val="18"/>
                <w:lang w:eastAsia="en-AU"/>
              </w:rPr>
              <w:t xml:space="preserve"> TASS Operations and Financial Procedures Manual</w:t>
            </w:r>
            <w:r w:rsidR="004C0DA5">
              <w:rPr>
                <w:rFonts w:cstheme="minorHAnsi"/>
                <w:sz w:val="18"/>
                <w:szCs w:val="18"/>
                <w:lang w:eastAsia="en-AU"/>
              </w:rPr>
              <w:t>)</w:t>
            </w:r>
            <w:r w:rsidRPr="00782E52">
              <w:rPr>
                <w:rFonts w:cstheme="minorHAnsi"/>
                <w:sz w:val="18"/>
                <w:szCs w:val="18"/>
                <w:lang w:eastAsia="en-AU"/>
              </w:rPr>
              <w:t xml:space="preserve">; (3) </w:t>
            </w:r>
            <w:r w:rsidR="004C0DA5">
              <w:rPr>
                <w:rFonts w:cstheme="minorHAnsi"/>
                <w:sz w:val="18"/>
                <w:szCs w:val="18"/>
                <w:lang w:eastAsia="en-AU"/>
              </w:rPr>
              <w:t>TASS to apply a</w:t>
            </w:r>
            <w:r w:rsidRPr="00782E52">
              <w:rPr>
                <w:rFonts w:cstheme="minorHAnsi"/>
                <w:sz w:val="18"/>
                <w:szCs w:val="18"/>
                <w:lang w:eastAsia="en-AU"/>
              </w:rPr>
              <w:t xml:space="preserve">ppropriate checks and balances for procurement and financial management approvals as mandated by Palladium policy and guidelines and the TASS Operations and Financial Procedures Manual; (4) All TASS team members and contracted TA </w:t>
            </w:r>
            <w:r w:rsidR="00FB2437">
              <w:rPr>
                <w:rFonts w:cstheme="minorHAnsi"/>
                <w:sz w:val="18"/>
                <w:szCs w:val="18"/>
                <w:lang w:eastAsia="en-AU"/>
              </w:rPr>
              <w:t xml:space="preserve">to </w:t>
            </w:r>
            <w:r w:rsidRPr="00782E52">
              <w:rPr>
                <w:rFonts w:cstheme="minorHAnsi"/>
                <w:sz w:val="18"/>
                <w:szCs w:val="18"/>
                <w:lang w:eastAsia="en-AU"/>
              </w:rPr>
              <w:t xml:space="preserve">read and sign the Palladium code of conduct, and </w:t>
            </w:r>
            <w:r w:rsidR="000D760D">
              <w:rPr>
                <w:rFonts w:cstheme="minorHAnsi"/>
                <w:sz w:val="18"/>
                <w:szCs w:val="18"/>
                <w:lang w:eastAsia="en-AU"/>
              </w:rPr>
              <w:t xml:space="preserve">to be </w:t>
            </w:r>
            <w:r w:rsidRPr="00782E52">
              <w:rPr>
                <w:rFonts w:cstheme="minorHAnsi"/>
                <w:sz w:val="18"/>
                <w:szCs w:val="18"/>
                <w:lang w:eastAsia="en-AU"/>
              </w:rPr>
              <w:t>trained in fraud,  anti-corruption and Whistle-blower policies at induction and at least annua</w:t>
            </w:r>
            <w:r w:rsidR="000D760D">
              <w:rPr>
                <w:rFonts w:cstheme="minorHAnsi"/>
                <w:sz w:val="18"/>
                <w:szCs w:val="18"/>
                <w:lang w:eastAsia="en-AU"/>
              </w:rPr>
              <w:t>lly</w:t>
            </w:r>
            <w:r w:rsidR="00FB2437">
              <w:rPr>
                <w:rFonts w:cstheme="minorHAnsi"/>
                <w:sz w:val="18"/>
                <w:szCs w:val="18"/>
                <w:lang w:eastAsia="en-AU"/>
              </w:rPr>
              <w:t xml:space="preserve">; (5) </w:t>
            </w:r>
            <w:r w:rsidRPr="00782E52">
              <w:rPr>
                <w:rFonts w:cstheme="minorHAnsi"/>
                <w:sz w:val="18"/>
                <w:szCs w:val="18"/>
                <w:lang w:eastAsia="en-AU"/>
              </w:rPr>
              <w:t xml:space="preserve">TASS senior managers </w:t>
            </w:r>
            <w:r w:rsidR="00FB2437">
              <w:rPr>
                <w:rFonts w:cstheme="minorHAnsi"/>
                <w:sz w:val="18"/>
                <w:szCs w:val="18"/>
                <w:lang w:eastAsia="en-AU"/>
              </w:rPr>
              <w:t xml:space="preserve">to </w:t>
            </w:r>
            <w:r w:rsidRPr="00782E52">
              <w:rPr>
                <w:rFonts w:cstheme="minorHAnsi"/>
                <w:sz w:val="18"/>
                <w:szCs w:val="18"/>
                <w:lang w:eastAsia="en-AU"/>
              </w:rPr>
              <w:t>attend DFAT fraud control training whenever delivered in-country</w:t>
            </w:r>
            <w:r w:rsidR="00D31A7F">
              <w:rPr>
                <w:rFonts w:cstheme="minorHAnsi"/>
                <w:sz w:val="18"/>
                <w:szCs w:val="18"/>
                <w:lang w:eastAsia="en-AU"/>
              </w:rPr>
              <w:t>.</w:t>
            </w:r>
          </w:p>
          <w:p w:rsidR="00F217DF" w:rsidRPr="003A6F72" w:rsidRDefault="00F217DF" w:rsidP="00034714">
            <w:pPr>
              <w:suppressAutoHyphens w:val="0"/>
              <w:spacing w:before="60" w:line="240" w:lineRule="auto"/>
              <w:rPr>
                <w:rFonts w:cstheme="minorHAnsi"/>
                <w:sz w:val="18"/>
                <w:szCs w:val="18"/>
                <w:lang w:eastAsia="en-AU"/>
              </w:rPr>
            </w:pPr>
          </w:p>
        </w:tc>
        <w:tc>
          <w:tcPr>
            <w:tcW w:w="1276" w:type="dxa"/>
            <w:vAlign w:val="center"/>
          </w:tcPr>
          <w:p w:rsidR="00F217DF"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TASS FD, with PM and CR</w:t>
            </w:r>
          </w:p>
          <w:p w:rsidR="00F217DF" w:rsidRPr="00D61454" w:rsidRDefault="00F217DF" w:rsidP="00034714">
            <w:pPr>
              <w:suppressAutoHyphens w:val="0"/>
              <w:spacing w:before="60" w:line="240" w:lineRule="auto"/>
              <w:rPr>
                <w:rFonts w:cstheme="minorHAnsi"/>
                <w:sz w:val="18"/>
                <w:szCs w:val="18"/>
                <w:lang w:eastAsia="en-AU"/>
              </w:rPr>
            </w:pPr>
            <w:r>
              <w:rPr>
                <w:rFonts w:cstheme="minorHAnsi"/>
                <w:sz w:val="18"/>
                <w:szCs w:val="18"/>
                <w:lang w:eastAsia="en-AU"/>
              </w:rPr>
              <w:t>(Ongoing)</w:t>
            </w:r>
          </w:p>
        </w:tc>
        <w:tc>
          <w:tcPr>
            <w:tcW w:w="1027" w:type="dxa"/>
            <w:vAlign w:val="center"/>
          </w:tcPr>
          <w:p w:rsidR="00F217DF" w:rsidRDefault="00374E07" w:rsidP="00034714">
            <w:pPr>
              <w:suppressAutoHyphens w:val="0"/>
              <w:spacing w:before="60" w:line="240" w:lineRule="auto"/>
              <w:rPr>
                <w:rFonts w:cstheme="minorHAnsi"/>
                <w:sz w:val="18"/>
                <w:szCs w:val="18"/>
                <w:lang w:eastAsia="en-AU"/>
              </w:rPr>
            </w:pPr>
            <w:r>
              <w:rPr>
                <w:rFonts w:cstheme="minorHAnsi"/>
                <w:sz w:val="18"/>
                <w:szCs w:val="18"/>
                <w:lang w:eastAsia="en-AU"/>
              </w:rPr>
              <w:t>Rare</w:t>
            </w:r>
          </w:p>
        </w:tc>
        <w:tc>
          <w:tcPr>
            <w:tcW w:w="1027" w:type="dxa"/>
            <w:vAlign w:val="center"/>
          </w:tcPr>
          <w:p w:rsidR="00F217DF" w:rsidRDefault="001825AA" w:rsidP="00034714">
            <w:pPr>
              <w:suppressAutoHyphens w:val="0"/>
              <w:spacing w:before="60" w:line="240" w:lineRule="auto"/>
              <w:rPr>
                <w:rFonts w:cstheme="minorHAnsi"/>
                <w:sz w:val="18"/>
                <w:szCs w:val="18"/>
                <w:lang w:eastAsia="en-AU"/>
              </w:rPr>
            </w:pPr>
            <w:r>
              <w:rPr>
                <w:rFonts w:cstheme="minorHAnsi"/>
                <w:sz w:val="18"/>
                <w:szCs w:val="18"/>
                <w:lang w:eastAsia="en-AU"/>
              </w:rPr>
              <w:t>Minor</w:t>
            </w:r>
          </w:p>
        </w:tc>
        <w:tc>
          <w:tcPr>
            <w:tcW w:w="1028" w:type="dxa"/>
            <w:shd w:val="clear" w:color="auto" w:fill="DDECD0" w:themeFill="accent2" w:themeFillTint="66"/>
            <w:vAlign w:val="center"/>
          </w:tcPr>
          <w:p w:rsidR="00F217DF" w:rsidRDefault="001825AA" w:rsidP="00034714">
            <w:pPr>
              <w:suppressAutoHyphens w:val="0"/>
              <w:spacing w:before="60" w:line="240" w:lineRule="auto"/>
              <w:rPr>
                <w:rFonts w:cstheme="minorHAnsi"/>
                <w:sz w:val="18"/>
                <w:szCs w:val="18"/>
                <w:lang w:eastAsia="en-AU"/>
              </w:rPr>
            </w:pPr>
            <w:r>
              <w:rPr>
                <w:rFonts w:cstheme="minorHAnsi"/>
                <w:sz w:val="18"/>
                <w:szCs w:val="18"/>
                <w:lang w:eastAsia="en-AU"/>
              </w:rPr>
              <w:t>Low</w:t>
            </w:r>
          </w:p>
        </w:tc>
      </w:tr>
    </w:tbl>
    <w:p w:rsidR="00F217DF" w:rsidRPr="00696AF9" w:rsidRDefault="00F217DF" w:rsidP="00F217DF">
      <w:pPr>
        <w:suppressAutoHyphens w:val="0"/>
        <w:spacing w:after="120" w:line="240" w:lineRule="auto"/>
        <w:rPr>
          <w:rFonts w:cs="Arial"/>
          <w:sz w:val="20"/>
          <w:szCs w:val="20"/>
          <w:lang w:eastAsia="en-AU"/>
        </w:rPr>
      </w:pPr>
      <w:r w:rsidRPr="00696AF9">
        <w:rPr>
          <w:rFonts w:cs="Arial"/>
          <w:sz w:val="20"/>
          <w:szCs w:val="20"/>
          <w:lang w:eastAsia="en-AU"/>
        </w:rPr>
        <w:t>Notes: FD = TASS Facility Director; FM = TASS F</w:t>
      </w:r>
      <w:r>
        <w:rPr>
          <w:rFonts w:cs="Arial"/>
          <w:sz w:val="20"/>
          <w:szCs w:val="20"/>
          <w:lang w:eastAsia="en-AU"/>
        </w:rPr>
        <w:t>acility</w:t>
      </w:r>
      <w:r w:rsidRPr="00696AF9">
        <w:rPr>
          <w:rFonts w:cs="Arial"/>
          <w:sz w:val="20"/>
          <w:szCs w:val="20"/>
          <w:lang w:eastAsia="en-AU"/>
        </w:rPr>
        <w:t xml:space="preserve"> Manager; PQAM = TASS P</w:t>
      </w:r>
      <w:r>
        <w:rPr>
          <w:rFonts w:cs="Arial"/>
          <w:sz w:val="20"/>
          <w:szCs w:val="20"/>
          <w:lang w:eastAsia="en-AU"/>
        </w:rPr>
        <w:t>lanning</w:t>
      </w:r>
      <w:r w:rsidRPr="00696AF9">
        <w:rPr>
          <w:rFonts w:cs="Arial"/>
          <w:sz w:val="20"/>
          <w:szCs w:val="20"/>
          <w:lang w:eastAsia="en-AU"/>
        </w:rPr>
        <w:t xml:space="preserve"> and Quality Assurance Manager; CR = TASS Contractor Representative (i.e. within Palladium); PM = TASS Program Manager; TASM = </w:t>
      </w:r>
      <w:r>
        <w:rPr>
          <w:rFonts w:cs="Arial"/>
          <w:sz w:val="20"/>
          <w:szCs w:val="20"/>
          <w:lang w:eastAsia="en-AU"/>
        </w:rPr>
        <w:t>Technical and Advisory Services Manager</w:t>
      </w:r>
      <w:r w:rsidRPr="00696AF9">
        <w:rPr>
          <w:rFonts w:cs="Arial"/>
          <w:sz w:val="20"/>
          <w:szCs w:val="20"/>
          <w:lang w:eastAsia="en-AU"/>
        </w:rPr>
        <w:t>; AM –T</w:t>
      </w:r>
      <w:r>
        <w:rPr>
          <w:rFonts w:cs="Arial"/>
          <w:sz w:val="20"/>
          <w:szCs w:val="20"/>
          <w:lang w:eastAsia="en-AU"/>
        </w:rPr>
        <w:t>ASS</w:t>
      </w:r>
      <w:r w:rsidRPr="00696AF9">
        <w:rPr>
          <w:rFonts w:cs="Arial"/>
          <w:sz w:val="20"/>
          <w:szCs w:val="20"/>
          <w:lang w:eastAsia="en-AU"/>
        </w:rPr>
        <w:t xml:space="preserve"> Activity Manager </w:t>
      </w:r>
    </w:p>
    <w:p w:rsidR="00943613" w:rsidRDefault="00943613" w:rsidP="00943613">
      <w:pPr>
        <w:suppressAutoHyphens w:val="0"/>
        <w:spacing w:before="0" w:after="120" w:line="440" w:lineRule="atLeast"/>
        <w:rPr>
          <w:rFonts w:cs="Arial"/>
          <w:sz w:val="21"/>
          <w:szCs w:val="21"/>
          <w:lang w:eastAsia="en-AU"/>
        </w:rPr>
        <w:sectPr w:rsidR="00943613" w:rsidSect="00600EEF">
          <w:pgSz w:w="16838" w:h="11906" w:orient="landscape" w:code="9"/>
          <w:pgMar w:top="1134" w:right="1418" w:bottom="1134" w:left="1701" w:header="425" w:footer="493" w:gutter="0"/>
          <w:cols w:space="397"/>
          <w:titlePg/>
          <w:docGrid w:linePitch="360"/>
        </w:sectPr>
      </w:pPr>
    </w:p>
    <w:p w:rsidR="004504A7" w:rsidRDefault="004504A7">
      <w:pPr>
        <w:suppressAutoHyphens w:val="0"/>
        <w:spacing w:before="0" w:after="120" w:line="440" w:lineRule="atLeast"/>
        <w:rPr>
          <w:rFonts w:cs="Arial"/>
          <w:sz w:val="21"/>
          <w:szCs w:val="21"/>
          <w:lang w:eastAsia="en-AU"/>
        </w:rPr>
      </w:pPr>
    </w:p>
    <w:sectPr w:rsidR="004504A7" w:rsidSect="00B87C9B">
      <w:pgSz w:w="11906" w:h="16838" w:code="9"/>
      <w:pgMar w:top="1701" w:right="1134" w:bottom="1418" w:left="1134"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9D1" w:rsidRDefault="005B29D1" w:rsidP="00D37B04">
      <w:r>
        <w:separator/>
      </w:r>
    </w:p>
  </w:endnote>
  <w:endnote w:type="continuationSeparator" w:id="0">
    <w:p w:rsidR="005B29D1" w:rsidRDefault="005B29D1" w:rsidP="00D37B04">
      <w:r>
        <w:continuationSeparator/>
      </w:r>
    </w:p>
  </w:endnote>
  <w:endnote w:id="1">
    <w:p w:rsidR="00275B39" w:rsidRDefault="00275B39">
      <w:pPr>
        <w:pStyle w:val="EndnoteText"/>
      </w:pPr>
      <w:r>
        <w:rPr>
          <w:rStyle w:val="EndnoteReference"/>
        </w:rPr>
        <w:endnoteRef/>
      </w:r>
      <w:r>
        <w:t xml:space="preserve"> </w:t>
      </w:r>
      <w:r w:rsidRPr="006C2216">
        <w:rPr>
          <w:sz w:val="16"/>
        </w:rPr>
        <w:t>Which include, for example, literacy and numeracy, critical thinking, communication, and life skills.</w:t>
      </w:r>
    </w:p>
  </w:endnote>
  <w:endnote w:id="2">
    <w:p w:rsidR="00275B39" w:rsidRDefault="00275B39">
      <w:pPr>
        <w:pStyle w:val="EndnoteText"/>
      </w:pPr>
      <w:r>
        <w:rPr>
          <w:rStyle w:val="EndnoteReference"/>
        </w:rPr>
        <w:endnoteRef/>
      </w:r>
      <w:r>
        <w:t xml:space="preserve"> </w:t>
      </w:r>
      <w:r w:rsidRPr="006E254B">
        <w:rPr>
          <w:sz w:val="16"/>
        </w:rPr>
        <w:t xml:space="preserve">2016 figures. </w:t>
      </w:r>
      <w:r w:rsidRPr="006C2216">
        <w:rPr>
          <w:sz w:val="16"/>
        </w:rPr>
        <w:t xml:space="preserve">AKSI was previously called INAP or Indonesian National Assessment Program. The AKSI draws on the </w:t>
      </w:r>
      <w:r w:rsidRPr="00873283">
        <w:rPr>
          <w:sz w:val="16"/>
        </w:rPr>
        <w:t>Trends in International Mathematics and Science Study</w:t>
      </w:r>
      <w:r>
        <w:rPr>
          <w:sz w:val="16"/>
        </w:rPr>
        <w:t xml:space="preserve"> (T</w:t>
      </w:r>
      <w:r w:rsidRPr="006C2216">
        <w:rPr>
          <w:sz w:val="16"/>
        </w:rPr>
        <w:t>IMSS</w:t>
      </w:r>
      <w:r>
        <w:rPr>
          <w:sz w:val="16"/>
        </w:rPr>
        <w:t>)</w:t>
      </w:r>
      <w:r w:rsidRPr="006C2216">
        <w:rPr>
          <w:sz w:val="16"/>
        </w:rPr>
        <w:t xml:space="preserve"> and </w:t>
      </w:r>
      <w:r w:rsidRPr="00321AB4">
        <w:rPr>
          <w:sz w:val="16"/>
        </w:rPr>
        <w:t>Progress in International Reading Literacy Stud</w:t>
      </w:r>
      <w:r>
        <w:rPr>
          <w:sz w:val="16"/>
        </w:rPr>
        <w:t>y (</w:t>
      </w:r>
      <w:r w:rsidRPr="006C2216">
        <w:rPr>
          <w:sz w:val="16"/>
        </w:rPr>
        <w:t>PIRLS</w:t>
      </w:r>
      <w:r>
        <w:rPr>
          <w:sz w:val="16"/>
        </w:rPr>
        <w:t>)</w:t>
      </w:r>
      <w:r w:rsidRPr="006C2216">
        <w:rPr>
          <w:sz w:val="16"/>
        </w:rPr>
        <w:t xml:space="preserve"> international assessment</w:t>
      </w:r>
      <w:r>
        <w:rPr>
          <w:sz w:val="16"/>
        </w:rPr>
        <w:t xml:space="preserve"> tools. It also draws on </w:t>
      </w:r>
      <w:r w:rsidRPr="006C2216">
        <w:rPr>
          <w:sz w:val="16"/>
        </w:rPr>
        <w:t xml:space="preserve">Australia’s National Assessment Program – Literacy and Numeracy </w:t>
      </w:r>
      <w:r>
        <w:rPr>
          <w:sz w:val="16"/>
        </w:rPr>
        <w:t xml:space="preserve">(NAPLAN) </w:t>
      </w:r>
      <w:r w:rsidRPr="006C2216">
        <w:rPr>
          <w:sz w:val="16"/>
        </w:rPr>
        <w:t>tests</w:t>
      </w:r>
      <w:r>
        <w:rPr>
          <w:sz w:val="16"/>
        </w:rPr>
        <w:t xml:space="preserve"> but </w:t>
      </w:r>
      <w:r w:rsidRPr="006C2216">
        <w:rPr>
          <w:sz w:val="16"/>
        </w:rPr>
        <w:t>while NAPLAN is a census test (i.e. ‘whole of population</w:t>
      </w:r>
      <w:r>
        <w:rPr>
          <w:sz w:val="16"/>
        </w:rPr>
        <w:t>’</w:t>
      </w:r>
      <w:r w:rsidRPr="006C2216">
        <w:rPr>
          <w:sz w:val="16"/>
        </w:rPr>
        <w:t xml:space="preserve">) </w:t>
      </w:r>
      <w:r w:rsidRPr="00236F59">
        <w:rPr>
          <w:sz w:val="16"/>
        </w:rPr>
        <w:t xml:space="preserve">AKSI is only a sample survey at this stage. In 2016 AKSI was administered to a nationally representative sample of 48,682 students in 1,941 schools from 216 districts/cities across Indonesia. AKSI is administered in Grade 4 and, more recently, Grade 8. The assessment includes three separate tests: Mathematics, Reading and Science. See Cislowski, H. 2018. </w:t>
      </w:r>
      <w:r w:rsidRPr="006C2216">
        <w:rPr>
          <w:i/>
          <w:sz w:val="16"/>
        </w:rPr>
        <w:t>Situation Analysis Paper:  Review of the System for</w:t>
      </w:r>
      <w:r w:rsidRPr="006C2216">
        <w:rPr>
          <w:sz w:val="16"/>
        </w:rPr>
        <w:t xml:space="preserve"> </w:t>
      </w:r>
      <w:r w:rsidRPr="006C2216">
        <w:rPr>
          <w:i/>
          <w:sz w:val="16"/>
        </w:rPr>
        <w:t>Assessment of Student Learning and a Report of Learning Outcomes</w:t>
      </w:r>
      <w:r w:rsidRPr="006C2216">
        <w:rPr>
          <w:sz w:val="16"/>
        </w:rPr>
        <w:t xml:space="preserve">. TASS; OECD. 2016. </w:t>
      </w:r>
      <w:r w:rsidRPr="006C2216">
        <w:rPr>
          <w:i/>
          <w:sz w:val="16"/>
        </w:rPr>
        <w:t>PISA 2015 Results (Volume 1): Excellence and Equity in Education</w:t>
      </w:r>
      <w:r w:rsidRPr="006C2216">
        <w:rPr>
          <w:sz w:val="16"/>
        </w:rPr>
        <w:t xml:space="preserve">, </w:t>
      </w:r>
      <w:r w:rsidRPr="006C2216">
        <w:rPr>
          <w:i/>
          <w:sz w:val="16"/>
        </w:rPr>
        <w:t>PISA</w:t>
      </w:r>
      <w:r w:rsidRPr="006C2216">
        <w:rPr>
          <w:sz w:val="16"/>
        </w:rPr>
        <w:t xml:space="preserve">. OCED; OECD. </w:t>
      </w:r>
      <w:r w:rsidRPr="006C2216">
        <w:rPr>
          <w:i/>
          <w:sz w:val="16"/>
        </w:rPr>
        <w:t>Programme for International Assessment (PISA). Results from PISA 2015. Country Note. Indonesia</w:t>
      </w:r>
    </w:p>
  </w:endnote>
  <w:endnote w:id="3">
    <w:p w:rsidR="00275B39" w:rsidRDefault="00275B39" w:rsidP="00205ED5">
      <w:pPr>
        <w:pStyle w:val="EndnoteText"/>
      </w:pPr>
      <w:r>
        <w:rPr>
          <w:rStyle w:val="EndnoteReference"/>
        </w:rPr>
        <w:endnoteRef/>
      </w:r>
      <w:r>
        <w:t xml:space="preserve"> </w:t>
      </w:r>
      <w:r w:rsidRPr="006C2216">
        <w:rPr>
          <w:sz w:val="16"/>
        </w:rPr>
        <w:t xml:space="preserve">DFAT. </w:t>
      </w:r>
      <w:r w:rsidRPr="003A7C6F">
        <w:rPr>
          <w:i/>
          <w:sz w:val="16"/>
        </w:rPr>
        <w:t>Australia-Indonesia Education Partnership – Sector Investment Plan (ESIP, 2016-2020)</w:t>
      </w:r>
      <w:r w:rsidRPr="006C2216">
        <w:rPr>
          <w:sz w:val="16"/>
        </w:rPr>
        <w:t>. (Draft v3.0).</w:t>
      </w:r>
    </w:p>
  </w:endnote>
  <w:endnote w:id="4">
    <w:p w:rsidR="00275B39" w:rsidRDefault="00275B39">
      <w:pPr>
        <w:pStyle w:val="EndnoteText"/>
      </w:pPr>
      <w:r>
        <w:rPr>
          <w:rStyle w:val="EndnoteReference"/>
        </w:rPr>
        <w:endnoteRef/>
      </w:r>
      <w:r>
        <w:t xml:space="preserve"> </w:t>
      </w:r>
      <w:hyperlink r:id="rId1" w:history="1">
        <w:r w:rsidRPr="003A7C6F">
          <w:rPr>
            <w:rStyle w:val="Hyperlink"/>
            <w:rFonts w:cstheme="minorBidi"/>
            <w:sz w:val="16"/>
          </w:rPr>
          <w:t>https://www.riseprogramme.org/news/evaluating-how-teacher-reforms-decentralised-indonesia-can-promote-learning-gains-rise</w:t>
        </w:r>
      </w:hyperlink>
      <w:r w:rsidRPr="003A7C6F">
        <w:rPr>
          <w:sz w:val="16"/>
        </w:rPr>
        <w:t xml:space="preserve"> (accessed 25 February 2019).</w:t>
      </w:r>
    </w:p>
  </w:endnote>
  <w:endnote w:id="5">
    <w:p w:rsidR="00275B39" w:rsidRDefault="00275B39">
      <w:pPr>
        <w:pStyle w:val="EndnoteText"/>
      </w:pPr>
      <w:r>
        <w:rPr>
          <w:rStyle w:val="EndnoteReference"/>
        </w:rPr>
        <w:endnoteRef/>
      </w:r>
      <w:r>
        <w:t xml:space="preserve"> </w:t>
      </w:r>
      <w:hyperlink r:id="rId2" w:history="1">
        <w:r w:rsidRPr="007A3DD5">
          <w:rPr>
            <w:rStyle w:val="Hyperlink"/>
            <w:rFonts w:cstheme="minorBidi"/>
            <w:sz w:val="16"/>
          </w:rPr>
          <w:t>https://puspendik.kemdikbud.go.id/inap-sd/kategori</w:t>
        </w:r>
      </w:hyperlink>
      <w:r w:rsidRPr="007A3DD5">
        <w:rPr>
          <w:sz w:val="16"/>
        </w:rPr>
        <w:t xml:space="preserve"> (accessed 25 February 2019).</w:t>
      </w:r>
    </w:p>
  </w:endnote>
  <w:endnote w:id="6">
    <w:p w:rsidR="00275B39" w:rsidRDefault="00275B39" w:rsidP="00CB729C">
      <w:pPr>
        <w:pStyle w:val="EndnoteText"/>
      </w:pPr>
      <w:r>
        <w:rPr>
          <w:rStyle w:val="EndnoteReference"/>
        </w:rPr>
        <w:endnoteRef/>
      </w:r>
      <w:r>
        <w:t xml:space="preserve"> </w:t>
      </w:r>
      <w:r w:rsidRPr="004438F2">
        <w:rPr>
          <w:sz w:val="16"/>
        </w:rPr>
        <w:t xml:space="preserve">See TASS. 2017. </w:t>
      </w:r>
      <w:r w:rsidRPr="004438F2">
        <w:rPr>
          <w:i/>
          <w:sz w:val="16"/>
        </w:rPr>
        <w:t xml:space="preserve">Mapping Education Sector Priorities. Final. </w:t>
      </w:r>
      <w:r w:rsidRPr="004438F2">
        <w:rPr>
          <w:sz w:val="16"/>
        </w:rPr>
        <w:t>(06 June 2017).</w:t>
      </w:r>
    </w:p>
  </w:endnote>
  <w:endnote w:id="7">
    <w:p w:rsidR="00275B39" w:rsidRPr="007A5D90" w:rsidRDefault="00275B39">
      <w:pPr>
        <w:pStyle w:val="EndnoteText"/>
        <w:rPr>
          <w:sz w:val="16"/>
        </w:rPr>
      </w:pPr>
      <w:r>
        <w:rPr>
          <w:rStyle w:val="EndnoteReference"/>
        </w:rPr>
        <w:endnoteRef/>
      </w:r>
      <w:r>
        <w:t xml:space="preserve"> </w:t>
      </w:r>
      <w:r w:rsidRPr="007A5D90">
        <w:rPr>
          <w:sz w:val="16"/>
        </w:rPr>
        <w:t xml:space="preserve">See Hanushek, E.A., Wößmann, L. 2007. “The </w:t>
      </w:r>
      <w:r>
        <w:rPr>
          <w:sz w:val="16"/>
        </w:rPr>
        <w:t>r</w:t>
      </w:r>
      <w:r w:rsidRPr="007A5D90">
        <w:rPr>
          <w:sz w:val="16"/>
        </w:rPr>
        <w:t xml:space="preserve">ole of </w:t>
      </w:r>
      <w:r>
        <w:rPr>
          <w:sz w:val="16"/>
        </w:rPr>
        <w:t>e</w:t>
      </w:r>
      <w:r w:rsidRPr="007A5D90">
        <w:rPr>
          <w:sz w:val="16"/>
        </w:rPr>
        <w:t xml:space="preserve">ducation </w:t>
      </w:r>
      <w:r>
        <w:rPr>
          <w:sz w:val="16"/>
        </w:rPr>
        <w:t>q</w:t>
      </w:r>
      <w:r w:rsidRPr="007A5D90">
        <w:rPr>
          <w:sz w:val="16"/>
        </w:rPr>
        <w:t xml:space="preserve">uality in </w:t>
      </w:r>
      <w:r>
        <w:rPr>
          <w:sz w:val="16"/>
        </w:rPr>
        <w:t>e</w:t>
      </w:r>
      <w:r w:rsidRPr="007A5D90">
        <w:rPr>
          <w:sz w:val="16"/>
        </w:rPr>
        <w:t xml:space="preserve">conomic </w:t>
      </w:r>
      <w:r>
        <w:rPr>
          <w:sz w:val="16"/>
        </w:rPr>
        <w:t>g</w:t>
      </w:r>
      <w:r w:rsidRPr="007A5D90">
        <w:rPr>
          <w:sz w:val="16"/>
        </w:rPr>
        <w:t xml:space="preserve">rowth”, </w:t>
      </w:r>
      <w:r w:rsidRPr="007A5D90">
        <w:rPr>
          <w:i/>
          <w:sz w:val="16"/>
        </w:rPr>
        <w:t>Policy Research Working Paper 4122</w:t>
      </w:r>
      <w:r w:rsidRPr="007A5D90">
        <w:rPr>
          <w:sz w:val="16"/>
        </w:rPr>
        <w:t>. World Bank</w:t>
      </w:r>
      <w:r>
        <w:rPr>
          <w:sz w:val="16"/>
        </w:rPr>
        <w:t>;</w:t>
      </w:r>
      <w:r w:rsidRPr="00886DCB">
        <w:rPr>
          <w:sz w:val="16"/>
        </w:rPr>
        <w:t xml:space="preserve"> </w:t>
      </w:r>
      <w:r>
        <w:rPr>
          <w:sz w:val="16"/>
        </w:rPr>
        <w:t xml:space="preserve">Klump, R., Cabrera, C.A.M. 2007. “How can education contribute to pro-poor growth? Policy implications for financial cooperation”, </w:t>
      </w:r>
      <w:r w:rsidRPr="00886DCB">
        <w:rPr>
          <w:i/>
          <w:sz w:val="16"/>
        </w:rPr>
        <w:t>KFW Discussion Paper 49</w:t>
      </w:r>
      <w:r>
        <w:rPr>
          <w:sz w:val="16"/>
        </w:rPr>
        <w:t xml:space="preserve">. KFW; World Bank. 2018. </w:t>
      </w:r>
      <w:r w:rsidRPr="00886DCB">
        <w:rPr>
          <w:i/>
          <w:sz w:val="16"/>
        </w:rPr>
        <w:t>World Development Report 2018: Learning to Realise Education’s Promise</w:t>
      </w:r>
      <w:r>
        <w:rPr>
          <w:sz w:val="16"/>
        </w:rPr>
        <w:t>. World Bank.</w:t>
      </w:r>
    </w:p>
  </w:endnote>
  <w:endnote w:id="8">
    <w:p w:rsidR="00275B39" w:rsidRDefault="00275B39">
      <w:pPr>
        <w:pStyle w:val="EndnoteText"/>
      </w:pPr>
      <w:r>
        <w:rPr>
          <w:rStyle w:val="EndnoteReference"/>
        </w:rPr>
        <w:endnoteRef/>
      </w:r>
      <w:r>
        <w:t xml:space="preserve"> </w:t>
      </w:r>
      <w:r w:rsidRPr="00805B8F">
        <w:rPr>
          <w:sz w:val="16"/>
        </w:rPr>
        <w:t>A</w:t>
      </w:r>
      <w:r>
        <w:rPr>
          <w:sz w:val="16"/>
        </w:rPr>
        <w:t xml:space="preserve">s </w:t>
      </w:r>
      <w:r w:rsidRPr="00805B8F">
        <w:rPr>
          <w:sz w:val="16"/>
        </w:rPr>
        <w:t>or if some of the small bets gain traction TASS may support supplementary activities that assist the Indonesian Government to take the</w:t>
      </w:r>
      <w:r>
        <w:rPr>
          <w:sz w:val="16"/>
        </w:rPr>
        <w:t xml:space="preserve"> necessary</w:t>
      </w:r>
      <w:r w:rsidRPr="00805B8F">
        <w:rPr>
          <w:sz w:val="16"/>
        </w:rPr>
        <w:t xml:space="preserve"> next steps. Such activities are also short-term (e.g. up to six-months) but where they are slightly longer term (i.e. up to 12 months) TASS undertakes periodic informal and formal monitoring and evaluation to continually revise and sharpen the activity and mitigate risk of substitution. </w:t>
      </w:r>
    </w:p>
  </w:endnote>
  <w:endnote w:id="9">
    <w:p w:rsidR="00275B39" w:rsidRDefault="00275B39">
      <w:pPr>
        <w:pStyle w:val="EndnoteText"/>
      </w:pPr>
      <w:r>
        <w:rPr>
          <w:rStyle w:val="EndnoteReference"/>
        </w:rPr>
        <w:endnoteRef/>
      </w:r>
      <w:r>
        <w:t xml:space="preserve"> </w:t>
      </w:r>
      <w:r w:rsidRPr="006C2216">
        <w:rPr>
          <w:sz w:val="16"/>
        </w:rPr>
        <w:t>TASS uses the term “enduring influence” rather than “</w:t>
      </w:r>
      <w:r w:rsidRPr="00E777BA">
        <w:rPr>
          <w:sz w:val="16"/>
        </w:rPr>
        <w:t>sustainability</w:t>
      </w:r>
      <w:r w:rsidRPr="006C2216">
        <w:rPr>
          <w:sz w:val="16"/>
        </w:rPr>
        <w:t>”</w:t>
      </w:r>
      <w:r>
        <w:rPr>
          <w:sz w:val="16"/>
        </w:rPr>
        <w:t>.</w:t>
      </w:r>
    </w:p>
  </w:endnote>
  <w:endnote w:id="10">
    <w:p w:rsidR="00275B39" w:rsidRDefault="00275B39" w:rsidP="001B792B">
      <w:pPr>
        <w:pStyle w:val="EndnoteText"/>
      </w:pPr>
      <w:r>
        <w:rPr>
          <w:rStyle w:val="EndnoteReference"/>
        </w:rPr>
        <w:endnoteRef/>
      </w:r>
      <w:r>
        <w:t xml:space="preserve"> </w:t>
      </w:r>
      <w:r w:rsidRPr="00816C84">
        <w:rPr>
          <w:sz w:val="16"/>
          <w:szCs w:val="16"/>
          <w:lang w:val="en-AU"/>
        </w:rPr>
        <w:t xml:space="preserve">DFAT, for example, will proactively address any risks that might inhibit the timely </w:t>
      </w:r>
      <w:r>
        <w:rPr>
          <w:sz w:val="16"/>
          <w:szCs w:val="16"/>
          <w:lang w:val="en-AU"/>
        </w:rPr>
        <w:t xml:space="preserve">approval and </w:t>
      </w:r>
      <w:r w:rsidRPr="00816C84">
        <w:rPr>
          <w:sz w:val="16"/>
          <w:szCs w:val="16"/>
          <w:lang w:val="en-AU"/>
        </w:rPr>
        <w:t>implementation of activities</w:t>
      </w:r>
      <w:r>
        <w:rPr>
          <w:sz w:val="16"/>
          <w:szCs w:val="16"/>
          <w:lang w:val="en-AU"/>
        </w:rPr>
        <w:t>.</w:t>
      </w:r>
    </w:p>
  </w:endnote>
  <w:endnote w:id="11">
    <w:p w:rsidR="00275B39" w:rsidRDefault="00275B39" w:rsidP="001B792B">
      <w:pPr>
        <w:pStyle w:val="EndnoteText"/>
      </w:pPr>
      <w:r>
        <w:rPr>
          <w:rStyle w:val="EndnoteReference"/>
        </w:rPr>
        <w:endnoteRef/>
      </w:r>
      <w:r>
        <w:t xml:space="preserve"> </w:t>
      </w:r>
      <w:r w:rsidRPr="00250D3A">
        <w:rPr>
          <w:sz w:val="16"/>
          <w:szCs w:val="16"/>
          <w:lang w:val="en-AU"/>
        </w:rPr>
        <w:t xml:space="preserve">Where possible, </w:t>
      </w:r>
      <w:r w:rsidRPr="00E332F7">
        <w:rPr>
          <w:sz w:val="16"/>
          <w:szCs w:val="16"/>
          <w:lang w:val="en-AU"/>
        </w:rPr>
        <w:t xml:space="preserve">TASS, DFAT and </w:t>
      </w:r>
      <w:r>
        <w:rPr>
          <w:sz w:val="16"/>
          <w:szCs w:val="16"/>
          <w:lang w:val="en-AU"/>
        </w:rPr>
        <w:t>the Indonesian Government</w:t>
      </w:r>
      <w:r w:rsidRPr="00E332F7">
        <w:rPr>
          <w:sz w:val="16"/>
          <w:szCs w:val="16"/>
          <w:lang w:val="en-AU"/>
        </w:rPr>
        <w:t xml:space="preserve"> will apply a principle of proportionality, i.e. the investment of time and effort will be proportional to the degree of risk in play relative to the potential upside of the investment.</w:t>
      </w:r>
      <w:r>
        <w:rPr>
          <w:sz w:val="16"/>
          <w:szCs w:val="16"/>
          <w:lang w:val="en-AU"/>
        </w:rPr>
        <w:t xml:space="preserve"> Headline risks are therefore those that</w:t>
      </w:r>
      <w:r w:rsidRPr="001745EC">
        <w:rPr>
          <w:sz w:val="16"/>
          <w:szCs w:val="16"/>
          <w:lang w:val="en-AU"/>
        </w:rPr>
        <w:t xml:space="preserve"> require careful and ongoing management.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18" w:rsidRDefault="00195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916890"/>
      <w:docPartObj>
        <w:docPartGallery w:val="Page Numbers (Bottom of Page)"/>
        <w:docPartUnique/>
      </w:docPartObj>
    </w:sdtPr>
    <w:sdtEndPr>
      <w:rPr>
        <w:noProof/>
      </w:rPr>
    </w:sdtEndPr>
    <w:sdtContent>
      <w:p w:rsidR="00275B39" w:rsidRDefault="00275B39">
        <w:pPr>
          <w:pStyle w:val="Footer"/>
          <w:jc w:val="right"/>
        </w:pPr>
        <w:r>
          <w:fldChar w:fldCharType="begin"/>
        </w:r>
        <w:r>
          <w:instrText xml:space="preserve"> PAGE   \* MERGEFORMAT </w:instrText>
        </w:r>
        <w:r>
          <w:fldChar w:fldCharType="separate"/>
        </w:r>
        <w:r w:rsidR="00B901E2">
          <w:rPr>
            <w:noProof/>
          </w:rPr>
          <w:t>4</w:t>
        </w:r>
        <w:r>
          <w:rPr>
            <w:noProof/>
          </w:rPr>
          <w:fldChar w:fldCharType="end"/>
        </w:r>
      </w:p>
    </w:sdtContent>
  </w:sdt>
  <w:p w:rsidR="00275B39" w:rsidRPr="00FC322F" w:rsidRDefault="00275B39" w:rsidP="00FC322F">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627806"/>
      <w:docPartObj>
        <w:docPartGallery w:val="Page Numbers (Bottom of Page)"/>
        <w:docPartUnique/>
      </w:docPartObj>
    </w:sdtPr>
    <w:sdtEndPr>
      <w:rPr>
        <w:noProof/>
      </w:rPr>
    </w:sdtEndPr>
    <w:sdtContent>
      <w:p w:rsidR="00275B39" w:rsidRDefault="00275B39">
        <w:pPr>
          <w:pStyle w:val="Footer"/>
          <w:jc w:val="right"/>
        </w:pPr>
        <w:r>
          <w:fldChar w:fldCharType="begin"/>
        </w:r>
        <w:r>
          <w:instrText xml:space="preserve"> PAGE   \* MERGEFORMAT </w:instrText>
        </w:r>
        <w:r>
          <w:fldChar w:fldCharType="separate"/>
        </w:r>
        <w:r w:rsidR="00B901E2">
          <w:rPr>
            <w:noProof/>
          </w:rPr>
          <w:t>1</w:t>
        </w:r>
        <w:r>
          <w:rPr>
            <w:noProof/>
          </w:rPr>
          <w:fldChar w:fldCharType="end"/>
        </w:r>
      </w:p>
    </w:sdtContent>
  </w:sdt>
  <w:p w:rsidR="00275B39" w:rsidRPr="00FC322F" w:rsidRDefault="00275B39" w:rsidP="00FC322F">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9D1" w:rsidRPr="008C5A0E" w:rsidRDefault="005B29D1" w:rsidP="00D37B04">
      <w:pPr>
        <w:pStyle w:val="Footer"/>
      </w:pPr>
    </w:p>
  </w:footnote>
  <w:footnote w:type="continuationSeparator" w:id="0">
    <w:p w:rsidR="005B29D1" w:rsidRDefault="005B29D1" w:rsidP="00D37B04">
      <w:r>
        <w:continuationSeparator/>
      </w:r>
    </w:p>
  </w:footnote>
  <w:footnote w:id="1">
    <w:p w:rsidR="00275B39" w:rsidRDefault="00275B39" w:rsidP="00652F38">
      <w:pPr>
        <w:pStyle w:val="FootnoteText"/>
      </w:pPr>
      <w:r>
        <w:rPr>
          <w:rStyle w:val="FootnoteReference"/>
        </w:rPr>
        <w:footnoteRef/>
      </w:r>
      <w:r>
        <w:t xml:space="preserve"> </w:t>
      </w:r>
      <w:r w:rsidRPr="00F54A03">
        <w:rPr>
          <w:sz w:val="18"/>
          <w:szCs w:val="18"/>
        </w:rPr>
        <w:t>A request that falls outside DFAT/Australian comparative advantage will not be eliminated if it rates poorly against this factor.</w:t>
      </w:r>
    </w:p>
  </w:footnote>
  <w:footnote w:id="2">
    <w:p w:rsidR="00275B39" w:rsidRDefault="00275B39" w:rsidP="00AC3FB8">
      <w:pPr>
        <w:pStyle w:val="FootnoteText"/>
      </w:pPr>
      <w:r>
        <w:rPr>
          <w:rStyle w:val="FootnoteReference"/>
        </w:rPr>
        <w:footnoteRef/>
      </w:r>
      <w:r>
        <w:t xml:space="preserve"> i.e. the drivers of poor teaching and learning (Focal Area 1) and/or the disparities in teaching and learning outcomes (Focal Area 2).</w:t>
      </w:r>
    </w:p>
  </w:footnote>
  <w:footnote w:id="3">
    <w:p w:rsidR="00275B39" w:rsidRDefault="00275B39">
      <w:pPr>
        <w:pStyle w:val="FootnoteText"/>
      </w:pPr>
      <w:r>
        <w:rPr>
          <w:rStyle w:val="FootnoteReference"/>
        </w:rPr>
        <w:footnoteRef/>
      </w:r>
      <w:r>
        <w:t xml:space="preserve"> </w:t>
      </w:r>
      <w:r w:rsidRPr="002246FF">
        <w:t xml:space="preserve">DFAT has recourse to its </w:t>
      </w:r>
      <w:r w:rsidR="00D26C59">
        <w:t xml:space="preserve">Office for </w:t>
      </w:r>
      <w:r w:rsidRPr="002246FF">
        <w:t>Development Effectiveness and a</w:t>
      </w:r>
      <w:r w:rsidR="00D26C59">
        <w:t>n in-house</w:t>
      </w:r>
      <w:r w:rsidRPr="002246FF">
        <w:t xml:space="preserve"> M&amp;E </w:t>
      </w:r>
      <w:r w:rsidR="00D26C59">
        <w:t>adviser as part of its quality assurance system</w:t>
      </w:r>
      <w:r w:rsidR="009A7C43">
        <w:t xml:space="preserve">. It can also </w:t>
      </w:r>
      <w:r w:rsidR="00D26C59">
        <w:t xml:space="preserve"> outsource</w:t>
      </w:r>
      <w:r w:rsidRPr="002246FF">
        <w:t xml:space="preserve"> independent reviews and evaluations</w:t>
      </w:r>
      <w:r w:rsidR="00D26C59">
        <w:t xml:space="preserve"> to </w:t>
      </w:r>
      <w:r w:rsidR="0083657F">
        <w:t xml:space="preserve">external </w:t>
      </w:r>
      <w:r w:rsidR="00D26C59">
        <w:t>contractor</w:t>
      </w:r>
      <w:r w:rsidR="0083657F">
        <w: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618" w:rsidRDefault="001956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B39" w:rsidRPr="000854FD" w:rsidRDefault="00275B39" w:rsidP="002D5B25">
    <w:pPr>
      <w:pStyle w:val="Header"/>
    </w:pPr>
    <w:r w:rsidRPr="00943730">
      <w:rPr>
        <w:noProof/>
        <w:lang w:val="en-AU" w:eastAsia="en-AU"/>
      </w:rPr>
      <w:drawing>
        <wp:anchor distT="0" distB="0" distL="114300" distR="114300" simplePos="0" relativeHeight="251662336" behindDoc="1" locked="1" layoutInCell="1" allowOverlap="1" wp14:anchorId="78AB544D" wp14:editId="5FCE04A8">
          <wp:simplePos x="0" y="0"/>
          <wp:positionH relativeFrom="page">
            <wp:posOffset>8255</wp:posOffset>
          </wp:positionH>
          <wp:positionV relativeFrom="page">
            <wp:posOffset>0</wp:posOffset>
          </wp:positionV>
          <wp:extent cx="10627360" cy="10692765"/>
          <wp:effectExtent l="0" t="0" r="2540" b="0"/>
          <wp:wrapNone/>
          <wp:docPr id="34" name="Picture 3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62736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B39" w:rsidRPr="00943730" w:rsidRDefault="00275B39" w:rsidP="00943730">
    <w:pPr>
      <w:pStyle w:val="Header"/>
    </w:pPr>
    <w:r w:rsidRPr="00943730">
      <w:fldChar w:fldCharType="begin"/>
    </w:r>
    <w:r w:rsidRPr="00943730">
      <w:instrText xml:space="preserve"> DATE  \@ "MMMM yyyy"  \* MERGEFORMAT </w:instrText>
    </w:r>
    <w:r w:rsidRPr="00943730">
      <w:fldChar w:fldCharType="separate"/>
    </w:r>
    <w:r w:rsidR="00195618">
      <w:rPr>
        <w:noProof/>
      </w:rPr>
      <w:t>October 2019</w:t>
    </w:r>
    <w:r w:rsidRPr="00943730">
      <w:fldChar w:fldCharType="end"/>
    </w:r>
    <w:r w:rsidRPr="00252C04">
      <w:rPr>
        <w:noProof/>
        <w:lang w:val="en-AU" w:eastAsia="en-AU"/>
      </w:rPr>
      <w:drawing>
        <wp:anchor distT="0" distB="0" distL="114300" distR="114300" simplePos="0" relativeHeight="251664384" behindDoc="1" locked="1" layoutInCell="1" allowOverlap="1" wp14:anchorId="7D959671" wp14:editId="6EB95F17">
          <wp:simplePos x="0" y="0"/>
          <wp:positionH relativeFrom="page">
            <wp:posOffset>12472035</wp:posOffset>
          </wp:positionH>
          <wp:positionV relativeFrom="page">
            <wp:posOffset>928370</wp:posOffset>
          </wp:positionV>
          <wp:extent cx="1115060" cy="512445"/>
          <wp:effectExtent l="0" t="0" r="8890" b="1905"/>
          <wp:wrapNone/>
          <wp:docPr id="60" name="Picture 60"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7216" behindDoc="1" locked="1" layoutInCell="1" allowOverlap="1" wp14:anchorId="5881E0E0" wp14:editId="099CE465">
          <wp:simplePos x="0" y="0"/>
          <wp:positionH relativeFrom="page">
            <wp:posOffset>720090</wp:posOffset>
          </wp:positionH>
          <wp:positionV relativeFrom="page">
            <wp:posOffset>882015</wp:posOffset>
          </wp:positionV>
          <wp:extent cx="3166920" cy="554400"/>
          <wp:effectExtent l="0" t="0" r="0" b="0"/>
          <wp:wrapNone/>
          <wp:docPr id="36" name="Picture 36"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6192" behindDoc="1" locked="1" layoutInCell="1" allowOverlap="1" wp14:anchorId="62F2A332" wp14:editId="116BB153">
          <wp:simplePos x="0" y="0"/>
          <wp:positionH relativeFrom="page">
            <wp:posOffset>-567055</wp:posOffset>
          </wp:positionH>
          <wp:positionV relativeFrom="page">
            <wp:posOffset>0</wp:posOffset>
          </wp:positionV>
          <wp:extent cx="15718155" cy="10692130"/>
          <wp:effectExtent l="0" t="0" r="0" b="0"/>
          <wp:wrapNone/>
          <wp:docPr id="37" name="Picture 3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1571815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F0A"/>
    <w:multiLevelType w:val="hybridMultilevel"/>
    <w:tmpl w:val="A148F8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7AC7DC3"/>
    <w:multiLevelType w:val="hybridMultilevel"/>
    <w:tmpl w:val="B4801C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 w15:restartNumberingAfterBreak="0">
    <w:nsid w:val="218D6370"/>
    <w:multiLevelType w:val="hybridMultilevel"/>
    <w:tmpl w:val="2B408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11F7A"/>
    <w:multiLevelType w:val="hybridMultilevel"/>
    <w:tmpl w:val="62665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EC3EA2"/>
    <w:multiLevelType w:val="hybridMultilevel"/>
    <w:tmpl w:val="C1E612BA"/>
    <w:lvl w:ilvl="0" w:tplc="5F608450">
      <w:start w:val="1"/>
      <w:numFmt w:val="decimal"/>
      <w:lvlText w:val="%1."/>
      <w:lvlJc w:val="left"/>
      <w:pPr>
        <w:ind w:left="720" w:hanging="360"/>
      </w:pPr>
      <w:rPr>
        <w:rFonts w:hint="default"/>
        <w:color w:val="3DA18F" w:themeColor="accent1" w:themeShade="BF"/>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D3EA6B7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3303A"/>
    <w:multiLevelType w:val="hybridMultilevel"/>
    <w:tmpl w:val="15F25880"/>
    <w:lvl w:ilvl="0" w:tplc="08090015">
      <w:start w:val="7"/>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6FB3787"/>
    <w:multiLevelType w:val="hybridMultilevel"/>
    <w:tmpl w:val="D3FCFE76"/>
    <w:lvl w:ilvl="0" w:tplc="BEF2E6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A452DE"/>
    <w:multiLevelType w:val="hybridMultilevel"/>
    <w:tmpl w:val="A3A204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B3DF0"/>
    <w:multiLevelType w:val="hybridMultilevel"/>
    <w:tmpl w:val="FC3E9B98"/>
    <w:lvl w:ilvl="0" w:tplc="021E73E8">
      <w:start w:val="1"/>
      <w:numFmt w:val="upp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C8A66AE"/>
    <w:multiLevelType w:val="hybridMultilevel"/>
    <w:tmpl w:val="6FE2B8F4"/>
    <w:lvl w:ilvl="0" w:tplc="8D20A9EE">
      <w:start w:val="1"/>
      <w:numFmt w:val="upperLetter"/>
      <w:lvlText w:val="%1."/>
      <w:lvlJc w:val="left"/>
      <w:pPr>
        <w:ind w:left="720" w:hanging="360"/>
      </w:pPr>
      <w:rPr>
        <w:b/>
        <w:color w:val="495965" w:themeColor="text2"/>
        <w:sz w:val="22"/>
        <w:szCs w:val="22"/>
      </w:rPr>
    </w:lvl>
    <w:lvl w:ilvl="1" w:tplc="17768A98">
      <w:start w:val="1"/>
      <w:numFmt w:val="bullet"/>
      <w:lvlText w:val="›"/>
      <w:lvlJc w:val="left"/>
      <w:pPr>
        <w:ind w:left="1440" w:hanging="360"/>
      </w:pPr>
      <w:rPr>
        <w:rFonts w:ascii="Times New Roman" w:hAnsi="Times New Roman" w:cs="Times New Roman" w:hint="default"/>
        <w:color w:val="495965" w:themeColor="text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E1709D"/>
    <w:multiLevelType w:val="hybridMultilevel"/>
    <w:tmpl w:val="B9E04240"/>
    <w:lvl w:ilvl="0" w:tplc="CA245F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247A65"/>
    <w:multiLevelType w:val="hybridMultilevel"/>
    <w:tmpl w:val="592E8C3C"/>
    <w:lvl w:ilvl="0" w:tplc="2A3226B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D542E40"/>
    <w:multiLevelType w:val="hybridMultilevel"/>
    <w:tmpl w:val="7B6C56EA"/>
    <w:lvl w:ilvl="0" w:tplc="F4F4CC7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C1D52"/>
    <w:multiLevelType w:val="hybridMultilevel"/>
    <w:tmpl w:val="EE98C968"/>
    <w:lvl w:ilvl="0" w:tplc="0809000F">
      <w:start w:val="1"/>
      <w:numFmt w:val="decimal"/>
      <w:pStyle w:val="CoffeyBullet1"/>
      <w:lvlText w:val="%1."/>
      <w:lvlJc w:val="left"/>
      <w:pPr>
        <w:ind w:left="720" w:hanging="360"/>
      </w:pPr>
      <w:rPr>
        <w:rFonts w:hint="default"/>
        <w:color w:val="3DA18F"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D3EA6B7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9781D"/>
    <w:multiLevelType w:val="hybridMultilevel"/>
    <w:tmpl w:val="6FE2B8F4"/>
    <w:lvl w:ilvl="0" w:tplc="8D20A9EE">
      <w:start w:val="1"/>
      <w:numFmt w:val="upperLetter"/>
      <w:lvlText w:val="%1."/>
      <w:lvlJc w:val="left"/>
      <w:pPr>
        <w:ind w:left="720" w:hanging="360"/>
      </w:pPr>
      <w:rPr>
        <w:b/>
        <w:color w:val="495965" w:themeColor="text2"/>
        <w:sz w:val="22"/>
        <w:szCs w:val="22"/>
      </w:rPr>
    </w:lvl>
    <w:lvl w:ilvl="1" w:tplc="17768A98">
      <w:start w:val="1"/>
      <w:numFmt w:val="bullet"/>
      <w:lvlText w:val="›"/>
      <w:lvlJc w:val="left"/>
      <w:pPr>
        <w:ind w:left="1440" w:hanging="360"/>
      </w:pPr>
      <w:rPr>
        <w:rFonts w:ascii="Times New Roman" w:hAnsi="Times New Roman" w:cs="Times New Roman" w:hint="default"/>
        <w:color w:val="495965" w:themeColor="text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876964"/>
    <w:multiLevelType w:val="hybridMultilevel"/>
    <w:tmpl w:val="1A58FB9A"/>
    <w:lvl w:ilvl="0" w:tplc="8D20A9EE">
      <w:start w:val="1"/>
      <w:numFmt w:val="upperLetter"/>
      <w:lvlText w:val="%1."/>
      <w:lvlJc w:val="left"/>
      <w:pPr>
        <w:ind w:left="720" w:hanging="360"/>
      </w:pPr>
      <w:rPr>
        <w:b/>
        <w:color w:val="495965" w:themeColor="text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ED5090"/>
    <w:multiLevelType w:val="hybridMultilevel"/>
    <w:tmpl w:val="2710F70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1773D9A"/>
    <w:multiLevelType w:val="hybridMultilevel"/>
    <w:tmpl w:val="E6F4B096"/>
    <w:lvl w:ilvl="0" w:tplc="0809000F">
      <w:start w:val="1"/>
      <w:numFmt w:val="decimal"/>
      <w:lvlText w:val="%1."/>
      <w:lvlJc w:val="left"/>
      <w:pPr>
        <w:ind w:left="720" w:hanging="360"/>
      </w:pPr>
      <w:rPr>
        <w:b/>
        <w:color w:val="495965" w:themeColor="text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964B07"/>
    <w:multiLevelType w:val="hybridMultilevel"/>
    <w:tmpl w:val="94589A72"/>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D149D8"/>
    <w:multiLevelType w:val="hybridMultilevel"/>
    <w:tmpl w:val="E6F4B096"/>
    <w:lvl w:ilvl="0" w:tplc="0809000F">
      <w:start w:val="1"/>
      <w:numFmt w:val="decimal"/>
      <w:lvlText w:val="%1."/>
      <w:lvlJc w:val="left"/>
      <w:pPr>
        <w:ind w:left="720" w:hanging="360"/>
      </w:pPr>
      <w:rPr>
        <w:b/>
        <w:color w:val="495965" w:themeColor="text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4F5B10"/>
    <w:multiLevelType w:val="hybridMultilevel"/>
    <w:tmpl w:val="B718ABB0"/>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C43395"/>
    <w:multiLevelType w:val="hybridMultilevel"/>
    <w:tmpl w:val="6FE2B8F4"/>
    <w:lvl w:ilvl="0" w:tplc="8D20A9EE">
      <w:start w:val="1"/>
      <w:numFmt w:val="upperLetter"/>
      <w:lvlText w:val="%1."/>
      <w:lvlJc w:val="left"/>
      <w:pPr>
        <w:ind w:left="720" w:hanging="360"/>
      </w:pPr>
      <w:rPr>
        <w:b/>
        <w:color w:val="495965" w:themeColor="text2"/>
        <w:sz w:val="22"/>
        <w:szCs w:val="22"/>
      </w:rPr>
    </w:lvl>
    <w:lvl w:ilvl="1" w:tplc="17768A98">
      <w:start w:val="1"/>
      <w:numFmt w:val="bullet"/>
      <w:lvlText w:val="›"/>
      <w:lvlJc w:val="left"/>
      <w:pPr>
        <w:ind w:left="1440" w:hanging="360"/>
      </w:pPr>
      <w:rPr>
        <w:rFonts w:ascii="Times New Roman" w:hAnsi="Times New Roman" w:cs="Times New Roman" w:hint="default"/>
        <w:color w:val="495965" w:themeColor="text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553D9F"/>
    <w:multiLevelType w:val="multilevel"/>
    <w:tmpl w:val="A6FA45D0"/>
    <w:numStyleLink w:val="BulletsList"/>
  </w:abstractNum>
  <w:abstractNum w:abstractNumId="26" w15:restartNumberingAfterBreak="0">
    <w:nsid w:val="594B4FD6"/>
    <w:multiLevelType w:val="hybridMultilevel"/>
    <w:tmpl w:val="1AC43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8" w15:restartNumberingAfterBreak="0">
    <w:nsid w:val="5CBD1298"/>
    <w:multiLevelType w:val="multilevel"/>
    <w:tmpl w:val="35CE754E"/>
    <w:lvl w:ilvl="0">
      <w:start w:val="1"/>
      <w:numFmt w:val="decimal"/>
      <w:pStyle w:val="CoffeyHeading1Blue"/>
      <w:lvlText w:val="%1"/>
      <w:lvlJc w:val="left"/>
      <w:pPr>
        <w:ind w:left="432" w:hanging="432"/>
      </w:pPr>
      <w:rPr>
        <w:rFonts w:hint="default"/>
      </w:rPr>
    </w:lvl>
    <w:lvl w:ilvl="1">
      <w:start w:val="1"/>
      <w:numFmt w:val="decimal"/>
      <w:pStyle w:val="CoffeyHeading2Black"/>
      <w:lvlText w:val="%2."/>
      <w:lvlJc w:val="left"/>
      <w:pPr>
        <w:ind w:left="576" w:hanging="576"/>
      </w:pPr>
    </w:lvl>
    <w:lvl w:ilvl="2">
      <w:start w:val="1"/>
      <w:numFmt w:val="decimal"/>
      <w:pStyle w:val="CoffeyHeading3Black"/>
      <w:lvlText w:val="%1.%2.%3"/>
      <w:lvlJc w:val="left"/>
      <w:pPr>
        <w:ind w:left="720" w:hanging="720"/>
      </w:pPr>
      <w:rPr>
        <w:b/>
        <w:i w:val="0"/>
        <w:color w:val="3DA18F" w:themeColor="accent1" w:themeShade="BF"/>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5E582B56"/>
    <w:multiLevelType w:val="hybridMultilevel"/>
    <w:tmpl w:val="638A3F8A"/>
    <w:lvl w:ilvl="0" w:tplc="8D20A9EE">
      <w:start w:val="1"/>
      <w:numFmt w:val="upperLetter"/>
      <w:lvlText w:val="%1."/>
      <w:lvlJc w:val="left"/>
      <w:pPr>
        <w:ind w:left="720" w:hanging="360"/>
      </w:pPr>
      <w:rPr>
        <w:b/>
        <w:color w:val="495965" w:themeColor="text2"/>
        <w:sz w:val="22"/>
        <w:szCs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661361"/>
    <w:multiLevelType w:val="hybridMultilevel"/>
    <w:tmpl w:val="6FE2B8F4"/>
    <w:lvl w:ilvl="0" w:tplc="8D20A9EE">
      <w:start w:val="1"/>
      <w:numFmt w:val="upperLetter"/>
      <w:lvlText w:val="%1."/>
      <w:lvlJc w:val="left"/>
      <w:pPr>
        <w:ind w:left="720" w:hanging="360"/>
      </w:pPr>
      <w:rPr>
        <w:b/>
        <w:color w:val="495965" w:themeColor="text2"/>
        <w:sz w:val="22"/>
        <w:szCs w:val="22"/>
      </w:rPr>
    </w:lvl>
    <w:lvl w:ilvl="1" w:tplc="17768A98">
      <w:start w:val="1"/>
      <w:numFmt w:val="bullet"/>
      <w:lvlText w:val="›"/>
      <w:lvlJc w:val="left"/>
      <w:pPr>
        <w:ind w:left="1440" w:hanging="360"/>
      </w:pPr>
      <w:rPr>
        <w:rFonts w:ascii="Times New Roman" w:hAnsi="Times New Roman" w:cs="Times New Roman" w:hint="default"/>
        <w:color w:val="495965" w:themeColor="text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B70DA7"/>
    <w:multiLevelType w:val="hybridMultilevel"/>
    <w:tmpl w:val="93D4CB8A"/>
    <w:lvl w:ilvl="0" w:tplc="08090015">
      <w:start w:val="8"/>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3420D35"/>
    <w:multiLevelType w:val="hybridMultilevel"/>
    <w:tmpl w:val="8DA69842"/>
    <w:lvl w:ilvl="0" w:tplc="79D20BC8">
      <w:start w:val="5"/>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7936708D"/>
    <w:multiLevelType w:val="hybridMultilevel"/>
    <w:tmpl w:val="FC3E9B98"/>
    <w:lvl w:ilvl="0" w:tplc="021E73E8">
      <w:start w:val="1"/>
      <w:numFmt w:val="upp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79D65EAE"/>
    <w:multiLevelType w:val="hybridMultilevel"/>
    <w:tmpl w:val="4CA852C6"/>
    <w:lvl w:ilvl="0" w:tplc="8D20A9EE">
      <w:start w:val="1"/>
      <w:numFmt w:val="upperLetter"/>
      <w:lvlText w:val="%1."/>
      <w:lvlJc w:val="left"/>
      <w:pPr>
        <w:ind w:left="720" w:hanging="360"/>
      </w:pPr>
      <w:rPr>
        <w:b/>
        <w:color w:val="495965" w:themeColor="text2"/>
        <w:sz w:val="22"/>
        <w:szCs w:val="22"/>
      </w:rPr>
    </w:lvl>
    <w:lvl w:ilvl="1" w:tplc="17768A98">
      <w:start w:val="1"/>
      <w:numFmt w:val="bullet"/>
      <w:lvlText w:val="›"/>
      <w:lvlJc w:val="left"/>
      <w:pPr>
        <w:ind w:left="1440" w:hanging="360"/>
      </w:pPr>
      <w:rPr>
        <w:rFonts w:ascii="Times New Roman" w:hAnsi="Times New Roman" w:cs="Times New Roman" w:hint="default"/>
        <w:color w:val="495965" w:themeColor="text2"/>
      </w:rPr>
    </w:lvl>
    <w:lvl w:ilvl="2" w:tplc="0C09001B">
      <w:start w:val="1"/>
      <w:numFmt w:val="lowerRoman"/>
      <w:lvlText w:val="%3."/>
      <w:lvlJc w:val="right"/>
      <w:pPr>
        <w:ind w:left="2160" w:hanging="180"/>
      </w:pPr>
    </w:lvl>
    <w:lvl w:ilvl="3" w:tplc="DD0EE53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D63A82"/>
    <w:multiLevelType w:val="hybridMultilevel"/>
    <w:tmpl w:val="9F82E2D0"/>
    <w:lvl w:ilvl="0" w:tplc="5F608450">
      <w:start w:val="1"/>
      <w:numFmt w:val="decimal"/>
      <w:lvlText w:val="%1."/>
      <w:lvlJc w:val="left"/>
      <w:pPr>
        <w:ind w:left="720" w:hanging="360"/>
      </w:pPr>
      <w:rPr>
        <w:rFonts w:hint="default"/>
        <w:color w:val="3DA18F" w:themeColor="accent1" w:themeShade="BF"/>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D3EA6B7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7A528B"/>
    <w:multiLevelType w:val="hybridMultilevel"/>
    <w:tmpl w:val="A39658C0"/>
    <w:lvl w:ilvl="0" w:tplc="7B640FF6">
      <w:start w:val="1"/>
      <w:numFmt w:val="bullet"/>
      <w:pStyle w:val="ListBullet"/>
      <w:lvlText w:val="›"/>
      <w:lvlJc w:val="left"/>
      <w:pPr>
        <w:ind w:left="786" w:hanging="360"/>
      </w:pPr>
      <w:rPr>
        <w:rFonts w:ascii="Times New Roman" w:hAnsi="Times New Roman" w:cs="Times New Roman" w:hint="default"/>
        <w:color w:val="auto"/>
        <w:position w:val="3"/>
      </w:rPr>
    </w:lvl>
    <w:lvl w:ilvl="1" w:tplc="FFFFFFFF">
      <w:start w:val="1"/>
      <w:numFmt w:val="bullet"/>
      <w:lvlText w:val="o"/>
      <w:lvlJc w:val="left"/>
      <w:pPr>
        <w:tabs>
          <w:tab w:val="num" w:pos="2150"/>
        </w:tabs>
        <w:ind w:left="2150" w:hanging="360"/>
      </w:pPr>
      <w:rPr>
        <w:rFonts w:ascii="Courier New" w:hAnsi="Courier New" w:cs="Courier New" w:hint="default"/>
      </w:rPr>
    </w:lvl>
    <w:lvl w:ilvl="2" w:tplc="FFFFFFFF" w:tentative="1">
      <w:start w:val="1"/>
      <w:numFmt w:val="bullet"/>
      <w:lvlText w:val=""/>
      <w:lvlJc w:val="left"/>
      <w:pPr>
        <w:tabs>
          <w:tab w:val="num" w:pos="2870"/>
        </w:tabs>
        <w:ind w:left="2870" w:hanging="360"/>
      </w:pPr>
      <w:rPr>
        <w:rFonts w:ascii="Wingdings" w:hAnsi="Wingdings"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cs="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cs="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num w:numId="1">
    <w:abstractNumId w:val="33"/>
  </w:num>
  <w:num w:numId="2">
    <w:abstractNumId w:val="2"/>
  </w:num>
  <w:num w:numId="3">
    <w:abstractNumId w:val="11"/>
  </w:num>
  <w:num w:numId="4">
    <w:abstractNumId w:val="27"/>
  </w:num>
  <w:num w:numId="5">
    <w:abstractNumId w:val="29"/>
  </w:num>
  <w:num w:numId="6">
    <w:abstractNumId w:val="11"/>
  </w:num>
  <w:num w:numId="7">
    <w:abstractNumId w:val="2"/>
  </w:num>
  <w:num w:numId="8">
    <w:abstractNumId w:val="3"/>
  </w:num>
  <w:num w:numId="9">
    <w:abstractNumId w:val="35"/>
  </w:num>
  <w:num w:numId="10">
    <w:abstractNumId w:val="25"/>
  </w:num>
  <w:num w:numId="11">
    <w:abstractNumId w:val="18"/>
  </w:num>
  <w:num w:numId="12">
    <w:abstractNumId w:val="39"/>
  </w:num>
  <w:num w:numId="13">
    <w:abstractNumId w:val="17"/>
  </w:num>
  <w:num w:numId="14">
    <w:abstractNumId w:val="30"/>
  </w:num>
  <w:num w:numId="15">
    <w:abstractNumId w:val="5"/>
  </w:num>
  <w:num w:numId="16">
    <w:abstractNumId w:val="37"/>
  </w:num>
  <w:num w:numId="17">
    <w:abstractNumId w:val="31"/>
  </w:num>
  <w:num w:numId="18">
    <w:abstractNumId w:val="20"/>
  </w:num>
  <w:num w:numId="19">
    <w:abstractNumId w:val="22"/>
  </w:num>
  <w:num w:numId="20">
    <w:abstractNumId w:val="21"/>
  </w:num>
  <w:num w:numId="21">
    <w:abstractNumId w:val="28"/>
  </w:num>
  <w:num w:numId="22">
    <w:abstractNumId w:val="16"/>
  </w:num>
  <w:num w:numId="23">
    <w:abstractNumId w:val="6"/>
  </w:num>
  <w:num w:numId="24">
    <w:abstractNumId w:val="38"/>
  </w:num>
  <w:num w:numId="25">
    <w:abstractNumId w:val="16"/>
  </w:num>
  <w:num w:numId="26">
    <w:abstractNumId w:val="16"/>
  </w:num>
  <w:num w:numId="27">
    <w:abstractNumId w:val="16"/>
  </w:num>
  <w:num w:numId="28">
    <w:abstractNumId w:val="16"/>
  </w:num>
  <w:num w:numId="29">
    <w:abstractNumId w:val="12"/>
  </w:num>
  <w:num w:numId="30">
    <w:abstractNumId w:val="23"/>
  </w:num>
  <w:num w:numId="31">
    <w:abstractNumId w:val="8"/>
  </w:num>
  <w:num w:numId="32">
    <w:abstractNumId w:val="4"/>
  </w:num>
  <w:num w:numId="33">
    <w:abstractNumId w:val="7"/>
  </w:num>
  <w:num w:numId="34">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0"/>
  </w:num>
  <w:num w:numId="40">
    <w:abstractNumId w:val="32"/>
  </w:num>
  <w:num w:numId="41">
    <w:abstractNumId w:val="15"/>
  </w:num>
  <w:num w:numId="42">
    <w:abstractNumId w:val="34"/>
  </w:num>
  <w:num w:numId="43">
    <w:abstractNumId w:val="24"/>
  </w:num>
  <w:num w:numId="44">
    <w:abstractNumId w:val="1"/>
  </w:num>
  <w:num w:numId="45">
    <w:abstractNumId w:val="13"/>
  </w:num>
  <w:num w:numId="46">
    <w:abstractNumId w:val="14"/>
  </w:num>
  <w:num w:numId="47">
    <w:abstractNumId w:val="26"/>
  </w:num>
  <w:num w:numId="48">
    <w:abstractNumId w:val="9"/>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AF"/>
    <w:rsid w:val="00001D7C"/>
    <w:rsid w:val="00001DA8"/>
    <w:rsid w:val="00001E3C"/>
    <w:rsid w:val="000020C1"/>
    <w:rsid w:val="000030FF"/>
    <w:rsid w:val="0000358B"/>
    <w:rsid w:val="0000432D"/>
    <w:rsid w:val="00004AB1"/>
    <w:rsid w:val="00005B79"/>
    <w:rsid w:val="00005C82"/>
    <w:rsid w:val="000070A5"/>
    <w:rsid w:val="00007ACF"/>
    <w:rsid w:val="0001058C"/>
    <w:rsid w:val="000115B9"/>
    <w:rsid w:val="000159D2"/>
    <w:rsid w:val="00015E14"/>
    <w:rsid w:val="000163EC"/>
    <w:rsid w:val="00016E88"/>
    <w:rsid w:val="0002080A"/>
    <w:rsid w:val="00021145"/>
    <w:rsid w:val="00021C94"/>
    <w:rsid w:val="000223E9"/>
    <w:rsid w:val="000224EE"/>
    <w:rsid w:val="00022B99"/>
    <w:rsid w:val="00023773"/>
    <w:rsid w:val="000241F7"/>
    <w:rsid w:val="000246AB"/>
    <w:rsid w:val="000258D7"/>
    <w:rsid w:val="00026688"/>
    <w:rsid w:val="00026CD0"/>
    <w:rsid w:val="00026D86"/>
    <w:rsid w:val="00027141"/>
    <w:rsid w:val="0002782F"/>
    <w:rsid w:val="0003070C"/>
    <w:rsid w:val="00030FC7"/>
    <w:rsid w:val="000312A9"/>
    <w:rsid w:val="00033DF5"/>
    <w:rsid w:val="000340AA"/>
    <w:rsid w:val="00034714"/>
    <w:rsid w:val="00034D9E"/>
    <w:rsid w:val="00035BBF"/>
    <w:rsid w:val="00036138"/>
    <w:rsid w:val="00036463"/>
    <w:rsid w:val="0003686B"/>
    <w:rsid w:val="00040045"/>
    <w:rsid w:val="000422F2"/>
    <w:rsid w:val="00044A56"/>
    <w:rsid w:val="000458B1"/>
    <w:rsid w:val="00047225"/>
    <w:rsid w:val="00047FBF"/>
    <w:rsid w:val="00050806"/>
    <w:rsid w:val="000510EF"/>
    <w:rsid w:val="00051727"/>
    <w:rsid w:val="0005186E"/>
    <w:rsid w:val="00051C33"/>
    <w:rsid w:val="0005251E"/>
    <w:rsid w:val="00052F9C"/>
    <w:rsid w:val="000530E6"/>
    <w:rsid w:val="00053941"/>
    <w:rsid w:val="000546D9"/>
    <w:rsid w:val="00054E4D"/>
    <w:rsid w:val="00056513"/>
    <w:rsid w:val="00060017"/>
    <w:rsid w:val="00060073"/>
    <w:rsid w:val="00060464"/>
    <w:rsid w:val="000608EB"/>
    <w:rsid w:val="000616C6"/>
    <w:rsid w:val="0006327A"/>
    <w:rsid w:val="00065970"/>
    <w:rsid w:val="00072633"/>
    <w:rsid w:val="00072784"/>
    <w:rsid w:val="00072D54"/>
    <w:rsid w:val="000732B5"/>
    <w:rsid w:val="00082F49"/>
    <w:rsid w:val="00083864"/>
    <w:rsid w:val="000839F2"/>
    <w:rsid w:val="000843D9"/>
    <w:rsid w:val="00084BFF"/>
    <w:rsid w:val="00084FA4"/>
    <w:rsid w:val="000854FD"/>
    <w:rsid w:val="000869B9"/>
    <w:rsid w:val="00086E06"/>
    <w:rsid w:val="00087588"/>
    <w:rsid w:val="00090353"/>
    <w:rsid w:val="00091BE5"/>
    <w:rsid w:val="00091DF8"/>
    <w:rsid w:val="00092485"/>
    <w:rsid w:val="00092F4B"/>
    <w:rsid w:val="00093E51"/>
    <w:rsid w:val="00094536"/>
    <w:rsid w:val="00094A0F"/>
    <w:rsid w:val="0009656F"/>
    <w:rsid w:val="00096E80"/>
    <w:rsid w:val="00096F7C"/>
    <w:rsid w:val="000A08D3"/>
    <w:rsid w:val="000A09C0"/>
    <w:rsid w:val="000A1F0A"/>
    <w:rsid w:val="000A4B42"/>
    <w:rsid w:val="000B1A9B"/>
    <w:rsid w:val="000B1DF8"/>
    <w:rsid w:val="000B37F5"/>
    <w:rsid w:val="000B51EC"/>
    <w:rsid w:val="000B5794"/>
    <w:rsid w:val="000B72B1"/>
    <w:rsid w:val="000C03F4"/>
    <w:rsid w:val="000C0881"/>
    <w:rsid w:val="000C2326"/>
    <w:rsid w:val="000C2B64"/>
    <w:rsid w:val="000C4BCE"/>
    <w:rsid w:val="000C6F7E"/>
    <w:rsid w:val="000C7CC6"/>
    <w:rsid w:val="000D042F"/>
    <w:rsid w:val="000D24BE"/>
    <w:rsid w:val="000D371A"/>
    <w:rsid w:val="000D5AA5"/>
    <w:rsid w:val="000D640F"/>
    <w:rsid w:val="000D648F"/>
    <w:rsid w:val="000D66D6"/>
    <w:rsid w:val="000D760D"/>
    <w:rsid w:val="000D772C"/>
    <w:rsid w:val="000E00EA"/>
    <w:rsid w:val="000E11FE"/>
    <w:rsid w:val="000E1672"/>
    <w:rsid w:val="000E398F"/>
    <w:rsid w:val="000E3C78"/>
    <w:rsid w:val="000E3ED1"/>
    <w:rsid w:val="000E4B8F"/>
    <w:rsid w:val="000E4FBA"/>
    <w:rsid w:val="000E5764"/>
    <w:rsid w:val="000E64AD"/>
    <w:rsid w:val="000F04A9"/>
    <w:rsid w:val="000F0FD6"/>
    <w:rsid w:val="000F4E14"/>
    <w:rsid w:val="000F5B33"/>
    <w:rsid w:val="000F727D"/>
    <w:rsid w:val="000F7389"/>
    <w:rsid w:val="000F7BC8"/>
    <w:rsid w:val="0010042E"/>
    <w:rsid w:val="001012D4"/>
    <w:rsid w:val="00101A3D"/>
    <w:rsid w:val="00102B54"/>
    <w:rsid w:val="00102D18"/>
    <w:rsid w:val="00103591"/>
    <w:rsid w:val="00103C8E"/>
    <w:rsid w:val="001051C1"/>
    <w:rsid w:val="001052BC"/>
    <w:rsid w:val="00107BCE"/>
    <w:rsid w:val="001106A1"/>
    <w:rsid w:val="00111DAD"/>
    <w:rsid w:val="0011216E"/>
    <w:rsid w:val="00112A1E"/>
    <w:rsid w:val="00112BDA"/>
    <w:rsid w:val="00113288"/>
    <w:rsid w:val="0011486D"/>
    <w:rsid w:val="0011487B"/>
    <w:rsid w:val="00115884"/>
    <w:rsid w:val="0011703A"/>
    <w:rsid w:val="001178E0"/>
    <w:rsid w:val="00117DED"/>
    <w:rsid w:val="00120F78"/>
    <w:rsid w:val="001214BE"/>
    <w:rsid w:val="00123868"/>
    <w:rsid w:val="001248BF"/>
    <w:rsid w:val="00126D06"/>
    <w:rsid w:val="00127E64"/>
    <w:rsid w:val="001304B4"/>
    <w:rsid w:val="0013101C"/>
    <w:rsid w:val="00132293"/>
    <w:rsid w:val="00133416"/>
    <w:rsid w:val="00133FAF"/>
    <w:rsid w:val="00135357"/>
    <w:rsid w:val="00135978"/>
    <w:rsid w:val="001402A8"/>
    <w:rsid w:val="00143568"/>
    <w:rsid w:val="00143AF0"/>
    <w:rsid w:val="00145C75"/>
    <w:rsid w:val="001461D6"/>
    <w:rsid w:val="00146A55"/>
    <w:rsid w:val="001479D3"/>
    <w:rsid w:val="00150F3F"/>
    <w:rsid w:val="0015196A"/>
    <w:rsid w:val="001521FE"/>
    <w:rsid w:val="00153036"/>
    <w:rsid w:val="00153CAA"/>
    <w:rsid w:val="001540BE"/>
    <w:rsid w:val="001541EA"/>
    <w:rsid w:val="0015597D"/>
    <w:rsid w:val="00155A14"/>
    <w:rsid w:val="00156266"/>
    <w:rsid w:val="00157604"/>
    <w:rsid w:val="00163A77"/>
    <w:rsid w:val="00163C34"/>
    <w:rsid w:val="0016542B"/>
    <w:rsid w:val="0016611C"/>
    <w:rsid w:val="00172556"/>
    <w:rsid w:val="001726CB"/>
    <w:rsid w:val="00172B0A"/>
    <w:rsid w:val="00172CA9"/>
    <w:rsid w:val="00172E27"/>
    <w:rsid w:val="001750CD"/>
    <w:rsid w:val="00176B0C"/>
    <w:rsid w:val="001800BE"/>
    <w:rsid w:val="00181146"/>
    <w:rsid w:val="001821D8"/>
    <w:rsid w:val="0018250A"/>
    <w:rsid w:val="001825AA"/>
    <w:rsid w:val="00183CDA"/>
    <w:rsid w:val="00190B17"/>
    <w:rsid w:val="001916DD"/>
    <w:rsid w:val="00191FFA"/>
    <w:rsid w:val="00193F87"/>
    <w:rsid w:val="00194F24"/>
    <w:rsid w:val="001950C7"/>
    <w:rsid w:val="0019553F"/>
    <w:rsid w:val="00195618"/>
    <w:rsid w:val="0019771A"/>
    <w:rsid w:val="001A095E"/>
    <w:rsid w:val="001A13EE"/>
    <w:rsid w:val="001A1AB1"/>
    <w:rsid w:val="001A1FE6"/>
    <w:rsid w:val="001A25BC"/>
    <w:rsid w:val="001A25D5"/>
    <w:rsid w:val="001A3E75"/>
    <w:rsid w:val="001A53D4"/>
    <w:rsid w:val="001A548B"/>
    <w:rsid w:val="001A61D3"/>
    <w:rsid w:val="001A6793"/>
    <w:rsid w:val="001A7095"/>
    <w:rsid w:val="001B00EF"/>
    <w:rsid w:val="001B1E48"/>
    <w:rsid w:val="001B3248"/>
    <w:rsid w:val="001B34F6"/>
    <w:rsid w:val="001B3A64"/>
    <w:rsid w:val="001B4045"/>
    <w:rsid w:val="001B513C"/>
    <w:rsid w:val="001B5CBC"/>
    <w:rsid w:val="001B792B"/>
    <w:rsid w:val="001C201B"/>
    <w:rsid w:val="001C2C08"/>
    <w:rsid w:val="001C3009"/>
    <w:rsid w:val="001C62E2"/>
    <w:rsid w:val="001C6BB6"/>
    <w:rsid w:val="001C6DE3"/>
    <w:rsid w:val="001C7215"/>
    <w:rsid w:val="001C73D0"/>
    <w:rsid w:val="001D015A"/>
    <w:rsid w:val="001D4AFF"/>
    <w:rsid w:val="001D5B4F"/>
    <w:rsid w:val="001D663E"/>
    <w:rsid w:val="001D709D"/>
    <w:rsid w:val="001E1B69"/>
    <w:rsid w:val="001E1DC0"/>
    <w:rsid w:val="001E3725"/>
    <w:rsid w:val="001E3A56"/>
    <w:rsid w:val="001E42D0"/>
    <w:rsid w:val="001E4CAF"/>
    <w:rsid w:val="001E6554"/>
    <w:rsid w:val="001E6DB5"/>
    <w:rsid w:val="001E701A"/>
    <w:rsid w:val="001E7E76"/>
    <w:rsid w:val="001F0A96"/>
    <w:rsid w:val="001F1B5F"/>
    <w:rsid w:val="001F2042"/>
    <w:rsid w:val="001F20E8"/>
    <w:rsid w:val="001F23F3"/>
    <w:rsid w:val="001F30E7"/>
    <w:rsid w:val="001F3AFC"/>
    <w:rsid w:val="001F5B17"/>
    <w:rsid w:val="001F634B"/>
    <w:rsid w:val="001F635D"/>
    <w:rsid w:val="001F78CD"/>
    <w:rsid w:val="0020035B"/>
    <w:rsid w:val="002003CF"/>
    <w:rsid w:val="002019B3"/>
    <w:rsid w:val="002022C7"/>
    <w:rsid w:val="00203277"/>
    <w:rsid w:val="002033FA"/>
    <w:rsid w:val="0020358D"/>
    <w:rsid w:val="00203C25"/>
    <w:rsid w:val="00205B2E"/>
    <w:rsid w:val="00205ED5"/>
    <w:rsid w:val="002075A2"/>
    <w:rsid w:val="00210024"/>
    <w:rsid w:val="00210904"/>
    <w:rsid w:val="00210907"/>
    <w:rsid w:val="00210B06"/>
    <w:rsid w:val="002124A8"/>
    <w:rsid w:val="002144E9"/>
    <w:rsid w:val="002149AE"/>
    <w:rsid w:val="00215432"/>
    <w:rsid w:val="00215A0D"/>
    <w:rsid w:val="00217A91"/>
    <w:rsid w:val="00222332"/>
    <w:rsid w:val="002238B4"/>
    <w:rsid w:val="002246FF"/>
    <w:rsid w:val="00226E74"/>
    <w:rsid w:val="00227237"/>
    <w:rsid w:val="00227F83"/>
    <w:rsid w:val="00230556"/>
    <w:rsid w:val="00231EFA"/>
    <w:rsid w:val="002342EF"/>
    <w:rsid w:val="002344D1"/>
    <w:rsid w:val="00236427"/>
    <w:rsid w:val="00236F59"/>
    <w:rsid w:val="00237718"/>
    <w:rsid w:val="00237B74"/>
    <w:rsid w:val="00240C9C"/>
    <w:rsid w:val="00242D88"/>
    <w:rsid w:val="00243609"/>
    <w:rsid w:val="00243D48"/>
    <w:rsid w:val="00244BFC"/>
    <w:rsid w:val="00245E64"/>
    <w:rsid w:val="00246506"/>
    <w:rsid w:val="00246F42"/>
    <w:rsid w:val="00250D3A"/>
    <w:rsid w:val="00251459"/>
    <w:rsid w:val="0025197D"/>
    <w:rsid w:val="00252C04"/>
    <w:rsid w:val="00253295"/>
    <w:rsid w:val="0025355E"/>
    <w:rsid w:val="00253BA1"/>
    <w:rsid w:val="00254E7D"/>
    <w:rsid w:val="0025618C"/>
    <w:rsid w:val="0025716B"/>
    <w:rsid w:val="002616A3"/>
    <w:rsid w:val="00261703"/>
    <w:rsid w:val="0026172C"/>
    <w:rsid w:val="00267325"/>
    <w:rsid w:val="00270B13"/>
    <w:rsid w:val="00271373"/>
    <w:rsid w:val="002713D4"/>
    <w:rsid w:val="00272AF0"/>
    <w:rsid w:val="00272B11"/>
    <w:rsid w:val="00273FD9"/>
    <w:rsid w:val="00275AB1"/>
    <w:rsid w:val="00275B39"/>
    <w:rsid w:val="00275E8C"/>
    <w:rsid w:val="00276397"/>
    <w:rsid w:val="0027780D"/>
    <w:rsid w:val="00277E89"/>
    <w:rsid w:val="0028131D"/>
    <w:rsid w:val="00281326"/>
    <w:rsid w:val="0028392D"/>
    <w:rsid w:val="00284E09"/>
    <w:rsid w:val="00285A8C"/>
    <w:rsid w:val="00285C9E"/>
    <w:rsid w:val="0028602A"/>
    <w:rsid w:val="00286989"/>
    <w:rsid w:val="00286B54"/>
    <w:rsid w:val="00287997"/>
    <w:rsid w:val="002918B8"/>
    <w:rsid w:val="00291E69"/>
    <w:rsid w:val="0029247F"/>
    <w:rsid w:val="00292F14"/>
    <w:rsid w:val="002933B6"/>
    <w:rsid w:val="002945F9"/>
    <w:rsid w:val="002962BB"/>
    <w:rsid w:val="0029792C"/>
    <w:rsid w:val="002A0BF8"/>
    <w:rsid w:val="002A3C47"/>
    <w:rsid w:val="002A49B5"/>
    <w:rsid w:val="002A5E7E"/>
    <w:rsid w:val="002A614A"/>
    <w:rsid w:val="002B1372"/>
    <w:rsid w:val="002B3F5B"/>
    <w:rsid w:val="002B4C20"/>
    <w:rsid w:val="002B57B4"/>
    <w:rsid w:val="002B5B32"/>
    <w:rsid w:val="002B5E10"/>
    <w:rsid w:val="002B6222"/>
    <w:rsid w:val="002B6469"/>
    <w:rsid w:val="002B6B87"/>
    <w:rsid w:val="002B7558"/>
    <w:rsid w:val="002C0645"/>
    <w:rsid w:val="002C0764"/>
    <w:rsid w:val="002C262A"/>
    <w:rsid w:val="002C296F"/>
    <w:rsid w:val="002C3A0D"/>
    <w:rsid w:val="002C4217"/>
    <w:rsid w:val="002C46CF"/>
    <w:rsid w:val="002C5847"/>
    <w:rsid w:val="002C731E"/>
    <w:rsid w:val="002C73A4"/>
    <w:rsid w:val="002C793D"/>
    <w:rsid w:val="002D0122"/>
    <w:rsid w:val="002D14B4"/>
    <w:rsid w:val="002D2D42"/>
    <w:rsid w:val="002D2F43"/>
    <w:rsid w:val="002D3017"/>
    <w:rsid w:val="002D4824"/>
    <w:rsid w:val="002D4DE7"/>
    <w:rsid w:val="002D5B25"/>
    <w:rsid w:val="002D68EF"/>
    <w:rsid w:val="002D6B04"/>
    <w:rsid w:val="002E0474"/>
    <w:rsid w:val="002E13F2"/>
    <w:rsid w:val="002E1F50"/>
    <w:rsid w:val="002E5965"/>
    <w:rsid w:val="002E5A20"/>
    <w:rsid w:val="002E62EB"/>
    <w:rsid w:val="002F19CD"/>
    <w:rsid w:val="002F3B88"/>
    <w:rsid w:val="002F3CCD"/>
    <w:rsid w:val="002F4102"/>
    <w:rsid w:val="002F4F2B"/>
    <w:rsid w:val="002F59CC"/>
    <w:rsid w:val="002F5F7C"/>
    <w:rsid w:val="002F751B"/>
    <w:rsid w:val="002F7784"/>
    <w:rsid w:val="003002C0"/>
    <w:rsid w:val="00301144"/>
    <w:rsid w:val="003015D6"/>
    <w:rsid w:val="00301A30"/>
    <w:rsid w:val="003031C6"/>
    <w:rsid w:val="003034FD"/>
    <w:rsid w:val="00303BE6"/>
    <w:rsid w:val="00303E36"/>
    <w:rsid w:val="00304984"/>
    <w:rsid w:val="003055ED"/>
    <w:rsid w:val="00306574"/>
    <w:rsid w:val="00307933"/>
    <w:rsid w:val="0031203E"/>
    <w:rsid w:val="00312BF8"/>
    <w:rsid w:val="00312C16"/>
    <w:rsid w:val="00313607"/>
    <w:rsid w:val="00313AFD"/>
    <w:rsid w:val="0031475E"/>
    <w:rsid w:val="003148B7"/>
    <w:rsid w:val="003158C3"/>
    <w:rsid w:val="00316800"/>
    <w:rsid w:val="00320445"/>
    <w:rsid w:val="003216D6"/>
    <w:rsid w:val="00321AB4"/>
    <w:rsid w:val="00323B40"/>
    <w:rsid w:val="00323B87"/>
    <w:rsid w:val="0032447E"/>
    <w:rsid w:val="00324536"/>
    <w:rsid w:val="003255B0"/>
    <w:rsid w:val="003267FF"/>
    <w:rsid w:val="003274CD"/>
    <w:rsid w:val="003275C8"/>
    <w:rsid w:val="00327966"/>
    <w:rsid w:val="00330326"/>
    <w:rsid w:val="00330501"/>
    <w:rsid w:val="00330CBF"/>
    <w:rsid w:val="00331337"/>
    <w:rsid w:val="00331374"/>
    <w:rsid w:val="00331416"/>
    <w:rsid w:val="00331E43"/>
    <w:rsid w:val="0033273A"/>
    <w:rsid w:val="00333131"/>
    <w:rsid w:val="00333501"/>
    <w:rsid w:val="00333DDD"/>
    <w:rsid w:val="0034060B"/>
    <w:rsid w:val="003409D3"/>
    <w:rsid w:val="00340C77"/>
    <w:rsid w:val="00340F79"/>
    <w:rsid w:val="003427AB"/>
    <w:rsid w:val="00342B90"/>
    <w:rsid w:val="0034492A"/>
    <w:rsid w:val="00345095"/>
    <w:rsid w:val="00345489"/>
    <w:rsid w:val="003457C4"/>
    <w:rsid w:val="00345D46"/>
    <w:rsid w:val="00346C34"/>
    <w:rsid w:val="00347B1A"/>
    <w:rsid w:val="00350141"/>
    <w:rsid w:val="0035031F"/>
    <w:rsid w:val="00350359"/>
    <w:rsid w:val="0035119D"/>
    <w:rsid w:val="00351950"/>
    <w:rsid w:val="00352C20"/>
    <w:rsid w:val="00353207"/>
    <w:rsid w:val="00353C3E"/>
    <w:rsid w:val="003548F0"/>
    <w:rsid w:val="003555D5"/>
    <w:rsid w:val="00357B57"/>
    <w:rsid w:val="00360DE8"/>
    <w:rsid w:val="00361124"/>
    <w:rsid w:val="0036580B"/>
    <w:rsid w:val="00365C45"/>
    <w:rsid w:val="00365E62"/>
    <w:rsid w:val="0037062A"/>
    <w:rsid w:val="0037094D"/>
    <w:rsid w:val="00370ACE"/>
    <w:rsid w:val="003718EE"/>
    <w:rsid w:val="0037482D"/>
    <w:rsid w:val="00374E07"/>
    <w:rsid w:val="00376169"/>
    <w:rsid w:val="0038014B"/>
    <w:rsid w:val="0038026C"/>
    <w:rsid w:val="00380767"/>
    <w:rsid w:val="0038139D"/>
    <w:rsid w:val="00381916"/>
    <w:rsid w:val="00383428"/>
    <w:rsid w:val="003842BA"/>
    <w:rsid w:val="00384901"/>
    <w:rsid w:val="00384ADC"/>
    <w:rsid w:val="00384D40"/>
    <w:rsid w:val="00384EB0"/>
    <w:rsid w:val="003854DA"/>
    <w:rsid w:val="003857B2"/>
    <w:rsid w:val="00385A45"/>
    <w:rsid w:val="003916A5"/>
    <w:rsid w:val="003916D0"/>
    <w:rsid w:val="0039248B"/>
    <w:rsid w:val="00393257"/>
    <w:rsid w:val="0039344A"/>
    <w:rsid w:val="00393A6E"/>
    <w:rsid w:val="00395163"/>
    <w:rsid w:val="003A0C7D"/>
    <w:rsid w:val="003A1407"/>
    <w:rsid w:val="003A16B9"/>
    <w:rsid w:val="003A23CF"/>
    <w:rsid w:val="003A5ABA"/>
    <w:rsid w:val="003A5AEB"/>
    <w:rsid w:val="003A5E7E"/>
    <w:rsid w:val="003A61FE"/>
    <w:rsid w:val="003A6297"/>
    <w:rsid w:val="003A7AE7"/>
    <w:rsid w:val="003A7C6F"/>
    <w:rsid w:val="003B066A"/>
    <w:rsid w:val="003B487D"/>
    <w:rsid w:val="003B4959"/>
    <w:rsid w:val="003B4A10"/>
    <w:rsid w:val="003B4F12"/>
    <w:rsid w:val="003B5A51"/>
    <w:rsid w:val="003B6F77"/>
    <w:rsid w:val="003C1097"/>
    <w:rsid w:val="003C1A3A"/>
    <w:rsid w:val="003C2E5F"/>
    <w:rsid w:val="003C611A"/>
    <w:rsid w:val="003C636C"/>
    <w:rsid w:val="003D1672"/>
    <w:rsid w:val="003D1B1E"/>
    <w:rsid w:val="003D2FAE"/>
    <w:rsid w:val="003D32E0"/>
    <w:rsid w:val="003D34AB"/>
    <w:rsid w:val="003D5D10"/>
    <w:rsid w:val="003D5DF4"/>
    <w:rsid w:val="003D657D"/>
    <w:rsid w:val="003D7F93"/>
    <w:rsid w:val="003E0054"/>
    <w:rsid w:val="003E0505"/>
    <w:rsid w:val="003E0852"/>
    <w:rsid w:val="003E0A51"/>
    <w:rsid w:val="003E0D03"/>
    <w:rsid w:val="003E10E6"/>
    <w:rsid w:val="003E2190"/>
    <w:rsid w:val="003E60B0"/>
    <w:rsid w:val="003E73B9"/>
    <w:rsid w:val="003E7462"/>
    <w:rsid w:val="003F053D"/>
    <w:rsid w:val="003F1305"/>
    <w:rsid w:val="003F2041"/>
    <w:rsid w:val="003F3692"/>
    <w:rsid w:val="003F5150"/>
    <w:rsid w:val="003F600E"/>
    <w:rsid w:val="003F7711"/>
    <w:rsid w:val="00401789"/>
    <w:rsid w:val="00401B75"/>
    <w:rsid w:val="00402283"/>
    <w:rsid w:val="004022F2"/>
    <w:rsid w:val="004025C8"/>
    <w:rsid w:val="00402ACC"/>
    <w:rsid w:val="004030D5"/>
    <w:rsid w:val="00403304"/>
    <w:rsid w:val="00403FD4"/>
    <w:rsid w:val="004058EB"/>
    <w:rsid w:val="00407179"/>
    <w:rsid w:val="00407346"/>
    <w:rsid w:val="00407B9F"/>
    <w:rsid w:val="00410892"/>
    <w:rsid w:val="00410B9C"/>
    <w:rsid w:val="004115A6"/>
    <w:rsid w:val="004120EC"/>
    <w:rsid w:val="0041273D"/>
    <w:rsid w:val="004131FE"/>
    <w:rsid w:val="0041456A"/>
    <w:rsid w:val="00417CB3"/>
    <w:rsid w:val="004208E3"/>
    <w:rsid w:val="004210CE"/>
    <w:rsid w:val="0042332E"/>
    <w:rsid w:val="00423A3D"/>
    <w:rsid w:val="00423F31"/>
    <w:rsid w:val="00424D71"/>
    <w:rsid w:val="004273A6"/>
    <w:rsid w:val="00430F87"/>
    <w:rsid w:val="00431899"/>
    <w:rsid w:val="0043219F"/>
    <w:rsid w:val="004344AA"/>
    <w:rsid w:val="00434501"/>
    <w:rsid w:val="0043597B"/>
    <w:rsid w:val="00435A92"/>
    <w:rsid w:val="00436E1D"/>
    <w:rsid w:val="00440363"/>
    <w:rsid w:val="00442055"/>
    <w:rsid w:val="004438F2"/>
    <w:rsid w:val="004439D9"/>
    <w:rsid w:val="004469ED"/>
    <w:rsid w:val="0045043A"/>
    <w:rsid w:val="004504A7"/>
    <w:rsid w:val="00450B55"/>
    <w:rsid w:val="00450EED"/>
    <w:rsid w:val="00452E73"/>
    <w:rsid w:val="00452EBE"/>
    <w:rsid w:val="00453888"/>
    <w:rsid w:val="00456CEE"/>
    <w:rsid w:val="00456EF0"/>
    <w:rsid w:val="00456F2E"/>
    <w:rsid w:val="0045735C"/>
    <w:rsid w:val="004608A2"/>
    <w:rsid w:val="00461EC6"/>
    <w:rsid w:val="00462720"/>
    <w:rsid w:val="0046335B"/>
    <w:rsid w:val="004648B8"/>
    <w:rsid w:val="00465515"/>
    <w:rsid w:val="00465F27"/>
    <w:rsid w:val="00467745"/>
    <w:rsid w:val="00467C44"/>
    <w:rsid w:val="00471C97"/>
    <w:rsid w:val="00472A3E"/>
    <w:rsid w:val="004749A0"/>
    <w:rsid w:val="004763DB"/>
    <w:rsid w:val="00477133"/>
    <w:rsid w:val="00481C17"/>
    <w:rsid w:val="00481CA6"/>
    <w:rsid w:val="00482AE8"/>
    <w:rsid w:val="00482EA1"/>
    <w:rsid w:val="00483D2D"/>
    <w:rsid w:val="0048492D"/>
    <w:rsid w:val="00485455"/>
    <w:rsid w:val="004855E9"/>
    <w:rsid w:val="00486564"/>
    <w:rsid w:val="00486804"/>
    <w:rsid w:val="00490646"/>
    <w:rsid w:val="00490CDB"/>
    <w:rsid w:val="00490F58"/>
    <w:rsid w:val="004931A8"/>
    <w:rsid w:val="004939C4"/>
    <w:rsid w:val="0049498A"/>
    <w:rsid w:val="0049530B"/>
    <w:rsid w:val="0049537E"/>
    <w:rsid w:val="004A0724"/>
    <w:rsid w:val="004A17AC"/>
    <w:rsid w:val="004A346E"/>
    <w:rsid w:val="004A445E"/>
    <w:rsid w:val="004A4967"/>
    <w:rsid w:val="004A523C"/>
    <w:rsid w:val="004A597A"/>
    <w:rsid w:val="004B24B4"/>
    <w:rsid w:val="004B3775"/>
    <w:rsid w:val="004B55BD"/>
    <w:rsid w:val="004B7B6E"/>
    <w:rsid w:val="004B7B9B"/>
    <w:rsid w:val="004B7EF2"/>
    <w:rsid w:val="004C0DA5"/>
    <w:rsid w:val="004C15CF"/>
    <w:rsid w:val="004C1B8D"/>
    <w:rsid w:val="004C3EA0"/>
    <w:rsid w:val="004C4011"/>
    <w:rsid w:val="004C49B4"/>
    <w:rsid w:val="004C6342"/>
    <w:rsid w:val="004C6923"/>
    <w:rsid w:val="004C796D"/>
    <w:rsid w:val="004D0BA0"/>
    <w:rsid w:val="004D4414"/>
    <w:rsid w:val="004D5274"/>
    <w:rsid w:val="004D5657"/>
    <w:rsid w:val="004D75E2"/>
    <w:rsid w:val="004D7CA8"/>
    <w:rsid w:val="004E058F"/>
    <w:rsid w:val="004E1BC7"/>
    <w:rsid w:val="004E25AA"/>
    <w:rsid w:val="004E3118"/>
    <w:rsid w:val="004E3B87"/>
    <w:rsid w:val="004E56DA"/>
    <w:rsid w:val="004E6963"/>
    <w:rsid w:val="004E6D5E"/>
    <w:rsid w:val="004F0231"/>
    <w:rsid w:val="004F0544"/>
    <w:rsid w:val="004F137D"/>
    <w:rsid w:val="004F13DB"/>
    <w:rsid w:val="004F19CF"/>
    <w:rsid w:val="004F208D"/>
    <w:rsid w:val="004F2AF9"/>
    <w:rsid w:val="004F2E1A"/>
    <w:rsid w:val="004F38FD"/>
    <w:rsid w:val="004F4624"/>
    <w:rsid w:val="004F5F34"/>
    <w:rsid w:val="004F62D3"/>
    <w:rsid w:val="004F6E02"/>
    <w:rsid w:val="00501630"/>
    <w:rsid w:val="0050201A"/>
    <w:rsid w:val="00502F29"/>
    <w:rsid w:val="00503F5C"/>
    <w:rsid w:val="0050436D"/>
    <w:rsid w:val="00504FF5"/>
    <w:rsid w:val="0050576E"/>
    <w:rsid w:val="005061FB"/>
    <w:rsid w:val="005065CD"/>
    <w:rsid w:val="00506696"/>
    <w:rsid w:val="00506DEA"/>
    <w:rsid w:val="005075CE"/>
    <w:rsid w:val="00510921"/>
    <w:rsid w:val="00510AD3"/>
    <w:rsid w:val="00510CC8"/>
    <w:rsid w:val="0051159F"/>
    <w:rsid w:val="00513348"/>
    <w:rsid w:val="00513AD8"/>
    <w:rsid w:val="00513FB3"/>
    <w:rsid w:val="00515F52"/>
    <w:rsid w:val="005200BB"/>
    <w:rsid w:val="00520170"/>
    <w:rsid w:val="005204D2"/>
    <w:rsid w:val="00520B5E"/>
    <w:rsid w:val="00522396"/>
    <w:rsid w:val="00522D28"/>
    <w:rsid w:val="00523AEA"/>
    <w:rsid w:val="00523B63"/>
    <w:rsid w:val="00523D21"/>
    <w:rsid w:val="00523E61"/>
    <w:rsid w:val="00526111"/>
    <w:rsid w:val="0052721F"/>
    <w:rsid w:val="00530278"/>
    <w:rsid w:val="005303B8"/>
    <w:rsid w:val="00530F08"/>
    <w:rsid w:val="00531876"/>
    <w:rsid w:val="005323AD"/>
    <w:rsid w:val="0053352F"/>
    <w:rsid w:val="00533B5D"/>
    <w:rsid w:val="005359EC"/>
    <w:rsid w:val="00537370"/>
    <w:rsid w:val="00537F9F"/>
    <w:rsid w:val="005424F6"/>
    <w:rsid w:val="0054272E"/>
    <w:rsid w:val="005429F2"/>
    <w:rsid w:val="005439CE"/>
    <w:rsid w:val="005458A1"/>
    <w:rsid w:val="00547AF5"/>
    <w:rsid w:val="00551E00"/>
    <w:rsid w:val="00552609"/>
    <w:rsid w:val="00552ABD"/>
    <w:rsid w:val="00553D8D"/>
    <w:rsid w:val="005544AD"/>
    <w:rsid w:val="00554CD4"/>
    <w:rsid w:val="0055502B"/>
    <w:rsid w:val="00556675"/>
    <w:rsid w:val="00556A3A"/>
    <w:rsid w:val="00560BE2"/>
    <w:rsid w:val="00561010"/>
    <w:rsid w:val="00562DF1"/>
    <w:rsid w:val="005634BA"/>
    <w:rsid w:val="00563C3D"/>
    <w:rsid w:val="00563EE6"/>
    <w:rsid w:val="00563EFC"/>
    <w:rsid w:val="00563F1D"/>
    <w:rsid w:val="00565C22"/>
    <w:rsid w:val="00565F2C"/>
    <w:rsid w:val="0056676E"/>
    <w:rsid w:val="00571434"/>
    <w:rsid w:val="0057366D"/>
    <w:rsid w:val="00580D7F"/>
    <w:rsid w:val="0058216E"/>
    <w:rsid w:val="00585DE9"/>
    <w:rsid w:val="00586D73"/>
    <w:rsid w:val="00590503"/>
    <w:rsid w:val="00590E4E"/>
    <w:rsid w:val="00592469"/>
    <w:rsid w:val="005959C6"/>
    <w:rsid w:val="005970FF"/>
    <w:rsid w:val="005979B2"/>
    <w:rsid w:val="00597DA2"/>
    <w:rsid w:val="005A032A"/>
    <w:rsid w:val="005A1665"/>
    <w:rsid w:val="005A1DAA"/>
    <w:rsid w:val="005A2075"/>
    <w:rsid w:val="005A20F6"/>
    <w:rsid w:val="005A2247"/>
    <w:rsid w:val="005A2923"/>
    <w:rsid w:val="005A3060"/>
    <w:rsid w:val="005A5160"/>
    <w:rsid w:val="005B1B35"/>
    <w:rsid w:val="005B2966"/>
    <w:rsid w:val="005B29D1"/>
    <w:rsid w:val="005B2D78"/>
    <w:rsid w:val="005B3C97"/>
    <w:rsid w:val="005B4DAD"/>
    <w:rsid w:val="005B55E8"/>
    <w:rsid w:val="005B7641"/>
    <w:rsid w:val="005B786C"/>
    <w:rsid w:val="005C0DD3"/>
    <w:rsid w:val="005C1A87"/>
    <w:rsid w:val="005C302F"/>
    <w:rsid w:val="005C4115"/>
    <w:rsid w:val="005C419D"/>
    <w:rsid w:val="005C51BA"/>
    <w:rsid w:val="005C5911"/>
    <w:rsid w:val="005C6772"/>
    <w:rsid w:val="005C7B3D"/>
    <w:rsid w:val="005D077C"/>
    <w:rsid w:val="005D2A42"/>
    <w:rsid w:val="005D3655"/>
    <w:rsid w:val="005D3BA5"/>
    <w:rsid w:val="005D4024"/>
    <w:rsid w:val="005D743A"/>
    <w:rsid w:val="005E02DD"/>
    <w:rsid w:val="005E0CBB"/>
    <w:rsid w:val="005E1EB5"/>
    <w:rsid w:val="005E4830"/>
    <w:rsid w:val="005E53FA"/>
    <w:rsid w:val="005E62B7"/>
    <w:rsid w:val="005E6D26"/>
    <w:rsid w:val="005E7001"/>
    <w:rsid w:val="005E7153"/>
    <w:rsid w:val="005E7F7A"/>
    <w:rsid w:val="005F08C7"/>
    <w:rsid w:val="005F1141"/>
    <w:rsid w:val="005F131E"/>
    <w:rsid w:val="005F2DFD"/>
    <w:rsid w:val="005F3219"/>
    <w:rsid w:val="005F3E06"/>
    <w:rsid w:val="005F4684"/>
    <w:rsid w:val="005F4F71"/>
    <w:rsid w:val="005F5038"/>
    <w:rsid w:val="005F55D4"/>
    <w:rsid w:val="005F6792"/>
    <w:rsid w:val="005F6EC1"/>
    <w:rsid w:val="00600EEF"/>
    <w:rsid w:val="00604E88"/>
    <w:rsid w:val="00606A53"/>
    <w:rsid w:val="00606CA5"/>
    <w:rsid w:val="00610B3D"/>
    <w:rsid w:val="00611805"/>
    <w:rsid w:val="0061316C"/>
    <w:rsid w:val="00615203"/>
    <w:rsid w:val="00615C27"/>
    <w:rsid w:val="00616FEE"/>
    <w:rsid w:val="00617084"/>
    <w:rsid w:val="00617F3B"/>
    <w:rsid w:val="006211A7"/>
    <w:rsid w:val="00622B86"/>
    <w:rsid w:val="00623BA1"/>
    <w:rsid w:val="00623F96"/>
    <w:rsid w:val="00625910"/>
    <w:rsid w:val="00625D1A"/>
    <w:rsid w:val="00625F83"/>
    <w:rsid w:val="006264ED"/>
    <w:rsid w:val="00626BB7"/>
    <w:rsid w:val="006271EB"/>
    <w:rsid w:val="00627DC5"/>
    <w:rsid w:val="00630448"/>
    <w:rsid w:val="00633C19"/>
    <w:rsid w:val="006346BC"/>
    <w:rsid w:val="00635976"/>
    <w:rsid w:val="0063730E"/>
    <w:rsid w:val="006401D2"/>
    <w:rsid w:val="00642486"/>
    <w:rsid w:val="006446E8"/>
    <w:rsid w:val="00646B6A"/>
    <w:rsid w:val="00650C80"/>
    <w:rsid w:val="00650C87"/>
    <w:rsid w:val="00652293"/>
    <w:rsid w:val="006528C4"/>
    <w:rsid w:val="00652F38"/>
    <w:rsid w:val="0065401C"/>
    <w:rsid w:val="00655D15"/>
    <w:rsid w:val="00656A76"/>
    <w:rsid w:val="00656A90"/>
    <w:rsid w:val="0065745C"/>
    <w:rsid w:val="00660671"/>
    <w:rsid w:val="0066232E"/>
    <w:rsid w:val="00664DF7"/>
    <w:rsid w:val="00665D62"/>
    <w:rsid w:val="0066652A"/>
    <w:rsid w:val="00667457"/>
    <w:rsid w:val="00671359"/>
    <w:rsid w:val="00671534"/>
    <w:rsid w:val="006719C3"/>
    <w:rsid w:val="00671DE1"/>
    <w:rsid w:val="006745E1"/>
    <w:rsid w:val="00674DE6"/>
    <w:rsid w:val="006754AA"/>
    <w:rsid w:val="006757C4"/>
    <w:rsid w:val="00675837"/>
    <w:rsid w:val="00675CE2"/>
    <w:rsid w:val="00675D80"/>
    <w:rsid w:val="006769A8"/>
    <w:rsid w:val="00677ACD"/>
    <w:rsid w:val="00677BC5"/>
    <w:rsid w:val="0068030F"/>
    <w:rsid w:val="00680522"/>
    <w:rsid w:val="00681EC2"/>
    <w:rsid w:val="00682167"/>
    <w:rsid w:val="00685964"/>
    <w:rsid w:val="00686523"/>
    <w:rsid w:val="006867A9"/>
    <w:rsid w:val="00687153"/>
    <w:rsid w:val="006873CB"/>
    <w:rsid w:val="00692379"/>
    <w:rsid w:val="00692A01"/>
    <w:rsid w:val="0069581C"/>
    <w:rsid w:val="00695CEF"/>
    <w:rsid w:val="00697725"/>
    <w:rsid w:val="00697F38"/>
    <w:rsid w:val="006A1458"/>
    <w:rsid w:val="006A19B8"/>
    <w:rsid w:val="006A5453"/>
    <w:rsid w:val="006A59F4"/>
    <w:rsid w:val="006A68B6"/>
    <w:rsid w:val="006A6AE2"/>
    <w:rsid w:val="006A7B45"/>
    <w:rsid w:val="006B1368"/>
    <w:rsid w:val="006B1DE1"/>
    <w:rsid w:val="006B1EDA"/>
    <w:rsid w:val="006B2364"/>
    <w:rsid w:val="006B2C68"/>
    <w:rsid w:val="006B32A3"/>
    <w:rsid w:val="006B3436"/>
    <w:rsid w:val="006B3A5B"/>
    <w:rsid w:val="006B3D72"/>
    <w:rsid w:val="006B3DEE"/>
    <w:rsid w:val="006B447C"/>
    <w:rsid w:val="006B7192"/>
    <w:rsid w:val="006B7666"/>
    <w:rsid w:val="006C03FB"/>
    <w:rsid w:val="006C08F8"/>
    <w:rsid w:val="006C1F62"/>
    <w:rsid w:val="006C2216"/>
    <w:rsid w:val="006C2D7B"/>
    <w:rsid w:val="006C33B6"/>
    <w:rsid w:val="006C42AF"/>
    <w:rsid w:val="006C43C2"/>
    <w:rsid w:val="006C4F37"/>
    <w:rsid w:val="006C563B"/>
    <w:rsid w:val="006D0101"/>
    <w:rsid w:val="006D103D"/>
    <w:rsid w:val="006D2621"/>
    <w:rsid w:val="006D2916"/>
    <w:rsid w:val="006D32B7"/>
    <w:rsid w:val="006D3FB1"/>
    <w:rsid w:val="006D505E"/>
    <w:rsid w:val="006D7B25"/>
    <w:rsid w:val="006E08DC"/>
    <w:rsid w:val="006E0908"/>
    <w:rsid w:val="006E0DF0"/>
    <w:rsid w:val="006E13FD"/>
    <w:rsid w:val="006E254B"/>
    <w:rsid w:val="006E36C5"/>
    <w:rsid w:val="006E3D8B"/>
    <w:rsid w:val="006E4D08"/>
    <w:rsid w:val="006E5A18"/>
    <w:rsid w:val="006E640F"/>
    <w:rsid w:val="006E68A3"/>
    <w:rsid w:val="006E7242"/>
    <w:rsid w:val="006E74EE"/>
    <w:rsid w:val="006F031C"/>
    <w:rsid w:val="006F0829"/>
    <w:rsid w:val="006F116F"/>
    <w:rsid w:val="006F1F72"/>
    <w:rsid w:val="006F4E00"/>
    <w:rsid w:val="006F519E"/>
    <w:rsid w:val="006F6283"/>
    <w:rsid w:val="006F62F8"/>
    <w:rsid w:val="006F7A02"/>
    <w:rsid w:val="0070057F"/>
    <w:rsid w:val="00700B3D"/>
    <w:rsid w:val="00700FCF"/>
    <w:rsid w:val="00701214"/>
    <w:rsid w:val="00703E66"/>
    <w:rsid w:val="00703FF2"/>
    <w:rsid w:val="00704394"/>
    <w:rsid w:val="00705A41"/>
    <w:rsid w:val="00705DC5"/>
    <w:rsid w:val="00711D8E"/>
    <w:rsid w:val="00712672"/>
    <w:rsid w:val="00712687"/>
    <w:rsid w:val="007128D4"/>
    <w:rsid w:val="007140FB"/>
    <w:rsid w:val="00714CF6"/>
    <w:rsid w:val="00715460"/>
    <w:rsid w:val="00715F52"/>
    <w:rsid w:val="0071663D"/>
    <w:rsid w:val="0072128B"/>
    <w:rsid w:val="007212A1"/>
    <w:rsid w:val="0072272A"/>
    <w:rsid w:val="00722B14"/>
    <w:rsid w:val="00723659"/>
    <w:rsid w:val="0072398A"/>
    <w:rsid w:val="007242F6"/>
    <w:rsid w:val="00724667"/>
    <w:rsid w:val="00727043"/>
    <w:rsid w:val="007277CE"/>
    <w:rsid w:val="00727EDF"/>
    <w:rsid w:val="007307FE"/>
    <w:rsid w:val="00730BF6"/>
    <w:rsid w:val="007327DB"/>
    <w:rsid w:val="00733554"/>
    <w:rsid w:val="00734E3F"/>
    <w:rsid w:val="0073610D"/>
    <w:rsid w:val="007361BA"/>
    <w:rsid w:val="00736985"/>
    <w:rsid w:val="007374FD"/>
    <w:rsid w:val="00741A32"/>
    <w:rsid w:val="00742444"/>
    <w:rsid w:val="00744A76"/>
    <w:rsid w:val="00744BDE"/>
    <w:rsid w:val="00745418"/>
    <w:rsid w:val="00745CC8"/>
    <w:rsid w:val="00745DF5"/>
    <w:rsid w:val="00750824"/>
    <w:rsid w:val="00753F31"/>
    <w:rsid w:val="00754DF0"/>
    <w:rsid w:val="0075549F"/>
    <w:rsid w:val="00756C8B"/>
    <w:rsid w:val="0075706B"/>
    <w:rsid w:val="00760497"/>
    <w:rsid w:val="00760996"/>
    <w:rsid w:val="007618F3"/>
    <w:rsid w:val="007620A0"/>
    <w:rsid w:val="0076250F"/>
    <w:rsid w:val="00762F3B"/>
    <w:rsid w:val="00763774"/>
    <w:rsid w:val="00763F07"/>
    <w:rsid w:val="007652FC"/>
    <w:rsid w:val="007663D0"/>
    <w:rsid w:val="00767108"/>
    <w:rsid w:val="00767894"/>
    <w:rsid w:val="00770581"/>
    <w:rsid w:val="007706B8"/>
    <w:rsid w:val="00770DA2"/>
    <w:rsid w:val="00771EEE"/>
    <w:rsid w:val="00772205"/>
    <w:rsid w:val="007725B4"/>
    <w:rsid w:val="00772E6E"/>
    <w:rsid w:val="00773A3A"/>
    <w:rsid w:val="0077438B"/>
    <w:rsid w:val="00774EE4"/>
    <w:rsid w:val="00775E05"/>
    <w:rsid w:val="00775F12"/>
    <w:rsid w:val="00777AC2"/>
    <w:rsid w:val="007800D9"/>
    <w:rsid w:val="00780FA5"/>
    <w:rsid w:val="0078132E"/>
    <w:rsid w:val="0078260E"/>
    <w:rsid w:val="00782614"/>
    <w:rsid w:val="00783DB6"/>
    <w:rsid w:val="00783E59"/>
    <w:rsid w:val="00785B10"/>
    <w:rsid w:val="00785D1C"/>
    <w:rsid w:val="00786CE6"/>
    <w:rsid w:val="00787D1A"/>
    <w:rsid w:val="00790414"/>
    <w:rsid w:val="00791E80"/>
    <w:rsid w:val="00793889"/>
    <w:rsid w:val="0079403E"/>
    <w:rsid w:val="00794217"/>
    <w:rsid w:val="007950A2"/>
    <w:rsid w:val="00796DC8"/>
    <w:rsid w:val="007974A0"/>
    <w:rsid w:val="00797711"/>
    <w:rsid w:val="00797EC6"/>
    <w:rsid w:val="007A0009"/>
    <w:rsid w:val="007A1210"/>
    <w:rsid w:val="007A351E"/>
    <w:rsid w:val="007A3DD5"/>
    <w:rsid w:val="007A576E"/>
    <w:rsid w:val="007A5D90"/>
    <w:rsid w:val="007A7CE5"/>
    <w:rsid w:val="007B0477"/>
    <w:rsid w:val="007B0987"/>
    <w:rsid w:val="007B0DCC"/>
    <w:rsid w:val="007B17E8"/>
    <w:rsid w:val="007B1905"/>
    <w:rsid w:val="007B20E3"/>
    <w:rsid w:val="007B29CF"/>
    <w:rsid w:val="007B4769"/>
    <w:rsid w:val="007B6200"/>
    <w:rsid w:val="007C17D4"/>
    <w:rsid w:val="007C3717"/>
    <w:rsid w:val="007C3D8F"/>
    <w:rsid w:val="007D168D"/>
    <w:rsid w:val="007D23BE"/>
    <w:rsid w:val="007D314E"/>
    <w:rsid w:val="007D4F35"/>
    <w:rsid w:val="007D57EC"/>
    <w:rsid w:val="007D7475"/>
    <w:rsid w:val="007E06BC"/>
    <w:rsid w:val="007E0BB7"/>
    <w:rsid w:val="007E205D"/>
    <w:rsid w:val="007E36F0"/>
    <w:rsid w:val="007E4010"/>
    <w:rsid w:val="007E4EEB"/>
    <w:rsid w:val="007E5394"/>
    <w:rsid w:val="007E5CDD"/>
    <w:rsid w:val="007E6D7E"/>
    <w:rsid w:val="007E7832"/>
    <w:rsid w:val="007E7BC2"/>
    <w:rsid w:val="007F0235"/>
    <w:rsid w:val="007F0348"/>
    <w:rsid w:val="007F0387"/>
    <w:rsid w:val="007F11EC"/>
    <w:rsid w:val="007F1A52"/>
    <w:rsid w:val="007F3395"/>
    <w:rsid w:val="007F4ABD"/>
    <w:rsid w:val="007F6396"/>
    <w:rsid w:val="007F66B4"/>
    <w:rsid w:val="007F68F6"/>
    <w:rsid w:val="007F7A2B"/>
    <w:rsid w:val="007F7DD9"/>
    <w:rsid w:val="00801B9F"/>
    <w:rsid w:val="0080204D"/>
    <w:rsid w:val="00803C7B"/>
    <w:rsid w:val="00805B8F"/>
    <w:rsid w:val="00805B9C"/>
    <w:rsid w:val="00805C05"/>
    <w:rsid w:val="00806230"/>
    <w:rsid w:val="008111CF"/>
    <w:rsid w:val="00811920"/>
    <w:rsid w:val="00812479"/>
    <w:rsid w:val="00815A2D"/>
    <w:rsid w:val="00815FFF"/>
    <w:rsid w:val="008208BC"/>
    <w:rsid w:val="00821153"/>
    <w:rsid w:val="0082190A"/>
    <w:rsid w:val="00822401"/>
    <w:rsid w:val="00825756"/>
    <w:rsid w:val="00825ED5"/>
    <w:rsid w:val="008268B8"/>
    <w:rsid w:val="008276DB"/>
    <w:rsid w:val="008304D6"/>
    <w:rsid w:val="0083052F"/>
    <w:rsid w:val="00830EB9"/>
    <w:rsid w:val="00831B4B"/>
    <w:rsid w:val="008340C3"/>
    <w:rsid w:val="00834EC5"/>
    <w:rsid w:val="008360AE"/>
    <w:rsid w:val="0083657F"/>
    <w:rsid w:val="00836927"/>
    <w:rsid w:val="0083795D"/>
    <w:rsid w:val="00843241"/>
    <w:rsid w:val="0084368B"/>
    <w:rsid w:val="00846FD2"/>
    <w:rsid w:val="008475F0"/>
    <w:rsid w:val="00847630"/>
    <w:rsid w:val="0084790B"/>
    <w:rsid w:val="00847BE7"/>
    <w:rsid w:val="008516E0"/>
    <w:rsid w:val="00851E74"/>
    <w:rsid w:val="008521FA"/>
    <w:rsid w:val="0085230B"/>
    <w:rsid w:val="0085242F"/>
    <w:rsid w:val="00852491"/>
    <w:rsid w:val="00854111"/>
    <w:rsid w:val="008557A7"/>
    <w:rsid w:val="008564E8"/>
    <w:rsid w:val="008571DE"/>
    <w:rsid w:val="0086243B"/>
    <w:rsid w:val="00862A37"/>
    <w:rsid w:val="00864846"/>
    <w:rsid w:val="00864971"/>
    <w:rsid w:val="00865362"/>
    <w:rsid w:val="00865F43"/>
    <w:rsid w:val="00867B6E"/>
    <w:rsid w:val="00867C76"/>
    <w:rsid w:val="008702BE"/>
    <w:rsid w:val="00870928"/>
    <w:rsid w:val="00870B88"/>
    <w:rsid w:val="0087155C"/>
    <w:rsid w:val="00871680"/>
    <w:rsid w:val="00871E62"/>
    <w:rsid w:val="00873283"/>
    <w:rsid w:val="00873AFA"/>
    <w:rsid w:val="00873F36"/>
    <w:rsid w:val="00874ABC"/>
    <w:rsid w:val="00875081"/>
    <w:rsid w:val="00875387"/>
    <w:rsid w:val="00875395"/>
    <w:rsid w:val="008769E5"/>
    <w:rsid w:val="0087719D"/>
    <w:rsid w:val="0087783D"/>
    <w:rsid w:val="00880592"/>
    <w:rsid w:val="00882DB9"/>
    <w:rsid w:val="00882F68"/>
    <w:rsid w:val="00883C2C"/>
    <w:rsid w:val="008848AA"/>
    <w:rsid w:val="00884F61"/>
    <w:rsid w:val="00885A62"/>
    <w:rsid w:val="00886DCB"/>
    <w:rsid w:val="008877D0"/>
    <w:rsid w:val="00890139"/>
    <w:rsid w:val="008904B9"/>
    <w:rsid w:val="0089129E"/>
    <w:rsid w:val="008919A7"/>
    <w:rsid w:val="00891C64"/>
    <w:rsid w:val="008923DC"/>
    <w:rsid w:val="008924C8"/>
    <w:rsid w:val="008937EF"/>
    <w:rsid w:val="0089405C"/>
    <w:rsid w:val="00894A4D"/>
    <w:rsid w:val="00896F0E"/>
    <w:rsid w:val="00897FA2"/>
    <w:rsid w:val="008A22F6"/>
    <w:rsid w:val="008A2376"/>
    <w:rsid w:val="008A2ECD"/>
    <w:rsid w:val="008A34CD"/>
    <w:rsid w:val="008A5AFE"/>
    <w:rsid w:val="008A5CBC"/>
    <w:rsid w:val="008A6E87"/>
    <w:rsid w:val="008A7674"/>
    <w:rsid w:val="008B0AE9"/>
    <w:rsid w:val="008B0B44"/>
    <w:rsid w:val="008B2A92"/>
    <w:rsid w:val="008B3A7B"/>
    <w:rsid w:val="008B3C99"/>
    <w:rsid w:val="008B4176"/>
    <w:rsid w:val="008B4F40"/>
    <w:rsid w:val="008B575A"/>
    <w:rsid w:val="008B6573"/>
    <w:rsid w:val="008B78DD"/>
    <w:rsid w:val="008B7B69"/>
    <w:rsid w:val="008C25AC"/>
    <w:rsid w:val="008C28D7"/>
    <w:rsid w:val="008C3386"/>
    <w:rsid w:val="008C4470"/>
    <w:rsid w:val="008C4BB3"/>
    <w:rsid w:val="008C58CB"/>
    <w:rsid w:val="008C5A0E"/>
    <w:rsid w:val="008C5FFF"/>
    <w:rsid w:val="008C60CE"/>
    <w:rsid w:val="008C6C7D"/>
    <w:rsid w:val="008D08AA"/>
    <w:rsid w:val="008D0FE6"/>
    <w:rsid w:val="008D1312"/>
    <w:rsid w:val="008D1B9E"/>
    <w:rsid w:val="008D21D0"/>
    <w:rsid w:val="008D38EA"/>
    <w:rsid w:val="008D55F2"/>
    <w:rsid w:val="008D5781"/>
    <w:rsid w:val="008D646A"/>
    <w:rsid w:val="008D6EA6"/>
    <w:rsid w:val="008E03AF"/>
    <w:rsid w:val="008E1C36"/>
    <w:rsid w:val="008E62BF"/>
    <w:rsid w:val="008E6A9E"/>
    <w:rsid w:val="008F1AF4"/>
    <w:rsid w:val="008F2DFD"/>
    <w:rsid w:val="008F32A7"/>
    <w:rsid w:val="008F4D24"/>
    <w:rsid w:val="008F7FDC"/>
    <w:rsid w:val="009007F5"/>
    <w:rsid w:val="00900FAD"/>
    <w:rsid w:val="00900FFA"/>
    <w:rsid w:val="009011A3"/>
    <w:rsid w:val="00901782"/>
    <w:rsid w:val="009037E4"/>
    <w:rsid w:val="00903C13"/>
    <w:rsid w:val="009066A3"/>
    <w:rsid w:val="009072A8"/>
    <w:rsid w:val="0091134B"/>
    <w:rsid w:val="0091309A"/>
    <w:rsid w:val="00914DEE"/>
    <w:rsid w:val="0091508A"/>
    <w:rsid w:val="00915F4E"/>
    <w:rsid w:val="009224FD"/>
    <w:rsid w:val="009236AA"/>
    <w:rsid w:val="00924145"/>
    <w:rsid w:val="0092463D"/>
    <w:rsid w:val="00925957"/>
    <w:rsid w:val="00926407"/>
    <w:rsid w:val="00926B95"/>
    <w:rsid w:val="00926F2C"/>
    <w:rsid w:val="00927C01"/>
    <w:rsid w:val="00927D4E"/>
    <w:rsid w:val="009301A1"/>
    <w:rsid w:val="00931905"/>
    <w:rsid w:val="009326E8"/>
    <w:rsid w:val="00933AA6"/>
    <w:rsid w:val="009342EC"/>
    <w:rsid w:val="00935A4F"/>
    <w:rsid w:val="00937C37"/>
    <w:rsid w:val="00937E7E"/>
    <w:rsid w:val="0094187A"/>
    <w:rsid w:val="00941AC5"/>
    <w:rsid w:val="009426E4"/>
    <w:rsid w:val="009434AD"/>
    <w:rsid w:val="00943613"/>
    <w:rsid w:val="00943730"/>
    <w:rsid w:val="00943B3B"/>
    <w:rsid w:val="00944097"/>
    <w:rsid w:val="00944211"/>
    <w:rsid w:val="0094429B"/>
    <w:rsid w:val="00946797"/>
    <w:rsid w:val="00950B8B"/>
    <w:rsid w:val="00951047"/>
    <w:rsid w:val="00951116"/>
    <w:rsid w:val="009513BC"/>
    <w:rsid w:val="00952EFF"/>
    <w:rsid w:val="00955130"/>
    <w:rsid w:val="00956D7F"/>
    <w:rsid w:val="009571FF"/>
    <w:rsid w:val="00960D39"/>
    <w:rsid w:val="00960E50"/>
    <w:rsid w:val="00961D90"/>
    <w:rsid w:val="00961E72"/>
    <w:rsid w:val="009628AA"/>
    <w:rsid w:val="00962CDC"/>
    <w:rsid w:val="009645DF"/>
    <w:rsid w:val="00964E8A"/>
    <w:rsid w:val="00972D84"/>
    <w:rsid w:val="009739E8"/>
    <w:rsid w:val="00974C00"/>
    <w:rsid w:val="00975CA5"/>
    <w:rsid w:val="00976A11"/>
    <w:rsid w:val="00983013"/>
    <w:rsid w:val="00983231"/>
    <w:rsid w:val="00983ACB"/>
    <w:rsid w:val="00983AED"/>
    <w:rsid w:val="0098640A"/>
    <w:rsid w:val="00986590"/>
    <w:rsid w:val="009865E5"/>
    <w:rsid w:val="0099076E"/>
    <w:rsid w:val="0099133D"/>
    <w:rsid w:val="00991582"/>
    <w:rsid w:val="00992C76"/>
    <w:rsid w:val="00992D88"/>
    <w:rsid w:val="0099312B"/>
    <w:rsid w:val="009932A7"/>
    <w:rsid w:val="0099336F"/>
    <w:rsid w:val="00993AAB"/>
    <w:rsid w:val="00996482"/>
    <w:rsid w:val="009965B8"/>
    <w:rsid w:val="009969D6"/>
    <w:rsid w:val="009978ED"/>
    <w:rsid w:val="009A15E4"/>
    <w:rsid w:val="009A25BA"/>
    <w:rsid w:val="009A2EA3"/>
    <w:rsid w:val="009A3DD2"/>
    <w:rsid w:val="009A49A1"/>
    <w:rsid w:val="009A4FDA"/>
    <w:rsid w:val="009A5654"/>
    <w:rsid w:val="009A7065"/>
    <w:rsid w:val="009A73C4"/>
    <w:rsid w:val="009A7C43"/>
    <w:rsid w:val="009B11E4"/>
    <w:rsid w:val="009B488F"/>
    <w:rsid w:val="009B4B40"/>
    <w:rsid w:val="009B4CBD"/>
    <w:rsid w:val="009B4D3B"/>
    <w:rsid w:val="009B5720"/>
    <w:rsid w:val="009B57C4"/>
    <w:rsid w:val="009B7801"/>
    <w:rsid w:val="009B7942"/>
    <w:rsid w:val="009C0E9B"/>
    <w:rsid w:val="009C2BC2"/>
    <w:rsid w:val="009C2F6B"/>
    <w:rsid w:val="009C3401"/>
    <w:rsid w:val="009C5A19"/>
    <w:rsid w:val="009C5C68"/>
    <w:rsid w:val="009C5FE7"/>
    <w:rsid w:val="009C63EE"/>
    <w:rsid w:val="009C6A14"/>
    <w:rsid w:val="009C7B54"/>
    <w:rsid w:val="009D330E"/>
    <w:rsid w:val="009D45FB"/>
    <w:rsid w:val="009D4C10"/>
    <w:rsid w:val="009D537E"/>
    <w:rsid w:val="009D5DB4"/>
    <w:rsid w:val="009D68B0"/>
    <w:rsid w:val="009D6ECC"/>
    <w:rsid w:val="009D7407"/>
    <w:rsid w:val="009D7A27"/>
    <w:rsid w:val="009E0546"/>
    <w:rsid w:val="009E0866"/>
    <w:rsid w:val="009E1CA1"/>
    <w:rsid w:val="009E1CA5"/>
    <w:rsid w:val="009E273C"/>
    <w:rsid w:val="009E29AB"/>
    <w:rsid w:val="009E51FC"/>
    <w:rsid w:val="009E53BF"/>
    <w:rsid w:val="009E599A"/>
    <w:rsid w:val="009E6988"/>
    <w:rsid w:val="009E7210"/>
    <w:rsid w:val="009E792F"/>
    <w:rsid w:val="009E7AA1"/>
    <w:rsid w:val="009E7DFF"/>
    <w:rsid w:val="009F0E7A"/>
    <w:rsid w:val="009F1091"/>
    <w:rsid w:val="009F1350"/>
    <w:rsid w:val="009F15AE"/>
    <w:rsid w:val="009F1BDE"/>
    <w:rsid w:val="009F1FE5"/>
    <w:rsid w:val="009F3792"/>
    <w:rsid w:val="009F5BFD"/>
    <w:rsid w:val="009F6423"/>
    <w:rsid w:val="009F6FAF"/>
    <w:rsid w:val="00A00E0F"/>
    <w:rsid w:val="00A01697"/>
    <w:rsid w:val="00A0401E"/>
    <w:rsid w:val="00A05105"/>
    <w:rsid w:val="00A056AE"/>
    <w:rsid w:val="00A069F7"/>
    <w:rsid w:val="00A07243"/>
    <w:rsid w:val="00A14BFA"/>
    <w:rsid w:val="00A16B27"/>
    <w:rsid w:val="00A175B3"/>
    <w:rsid w:val="00A22241"/>
    <w:rsid w:val="00A239FB"/>
    <w:rsid w:val="00A24A62"/>
    <w:rsid w:val="00A269A5"/>
    <w:rsid w:val="00A301D4"/>
    <w:rsid w:val="00A30B15"/>
    <w:rsid w:val="00A30F60"/>
    <w:rsid w:val="00A3128B"/>
    <w:rsid w:val="00A31C73"/>
    <w:rsid w:val="00A31C9F"/>
    <w:rsid w:val="00A32858"/>
    <w:rsid w:val="00A328A9"/>
    <w:rsid w:val="00A329E7"/>
    <w:rsid w:val="00A34253"/>
    <w:rsid w:val="00A36420"/>
    <w:rsid w:val="00A37371"/>
    <w:rsid w:val="00A40F0C"/>
    <w:rsid w:val="00A40F94"/>
    <w:rsid w:val="00A4144F"/>
    <w:rsid w:val="00A41B20"/>
    <w:rsid w:val="00A428FD"/>
    <w:rsid w:val="00A43B05"/>
    <w:rsid w:val="00A448C3"/>
    <w:rsid w:val="00A45020"/>
    <w:rsid w:val="00A4503F"/>
    <w:rsid w:val="00A45486"/>
    <w:rsid w:val="00A457DF"/>
    <w:rsid w:val="00A46113"/>
    <w:rsid w:val="00A47A12"/>
    <w:rsid w:val="00A5181B"/>
    <w:rsid w:val="00A525ED"/>
    <w:rsid w:val="00A559C8"/>
    <w:rsid w:val="00A5674A"/>
    <w:rsid w:val="00A56CF8"/>
    <w:rsid w:val="00A601BC"/>
    <w:rsid w:val="00A61194"/>
    <w:rsid w:val="00A61AD7"/>
    <w:rsid w:val="00A61B4D"/>
    <w:rsid w:val="00A62BD0"/>
    <w:rsid w:val="00A6338E"/>
    <w:rsid w:val="00A6452C"/>
    <w:rsid w:val="00A64848"/>
    <w:rsid w:val="00A656FA"/>
    <w:rsid w:val="00A66C0B"/>
    <w:rsid w:val="00A70688"/>
    <w:rsid w:val="00A7390A"/>
    <w:rsid w:val="00A74540"/>
    <w:rsid w:val="00A74D7A"/>
    <w:rsid w:val="00A80F95"/>
    <w:rsid w:val="00A81768"/>
    <w:rsid w:val="00A81EE4"/>
    <w:rsid w:val="00A82EB6"/>
    <w:rsid w:val="00A83E61"/>
    <w:rsid w:val="00A84110"/>
    <w:rsid w:val="00A845EA"/>
    <w:rsid w:val="00A84BA1"/>
    <w:rsid w:val="00A84DEB"/>
    <w:rsid w:val="00A85ABC"/>
    <w:rsid w:val="00A862B0"/>
    <w:rsid w:val="00A86B6D"/>
    <w:rsid w:val="00A91795"/>
    <w:rsid w:val="00A91A49"/>
    <w:rsid w:val="00A932EE"/>
    <w:rsid w:val="00A95FA9"/>
    <w:rsid w:val="00A97BF1"/>
    <w:rsid w:val="00AA298A"/>
    <w:rsid w:val="00AA315B"/>
    <w:rsid w:val="00AA3A57"/>
    <w:rsid w:val="00AA476F"/>
    <w:rsid w:val="00AA5B67"/>
    <w:rsid w:val="00AA623D"/>
    <w:rsid w:val="00AA6810"/>
    <w:rsid w:val="00AB1140"/>
    <w:rsid w:val="00AB20D0"/>
    <w:rsid w:val="00AB215E"/>
    <w:rsid w:val="00AB3A01"/>
    <w:rsid w:val="00AB4385"/>
    <w:rsid w:val="00AB46A7"/>
    <w:rsid w:val="00AB4DF3"/>
    <w:rsid w:val="00AB7706"/>
    <w:rsid w:val="00AC1016"/>
    <w:rsid w:val="00AC164A"/>
    <w:rsid w:val="00AC27C5"/>
    <w:rsid w:val="00AC3FB8"/>
    <w:rsid w:val="00AC65D6"/>
    <w:rsid w:val="00AD0B95"/>
    <w:rsid w:val="00AD11A0"/>
    <w:rsid w:val="00AD11D6"/>
    <w:rsid w:val="00AD48D7"/>
    <w:rsid w:val="00AD507A"/>
    <w:rsid w:val="00AD5593"/>
    <w:rsid w:val="00AD6887"/>
    <w:rsid w:val="00AD7071"/>
    <w:rsid w:val="00AD717B"/>
    <w:rsid w:val="00AD776D"/>
    <w:rsid w:val="00AD77DF"/>
    <w:rsid w:val="00AD7C29"/>
    <w:rsid w:val="00AE041E"/>
    <w:rsid w:val="00AE073B"/>
    <w:rsid w:val="00AE0ABA"/>
    <w:rsid w:val="00AE0B2C"/>
    <w:rsid w:val="00AE10F8"/>
    <w:rsid w:val="00AE32EA"/>
    <w:rsid w:val="00AE3CF0"/>
    <w:rsid w:val="00AE4029"/>
    <w:rsid w:val="00AE448A"/>
    <w:rsid w:val="00AE5BC8"/>
    <w:rsid w:val="00AE716B"/>
    <w:rsid w:val="00AF2050"/>
    <w:rsid w:val="00AF6462"/>
    <w:rsid w:val="00B00BB3"/>
    <w:rsid w:val="00B01D9E"/>
    <w:rsid w:val="00B02A30"/>
    <w:rsid w:val="00B03CA8"/>
    <w:rsid w:val="00B04836"/>
    <w:rsid w:val="00B04A45"/>
    <w:rsid w:val="00B04FC0"/>
    <w:rsid w:val="00B0686E"/>
    <w:rsid w:val="00B06B12"/>
    <w:rsid w:val="00B06C2A"/>
    <w:rsid w:val="00B06FBC"/>
    <w:rsid w:val="00B10180"/>
    <w:rsid w:val="00B101A4"/>
    <w:rsid w:val="00B13284"/>
    <w:rsid w:val="00B14DBA"/>
    <w:rsid w:val="00B15393"/>
    <w:rsid w:val="00B15743"/>
    <w:rsid w:val="00B17597"/>
    <w:rsid w:val="00B178C9"/>
    <w:rsid w:val="00B202F2"/>
    <w:rsid w:val="00B20909"/>
    <w:rsid w:val="00B21AFF"/>
    <w:rsid w:val="00B22065"/>
    <w:rsid w:val="00B238DD"/>
    <w:rsid w:val="00B26CA1"/>
    <w:rsid w:val="00B328C6"/>
    <w:rsid w:val="00B32BEA"/>
    <w:rsid w:val="00B33769"/>
    <w:rsid w:val="00B339DA"/>
    <w:rsid w:val="00B33C0A"/>
    <w:rsid w:val="00B34905"/>
    <w:rsid w:val="00B3784C"/>
    <w:rsid w:val="00B37FDA"/>
    <w:rsid w:val="00B402EF"/>
    <w:rsid w:val="00B409F3"/>
    <w:rsid w:val="00B41332"/>
    <w:rsid w:val="00B421BB"/>
    <w:rsid w:val="00B42FFF"/>
    <w:rsid w:val="00B438D1"/>
    <w:rsid w:val="00B43ECC"/>
    <w:rsid w:val="00B442BC"/>
    <w:rsid w:val="00B4435B"/>
    <w:rsid w:val="00B46481"/>
    <w:rsid w:val="00B46C2B"/>
    <w:rsid w:val="00B51A9D"/>
    <w:rsid w:val="00B52FBC"/>
    <w:rsid w:val="00B541AB"/>
    <w:rsid w:val="00B55E19"/>
    <w:rsid w:val="00B6272B"/>
    <w:rsid w:val="00B627E2"/>
    <w:rsid w:val="00B653E6"/>
    <w:rsid w:val="00B65D2C"/>
    <w:rsid w:val="00B6686D"/>
    <w:rsid w:val="00B70143"/>
    <w:rsid w:val="00B70285"/>
    <w:rsid w:val="00B716A5"/>
    <w:rsid w:val="00B7171F"/>
    <w:rsid w:val="00B719D5"/>
    <w:rsid w:val="00B7254D"/>
    <w:rsid w:val="00B73064"/>
    <w:rsid w:val="00B73172"/>
    <w:rsid w:val="00B733CF"/>
    <w:rsid w:val="00B74059"/>
    <w:rsid w:val="00B7794B"/>
    <w:rsid w:val="00B80E7F"/>
    <w:rsid w:val="00B80F06"/>
    <w:rsid w:val="00B81E02"/>
    <w:rsid w:val="00B8230B"/>
    <w:rsid w:val="00B82367"/>
    <w:rsid w:val="00B845D0"/>
    <w:rsid w:val="00B85F89"/>
    <w:rsid w:val="00B86D4D"/>
    <w:rsid w:val="00B87C9B"/>
    <w:rsid w:val="00B901E2"/>
    <w:rsid w:val="00B902F8"/>
    <w:rsid w:val="00B90661"/>
    <w:rsid w:val="00B92915"/>
    <w:rsid w:val="00B936A0"/>
    <w:rsid w:val="00B93E4F"/>
    <w:rsid w:val="00B94758"/>
    <w:rsid w:val="00B94918"/>
    <w:rsid w:val="00B94AF1"/>
    <w:rsid w:val="00B96488"/>
    <w:rsid w:val="00B97EE0"/>
    <w:rsid w:val="00BA058B"/>
    <w:rsid w:val="00BA10AC"/>
    <w:rsid w:val="00BA2A64"/>
    <w:rsid w:val="00BA36A0"/>
    <w:rsid w:val="00BA49AE"/>
    <w:rsid w:val="00BA4B6D"/>
    <w:rsid w:val="00BA5965"/>
    <w:rsid w:val="00BA657A"/>
    <w:rsid w:val="00BB019E"/>
    <w:rsid w:val="00BB1C28"/>
    <w:rsid w:val="00BB26C5"/>
    <w:rsid w:val="00BB2F25"/>
    <w:rsid w:val="00BB3B9F"/>
    <w:rsid w:val="00BB4FC6"/>
    <w:rsid w:val="00BB5DD4"/>
    <w:rsid w:val="00BB6712"/>
    <w:rsid w:val="00BB6A6F"/>
    <w:rsid w:val="00BB6CD1"/>
    <w:rsid w:val="00BC0B42"/>
    <w:rsid w:val="00BC0EF3"/>
    <w:rsid w:val="00BC13E8"/>
    <w:rsid w:val="00BC1844"/>
    <w:rsid w:val="00BC1BD1"/>
    <w:rsid w:val="00BC21EB"/>
    <w:rsid w:val="00BC293C"/>
    <w:rsid w:val="00BC31BD"/>
    <w:rsid w:val="00BC4CA3"/>
    <w:rsid w:val="00BC5F4D"/>
    <w:rsid w:val="00BC6EF5"/>
    <w:rsid w:val="00BC713E"/>
    <w:rsid w:val="00BD2AB8"/>
    <w:rsid w:val="00BD2B7F"/>
    <w:rsid w:val="00BD3701"/>
    <w:rsid w:val="00BD52B8"/>
    <w:rsid w:val="00BD65B5"/>
    <w:rsid w:val="00BD7621"/>
    <w:rsid w:val="00BD7730"/>
    <w:rsid w:val="00BE35DB"/>
    <w:rsid w:val="00BF073F"/>
    <w:rsid w:val="00BF0E96"/>
    <w:rsid w:val="00BF22AD"/>
    <w:rsid w:val="00BF4364"/>
    <w:rsid w:val="00BF4DE6"/>
    <w:rsid w:val="00BF55D1"/>
    <w:rsid w:val="00BF5DAF"/>
    <w:rsid w:val="00BF6305"/>
    <w:rsid w:val="00BF7D1C"/>
    <w:rsid w:val="00C0003E"/>
    <w:rsid w:val="00C011DD"/>
    <w:rsid w:val="00C02951"/>
    <w:rsid w:val="00C03209"/>
    <w:rsid w:val="00C03BEE"/>
    <w:rsid w:val="00C04665"/>
    <w:rsid w:val="00C05075"/>
    <w:rsid w:val="00C06021"/>
    <w:rsid w:val="00C06B13"/>
    <w:rsid w:val="00C0776E"/>
    <w:rsid w:val="00C07C2C"/>
    <w:rsid w:val="00C10321"/>
    <w:rsid w:val="00C10D2B"/>
    <w:rsid w:val="00C10E49"/>
    <w:rsid w:val="00C13B02"/>
    <w:rsid w:val="00C14401"/>
    <w:rsid w:val="00C14B46"/>
    <w:rsid w:val="00C14F6B"/>
    <w:rsid w:val="00C153C3"/>
    <w:rsid w:val="00C17ABB"/>
    <w:rsid w:val="00C205A4"/>
    <w:rsid w:val="00C20E65"/>
    <w:rsid w:val="00C211A2"/>
    <w:rsid w:val="00C231FF"/>
    <w:rsid w:val="00C232AA"/>
    <w:rsid w:val="00C26D7E"/>
    <w:rsid w:val="00C27A82"/>
    <w:rsid w:val="00C27D25"/>
    <w:rsid w:val="00C30D91"/>
    <w:rsid w:val="00C30FE7"/>
    <w:rsid w:val="00C31DDB"/>
    <w:rsid w:val="00C33819"/>
    <w:rsid w:val="00C33BAD"/>
    <w:rsid w:val="00C33CD7"/>
    <w:rsid w:val="00C35878"/>
    <w:rsid w:val="00C36A61"/>
    <w:rsid w:val="00C36F26"/>
    <w:rsid w:val="00C3706B"/>
    <w:rsid w:val="00C376C7"/>
    <w:rsid w:val="00C379AD"/>
    <w:rsid w:val="00C40BAF"/>
    <w:rsid w:val="00C40E79"/>
    <w:rsid w:val="00C41ED0"/>
    <w:rsid w:val="00C42541"/>
    <w:rsid w:val="00C42CDE"/>
    <w:rsid w:val="00C43A94"/>
    <w:rsid w:val="00C44F60"/>
    <w:rsid w:val="00C45D94"/>
    <w:rsid w:val="00C471D7"/>
    <w:rsid w:val="00C5182A"/>
    <w:rsid w:val="00C565EB"/>
    <w:rsid w:val="00C579E8"/>
    <w:rsid w:val="00C6182F"/>
    <w:rsid w:val="00C63EE9"/>
    <w:rsid w:val="00C656FD"/>
    <w:rsid w:val="00C660D5"/>
    <w:rsid w:val="00C70499"/>
    <w:rsid w:val="00C727D1"/>
    <w:rsid w:val="00C73060"/>
    <w:rsid w:val="00C731C4"/>
    <w:rsid w:val="00C73AC0"/>
    <w:rsid w:val="00C74883"/>
    <w:rsid w:val="00C75696"/>
    <w:rsid w:val="00C759B0"/>
    <w:rsid w:val="00C760E0"/>
    <w:rsid w:val="00C76AF4"/>
    <w:rsid w:val="00C77344"/>
    <w:rsid w:val="00C82D73"/>
    <w:rsid w:val="00C832AE"/>
    <w:rsid w:val="00C900F9"/>
    <w:rsid w:val="00C905C0"/>
    <w:rsid w:val="00C90929"/>
    <w:rsid w:val="00C91F94"/>
    <w:rsid w:val="00C924DF"/>
    <w:rsid w:val="00C933CF"/>
    <w:rsid w:val="00C940D1"/>
    <w:rsid w:val="00C94D18"/>
    <w:rsid w:val="00C9539E"/>
    <w:rsid w:val="00C95BD8"/>
    <w:rsid w:val="00C96080"/>
    <w:rsid w:val="00C962DD"/>
    <w:rsid w:val="00C97533"/>
    <w:rsid w:val="00CA16F3"/>
    <w:rsid w:val="00CA1DFE"/>
    <w:rsid w:val="00CA1EE7"/>
    <w:rsid w:val="00CA2D4D"/>
    <w:rsid w:val="00CA33CA"/>
    <w:rsid w:val="00CA37B1"/>
    <w:rsid w:val="00CA3C07"/>
    <w:rsid w:val="00CA4F0C"/>
    <w:rsid w:val="00CA71CD"/>
    <w:rsid w:val="00CB1959"/>
    <w:rsid w:val="00CB222C"/>
    <w:rsid w:val="00CB442D"/>
    <w:rsid w:val="00CB4733"/>
    <w:rsid w:val="00CB5282"/>
    <w:rsid w:val="00CB63FF"/>
    <w:rsid w:val="00CB729C"/>
    <w:rsid w:val="00CC0068"/>
    <w:rsid w:val="00CC0D0A"/>
    <w:rsid w:val="00CC12ED"/>
    <w:rsid w:val="00CC2843"/>
    <w:rsid w:val="00CC3050"/>
    <w:rsid w:val="00CC595A"/>
    <w:rsid w:val="00CC5E6B"/>
    <w:rsid w:val="00CC69AC"/>
    <w:rsid w:val="00CC741B"/>
    <w:rsid w:val="00CD0E4B"/>
    <w:rsid w:val="00CD15F7"/>
    <w:rsid w:val="00CD2EB8"/>
    <w:rsid w:val="00CD4272"/>
    <w:rsid w:val="00CD4391"/>
    <w:rsid w:val="00CD5653"/>
    <w:rsid w:val="00CD5B9F"/>
    <w:rsid w:val="00CD5E75"/>
    <w:rsid w:val="00CD6EA7"/>
    <w:rsid w:val="00CE12B0"/>
    <w:rsid w:val="00CE2C82"/>
    <w:rsid w:val="00CE3E11"/>
    <w:rsid w:val="00CE3FDA"/>
    <w:rsid w:val="00CE4A5A"/>
    <w:rsid w:val="00CE4C89"/>
    <w:rsid w:val="00CE54B8"/>
    <w:rsid w:val="00CE6227"/>
    <w:rsid w:val="00CE6FD2"/>
    <w:rsid w:val="00CF07BA"/>
    <w:rsid w:val="00CF1139"/>
    <w:rsid w:val="00CF3590"/>
    <w:rsid w:val="00CF3AD8"/>
    <w:rsid w:val="00CF4D8A"/>
    <w:rsid w:val="00CF50AE"/>
    <w:rsid w:val="00CF5F03"/>
    <w:rsid w:val="00CF77F7"/>
    <w:rsid w:val="00D011D7"/>
    <w:rsid w:val="00D01505"/>
    <w:rsid w:val="00D01D2C"/>
    <w:rsid w:val="00D0296C"/>
    <w:rsid w:val="00D02CD3"/>
    <w:rsid w:val="00D03EEB"/>
    <w:rsid w:val="00D04A4F"/>
    <w:rsid w:val="00D05EEC"/>
    <w:rsid w:val="00D06156"/>
    <w:rsid w:val="00D106D1"/>
    <w:rsid w:val="00D109BC"/>
    <w:rsid w:val="00D109FA"/>
    <w:rsid w:val="00D16192"/>
    <w:rsid w:val="00D210A8"/>
    <w:rsid w:val="00D220EE"/>
    <w:rsid w:val="00D26C59"/>
    <w:rsid w:val="00D304C9"/>
    <w:rsid w:val="00D31A7F"/>
    <w:rsid w:val="00D32222"/>
    <w:rsid w:val="00D32D6F"/>
    <w:rsid w:val="00D337D6"/>
    <w:rsid w:val="00D34D7C"/>
    <w:rsid w:val="00D36260"/>
    <w:rsid w:val="00D370C5"/>
    <w:rsid w:val="00D37B04"/>
    <w:rsid w:val="00D405C5"/>
    <w:rsid w:val="00D415FD"/>
    <w:rsid w:val="00D41816"/>
    <w:rsid w:val="00D4243C"/>
    <w:rsid w:val="00D426EB"/>
    <w:rsid w:val="00D42FB0"/>
    <w:rsid w:val="00D4457B"/>
    <w:rsid w:val="00D50C5F"/>
    <w:rsid w:val="00D53304"/>
    <w:rsid w:val="00D53C52"/>
    <w:rsid w:val="00D540C6"/>
    <w:rsid w:val="00D56AFF"/>
    <w:rsid w:val="00D612C3"/>
    <w:rsid w:val="00D623DF"/>
    <w:rsid w:val="00D647A4"/>
    <w:rsid w:val="00D64BD1"/>
    <w:rsid w:val="00D64E07"/>
    <w:rsid w:val="00D66FE9"/>
    <w:rsid w:val="00D679E6"/>
    <w:rsid w:val="00D70419"/>
    <w:rsid w:val="00D7148C"/>
    <w:rsid w:val="00D71825"/>
    <w:rsid w:val="00D7190A"/>
    <w:rsid w:val="00D725D7"/>
    <w:rsid w:val="00D73DA7"/>
    <w:rsid w:val="00D7406E"/>
    <w:rsid w:val="00D74114"/>
    <w:rsid w:val="00D743F4"/>
    <w:rsid w:val="00D7469C"/>
    <w:rsid w:val="00D758D8"/>
    <w:rsid w:val="00D764DB"/>
    <w:rsid w:val="00D76DAB"/>
    <w:rsid w:val="00D7706B"/>
    <w:rsid w:val="00D80B09"/>
    <w:rsid w:val="00D8163B"/>
    <w:rsid w:val="00D81A9F"/>
    <w:rsid w:val="00D82F34"/>
    <w:rsid w:val="00D83621"/>
    <w:rsid w:val="00D83CC1"/>
    <w:rsid w:val="00D84143"/>
    <w:rsid w:val="00D843F1"/>
    <w:rsid w:val="00D8475E"/>
    <w:rsid w:val="00D84EB0"/>
    <w:rsid w:val="00D8647E"/>
    <w:rsid w:val="00D867B7"/>
    <w:rsid w:val="00D86C52"/>
    <w:rsid w:val="00D87EEC"/>
    <w:rsid w:val="00D9089F"/>
    <w:rsid w:val="00D92254"/>
    <w:rsid w:val="00D925C7"/>
    <w:rsid w:val="00D9301C"/>
    <w:rsid w:val="00D9304A"/>
    <w:rsid w:val="00D930A1"/>
    <w:rsid w:val="00D93600"/>
    <w:rsid w:val="00D94152"/>
    <w:rsid w:val="00D94869"/>
    <w:rsid w:val="00D9595E"/>
    <w:rsid w:val="00D95BFB"/>
    <w:rsid w:val="00D96C78"/>
    <w:rsid w:val="00DA0BE8"/>
    <w:rsid w:val="00DA0F65"/>
    <w:rsid w:val="00DA0F8B"/>
    <w:rsid w:val="00DA11DA"/>
    <w:rsid w:val="00DA1C1E"/>
    <w:rsid w:val="00DA2010"/>
    <w:rsid w:val="00DA3462"/>
    <w:rsid w:val="00DA389F"/>
    <w:rsid w:val="00DA4E4A"/>
    <w:rsid w:val="00DA505C"/>
    <w:rsid w:val="00DA71E1"/>
    <w:rsid w:val="00DB087D"/>
    <w:rsid w:val="00DB1AF8"/>
    <w:rsid w:val="00DB26D9"/>
    <w:rsid w:val="00DB3E86"/>
    <w:rsid w:val="00DB4646"/>
    <w:rsid w:val="00DB502C"/>
    <w:rsid w:val="00DB65AA"/>
    <w:rsid w:val="00DB765F"/>
    <w:rsid w:val="00DC01A7"/>
    <w:rsid w:val="00DC187F"/>
    <w:rsid w:val="00DC1E0E"/>
    <w:rsid w:val="00DC2169"/>
    <w:rsid w:val="00DC2BF7"/>
    <w:rsid w:val="00DC33E2"/>
    <w:rsid w:val="00DC3904"/>
    <w:rsid w:val="00DC4B63"/>
    <w:rsid w:val="00DC4DCA"/>
    <w:rsid w:val="00DC5547"/>
    <w:rsid w:val="00DC6A14"/>
    <w:rsid w:val="00DC74E7"/>
    <w:rsid w:val="00DD02DC"/>
    <w:rsid w:val="00DD04E4"/>
    <w:rsid w:val="00DD3780"/>
    <w:rsid w:val="00DD378A"/>
    <w:rsid w:val="00DD4F32"/>
    <w:rsid w:val="00DD5E10"/>
    <w:rsid w:val="00DD717B"/>
    <w:rsid w:val="00DD7528"/>
    <w:rsid w:val="00DE06E9"/>
    <w:rsid w:val="00DE084C"/>
    <w:rsid w:val="00DE1069"/>
    <w:rsid w:val="00DE1315"/>
    <w:rsid w:val="00DE137F"/>
    <w:rsid w:val="00DE3A6E"/>
    <w:rsid w:val="00DE5E22"/>
    <w:rsid w:val="00DE6139"/>
    <w:rsid w:val="00DE6196"/>
    <w:rsid w:val="00DE6511"/>
    <w:rsid w:val="00DE6D6E"/>
    <w:rsid w:val="00DF187C"/>
    <w:rsid w:val="00DF2791"/>
    <w:rsid w:val="00DF28D1"/>
    <w:rsid w:val="00DF2D3E"/>
    <w:rsid w:val="00DF31C0"/>
    <w:rsid w:val="00DF454B"/>
    <w:rsid w:val="00DF45F2"/>
    <w:rsid w:val="00DF551C"/>
    <w:rsid w:val="00DF5808"/>
    <w:rsid w:val="00DF7D55"/>
    <w:rsid w:val="00E017B1"/>
    <w:rsid w:val="00E027E3"/>
    <w:rsid w:val="00E02C78"/>
    <w:rsid w:val="00E030B0"/>
    <w:rsid w:val="00E0337C"/>
    <w:rsid w:val="00E037CA"/>
    <w:rsid w:val="00E04E08"/>
    <w:rsid w:val="00E05980"/>
    <w:rsid w:val="00E0614E"/>
    <w:rsid w:val="00E112FB"/>
    <w:rsid w:val="00E1258A"/>
    <w:rsid w:val="00E12A58"/>
    <w:rsid w:val="00E134F0"/>
    <w:rsid w:val="00E14F51"/>
    <w:rsid w:val="00E15043"/>
    <w:rsid w:val="00E15B8D"/>
    <w:rsid w:val="00E15CFC"/>
    <w:rsid w:val="00E177FE"/>
    <w:rsid w:val="00E17E3D"/>
    <w:rsid w:val="00E2208F"/>
    <w:rsid w:val="00E2367E"/>
    <w:rsid w:val="00E25461"/>
    <w:rsid w:val="00E258FA"/>
    <w:rsid w:val="00E26BB6"/>
    <w:rsid w:val="00E27164"/>
    <w:rsid w:val="00E27304"/>
    <w:rsid w:val="00E27DE2"/>
    <w:rsid w:val="00E3188B"/>
    <w:rsid w:val="00E33BAF"/>
    <w:rsid w:val="00E35655"/>
    <w:rsid w:val="00E357B7"/>
    <w:rsid w:val="00E358D6"/>
    <w:rsid w:val="00E35FBA"/>
    <w:rsid w:val="00E36080"/>
    <w:rsid w:val="00E36084"/>
    <w:rsid w:val="00E36A6A"/>
    <w:rsid w:val="00E37F0C"/>
    <w:rsid w:val="00E40052"/>
    <w:rsid w:val="00E40298"/>
    <w:rsid w:val="00E405ED"/>
    <w:rsid w:val="00E411D7"/>
    <w:rsid w:val="00E45991"/>
    <w:rsid w:val="00E45B4F"/>
    <w:rsid w:val="00E4674B"/>
    <w:rsid w:val="00E46908"/>
    <w:rsid w:val="00E5079D"/>
    <w:rsid w:val="00E510C3"/>
    <w:rsid w:val="00E5120C"/>
    <w:rsid w:val="00E51FA0"/>
    <w:rsid w:val="00E532A3"/>
    <w:rsid w:val="00E53800"/>
    <w:rsid w:val="00E53903"/>
    <w:rsid w:val="00E54013"/>
    <w:rsid w:val="00E56C95"/>
    <w:rsid w:val="00E56D1A"/>
    <w:rsid w:val="00E570F8"/>
    <w:rsid w:val="00E57ABC"/>
    <w:rsid w:val="00E60655"/>
    <w:rsid w:val="00E6081F"/>
    <w:rsid w:val="00E630DA"/>
    <w:rsid w:val="00E65411"/>
    <w:rsid w:val="00E6541F"/>
    <w:rsid w:val="00E65C2C"/>
    <w:rsid w:val="00E65FC0"/>
    <w:rsid w:val="00E663DA"/>
    <w:rsid w:val="00E66A2A"/>
    <w:rsid w:val="00E67139"/>
    <w:rsid w:val="00E67E98"/>
    <w:rsid w:val="00E7054E"/>
    <w:rsid w:val="00E7321B"/>
    <w:rsid w:val="00E739E6"/>
    <w:rsid w:val="00E73DD7"/>
    <w:rsid w:val="00E74443"/>
    <w:rsid w:val="00E74C17"/>
    <w:rsid w:val="00E777BA"/>
    <w:rsid w:val="00E77ECC"/>
    <w:rsid w:val="00E81681"/>
    <w:rsid w:val="00E82586"/>
    <w:rsid w:val="00E8296D"/>
    <w:rsid w:val="00E832C7"/>
    <w:rsid w:val="00E833DF"/>
    <w:rsid w:val="00E84098"/>
    <w:rsid w:val="00E8457B"/>
    <w:rsid w:val="00E85587"/>
    <w:rsid w:val="00E8604E"/>
    <w:rsid w:val="00E86ADA"/>
    <w:rsid w:val="00E86EF9"/>
    <w:rsid w:val="00E9007C"/>
    <w:rsid w:val="00E90547"/>
    <w:rsid w:val="00E90A83"/>
    <w:rsid w:val="00E91C24"/>
    <w:rsid w:val="00E92C09"/>
    <w:rsid w:val="00E939E9"/>
    <w:rsid w:val="00E93E88"/>
    <w:rsid w:val="00E94620"/>
    <w:rsid w:val="00E946A8"/>
    <w:rsid w:val="00E94B74"/>
    <w:rsid w:val="00E958FC"/>
    <w:rsid w:val="00E976C6"/>
    <w:rsid w:val="00EA009C"/>
    <w:rsid w:val="00EA04B2"/>
    <w:rsid w:val="00EA05C7"/>
    <w:rsid w:val="00EA1E62"/>
    <w:rsid w:val="00EA20F3"/>
    <w:rsid w:val="00EA308A"/>
    <w:rsid w:val="00EA3D72"/>
    <w:rsid w:val="00EA4667"/>
    <w:rsid w:val="00EA4C6E"/>
    <w:rsid w:val="00EA543E"/>
    <w:rsid w:val="00EA6E20"/>
    <w:rsid w:val="00EA6E97"/>
    <w:rsid w:val="00EA6FBA"/>
    <w:rsid w:val="00EA70E4"/>
    <w:rsid w:val="00EA712E"/>
    <w:rsid w:val="00EB0E39"/>
    <w:rsid w:val="00EB22DB"/>
    <w:rsid w:val="00EB280A"/>
    <w:rsid w:val="00EB4EE9"/>
    <w:rsid w:val="00EB5AA1"/>
    <w:rsid w:val="00EB5B94"/>
    <w:rsid w:val="00EB605F"/>
    <w:rsid w:val="00EB644F"/>
    <w:rsid w:val="00EB6805"/>
    <w:rsid w:val="00EB68A4"/>
    <w:rsid w:val="00EB7C4A"/>
    <w:rsid w:val="00EC1ACA"/>
    <w:rsid w:val="00EC2A54"/>
    <w:rsid w:val="00EC3828"/>
    <w:rsid w:val="00EC3E53"/>
    <w:rsid w:val="00EC5114"/>
    <w:rsid w:val="00EC5208"/>
    <w:rsid w:val="00EC5516"/>
    <w:rsid w:val="00EC7D86"/>
    <w:rsid w:val="00ED14FB"/>
    <w:rsid w:val="00ED1CAC"/>
    <w:rsid w:val="00ED2831"/>
    <w:rsid w:val="00ED43D1"/>
    <w:rsid w:val="00ED46B8"/>
    <w:rsid w:val="00ED616C"/>
    <w:rsid w:val="00ED734A"/>
    <w:rsid w:val="00ED7A83"/>
    <w:rsid w:val="00EE09A8"/>
    <w:rsid w:val="00EE2066"/>
    <w:rsid w:val="00EE25F4"/>
    <w:rsid w:val="00EE2BCF"/>
    <w:rsid w:val="00EE2F69"/>
    <w:rsid w:val="00EE3757"/>
    <w:rsid w:val="00EE39EA"/>
    <w:rsid w:val="00EE4544"/>
    <w:rsid w:val="00EE4655"/>
    <w:rsid w:val="00EE4A9F"/>
    <w:rsid w:val="00EE4EE1"/>
    <w:rsid w:val="00EE5EA4"/>
    <w:rsid w:val="00EE621B"/>
    <w:rsid w:val="00EE7090"/>
    <w:rsid w:val="00EE7859"/>
    <w:rsid w:val="00EF1272"/>
    <w:rsid w:val="00EF1ADD"/>
    <w:rsid w:val="00EF232B"/>
    <w:rsid w:val="00EF3570"/>
    <w:rsid w:val="00EF4574"/>
    <w:rsid w:val="00EF463B"/>
    <w:rsid w:val="00EF4975"/>
    <w:rsid w:val="00EF529C"/>
    <w:rsid w:val="00EF5F65"/>
    <w:rsid w:val="00EF5FB3"/>
    <w:rsid w:val="00EF6B9C"/>
    <w:rsid w:val="00EF7658"/>
    <w:rsid w:val="00EF7D82"/>
    <w:rsid w:val="00EF7FFA"/>
    <w:rsid w:val="00F0094C"/>
    <w:rsid w:val="00F0169E"/>
    <w:rsid w:val="00F02740"/>
    <w:rsid w:val="00F02E47"/>
    <w:rsid w:val="00F033E8"/>
    <w:rsid w:val="00F04468"/>
    <w:rsid w:val="00F04851"/>
    <w:rsid w:val="00F04D3E"/>
    <w:rsid w:val="00F12988"/>
    <w:rsid w:val="00F132D9"/>
    <w:rsid w:val="00F1380C"/>
    <w:rsid w:val="00F13F54"/>
    <w:rsid w:val="00F15DE5"/>
    <w:rsid w:val="00F16004"/>
    <w:rsid w:val="00F17E0B"/>
    <w:rsid w:val="00F17E2A"/>
    <w:rsid w:val="00F209AB"/>
    <w:rsid w:val="00F217DF"/>
    <w:rsid w:val="00F21C80"/>
    <w:rsid w:val="00F23B51"/>
    <w:rsid w:val="00F23B86"/>
    <w:rsid w:val="00F244B3"/>
    <w:rsid w:val="00F25878"/>
    <w:rsid w:val="00F25A93"/>
    <w:rsid w:val="00F25D11"/>
    <w:rsid w:val="00F260A0"/>
    <w:rsid w:val="00F264BF"/>
    <w:rsid w:val="00F2684E"/>
    <w:rsid w:val="00F26B72"/>
    <w:rsid w:val="00F26DED"/>
    <w:rsid w:val="00F2747B"/>
    <w:rsid w:val="00F27EAF"/>
    <w:rsid w:val="00F3099F"/>
    <w:rsid w:val="00F30EBA"/>
    <w:rsid w:val="00F31FC2"/>
    <w:rsid w:val="00F32C09"/>
    <w:rsid w:val="00F33A3A"/>
    <w:rsid w:val="00F3629C"/>
    <w:rsid w:val="00F367F8"/>
    <w:rsid w:val="00F421F3"/>
    <w:rsid w:val="00F45273"/>
    <w:rsid w:val="00F47C65"/>
    <w:rsid w:val="00F51AEF"/>
    <w:rsid w:val="00F52EDD"/>
    <w:rsid w:val="00F538A4"/>
    <w:rsid w:val="00F5404C"/>
    <w:rsid w:val="00F5497F"/>
    <w:rsid w:val="00F5523A"/>
    <w:rsid w:val="00F55FCE"/>
    <w:rsid w:val="00F57B60"/>
    <w:rsid w:val="00F602AA"/>
    <w:rsid w:val="00F61EEC"/>
    <w:rsid w:val="00F63720"/>
    <w:rsid w:val="00F63A93"/>
    <w:rsid w:val="00F63EB3"/>
    <w:rsid w:val="00F640C0"/>
    <w:rsid w:val="00F6422C"/>
    <w:rsid w:val="00F645EF"/>
    <w:rsid w:val="00F653DB"/>
    <w:rsid w:val="00F65753"/>
    <w:rsid w:val="00F67153"/>
    <w:rsid w:val="00F712CA"/>
    <w:rsid w:val="00F729EF"/>
    <w:rsid w:val="00F7374D"/>
    <w:rsid w:val="00F744A2"/>
    <w:rsid w:val="00F75E6D"/>
    <w:rsid w:val="00F76902"/>
    <w:rsid w:val="00F77CAE"/>
    <w:rsid w:val="00F8032F"/>
    <w:rsid w:val="00F80E0A"/>
    <w:rsid w:val="00F82271"/>
    <w:rsid w:val="00F83428"/>
    <w:rsid w:val="00F835DC"/>
    <w:rsid w:val="00F901B1"/>
    <w:rsid w:val="00F90BCE"/>
    <w:rsid w:val="00F9414E"/>
    <w:rsid w:val="00F95CAC"/>
    <w:rsid w:val="00F96BB9"/>
    <w:rsid w:val="00F97039"/>
    <w:rsid w:val="00F9740D"/>
    <w:rsid w:val="00F97D24"/>
    <w:rsid w:val="00FA0CCA"/>
    <w:rsid w:val="00FA2627"/>
    <w:rsid w:val="00FA2D02"/>
    <w:rsid w:val="00FA2FAE"/>
    <w:rsid w:val="00FA3030"/>
    <w:rsid w:val="00FA30D8"/>
    <w:rsid w:val="00FA3945"/>
    <w:rsid w:val="00FA659C"/>
    <w:rsid w:val="00FB098A"/>
    <w:rsid w:val="00FB0AAF"/>
    <w:rsid w:val="00FB0AF1"/>
    <w:rsid w:val="00FB1C44"/>
    <w:rsid w:val="00FB2437"/>
    <w:rsid w:val="00FB3023"/>
    <w:rsid w:val="00FB4D3C"/>
    <w:rsid w:val="00FB5829"/>
    <w:rsid w:val="00FB67DE"/>
    <w:rsid w:val="00FB717B"/>
    <w:rsid w:val="00FB7C3F"/>
    <w:rsid w:val="00FC0BA7"/>
    <w:rsid w:val="00FC322F"/>
    <w:rsid w:val="00FC3C14"/>
    <w:rsid w:val="00FC649F"/>
    <w:rsid w:val="00FC65AB"/>
    <w:rsid w:val="00FC6C3D"/>
    <w:rsid w:val="00FC758A"/>
    <w:rsid w:val="00FC764E"/>
    <w:rsid w:val="00FD096C"/>
    <w:rsid w:val="00FD0B78"/>
    <w:rsid w:val="00FD0D85"/>
    <w:rsid w:val="00FD18A6"/>
    <w:rsid w:val="00FD2DB8"/>
    <w:rsid w:val="00FD3E24"/>
    <w:rsid w:val="00FD505B"/>
    <w:rsid w:val="00FD50BD"/>
    <w:rsid w:val="00FD699D"/>
    <w:rsid w:val="00FD7787"/>
    <w:rsid w:val="00FD78E0"/>
    <w:rsid w:val="00FD7964"/>
    <w:rsid w:val="00FE0A3E"/>
    <w:rsid w:val="00FE1299"/>
    <w:rsid w:val="00FE1A9A"/>
    <w:rsid w:val="00FE1DBD"/>
    <w:rsid w:val="00FE5089"/>
    <w:rsid w:val="00FE6980"/>
    <w:rsid w:val="00FE69C5"/>
    <w:rsid w:val="00FE6D51"/>
    <w:rsid w:val="00FE6F2A"/>
    <w:rsid w:val="00FE76F2"/>
    <w:rsid w:val="00FF0395"/>
    <w:rsid w:val="00FF2739"/>
    <w:rsid w:val="00FF2CD5"/>
    <w:rsid w:val="00FF3A60"/>
    <w:rsid w:val="00FF429F"/>
    <w:rsid w:val="00FF4DA2"/>
    <w:rsid w:val="00FF5FDB"/>
    <w:rsid w:val="00FF6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5E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10"/>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single space,fn,FOOTNOTES,Footnote Text Char2,Footnote Text Char1 Char,Footnote Text Char Char Char1,Footnote Text Char1 Char Char Char1,Footnote Text Char1 Char1 Char,Footnote Text Char Char Char Char,ft,Footnote Text Char Char Char"/>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single space Char,fn Char,FOOTNOTES Char,Footnote Text Char2 Char,Footnote Text Char1 Char Char,Footnote Text Char Char Char1 Char,Footnote Text Char1 Char Char Char1 Char,Footnote Text Char1 Char1 Char Char,ft Char"/>
    <w:basedOn w:val="DefaultParagraphFont"/>
    <w:link w:val="FootnoteText"/>
    <w:uiPriority w:val="99"/>
    <w:rsid w:val="008C5A0E"/>
    <w:rPr>
      <w:color w:val="495965" w:themeColor="text2"/>
      <w:sz w:val="12"/>
      <w:szCs w:val="20"/>
    </w:rPr>
  </w:style>
  <w:style w:type="character" w:styleId="FootnoteReference">
    <w:name w:val="footnote reference"/>
    <w:aliases w:val="Normal + Font:9 Point,Superscript 3 Point Times,Footnote Reference Number,ftref,16 Point,Superscript 6 Point,Footnote Reference1,BVI fnr, BVI fnr,referencia nota al pie,footnote ref,fr,(NECG) Footnote Reference"/>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basedOn w:val="Normal"/>
    <w:uiPriority w:val="34"/>
    <w:qFormat/>
    <w:locked/>
    <w:rsid w:val="00A32858"/>
    <w:pPr>
      <w:ind w:left="720"/>
      <w:contextualSpacing/>
    </w:pPr>
  </w:style>
  <w:style w:type="paragraph" w:styleId="ListBullet">
    <w:name w:val="List Bullet"/>
    <w:basedOn w:val="BodyText"/>
    <w:qFormat/>
    <w:locked/>
    <w:rsid w:val="00A32858"/>
    <w:pPr>
      <w:numPr>
        <w:numId w:val="12"/>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0F4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6F116F"/>
    <w:rPr>
      <w:rFonts w:ascii="Calibri" w:eastAsiaTheme="majorEastAsia" w:hAnsi="Calibri" w:cstheme="majorBidi"/>
      <w:b/>
      <w:caps w:val="0"/>
      <w:color w:val="7C8C88"/>
      <w:sz w:val="26"/>
      <w:szCs w:val="26"/>
      <w:lang w:val="en-GB"/>
    </w:rPr>
  </w:style>
  <w:style w:type="paragraph" w:customStyle="1" w:styleId="Tablecolumnheading">
    <w:name w:val="Table column heading"/>
    <w:basedOn w:val="Normal"/>
    <w:qFormat/>
    <w:rsid w:val="006F116F"/>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6F116F"/>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sid w:val="006F116F"/>
    <w:rPr>
      <w:rFonts w:ascii="Calibri" w:hAnsi="Calibri"/>
      <w:color w:val="000000" w:themeColor="text1"/>
      <w:lang w:val="en-GB" w:eastAsia="en-AU"/>
    </w:rPr>
  </w:style>
  <w:style w:type="paragraph" w:styleId="Revision">
    <w:name w:val="Revision"/>
    <w:hidden/>
    <w:uiPriority w:val="99"/>
    <w:semiHidden/>
    <w:rsid w:val="0083795D"/>
    <w:pPr>
      <w:spacing w:after="0" w:line="240" w:lineRule="auto"/>
    </w:pPr>
    <w:rPr>
      <w:color w:val="495965" w:themeColor="text2"/>
      <w:lang w:val="en-GB"/>
    </w:rPr>
  </w:style>
  <w:style w:type="table" w:styleId="GridTable1Light">
    <w:name w:val="Grid Table 1 Light"/>
    <w:basedOn w:val="TableNormal"/>
    <w:uiPriority w:val="46"/>
    <w:locked/>
    <w:rsid w:val="001158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ffeyBullet1">
    <w:name w:val="Coffey Bullet 1"/>
    <w:basedOn w:val="Normal"/>
    <w:qFormat/>
    <w:rsid w:val="00CC12ED"/>
    <w:pPr>
      <w:numPr>
        <w:numId w:val="22"/>
      </w:numPr>
      <w:suppressAutoHyphens w:val="0"/>
      <w:spacing w:before="77" w:after="113" w:line="250" w:lineRule="exact"/>
    </w:pPr>
    <w:rPr>
      <w:rFonts w:ascii="Arial" w:eastAsia="Times New Roman" w:hAnsi="Arial" w:cs="Times New Roman"/>
      <w:color w:val="auto"/>
      <w:sz w:val="20"/>
      <w:szCs w:val="24"/>
    </w:rPr>
  </w:style>
  <w:style w:type="paragraph" w:customStyle="1" w:styleId="CoffeyHeading1Blue">
    <w:name w:val="Coffey Heading 1 Blue"/>
    <w:basedOn w:val="Normal"/>
    <w:next w:val="Normal"/>
    <w:qFormat/>
    <w:rsid w:val="00CC12ED"/>
    <w:pPr>
      <w:keepNext/>
      <w:numPr>
        <w:numId w:val="21"/>
      </w:numPr>
      <w:suppressAutoHyphens w:val="0"/>
      <w:spacing w:before="77" w:after="313" w:line="250" w:lineRule="atLeast"/>
      <w:ind w:left="709" w:hanging="709"/>
    </w:pPr>
    <w:rPr>
      <w:rFonts w:ascii="Arial" w:eastAsia="Times New Roman" w:hAnsi="Arial" w:cs="Times New Roman"/>
      <w:color w:val="ACD08C" w:themeColor="accent2"/>
      <w:sz w:val="48"/>
      <w:szCs w:val="24"/>
    </w:rPr>
  </w:style>
  <w:style w:type="paragraph" w:customStyle="1" w:styleId="CoffeyHeading2Black">
    <w:name w:val="Coffey Heading 2 Black"/>
    <w:basedOn w:val="CoffeyHeading1Blue"/>
    <w:next w:val="Normal"/>
    <w:rsid w:val="00CC12ED"/>
    <w:pPr>
      <w:numPr>
        <w:ilvl w:val="1"/>
      </w:numPr>
      <w:spacing w:before="277" w:after="113"/>
    </w:pPr>
    <w:rPr>
      <w:sz w:val="28"/>
      <w:szCs w:val="28"/>
    </w:rPr>
  </w:style>
  <w:style w:type="paragraph" w:customStyle="1" w:styleId="CoffeyHeading3Black">
    <w:name w:val="Coffey Heading 3 Black"/>
    <w:basedOn w:val="CoffeyHeading2Black"/>
    <w:next w:val="Normal"/>
    <w:rsid w:val="00CC12ED"/>
    <w:pPr>
      <w:numPr>
        <w:ilvl w:val="2"/>
      </w:numPr>
      <w:spacing w:before="77"/>
    </w:pPr>
    <w:rPr>
      <w:b/>
      <w:sz w:val="20"/>
      <w:szCs w:val="20"/>
    </w:rPr>
  </w:style>
  <w:style w:type="paragraph" w:styleId="EndnoteText">
    <w:name w:val="endnote text"/>
    <w:basedOn w:val="Normal"/>
    <w:link w:val="EndnoteTextChar"/>
    <w:uiPriority w:val="99"/>
    <w:semiHidden/>
    <w:unhideWhenUsed/>
    <w:rsid w:val="00D8647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8647E"/>
    <w:rPr>
      <w:color w:val="495965" w:themeColor="text2"/>
      <w:sz w:val="20"/>
      <w:szCs w:val="20"/>
      <w:lang w:val="en-GB"/>
    </w:rPr>
  </w:style>
  <w:style w:type="character" w:styleId="EndnoteReference">
    <w:name w:val="endnote reference"/>
    <w:basedOn w:val="DefaultParagraphFont"/>
    <w:uiPriority w:val="99"/>
    <w:semiHidden/>
    <w:unhideWhenUsed/>
    <w:rsid w:val="00D8647E"/>
    <w:rPr>
      <w:vertAlign w:val="superscript"/>
    </w:rPr>
  </w:style>
  <w:style w:type="character" w:customStyle="1" w:styleId="UnresolvedMention1">
    <w:name w:val="Unresolved Mention1"/>
    <w:basedOn w:val="DefaultParagraphFont"/>
    <w:uiPriority w:val="99"/>
    <w:semiHidden/>
    <w:unhideWhenUsed/>
    <w:rsid w:val="006B447C"/>
    <w:rPr>
      <w:color w:val="605E5C"/>
      <w:shd w:val="clear" w:color="auto" w:fill="E1DFDD"/>
    </w:rPr>
  </w:style>
  <w:style w:type="table" w:customStyle="1" w:styleId="TableGrid3">
    <w:name w:val="Table Grid3"/>
    <w:basedOn w:val="TableNormal"/>
    <w:next w:val="TableGrid"/>
    <w:uiPriority w:val="39"/>
    <w:rsid w:val="00652F3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F7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60023">
      <w:bodyDiv w:val="1"/>
      <w:marLeft w:val="0"/>
      <w:marRight w:val="0"/>
      <w:marTop w:val="0"/>
      <w:marBottom w:val="0"/>
      <w:divBdr>
        <w:top w:val="none" w:sz="0" w:space="0" w:color="auto"/>
        <w:left w:val="none" w:sz="0" w:space="0" w:color="auto"/>
        <w:bottom w:val="none" w:sz="0" w:space="0" w:color="auto"/>
        <w:right w:val="none" w:sz="0" w:space="0" w:color="auto"/>
      </w:divBdr>
    </w:div>
    <w:div w:id="363873675">
      <w:bodyDiv w:val="1"/>
      <w:marLeft w:val="0"/>
      <w:marRight w:val="0"/>
      <w:marTop w:val="0"/>
      <w:marBottom w:val="0"/>
      <w:divBdr>
        <w:top w:val="none" w:sz="0" w:space="0" w:color="auto"/>
        <w:left w:val="none" w:sz="0" w:space="0" w:color="auto"/>
        <w:bottom w:val="none" w:sz="0" w:space="0" w:color="auto"/>
        <w:right w:val="none" w:sz="0" w:space="0" w:color="auto"/>
      </w:divBdr>
    </w:div>
    <w:div w:id="781995448">
      <w:bodyDiv w:val="1"/>
      <w:marLeft w:val="0"/>
      <w:marRight w:val="0"/>
      <w:marTop w:val="0"/>
      <w:marBottom w:val="0"/>
      <w:divBdr>
        <w:top w:val="none" w:sz="0" w:space="0" w:color="auto"/>
        <w:left w:val="none" w:sz="0" w:space="0" w:color="auto"/>
        <w:bottom w:val="none" w:sz="0" w:space="0" w:color="auto"/>
        <w:right w:val="none" w:sz="0" w:space="0" w:color="auto"/>
      </w:divBdr>
    </w:div>
    <w:div w:id="1094790953">
      <w:bodyDiv w:val="1"/>
      <w:marLeft w:val="0"/>
      <w:marRight w:val="0"/>
      <w:marTop w:val="0"/>
      <w:marBottom w:val="0"/>
      <w:divBdr>
        <w:top w:val="none" w:sz="0" w:space="0" w:color="auto"/>
        <w:left w:val="none" w:sz="0" w:space="0" w:color="auto"/>
        <w:bottom w:val="none" w:sz="0" w:space="0" w:color="auto"/>
        <w:right w:val="none" w:sz="0" w:space="0" w:color="auto"/>
      </w:divBdr>
    </w:div>
    <w:div w:id="208044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ovasi.or.id/id/"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fat.gov.au/about-us/publications/Pages/indonesia-education-partnership-completion-report.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unicef-my.sharepoint.com/:w:/r/personal/krose_unicef_org/_layouts/15/Doc.aspx?sourcedoc=%7B73d643d7-1606-4c4b-965d-71624d0304f9%7D&amp;action=default&amp;gad=1221"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worldbank.org/en/country/indonesia/brief/improving-teaching-and-learning-in-indonesia"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customXml" Target="../customXml/item4.xml"/></Relationships>
</file>

<file path=word/_rels/endnotes.xml.rels><?xml version="1.0" encoding="UTF-8" standalone="yes"?>
<Relationships xmlns="http://schemas.openxmlformats.org/package/2006/relationships"><Relationship Id="rId2" Type="http://schemas.openxmlformats.org/officeDocument/2006/relationships/hyperlink" Target="https://puspendik.kemdikbud.go.id/inap-sd/kategori" TargetMode="External"/><Relationship Id="rId1" Type="http://schemas.openxmlformats.org/officeDocument/2006/relationships/hyperlink" Target="https://www.riseprogramme.org/news/evaluating-how-teacher-reforms-decentralised-indonesia-can-promote-learning-gains-ri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A8E32C-A3D6-4E5C-8C89-F2A80722CEFD}"/>
</file>

<file path=customXml/itemProps2.xml><?xml version="1.0" encoding="utf-8"?>
<ds:datastoreItem xmlns:ds="http://schemas.openxmlformats.org/officeDocument/2006/customXml" ds:itemID="{DE2E08B2-66CB-4B5E-99D1-E2DE12EEFA0A}"/>
</file>

<file path=customXml/itemProps3.xml><?xml version="1.0" encoding="utf-8"?>
<ds:datastoreItem xmlns:ds="http://schemas.openxmlformats.org/officeDocument/2006/customXml" ds:itemID="{5C82AF40-4E78-4EA9-8349-5449B8AA28E5}"/>
</file>

<file path=customXml/itemProps4.xml><?xml version="1.0" encoding="utf-8"?>
<ds:datastoreItem xmlns:ds="http://schemas.openxmlformats.org/officeDocument/2006/customXml" ds:itemID="{1B0CC13E-22AC-4134-BE10-CFD9DFFF896B}"/>
</file>

<file path=docProps/app.xml><?xml version="1.0" encoding="utf-8"?>
<Properties xmlns="http://schemas.openxmlformats.org/officeDocument/2006/extended-properties" xmlns:vt="http://schemas.openxmlformats.org/officeDocument/2006/docPropsVTypes">
  <Template>Normal.dotm</Template>
  <TotalTime>0</TotalTime>
  <Pages>24</Pages>
  <Words>8477</Words>
  <Characters>48323</Characters>
  <Application>Microsoft Office Word</Application>
  <DocSecurity>0</DocSecurity>
  <Lines>402</Lines>
  <Paragraphs>113</Paragraphs>
  <ScaleCrop>false</ScaleCrop>
  <Company/>
  <LinksUpToDate>false</LinksUpToDate>
  <CharactersWithSpaces>56687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2019-10-31T06:08:00Z</dcterms:created>
  <dcterms:modified xsi:type="dcterms:W3CDTF">2019-10-31T06:08:00Z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2e0b09da-7133-4d0e-95a3-674cdc59744b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1277800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