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7.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9477C" w14:textId="77777777" w:rsidR="004320B1" w:rsidRDefault="004320B1">
      <w:pPr>
        <w:spacing w:before="200" w:line="264" w:lineRule="auto"/>
      </w:pPr>
      <w:r>
        <w:rPr>
          <w:noProof/>
          <w:lang w:val="en-AU" w:eastAsia="en-AU" w:bidi="ar-SA"/>
        </w:rPr>
        <w:drawing>
          <wp:anchor distT="0" distB="0" distL="114300" distR="114300" simplePos="0" relativeHeight="251641344" behindDoc="0" locked="1" layoutInCell="1" allowOverlap="1" wp14:anchorId="203636CF" wp14:editId="2087E3C2">
            <wp:simplePos x="0" y="0"/>
            <wp:positionH relativeFrom="column">
              <wp:posOffset>-209550</wp:posOffset>
            </wp:positionH>
            <wp:positionV relativeFrom="paragraph">
              <wp:posOffset>3175</wp:posOffset>
            </wp:positionV>
            <wp:extent cx="4344670" cy="534035"/>
            <wp:effectExtent l="0" t="0" r="0" b="0"/>
            <wp:wrapSquare wrapText="bothSides"/>
            <wp:docPr id="5" name="Picture 4" descr="LOGO F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tif"/>
                    <pic:cNvPicPr/>
                  </pic:nvPicPr>
                  <pic:blipFill>
                    <a:blip r:embed="rId8">
                      <a:extLst>
                        <a:ext uri="{28A0092B-C50C-407E-A947-70E740481C1C}">
                          <a14:useLocalDpi xmlns:a14="http://schemas.microsoft.com/office/drawing/2010/main" val="0"/>
                        </a:ext>
                      </a:extLst>
                    </a:blip>
                    <a:stretch>
                      <a:fillRect/>
                    </a:stretch>
                  </pic:blipFill>
                  <pic:spPr>
                    <a:xfrm>
                      <a:off x="0" y="0"/>
                      <a:ext cx="4344670" cy="534035"/>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GoBack"/>
      <w:r>
        <w:rPr>
          <w:noProof/>
          <w:lang w:val="en-AU" w:eastAsia="en-AU" w:bidi="ar-SA"/>
        </w:rPr>
        <w:drawing>
          <wp:anchor distT="0" distB="0" distL="114300" distR="114300" simplePos="0" relativeHeight="251642368" behindDoc="0" locked="1" layoutInCell="1" allowOverlap="1" wp14:anchorId="16788677" wp14:editId="1839498B">
            <wp:simplePos x="0" y="0"/>
            <wp:positionH relativeFrom="page">
              <wp:posOffset>1436370</wp:posOffset>
            </wp:positionH>
            <wp:positionV relativeFrom="paragraph">
              <wp:posOffset>596900</wp:posOffset>
            </wp:positionV>
            <wp:extent cx="6119495" cy="8546465"/>
            <wp:effectExtent l="0" t="0" r="0" b="6985"/>
            <wp:wrapSquare wrapText="bothSides"/>
            <wp:docPr id="8" name="Picture 7" descr="book stac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stack 1.jpg"/>
                    <pic:cNvPicPr/>
                  </pic:nvPicPr>
                  <pic:blipFill>
                    <a:blip r:embed="rId9">
                      <a:extLst>
                        <a:ext uri="{28A0092B-C50C-407E-A947-70E740481C1C}">
                          <a14:useLocalDpi xmlns:a14="http://schemas.microsoft.com/office/drawing/2010/main" val="0"/>
                        </a:ext>
                      </a:extLst>
                    </a:blip>
                    <a:stretch>
                      <a:fillRect/>
                    </a:stretch>
                  </pic:blipFill>
                  <pic:spPr>
                    <a:xfrm>
                      <a:off x="0" y="0"/>
                      <a:ext cx="6119495" cy="8546465"/>
                    </a:xfrm>
                    <a:prstGeom prst="rect">
                      <a:avLst/>
                    </a:prstGeom>
                  </pic:spPr>
                </pic:pic>
              </a:graphicData>
            </a:graphic>
            <wp14:sizeRelH relativeFrom="margin">
              <wp14:pctWidth>0</wp14:pctWidth>
            </wp14:sizeRelH>
            <wp14:sizeRelV relativeFrom="margin">
              <wp14:pctHeight>0</wp14:pctHeight>
            </wp14:sizeRelV>
          </wp:anchor>
        </w:drawing>
      </w:r>
      <w:bookmarkEnd w:id="0"/>
    </w:p>
    <w:p w14:paraId="0D48564A" w14:textId="77777777" w:rsidR="004320B1" w:rsidRDefault="004320B1">
      <w:pPr>
        <w:spacing w:before="200" w:line="264" w:lineRule="auto"/>
      </w:pPr>
    </w:p>
    <w:p w14:paraId="2B22FA20" w14:textId="74FFB467" w:rsidR="004320B1" w:rsidRDefault="003314B4">
      <w:pPr>
        <w:spacing w:before="200" w:line="264" w:lineRule="auto"/>
      </w:pPr>
      <w:r>
        <w:rPr>
          <w:noProof/>
          <w:lang w:val="en-AU" w:eastAsia="en-AU" w:bidi="ar-SA"/>
        </w:rPr>
        <mc:AlternateContent>
          <mc:Choice Requires="wps">
            <w:drawing>
              <wp:anchor distT="0" distB="0" distL="114300" distR="114300" simplePos="0" relativeHeight="251645440" behindDoc="0" locked="0" layoutInCell="1" allowOverlap="1" wp14:anchorId="092F7E10" wp14:editId="68C71895">
                <wp:simplePos x="0" y="0"/>
                <wp:positionH relativeFrom="margin">
                  <wp:align>left</wp:align>
                </wp:positionH>
                <wp:positionV relativeFrom="paragraph">
                  <wp:posOffset>5649595</wp:posOffset>
                </wp:positionV>
                <wp:extent cx="3514725" cy="1104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1472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B6BB4" w14:textId="75BFDD64" w:rsidR="00033040" w:rsidRPr="003314B4" w:rsidRDefault="00033040" w:rsidP="002A3549">
                            <w:pPr>
                              <w:pStyle w:val="Body"/>
                              <w:rPr>
                                <w:b/>
                                <w:color w:val="A6A6A6" w:themeColor="background1" w:themeShade="A6"/>
                                <w:sz w:val="52"/>
                                <w:szCs w:val="52"/>
                              </w:rPr>
                            </w:pPr>
                            <w:r>
                              <w:rPr>
                                <w:b/>
                                <w:color w:val="A6A6A6" w:themeColor="background1" w:themeShade="A6"/>
                                <w:sz w:val="52"/>
                                <w:szCs w:val="52"/>
                              </w:rPr>
                              <w:t>February</w:t>
                            </w:r>
                            <w:r w:rsidRPr="003314B4">
                              <w:rPr>
                                <w:b/>
                                <w:color w:val="A6A6A6" w:themeColor="background1" w:themeShade="A6"/>
                                <w:sz w:val="52"/>
                                <w:szCs w:val="52"/>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2F7E10" id="_x0000_t202" coordsize="21600,21600" o:spt="202" path="m,l,21600r21600,l21600,xe">
                <v:stroke joinstyle="miter"/>
                <v:path gradientshapeok="t" o:connecttype="rect"/>
              </v:shapetype>
              <v:shape id="Text Box 2" o:spid="_x0000_s1026" type="#_x0000_t202" style="position:absolute;margin-left:0;margin-top:444.85pt;width:276.75pt;height:87pt;z-index:2516454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l1gAIAAGMFAAAOAAAAZHJzL2Uyb0RvYy54bWysVE1v2zAMvQ/YfxB0X22nSbsGdYqsRYYB&#10;QVusHXpWZCkxJomapMTOfn0p2U6CbpcOu9gS+UiRjx/XN61WZCecr8GUtDjLKRGGQ1WbdUl/PC8+&#10;fabEB2YqpsCIku6Fpzezjx+uGzsVI9iAqoQj6MT4aWNLugnBTrPM843QzJ+BFQaVEpxmAa9unVWO&#10;Nehdq2yU5xdZA66yDrjwHqV3nZLOkn8pBQ8PUnoRiCopxhbS16XvKn6z2TWbrh2zm5r3YbB/iEKz&#10;2uCjB1d3LDCydfUfrnTNHXiQ4YyDzkDKmouUA2ZT5G+yedowK1IuSI63B5r8/3PL73ePjtRVSUeU&#10;GKaxRM+iDeQLtGQU2WmsnyLoySIstCjGKg9yj8KYdCudjn9Mh6Aeed4fuI3OOArPJ8X4cjShhKOu&#10;KPLxVZ7Yz47m1vnwVYAm8VBSh8VLnLLd0gcMBaEDJL5mYFErlQqoDGlKenE+yZPBQYMWykSsSK3Q&#10;u4kpdaGnU9grETHKfBcSqUgZREFqQnGrHNkxbB/GuTAhJZ/8IjqiJAbxHsMef4zqPcZdHsPLYMLB&#10;WNcGXMr+TdjVzyFk2eGRyJO84zG0q7Yv9QqqPVbaQTcp3vJFjdVYMh8emcPRwOLiuIcH/EgFyDr0&#10;J0o24H7/TR7x2LGopaTBUSup/7VlTlCivhns5atiPI6zmS7jyeUIL+5UszrVmK2+BSxHgYvF8nSM&#10;+KCGo3SgX3ArzOOrqGKG49slDcPxNnQLALcKF/N5AuE0WhaW5sny6DpWJ/bac/vCnO0bMmAv38Mw&#10;lGz6pi87bLQ0MN8GkHVq2khwx2pPPE5y6uV+68RVcXpPqONunL0CAAD//wMAUEsDBBQABgAIAAAA&#10;IQBsXoFP4AAAAAkBAAAPAAAAZHJzL2Rvd25yZXYueG1sTI9PS8NAFMTvgt9heYI3u7ElbYzZlBIo&#10;guihtRdvL9nXJLh/YnbbRj+9z5MehxlmflOsJ2vEmcbQe6fgfpaAINd43btWweFte5eBCBGdRuMd&#10;KfiiAOvy+qrAXPuL29F5H1vBJS7kqKCLccilDE1HFsPMD+TYO/rRYmQ5tlKPeOFya+Q8SZbSYu94&#10;ocOBqo6aj/3JKniutq+4q+c2+zbV08txM3we3lOlbm+mzSOISFP8C8MvPqNDyUy1PzkdhFHAR6KC&#10;LHtYgWA7TRcpiJpzyXKxAlkW8v+D8gcAAP//AwBQSwECLQAUAAYACAAAACEAtoM4kv4AAADhAQAA&#10;EwAAAAAAAAAAAAAAAAAAAAAAW0NvbnRlbnRfVHlwZXNdLnhtbFBLAQItABQABgAIAAAAIQA4/SH/&#10;1gAAAJQBAAALAAAAAAAAAAAAAAAAAC8BAABfcmVscy8ucmVsc1BLAQItABQABgAIAAAAIQBf00l1&#10;gAIAAGMFAAAOAAAAAAAAAAAAAAAAAC4CAABkcnMvZTJvRG9jLnhtbFBLAQItABQABgAIAAAAIQBs&#10;XoFP4AAAAAkBAAAPAAAAAAAAAAAAAAAAANoEAABkcnMvZG93bnJldi54bWxQSwUGAAAAAAQABADz&#10;AAAA5wUAAAAA&#10;" filled="f" stroked="f" strokeweight=".5pt">
                <v:textbox>
                  <w:txbxContent>
                    <w:p w14:paraId="630B6BB4" w14:textId="75BFDD64" w:rsidR="00033040" w:rsidRPr="003314B4" w:rsidRDefault="00033040" w:rsidP="002A3549">
                      <w:pPr>
                        <w:pStyle w:val="Body"/>
                        <w:rPr>
                          <w:b/>
                          <w:color w:val="A6A6A6" w:themeColor="background1" w:themeShade="A6"/>
                          <w:sz w:val="52"/>
                          <w:szCs w:val="52"/>
                        </w:rPr>
                      </w:pPr>
                      <w:r>
                        <w:rPr>
                          <w:b/>
                          <w:color w:val="A6A6A6" w:themeColor="background1" w:themeShade="A6"/>
                          <w:sz w:val="52"/>
                          <w:szCs w:val="52"/>
                        </w:rPr>
                        <w:t>February</w:t>
                      </w:r>
                      <w:r w:rsidRPr="003314B4">
                        <w:rPr>
                          <w:b/>
                          <w:color w:val="A6A6A6" w:themeColor="background1" w:themeShade="A6"/>
                          <w:sz w:val="52"/>
                          <w:szCs w:val="52"/>
                        </w:rPr>
                        <w:t xml:space="preserve"> 2019</w:t>
                      </w:r>
                    </w:p>
                  </w:txbxContent>
                </v:textbox>
                <w10:wrap anchorx="margin"/>
              </v:shape>
            </w:pict>
          </mc:Fallback>
        </mc:AlternateContent>
      </w:r>
      <w:r w:rsidR="00E1252C">
        <w:rPr>
          <w:noProof/>
          <w:lang w:val="en-AU" w:eastAsia="en-AU" w:bidi="ar-SA"/>
        </w:rPr>
        <mc:AlternateContent>
          <mc:Choice Requires="wps">
            <w:drawing>
              <wp:anchor distT="0" distB="0" distL="114300" distR="114300" simplePos="0" relativeHeight="251644416" behindDoc="0" locked="0" layoutInCell="1" allowOverlap="1" wp14:anchorId="177D09BD" wp14:editId="39070A16">
                <wp:simplePos x="0" y="0"/>
                <wp:positionH relativeFrom="column">
                  <wp:posOffset>-45720</wp:posOffset>
                </wp:positionH>
                <wp:positionV relativeFrom="paragraph">
                  <wp:posOffset>427990</wp:posOffset>
                </wp:positionV>
                <wp:extent cx="5572125" cy="409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72125" cy="409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2D983" w14:textId="77777777" w:rsidR="00033040" w:rsidRPr="00565075" w:rsidRDefault="00033040" w:rsidP="004320B1">
                            <w:pPr>
                              <w:pStyle w:val="NoSpacing"/>
                              <w:rPr>
                                <w:sz w:val="96"/>
                              </w:rPr>
                            </w:pPr>
                            <w:r w:rsidRPr="00565075">
                              <w:rPr>
                                <w:sz w:val="96"/>
                              </w:rPr>
                              <w:t>2018</w:t>
                            </w:r>
                            <w:r>
                              <w:rPr>
                                <w:sz w:val="96"/>
                              </w:rPr>
                              <w:t xml:space="preserve"> </w:t>
                            </w:r>
                            <w:r w:rsidRPr="00565075">
                              <w:rPr>
                                <w:sz w:val="96"/>
                              </w:rPr>
                              <w:t xml:space="preserve">Annual </w:t>
                            </w:r>
                            <w:r>
                              <w:rPr>
                                <w:sz w:val="96"/>
                              </w:rPr>
                              <w:t>Progress</w:t>
                            </w:r>
                          </w:p>
                          <w:p w14:paraId="78FF5452" w14:textId="77777777" w:rsidR="00033040" w:rsidRPr="00565075" w:rsidRDefault="00033040" w:rsidP="004320B1">
                            <w:pPr>
                              <w:pStyle w:val="NoSpacing"/>
                              <w:rPr>
                                <w:sz w:val="96"/>
                              </w:rPr>
                            </w:pPr>
                            <w:r w:rsidRPr="00565075">
                              <w:rPr>
                                <w:sz w:val="96"/>
                              </w:rPr>
                              <w:t xml:space="preserve">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D09BD" id="Text Box 1" o:spid="_x0000_s1027" type="#_x0000_t202" style="position:absolute;margin-left:-3.6pt;margin-top:33.7pt;width:438.75pt;height:322.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AdfwIAAGoFAAAOAAAAZHJzL2Uyb0RvYy54bWysVE1PGzEQvVfqf7B8L5ukCZSIDUpBVJUQ&#10;oELF2fHaZFWvx7WdZNNfz7N3E1LaC1Uvu+OZN+P5eOOz87YxbK18qMmWfHg04ExZSVVtn0r+/eHq&#10;wyfOQhS2EoasKvlWBX4+e//ubOOmakRLMpXyDEFsmG5cyZcxumlRBLlUjQhH5JSFUZNvRMTRPxWV&#10;FxtEb0wxGgyOiw35ynmSKgRoLzsjn+X4WisZb7UOKjJTcuQW89fn7yJ9i9mZmD554Za17NMQ/5BF&#10;I2qLS/ehLkUUbOXrP0I1tfQUSMcjSU1BWtdS5RpQzXDwqpr7pXAq14LmBLdvU/h/YeXN+s6zusLs&#10;OLOiwYgeVBvZZ2rZMHVn48IUoHsHWGyhTsheH6BMRbfaN+mPchjs6PN239sUTEI5mZyMhqMJZxK2&#10;8eB0cjLJ3S9e3J0P8YuihiWh5B7Dyz0V6+sQcSWgO0i6zdJVbUweoLFsU/Ljjwj5mwUexiaNylTo&#10;w6SSutSzFLdGJYyx35RGK3IFSZFJqC6MZ2sB+ggplY25+BwX6ITSSOItjj3+Jau3OHd17G4mG/fO&#10;TW3J5+pfpV392KWsOzwaeVB3EmO7aHsO9JNdULXFwD11CxOcvKoxlGsR4p3w2BDMGFsfb/HRhtB8&#10;6iXOluR//U2f8CAurJxtsHElDz9XwivOzFcLSp8Ox+O0ovkwBl1w8IeWxaHFrpoLwlRAW2SXxYSP&#10;ZidqT80jHod5uhUmYSXuLnnciRexewfwuEg1n2cQltKJeG3vnUyh05AS5R7aR+Fdz8sISt/QbjfF&#10;9BU9O2zytDRfRdJ15m7qc9fVvv9Y6Ezp/vFJL8bhOaNensjZMwAAAP//AwBQSwMEFAAGAAgAAAAh&#10;AKmbAKPhAAAACQEAAA8AAABkcnMvZG93bnJldi54bWxMj0FLw0AUhO+C/2F5grd201ibELMpJVAE&#10;0UNrL95esq9JMPs2Zrdt9Ne7nupxmGHmm3w9mV6caXSdZQWLeQSCuLa640bB4X07S0E4j6yxt0wK&#10;vsnBuri9yTHT9sI7Ou99I0IJuwwVtN4PmZSubsmgm9uBOHhHOxr0QY6N1CNeQrnpZRxFK2mw47DQ&#10;4kBlS/Xn/mQUvJTbN9xVsUl/+vL59bgZvg4fj0rd302bJxCeJn8Nwx9+QIciMFX2xNqJXsEsiUNS&#10;wSpZggh+mkQPICoFySJegixy+f9B8QsAAP//AwBQSwECLQAUAAYACAAAACEAtoM4kv4AAADhAQAA&#10;EwAAAAAAAAAAAAAAAAAAAAAAW0NvbnRlbnRfVHlwZXNdLnhtbFBLAQItABQABgAIAAAAIQA4/SH/&#10;1gAAAJQBAAALAAAAAAAAAAAAAAAAAC8BAABfcmVscy8ucmVsc1BLAQItABQABgAIAAAAIQBJCnAd&#10;fwIAAGoFAAAOAAAAAAAAAAAAAAAAAC4CAABkcnMvZTJvRG9jLnhtbFBLAQItABQABgAIAAAAIQCp&#10;mwCj4QAAAAkBAAAPAAAAAAAAAAAAAAAAANkEAABkcnMvZG93bnJldi54bWxQSwUGAAAAAAQABADz&#10;AAAA5wUAAAAA&#10;" filled="f" stroked="f" strokeweight=".5pt">
                <v:textbox>
                  <w:txbxContent>
                    <w:p w14:paraId="6922D983" w14:textId="77777777" w:rsidR="00033040" w:rsidRPr="00565075" w:rsidRDefault="00033040" w:rsidP="004320B1">
                      <w:pPr>
                        <w:pStyle w:val="NoSpacing"/>
                        <w:rPr>
                          <w:sz w:val="96"/>
                        </w:rPr>
                      </w:pPr>
                      <w:r w:rsidRPr="00565075">
                        <w:rPr>
                          <w:sz w:val="96"/>
                        </w:rPr>
                        <w:t>2018</w:t>
                      </w:r>
                      <w:r>
                        <w:rPr>
                          <w:sz w:val="96"/>
                        </w:rPr>
                        <w:t xml:space="preserve"> </w:t>
                      </w:r>
                      <w:r w:rsidRPr="00565075">
                        <w:rPr>
                          <w:sz w:val="96"/>
                        </w:rPr>
                        <w:t xml:space="preserve">Annual </w:t>
                      </w:r>
                      <w:r>
                        <w:rPr>
                          <w:sz w:val="96"/>
                        </w:rPr>
                        <w:t>Progress</w:t>
                      </w:r>
                    </w:p>
                    <w:p w14:paraId="78FF5452" w14:textId="77777777" w:rsidR="00033040" w:rsidRPr="00565075" w:rsidRDefault="00033040" w:rsidP="004320B1">
                      <w:pPr>
                        <w:pStyle w:val="NoSpacing"/>
                        <w:rPr>
                          <w:sz w:val="96"/>
                        </w:rPr>
                      </w:pPr>
                      <w:r w:rsidRPr="00565075">
                        <w:rPr>
                          <w:sz w:val="96"/>
                        </w:rPr>
                        <w:t xml:space="preserve">Report </w:t>
                      </w:r>
                    </w:p>
                  </w:txbxContent>
                </v:textbox>
              </v:shape>
            </w:pict>
          </mc:Fallback>
        </mc:AlternateContent>
      </w:r>
    </w:p>
    <w:p w14:paraId="77E25BAA" w14:textId="77777777" w:rsidR="004320B1" w:rsidRDefault="004320B1">
      <w:pPr>
        <w:spacing w:before="200" w:line="264" w:lineRule="auto"/>
        <w:sectPr w:rsidR="004320B1" w:rsidSect="00833B8B">
          <w:headerReference w:type="even" r:id="rId10"/>
          <w:headerReference w:type="default" r:id="rId11"/>
          <w:footerReference w:type="even" r:id="rId12"/>
          <w:footerReference w:type="default" r:id="rId13"/>
          <w:headerReference w:type="first" r:id="rId14"/>
          <w:footerReference w:type="first" r:id="rId15"/>
          <w:pgSz w:w="11906" w:h="16838"/>
          <w:pgMar w:top="1135" w:right="1134" w:bottom="1276" w:left="1134" w:header="709" w:footer="788" w:gutter="0"/>
          <w:cols w:space="708"/>
          <w:titlePg/>
          <w:docGrid w:linePitch="360"/>
        </w:sectPr>
      </w:pPr>
    </w:p>
    <w:p w14:paraId="41E371E2" w14:textId="77777777" w:rsidR="004320B1" w:rsidRDefault="004320B1" w:rsidP="004320B1">
      <w:pPr>
        <w:tabs>
          <w:tab w:val="left" w:pos="1305"/>
        </w:tabs>
        <w:spacing w:before="200" w:line="264" w:lineRule="auto"/>
      </w:pPr>
      <w:r>
        <w:lastRenderedPageBreak/>
        <w:tab/>
      </w:r>
    </w:p>
    <w:p w14:paraId="4D94BEF2" w14:textId="77777777" w:rsidR="004320B1" w:rsidRDefault="004320B1" w:rsidP="004320B1">
      <w:pPr>
        <w:pStyle w:val="Contenttext"/>
        <w:spacing w:after="0" w:line="240" w:lineRule="auto"/>
        <w:rPr>
          <w:rFonts w:ascii="Sitka Heading" w:hAnsi="Sitka Heading"/>
          <w:sz w:val="40"/>
          <w:szCs w:val="40"/>
        </w:rPr>
      </w:pPr>
    </w:p>
    <w:p w14:paraId="5E6E2D91" w14:textId="77777777" w:rsidR="004320B1" w:rsidRDefault="004320B1" w:rsidP="004320B1">
      <w:pPr>
        <w:pStyle w:val="Contenttext"/>
        <w:spacing w:after="0" w:line="240" w:lineRule="auto"/>
        <w:rPr>
          <w:rFonts w:ascii="Sitka Heading" w:hAnsi="Sitka Heading"/>
          <w:sz w:val="40"/>
          <w:szCs w:val="40"/>
        </w:rPr>
      </w:pPr>
    </w:p>
    <w:p w14:paraId="43D703D8" w14:textId="77777777" w:rsidR="004320B1" w:rsidRDefault="004320B1" w:rsidP="004320B1">
      <w:pPr>
        <w:pStyle w:val="Contenttext"/>
        <w:spacing w:after="0" w:line="240" w:lineRule="auto"/>
        <w:rPr>
          <w:rFonts w:ascii="Sitka Heading" w:hAnsi="Sitka Heading"/>
          <w:sz w:val="40"/>
          <w:szCs w:val="40"/>
        </w:rPr>
      </w:pPr>
    </w:p>
    <w:p w14:paraId="2513FBF3" w14:textId="77777777" w:rsidR="004320B1" w:rsidRDefault="004320B1" w:rsidP="004320B1">
      <w:pPr>
        <w:pStyle w:val="Contenttext"/>
        <w:spacing w:after="0" w:line="240" w:lineRule="auto"/>
        <w:rPr>
          <w:rFonts w:ascii="Sitka Heading" w:hAnsi="Sitka Heading"/>
          <w:sz w:val="40"/>
          <w:szCs w:val="40"/>
        </w:rPr>
      </w:pPr>
    </w:p>
    <w:p w14:paraId="0AB550BA" w14:textId="77777777" w:rsidR="004320B1" w:rsidRDefault="004320B1" w:rsidP="004320B1">
      <w:pPr>
        <w:pStyle w:val="Contenttext"/>
        <w:spacing w:after="0" w:line="240" w:lineRule="auto"/>
        <w:rPr>
          <w:rFonts w:ascii="Sitka Heading" w:hAnsi="Sitka Heading"/>
          <w:sz w:val="40"/>
          <w:szCs w:val="40"/>
        </w:rPr>
      </w:pPr>
    </w:p>
    <w:p w14:paraId="68E6B2EE" w14:textId="77777777" w:rsidR="004320B1" w:rsidRDefault="004320B1" w:rsidP="004320B1">
      <w:pPr>
        <w:pStyle w:val="Contenttext"/>
        <w:spacing w:after="0" w:line="240" w:lineRule="auto"/>
        <w:rPr>
          <w:rFonts w:ascii="Sitka Heading" w:hAnsi="Sitka Heading"/>
          <w:sz w:val="40"/>
          <w:szCs w:val="40"/>
        </w:rPr>
      </w:pPr>
    </w:p>
    <w:p w14:paraId="756B399C" w14:textId="77777777" w:rsidR="004320B1" w:rsidRDefault="004320B1" w:rsidP="004320B1">
      <w:pPr>
        <w:pStyle w:val="Contenttext"/>
        <w:spacing w:after="0" w:line="240" w:lineRule="auto"/>
        <w:rPr>
          <w:rFonts w:ascii="Sitka Heading" w:hAnsi="Sitka Heading"/>
          <w:sz w:val="40"/>
          <w:szCs w:val="40"/>
        </w:rPr>
      </w:pPr>
    </w:p>
    <w:p w14:paraId="2D8E1E1E" w14:textId="77777777" w:rsidR="004320B1" w:rsidRDefault="004320B1" w:rsidP="004320B1">
      <w:pPr>
        <w:pStyle w:val="Contenttext"/>
        <w:spacing w:after="0" w:line="240" w:lineRule="auto"/>
        <w:rPr>
          <w:rFonts w:ascii="Sitka Heading" w:hAnsi="Sitka Heading"/>
          <w:sz w:val="40"/>
          <w:szCs w:val="40"/>
        </w:rPr>
      </w:pPr>
    </w:p>
    <w:p w14:paraId="402635E5" w14:textId="77777777" w:rsidR="004320B1" w:rsidRDefault="004320B1" w:rsidP="004320B1">
      <w:pPr>
        <w:pStyle w:val="Contenttext"/>
        <w:spacing w:after="0" w:line="240" w:lineRule="auto"/>
        <w:rPr>
          <w:rFonts w:ascii="Sitka Heading" w:hAnsi="Sitka Heading"/>
          <w:sz w:val="40"/>
          <w:szCs w:val="40"/>
        </w:rPr>
      </w:pPr>
    </w:p>
    <w:p w14:paraId="14EE7998" w14:textId="77777777" w:rsidR="004320B1" w:rsidRPr="003314B4" w:rsidRDefault="004320B1" w:rsidP="004320B1">
      <w:pPr>
        <w:pStyle w:val="Contenttext"/>
        <w:spacing w:after="0" w:line="240" w:lineRule="auto"/>
        <w:rPr>
          <w:rFonts w:ascii="Sitka Subheading" w:hAnsi="Sitka Subheading" w:cs="Arial"/>
          <w:sz w:val="40"/>
          <w:szCs w:val="40"/>
        </w:rPr>
      </w:pPr>
      <w:r w:rsidRPr="003314B4">
        <w:rPr>
          <w:rFonts w:ascii="Sitka Subheading" w:hAnsi="Sitka Subheading" w:cs="Arial"/>
          <w:sz w:val="40"/>
          <w:szCs w:val="40"/>
        </w:rPr>
        <w:t>TASS</w:t>
      </w:r>
    </w:p>
    <w:p w14:paraId="1BBB892C" w14:textId="13A831FF" w:rsidR="004320B1" w:rsidRPr="00C252C1" w:rsidRDefault="004320B1" w:rsidP="003F207B">
      <w:pPr>
        <w:pStyle w:val="Contenttext"/>
        <w:tabs>
          <w:tab w:val="left" w:pos="6950"/>
        </w:tabs>
        <w:rPr>
          <w:rFonts w:ascii="Sitka Subheading" w:hAnsi="Sitka Subheading"/>
        </w:rPr>
      </w:pPr>
      <w:r>
        <w:t xml:space="preserve"> </w:t>
      </w:r>
      <w:r w:rsidRPr="00C252C1">
        <w:rPr>
          <w:rFonts w:ascii="Sitka Subheading" w:hAnsi="Sitka Subheading"/>
          <w:b/>
          <w:sz w:val="24"/>
        </w:rPr>
        <w:t>Technical Assistance for Education System Strengthening</w:t>
      </w:r>
      <w:r w:rsidR="003F207B">
        <w:rPr>
          <w:rFonts w:ascii="Sitka Subheading" w:hAnsi="Sitka Subheading"/>
          <w:b/>
          <w:sz w:val="24"/>
        </w:rPr>
        <w:tab/>
      </w:r>
    </w:p>
    <w:p w14:paraId="048A255E" w14:textId="77777777" w:rsidR="004320B1" w:rsidRPr="007C1D8B" w:rsidRDefault="004320B1" w:rsidP="004320B1">
      <w:pPr>
        <w:pStyle w:val="Contenttext"/>
        <w:spacing w:after="0" w:line="240" w:lineRule="auto"/>
        <w:rPr>
          <w:sz w:val="24"/>
        </w:rPr>
      </w:pPr>
      <w:r w:rsidRPr="007C1D8B">
        <w:rPr>
          <w:sz w:val="24"/>
        </w:rPr>
        <w:t>Ratu Plaza Office Tower 19th floor,</w:t>
      </w:r>
    </w:p>
    <w:p w14:paraId="42C84C75" w14:textId="77777777" w:rsidR="004320B1" w:rsidRPr="007C1D8B" w:rsidRDefault="004320B1" w:rsidP="004320B1">
      <w:pPr>
        <w:pStyle w:val="Contenttext"/>
        <w:spacing w:after="0" w:line="240" w:lineRule="auto"/>
        <w:rPr>
          <w:sz w:val="24"/>
        </w:rPr>
      </w:pPr>
      <w:r w:rsidRPr="007C1D8B">
        <w:rPr>
          <w:sz w:val="24"/>
        </w:rPr>
        <w:t xml:space="preserve">Jl. Jend. Sudirman Kav 9, </w:t>
      </w:r>
    </w:p>
    <w:p w14:paraId="1929FF05" w14:textId="77777777" w:rsidR="004320B1" w:rsidRPr="007C1D8B" w:rsidRDefault="004320B1" w:rsidP="004320B1">
      <w:pPr>
        <w:pStyle w:val="Contenttext"/>
        <w:spacing w:after="0" w:line="240" w:lineRule="auto"/>
        <w:rPr>
          <w:sz w:val="24"/>
        </w:rPr>
      </w:pPr>
      <w:r w:rsidRPr="007C1D8B">
        <w:rPr>
          <w:sz w:val="24"/>
        </w:rPr>
        <w:t xml:space="preserve">Jakarta Pusat, 10270, </w:t>
      </w:r>
    </w:p>
    <w:p w14:paraId="7B292679" w14:textId="77777777" w:rsidR="004320B1" w:rsidRPr="007C1D8B" w:rsidRDefault="004320B1" w:rsidP="004320B1">
      <w:pPr>
        <w:pStyle w:val="Contenttext"/>
        <w:spacing w:after="0" w:line="240" w:lineRule="auto"/>
        <w:rPr>
          <w:sz w:val="24"/>
        </w:rPr>
      </w:pPr>
      <w:r w:rsidRPr="007C1D8B">
        <w:rPr>
          <w:sz w:val="24"/>
        </w:rPr>
        <w:t>Indonesia</w:t>
      </w:r>
    </w:p>
    <w:p w14:paraId="74B5F0FB" w14:textId="77777777" w:rsidR="004320B1" w:rsidRDefault="004320B1" w:rsidP="004320B1">
      <w:pPr>
        <w:pStyle w:val="Contenttext"/>
        <w:spacing w:after="0"/>
      </w:pPr>
    </w:p>
    <w:p w14:paraId="7CFB0C18" w14:textId="77777777" w:rsidR="00805AD4" w:rsidRDefault="00805AD4" w:rsidP="004320B1">
      <w:pPr>
        <w:pStyle w:val="Contenttext"/>
        <w:spacing w:after="0"/>
      </w:pPr>
    </w:p>
    <w:p w14:paraId="5B6C6232" w14:textId="34F52712" w:rsidR="004320B1" w:rsidRDefault="00805AD4" w:rsidP="004320B1">
      <w:pPr>
        <w:pStyle w:val="Contenttext"/>
        <w:rPr>
          <w:sz w:val="20"/>
          <w:szCs w:val="20"/>
        </w:rPr>
      </w:pPr>
      <w:r w:rsidRPr="00216D15">
        <w:rPr>
          <w:szCs w:val="22"/>
          <w:shd w:val="clear" w:color="auto" w:fill="FFFFFF"/>
        </w:rPr>
        <w:t>An Australian aid initiative implemented by Palladium</w:t>
      </w:r>
      <w:r w:rsidR="00216D15">
        <w:rPr>
          <w:szCs w:val="22"/>
          <w:shd w:val="clear" w:color="auto" w:fill="FFFFFF"/>
        </w:rPr>
        <w:t xml:space="preserve"> on the behalf of the Australian Government</w:t>
      </w:r>
    </w:p>
    <w:p w14:paraId="660F5930" w14:textId="77777777" w:rsidR="00805AD4" w:rsidRPr="007C1D8B" w:rsidRDefault="00805AD4" w:rsidP="004320B1">
      <w:pPr>
        <w:pStyle w:val="Contenttext"/>
        <w:rPr>
          <w:sz w:val="20"/>
          <w:szCs w:val="20"/>
        </w:rPr>
      </w:pPr>
    </w:p>
    <w:p w14:paraId="37760EF7" w14:textId="77777777" w:rsidR="003F207B" w:rsidRDefault="004320B1" w:rsidP="00C252C1">
      <w:pPr>
        <w:pStyle w:val="Contenttext"/>
        <w:rPr>
          <w:szCs w:val="22"/>
          <w:shd w:val="clear" w:color="auto" w:fill="FFFFFF"/>
        </w:rPr>
      </w:pPr>
      <w:r w:rsidRPr="00AD0316">
        <w:rPr>
          <w:szCs w:val="22"/>
          <w:shd w:val="clear" w:color="auto" w:fill="FFFFFF"/>
        </w:rPr>
        <w:t>This publication has been funded by the Australian Government through the Department of Foreign Affairs and Trade. The views expressed in this publication are the author’s alone and are not necessarily the views of the Australian Government.</w:t>
      </w:r>
    </w:p>
    <w:p w14:paraId="4728E0D6" w14:textId="77777777" w:rsidR="003F207B" w:rsidRPr="00DE3235" w:rsidRDefault="003F207B" w:rsidP="003F207B">
      <w:pPr>
        <w:pStyle w:val="FiguresTitle"/>
        <w:rPr>
          <w:lang w:val="en-AU"/>
        </w:rPr>
      </w:pPr>
      <w:r w:rsidRPr="00DE3235">
        <w:rPr>
          <w:lang w:val="en-AU"/>
        </w:rPr>
        <w:t>Revision History</w:t>
      </w:r>
    </w:p>
    <w:tbl>
      <w:tblPr>
        <w:tblStyle w:val="TableGridLight11"/>
        <w:tblW w:w="0" w:type="auto"/>
        <w:tblLook w:val="04A0" w:firstRow="1" w:lastRow="0" w:firstColumn="1" w:lastColumn="0" w:noHBand="0" w:noVBand="1"/>
      </w:tblPr>
      <w:tblGrid>
        <w:gridCol w:w="2224"/>
        <w:gridCol w:w="2237"/>
        <w:gridCol w:w="2303"/>
        <w:gridCol w:w="2255"/>
      </w:tblGrid>
      <w:tr w:rsidR="003F207B" w:rsidRPr="003F207B" w14:paraId="3C83548F" w14:textId="77777777" w:rsidTr="00E070A8">
        <w:tc>
          <w:tcPr>
            <w:tcW w:w="2224" w:type="dxa"/>
          </w:tcPr>
          <w:p w14:paraId="06465A0C" w14:textId="77777777" w:rsidR="003F207B" w:rsidRPr="003F207B" w:rsidRDefault="003F207B" w:rsidP="00E070A8">
            <w:pPr>
              <w:pStyle w:val="Body"/>
              <w:rPr>
                <w:lang w:val="en-AU"/>
              </w:rPr>
            </w:pPr>
            <w:r w:rsidRPr="003F207B">
              <w:rPr>
                <w:lang w:val="en-AU"/>
              </w:rPr>
              <w:t>Version</w:t>
            </w:r>
          </w:p>
        </w:tc>
        <w:tc>
          <w:tcPr>
            <w:tcW w:w="2237" w:type="dxa"/>
          </w:tcPr>
          <w:p w14:paraId="53F92BD7" w14:textId="77777777" w:rsidR="003F207B" w:rsidRPr="003F207B" w:rsidRDefault="003F207B" w:rsidP="00E070A8">
            <w:pPr>
              <w:pStyle w:val="Body"/>
              <w:rPr>
                <w:lang w:val="en-AU"/>
              </w:rPr>
            </w:pPr>
            <w:r w:rsidRPr="003F207B">
              <w:rPr>
                <w:lang w:val="en-AU"/>
              </w:rPr>
              <w:t>Effective date</w:t>
            </w:r>
          </w:p>
        </w:tc>
        <w:tc>
          <w:tcPr>
            <w:tcW w:w="2303" w:type="dxa"/>
          </w:tcPr>
          <w:p w14:paraId="1913BAC3" w14:textId="77777777" w:rsidR="003F207B" w:rsidRPr="003F207B" w:rsidRDefault="003F207B" w:rsidP="00E070A8">
            <w:pPr>
              <w:pStyle w:val="Body"/>
              <w:rPr>
                <w:lang w:val="en-AU"/>
              </w:rPr>
            </w:pPr>
            <w:r w:rsidRPr="003F207B">
              <w:rPr>
                <w:lang w:val="en-AU"/>
              </w:rPr>
              <w:t>Approved by</w:t>
            </w:r>
          </w:p>
        </w:tc>
        <w:tc>
          <w:tcPr>
            <w:tcW w:w="2255" w:type="dxa"/>
          </w:tcPr>
          <w:p w14:paraId="24F094A5" w14:textId="77777777" w:rsidR="003F207B" w:rsidRPr="003F207B" w:rsidRDefault="003F207B" w:rsidP="00E070A8">
            <w:pPr>
              <w:pStyle w:val="Body"/>
              <w:rPr>
                <w:lang w:val="en-AU"/>
              </w:rPr>
            </w:pPr>
            <w:r w:rsidRPr="003F207B">
              <w:rPr>
                <w:lang w:val="en-AU"/>
              </w:rPr>
              <w:t>Summary of changes</w:t>
            </w:r>
          </w:p>
        </w:tc>
      </w:tr>
      <w:tr w:rsidR="003F207B" w:rsidRPr="003F207B" w14:paraId="202DDC30" w14:textId="77777777" w:rsidTr="00E070A8">
        <w:trPr>
          <w:trHeight w:val="653"/>
        </w:trPr>
        <w:tc>
          <w:tcPr>
            <w:tcW w:w="2224" w:type="dxa"/>
          </w:tcPr>
          <w:p w14:paraId="154FCAE4" w14:textId="77777777" w:rsidR="003F207B" w:rsidRPr="003F207B" w:rsidRDefault="003F207B" w:rsidP="00E070A8">
            <w:pPr>
              <w:pStyle w:val="Body"/>
              <w:rPr>
                <w:lang w:val="en-AU"/>
              </w:rPr>
            </w:pPr>
            <w:r w:rsidRPr="003F207B">
              <w:rPr>
                <w:lang w:val="en-AU"/>
              </w:rPr>
              <w:t>1.0</w:t>
            </w:r>
          </w:p>
        </w:tc>
        <w:tc>
          <w:tcPr>
            <w:tcW w:w="2237" w:type="dxa"/>
          </w:tcPr>
          <w:p w14:paraId="3127579C" w14:textId="09D6EC11" w:rsidR="003F207B" w:rsidRPr="003F207B" w:rsidRDefault="003F207B" w:rsidP="00E070A8">
            <w:pPr>
              <w:pStyle w:val="Body"/>
              <w:rPr>
                <w:lang w:val="en-AU"/>
              </w:rPr>
            </w:pPr>
            <w:r w:rsidRPr="003F207B">
              <w:rPr>
                <w:lang w:val="en-AU"/>
              </w:rPr>
              <w:t>1</w:t>
            </w:r>
            <w:r>
              <w:rPr>
                <w:lang w:val="en-AU"/>
              </w:rPr>
              <w:t>5</w:t>
            </w:r>
            <w:r w:rsidRPr="003F207B">
              <w:rPr>
                <w:lang w:val="en-AU"/>
              </w:rPr>
              <w:t xml:space="preserve"> February 201</w:t>
            </w:r>
            <w:r>
              <w:rPr>
                <w:lang w:val="en-AU"/>
              </w:rPr>
              <w:t>9</w:t>
            </w:r>
          </w:p>
        </w:tc>
        <w:tc>
          <w:tcPr>
            <w:tcW w:w="2303" w:type="dxa"/>
          </w:tcPr>
          <w:p w14:paraId="4D58B9C9" w14:textId="77777777" w:rsidR="003F207B" w:rsidRPr="003F207B" w:rsidRDefault="003F207B" w:rsidP="00E070A8">
            <w:pPr>
              <w:pStyle w:val="Body"/>
              <w:rPr>
                <w:lang w:val="en-AU"/>
              </w:rPr>
            </w:pPr>
            <w:r w:rsidRPr="003F207B">
              <w:rPr>
                <w:lang w:val="en-AU"/>
              </w:rPr>
              <w:t>Contractor Representative/ Facility Director</w:t>
            </w:r>
          </w:p>
        </w:tc>
        <w:tc>
          <w:tcPr>
            <w:tcW w:w="2255" w:type="dxa"/>
          </w:tcPr>
          <w:p w14:paraId="5FDC441C" w14:textId="77777777" w:rsidR="003F207B" w:rsidRPr="003F207B" w:rsidRDefault="003F207B" w:rsidP="00E070A8">
            <w:pPr>
              <w:pStyle w:val="Body"/>
              <w:rPr>
                <w:lang w:val="en-AU"/>
              </w:rPr>
            </w:pPr>
            <w:r w:rsidRPr="003F207B">
              <w:rPr>
                <w:lang w:val="en-AU"/>
              </w:rPr>
              <w:t>N/A</w:t>
            </w:r>
          </w:p>
        </w:tc>
      </w:tr>
      <w:tr w:rsidR="00D357E9" w:rsidRPr="003F207B" w14:paraId="5D02D503" w14:textId="77777777" w:rsidTr="00E070A8">
        <w:trPr>
          <w:trHeight w:val="653"/>
        </w:trPr>
        <w:tc>
          <w:tcPr>
            <w:tcW w:w="2224" w:type="dxa"/>
          </w:tcPr>
          <w:p w14:paraId="1404853C" w14:textId="7E8559A0" w:rsidR="00D357E9" w:rsidRPr="003F207B" w:rsidRDefault="00D357E9" w:rsidP="00E070A8">
            <w:pPr>
              <w:pStyle w:val="Body"/>
              <w:rPr>
                <w:lang w:val="en-AU"/>
              </w:rPr>
            </w:pPr>
            <w:r>
              <w:rPr>
                <w:lang w:val="en-AU"/>
              </w:rPr>
              <w:t>2.0</w:t>
            </w:r>
          </w:p>
        </w:tc>
        <w:tc>
          <w:tcPr>
            <w:tcW w:w="2237" w:type="dxa"/>
          </w:tcPr>
          <w:p w14:paraId="0C780187" w14:textId="54AA18A6" w:rsidR="00D357E9" w:rsidRPr="003F207B" w:rsidRDefault="00D357E9" w:rsidP="00E070A8">
            <w:pPr>
              <w:pStyle w:val="Body"/>
              <w:rPr>
                <w:lang w:val="en-AU"/>
              </w:rPr>
            </w:pPr>
            <w:r>
              <w:rPr>
                <w:lang w:val="en-AU"/>
              </w:rPr>
              <w:t>24 April 2019</w:t>
            </w:r>
          </w:p>
        </w:tc>
        <w:tc>
          <w:tcPr>
            <w:tcW w:w="2303" w:type="dxa"/>
          </w:tcPr>
          <w:p w14:paraId="72DF4A64" w14:textId="71338705" w:rsidR="00D357E9" w:rsidRPr="003F207B" w:rsidRDefault="00D357E9" w:rsidP="00E070A8">
            <w:pPr>
              <w:pStyle w:val="Body"/>
              <w:rPr>
                <w:lang w:val="en-AU"/>
              </w:rPr>
            </w:pPr>
            <w:r w:rsidRPr="003F207B">
              <w:rPr>
                <w:lang w:val="en-AU"/>
              </w:rPr>
              <w:t>Contractor Representative/ Facility Director</w:t>
            </w:r>
          </w:p>
        </w:tc>
        <w:tc>
          <w:tcPr>
            <w:tcW w:w="2255" w:type="dxa"/>
          </w:tcPr>
          <w:p w14:paraId="7B35E0ED" w14:textId="1F3A6247" w:rsidR="00D357E9" w:rsidRPr="003F207B" w:rsidRDefault="00D357E9" w:rsidP="00E070A8">
            <w:pPr>
              <w:pStyle w:val="Body"/>
              <w:rPr>
                <w:lang w:val="en-AU"/>
              </w:rPr>
            </w:pPr>
            <w:r>
              <w:rPr>
                <w:lang w:val="en-AU"/>
              </w:rPr>
              <w:t>Updated in response to DFAT feedback</w:t>
            </w:r>
          </w:p>
        </w:tc>
      </w:tr>
      <w:tr w:rsidR="00077BFB" w:rsidRPr="003F207B" w14:paraId="6EC197AB" w14:textId="77777777" w:rsidTr="00E070A8">
        <w:trPr>
          <w:trHeight w:val="653"/>
        </w:trPr>
        <w:tc>
          <w:tcPr>
            <w:tcW w:w="2224" w:type="dxa"/>
          </w:tcPr>
          <w:p w14:paraId="1FE95A1E" w14:textId="7CC2C2DC" w:rsidR="00077BFB" w:rsidRDefault="00077BFB" w:rsidP="00E070A8">
            <w:pPr>
              <w:pStyle w:val="Body"/>
              <w:rPr>
                <w:lang w:val="en-AU"/>
              </w:rPr>
            </w:pPr>
            <w:r>
              <w:rPr>
                <w:lang w:val="en-AU"/>
              </w:rPr>
              <w:t>3.0</w:t>
            </w:r>
          </w:p>
        </w:tc>
        <w:tc>
          <w:tcPr>
            <w:tcW w:w="2237" w:type="dxa"/>
          </w:tcPr>
          <w:p w14:paraId="5632F276" w14:textId="5CD04CB2" w:rsidR="00077BFB" w:rsidRDefault="00077BFB" w:rsidP="00E070A8">
            <w:pPr>
              <w:pStyle w:val="Body"/>
              <w:rPr>
                <w:lang w:val="en-AU"/>
              </w:rPr>
            </w:pPr>
            <w:r>
              <w:rPr>
                <w:lang w:val="en-AU"/>
              </w:rPr>
              <w:t>10 October 2019</w:t>
            </w:r>
          </w:p>
        </w:tc>
        <w:tc>
          <w:tcPr>
            <w:tcW w:w="2303" w:type="dxa"/>
          </w:tcPr>
          <w:p w14:paraId="7B8C703B" w14:textId="4FD8E254" w:rsidR="00077BFB" w:rsidRPr="003F207B" w:rsidRDefault="00077BFB" w:rsidP="00E070A8">
            <w:pPr>
              <w:pStyle w:val="Body"/>
              <w:rPr>
                <w:lang w:val="en-AU"/>
              </w:rPr>
            </w:pPr>
            <w:r>
              <w:rPr>
                <w:lang w:val="en-AU"/>
              </w:rPr>
              <w:t>Facility Director</w:t>
            </w:r>
          </w:p>
        </w:tc>
        <w:tc>
          <w:tcPr>
            <w:tcW w:w="2255" w:type="dxa"/>
          </w:tcPr>
          <w:p w14:paraId="55BA7FB1" w14:textId="6BBBA5D7" w:rsidR="00077BFB" w:rsidRDefault="00077BFB" w:rsidP="00E070A8">
            <w:pPr>
              <w:pStyle w:val="Body"/>
              <w:rPr>
                <w:lang w:val="en-AU"/>
              </w:rPr>
            </w:pPr>
            <w:r>
              <w:rPr>
                <w:lang w:val="en-AU"/>
              </w:rPr>
              <w:t>Revised for publication (to remove confidential data).</w:t>
            </w:r>
          </w:p>
        </w:tc>
      </w:tr>
    </w:tbl>
    <w:p w14:paraId="6197BAA9" w14:textId="3692C400" w:rsidR="003D53CE" w:rsidRDefault="004320B1" w:rsidP="00C252C1">
      <w:pPr>
        <w:pStyle w:val="Contenttext"/>
      </w:pPr>
      <w:r>
        <w:br w:type="page"/>
      </w:r>
    </w:p>
    <w:sdt>
      <w:sdtPr>
        <w:id w:val="2121875984"/>
        <w:docPartObj>
          <w:docPartGallery w:val="Table of Contents"/>
          <w:docPartUnique/>
        </w:docPartObj>
      </w:sdtPr>
      <w:sdtEndPr>
        <w:rPr>
          <w:b/>
          <w:bCs/>
          <w:noProof/>
        </w:rPr>
      </w:sdtEndPr>
      <w:sdtContent>
        <w:p w14:paraId="63079F56" w14:textId="77777777" w:rsidR="004320B1" w:rsidRPr="006D3BD8" w:rsidRDefault="004320B1" w:rsidP="004320B1">
          <w:pPr>
            <w:rPr>
              <w:sz w:val="2"/>
              <w:szCs w:val="2"/>
            </w:rPr>
          </w:pPr>
        </w:p>
        <w:p w14:paraId="36788ADF" w14:textId="77777777" w:rsidR="003E4CF0" w:rsidRDefault="003E4CF0" w:rsidP="002703DB">
          <w:pPr>
            <w:pStyle w:val="TOCHeading"/>
          </w:pPr>
          <w:r>
            <w:t>Table of Contents</w:t>
          </w:r>
        </w:p>
        <w:p w14:paraId="6E90D2D0" w14:textId="77777777" w:rsidR="00EB22E8" w:rsidRDefault="003E4CF0">
          <w:pPr>
            <w:pStyle w:val="TOC1"/>
            <w:rPr>
              <w:rFonts w:asciiTheme="minorHAnsi" w:eastAsiaTheme="minorEastAsia" w:hAnsiTheme="minorHAnsi" w:cstheme="minorBidi"/>
              <w:noProof/>
              <w:color w:val="auto"/>
              <w:lang w:val="en-AU" w:eastAsia="en-AU"/>
            </w:rPr>
          </w:pPr>
          <w:r>
            <w:rPr>
              <w:b/>
              <w:bCs/>
              <w:noProof/>
            </w:rPr>
            <w:fldChar w:fldCharType="begin"/>
          </w:r>
          <w:r>
            <w:rPr>
              <w:b/>
              <w:bCs/>
              <w:noProof/>
            </w:rPr>
            <w:instrText xml:space="preserve"> TOC \o "1-3" \h \z \u </w:instrText>
          </w:r>
          <w:r>
            <w:rPr>
              <w:b/>
              <w:bCs/>
              <w:noProof/>
            </w:rPr>
            <w:fldChar w:fldCharType="separate"/>
          </w:r>
          <w:hyperlink w:anchor="_Toc19006704" w:history="1">
            <w:r w:rsidR="00EB22E8" w:rsidRPr="00AB1C2C">
              <w:rPr>
                <w:rStyle w:val="Hyperlink"/>
                <w:noProof/>
                <w:lang w:bidi="en-US"/>
              </w:rPr>
              <w:t>1.</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Executive Summary</w:t>
            </w:r>
            <w:r w:rsidR="00EB22E8">
              <w:rPr>
                <w:noProof/>
                <w:webHidden/>
              </w:rPr>
              <w:tab/>
            </w:r>
            <w:r w:rsidR="00EB22E8">
              <w:rPr>
                <w:noProof/>
                <w:webHidden/>
              </w:rPr>
              <w:fldChar w:fldCharType="begin"/>
            </w:r>
            <w:r w:rsidR="00EB22E8">
              <w:rPr>
                <w:noProof/>
                <w:webHidden/>
              </w:rPr>
              <w:instrText xml:space="preserve"> PAGEREF _Toc19006704 \h </w:instrText>
            </w:r>
            <w:r w:rsidR="00EB22E8">
              <w:rPr>
                <w:noProof/>
                <w:webHidden/>
              </w:rPr>
            </w:r>
            <w:r w:rsidR="00EB22E8">
              <w:rPr>
                <w:noProof/>
                <w:webHidden/>
              </w:rPr>
              <w:fldChar w:fldCharType="separate"/>
            </w:r>
            <w:r w:rsidR="00EB22E8">
              <w:rPr>
                <w:noProof/>
                <w:webHidden/>
              </w:rPr>
              <w:t>1</w:t>
            </w:r>
            <w:r w:rsidR="00EB22E8">
              <w:rPr>
                <w:noProof/>
                <w:webHidden/>
              </w:rPr>
              <w:fldChar w:fldCharType="end"/>
            </w:r>
          </w:hyperlink>
        </w:p>
        <w:p w14:paraId="44F45D90" w14:textId="77777777" w:rsidR="00EB22E8" w:rsidRDefault="00993E6F">
          <w:pPr>
            <w:pStyle w:val="TOC2"/>
            <w:rPr>
              <w:rFonts w:asciiTheme="minorHAnsi" w:eastAsiaTheme="minorEastAsia" w:hAnsiTheme="minorHAnsi" w:cstheme="minorBidi"/>
              <w:color w:val="auto"/>
              <w:lang w:val="en-AU" w:eastAsia="en-AU"/>
            </w:rPr>
          </w:pPr>
          <w:hyperlink w:anchor="_Toc19006705" w:history="1">
            <w:r w:rsidR="00EB22E8" w:rsidRPr="00AB1C2C">
              <w:rPr>
                <w:rStyle w:val="Hyperlink"/>
                <w:lang w:bidi="en-US"/>
              </w:rPr>
              <w:t>1.1.</w:t>
            </w:r>
            <w:r w:rsidR="00EB22E8">
              <w:rPr>
                <w:rFonts w:asciiTheme="minorHAnsi" w:eastAsiaTheme="minorEastAsia" w:hAnsiTheme="minorHAnsi" w:cstheme="minorBidi"/>
                <w:color w:val="auto"/>
                <w:lang w:val="en-AU" w:eastAsia="en-AU"/>
              </w:rPr>
              <w:tab/>
            </w:r>
            <w:r w:rsidR="00EB22E8" w:rsidRPr="00AB1C2C">
              <w:rPr>
                <w:rStyle w:val="Hyperlink"/>
                <w:lang w:bidi="en-US"/>
              </w:rPr>
              <w:t>TASS Background</w:t>
            </w:r>
            <w:r w:rsidR="00EB22E8">
              <w:rPr>
                <w:webHidden/>
              </w:rPr>
              <w:tab/>
            </w:r>
            <w:r w:rsidR="00EB22E8">
              <w:rPr>
                <w:webHidden/>
              </w:rPr>
              <w:fldChar w:fldCharType="begin"/>
            </w:r>
            <w:r w:rsidR="00EB22E8">
              <w:rPr>
                <w:webHidden/>
              </w:rPr>
              <w:instrText xml:space="preserve"> PAGEREF _Toc19006705 \h </w:instrText>
            </w:r>
            <w:r w:rsidR="00EB22E8">
              <w:rPr>
                <w:webHidden/>
              </w:rPr>
            </w:r>
            <w:r w:rsidR="00EB22E8">
              <w:rPr>
                <w:webHidden/>
              </w:rPr>
              <w:fldChar w:fldCharType="separate"/>
            </w:r>
            <w:r w:rsidR="00EB22E8">
              <w:rPr>
                <w:webHidden/>
              </w:rPr>
              <w:t>1</w:t>
            </w:r>
            <w:r w:rsidR="00EB22E8">
              <w:rPr>
                <w:webHidden/>
              </w:rPr>
              <w:fldChar w:fldCharType="end"/>
            </w:r>
          </w:hyperlink>
        </w:p>
        <w:p w14:paraId="6DB63BA5" w14:textId="77777777" w:rsidR="00EB22E8" w:rsidRDefault="00993E6F">
          <w:pPr>
            <w:pStyle w:val="TOC2"/>
            <w:rPr>
              <w:rFonts w:asciiTheme="minorHAnsi" w:eastAsiaTheme="minorEastAsia" w:hAnsiTheme="minorHAnsi" w:cstheme="minorBidi"/>
              <w:color w:val="auto"/>
              <w:lang w:val="en-AU" w:eastAsia="en-AU"/>
            </w:rPr>
          </w:pPr>
          <w:hyperlink w:anchor="_Toc19006706" w:history="1">
            <w:r w:rsidR="00EB22E8" w:rsidRPr="00AB1C2C">
              <w:rPr>
                <w:rStyle w:val="Hyperlink"/>
                <w:lang w:bidi="en-US"/>
              </w:rPr>
              <w:t>1.2.</w:t>
            </w:r>
            <w:r w:rsidR="00EB22E8">
              <w:rPr>
                <w:rFonts w:asciiTheme="minorHAnsi" w:eastAsiaTheme="minorEastAsia" w:hAnsiTheme="minorHAnsi" w:cstheme="minorBidi"/>
                <w:color w:val="auto"/>
                <w:lang w:val="en-AU" w:eastAsia="en-AU"/>
              </w:rPr>
              <w:tab/>
            </w:r>
            <w:r w:rsidR="00EB22E8" w:rsidRPr="00AB1C2C">
              <w:rPr>
                <w:rStyle w:val="Hyperlink"/>
                <w:lang w:bidi="en-US"/>
              </w:rPr>
              <w:t>Evolution of the program</w:t>
            </w:r>
            <w:r w:rsidR="00EB22E8">
              <w:rPr>
                <w:webHidden/>
              </w:rPr>
              <w:tab/>
            </w:r>
            <w:r w:rsidR="00EB22E8">
              <w:rPr>
                <w:webHidden/>
              </w:rPr>
              <w:fldChar w:fldCharType="begin"/>
            </w:r>
            <w:r w:rsidR="00EB22E8">
              <w:rPr>
                <w:webHidden/>
              </w:rPr>
              <w:instrText xml:space="preserve"> PAGEREF _Toc19006706 \h </w:instrText>
            </w:r>
            <w:r w:rsidR="00EB22E8">
              <w:rPr>
                <w:webHidden/>
              </w:rPr>
            </w:r>
            <w:r w:rsidR="00EB22E8">
              <w:rPr>
                <w:webHidden/>
              </w:rPr>
              <w:fldChar w:fldCharType="separate"/>
            </w:r>
            <w:r w:rsidR="00EB22E8">
              <w:rPr>
                <w:webHidden/>
              </w:rPr>
              <w:t>1</w:t>
            </w:r>
            <w:r w:rsidR="00EB22E8">
              <w:rPr>
                <w:webHidden/>
              </w:rPr>
              <w:fldChar w:fldCharType="end"/>
            </w:r>
          </w:hyperlink>
        </w:p>
        <w:p w14:paraId="031B1D16" w14:textId="77777777" w:rsidR="00EB22E8" w:rsidRDefault="00993E6F">
          <w:pPr>
            <w:pStyle w:val="TOC2"/>
            <w:rPr>
              <w:rFonts w:asciiTheme="minorHAnsi" w:eastAsiaTheme="minorEastAsia" w:hAnsiTheme="minorHAnsi" w:cstheme="minorBidi"/>
              <w:color w:val="auto"/>
              <w:lang w:val="en-AU" w:eastAsia="en-AU"/>
            </w:rPr>
          </w:pPr>
          <w:hyperlink w:anchor="_Toc19006707" w:history="1">
            <w:r w:rsidR="00EB22E8" w:rsidRPr="00AB1C2C">
              <w:rPr>
                <w:rStyle w:val="Hyperlink"/>
                <w:lang w:bidi="en-US"/>
              </w:rPr>
              <w:t>1.3.</w:t>
            </w:r>
            <w:r w:rsidR="00EB22E8">
              <w:rPr>
                <w:rFonts w:asciiTheme="minorHAnsi" w:eastAsiaTheme="minorEastAsia" w:hAnsiTheme="minorHAnsi" w:cstheme="minorBidi"/>
                <w:color w:val="auto"/>
                <w:lang w:val="en-AU" w:eastAsia="en-AU"/>
              </w:rPr>
              <w:tab/>
            </w:r>
            <w:r w:rsidR="00EB22E8" w:rsidRPr="00AB1C2C">
              <w:rPr>
                <w:rStyle w:val="Hyperlink"/>
                <w:lang w:bidi="en-US"/>
              </w:rPr>
              <w:t>Major Achievements</w:t>
            </w:r>
            <w:r w:rsidR="00EB22E8">
              <w:rPr>
                <w:webHidden/>
              </w:rPr>
              <w:tab/>
            </w:r>
            <w:r w:rsidR="00EB22E8">
              <w:rPr>
                <w:webHidden/>
              </w:rPr>
              <w:fldChar w:fldCharType="begin"/>
            </w:r>
            <w:r w:rsidR="00EB22E8">
              <w:rPr>
                <w:webHidden/>
              </w:rPr>
              <w:instrText xml:space="preserve"> PAGEREF _Toc19006707 \h </w:instrText>
            </w:r>
            <w:r w:rsidR="00EB22E8">
              <w:rPr>
                <w:webHidden/>
              </w:rPr>
            </w:r>
            <w:r w:rsidR="00EB22E8">
              <w:rPr>
                <w:webHidden/>
              </w:rPr>
              <w:fldChar w:fldCharType="separate"/>
            </w:r>
            <w:r w:rsidR="00EB22E8">
              <w:rPr>
                <w:webHidden/>
              </w:rPr>
              <w:t>2</w:t>
            </w:r>
            <w:r w:rsidR="00EB22E8">
              <w:rPr>
                <w:webHidden/>
              </w:rPr>
              <w:fldChar w:fldCharType="end"/>
            </w:r>
          </w:hyperlink>
        </w:p>
        <w:p w14:paraId="42377716" w14:textId="77777777" w:rsidR="00EB22E8" w:rsidRDefault="00993E6F">
          <w:pPr>
            <w:pStyle w:val="TOC2"/>
            <w:rPr>
              <w:rFonts w:asciiTheme="minorHAnsi" w:eastAsiaTheme="minorEastAsia" w:hAnsiTheme="minorHAnsi" w:cstheme="minorBidi"/>
              <w:color w:val="auto"/>
              <w:lang w:val="en-AU" w:eastAsia="en-AU"/>
            </w:rPr>
          </w:pPr>
          <w:hyperlink w:anchor="_Toc19006708" w:history="1">
            <w:r w:rsidR="00EB22E8" w:rsidRPr="00AB1C2C">
              <w:rPr>
                <w:rStyle w:val="Hyperlink"/>
                <w:lang w:bidi="en-US"/>
              </w:rPr>
              <w:t>1.4.</w:t>
            </w:r>
            <w:r w:rsidR="00EB22E8">
              <w:rPr>
                <w:rFonts w:asciiTheme="minorHAnsi" w:eastAsiaTheme="minorEastAsia" w:hAnsiTheme="minorHAnsi" w:cstheme="minorBidi"/>
                <w:color w:val="auto"/>
                <w:lang w:val="en-AU" w:eastAsia="en-AU"/>
              </w:rPr>
              <w:tab/>
            </w:r>
            <w:r w:rsidR="00EB22E8" w:rsidRPr="00AB1C2C">
              <w:rPr>
                <w:rStyle w:val="Hyperlink"/>
                <w:lang w:bidi="en-US"/>
              </w:rPr>
              <w:t>Progress on Outcomes</w:t>
            </w:r>
            <w:r w:rsidR="00EB22E8">
              <w:rPr>
                <w:webHidden/>
              </w:rPr>
              <w:tab/>
            </w:r>
            <w:r w:rsidR="00EB22E8">
              <w:rPr>
                <w:webHidden/>
              </w:rPr>
              <w:fldChar w:fldCharType="begin"/>
            </w:r>
            <w:r w:rsidR="00EB22E8">
              <w:rPr>
                <w:webHidden/>
              </w:rPr>
              <w:instrText xml:space="preserve"> PAGEREF _Toc19006708 \h </w:instrText>
            </w:r>
            <w:r w:rsidR="00EB22E8">
              <w:rPr>
                <w:webHidden/>
              </w:rPr>
            </w:r>
            <w:r w:rsidR="00EB22E8">
              <w:rPr>
                <w:webHidden/>
              </w:rPr>
              <w:fldChar w:fldCharType="separate"/>
            </w:r>
            <w:r w:rsidR="00EB22E8">
              <w:rPr>
                <w:webHidden/>
              </w:rPr>
              <w:t>4</w:t>
            </w:r>
            <w:r w:rsidR="00EB22E8">
              <w:rPr>
                <w:webHidden/>
              </w:rPr>
              <w:fldChar w:fldCharType="end"/>
            </w:r>
          </w:hyperlink>
        </w:p>
        <w:p w14:paraId="64E05345" w14:textId="77777777" w:rsidR="00EB22E8" w:rsidRDefault="00993E6F">
          <w:pPr>
            <w:pStyle w:val="TOC2"/>
            <w:rPr>
              <w:rFonts w:asciiTheme="minorHAnsi" w:eastAsiaTheme="minorEastAsia" w:hAnsiTheme="minorHAnsi" w:cstheme="minorBidi"/>
              <w:color w:val="auto"/>
              <w:lang w:val="en-AU" w:eastAsia="en-AU"/>
            </w:rPr>
          </w:pPr>
          <w:hyperlink w:anchor="_Toc19006709" w:history="1">
            <w:r w:rsidR="00EB22E8" w:rsidRPr="00AB1C2C">
              <w:rPr>
                <w:rStyle w:val="Hyperlink"/>
                <w:lang w:bidi="en-US"/>
              </w:rPr>
              <w:t>1.5.</w:t>
            </w:r>
            <w:r w:rsidR="00EB22E8">
              <w:rPr>
                <w:rFonts w:asciiTheme="minorHAnsi" w:eastAsiaTheme="minorEastAsia" w:hAnsiTheme="minorHAnsi" w:cstheme="minorBidi"/>
                <w:color w:val="auto"/>
                <w:lang w:val="en-AU" w:eastAsia="en-AU"/>
              </w:rPr>
              <w:tab/>
            </w:r>
            <w:r w:rsidR="00EB22E8" w:rsidRPr="00AB1C2C">
              <w:rPr>
                <w:rStyle w:val="Hyperlink"/>
                <w:lang w:bidi="en-US"/>
              </w:rPr>
              <w:t>Lessons and Future Planning</w:t>
            </w:r>
            <w:r w:rsidR="00EB22E8">
              <w:rPr>
                <w:webHidden/>
              </w:rPr>
              <w:tab/>
            </w:r>
            <w:r w:rsidR="00EB22E8">
              <w:rPr>
                <w:webHidden/>
              </w:rPr>
              <w:fldChar w:fldCharType="begin"/>
            </w:r>
            <w:r w:rsidR="00EB22E8">
              <w:rPr>
                <w:webHidden/>
              </w:rPr>
              <w:instrText xml:space="preserve"> PAGEREF _Toc19006709 \h </w:instrText>
            </w:r>
            <w:r w:rsidR="00EB22E8">
              <w:rPr>
                <w:webHidden/>
              </w:rPr>
            </w:r>
            <w:r w:rsidR="00EB22E8">
              <w:rPr>
                <w:webHidden/>
              </w:rPr>
              <w:fldChar w:fldCharType="separate"/>
            </w:r>
            <w:r w:rsidR="00EB22E8">
              <w:rPr>
                <w:webHidden/>
              </w:rPr>
              <w:t>4</w:t>
            </w:r>
            <w:r w:rsidR="00EB22E8">
              <w:rPr>
                <w:webHidden/>
              </w:rPr>
              <w:fldChar w:fldCharType="end"/>
            </w:r>
          </w:hyperlink>
        </w:p>
        <w:p w14:paraId="0CE76B77" w14:textId="77777777" w:rsidR="00EB22E8" w:rsidRDefault="00993E6F">
          <w:pPr>
            <w:pStyle w:val="TOC1"/>
            <w:rPr>
              <w:rFonts w:asciiTheme="minorHAnsi" w:eastAsiaTheme="minorEastAsia" w:hAnsiTheme="minorHAnsi" w:cstheme="minorBidi"/>
              <w:noProof/>
              <w:color w:val="auto"/>
              <w:lang w:val="en-AU" w:eastAsia="en-AU"/>
            </w:rPr>
          </w:pPr>
          <w:hyperlink w:anchor="_Toc19006710" w:history="1">
            <w:r w:rsidR="00EB22E8" w:rsidRPr="00AB1C2C">
              <w:rPr>
                <w:rStyle w:val="Hyperlink"/>
                <w:rFonts w:eastAsia="Calibri"/>
                <w:noProof/>
                <w:lang w:bidi="en-US"/>
              </w:rPr>
              <w:t>2.</w:t>
            </w:r>
            <w:r w:rsidR="00EB22E8">
              <w:rPr>
                <w:rFonts w:asciiTheme="minorHAnsi" w:eastAsiaTheme="minorEastAsia" w:hAnsiTheme="minorHAnsi" w:cstheme="minorBidi"/>
                <w:noProof/>
                <w:color w:val="auto"/>
                <w:lang w:val="en-AU" w:eastAsia="en-AU"/>
              </w:rPr>
              <w:tab/>
            </w:r>
            <w:r w:rsidR="00EB22E8" w:rsidRPr="00AB1C2C">
              <w:rPr>
                <w:rStyle w:val="Hyperlink"/>
                <w:rFonts w:eastAsia="Calibri"/>
                <w:noProof/>
                <w:lang w:bidi="en-US"/>
              </w:rPr>
              <w:t>Introduction</w:t>
            </w:r>
            <w:r w:rsidR="00EB22E8">
              <w:rPr>
                <w:noProof/>
                <w:webHidden/>
              </w:rPr>
              <w:tab/>
            </w:r>
            <w:r w:rsidR="00EB22E8">
              <w:rPr>
                <w:noProof/>
                <w:webHidden/>
              </w:rPr>
              <w:fldChar w:fldCharType="begin"/>
            </w:r>
            <w:r w:rsidR="00EB22E8">
              <w:rPr>
                <w:noProof/>
                <w:webHidden/>
              </w:rPr>
              <w:instrText xml:space="preserve"> PAGEREF _Toc19006710 \h </w:instrText>
            </w:r>
            <w:r w:rsidR="00EB22E8">
              <w:rPr>
                <w:noProof/>
                <w:webHidden/>
              </w:rPr>
            </w:r>
            <w:r w:rsidR="00EB22E8">
              <w:rPr>
                <w:noProof/>
                <w:webHidden/>
              </w:rPr>
              <w:fldChar w:fldCharType="separate"/>
            </w:r>
            <w:r w:rsidR="00EB22E8">
              <w:rPr>
                <w:noProof/>
                <w:webHidden/>
              </w:rPr>
              <w:t>6</w:t>
            </w:r>
            <w:r w:rsidR="00EB22E8">
              <w:rPr>
                <w:noProof/>
                <w:webHidden/>
              </w:rPr>
              <w:fldChar w:fldCharType="end"/>
            </w:r>
          </w:hyperlink>
        </w:p>
        <w:p w14:paraId="25126F33" w14:textId="77777777" w:rsidR="00EB22E8" w:rsidRDefault="00993E6F">
          <w:pPr>
            <w:pStyle w:val="TOC2"/>
            <w:rPr>
              <w:rFonts w:asciiTheme="minorHAnsi" w:eastAsiaTheme="minorEastAsia" w:hAnsiTheme="minorHAnsi" w:cstheme="minorBidi"/>
              <w:color w:val="auto"/>
              <w:lang w:val="en-AU" w:eastAsia="en-AU"/>
            </w:rPr>
          </w:pPr>
          <w:hyperlink w:anchor="_Toc19006711" w:history="1">
            <w:r w:rsidR="00EB22E8" w:rsidRPr="00AB1C2C">
              <w:rPr>
                <w:rStyle w:val="Hyperlink"/>
                <w:rFonts w:eastAsia="Calibri"/>
                <w:lang w:bidi="en-US"/>
              </w:rPr>
              <w:t>2.1.</w:t>
            </w:r>
            <w:r w:rsidR="00EB22E8">
              <w:rPr>
                <w:rFonts w:asciiTheme="minorHAnsi" w:eastAsiaTheme="minorEastAsia" w:hAnsiTheme="minorHAnsi" w:cstheme="minorBidi"/>
                <w:color w:val="auto"/>
                <w:lang w:val="en-AU" w:eastAsia="en-AU"/>
              </w:rPr>
              <w:tab/>
            </w:r>
            <w:r w:rsidR="00EB22E8" w:rsidRPr="00AB1C2C">
              <w:rPr>
                <w:rStyle w:val="Hyperlink"/>
                <w:rFonts w:eastAsia="Calibri"/>
                <w:lang w:bidi="en-US"/>
              </w:rPr>
              <w:t>Program Background</w:t>
            </w:r>
            <w:r w:rsidR="00EB22E8">
              <w:rPr>
                <w:webHidden/>
              </w:rPr>
              <w:tab/>
            </w:r>
            <w:r w:rsidR="00EB22E8">
              <w:rPr>
                <w:webHidden/>
              </w:rPr>
              <w:fldChar w:fldCharType="begin"/>
            </w:r>
            <w:r w:rsidR="00EB22E8">
              <w:rPr>
                <w:webHidden/>
              </w:rPr>
              <w:instrText xml:space="preserve"> PAGEREF _Toc19006711 \h </w:instrText>
            </w:r>
            <w:r w:rsidR="00EB22E8">
              <w:rPr>
                <w:webHidden/>
              </w:rPr>
            </w:r>
            <w:r w:rsidR="00EB22E8">
              <w:rPr>
                <w:webHidden/>
              </w:rPr>
              <w:fldChar w:fldCharType="separate"/>
            </w:r>
            <w:r w:rsidR="00EB22E8">
              <w:rPr>
                <w:webHidden/>
              </w:rPr>
              <w:t>6</w:t>
            </w:r>
            <w:r w:rsidR="00EB22E8">
              <w:rPr>
                <w:webHidden/>
              </w:rPr>
              <w:fldChar w:fldCharType="end"/>
            </w:r>
          </w:hyperlink>
        </w:p>
        <w:p w14:paraId="4F40CF7E" w14:textId="77777777" w:rsidR="00EB22E8" w:rsidRDefault="00993E6F">
          <w:pPr>
            <w:pStyle w:val="TOC2"/>
            <w:rPr>
              <w:rFonts w:asciiTheme="minorHAnsi" w:eastAsiaTheme="minorEastAsia" w:hAnsiTheme="minorHAnsi" w:cstheme="minorBidi"/>
              <w:color w:val="auto"/>
              <w:lang w:val="en-AU" w:eastAsia="en-AU"/>
            </w:rPr>
          </w:pPr>
          <w:hyperlink w:anchor="_Toc19006712" w:history="1">
            <w:r w:rsidR="00EB22E8" w:rsidRPr="00AB1C2C">
              <w:rPr>
                <w:rStyle w:val="Hyperlink"/>
                <w:rFonts w:eastAsia="Calibri"/>
                <w:lang w:bidi="en-US"/>
              </w:rPr>
              <w:t>2.2.</w:t>
            </w:r>
            <w:r w:rsidR="00EB22E8">
              <w:rPr>
                <w:rFonts w:asciiTheme="minorHAnsi" w:eastAsiaTheme="minorEastAsia" w:hAnsiTheme="minorHAnsi" w:cstheme="minorBidi"/>
                <w:color w:val="auto"/>
                <w:lang w:val="en-AU" w:eastAsia="en-AU"/>
              </w:rPr>
              <w:tab/>
            </w:r>
            <w:r w:rsidR="00EB22E8" w:rsidRPr="00AB1C2C">
              <w:rPr>
                <w:rStyle w:val="Hyperlink"/>
                <w:rFonts w:eastAsia="Calibri"/>
                <w:lang w:bidi="en-US"/>
              </w:rPr>
              <w:t>2018 Program Overview</w:t>
            </w:r>
            <w:r w:rsidR="00EB22E8">
              <w:rPr>
                <w:webHidden/>
              </w:rPr>
              <w:tab/>
            </w:r>
            <w:r w:rsidR="00EB22E8">
              <w:rPr>
                <w:webHidden/>
              </w:rPr>
              <w:fldChar w:fldCharType="begin"/>
            </w:r>
            <w:r w:rsidR="00EB22E8">
              <w:rPr>
                <w:webHidden/>
              </w:rPr>
              <w:instrText xml:space="preserve"> PAGEREF _Toc19006712 \h </w:instrText>
            </w:r>
            <w:r w:rsidR="00EB22E8">
              <w:rPr>
                <w:webHidden/>
              </w:rPr>
            </w:r>
            <w:r w:rsidR="00EB22E8">
              <w:rPr>
                <w:webHidden/>
              </w:rPr>
              <w:fldChar w:fldCharType="separate"/>
            </w:r>
            <w:r w:rsidR="00EB22E8">
              <w:rPr>
                <w:webHidden/>
              </w:rPr>
              <w:t>6</w:t>
            </w:r>
            <w:r w:rsidR="00EB22E8">
              <w:rPr>
                <w:webHidden/>
              </w:rPr>
              <w:fldChar w:fldCharType="end"/>
            </w:r>
          </w:hyperlink>
        </w:p>
        <w:p w14:paraId="0464F80F" w14:textId="77777777" w:rsidR="00EB22E8" w:rsidRDefault="00993E6F">
          <w:pPr>
            <w:pStyle w:val="TOC2"/>
            <w:rPr>
              <w:rFonts w:asciiTheme="minorHAnsi" w:eastAsiaTheme="minorEastAsia" w:hAnsiTheme="minorHAnsi" w:cstheme="minorBidi"/>
              <w:color w:val="auto"/>
              <w:lang w:val="en-AU" w:eastAsia="en-AU"/>
            </w:rPr>
          </w:pPr>
          <w:hyperlink w:anchor="_Toc19006713" w:history="1">
            <w:r w:rsidR="00EB22E8" w:rsidRPr="00AB1C2C">
              <w:rPr>
                <w:rStyle w:val="Hyperlink"/>
                <w:rFonts w:eastAsia="Calibri"/>
                <w:lang w:bidi="en-US"/>
              </w:rPr>
              <w:t>2.3.</w:t>
            </w:r>
            <w:r w:rsidR="00EB22E8">
              <w:rPr>
                <w:rFonts w:asciiTheme="minorHAnsi" w:eastAsiaTheme="minorEastAsia" w:hAnsiTheme="minorHAnsi" w:cstheme="minorBidi"/>
                <w:color w:val="auto"/>
                <w:lang w:val="en-AU" w:eastAsia="en-AU"/>
              </w:rPr>
              <w:tab/>
            </w:r>
            <w:r w:rsidR="00EB22E8" w:rsidRPr="00AB1C2C">
              <w:rPr>
                <w:rStyle w:val="Hyperlink"/>
                <w:rFonts w:eastAsia="Calibri"/>
                <w:lang w:bidi="en-US"/>
              </w:rPr>
              <w:t>2018 Context Overview</w:t>
            </w:r>
            <w:r w:rsidR="00EB22E8">
              <w:rPr>
                <w:webHidden/>
              </w:rPr>
              <w:tab/>
            </w:r>
            <w:r w:rsidR="00EB22E8">
              <w:rPr>
                <w:webHidden/>
              </w:rPr>
              <w:fldChar w:fldCharType="begin"/>
            </w:r>
            <w:r w:rsidR="00EB22E8">
              <w:rPr>
                <w:webHidden/>
              </w:rPr>
              <w:instrText xml:space="preserve"> PAGEREF _Toc19006713 \h </w:instrText>
            </w:r>
            <w:r w:rsidR="00EB22E8">
              <w:rPr>
                <w:webHidden/>
              </w:rPr>
            </w:r>
            <w:r w:rsidR="00EB22E8">
              <w:rPr>
                <w:webHidden/>
              </w:rPr>
              <w:fldChar w:fldCharType="separate"/>
            </w:r>
            <w:r w:rsidR="00EB22E8">
              <w:rPr>
                <w:webHidden/>
              </w:rPr>
              <w:t>9</w:t>
            </w:r>
            <w:r w:rsidR="00EB22E8">
              <w:rPr>
                <w:webHidden/>
              </w:rPr>
              <w:fldChar w:fldCharType="end"/>
            </w:r>
          </w:hyperlink>
        </w:p>
        <w:p w14:paraId="308CFE6A"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14" w:history="1">
            <w:r w:rsidR="00EB22E8" w:rsidRPr="00AB1C2C">
              <w:rPr>
                <w:rStyle w:val="Hyperlink"/>
                <w:noProof/>
                <w:lang w:bidi="en-US"/>
              </w:rPr>
              <w:t>2.3.1.</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Ministry of Education and Culture</w:t>
            </w:r>
            <w:r w:rsidR="00EB22E8">
              <w:rPr>
                <w:noProof/>
                <w:webHidden/>
              </w:rPr>
              <w:tab/>
            </w:r>
            <w:r w:rsidR="00EB22E8">
              <w:rPr>
                <w:noProof/>
                <w:webHidden/>
              </w:rPr>
              <w:fldChar w:fldCharType="begin"/>
            </w:r>
            <w:r w:rsidR="00EB22E8">
              <w:rPr>
                <w:noProof/>
                <w:webHidden/>
              </w:rPr>
              <w:instrText xml:space="preserve"> PAGEREF _Toc19006714 \h </w:instrText>
            </w:r>
            <w:r w:rsidR="00EB22E8">
              <w:rPr>
                <w:noProof/>
                <w:webHidden/>
              </w:rPr>
            </w:r>
            <w:r w:rsidR="00EB22E8">
              <w:rPr>
                <w:noProof/>
                <w:webHidden/>
              </w:rPr>
              <w:fldChar w:fldCharType="separate"/>
            </w:r>
            <w:r w:rsidR="00EB22E8">
              <w:rPr>
                <w:noProof/>
                <w:webHidden/>
              </w:rPr>
              <w:t>9</w:t>
            </w:r>
            <w:r w:rsidR="00EB22E8">
              <w:rPr>
                <w:noProof/>
                <w:webHidden/>
              </w:rPr>
              <w:fldChar w:fldCharType="end"/>
            </w:r>
          </w:hyperlink>
        </w:p>
        <w:p w14:paraId="2C08ED5E"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15" w:history="1">
            <w:r w:rsidR="00EB22E8" w:rsidRPr="00AB1C2C">
              <w:rPr>
                <w:rStyle w:val="Hyperlink"/>
                <w:noProof/>
                <w:lang w:bidi="en-US"/>
              </w:rPr>
              <w:t>2.3.2.</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Ministry of Religious Affairs</w:t>
            </w:r>
            <w:r w:rsidR="00EB22E8">
              <w:rPr>
                <w:noProof/>
                <w:webHidden/>
              </w:rPr>
              <w:tab/>
            </w:r>
            <w:r w:rsidR="00EB22E8">
              <w:rPr>
                <w:noProof/>
                <w:webHidden/>
              </w:rPr>
              <w:fldChar w:fldCharType="begin"/>
            </w:r>
            <w:r w:rsidR="00EB22E8">
              <w:rPr>
                <w:noProof/>
                <w:webHidden/>
              </w:rPr>
              <w:instrText xml:space="preserve"> PAGEREF _Toc19006715 \h </w:instrText>
            </w:r>
            <w:r w:rsidR="00EB22E8">
              <w:rPr>
                <w:noProof/>
                <w:webHidden/>
              </w:rPr>
            </w:r>
            <w:r w:rsidR="00EB22E8">
              <w:rPr>
                <w:noProof/>
                <w:webHidden/>
              </w:rPr>
              <w:fldChar w:fldCharType="separate"/>
            </w:r>
            <w:r w:rsidR="00EB22E8">
              <w:rPr>
                <w:noProof/>
                <w:webHidden/>
              </w:rPr>
              <w:t>18</w:t>
            </w:r>
            <w:r w:rsidR="00EB22E8">
              <w:rPr>
                <w:noProof/>
                <w:webHidden/>
              </w:rPr>
              <w:fldChar w:fldCharType="end"/>
            </w:r>
          </w:hyperlink>
        </w:p>
        <w:p w14:paraId="6D870636"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16" w:history="1">
            <w:r w:rsidR="00EB22E8" w:rsidRPr="00AB1C2C">
              <w:rPr>
                <w:rStyle w:val="Hyperlink"/>
                <w:noProof/>
                <w:lang w:bidi="en-US"/>
              </w:rPr>
              <w:t>2.3.3.</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National Development Planning Ministry (Bappenas)</w:t>
            </w:r>
            <w:r w:rsidR="00EB22E8">
              <w:rPr>
                <w:noProof/>
                <w:webHidden/>
              </w:rPr>
              <w:tab/>
            </w:r>
            <w:r w:rsidR="00EB22E8">
              <w:rPr>
                <w:noProof/>
                <w:webHidden/>
              </w:rPr>
              <w:fldChar w:fldCharType="begin"/>
            </w:r>
            <w:r w:rsidR="00EB22E8">
              <w:rPr>
                <w:noProof/>
                <w:webHidden/>
              </w:rPr>
              <w:instrText xml:space="preserve"> PAGEREF _Toc19006716 \h </w:instrText>
            </w:r>
            <w:r w:rsidR="00EB22E8">
              <w:rPr>
                <w:noProof/>
                <w:webHidden/>
              </w:rPr>
            </w:r>
            <w:r w:rsidR="00EB22E8">
              <w:rPr>
                <w:noProof/>
                <w:webHidden/>
              </w:rPr>
              <w:fldChar w:fldCharType="separate"/>
            </w:r>
            <w:r w:rsidR="00EB22E8">
              <w:rPr>
                <w:noProof/>
                <w:webHidden/>
              </w:rPr>
              <w:t>20</w:t>
            </w:r>
            <w:r w:rsidR="00EB22E8">
              <w:rPr>
                <w:noProof/>
                <w:webHidden/>
              </w:rPr>
              <w:fldChar w:fldCharType="end"/>
            </w:r>
          </w:hyperlink>
        </w:p>
        <w:p w14:paraId="7006485D" w14:textId="77777777" w:rsidR="00EB22E8" w:rsidRDefault="00993E6F">
          <w:pPr>
            <w:pStyle w:val="TOC2"/>
            <w:rPr>
              <w:rFonts w:asciiTheme="minorHAnsi" w:eastAsiaTheme="minorEastAsia" w:hAnsiTheme="minorHAnsi" w:cstheme="minorBidi"/>
              <w:color w:val="auto"/>
              <w:lang w:val="en-AU" w:eastAsia="en-AU"/>
            </w:rPr>
          </w:pPr>
          <w:hyperlink w:anchor="_Toc19006717" w:history="1">
            <w:r w:rsidR="00EB22E8" w:rsidRPr="00AB1C2C">
              <w:rPr>
                <w:rStyle w:val="Hyperlink"/>
                <w:rFonts w:eastAsia="Calibri"/>
                <w:lang w:bidi="en-US"/>
              </w:rPr>
              <w:t>2.4.</w:t>
            </w:r>
            <w:r w:rsidR="00EB22E8">
              <w:rPr>
                <w:rFonts w:asciiTheme="minorHAnsi" w:eastAsiaTheme="minorEastAsia" w:hAnsiTheme="minorHAnsi" w:cstheme="minorBidi"/>
                <w:color w:val="auto"/>
                <w:lang w:val="en-AU" w:eastAsia="en-AU"/>
              </w:rPr>
              <w:tab/>
            </w:r>
            <w:r w:rsidR="00EB22E8" w:rsidRPr="00AB1C2C">
              <w:rPr>
                <w:rStyle w:val="Hyperlink"/>
                <w:rFonts w:eastAsia="Calibri"/>
                <w:lang w:bidi="en-US"/>
              </w:rPr>
              <w:t>Department of Foreign Affairs and Trade</w:t>
            </w:r>
            <w:r w:rsidR="00EB22E8">
              <w:rPr>
                <w:webHidden/>
              </w:rPr>
              <w:tab/>
            </w:r>
            <w:r w:rsidR="00EB22E8">
              <w:rPr>
                <w:webHidden/>
              </w:rPr>
              <w:fldChar w:fldCharType="begin"/>
            </w:r>
            <w:r w:rsidR="00EB22E8">
              <w:rPr>
                <w:webHidden/>
              </w:rPr>
              <w:instrText xml:space="preserve"> PAGEREF _Toc19006717 \h </w:instrText>
            </w:r>
            <w:r w:rsidR="00EB22E8">
              <w:rPr>
                <w:webHidden/>
              </w:rPr>
            </w:r>
            <w:r w:rsidR="00EB22E8">
              <w:rPr>
                <w:webHidden/>
              </w:rPr>
              <w:fldChar w:fldCharType="separate"/>
            </w:r>
            <w:r w:rsidR="00EB22E8">
              <w:rPr>
                <w:webHidden/>
              </w:rPr>
              <w:t>21</w:t>
            </w:r>
            <w:r w:rsidR="00EB22E8">
              <w:rPr>
                <w:webHidden/>
              </w:rPr>
              <w:fldChar w:fldCharType="end"/>
            </w:r>
          </w:hyperlink>
        </w:p>
        <w:p w14:paraId="3C1316A4" w14:textId="77777777" w:rsidR="00EB22E8" w:rsidRDefault="00993E6F">
          <w:pPr>
            <w:pStyle w:val="TOC1"/>
            <w:rPr>
              <w:rFonts w:asciiTheme="minorHAnsi" w:eastAsiaTheme="minorEastAsia" w:hAnsiTheme="minorHAnsi" w:cstheme="minorBidi"/>
              <w:noProof/>
              <w:color w:val="auto"/>
              <w:lang w:val="en-AU" w:eastAsia="en-AU"/>
            </w:rPr>
          </w:pPr>
          <w:hyperlink w:anchor="_Toc19006718" w:history="1">
            <w:r w:rsidR="00EB22E8" w:rsidRPr="00AB1C2C">
              <w:rPr>
                <w:rStyle w:val="Hyperlink"/>
                <w:rFonts w:eastAsia="Times New Roman"/>
                <w:noProof/>
                <w:lang w:bidi="en-US"/>
              </w:rPr>
              <w:t>3.</w:t>
            </w:r>
            <w:r w:rsidR="00EB22E8">
              <w:rPr>
                <w:rFonts w:asciiTheme="minorHAnsi" w:eastAsiaTheme="minorEastAsia" w:hAnsiTheme="minorHAnsi" w:cstheme="minorBidi"/>
                <w:noProof/>
                <w:color w:val="auto"/>
                <w:lang w:val="en-AU" w:eastAsia="en-AU"/>
              </w:rPr>
              <w:tab/>
            </w:r>
            <w:r w:rsidR="00EB22E8" w:rsidRPr="00AB1C2C">
              <w:rPr>
                <w:rStyle w:val="Hyperlink"/>
                <w:rFonts w:eastAsia="Times New Roman"/>
                <w:noProof/>
                <w:lang w:bidi="en-US"/>
              </w:rPr>
              <w:t>Program performance</w:t>
            </w:r>
            <w:r w:rsidR="00EB22E8">
              <w:rPr>
                <w:noProof/>
                <w:webHidden/>
              </w:rPr>
              <w:tab/>
            </w:r>
            <w:r w:rsidR="00EB22E8">
              <w:rPr>
                <w:noProof/>
                <w:webHidden/>
              </w:rPr>
              <w:fldChar w:fldCharType="begin"/>
            </w:r>
            <w:r w:rsidR="00EB22E8">
              <w:rPr>
                <w:noProof/>
                <w:webHidden/>
              </w:rPr>
              <w:instrText xml:space="preserve"> PAGEREF _Toc19006718 \h </w:instrText>
            </w:r>
            <w:r w:rsidR="00EB22E8">
              <w:rPr>
                <w:noProof/>
                <w:webHidden/>
              </w:rPr>
            </w:r>
            <w:r w:rsidR="00EB22E8">
              <w:rPr>
                <w:noProof/>
                <w:webHidden/>
              </w:rPr>
              <w:fldChar w:fldCharType="separate"/>
            </w:r>
            <w:r w:rsidR="00EB22E8">
              <w:rPr>
                <w:noProof/>
                <w:webHidden/>
              </w:rPr>
              <w:t>23</w:t>
            </w:r>
            <w:r w:rsidR="00EB22E8">
              <w:rPr>
                <w:noProof/>
                <w:webHidden/>
              </w:rPr>
              <w:fldChar w:fldCharType="end"/>
            </w:r>
          </w:hyperlink>
        </w:p>
        <w:p w14:paraId="435858FC" w14:textId="77777777" w:rsidR="00EB22E8" w:rsidRDefault="00993E6F">
          <w:pPr>
            <w:pStyle w:val="TOC2"/>
            <w:rPr>
              <w:rFonts w:asciiTheme="minorHAnsi" w:eastAsiaTheme="minorEastAsia" w:hAnsiTheme="minorHAnsi" w:cstheme="minorBidi"/>
              <w:color w:val="auto"/>
              <w:lang w:val="en-AU" w:eastAsia="en-AU"/>
            </w:rPr>
          </w:pPr>
          <w:hyperlink w:anchor="_Toc19006719" w:history="1">
            <w:r w:rsidR="00EB22E8" w:rsidRPr="00AB1C2C">
              <w:rPr>
                <w:rStyle w:val="Hyperlink"/>
                <w:rFonts w:eastAsia="Times New Roman"/>
                <w:lang w:bidi="en-US"/>
              </w:rPr>
              <w:t>3.1.</w:t>
            </w:r>
            <w:r w:rsidR="00EB22E8">
              <w:rPr>
                <w:rFonts w:asciiTheme="minorHAnsi" w:eastAsiaTheme="minorEastAsia" w:hAnsiTheme="minorHAnsi" w:cstheme="minorBidi"/>
                <w:color w:val="auto"/>
                <w:lang w:val="en-AU" w:eastAsia="en-AU"/>
              </w:rPr>
              <w:tab/>
            </w:r>
            <w:r w:rsidR="00EB22E8" w:rsidRPr="00AB1C2C">
              <w:rPr>
                <w:rStyle w:val="Hyperlink"/>
                <w:rFonts w:eastAsia="Times New Roman"/>
                <w:lang w:bidi="en-US"/>
              </w:rPr>
              <w:t>Program logic overview</w:t>
            </w:r>
            <w:r w:rsidR="00EB22E8">
              <w:rPr>
                <w:webHidden/>
              </w:rPr>
              <w:tab/>
            </w:r>
            <w:r w:rsidR="00EB22E8">
              <w:rPr>
                <w:webHidden/>
              </w:rPr>
              <w:fldChar w:fldCharType="begin"/>
            </w:r>
            <w:r w:rsidR="00EB22E8">
              <w:rPr>
                <w:webHidden/>
              </w:rPr>
              <w:instrText xml:space="preserve"> PAGEREF _Toc19006719 \h </w:instrText>
            </w:r>
            <w:r w:rsidR="00EB22E8">
              <w:rPr>
                <w:webHidden/>
              </w:rPr>
            </w:r>
            <w:r w:rsidR="00EB22E8">
              <w:rPr>
                <w:webHidden/>
              </w:rPr>
              <w:fldChar w:fldCharType="separate"/>
            </w:r>
            <w:r w:rsidR="00EB22E8">
              <w:rPr>
                <w:webHidden/>
              </w:rPr>
              <w:t>23</w:t>
            </w:r>
            <w:r w:rsidR="00EB22E8">
              <w:rPr>
                <w:webHidden/>
              </w:rPr>
              <w:fldChar w:fldCharType="end"/>
            </w:r>
          </w:hyperlink>
        </w:p>
        <w:p w14:paraId="2F5A995C"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20" w:history="1">
            <w:r w:rsidR="00EB22E8" w:rsidRPr="00AB1C2C">
              <w:rPr>
                <w:rStyle w:val="Hyperlink"/>
                <w:rFonts w:eastAsia="Times New Roman"/>
                <w:noProof/>
                <w:lang w:bidi="en-US"/>
              </w:rPr>
              <w:t>3.1.1.</w:t>
            </w:r>
            <w:r w:rsidR="00EB22E8">
              <w:rPr>
                <w:rFonts w:asciiTheme="minorHAnsi" w:eastAsiaTheme="minorEastAsia" w:hAnsiTheme="minorHAnsi" w:cstheme="minorBidi"/>
                <w:noProof/>
                <w:color w:val="auto"/>
                <w:lang w:val="en-AU" w:eastAsia="en-AU"/>
              </w:rPr>
              <w:tab/>
            </w:r>
            <w:r w:rsidR="00EB22E8" w:rsidRPr="00AB1C2C">
              <w:rPr>
                <w:rStyle w:val="Hyperlink"/>
                <w:rFonts w:eastAsia="Times New Roman"/>
                <w:noProof/>
                <w:lang w:bidi="en-US"/>
              </w:rPr>
              <w:t>End of Facility Outcomes</w:t>
            </w:r>
            <w:r w:rsidR="00EB22E8">
              <w:rPr>
                <w:noProof/>
                <w:webHidden/>
              </w:rPr>
              <w:tab/>
            </w:r>
            <w:r w:rsidR="00EB22E8">
              <w:rPr>
                <w:noProof/>
                <w:webHidden/>
              </w:rPr>
              <w:fldChar w:fldCharType="begin"/>
            </w:r>
            <w:r w:rsidR="00EB22E8">
              <w:rPr>
                <w:noProof/>
                <w:webHidden/>
              </w:rPr>
              <w:instrText xml:space="preserve"> PAGEREF _Toc19006720 \h </w:instrText>
            </w:r>
            <w:r w:rsidR="00EB22E8">
              <w:rPr>
                <w:noProof/>
                <w:webHidden/>
              </w:rPr>
            </w:r>
            <w:r w:rsidR="00EB22E8">
              <w:rPr>
                <w:noProof/>
                <w:webHidden/>
              </w:rPr>
              <w:fldChar w:fldCharType="separate"/>
            </w:r>
            <w:r w:rsidR="00EB22E8">
              <w:rPr>
                <w:noProof/>
                <w:webHidden/>
              </w:rPr>
              <w:t>23</w:t>
            </w:r>
            <w:r w:rsidR="00EB22E8">
              <w:rPr>
                <w:noProof/>
                <w:webHidden/>
              </w:rPr>
              <w:fldChar w:fldCharType="end"/>
            </w:r>
          </w:hyperlink>
        </w:p>
        <w:p w14:paraId="41BA21C8"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21" w:history="1">
            <w:r w:rsidR="00EB22E8" w:rsidRPr="00AB1C2C">
              <w:rPr>
                <w:rStyle w:val="Hyperlink"/>
                <w:rFonts w:eastAsia="Times New Roman"/>
                <w:noProof/>
                <w:lang w:bidi="en-US"/>
              </w:rPr>
              <w:t>3.1.2.</w:t>
            </w:r>
            <w:r w:rsidR="00EB22E8">
              <w:rPr>
                <w:rFonts w:asciiTheme="minorHAnsi" w:eastAsiaTheme="minorEastAsia" w:hAnsiTheme="minorHAnsi" w:cstheme="minorBidi"/>
                <w:noProof/>
                <w:color w:val="auto"/>
                <w:lang w:val="en-AU" w:eastAsia="en-AU"/>
              </w:rPr>
              <w:tab/>
            </w:r>
            <w:r w:rsidR="00EB22E8" w:rsidRPr="00AB1C2C">
              <w:rPr>
                <w:rStyle w:val="Hyperlink"/>
                <w:rFonts w:eastAsia="Times New Roman"/>
                <w:noProof/>
                <w:lang w:bidi="en-US"/>
              </w:rPr>
              <w:t>Intermediate Outcomes</w:t>
            </w:r>
            <w:r w:rsidR="00EB22E8">
              <w:rPr>
                <w:noProof/>
                <w:webHidden/>
              </w:rPr>
              <w:tab/>
            </w:r>
            <w:r w:rsidR="00EB22E8">
              <w:rPr>
                <w:noProof/>
                <w:webHidden/>
              </w:rPr>
              <w:fldChar w:fldCharType="begin"/>
            </w:r>
            <w:r w:rsidR="00EB22E8">
              <w:rPr>
                <w:noProof/>
                <w:webHidden/>
              </w:rPr>
              <w:instrText xml:space="preserve"> PAGEREF _Toc19006721 \h </w:instrText>
            </w:r>
            <w:r w:rsidR="00EB22E8">
              <w:rPr>
                <w:noProof/>
                <w:webHidden/>
              </w:rPr>
            </w:r>
            <w:r w:rsidR="00EB22E8">
              <w:rPr>
                <w:noProof/>
                <w:webHidden/>
              </w:rPr>
              <w:fldChar w:fldCharType="separate"/>
            </w:r>
            <w:r w:rsidR="00EB22E8">
              <w:rPr>
                <w:noProof/>
                <w:webHidden/>
              </w:rPr>
              <w:t>23</w:t>
            </w:r>
            <w:r w:rsidR="00EB22E8">
              <w:rPr>
                <w:noProof/>
                <w:webHidden/>
              </w:rPr>
              <w:fldChar w:fldCharType="end"/>
            </w:r>
          </w:hyperlink>
        </w:p>
        <w:p w14:paraId="1CAEDAD0" w14:textId="77777777" w:rsidR="00EB22E8" w:rsidRDefault="00993E6F">
          <w:pPr>
            <w:pStyle w:val="TOC2"/>
            <w:rPr>
              <w:rFonts w:asciiTheme="minorHAnsi" w:eastAsiaTheme="minorEastAsia" w:hAnsiTheme="minorHAnsi" w:cstheme="minorBidi"/>
              <w:color w:val="auto"/>
              <w:lang w:val="en-AU" w:eastAsia="en-AU"/>
            </w:rPr>
          </w:pPr>
          <w:hyperlink w:anchor="_Toc19006722" w:history="1">
            <w:r w:rsidR="00EB22E8" w:rsidRPr="00AB1C2C">
              <w:rPr>
                <w:rStyle w:val="Hyperlink"/>
                <w:rFonts w:eastAsia="Times New Roman"/>
                <w:lang w:bidi="en-US"/>
              </w:rPr>
              <w:t>3.2.</w:t>
            </w:r>
            <w:r w:rsidR="00EB22E8">
              <w:rPr>
                <w:rFonts w:asciiTheme="minorHAnsi" w:eastAsiaTheme="minorEastAsia" w:hAnsiTheme="minorHAnsi" w:cstheme="minorBidi"/>
                <w:color w:val="auto"/>
                <w:lang w:val="en-AU" w:eastAsia="en-AU"/>
              </w:rPr>
              <w:tab/>
            </w:r>
            <w:r w:rsidR="00EB22E8" w:rsidRPr="00AB1C2C">
              <w:rPr>
                <w:rStyle w:val="Hyperlink"/>
                <w:rFonts w:eastAsia="Times New Roman"/>
                <w:lang w:bidi="en-US"/>
              </w:rPr>
              <w:t>Results reporting</w:t>
            </w:r>
            <w:r w:rsidR="00EB22E8">
              <w:rPr>
                <w:webHidden/>
              </w:rPr>
              <w:tab/>
            </w:r>
            <w:r w:rsidR="00EB22E8">
              <w:rPr>
                <w:webHidden/>
              </w:rPr>
              <w:fldChar w:fldCharType="begin"/>
            </w:r>
            <w:r w:rsidR="00EB22E8">
              <w:rPr>
                <w:webHidden/>
              </w:rPr>
              <w:instrText xml:space="preserve"> PAGEREF _Toc19006722 \h </w:instrText>
            </w:r>
            <w:r w:rsidR="00EB22E8">
              <w:rPr>
                <w:webHidden/>
              </w:rPr>
            </w:r>
            <w:r w:rsidR="00EB22E8">
              <w:rPr>
                <w:webHidden/>
              </w:rPr>
              <w:fldChar w:fldCharType="separate"/>
            </w:r>
            <w:r w:rsidR="00EB22E8">
              <w:rPr>
                <w:webHidden/>
              </w:rPr>
              <w:t>24</w:t>
            </w:r>
            <w:r w:rsidR="00EB22E8">
              <w:rPr>
                <w:webHidden/>
              </w:rPr>
              <w:fldChar w:fldCharType="end"/>
            </w:r>
          </w:hyperlink>
        </w:p>
        <w:p w14:paraId="7B0D1947" w14:textId="77777777" w:rsidR="00EB22E8" w:rsidRDefault="00993E6F">
          <w:pPr>
            <w:pStyle w:val="TOC2"/>
            <w:rPr>
              <w:rFonts w:asciiTheme="minorHAnsi" w:eastAsiaTheme="minorEastAsia" w:hAnsiTheme="minorHAnsi" w:cstheme="minorBidi"/>
              <w:color w:val="auto"/>
              <w:lang w:val="en-AU" w:eastAsia="en-AU"/>
            </w:rPr>
          </w:pPr>
          <w:hyperlink w:anchor="_Toc19006723" w:history="1">
            <w:r w:rsidR="00EB22E8" w:rsidRPr="00AB1C2C">
              <w:rPr>
                <w:rStyle w:val="Hyperlink"/>
                <w:rFonts w:eastAsia="Times New Roman"/>
                <w:lang w:bidi="en-US"/>
              </w:rPr>
              <w:t>3.3.</w:t>
            </w:r>
            <w:r w:rsidR="00EB22E8">
              <w:rPr>
                <w:rFonts w:asciiTheme="minorHAnsi" w:eastAsiaTheme="minorEastAsia" w:hAnsiTheme="minorHAnsi" w:cstheme="minorBidi"/>
                <w:color w:val="auto"/>
                <w:lang w:val="en-AU" w:eastAsia="en-AU"/>
              </w:rPr>
              <w:tab/>
            </w:r>
            <w:r w:rsidR="00EB22E8" w:rsidRPr="00AB1C2C">
              <w:rPr>
                <w:rStyle w:val="Hyperlink"/>
                <w:rFonts w:eastAsia="Times New Roman"/>
                <w:lang w:bidi="en-US"/>
              </w:rPr>
              <w:t>Achievements against the AIP PAF</w:t>
            </w:r>
            <w:r w:rsidR="00EB22E8">
              <w:rPr>
                <w:webHidden/>
              </w:rPr>
              <w:tab/>
            </w:r>
            <w:r w:rsidR="00EB22E8">
              <w:rPr>
                <w:webHidden/>
              </w:rPr>
              <w:fldChar w:fldCharType="begin"/>
            </w:r>
            <w:r w:rsidR="00EB22E8">
              <w:rPr>
                <w:webHidden/>
              </w:rPr>
              <w:instrText xml:space="preserve"> PAGEREF _Toc19006723 \h </w:instrText>
            </w:r>
            <w:r w:rsidR="00EB22E8">
              <w:rPr>
                <w:webHidden/>
              </w:rPr>
            </w:r>
            <w:r w:rsidR="00EB22E8">
              <w:rPr>
                <w:webHidden/>
              </w:rPr>
              <w:fldChar w:fldCharType="separate"/>
            </w:r>
            <w:r w:rsidR="00EB22E8">
              <w:rPr>
                <w:webHidden/>
              </w:rPr>
              <w:t>24</w:t>
            </w:r>
            <w:r w:rsidR="00EB22E8">
              <w:rPr>
                <w:webHidden/>
              </w:rPr>
              <w:fldChar w:fldCharType="end"/>
            </w:r>
          </w:hyperlink>
        </w:p>
        <w:p w14:paraId="408FB014" w14:textId="77777777" w:rsidR="00EB22E8" w:rsidRDefault="00993E6F">
          <w:pPr>
            <w:pStyle w:val="TOC2"/>
            <w:rPr>
              <w:rFonts w:asciiTheme="minorHAnsi" w:eastAsiaTheme="minorEastAsia" w:hAnsiTheme="minorHAnsi" w:cstheme="minorBidi"/>
              <w:color w:val="auto"/>
              <w:lang w:val="en-AU" w:eastAsia="en-AU"/>
            </w:rPr>
          </w:pPr>
          <w:hyperlink w:anchor="_Toc19006724" w:history="1">
            <w:r w:rsidR="00EB22E8" w:rsidRPr="00AB1C2C">
              <w:rPr>
                <w:rStyle w:val="Hyperlink"/>
                <w:rFonts w:eastAsia="Times New Roman"/>
                <w:lang w:bidi="en-US"/>
              </w:rPr>
              <w:t>3.4.</w:t>
            </w:r>
            <w:r w:rsidR="00EB22E8">
              <w:rPr>
                <w:rFonts w:asciiTheme="minorHAnsi" w:eastAsiaTheme="minorEastAsia" w:hAnsiTheme="minorHAnsi" w:cstheme="minorBidi"/>
                <w:color w:val="auto"/>
                <w:lang w:val="en-AU" w:eastAsia="en-AU"/>
              </w:rPr>
              <w:tab/>
            </w:r>
            <w:r w:rsidR="00EB22E8" w:rsidRPr="00AB1C2C">
              <w:rPr>
                <w:rStyle w:val="Hyperlink"/>
                <w:rFonts w:eastAsia="Times New Roman"/>
                <w:lang w:bidi="en-US"/>
              </w:rPr>
              <w:t>Achievements against the Education Sector Investment Plan (ESIP) PAF</w:t>
            </w:r>
            <w:r w:rsidR="00EB22E8">
              <w:rPr>
                <w:webHidden/>
              </w:rPr>
              <w:tab/>
            </w:r>
            <w:r w:rsidR="00EB22E8">
              <w:rPr>
                <w:webHidden/>
              </w:rPr>
              <w:fldChar w:fldCharType="begin"/>
            </w:r>
            <w:r w:rsidR="00EB22E8">
              <w:rPr>
                <w:webHidden/>
              </w:rPr>
              <w:instrText xml:space="preserve"> PAGEREF _Toc19006724 \h </w:instrText>
            </w:r>
            <w:r w:rsidR="00EB22E8">
              <w:rPr>
                <w:webHidden/>
              </w:rPr>
            </w:r>
            <w:r w:rsidR="00EB22E8">
              <w:rPr>
                <w:webHidden/>
              </w:rPr>
              <w:fldChar w:fldCharType="separate"/>
            </w:r>
            <w:r w:rsidR="00EB22E8">
              <w:rPr>
                <w:webHidden/>
              </w:rPr>
              <w:t>26</w:t>
            </w:r>
            <w:r w:rsidR="00EB22E8">
              <w:rPr>
                <w:webHidden/>
              </w:rPr>
              <w:fldChar w:fldCharType="end"/>
            </w:r>
          </w:hyperlink>
        </w:p>
        <w:p w14:paraId="6362CFB2" w14:textId="77777777" w:rsidR="00EB22E8" w:rsidRDefault="00993E6F">
          <w:pPr>
            <w:pStyle w:val="TOC2"/>
            <w:rPr>
              <w:rFonts w:asciiTheme="minorHAnsi" w:eastAsiaTheme="minorEastAsia" w:hAnsiTheme="minorHAnsi" w:cstheme="minorBidi"/>
              <w:color w:val="auto"/>
              <w:lang w:val="en-AU" w:eastAsia="en-AU"/>
            </w:rPr>
          </w:pPr>
          <w:hyperlink w:anchor="_Toc19006725" w:history="1">
            <w:r w:rsidR="00EB22E8" w:rsidRPr="00AB1C2C">
              <w:rPr>
                <w:rStyle w:val="Hyperlink"/>
                <w:rFonts w:eastAsia="Times New Roman"/>
                <w:lang w:bidi="en-US"/>
              </w:rPr>
              <w:t>3.5.</w:t>
            </w:r>
            <w:r w:rsidR="00EB22E8">
              <w:rPr>
                <w:rFonts w:asciiTheme="minorHAnsi" w:eastAsiaTheme="minorEastAsia" w:hAnsiTheme="minorHAnsi" w:cstheme="minorBidi"/>
                <w:color w:val="auto"/>
                <w:lang w:val="en-AU" w:eastAsia="en-AU"/>
              </w:rPr>
              <w:tab/>
            </w:r>
            <w:r w:rsidR="00EB22E8" w:rsidRPr="00AB1C2C">
              <w:rPr>
                <w:rStyle w:val="Hyperlink"/>
                <w:rFonts w:eastAsia="Times New Roman"/>
                <w:lang w:bidi="en-US"/>
              </w:rPr>
              <w:t>Achievements against the TASS results framework</w:t>
            </w:r>
            <w:r w:rsidR="00EB22E8">
              <w:rPr>
                <w:webHidden/>
              </w:rPr>
              <w:tab/>
            </w:r>
            <w:r w:rsidR="00EB22E8">
              <w:rPr>
                <w:webHidden/>
              </w:rPr>
              <w:fldChar w:fldCharType="begin"/>
            </w:r>
            <w:r w:rsidR="00EB22E8">
              <w:rPr>
                <w:webHidden/>
              </w:rPr>
              <w:instrText xml:space="preserve"> PAGEREF _Toc19006725 \h </w:instrText>
            </w:r>
            <w:r w:rsidR="00EB22E8">
              <w:rPr>
                <w:webHidden/>
              </w:rPr>
            </w:r>
            <w:r w:rsidR="00EB22E8">
              <w:rPr>
                <w:webHidden/>
              </w:rPr>
              <w:fldChar w:fldCharType="separate"/>
            </w:r>
            <w:r w:rsidR="00EB22E8">
              <w:rPr>
                <w:webHidden/>
              </w:rPr>
              <w:t>26</w:t>
            </w:r>
            <w:r w:rsidR="00EB22E8">
              <w:rPr>
                <w:webHidden/>
              </w:rPr>
              <w:fldChar w:fldCharType="end"/>
            </w:r>
          </w:hyperlink>
        </w:p>
        <w:p w14:paraId="60C6D719" w14:textId="77777777" w:rsidR="00EB22E8" w:rsidRDefault="00993E6F">
          <w:pPr>
            <w:pStyle w:val="TOC2"/>
            <w:rPr>
              <w:rFonts w:asciiTheme="minorHAnsi" w:eastAsiaTheme="minorEastAsia" w:hAnsiTheme="minorHAnsi" w:cstheme="minorBidi"/>
              <w:color w:val="auto"/>
              <w:lang w:val="en-AU" w:eastAsia="en-AU"/>
            </w:rPr>
          </w:pPr>
          <w:hyperlink w:anchor="_Toc19006726" w:history="1">
            <w:r w:rsidR="00EB22E8" w:rsidRPr="00AB1C2C">
              <w:rPr>
                <w:rStyle w:val="Hyperlink"/>
                <w:lang w:bidi="en-US"/>
              </w:rPr>
              <w:t>3.6.</w:t>
            </w:r>
            <w:r w:rsidR="00EB22E8">
              <w:rPr>
                <w:rFonts w:asciiTheme="minorHAnsi" w:eastAsiaTheme="minorEastAsia" w:hAnsiTheme="minorHAnsi" w:cstheme="minorBidi"/>
                <w:color w:val="auto"/>
                <w:lang w:val="en-AU" w:eastAsia="en-AU"/>
              </w:rPr>
              <w:tab/>
            </w:r>
            <w:r w:rsidR="00EB22E8" w:rsidRPr="00AB1C2C">
              <w:rPr>
                <w:rStyle w:val="Hyperlink"/>
                <w:lang w:bidi="en-US"/>
              </w:rPr>
              <w:t>Contribution analysis</w:t>
            </w:r>
            <w:r w:rsidR="00EB22E8">
              <w:rPr>
                <w:webHidden/>
              </w:rPr>
              <w:tab/>
            </w:r>
            <w:r w:rsidR="00EB22E8">
              <w:rPr>
                <w:webHidden/>
              </w:rPr>
              <w:fldChar w:fldCharType="begin"/>
            </w:r>
            <w:r w:rsidR="00EB22E8">
              <w:rPr>
                <w:webHidden/>
              </w:rPr>
              <w:instrText xml:space="preserve"> PAGEREF _Toc19006726 \h </w:instrText>
            </w:r>
            <w:r w:rsidR="00EB22E8">
              <w:rPr>
                <w:webHidden/>
              </w:rPr>
            </w:r>
            <w:r w:rsidR="00EB22E8">
              <w:rPr>
                <w:webHidden/>
              </w:rPr>
              <w:fldChar w:fldCharType="separate"/>
            </w:r>
            <w:r w:rsidR="00EB22E8">
              <w:rPr>
                <w:webHidden/>
              </w:rPr>
              <w:t>29</w:t>
            </w:r>
            <w:r w:rsidR="00EB22E8">
              <w:rPr>
                <w:webHidden/>
              </w:rPr>
              <w:fldChar w:fldCharType="end"/>
            </w:r>
          </w:hyperlink>
        </w:p>
        <w:p w14:paraId="4736C874" w14:textId="77777777" w:rsidR="00EB22E8" w:rsidRDefault="00993E6F">
          <w:pPr>
            <w:pStyle w:val="TOC1"/>
            <w:rPr>
              <w:rFonts w:asciiTheme="minorHAnsi" w:eastAsiaTheme="minorEastAsia" w:hAnsiTheme="minorHAnsi" w:cstheme="minorBidi"/>
              <w:noProof/>
              <w:color w:val="auto"/>
              <w:lang w:val="en-AU" w:eastAsia="en-AU"/>
            </w:rPr>
          </w:pPr>
          <w:hyperlink w:anchor="_Toc19006727" w:history="1">
            <w:r w:rsidR="00EB22E8" w:rsidRPr="00AB1C2C">
              <w:rPr>
                <w:rStyle w:val="Hyperlink"/>
                <w:noProof/>
                <w:lang w:bidi="en-US"/>
              </w:rPr>
              <w:t>4.</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TASS management</w:t>
            </w:r>
            <w:r w:rsidR="00EB22E8">
              <w:rPr>
                <w:noProof/>
                <w:webHidden/>
              </w:rPr>
              <w:tab/>
            </w:r>
            <w:r w:rsidR="00EB22E8">
              <w:rPr>
                <w:noProof/>
                <w:webHidden/>
              </w:rPr>
              <w:fldChar w:fldCharType="begin"/>
            </w:r>
            <w:r w:rsidR="00EB22E8">
              <w:rPr>
                <w:noProof/>
                <w:webHidden/>
              </w:rPr>
              <w:instrText xml:space="preserve"> PAGEREF _Toc19006727 \h </w:instrText>
            </w:r>
            <w:r w:rsidR="00EB22E8">
              <w:rPr>
                <w:noProof/>
                <w:webHidden/>
              </w:rPr>
            </w:r>
            <w:r w:rsidR="00EB22E8">
              <w:rPr>
                <w:noProof/>
                <w:webHidden/>
              </w:rPr>
              <w:fldChar w:fldCharType="separate"/>
            </w:r>
            <w:r w:rsidR="00EB22E8">
              <w:rPr>
                <w:noProof/>
                <w:webHidden/>
              </w:rPr>
              <w:t>31</w:t>
            </w:r>
            <w:r w:rsidR="00EB22E8">
              <w:rPr>
                <w:noProof/>
                <w:webHidden/>
              </w:rPr>
              <w:fldChar w:fldCharType="end"/>
            </w:r>
          </w:hyperlink>
        </w:p>
        <w:p w14:paraId="1BB4D2F9" w14:textId="77777777" w:rsidR="00EB22E8" w:rsidRDefault="00993E6F">
          <w:pPr>
            <w:pStyle w:val="TOC2"/>
            <w:rPr>
              <w:rFonts w:asciiTheme="minorHAnsi" w:eastAsiaTheme="minorEastAsia" w:hAnsiTheme="minorHAnsi" w:cstheme="minorBidi"/>
              <w:color w:val="auto"/>
              <w:lang w:val="en-AU" w:eastAsia="en-AU"/>
            </w:rPr>
          </w:pPr>
          <w:hyperlink w:anchor="_Toc19006728" w:history="1">
            <w:r w:rsidR="00EB22E8" w:rsidRPr="00AB1C2C">
              <w:rPr>
                <w:rStyle w:val="Hyperlink"/>
                <w:lang w:bidi="en-US"/>
              </w:rPr>
              <w:t>4.1.</w:t>
            </w:r>
            <w:r w:rsidR="00EB22E8">
              <w:rPr>
                <w:rFonts w:asciiTheme="minorHAnsi" w:eastAsiaTheme="minorEastAsia" w:hAnsiTheme="minorHAnsi" w:cstheme="minorBidi"/>
                <w:color w:val="auto"/>
                <w:lang w:val="en-AU" w:eastAsia="en-AU"/>
              </w:rPr>
              <w:tab/>
            </w:r>
            <w:r w:rsidR="00EB22E8" w:rsidRPr="00AB1C2C">
              <w:rPr>
                <w:rStyle w:val="Hyperlink"/>
                <w:lang w:bidi="en-US"/>
              </w:rPr>
              <w:t>Human Resource Management</w:t>
            </w:r>
            <w:r w:rsidR="00EB22E8">
              <w:rPr>
                <w:webHidden/>
              </w:rPr>
              <w:tab/>
            </w:r>
            <w:r w:rsidR="00EB22E8">
              <w:rPr>
                <w:webHidden/>
              </w:rPr>
              <w:fldChar w:fldCharType="begin"/>
            </w:r>
            <w:r w:rsidR="00EB22E8">
              <w:rPr>
                <w:webHidden/>
              </w:rPr>
              <w:instrText xml:space="preserve"> PAGEREF _Toc19006728 \h </w:instrText>
            </w:r>
            <w:r w:rsidR="00EB22E8">
              <w:rPr>
                <w:webHidden/>
              </w:rPr>
            </w:r>
            <w:r w:rsidR="00EB22E8">
              <w:rPr>
                <w:webHidden/>
              </w:rPr>
              <w:fldChar w:fldCharType="separate"/>
            </w:r>
            <w:r w:rsidR="00EB22E8">
              <w:rPr>
                <w:webHidden/>
              </w:rPr>
              <w:t>32</w:t>
            </w:r>
            <w:r w:rsidR="00EB22E8">
              <w:rPr>
                <w:webHidden/>
              </w:rPr>
              <w:fldChar w:fldCharType="end"/>
            </w:r>
          </w:hyperlink>
        </w:p>
        <w:p w14:paraId="030E6337" w14:textId="77777777" w:rsidR="00EB22E8" w:rsidRDefault="00993E6F">
          <w:pPr>
            <w:pStyle w:val="TOC2"/>
            <w:rPr>
              <w:rFonts w:asciiTheme="minorHAnsi" w:eastAsiaTheme="minorEastAsia" w:hAnsiTheme="minorHAnsi" w:cstheme="minorBidi"/>
              <w:color w:val="auto"/>
              <w:lang w:val="en-AU" w:eastAsia="en-AU"/>
            </w:rPr>
          </w:pPr>
          <w:hyperlink w:anchor="_Toc19006729" w:history="1">
            <w:r w:rsidR="00EB22E8" w:rsidRPr="00AB1C2C">
              <w:rPr>
                <w:rStyle w:val="Hyperlink"/>
                <w:lang w:bidi="en-US"/>
              </w:rPr>
              <w:t>4.2.</w:t>
            </w:r>
            <w:r w:rsidR="00EB22E8">
              <w:rPr>
                <w:rFonts w:asciiTheme="minorHAnsi" w:eastAsiaTheme="minorEastAsia" w:hAnsiTheme="minorHAnsi" w:cstheme="minorBidi"/>
                <w:color w:val="auto"/>
                <w:lang w:val="en-AU" w:eastAsia="en-AU"/>
              </w:rPr>
              <w:tab/>
            </w:r>
            <w:r w:rsidR="00EB22E8" w:rsidRPr="00AB1C2C">
              <w:rPr>
                <w:rStyle w:val="Hyperlink"/>
                <w:lang w:bidi="en-US"/>
              </w:rPr>
              <w:t>Financial Management</w:t>
            </w:r>
            <w:r w:rsidR="00EB22E8">
              <w:rPr>
                <w:webHidden/>
              </w:rPr>
              <w:tab/>
            </w:r>
            <w:r w:rsidR="00EB22E8">
              <w:rPr>
                <w:webHidden/>
              </w:rPr>
              <w:fldChar w:fldCharType="begin"/>
            </w:r>
            <w:r w:rsidR="00EB22E8">
              <w:rPr>
                <w:webHidden/>
              </w:rPr>
              <w:instrText xml:space="preserve"> PAGEREF _Toc19006729 \h </w:instrText>
            </w:r>
            <w:r w:rsidR="00EB22E8">
              <w:rPr>
                <w:webHidden/>
              </w:rPr>
            </w:r>
            <w:r w:rsidR="00EB22E8">
              <w:rPr>
                <w:webHidden/>
              </w:rPr>
              <w:fldChar w:fldCharType="separate"/>
            </w:r>
            <w:r w:rsidR="00EB22E8">
              <w:rPr>
                <w:webHidden/>
              </w:rPr>
              <w:t>33</w:t>
            </w:r>
            <w:r w:rsidR="00EB22E8">
              <w:rPr>
                <w:webHidden/>
              </w:rPr>
              <w:fldChar w:fldCharType="end"/>
            </w:r>
          </w:hyperlink>
        </w:p>
        <w:p w14:paraId="5A00F6C4" w14:textId="77777777" w:rsidR="00EB22E8" w:rsidRDefault="00993E6F">
          <w:pPr>
            <w:pStyle w:val="TOC2"/>
            <w:rPr>
              <w:rFonts w:asciiTheme="minorHAnsi" w:eastAsiaTheme="minorEastAsia" w:hAnsiTheme="minorHAnsi" w:cstheme="minorBidi"/>
              <w:color w:val="auto"/>
              <w:lang w:val="en-AU" w:eastAsia="en-AU"/>
            </w:rPr>
          </w:pPr>
          <w:hyperlink w:anchor="_Toc19006730" w:history="1">
            <w:r w:rsidR="00EB22E8" w:rsidRPr="00AB1C2C">
              <w:rPr>
                <w:rStyle w:val="Hyperlink"/>
                <w:lang w:bidi="en-US"/>
              </w:rPr>
              <w:t>4.3.</w:t>
            </w:r>
            <w:r w:rsidR="00EB22E8">
              <w:rPr>
                <w:rFonts w:asciiTheme="minorHAnsi" w:eastAsiaTheme="minorEastAsia" w:hAnsiTheme="minorHAnsi" w:cstheme="minorBidi"/>
                <w:color w:val="auto"/>
                <w:lang w:val="en-AU" w:eastAsia="en-AU"/>
              </w:rPr>
              <w:tab/>
            </w:r>
            <w:r w:rsidR="00EB22E8" w:rsidRPr="00AB1C2C">
              <w:rPr>
                <w:rStyle w:val="Hyperlink"/>
                <w:lang w:bidi="en-US"/>
              </w:rPr>
              <w:t>Communications</w:t>
            </w:r>
            <w:r w:rsidR="00EB22E8">
              <w:rPr>
                <w:webHidden/>
              </w:rPr>
              <w:tab/>
            </w:r>
            <w:r w:rsidR="00EB22E8">
              <w:rPr>
                <w:webHidden/>
              </w:rPr>
              <w:fldChar w:fldCharType="begin"/>
            </w:r>
            <w:r w:rsidR="00EB22E8">
              <w:rPr>
                <w:webHidden/>
              </w:rPr>
              <w:instrText xml:space="preserve"> PAGEREF _Toc19006730 \h </w:instrText>
            </w:r>
            <w:r w:rsidR="00EB22E8">
              <w:rPr>
                <w:webHidden/>
              </w:rPr>
            </w:r>
            <w:r w:rsidR="00EB22E8">
              <w:rPr>
                <w:webHidden/>
              </w:rPr>
              <w:fldChar w:fldCharType="separate"/>
            </w:r>
            <w:r w:rsidR="00EB22E8">
              <w:rPr>
                <w:webHidden/>
              </w:rPr>
              <w:t>34</w:t>
            </w:r>
            <w:r w:rsidR="00EB22E8">
              <w:rPr>
                <w:webHidden/>
              </w:rPr>
              <w:fldChar w:fldCharType="end"/>
            </w:r>
          </w:hyperlink>
        </w:p>
        <w:p w14:paraId="7207A979" w14:textId="77777777" w:rsidR="00EB22E8" w:rsidRDefault="00993E6F">
          <w:pPr>
            <w:pStyle w:val="TOC2"/>
            <w:rPr>
              <w:rFonts w:asciiTheme="minorHAnsi" w:eastAsiaTheme="minorEastAsia" w:hAnsiTheme="minorHAnsi" w:cstheme="minorBidi"/>
              <w:color w:val="auto"/>
              <w:lang w:val="en-AU" w:eastAsia="en-AU"/>
            </w:rPr>
          </w:pPr>
          <w:hyperlink w:anchor="_Toc19006731" w:history="1">
            <w:r w:rsidR="00EB22E8" w:rsidRPr="00AB1C2C">
              <w:rPr>
                <w:rStyle w:val="Hyperlink"/>
                <w:lang w:bidi="en-US"/>
              </w:rPr>
              <w:t>4.4.</w:t>
            </w:r>
            <w:r w:rsidR="00EB22E8">
              <w:rPr>
                <w:rFonts w:asciiTheme="minorHAnsi" w:eastAsiaTheme="minorEastAsia" w:hAnsiTheme="minorHAnsi" w:cstheme="minorBidi"/>
                <w:color w:val="auto"/>
                <w:lang w:val="en-AU" w:eastAsia="en-AU"/>
              </w:rPr>
              <w:tab/>
            </w:r>
            <w:r w:rsidR="00EB22E8" w:rsidRPr="00AB1C2C">
              <w:rPr>
                <w:rStyle w:val="Hyperlink"/>
                <w:lang w:bidi="en-US"/>
              </w:rPr>
              <w:t>Monitoring and Evaluation</w:t>
            </w:r>
            <w:r w:rsidR="00EB22E8">
              <w:rPr>
                <w:webHidden/>
              </w:rPr>
              <w:tab/>
            </w:r>
            <w:r w:rsidR="00EB22E8">
              <w:rPr>
                <w:webHidden/>
              </w:rPr>
              <w:fldChar w:fldCharType="begin"/>
            </w:r>
            <w:r w:rsidR="00EB22E8">
              <w:rPr>
                <w:webHidden/>
              </w:rPr>
              <w:instrText xml:space="preserve"> PAGEREF _Toc19006731 \h </w:instrText>
            </w:r>
            <w:r w:rsidR="00EB22E8">
              <w:rPr>
                <w:webHidden/>
              </w:rPr>
            </w:r>
            <w:r w:rsidR="00EB22E8">
              <w:rPr>
                <w:webHidden/>
              </w:rPr>
              <w:fldChar w:fldCharType="separate"/>
            </w:r>
            <w:r w:rsidR="00EB22E8">
              <w:rPr>
                <w:webHidden/>
              </w:rPr>
              <w:t>34</w:t>
            </w:r>
            <w:r w:rsidR="00EB22E8">
              <w:rPr>
                <w:webHidden/>
              </w:rPr>
              <w:fldChar w:fldCharType="end"/>
            </w:r>
          </w:hyperlink>
        </w:p>
        <w:p w14:paraId="2AFD89DC" w14:textId="77777777" w:rsidR="00EB22E8" w:rsidRDefault="00993E6F">
          <w:pPr>
            <w:pStyle w:val="TOC2"/>
            <w:rPr>
              <w:rFonts w:asciiTheme="minorHAnsi" w:eastAsiaTheme="minorEastAsia" w:hAnsiTheme="minorHAnsi" w:cstheme="minorBidi"/>
              <w:color w:val="auto"/>
              <w:lang w:val="en-AU" w:eastAsia="en-AU"/>
            </w:rPr>
          </w:pPr>
          <w:hyperlink w:anchor="_Toc19006732" w:history="1">
            <w:r w:rsidR="00EB22E8" w:rsidRPr="00AB1C2C">
              <w:rPr>
                <w:rStyle w:val="Hyperlink"/>
                <w:lang w:bidi="en-US"/>
              </w:rPr>
              <w:t>4.5.</w:t>
            </w:r>
            <w:r w:rsidR="00EB22E8">
              <w:rPr>
                <w:rFonts w:asciiTheme="minorHAnsi" w:eastAsiaTheme="minorEastAsia" w:hAnsiTheme="minorHAnsi" w:cstheme="minorBidi"/>
                <w:color w:val="auto"/>
                <w:lang w:val="en-AU" w:eastAsia="en-AU"/>
              </w:rPr>
              <w:tab/>
            </w:r>
            <w:r w:rsidR="00EB22E8" w:rsidRPr="00AB1C2C">
              <w:rPr>
                <w:rStyle w:val="Hyperlink"/>
                <w:lang w:bidi="en-US"/>
              </w:rPr>
              <w:t>Cross-program coordination</w:t>
            </w:r>
            <w:r w:rsidR="00EB22E8">
              <w:rPr>
                <w:webHidden/>
              </w:rPr>
              <w:tab/>
            </w:r>
            <w:r w:rsidR="00EB22E8">
              <w:rPr>
                <w:webHidden/>
              </w:rPr>
              <w:fldChar w:fldCharType="begin"/>
            </w:r>
            <w:r w:rsidR="00EB22E8">
              <w:rPr>
                <w:webHidden/>
              </w:rPr>
              <w:instrText xml:space="preserve"> PAGEREF _Toc19006732 \h </w:instrText>
            </w:r>
            <w:r w:rsidR="00EB22E8">
              <w:rPr>
                <w:webHidden/>
              </w:rPr>
            </w:r>
            <w:r w:rsidR="00EB22E8">
              <w:rPr>
                <w:webHidden/>
              </w:rPr>
              <w:fldChar w:fldCharType="separate"/>
            </w:r>
            <w:r w:rsidR="00EB22E8">
              <w:rPr>
                <w:webHidden/>
              </w:rPr>
              <w:t>35</w:t>
            </w:r>
            <w:r w:rsidR="00EB22E8">
              <w:rPr>
                <w:webHidden/>
              </w:rPr>
              <w:fldChar w:fldCharType="end"/>
            </w:r>
          </w:hyperlink>
        </w:p>
        <w:p w14:paraId="5B9E7CFC" w14:textId="77777777" w:rsidR="00EB22E8" w:rsidRDefault="00993E6F">
          <w:pPr>
            <w:pStyle w:val="TOC2"/>
            <w:rPr>
              <w:rFonts w:asciiTheme="minorHAnsi" w:eastAsiaTheme="minorEastAsia" w:hAnsiTheme="minorHAnsi" w:cstheme="minorBidi"/>
              <w:color w:val="auto"/>
              <w:lang w:val="en-AU" w:eastAsia="en-AU"/>
            </w:rPr>
          </w:pPr>
          <w:hyperlink w:anchor="_Toc19006733" w:history="1">
            <w:r w:rsidR="00EB22E8" w:rsidRPr="00AB1C2C">
              <w:rPr>
                <w:rStyle w:val="Hyperlink"/>
                <w:lang w:bidi="en-US"/>
              </w:rPr>
              <w:t>4.6.</w:t>
            </w:r>
            <w:r w:rsidR="00EB22E8">
              <w:rPr>
                <w:rFonts w:asciiTheme="minorHAnsi" w:eastAsiaTheme="minorEastAsia" w:hAnsiTheme="minorHAnsi" w:cstheme="minorBidi"/>
                <w:color w:val="auto"/>
                <w:lang w:val="en-AU" w:eastAsia="en-AU"/>
              </w:rPr>
              <w:tab/>
            </w:r>
            <w:r w:rsidR="00EB22E8" w:rsidRPr="00AB1C2C">
              <w:rPr>
                <w:rStyle w:val="Hyperlink"/>
                <w:lang w:bidi="en-US"/>
              </w:rPr>
              <w:t>Cross cutting issues</w:t>
            </w:r>
            <w:r w:rsidR="00EB22E8">
              <w:rPr>
                <w:webHidden/>
              </w:rPr>
              <w:tab/>
            </w:r>
            <w:r w:rsidR="00EB22E8">
              <w:rPr>
                <w:webHidden/>
              </w:rPr>
              <w:fldChar w:fldCharType="begin"/>
            </w:r>
            <w:r w:rsidR="00EB22E8">
              <w:rPr>
                <w:webHidden/>
              </w:rPr>
              <w:instrText xml:space="preserve"> PAGEREF _Toc19006733 \h </w:instrText>
            </w:r>
            <w:r w:rsidR="00EB22E8">
              <w:rPr>
                <w:webHidden/>
              </w:rPr>
            </w:r>
            <w:r w:rsidR="00EB22E8">
              <w:rPr>
                <w:webHidden/>
              </w:rPr>
              <w:fldChar w:fldCharType="separate"/>
            </w:r>
            <w:r w:rsidR="00EB22E8">
              <w:rPr>
                <w:webHidden/>
              </w:rPr>
              <w:t>36</w:t>
            </w:r>
            <w:r w:rsidR="00EB22E8">
              <w:rPr>
                <w:webHidden/>
              </w:rPr>
              <w:fldChar w:fldCharType="end"/>
            </w:r>
          </w:hyperlink>
        </w:p>
        <w:p w14:paraId="6A2DB4FF"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34" w:history="1">
            <w:r w:rsidR="00EB22E8" w:rsidRPr="00AB1C2C">
              <w:rPr>
                <w:rStyle w:val="Hyperlink"/>
                <w:noProof/>
                <w:lang w:bidi="en-US"/>
              </w:rPr>
              <w:t>4.6.1.</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Gender and Disability Inclusion</w:t>
            </w:r>
            <w:r w:rsidR="00EB22E8">
              <w:rPr>
                <w:noProof/>
                <w:webHidden/>
              </w:rPr>
              <w:tab/>
            </w:r>
            <w:r w:rsidR="00EB22E8">
              <w:rPr>
                <w:noProof/>
                <w:webHidden/>
              </w:rPr>
              <w:fldChar w:fldCharType="begin"/>
            </w:r>
            <w:r w:rsidR="00EB22E8">
              <w:rPr>
                <w:noProof/>
                <w:webHidden/>
              </w:rPr>
              <w:instrText xml:space="preserve"> PAGEREF _Toc19006734 \h </w:instrText>
            </w:r>
            <w:r w:rsidR="00EB22E8">
              <w:rPr>
                <w:noProof/>
                <w:webHidden/>
              </w:rPr>
            </w:r>
            <w:r w:rsidR="00EB22E8">
              <w:rPr>
                <w:noProof/>
                <w:webHidden/>
              </w:rPr>
              <w:fldChar w:fldCharType="separate"/>
            </w:r>
            <w:r w:rsidR="00EB22E8">
              <w:rPr>
                <w:noProof/>
                <w:webHidden/>
              </w:rPr>
              <w:t>36</w:t>
            </w:r>
            <w:r w:rsidR="00EB22E8">
              <w:rPr>
                <w:noProof/>
                <w:webHidden/>
              </w:rPr>
              <w:fldChar w:fldCharType="end"/>
            </w:r>
          </w:hyperlink>
        </w:p>
        <w:p w14:paraId="76859897" w14:textId="77777777" w:rsidR="00EB22E8" w:rsidRDefault="00993E6F">
          <w:pPr>
            <w:pStyle w:val="TOC2"/>
            <w:rPr>
              <w:rFonts w:asciiTheme="minorHAnsi" w:eastAsiaTheme="minorEastAsia" w:hAnsiTheme="minorHAnsi" w:cstheme="minorBidi"/>
              <w:color w:val="auto"/>
              <w:lang w:val="en-AU" w:eastAsia="en-AU"/>
            </w:rPr>
          </w:pPr>
          <w:hyperlink w:anchor="_Toc19006735" w:history="1">
            <w:r w:rsidR="00EB22E8" w:rsidRPr="00AB1C2C">
              <w:rPr>
                <w:rStyle w:val="Hyperlink"/>
                <w:lang w:bidi="en-US"/>
              </w:rPr>
              <w:t>4.7.</w:t>
            </w:r>
            <w:r w:rsidR="00EB22E8">
              <w:rPr>
                <w:rFonts w:asciiTheme="minorHAnsi" w:eastAsiaTheme="minorEastAsia" w:hAnsiTheme="minorHAnsi" w:cstheme="minorBidi"/>
                <w:color w:val="auto"/>
                <w:lang w:val="en-AU" w:eastAsia="en-AU"/>
              </w:rPr>
              <w:tab/>
            </w:r>
            <w:r w:rsidR="00EB22E8" w:rsidRPr="00AB1C2C">
              <w:rPr>
                <w:rStyle w:val="Hyperlink"/>
                <w:lang w:bidi="en-US"/>
              </w:rPr>
              <w:t>Risk management</w:t>
            </w:r>
            <w:r w:rsidR="00EB22E8">
              <w:rPr>
                <w:webHidden/>
              </w:rPr>
              <w:tab/>
            </w:r>
            <w:r w:rsidR="00EB22E8">
              <w:rPr>
                <w:webHidden/>
              </w:rPr>
              <w:fldChar w:fldCharType="begin"/>
            </w:r>
            <w:r w:rsidR="00EB22E8">
              <w:rPr>
                <w:webHidden/>
              </w:rPr>
              <w:instrText xml:space="preserve"> PAGEREF _Toc19006735 \h </w:instrText>
            </w:r>
            <w:r w:rsidR="00EB22E8">
              <w:rPr>
                <w:webHidden/>
              </w:rPr>
            </w:r>
            <w:r w:rsidR="00EB22E8">
              <w:rPr>
                <w:webHidden/>
              </w:rPr>
              <w:fldChar w:fldCharType="separate"/>
            </w:r>
            <w:r w:rsidR="00EB22E8">
              <w:rPr>
                <w:webHidden/>
              </w:rPr>
              <w:t>37</w:t>
            </w:r>
            <w:r w:rsidR="00EB22E8">
              <w:rPr>
                <w:webHidden/>
              </w:rPr>
              <w:fldChar w:fldCharType="end"/>
            </w:r>
          </w:hyperlink>
        </w:p>
        <w:p w14:paraId="7E3BBFA7"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36" w:history="1">
            <w:r w:rsidR="00EB22E8" w:rsidRPr="00AB1C2C">
              <w:rPr>
                <w:rStyle w:val="Hyperlink"/>
                <w:noProof/>
                <w:lang w:bidi="en-US"/>
              </w:rPr>
              <w:t>4.7.1.</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Risk management</w:t>
            </w:r>
            <w:r w:rsidR="00EB22E8">
              <w:rPr>
                <w:noProof/>
                <w:webHidden/>
              </w:rPr>
              <w:tab/>
            </w:r>
            <w:r w:rsidR="00EB22E8">
              <w:rPr>
                <w:noProof/>
                <w:webHidden/>
              </w:rPr>
              <w:fldChar w:fldCharType="begin"/>
            </w:r>
            <w:r w:rsidR="00EB22E8">
              <w:rPr>
                <w:noProof/>
                <w:webHidden/>
              </w:rPr>
              <w:instrText xml:space="preserve"> PAGEREF _Toc19006736 \h </w:instrText>
            </w:r>
            <w:r w:rsidR="00EB22E8">
              <w:rPr>
                <w:noProof/>
                <w:webHidden/>
              </w:rPr>
            </w:r>
            <w:r w:rsidR="00EB22E8">
              <w:rPr>
                <w:noProof/>
                <w:webHidden/>
              </w:rPr>
              <w:fldChar w:fldCharType="separate"/>
            </w:r>
            <w:r w:rsidR="00EB22E8">
              <w:rPr>
                <w:noProof/>
                <w:webHidden/>
              </w:rPr>
              <w:t>37</w:t>
            </w:r>
            <w:r w:rsidR="00EB22E8">
              <w:rPr>
                <w:noProof/>
                <w:webHidden/>
              </w:rPr>
              <w:fldChar w:fldCharType="end"/>
            </w:r>
          </w:hyperlink>
        </w:p>
        <w:p w14:paraId="553471F6" w14:textId="77777777" w:rsidR="00EB22E8" w:rsidRDefault="00993E6F">
          <w:pPr>
            <w:pStyle w:val="TOC3"/>
            <w:tabs>
              <w:tab w:val="left" w:pos="1418"/>
              <w:tab w:val="right" w:leader="dot" w:pos="9628"/>
            </w:tabs>
            <w:rPr>
              <w:rFonts w:asciiTheme="minorHAnsi" w:eastAsiaTheme="minorEastAsia" w:hAnsiTheme="minorHAnsi" w:cstheme="minorBidi"/>
              <w:noProof/>
              <w:color w:val="auto"/>
              <w:lang w:val="en-AU" w:eastAsia="en-AU"/>
            </w:rPr>
          </w:pPr>
          <w:hyperlink w:anchor="_Toc19006737" w:history="1">
            <w:r w:rsidR="00EB22E8" w:rsidRPr="00AB1C2C">
              <w:rPr>
                <w:rStyle w:val="Hyperlink"/>
                <w:noProof/>
                <w:lang w:bidi="en-US"/>
              </w:rPr>
              <w:t>4.7.2.</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Child protection</w:t>
            </w:r>
            <w:r w:rsidR="00EB22E8">
              <w:rPr>
                <w:noProof/>
                <w:webHidden/>
              </w:rPr>
              <w:tab/>
            </w:r>
            <w:r w:rsidR="00EB22E8">
              <w:rPr>
                <w:noProof/>
                <w:webHidden/>
              </w:rPr>
              <w:fldChar w:fldCharType="begin"/>
            </w:r>
            <w:r w:rsidR="00EB22E8">
              <w:rPr>
                <w:noProof/>
                <w:webHidden/>
              </w:rPr>
              <w:instrText xml:space="preserve"> PAGEREF _Toc19006737 \h </w:instrText>
            </w:r>
            <w:r w:rsidR="00EB22E8">
              <w:rPr>
                <w:noProof/>
                <w:webHidden/>
              </w:rPr>
            </w:r>
            <w:r w:rsidR="00EB22E8">
              <w:rPr>
                <w:noProof/>
                <w:webHidden/>
              </w:rPr>
              <w:fldChar w:fldCharType="separate"/>
            </w:r>
            <w:r w:rsidR="00EB22E8">
              <w:rPr>
                <w:noProof/>
                <w:webHidden/>
              </w:rPr>
              <w:t>37</w:t>
            </w:r>
            <w:r w:rsidR="00EB22E8">
              <w:rPr>
                <w:noProof/>
                <w:webHidden/>
              </w:rPr>
              <w:fldChar w:fldCharType="end"/>
            </w:r>
          </w:hyperlink>
        </w:p>
        <w:p w14:paraId="5804D3CA" w14:textId="77777777" w:rsidR="00EB22E8" w:rsidRDefault="00993E6F">
          <w:pPr>
            <w:pStyle w:val="TOC1"/>
            <w:rPr>
              <w:rFonts w:asciiTheme="minorHAnsi" w:eastAsiaTheme="minorEastAsia" w:hAnsiTheme="minorHAnsi" w:cstheme="minorBidi"/>
              <w:noProof/>
              <w:color w:val="auto"/>
              <w:lang w:val="en-AU" w:eastAsia="en-AU"/>
            </w:rPr>
          </w:pPr>
          <w:hyperlink w:anchor="_Toc19006738" w:history="1">
            <w:r w:rsidR="00EB22E8" w:rsidRPr="00AB1C2C">
              <w:rPr>
                <w:rStyle w:val="Hyperlink"/>
                <w:noProof/>
                <w:lang w:bidi="en-US"/>
              </w:rPr>
              <w:t>5.</w:t>
            </w:r>
            <w:r w:rsidR="00EB22E8">
              <w:rPr>
                <w:rFonts w:asciiTheme="minorHAnsi" w:eastAsiaTheme="minorEastAsia" w:hAnsiTheme="minorHAnsi" w:cstheme="minorBidi"/>
                <w:noProof/>
                <w:color w:val="auto"/>
                <w:lang w:val="en-AU" w:eastAsia="en-AU"/>
              </w:rPr>
              <w:tab/>
            </w:r>
            <w:r w:rsidR="00EB22E8" w:rsidRPr="00AB1C2C">
              <w:rPr>
                <w:rStyle w:val="Hyperlink"/>
                <w:noProof/>
                <w:lang w:bidi="en-US"/>
              </w:rPr>
              <w:t>Governance</w:t>
            </w:r>
            <w:r w:rsidR="00EB22E8">
              <w:rPr>
                <w:noProof/>
                <w:webHidden/>
              </w:rPr>
              <w:tab/>
            </w:r>
            <w:r w:rsidR="00EB22E8">
              <w:rPr>
                <w:noProof/>
                <w:webHidden/>
              </w:rPr>
              <w:fldChar w:fldCharType="begin"/>
            </w:r>
            <w:r w:rsidR="00EB22E8">
              <w:rPr>
                <w:noProof/>
                <w:webHidden/>
              </w:rPr>
              <w:instrText xml:space="preserve"> PAGEREF _Toc19006738 \h </w:instrText>
            </w:r>
            <w:r w:rsidR="00EB22E8">
              <w:rPr>
                <w:noProof/>
                <w:webHidden/>
              </w:rPr>
            </w:r>
            <w:r w:rsidR="00EB22E8">
              <w:rPr>
                <w:noProof/>
                <w:webHidden/>
              </w:rPr>
              <w:fldChar w:fldCharType="separate"/>
            </w:r>
            <w:r w:rsidR="00EB22E8">
              <w:rPr>
                <w:noProof/>
                <w:webHidden/>
              </w:rPr>
              <w:t>38</w:t>
            </w:r>
            <w:r w:rsidR="00EB22E8">
              <w:rPr>
                <w:noProof/>
                <w:webHidden/>
              </w:rPr>
              <w:fldChar w:fldCharType="end"/>
            </w:r>
          </w:hyperlink>
        </w:p>
        <w:p w14:paraId="4C3DDC07" w14:textId="77777777" w:rsidR="00EB22E8" w:rsidRDefault="00993E6F">
          <w:pPr>
            <w:pStyle w:val="TOC1"/>
            <w:rPr>
              <w:rFonts w:asciiTheme="minorHAnsi" w:eastAsiaTheme="minorEastAsia" w:hAnsiTheme="minorHAnsi" w:cstheme="minorBidi"/>
              <w:noProof/>
              <w:color w:val="auto"/>
              <w:lang w:val="en-AU" w:eastAsia="en-AU"/>
            </w:rPr>
          </w:pPr>
          <w:hyperlink w:anchor="_Toc19006739" w:history="1">
            <w:r w:rsidR="00EB22E8" w:rsidRPr="00AB1C2C">
              <w:rPr>
                <w:rStyle w:val="Hyperlink"/>
                <w:rFonts w:eastAsia="Calibri"/>
                <w:noProof/>
                <w:lang w:eastAsia="en-AU" w:bidi="en-US"/>
              </w:rPr>
              <w:t>6.</w:t>
            </w:r>
            <w:r w:rsidR="00EB22E8">
              <w:rPr>
                <w:rFonts w:asciiTheme="minorHAnsi" w:eastAsiaTheme="minorEastAsia" w:hAnsiTheme="minorHAnsi" w:cstheme="minorBidi"/>
                <w:noProof/>
                <w:color w:val="auto"/>
                <w:lang w:val="en-AU" w:eastAsia="en-AU"/>
              </w:rPr>
              <w:tab/>
            </w:r>
            <w:r w:rsidR="00EB22E8" w:rsidRPr="00AB1C2C">
              <w:rPr>
                <w:rStyle w:val="Hyperlink"/>
                <w:rFonts w:eastAsia="Calibri"/>
                <w:noProof/>
                <w:lang w:eastAsia="en-AU" w:bidi="en-US"/>
              </w:rPr>
              <w:t>Key Lessons and Actions</w:t>
            </w:r>
            <w:r w:rsidR="00EB22E8">
              <w:rPr>
                <w:noProof/>
                <w:webHidden/>
              </w:rPr>
              <w:tab/>
            </w:r>
            <w:r w:rsidR="00EB22E8">
              <w:rPr>
                <w:noProof/>
                <w:webHidden/>
              </w:rPr>
              <w:fldChar w:fldCharType="begin"/>
            </w:r>
            <w:r w:rsidR="00EB22E8">
              <w:rPr>
                <w:noProof/>
                <w:webHidden/>
              </w:rPr>
              <w:instrText xml:space="preserve"> PAGEREF _Toc19006739 \h </w:instrText>
            </w:r>
            <w:r w:rsidR="00EB22E8">
              <w:rPr>
                <w:noProof/>
                <w:webHidden/>
              </w:rPr>
            </w:r>
            <w:r w:rsidR="00EB22E8">
              <w:rPr>
                <w:noProof/>
                <w:webHidden/>
              </w:rPr>
              <w:fldChar w:fldCharType="separate"/>
            </w:r>
            <w:r w:rsidR="00EB22E8">
              <w:rPr>
                <w:noProof/>
                <w:webHidden/>
              </w:rPr>
              <w:t>39</w:t>
            </w:r>
            <w:r w:rsidR="00EB22E8">
              <w:rPr>
                <w:noProof/>
                <w:webHidden/>
              </w:rPr>
              <w:fldChar w:fldCharType="end"/>
            </w:r>
          </w:hyperlink>
        </w:p>
        <w:p w14:paraId="7C2EC4BE" w14:textId="77777777" w:rsidR="00EB22E8" w:rsidRDefault="00993E6F">
          <w:pPr>
            <w:pStyle w:val="TOC2"/>
            <w:rPr>
              <w:rFonts w:asciiTheme="minorHAnsi" w:eastAsiaTheme="minorEastAsia" w:hAnsiTheme="minorHAnsi" w:cstheme="minorBidi"/>
              <w:color w:val="auto"/>
              <w:lang w:val="en-AU" w:eastAsia="en-AU"/>
            </w:rPr>
          </w:pPr>
          <w:hyperlink w:anchor="_Toc19006740" w:history="1">
            <w:r w:rsidR="00EB22E8" w:rsidRPr="00AB1C2C">
              <w:rPr>
                <w:rStyle w:val="Hyperlink"/>
                <w:lang w:bidi="en-US"/>
              </w:rPr>
              <w:t>6.1.</w:t>
            </w:r>
            <w:r w:rsidR="00EB22E8">
              <w:rPr>
                <w:rFonts w:asciiTheme="minorHAnsi" w:eastAsiaTheme="minorEastAsia" w:hAnsiTheme="minorHAnsi" w:cstheme="minorBidi"/>
                <w:color w:val="auto"/>
                <w:lang w:val="en-AU" w:eastAsia="en-AU"/>
              </w:rPr>
              <w:tab/>
            </w:r>
            <w:r w:rsidR="00EB22E8" w:rsidRPr="00AB1C2C">
              <w:rPr>
                <w:rStyle w:val="Hyperlink"/>
                <w:lang w:bidi="en-US"/>
              </w:rPr>
              <w:t>Implementation approaches are effective and should be continued</w:t>
            </w:r>
            <w:r w:rsidR="00EB22E8">
              <w:rPr>
                <w:webHidden/>
              </w:rPr>
              <w:tab/>
            </w:r>
            <w:r w:rsidR="00EB22E8">
              <w:rPr>
                <w:webHidden/>
              </w:rPr>
              <w:fldChar w:fldCharType="begin"/>
            </w:r>
            <w:r w:rsidR="00EB22E8">
              <w:rPr>
                <w:webHidden/>
              </w:rPr>
              <w:instrText xml:space="preserve"> PAGEREF _Toc19006740 \h </w:instrText>
            </w:r>
            <w:r w:rsidR="00EB22E8">
              <w:rPr>
                <w:webHidden/>
              </w:rPr>
            </w:r>
            <w:r w:rsidR="00EB22E8">
              <w:rPr>
                <w:webHidden/>
              </w:rPr>
              <w:fldChar w:fldCharType="separate"/>
            </w:r>
            <w:r w:rsidR="00EB22E8">
              <w:rPr>
                <w:webHidden/>
              </w:rPr>
              <w:t>39</w:t>
            </w:r>
            <w:r w:rsidR="00EB22E8">
              <w:rPr>
                <w:webHidden/>
              </w:rPr>
              <w:fldChar w:fldCharType="end"/>
            </w:r>
          </w:hyperlink>
        </w:p>
        <w:p w14:paraId="293EA2D0" w14:textId="77777777" w:rsidR="00EB22E8" w:rsidRDefault="00993E6F">
          <w:pPr>
            <w:pStyle w:val="TOC2"/>
            <w:rPr>
              <w:rFonts w:asciiTheme="minorHAnsi" w:eastAsiaTheme="minorEastAsia" w:hAnsiTheme="minorHAnsi" w:cstheme="minorBidi"/>
              <w:color w:val="auto"/>
              <w:lang w:val="en-AU" w:eastAsia="en-AU"/>
            </w:rPr>
          </w:pPr>
          <w:hyperlink w:anchor="_Toc19006741" w:history="1">
            <w:r w:rsidR="00EB22E8" w:rsidRPr="00AB1C2C">
              <w:rPr>
                <w:rStyle w:val="Hyperlink"/>
                <w:lang w:bidi="en-US"/>
              </w:rPr>
              <w:t>6.2.</w:t>
            </w:r>
            <w:r w:rsidR="00EB22E8">
              <w:rPr>
                <w:rFonts w:asciiTheme="minorHAnsi" w:eastAsiaTheme="minorEastAsia" w:hAnsiTheme="minorHAnsi" w:cstheme="minorBidi"/>
                <w:color w:val="auto"/>
                <w:lang w:val="en-AU" w:eastAsia="en-AU"/>
              </w:rPr>
              <w:tab/>
            </w:r>
            <w:r w:rsidR="00EB22E8" w:rsidRPr="00AB1C2C">
              <w:rPr>
                <w:rStyle w:val="Hyperlink"/>
                <w:lang w:bidi="en-US"/>
              </w:rPr>
              <w:t>The whole is greater than the sum of its parts</w:t>
            </w:r>
            <w:r w:rsidR="00EB22E8">
              <w:rPr>
                <w:webHidden/>
              </w:rPr>
              <w:tab/>
            </w:r>
            <w:r w:rsidR="00EB22E8">
              <w:rPr>
                <w:webHidden/>
              </w:rPr>
              <w:fldChar w:fldCharType="begin"/>
            </w:r>
            <w:r w:rsidR="00EB22E8">
              <w:rPr>
                <w:webHidden/>
              </w:rPr>
              <w:instrText xml:space="preserve"> PAGEREF _Toc19006741 \h </w:instrText>
            </w:r>
            <w:r w:rsidR="00EB22E8">
              <w:rPr>
                <w:webHidden/>
              </w:rPr>
            </w:r>
            <w:r w:rsidR="00EB22E8">
              <w:rPr>
                <w:webHidden/>
              </w:rPr>
              <w:fldChar w:fldCharType="separate"/>
            </w:r>
            <w:r w:rsidR="00EB22E8">
              <w:rPr>
                <w:webHidden/>
              </w:rPr>
              <w:t>40</w:t>
            </w:r>
            <w:r w:rsidR="00EB22E8">
              <w:rPr>
                <w:webHidden/>
              </w:rPr>
              <w:fldChar w:fldCharType="end"/>
            </w:r>
          </w:hyperlink>
        </w:p>
        <w:p w14:paraId="62F8CDB7" w14:textId="77777777" w:rsidR="00EB22E8" w:rsidRDefault="00993E6F">
          <w:pPr>
            <w:pStyle w:val="TOC2"/>
            <w:rPr>
              <w:rFonts w:asciiTheme="minorHAnsi" w:eastAsiaTheme="minorEastAsia" w:hAnsiTheme="minorHAnsi" w:cstheme="minorBidi"/>
              <w:color w:val="auto"/>
              <w:lang w:val="en-AU" w:eastAsia="en-AU"/>
            </w:rPr>
          </w:pPr>
          <w:hyperlink w:anchor="_Toc19006742" w:history="1">
            <w:r w:rsidR="00EB22E8" w:rsidRPr="00AB1C2C">
              <w:rPr>
                <w:rStyle w:val="Hyperlink"/>
                <w:lang w:bidi="en-US"/>
              </w:rPr>
              <w:t>6.3.</w:t>
            </w:r>
            <w:r w:rsidR="00EB22E8">
              <w:rPr>
                <w:rFonts w:asciiTheme="minorHAnsi" w:eastAsiaTheme="minorEastAsia" w:hAnsiTheme="minorHAnsi" w:cstheme="minorBidi"/>
                <w:color w:val="auto"/>
                <w:lang w:val="en-AU" w:eastAsia="en-AU"/>
              </w:rPr>
              <w:tab/>
            </w:r>
            <w:r w:rsidR="00EB22E8" w:rsidRPr="00AB1C2C">
              <w:rPr>
                <w:rStyle w:val="Hyperlink"/>
                <w:lang w:bidi="en-US"/>
              </w:rPr>
              <w:t xml:space="preserve">TASS activity value-add comes from being responsive </w:t>
            </w:r>
            <w:r w:rsidR="00EB22E8" w:rsidRPr="00AB1C2C">
              <w:rPr>
                <w:rStyle w:val="Hyperlink"/>
                <w:i/>
                <w:lang w:bidi="en-US"/>
              </w:rPr>
              <w:t>and</w:t>
            </w:r>
            <w:r w:rsidR="00EB22E8" w:rsidRPr="00AB1C2C">
              <w:rPr>
                <w:rStyle w:val="Hyperlink"/>
                <w:lang w:bidi="en-US"/>
              </w:rPr>
              <w:t xml:space="preserve"> strategic</w:t>
            </w:r>
            <w:r w:rsidR="00EB22E8">
              <w:rPr>
                <w:webHidden/>
              </w:rPr>
              <w:tab/>
            </w:r>
            <w:r w:rsidR="00EB22E8">
              <w:rPr>
                <w:webHidden/>
              </w:rPr>
              <w:fldChar w:fldCharType="begin"/>
            </w:r>
            <w:r w:rsidR="00EB22E8">
              <w:rPr>
                <w:webHidden/>
              </w:rPr>
              <w:instrText xml:space="preserve"> PAGEREF _Toc19006742 \h </w:instrText>
            </w:r>
            <w:r w:rsidR="00EB22E8">
              <w:rPr>
                <w:webHidden/>
              </w:rPr>
            </w:r>
            <w:r w:rsidR="00EB22E8">
              <w:rPr>
                <w:webHidden/>
              </w:rPr>
              <w:fldChar w:fldCharType="separate"/>
            </w:r>
            <w:r w:rsidR="00EB22E8">
              <w:rPr>
                <w:webHidden/>
              </w:rPr>
              <w:t>40</w:t>
            </w:r>
            <w:r w:rsidR="00EB22E8">
              <w:rPr>
                <w:webHidden/>
              </w:rPr>
              <w:fldChar w:fldCharType="end"/>
            </w:r>
          </w:hyperlink>
        </w:p>
        <w:p w14:paraId="7DF8E29B" w14:textId="77777777" w:rsidR="00EB22E8" w:rsidRDefault="00993E6F">
          <w:pPr>
            <w:pStyle w:val="TOC2"/>
            <w:rPr>
              <w:rFonts w:asciiTheme="minorHAnsi" w:eastAsiaTheme="minorEastAsia" w:hAnsiTheme="minorHAnsi" w:cstheme="minorBidi"/>
              <w:color w:val="auto"/>
              <w:lang w:val="en-AU" w:eastAsia="en-AU"/>
            </w:rPr>
          </w:pPr>
          <w:hyperlink w:anchor="_Toc19006743" w:history="1">
            <w:r w:rsidR="00EB22E8" w:rsidRPr="00AB1C2C">
              <w:rPr>
                <w:rStyle w:val="Hyperlink"/>
                <w:lang w:bidi="en-US"/>
              </w:rPr>
              <w:t>6.4.</w:t>
            </w:r>
            <w:r w:rsidR="00EB22E8">
              <w:rPr>
                <w:rFonts w:asciiTheme="minorHAnsi" w:eastAsiaTheme="minorEastAsia" w:hAnsiTheme="minorHAnsi" w:cstheme="minorBidi"/>
                <w:color w:val="auto"/>
                <w:lang w:val="en-AU" w:eastAsia="en-AU"/>
              </w:rPr>
              <w:tab/>
            </w:r>
            <w:r w:rsidR="00EB22E8" w:rsidRPr="00AB1C2C">
              <w:rPr>
                <w:rStyle w:val="Hyperlink"/>
                <w:lang w:bidi="en-US"/>
              </w:rPr>
              <w:t>Size does matter</w:t>
            </w:r>
            <w:r w:rsidR="00EB22E8">
              <w:rPr>
                <w:webHidden/>
              </w:rPr>
              <w:tab/>
            </w:r>
            <w:r w:rsidR="00EB22E8">
              <w:rPr>
                <w:webHidden/>
              </w:rPr>
              <w:fldChar w:fldCharType="begin"/>
            </w:r>
            <w:r w:rsidR="00EB22E8">
              <w:rPr>
                <w:webHidden/>
              </w:rPr>
              <w:instrText xml:space="preserve"> PAGEREF _Toc19006743 \h </w:instrText>
            </w:r>
            <w:r w:rsidR="00EB22E8">
              <w:rPr>
                <w:webHidden/>
              </w:rPr>
            </w:r>
            <w:r w:rsidR="00EB22E8">
              <w:rPr>
                <w:webHidden/>
              </w:rPr>
              <w:fldChar w:fldCharType="separate"/>
            </w:r>
            <w:r w:rsidR="00EB22E8">
              <w:rPr>
                <w:webHidden/>
              </w:rPr>
              <w:t>41</w:t>
            </w:r>
            <w:r w:rsidR="00EB22E8">
              <w:rPr>
                <w:webHidden/>
              </w:rPr>
              <w:fldChar w:fldCharType="end"/>
            </w:r>
          </w:hyperlink>
        </w:p>
        <w:p w14:paraId="501A618C" w14:textId="77777777" w:rsidR="00EB22E8" w:rsidRDefault="00993E6F">
          <w:pPr>
            <w:pStyle w:val="TOC2"/>
            <w:rPr>
              <w:rFonts w:asciiTheme="minorHAnsi" w:eastAsiaTheme="minorEastAsia" w:hAnsiTheme="minorHAnsi" w:cstheme="minorBidi"/>
              <w:color w:val="auto"/>
              <w:lang w:val="en-AU" w:eastAsia="en-AU"/>
            </w:rPr>
          </w:pPr>
          <w:hyperlink w:anchor="_Toc19006744" w:history="1">
            <w:r w:rsidR="00EB22E8" w:rsidRPr="00AB1C2C">
              <w:rPr>
                <w:rStyle w:val="Hyperlink"/>
                <w:lang w:bidi="en-US"/>
              </w:rPr>
              <w:t>6.5.</w:t>
            </w:r>
            <w:r w:rsidR="00EB22E8">
              <w:rPr>
                <w:rFonts w:asciiTheme="minorHAnsi" w:eastAsiaTheme="minorEastAsia" w:hAnsiTheme="minorHAnsi" w:cstheme="minorBidi"/>
                <w:color w:val="auto"/>
                <w:lang w:val="en-AU" w:eastAsia="en-AU"/>
              </w:rPr>
              <w:tab/>
            </w:r>
            <w:r w:rsidR="00EB22E8" w:rsidRPr="00AB1C2C">
              <w:rPr>
                <w:rStyle w:val="Hyperlink"/>
                <w:lang w:bidi="en-US"/>
              </w:rPr>
              <w:t>Gender and social inclusion efforts improved, but desired outcomes still to be achieved</w:t>
            </w:r>
            <w:r w:rsidR="00EB22E8">
              <w:rPr>
                <w:webHidden/>
              </w:rPr>
              <w:tab/>
            </w:r>
            <w:r w:rsidR="00EB22E8">
              <w:rPr>
                <w:webHidden/>
              </w:rPr>
              <w:fldChar w:fldCharType="begin"/>
            </w:r>
            <w:r w:rsidR="00EB22E8">
              <w:rPr>
                <w:webHidden/>
              </w:rPr>
              <w:instrText xml:space="preserve"> PAGEREF _Toc19006744 \h </w:instrText>
            </w:r>
            <w:r w:rsidR="00EB22E8">
              <w:rPr>
                <w:webHidden/>
              </w:rPr>
            </w:r>
            <w:r w:rsidR="00EB22E8">
              <w:rPr>
                <w:webHidden/>
              </w:rPr>
              <w:fldChar w:fldCharType="separate"/>
            </w:r>
            <w:r w:rsidR="00EB22E8">
              <w:rPr>
                <w:webHidden/>
              </w:rPr>
              <w:t>42</w:t>
            </w:r>
            <w:r w:rsidR="00EB22E8">
              <w:rPr>
                <w:webHidden/>
              </w:rPr>
              <w:fldChar w:fldCharType="end"/>
            </w:r>
          </w:hyperlink>
        </w:p>
        <w:p w14:paraId="1F1D20D6" w14:textId="77777777" w:rsidR="00EB22E8" w:rsidRDefault="00993E6F">
          <w:pPr>
            <w:pStyle w:val="TOC1"/>
            <w:rPr>
              <w:rFonts w:asciiTheme="minorHAnsi" w:eastAsiaTheme="minorEastAsia" w:hAnsiTheme="minorHAnsi" w:cstheme="minorBidi"/>
              <w:noProof/>
              <w:color w:val="auto"/>
              <w:lang w:val="en-AU" w:eastAsia="en-AU"/>
            </w:rPr>
          </w:pPr>
          <w:hyperlink w:anchor="_Toc19006745" w:history="1">
            <w:r w:rsidR="00EB22E8" w:rsidRPr="00AB1C2C">
              <w:rPr>
                <w:rStyle w:val="Hyperlink"/>
                <w:noProof/>
                <w:lang w:bidi="en-US"/>
              </w:rPr>
              <w:t>Annex 1 Activities unable to be fulfilled in 2018</w:t>
            </w:r>
            <w:r w:rsidR="00EB22E8">
              <w:rPr>
                <w:noProof/>
                <w:webHidden/>
              </w:rPr>
              <w:tab/>
            </w:r>
            <w:r w:rsidR="00EB22E8">
              <w:rPr>
                <w:noProof/>
                <w:webHidden/>
              </w:rPr>
              <w:fldChar w:fldCharType="begin"/>
            </w:r>
            <w:r w:rsidR="00EB22E8">
              <w:rPr>
                <w:noProof/>
                <w:webHidden/>
              </w:rPr>
              <w:instrText xml:space="preserve"> PAGEREF _Toc19006745 \h </w:instrText>
            </w:r>
            <w:r w:rsidR="00EB22E8">
              <w:rPr>
                <w:noProof/>
                <w:webHidden/>
              </w:rPr>
            </w:r>
            <w:r w:rsidR="00EB22E8">
              <w:rPr>
                <w:noProof/>
                <w:webHidden/>
              </w:rPr>
              <w:fldChar w:fldCharType="separate"/>
            </w:r>
            <w:r w:rsidR="00EB22E8">
              <w:rPr>
                <w:noProof/>
                <w:webHidden/>
              </w:rPr>
              <w:t>43</w:t>
            </w:r>
            <w:r w:rsidR="00EB22E8">
              <w:rPr>
                <w:noProof/>
                <w:webHidden/>
              </w:rPr>
              <w:fldChar w:fldCharType="end"/>
            </w:r>
          </w:hyperlink>
        </w:p>
        <w:p w14:paraId="3B817793" w14:textId="77777777" w:rsidR="00EB22E8" w:rsidRDefault="00993E6F">
          <w:pPr>
            <w:pStyle w:val="TOC1"/>
            <w:rPr>
              <w:rFonts w:asciiTheme="minorHAnsi" w:eastAsiaTheme="minorEastAsia" w:hAnsiTheme="minorHAnsi" w:cstheme="minorBidi"/>
              <w:noProof/>
              <w:color w:val="auto"/>
              <w:lang w:val="en-AU" w:eastAsia="en-AU"/>
            </w:rPr>
          </w:pPr>
          <w:hyperlink w:anchor="_Toc19006746" w:history="1">
            <w:r w:rsidR="00EB22E8" w:rsidRPr="00AB1C2C">
              <w:rPr>
                <w:rStyle w:val="Hyperlink"/>
                <w:noProof/>
                <w:lang w:bidi="en-US"/>
              </w:rPr>
              <w:t>Annex 2: RPJMN Six Key Directions</w:t>
            </w:r>
            <w:r w:rsidR="00EB22E8">
              <w:rPr>
                <w:noProof/>
                <w:webHidden/>
              </w:rPr>
              <w:tab/>
            </w:r>
            <w:r w:rsidR="00EB22E8">
              <w:rPr>
                <w:noProof/>
                <w:webHidden/>
              </w:rPr>
              <w:fldChar w:fldCharType="begin"/>
            </w:r>
            <w:r w:rsidR="00EB22E8">
              <w:rPr>
                <w:noProof/>
                <w:webHidden/>
              </w:rPr>
              <w:instrText xml:space="preserve"> PAGEREF _Toc19006746 \h </w:instrText>
            </w:r>
            <w:r w:rsidR="00EB22E8">
              <w:rPr>
                <w:noProof/>
                <w:webHidden/>
              </w:rPr>
            </w:r>
            <w:r w:rsidR="00EB22E8">
              <w:rPr>
                <w:noProof/>
                <w:webHidden/>
              </w:rPr>
              <w:fldChar w:fldCharType="separate"/>
            </w:r>
            <w:r w:rsidR="00EB22E8">
              <w:rPr>
                <w:noProof/>
                <w:webHidden/>
              </w:rPr>
              <w:t>44</w:t>
            </w:r>
            <w:r w:rsidR="00EB22E8">
              <w:rPr>
                <w:noProof/>
                <w:webHidden/>
              </w:rPr>
              <w:fldChar w:fldCharType="end"/>
            </w:r>
          </w:hyperlink>
        </w:p>
        <w:p w14:paraId="4BEE595D" w14:textId="374F7221" w:rsidR="003E4CF0" w:rsidRDefault="003E4CF0">
          <w:r>
            <w:rPr>
              <w:b/>
              <w:bCs/>
              <w:noProof/>
            </w:rPr>
            <w:fldChar w:fldCharType="end"/>
          </w:r>
        </w:p>
      </w:sdtContent>
    </w:sdt>
    <w:p w14:paraId="11E71DE1" w14:textId="77777777" w:rsidR="00452E28" w:rsidRPr="00F47B75" w:rsidRDefault="00452E28">
      <w:pPr>
        <w:pStyle w:val="TableofFigures"/>
        <w:tabs>
          <w:tab w:val="right" w:leader="dot" w:pos="9628"/>
        </w:tabs>
        <w:rPr>
          <w:sz w:val="24"/>
        </w:rPr>
      </w:pPr>
    </w:p>
    <w:p w14:paraId="6A71F316" w14:textId="77777777" w:rsidR="00452E28" w:rsidRPr="00F47B75" w:rsidRDefault="00452E28" w:rsidP="00452E28">
      <w:pPr>
        <w:pStyle w:val="ChapterTitle0"/>
        <w:rPr>
          <w:rFonts w:ascii="Arial" w:eastAsiaTheme="majorEastAsia" w:hAnsi="Arial" w:cstheme="majorBidi"/>
          <w:color w:val="auto"/>
          <w:sz w:val="40"/>
          <w:szCs w:val="32"/>
        </w:rPr>
      </w:pPr>
      <w:r w:rsidRPr="00F47B75">
        <w:rPr>
          <w:rFonts w:ascii="Arial" w:eastAsiaTheme="majorEastAsia" w:hAnsi="Arial" w:cstheme="majorBidi"/>
          <w:color w:val="auto"/>
          <w:sz w:val="40"/>
          <w:szCs w:val="32"/>
        </w:rPr>
        <w:t>List of Tables and Figures</w:t>
      </w:r>
    </w:p>
    <w:p w14:paraId="45D558B4" w14:textId="77777777" w:rsidR="00EB22E8" w:rsidRPr="00133D4B" w:rsidRDefault="00452E28">
      <w:pPr>
        <w:pStyle w:val="TableofFigures"/>
        <w:tabs>
          <w:tab w:val="right" w:leader="dot" w:pos="9628"/>
        </w:tabs>
        <w:rPr>
          <w:rFonts w:ascii="Cambria" w:hAnsi="Cambria"/>
          <w:noProof/>
          <w:lang w:val="en-AU" w:eastAsia="en-AU" w:bidi="ar-SA"/>
        </w:rPr>
      </w:pPr>
      <w:r w:rsidRPr="00133D4B">
        <w:rPr>
          <w:rFonts w:ascii="Cambria" w:hAnsi="Cambria"/>
        </w:rPr>
        <w:fldChar w:fldCharType="begin"/>
      </w:r>
      <w:r w:rsidRPr="00133D4B">
        <w:rPr>
          <w:rFonts w:ascii="Cambria" w:hAnsi="Cambria"/>
        </w:rPr>
        <w:instrText xml:space="preserve"> TOC \h \z \c "Table" </w:instrText>
      </w:r>
      <w:r w:rsidRPr="00133D4B">
        <w:rPr>
          <w:rFonts w:ascii="Cambria" w:hAnsi="Cambria"/>
        </w:rPr>
        <w:fldChar w:fldCharType="separate"/>
      </w:r>
      <w:hyperlink w:anchor="_Toc19006747" w:history="1">
        <w:r w:rsidR="00EB22E8" w:rsidRPr="00133D4B">
          <w:rPr>
            <w:rStyle w:val="Hyperlink"/>
            <w:rFonts w:ascii="Cambria" w:hAnsi="Cambria"/>
            <w:noProof/>
          </w:rPr>
          <w:t>Table 1: Activities delivered in partnership with MoEC in 2018</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_Toc19006747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12</w:t>
        </w:r>
        <w:r w:rsidR="00EB22E8" w:rsidRPr="00133D4B">
          <w:rPr>
            <w:rFonts w:ascii="Cambria" w:hAnsi="Cambria"/>
            <w:noProof/>
            <w:webHidden/>
          </w:rPr>
          <w:fldChar w:fldCharType="end"/>
        </w:r>
      </w:hyperlink>
    </w:p>
    <w:p w14:paraId="24B8C34A" w14:textId="77777777" w:rsidR="00EB22E8" w:rsidRPr="00133D4B" w:rsidRDefault="00993E6F">
      <w:pPr>
        <w:pStyle w:val="TableofFigures"/>
        <w:tabs>
          <w:tab w:val="right" w:leader="dot" w:pos="9628"/>
        </w:tabs>
        <w:rPr>
          <w:rFonts w:ascii="Cambria" w:hAnsi="Cambria"/>
          <w:noProof/>
          <w:lang w:val="en-AU" w:eastAsia="en-AU" w:bidi="ar-SA"/>
        </w:rPr>
      </w:pPr>
      <w:hyperlink w:anchor="_Toc19006748" w:history="1">
        <w:r w:rsidR="00EB22E8" w:rsidRPr="00133D4B">
          <w:rPr>
            <w:rStyle w:val="Hyperlink"/>
            <w:rFonts w:ascii="Cambria" w:hAnsi="Cambria"/>
            <w:noProof/>
          </w:rPr>
          <w:t>Table 2: Activities delivered in Partnership with MoRA in 2018</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_Toc19006748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18</w:t>
        </w:r>
        <w:r w:rsidR="00EB22E8" w:rsidRPr="00133D4B">
          <w:rPr>
            <w:rFonts w:ascii="Cambria" w:hAnsi="Cambria"/>
            <w:noProof/>
            <w:webHidden/>
          </w:rPr>
          <w:fldChar w:fldCharType="end"/>
        </w:r>
      </w:hyperlink>
    </w:p>
    <w:p w14:paraId="5F28B5D0" w14:textId="77777777" w:rsidR="00EB22E8" w:rsidRPr="00133D4B" w:rsidRDefault="00993E6F">
      <w:pPr>
        <w:pStyle w:val="TableofFigures"/>
        <w:tabs>
          <w:tab w:val="right" w:leader="dot" w:pos="9628"/>
        </w:tabs>
        <w:rPr>
          <w:rFonts w:ascii="Cambria" w:hAnsi="Cambria"/>
          <w:noProof/>
          <w:lang w:val="en-AU" w:eastAsia="en-AU" w:bidi="ar-SA"/>
        </w:rPr>
      </w:pPr>
      <w:hyperlink w:anchor="_Toc19006749" w:history="1">
        <w:r w:rsidR="00EB22E8" w:rsidRPr="00133D4B">
          <w:rPr>
            <w:rStyle w:val="Hyperlink"/>
            <w:rFonts w:ascii="Cambria" w:hAnsi="Cambria"/>
            <w:noProof/>
          </w:rPr>
          <w:t>Table 3: Activities in Partnership with Bappenas 2018</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_Toc19006749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20</w:t>
        </w:r>
        <w:r w:rsidR="00EB22E8" w:rsidRPr="00133D4B">
          <w:rPr>
            <w:rFonts w:ascii="Cambria" w:hAnsi="Cambria"/>
            <w:noProof/>
            <w:webHidden/>
          </w:rPr>
          <w:fldChar w:fldCharType="end"/>
        </w:r>
      </w:hyperlink>
    </w:p>
    <w:p w14:paraId="37D3D4CA" w14:textId="77777777" w:rsidR="00EB22E8" w:rsidRPr="00133D4B" w:rsidRDefault="00993E6F">
      <w:pPr>
        <w:pStyle w:val="TableofFigures"/>
        <w:tabs>
          <w:tab w:val="right" w:leader="dot" w:pos="9628"/>
        </w:tabs>
        <w:rPr>
          <w:rFonts w:ascii="Cambria" w:hAnsi="Cambria"/>
          <w:noProof/>
          <w:lang w:val="en-AU" w:eastAsia="en-AU" w:bidi="ar-SA"/>
        </w:rPr>
      </w:pPr>
      <w:hyperlink w:anchor="_Toc19006750" w:history="1">
        <w:r w:rsidR="00EB22E8" w:rsidRPr="00133D4B">
          <w:rPr>
            <w:rStyle w:val="Hyperlink"/>
            <w:rFonts w:ascii="Cambria" w:hAnsi="Cambria"/>
            <w:noProof/>
          </w:rPr>
          <w:t>Table 4: Activities in Partnership with DFAT 2018</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_Toc19006750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21</w:t>
        </w:r>
        <w:r w:rsidR="00EB22E8" w:rsidRPr="00133D4B">
          <w:rPr>
            <w:rFonts w:ascii="Cambria" w:hAnsi="Cambria"/>
            <w:noProof/>
            <w:webHidden/>
          </w:rPr>
          <w:fldChar w:fldCharType="end"/>
        </w:r>
      </w:hyperlink>
    </w:p>
    <w:p w14:paraId="54971642" w14:textId="77777777" w:rsidR="00EB22E8" w:rsidRPr="00133D4B" w:rsidRDefault="00993E6F">
      <w:pPr>
        <w:pStyle w:val="TableofFigures"/>
        <w:tabs>
          <w:tab w:val="right" w:leader="dot" w:pos="9628"/>
        </w:tabs>
        <w:rPr>
          <w:rFonts w:ascii="Cambria" w:hAnsi="Cambria"/>
          <w:noProof/>
          <w:lang w:val="en-AU" w:eastAsia="en-AU" w:bidi="ar-SA"/>
        </w:rPr>
      </w:pPr>
      <w:hyperlink w:anchor="_Toc19006751" w:history="1">
        <w:r w:rsidR="00EB22E8" w:rsidRPr="00133D4B">
          <w:rPr>
            <w:rStyle w:val="Hyperlink"/>
            <w:rFonts w:ascii="Cambria" w:hAnsi="Cambria"/>
            <w:noProof/>
          </w:rPr>
          <w:t>Table 5: Findings against the DFAT AIP PAF</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_Toc19006751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24</w:t>
        </w:r>
        <w:r w:rsidR="00EB22E8" w:rsidRPr="00133D4B">
          <w:rPr>
            <w:rFonts w:ascii="Cambria" w:hAnsi="Cambria"/>
            <w:noProof/>
            <w:webHidden/>
          </w:rPr>
          <w:fldChar w:fldCharType="end"/>
        </w:r>
      </w:hyperlink>
    </w:p>
    <w:p w14:paraId="433DC9C1" w14:textId="77777777" w:rsidR="00EB22E8" w:rsidRPr="00133D4B" w:rsidRDefault="00993E6F">
      <w:pPr>
        <w:pStyle w:val="TableofFigures"/>
        <w:tabs>
          <w:tab w:val="right" w:leader="dot" w:pos="9628"/>
        </w:tabs>
        <w:rPr>
          <w:rFonts w:ascii="Cambria" w:hAnsi="Cambria"/>
          <w:noProof/>
          <w:lang w:val="en-AU" w:eastAsia="en-AU" w:bidi="ar-SA"/>
        </w:rPr>
      </w:pPr>
      <w:hyperlink w:anchor="_Toc19006752" w:history="1">
        <w:r w:rsidR="00EB22E8" w:rsidRPr="00133D4B">
          <w:rPr>
            <w:rStyle w:val="Hyperlink"/>
            <w:rFonts w:ascii="Cambria" w:hAnsi="Cambria"/>
            <w:noProof/>
          </w:rPr>
          <w:t>Table 6: Summary of results against the program logic</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_Toc19006752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26</w:t>
        </w:r>
        <w:r w:rsidR="00EB22E8" w:rsidRPr="00133D4B">
          <w:rPr>
            <w:rFonts w:ascii="Cambria" w:hAnsi="Cambria"/>
            <w:noProof/>
            <w:webHidden/>
          </w:rPr>
          <w:fldChar w:fldCharType="end"/>
        </w:r>
      </w:hyperlink>
    </w:p>
    <w:p w14:paraId="3471BA8B" w14:textId="77777777" w:rsidR="00EB22E8" w:rsidRPr="00133D4B" w:rsidRDefault="00993E6F">
      <w:pPr>
        <w:pStyle w:val="TableofFigures"/>
        <w:tabs>
          <w:tab w:val="right" w:leader="dot" w:pos="9628"/>
        </w:tabs>
        <w:rPr>
          <w:rFonts w:ascii="Cambria" w:hAnsi="Cambria"/>
          <w:noProof/>
          <w:lang w:val="en-AU" w:eastAsia="en-AU" w:bidi="ar-SA"/>
        </w:rPr>
      </w:pPr>
      <w:hyperlink w:anchor="_Toc19006753" w:history="1">
        <w:r w:rsidR="00EB22E8" w:rsidRPr="00133D4B">
          <w:rPr>
            <w:rStyle w:val="Hyperlink"/>
            <w:rFonts w:ascii="Cambria" w:hAnsi="Cambria"/>
            <w:noProof/>
          </w:rPr>
          <w:t>Table 7: TASS' contribution to results</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_Toc19006753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29</w:t>
        </w:r>
        <w:r w:rsidR="00EB22E8" w:rsidRPr="00133D4B">
          <w:rPr>
            <w:rFonts w:ascii="Cambria" w:hAnsi="Cambria"/>
            <w:noProof/>
            <w:webHidden/>
          </w:rPr>
          <w:fldChar w:fldCharType="end"/>
        </w:r>
      </w:hyperlink>
    </w:p>
    <w:p w14:paraId="4D80A0FA" w14:textId="77777777" w:rsidR="00EB22E8" w:rsidRPr="00133D4B" w:rsidRDefault="00452E28" w:rsidP="00452E28">
      <w:pPr>
        <w:spacing w:after="0" w:line="264" w:lineRule="auto"/>
        <w:rPr>
          <w:rFonts w:ascii="Cambria" w:hAnsi="Cambria"/>
          <w:noProof/>
        </w:rPr>
      </w:pPr>
      <w:r w:rsidRPr="00133D4B">
        <w:rPr>
          <w:rFonts w:ascii="Cambria" w:hAnsi="Cambria"/>
        </w:rPr>
        <w:fldChar w:fldCharType="end"/>
      </w:r>
      <w:r w:rsidRPr="00133D4B">
        <w:rPr>
          <w:rFonts w:ascii="Cambria" w:hAnsi="Cambria"/>
        </w:rPr>
        <w:fldChar w:fldCharType="begin"/>
      </w:r>
      <w:r w:rsidRPr="00133D4B">
        <w:rPr>
          <w:rFonts w:ascii="Cambria" w:hAnsi="Cambria"/>
        </w:rPr>
        <w:instrText xml:space="preserve"> TOC \h \z \c "Figure" </w:instrText>
      </w:r>
      <w:r w:rsidRPr="00133D4B">
        <w:rPr>
          <w:rFonts w:ascii="Cambria" w:hAnsi="Cambria"/>
        </w:rPr>
        <w:fldChar w:fldCharType="separate"/>
      </w:r>
    </w:p>
    <w:p w14:paraId="5AAC62DF" w14:textId="77777777" w:rsidR="00EB22E8" w:rsidRPr="00133D4B" w:rsidRDefault="00993E6F">
      <w:pPr>
        <w:pStyle w:val="TableofFigures"/>
        <w:tabs>
          <w:tab w:val="right" w:leader="dot" w:pos="9628"/>
        </w:tabs>
        <w:rPr>
          <w:rFonts w:ascii="Cambria" w:hAnsi="Cambria"/>
          <w:noProof/>
          <w:lang w:val="en-AU" w:eastAsia="en-AU" w:bidi="ar-SA"/>
        </w:rPr>
      </w:pPr>
      <w:hyperlink w:anchor="_Toc19006754" w:history="1">
        <w:r w:rsidR="00EB22E8" w:rsidRPr="00133D4B">
          <w:rPr>
            <w:rStyle w:val="Hyperlink"/>
            <w:rFonts w:ascii="Cambria" w:hAnsi="Cambria"/>
            <w:noProof/>
          </w:rPr>
          <w:t>Figure 1: Palladium Adaptive Management Framework</w:t>
        </w:r>
        <w:r w:rsidR="00EB22E8" w:rsidRPr="00133D4B">
          <w:rPr>
            <w:rFonts w:ascii="Cambria" w:hAnsi="Cambria"/>
            <w:noProof/>
            <w:webHidden/>
          </w:rPr>
          <w:tab/>
        </w:r>
        <w:r w:rsidR="00EB22E8" w:rsidRPr="00133D4B">
          <w:rPr>
            <w:rFonts w:ascii="Cambria" w:hAnsi="Cambria"/>
            <w:noProof/>
            <w:webHidden/>
          </w:rPr>
          <w:fldChar w:fldCharType="begin"/>
        </w:r>
        <w:r w:rsidR="00EB22E8" w:rsidRPr="00133D4B">
          <w:rPr>
            <w:rFonts w:ascii="Cambria" w:hAnsi="Cambria"/>
            <w:noProof/>
            <w:webHidden/>
          </w:rPr>
          <w:instrText xml:space="preserve"> PAGEREF _Toc19006754 \h </w:instrText>
        </w:r>
        <w:r w:rsidR="00EB22E8" w:rsidRPr="00133D4B">
          <w:rPr>
            <w:rFonts w:ascii="Cambria" w:hAnsi="Cambria"/>
            <w:noProof/>
            <w:webHidden/>
          </w:rPr>
        </w:r>
        <w:r w:rsidR="00EB22E8" w:rsidRPr="00133D4B">
          <w:rPr>
            <w:rFonts w:ascii="Cambria" w:hAnsi="Cambria"/>
            <w:noProof/>
            <w:webHidden/>
          </w:rPr>
          <w:fldChar w:fldCharType="separate"/>
        </w:r>
        <w:r w:rsidR="00EB22E8" w:rsidRPr="00133D4B">
          <w:rPr>
            <w:rFonts w:ascii="Cambria" w:hAnsi="Cambria"/>
            <w:noProof/>
            <w:webHidden/>
          </w:rPr>
          <w:t>33</w:t>
        </w:r>
        <w:r w:rsidR="00EB22E8" w:rsidRPr="00133D4B">
          <w:rPr>
            <w:rFonts w:ascii="Cambria" w:hAnsi="Cambria"/>
            <w:noProof/>
            <w:webHidden/>
          </w:rPr>
          <w:fldChar w:fldCharType="end"/>
        </w:r>
      </w:hyperlink>
    </w:p>
    <w:p w14:paraId="47923211" w14:textId="77777777" w:rsidR="003D53CE" w:rsidRPr="001303F8" w:rsidRDefault="00452E28">
      <w:pPr>
        <w:spacing w:before="200" w:line="264" w:lineRule="auto"/>
        <w:rPr>
          <w:rFonts w:ascii="Cambria" w:hAnsi="Cambria"/>
          <w:sz w:val="24"/>
        </w:rPr>
      </w:pPr>
      <w:r w:rsidRPr="00133D4B">
        <w:rPr>
          <w:rFonts w:ascii="Cambria" w:hAnsi="Cambria"/>
        </w:rPr>
        <w:fldChar w:fldCharType="end"/>
      </w:r>
    </w:p>
    <w:p w14:paraId="4E978453" w14:textId="3A12E3B9" w:rsidR="003D53CE" w:rsidRPr="00F47B75" w:rsidRDefault="003D53CE" w:rsidP="003D53CE">
      <w:pPr>
        <w:pStyle w:val="ChapterTitle0"/>
        <w:rPr>
          <w:rFonts w:ascii="Arial" w:eastAsiaTheme="majorEastAsia" w:hAnsi="Arial" w:cstheme="majorBidi"/>
          <w:color w:val="auto"/>
          <w:sz w:val="40"/>
          <w:szCs w:val="32"/>
        </w:rPr>
      </w:pPr>
      <w:bookmarkStart w:id="1" w:name="_Toc487583895"/>
      <w:r w:rsidRPr="00F47B75">
        <w:rPr>
          <w:rFonts w:ascii="Arial" w:eastAsiaTheme="majorEastAsia" w:hAnsi="Arial" w:cstheme="majorBidi"/>
          <w:color w:val="auto"/>
          <w:sz w:val="40"/>
          <w:szCs w:val="32"/>
        </w:rPr>
        <w:t>List of Acronym</w:t>
      </w:r>
      <w:r w:rsidR="00216D15">
        <w:rPr>
          <w:rFonts w:ascii="Arial" w:eastAsiaTheme="majorEastAsia" w:hAnsi="Arial" w:cstheme="majorBidi"/>
          <w:color w:val="auto"/>
          <w:sz w:val="40"/>
          <w:szCs w:val="32"/>
        </w:rPr>
        <w:t>s</w:t>
      </w:r>
    </w:p>
    <w:tbl>
      <w:tblPr>
        <w:tblW w:w="9940" w:type="dxa"/>
        <w:tblLook w:val="04A0" w:firstRow="1" w:lastRow="0" w:firstColumn="1" w:lastColumn="0" w:noHBand="0" w:noVBand="1"/>
      </w:tblPr>
      <w:tblGrid>
        <w:gridCol w:w="2500"/>
        <w:gridCol w:w="7440"/>
      </w:tblGrid>
      <w:tr w:rsidR="00F3438D" w14:paraId="28714C0C" w14:textId="77777777" w:rsidTr="00C252C1">
        <w:trPr>
          <w:trHeight w:val="300"/>
        </w:trPr>
        <w:tc>
          <w:tcPr>
            <w:tcW w:w="2500" w:type="dxa"/>
            <w:tcBorders>
              <w:top w:val="nil"/>
              <w:left w:val="nil"/>
              <w:bottom w:val="nil"/>
              <w:right w:val="nil"/>
            </w:tcBorders>
            <w:shd w:val="clear" w:color="auto" w:fill="auto"/>
            <w:noWrap/>
            <w:hideMark/>
          </w:tcPr>
          <w:p w14:paraId="25BC4F4D" w14:textId="77777777" w:rsidR="00F3438D" w:rsidRDefault="00F3438D" w:rsidP="004165F0">
            <w:pPr>
              <w:spacing w:line="240" w:lineRule="auto"/>
              <w:rPr>
                <w:rFonts w:ascii="Cambria" w:eastAsia="Times New Roman" w:hAnsi="Cambria" w:cs="Times New Roman"/>
                <w:b/>
                <w:bCs/>
                <w:color w:val="000000"/>
                <w:lang w:val="en-AU" w:eastAsia="en-AU" w:bidi="ar-SA"/>
              </w:rPr>
            </w:pPr>
            <w:r>
              <w:rPr>
                <w:rFonts w:ascii="Cambria" w:hAnsi="Cambria"/>
                <w:b/>
                <w:bCs/>
                <w:color w:val="000000"/>
              </w:rPr>
              <w:t>ACDP</w:t>
            </w:r>
          </w:p>
        </w:tc>
        <w:tc>
          <w:tcPr>
            <w:tcW w:w="7440" w:type="dxa"/>
            <w:tcBorders>
              <w:top w:val="nil"/>
              <w:left w:val="nil"/>
              <w:bottom w:val="nil"/>
              <w:right w:val="nil"/>
            </w:tcBorders>
            <w:shd w:val="clear" w:color="auto" w:fill="auto"/>
            <w:vAlign w:val="bottom"/>
            <w:hideMark/>
          </w:tcPr>
          <w:p w14:paraId="443B0D12" w14:textId="77777777" w:rsidR="00F3438D" w:rsidRDefault="00F3438D">
            <w:pPr>
              <w:rPr>
                <w:rFonts w:ascii="Cambria" w:hAnsi="Cambria"/>
                <w:color w:val="000000"/>
              </w:rPr>
            </w:pPr>
            <w:r>
              <w:rPr>
                <w:rFonts w:ascii="Cambria" w:hAnsi="Cambria"/>
                <w:color w:val="000000"/>
              </w:rPr>
              <w:t>Analytical Capacity Development Program</w:t>
            </w:r>
          </w:p>
        </w:tc>
      </w:tr>
      <w:tr w:rsidR="00F3438D" w14:paraId="7F12408A" w14:textId="77777777" w:rsidTr="00C252C1">
        <w:trPr>
          <w:trHeight w:val="300"/>
        </w:trPr>
        <w:tc>
          <w:tcPr>
            <w:tcW w:w="2500" w:type="dxa"/>
            <w:tcBorders>
              <w:top w:val="nil"/>
              <w:left w:val="nil"/>
              <w:bottom w:val="nil"/>
              <w:right w:val="nil"/>
            </w:tcBorders>
            <w:shd w:val="clear" w:color="auto" w:fill="auto"/>
            <w:noWrap/>
            <w:hideMark/>
          </w:tcPr>
          <w:p w14:paraId="1D7F4067" w14:textId="77777777" w:rsidR="00F3438D" w:rsidRDefault="00F3438D" w:rsidP="004165F0">
            <w:pPr>
              <w:rPr>
                <w:rFonts w:ascii="Cambria" w:hAnsi="Cambria"/>
                <w:b/>
                <w:bCs/>
                <w:color w:val="000000"/>
              </w:rPr>
            </w:pPr>
            <w:r>
              <w:rPr>
                <w:rFonts w:ascii="Cambria" w:hAnsi="Cambria"/>
                <w:b/>
                <w:bCs/>
                <w:color w:val="000000"/>
              </w:rPr>
              <w:t>ADB</w:t>
            </w:r>
          </w:p>
        </w:tc>
        <w:tc>
          <w:tcPr>
            <w:tcW w:w="7440" w:type="dxa"/>
            <w:tcBorders>
              <w:top w:val="nil"/>
              <w:left w:val="nil"/>
              <w:bottom w:val="nil"/>
              <w:right w:val="nil"/>
            </w:tcBorders>
            <w:shd w:val="clear" w:color="auto" w:fill="auto"/>
            <w:vAlign w:val="bottom"/>
            <w:hideMark/>
          </w:tcPr>
          <w:p w14:paraId="35D6734E" w14:textId="01B711EB" w:rsidR="00F3438D" w:rsidRDefault="00F3438D">
            <w:pPr>
              <w:rPr>
                <w:rFonts w:ascii="Cambria" w:hAnsi="Cambria"/>
                <w:color w:val="000000"/>
              </w:rPr>
            </w:pPr>
            <w:r>
              <w:rPr>
                <w:rFonts w:ascii="Cambria" w:hAnsi="Cambria"/>
                <w:color w:val="000000"/>
              </w:rPr>
              <w:t>Asia</w:t>
            </w:r>
            <w:r w:rsidR="00216D15">
              <w:rPr>
                <w:rFonts w:ascii="Cambria" w:hAnsi="Cambria"/>
                <w:color w:val="000000"/>
              </w:rPr>
              <w:t>n</w:t>
            </w:r>
            <w:r>
              <w:rPr>
                <w:rFonts w:ascii="Cambria" w:hAnsi="Cambria"/>
                <w:color w:val="000000"/>
              </w:rPr>
              <w:t xml:space="preserve"> Development Bank</w:t>
            </w:r>
          </w:p>
        </w:tc>
      </w:tr>
      <w:tr w:rsidR="00F3438D" w14:paraId="48DD6C8A" w14:textId="77777777" w:rsidTr="00C252C1">
        <w:trPr>
          <w:trHeight w:val="300"/>
        </w:trPr>
        <w:tc>
          <w:tcPr>
            <w:tcW w:w="2500" w:type="dxa"/>
            <w:tcBorders>
              <w:top w:val="nil"/>
              <w:left w:val="nil"/>
              <w:bottom w:val="nil"/>
              <w:right w:val="nil"/>
            </w:tcBorders>
            <w:shd w:val="clear" w:color="auto" w:fill="auto"/>
            <w:noWrap/>
            <w:hideMark/>
          </w:tcPr>
          <w:p w14:paraId="7A42D9BA" w14:textId="77777777" w:rsidR="00F3438D" w:rsidRDefault="00F3438D" w:rsidP="004165F0">
            <w:pPr>
              <w:rPr>
                <w:rFonts w:ascii="Cambria" w:hAnsi="Cambria"/>
                <w:b/>
                <w:bCs/>
                <w:color w:val="000000"/>
              </w:rPr>
            </w:pPr>
            <w:r>
              <w:rPr>
                <w:rFonts w:ascii="Cambria" w:hAnsi="Cambria"/>
                <w:b/>
                <w:bCs/>
                <w:color w:val="000000"/>
              </w:rPr>
              <w:t>AIP-Rural</w:t>
            </w:r>
          </w:p>
        </w:tc>
        <w:tc>
          <w:tcPr>
            <w:tcW w:w="7440" w:type="dxa"/>
            <w:tcBorders>
              <w:top w:val="nil"/>
              <w:left w:val="nil"/>
              <w:bottom w:val="nil"/>
              <w:right w:val="nil"/>
            </w:tcBorders>
            <w:shd w:val="clear" w:color="auto" w:fill="auto"/>
            <w:vAlign w:val="bottom"/>
            <w:hideMark/>
          </w:tcPr>
          <w:p w14:paraId="71A7AE7A" w14:textId="77777777" w:rsidR="00F3438D" w:rsidRDefault="00F3438D">
            <w:pPr>
              <w:rPr>
                <w:rFonts w:ascii="Cambria" w:hAnsi="Cambria"/>
                <w:color w:val="000000"/>
              </w:rPr>
            </w:pPr>
            <w:r>
              <w:rPr>
                <w:rFonts w:ascii="Cambria" w:hAnsi="Cambria"/>
                <w:color w:val="000000"/>
              </w:rPr>
              <w:t>Australia-Indonesia Partnership for Rural Economic Development</w:t>
            </w:r>
          </w:p>
        </w:tc>
      </w:tr>
      <w:tr w:rsidR="00F3438D" w14:paraId="34869D98" w14:textId="77777777" w:rsidTr="00C252C1">
        <w:trPr>
          <w:trHeight w:val="585"/>
        </w:trPr>
        <w:tc>
          <w:tcPr>
            <w:tcW w:w="2500" w:type="dxa"/>
            <w:tcBorders>
              <w:top w:val="nil"/>
              <w:left w:val="nil"/>
              <w:bottom w:val="nil"/>
              <w:right w:val="nil"/>
            </w:tcBorders>
            <w:shd w:val="clear" w:color="auto" w:fill="auto"/>
            <w:noWrap/>
            <w:hideMark/>
          </w:tcPr>
          <w:p w14:paraId="7199CB76" w14:textId="77777777" w:rsidR="00F3438D" w:rsidRDefault="00F3438D" w:rsidP="004165F0">
            <w:pPr>
              <w:rPr>
                <w:rFonts w:ascii="Cambria" w:hAnsi="Cambria"/>
                <w:b/>
                <w:bCs/>
                <w:color w:val="000000"/>
              </w:rPr>
            </w:pPr>
            <w:r>
              <w:rPr>
                <w:rFonts w:ascii="Cambria" w:hAnsi="Cambria"/>
                <w:b/>
                <w:bCs/>
                <w:color w:val="000000"/>
              </w:rPr>
              <w:t>AKSI</w:t>
            </w:r>
          </w:p>
        </w:tc>
        <w:tc>
          <w:tcPr>
            <w:tcW w:w="7440" w:type="dxa"/>
            <w:tcBorders>
              <w:top w:val="nil"/>
              <w:left w:val="nil"/>
              <w:bottom w:val="nil"/>
              <w:right w:val="nil"/>
            </w:tcBorders>
            <w:shd w:val="clear" w:color="auto" w:fill="auto"/>
            <w:vAlign w:val="bottom"/>
            <w:hideMark/>
          </w:tcPr>
          <w:p w14:paraId="341F6C33" w14:textId="77777777" w:rsidR="00F3438D" w:rsidRDefault="00F3438D">
            <w:pPr>
              <w:rPr>
                <w:rFonts w:ascii="Cambria" w:hAnsi="Cambria"/>
                <w:color w:val="000000"/>
              </w:rPr>
            </w:pPr>
            <w:r>
              <w:rPr>
                <w:rFonts w:ascii="Cambria" w:hAnsi="Cambria"/>
                <w:color w:val="000000"/>
              </w:rPr>
              <w:t>Asesmen Kompentasi Siswa Indonesia / Indonesia Student Competency Assessment</w:t>
            </w:r>
          </w:p>
        </w:tc>
      </w:tr>
      <w:tr w:rsidR="004B277A" w14:paraId="481CF0CC" w14:textId="77777777" w:rsidTr="00C252C1">
        <w:trPr>
          <w:trHeight w:val="300"/>
        </w:trPr>
        <w:tc>
          <w:tcPr>
            <w:tcW w:w="2500" w:type="dxa"/>
            <w:tcBorders>
              <w:top w:val="nil"/>
              <w:left w:val="nil"/>
              <w:bottom w:val="nil"/>
              <w:right w:val="nil"/>
            </w:tcBorders>
            <w:shd w:val="clear" w:color="auto" w:fill="auto"/>
            <w:noWrap/>
          </w:tcPr>
          <w:p w14:paraId="3E2F762E" w14:textId="5DF8B2ED" w:rsidR="004B277A" w:rsidRDefault="004B277A" w:rsidP="004165F0">
            <w:pPr>
              <w:rPr>
                <w:rFonts w:ascii="Cambria" w:hAnsi="Cambria"/>
                <w:b/>
                <w:bCs/>
                <w:color w:val="000000"/>
              </w:rPr>
            </w:pPr>
            <w:r>
              <w:rPr>
                <w:rFonts w:ascii="Cambria" w:hAnsi="Cambria"/>
                <w:b/>
                <w:bCs/>
                <w:color w:val="000000"/>
              </w:rPr>
              <w:t>ASEAN</w:t>
            </w:r>
          </w:p>
        </w:tc>
        <w:tc>
          <w:tcPr>
            <w:tcW w:w="7440" w:type="dxa"/>
            <w:tcBorders>
              <w:top w:val="nil"/>
              <w:left w:val="nil"/>
              <w:bottom w:val="nil"/>
              <w:right w:val="nil"/>
            </w:tcBorders>
            <w:shd w:val="clear" w:color="auto" w:fill="auto"/>
            <w:vAlign w:val="bottom"/>
          </w:tcPr>
          <w:p w14:paraId="3DD5A4B8" w14:textId="06047F6B" w:rsidR="004B277A" w:rsidRPr="004B277A" w:rsidRDefault="004B277A">
            <w:pPr>
              <w:rPr>
                <w:rFonts w:ascii="Cambria" w:hAnsi="Cambria"/>
                <w:iCs/>
                <w:color w:val="000000"/>
              </w:rPr>
            </w:pPr>
            <w:r>
              <w:rPr>
                <w:rFonts w:ascii="Cambria" w:hAnsi="Cambria"/>
                <w:iCs/>
                <w:color w:val="000000"/>
              </w:rPr>
              <w:t>Association of Southeast Asian Nations</w:t>
            </w:r>
          </w:p>
        </w:tc>
      </w:tr>
      <w:tr w:rsidR="00F3438D" w14:paraId="2F6A0193" w14:textId="77777777" w:rsidTr="00C252C1">
        <w:trPr>
          <w:trHeight w:val="300"/>
        </w:trPr>
        <w:tc>
          <w:tcPr>
            <w:tcW w:w="2500" w:type="dxa"/>
            <w:tcBorders>
              <w:top w:val="nil"/>
              <w:left w:val="nil"/>
              <w:bottom w:val="nil"/>
              <w:right w:val="nil"/>
            </w:tcBorders>
            <w:shd w:val="clear" w:color="auto" w:fill="auto"/>
            <w:noWrap/>
            <w:hideMark/>
          </w:tcPr>
          <w:p w14:paraId="2B58AB7C" w14:textId="77777777" w:rsidR="00F3438D" w:rsidRDefault="00F3438D" w:rsidP="004165F0">
            <w:pPr>
              <w:rPr>
                <w:rFonts w:ascii="Cambria" w:hAnsi="Cambria"/>
                <w:b/>
                <w:bCs/>
                <w:color w:val="000000"/>
              </w:rPr>
            </w:pPr>
            <w:r>
              <w:rPr>
                <w:rFonts w:ascii="Cambria" w:hAnsi="Cambria"/>
                <w:b/>
                <w:bCs/>
                <w:color w:val="000000"/>
              </w:rPr>
              <w:t>Balitbang</w:t>
            </w:r>
          </w:p>
        </w:tc>
        <w:tc>
          <w:tcPr>
            <w:tcW w:w="7440" w:type="dxa"/>
            <w:tcBorders>
              <w:top w:val="nil"/>
              <w:left w:val="nil"/>
              <w:bottom w:val="nil"/>
              <w:right w:val="nil"/>
            </w:tcBorders>
            <w:shd w:val="clear" w:color="auto" w:fill="auto"/>
            <w:vAlign w:val="bottom"/>
            <w:hideMark/>
          </w:tcPr>
          <w:p w14:paraId="03B770AB" w14:textId="77777777" w:rsidR="00F3438D" w:rsidRDefault="00F3438D">
            <w:pPr>
              <w:rPr>
                <w:rFonts w:ascii="Cambria" w:hAnsi="Cambria"/>
                <w:color w:val="000000"/>
              </w:rPr>
            </w:pPr>
            <w:r>
              <w:rPr>
                <w:rFonts w:ascii="Cambria" w:hAnsi="Cambria"/>
                <w:i/>
                <w:iCs/>
                <w:color w:val="000000"/>
              </w:rPr>
              <w:t>Badan Penelitian dan Pengembangan</w:t>
            </w:r>
            <w:r>
              <w:rPr>
                <w:rFonts w:ascii="Cambria" w:hAnsi="Cambria"/>
                <w:color w:val="000000"/>
              </w:rPr>
              <w:t xml:space="preserve"> / Research and Development Agency </w:t>
            </w:r>
          </w:p>
        </w:tc>
      </w:tr>
      <w:tr w:rsidR="00251A3D" w14:paraId="5B672EDE" w14:textId="77777777" w:rsidTr="00C252C1">
        <w:trPr>
          <w:trHeight w:val="585"/>
        </w:trPr>
        <w:tc>
          <w:tcPr>
            <w:tcW w:w="2500" w:type="dxa"/>
            <w:tcBorders>
              <w:top w:val="nil"/>
              <w:left w:val="nil"/>
              <w:bottom w:val="nil"/>
              <w:right w:val="nil"/>
            </w:tcBorders>
            <w:shd w:val="clear" w:color="auto" w:fill="auto"/>
            <w:noWrap/>
          </w:tcPr>
          <w:p w14:paraId="119B1D03" w14:textId="46AFAEBF" w:rsidR="00251A3D" w:rsidRDefault="00251A3D" w:rsidP="004165F0">
            <w:pPr>
              <w:rPr>
                <w:rFonts w:ascii="Cambria" w:hAnsi="Cambria"/>
                <w:b/>
                <w:bCs/>
                <w:color w:val="000000"/>
              </w:rPr>
            </w:pPr>
            <w:r>
              <w:rPr>
                <w:rFonts w:ascii="Cambria" w:hAnsi="Cambria"/>
                <w:b/>
                <w:bCs/>
                <w:color w:val="000000"/>
              </w:rPr>
              <w:t>BAN-S/M</w:t>
            </w:r>
          </w:p>
        </w:tc>
        <w:tc>
          <w:tcPr>
            <w:tcW w:w="7440" w:type="dxa"/>
            <w:tcBorders>
              <w:top w:val="nil"/>
              <w:left w:val="nil"/>
              <w:bottom w:val="nil"/>
              <w:right w:val="nil"/>
            </w:tcBorders>
            <w:shd w:val="clear" w:color="auto" w:fill="auto"/>
            <w:vAlign w:val="bottom"/>
          </w:tcPr>
          <w:p w14:paraId="06B4A694" w14:textId="63D42F2E" w:rsidR="00251A3D" w:rsidRPr="00251A3D" w:rsidRDefault="00251A3D">
            <w:pPr>
              <w:rPr>
                <w:rFonts w:ascii="Cambria" w:hAnsi="Cambria"/>
                <w:iCs/>
                <w:color w:val="000000"/>
              </w:rPr>
            </w:pPr>
            <w:r>
              <w:rPr>
                <w:rFonts w:ascii="Cambria" w:hAnsi="Cambria"/>
                <w:i/>
                <w:iCs/>
                <w:color w:val="000000"/>
              </w:rPr>
              <w:t xml:space="preserve">Badan Akreditasi Nasional Sekolah/Madrasah / </w:t>
            </w:r>
            <w:r>
              <w:rPr>
                <w:rFonts w:ascii="Cambria" w:hAnsi="Cambria"/>
                <w:iCs/>
                <w:color w:val="000000"/>
              </w:rPr>
              <w:t>National School and Madrasah Accreditation Agency</w:t>
            </w:r>
          </w:p>
        </w:tc>
      </w:tr>
      <w:tr w:rsidR="00F3438D" w14:paraId="601D601D" w14:textId="77777777" w:rsidTr="00C252C1">
        <w:trPr>
          <w:trHeight w:val="585"/>
        </w:trPr>
        <w:tc>
          <w:tcPr>
            <w:tcW w:w="2500" w:type="dxa"/>
            <w:tcBorders>
              <w:top w:val="nil"/>
              <w:left w:val="nil"/>
              <w:bottom w:val="nil"/>
              <w:right w:val="nil"/>
            </w:tcBorders>
            <w:shd w:val="clear" w:color="auto" w:fill="auto"/>
            <w:noWrap/>
            <w:hideMark/>
          </w:tcPr>
          <w:p w14:paraId="10CB39C0" w14:textId="77777777" w:rsidR="00F3438D" w:rsidRDefault="00F3438D" w:rsidP="004165F0">
            <w:pPr>
              <w:rPr>
                <w:rFonts w:ascii="Cambria" w:hAnsi="Cambria"/>
                <w:b/>
                <w:bCs/>
                <w:color w:val="000000"/>
              </w:rPr>
            </w:pPr>
            <w:r>
              <w:rPr>
                <w:rFonts w:ascii="Cambria" w:hAnsi="Cambria"/>
                <w:b/>
                <w:bCs/>
                <w:color w:val="000000"/>
              </w:rPr>
              <w:t>Bappenas</w:t>
            </w:r>
          </w:p>
        </w:tc>
        <w:tc>
          <w:tcPr>
            <w:tcW w:w="7440" w:type="dxa"/>
            <w:tcBorders>
              <w:top w:val="nil"/>
              <w:left w:val="nil"/>
              <w:bottom w:val="nil"/>
              <w:right w:val="nil"/>
            </w:tcBorders>
            <w:shd w:val="clear" w:color="auto" w:fill="auto"/>
            <w:vAlign w:val="bottom"/>
            <w:hideMark/>
          </w:tcPr>
          <w:p w14:paraId="5F7329F4" w14:textId="77777777" w:rsidR="00F3438D" w:rsidRDefault="00F3438D">
            <w:pPr>
              <w:rPr>
                <w:rFonts w:ascii="Cambria" w:hAnsi="Cambria"/>
                <w:color w:val="000000"/>
              </w:rPr>
            </w:pPr>
            <w:r>
              <w:rPr>
                <w:rFonts w:ascii="Cambria" w:hAnsi="Cambria"/>
                <w:i/>
                <w:iCs/>
                <w:color w:val="000000"/>
              </w:rPr>
              <w:t>Badan Perencanaan Pembangunan Nasional</w:t>
            </w:r>
            <w:r>
              <w:rPr>
                <w:rFonts w:ascii="Cambria" w:hAnsi="Cambria"/>
                <w:color w:val="000000"/>
              </w:rPr>
              <w:t xml:space="preserve"> / National Planning Development Agency </w:t>
            </w:r>
          </w:p>
        </w:tc>
      </w:tr>
      <w:tr w:rsidR="00F3438D" w14:paraId="3F666E04" w14:textId="77777777" w:rsidTr="00C252C1">
        <w:trPr>
          <w:trHeight w:val="570"/>
        </w:trPr>
        <w:tc>
          <w:tcPr>
            <w:tcW w:w="2500" w:type="dxa"/>
            <w:tcBorders>
              <w:top w:val="nil"/>
              <w:left w:val="nil"/>
              <w:bottom w:val="nil"/>
              <w:right w:val="nil"/>
            </w:tcBorders>
            <w:shd w:val="clear" w:color="auto" w:fill="auto"/>
            <w:noWrap/>
            <w:hideMark/>
          </w:tcPr>
          <w:p w14:paraId="61FD16A5" w14:textId="77777777" w:rsidR="00F3438D" w:rsidRDefault="00F3438D" w:rsidP="004165F0">
            <w:pPr>
              <w:rPr>
                <w:rFonts w:ascii="Cambria" w:hAnsi="Cambria"/>
                <w:b/>
                <w:bCs/>
                <w:color w:val="000000"/>
              </w:rPr>
            </w:pPr>
            <w:r>
              <w:rPr>
                <w:rFonts w:ascii="Cambria" w:hAnsi="Cambria"/>
                <w:b/>
                <w:bCs/>
                <w:color w:val="000000"/>
              </w:rPr>
              <w:t>BPKLN</w:t>
            </w:r>
          </w:p>
        </w:tc>
        <w:tc>
          <w:tcPr>
            <w:tcW w:w="7440" w:type="dxa"/>
            <w:tcBorders>
              <w:top w:val="nil"/>
              <w:left w:val="nil"/>
              <w:bottom w:val="nil"/>
              <w:right w:val="nil"/>
            </w:tcBorders>
            <w:shd w:val="clear" w:color="auto" w:fill="auto"/>
            <w:vAlign w:val="center"/>
            <w:hideMark/>
          </w:tcPr>
          <w:p w14:paraId="455A972D" w14:textId="77777777" w:rsidR="00F3438D" w:rsidRDefault="00F3438D">
            <w:pPr>
              <w:rPr>
                <w:rFonts w:ascii="Cambria" w:hAnsi="Cambria"/>
                <w:i/>
                <w:iCs/>
                <w:color w:val="000000"/>
              </w:rPr>
            </w:pPr>
            <w:r>
              <w:rPr>
                <w:rFonts w:ascii="Cambria" w:hAnsi="Cambria"/>
                <w:i/>
                <w:iCs/>
                <w:color w:val="000000"/>
              </w:rPr>
              <w:t>Biro Perencanaan dan Kerjasama Luar Negeri</w:t>
            </w:r>
            <w:r>
              <w:rPr>
                <w:rFonts w:ascii="Cambria" w:hAnsi="Cambria"/>
                <w:color w:val="000000"/>
              </w:rPr>
              <w:t xml:space="preserve"> / Bureau of Planning and International Cooperation </w:t>
            </w:r>
          </w:p>
        </w:tc>
      </w:tr>
      <w:tr w:rsidR="00F3438D" w14:paraId="6A295D8B" w14:textId="77777777" w:rsidTr="00C252C1">
        <w:trPr>
          <w:trHeight w:val="300"/>
        </w:trPr>
        <w:tc>
          <w:tcPr>
            <w:tcW w:w="2500" w:type="dxa"/>
            <w:tcBorders>
              <w:top w:val="nil"/>
              <w:left w:val="nil"/>
              <w:bottom w:val="nil"/>
              <w:right w:val="nil"/>
            </w:tcBorders>
            <w:shd w:val="clear" w:color="auto" w:fill="auto"/>
            <w:noWrap/>
            <w:hideMark/>
          </w:tcPr>
          <w:p w14:paraId="57977308" w14:textId="77777777" w:rsidR="00F3438D" w:rsidRDefault="00F3438D" w:rsidP="004165F0">
            <w:pPr>
              <w:rPr>
                <w:rFonts w:ascii="Cambria" w:hAnsi="Cambria"/>
                <w:b/>
                <w:bCs/>
                <w:color w:val="000000"/>
              </w:rPr>
            </w:pPr>
            <w:r>
              <w:rPr>
                <w:rFonts w:ascii="Cambria" w:hAnsi="Cambria"/>
                <w:b/>
                <w:bCs/>
                <w:color w:val="000000"/>
              </w:rPr>
              <w:t>BSNP</w:t>
            </w:r>
          </w:p>
        </w:tc>
        <w:tc>
          <w:tcPr>
            <w:tcW w:w="7440" w:type="dxa"/>
            <w:tcBorders>
              <w:top w:val="nil"/>
              <w:left w:val="nil"/>
              <w:bottom w:val="nil"/>
              <w:right w:val="nil"/>
            </w:tcBorders>
            <w:shd w:val="clear" w:color="auto" w:fill="auto"/>
            <w:vAlign w:val="center"/>
            <w:hideMark/>
          </w:tcPr>
          <w:p w14:paraId="6824E31A" w14:textId="77777777" w:rsidR="00F3438D" w:rsidRDefault="00F3438D">
            <w:pPr>
              <w:rPr>
                <w:rFonts w:ascii="Cambria" w:hAnsi="Cambria"/>
                <w:i/>
                <w:iCs/>
                <w:color w:val="000000"/>
              </w:rPr>
            </w:pPr>
            <w:r>
              <w:rPr>
                <w:rFonts w:ascii="Cambria" w:hAnsi="Cambria"/>
                <w:i/>
                <w:iCs/>
                <w:color w:val="000000"/>
              </w:rPr>
              <w:t>Badan Standar Nasional Pendidikan / National Education Standard Agency</w:t>
            </w:r>
          </w:p>
        </w:tc>
      </w:tr>
      <w:tr w:rsidR="00F3438D" w14:paraId="05C37D48" w14:textId="77777777" w:rsidTr="00C252C1">
        <w:trPr>
          <w:trHeight w:val="300"/>
        </w:trPr>
        <w:tc>
          <w:tcPr>
            <w:tcW w:w="2500" w:type="dxa"/>
            <w:tcBorders>
              <w:top w:val="nil"/>
              <w:left w:val="nil"/>
              <w:bottom w:val="nil"/>
              <w:right w:val="nil"/>
            </w:tcBorders>
            <w:shd w:val="clear" w:color="auto" w:fill="auto"/>
            <w:noWrap/>
            <w:hideMark/>
          </w:tcPr>
          <w:p w14:paraId="4FF69C6D" w14:textId="77777777" w:rsidR="00F3438D" w:rsidRDefault="00F3438D" w:rsidP="004165F0">
            <w:pPr>
              <w:rPr>
                <w:rFonts w:ascii="Cambria" w:hAnsi="Cambria"/>
                <w:b/>
                <w:bCs/>
                <w:color w:val="000000"/>
              </w:rPr>
            </w:pPr>
            <w:r>
              <w:rPr>
                <w:rFonts w:ascii="Cambria" w:hAnsi="Cambria"/>
                <w:b/>
                <w:bCs/>
                <w:color w:val="000000"/>
              </w:rPr>
              <w:t>CPD</w:t>
            </w:r>
          </w:p>
        </w:tc>
        <w:tc>
          <w:tcPr>
            <w:tcW w:w="7440" w:type="dxa"/>
            <w:tcBorders>
              <w:top w:val="nil"/>
              <w:left w:val="nil"/>
              <w:bottom w:val="nil"/>
              <w:right w:val="nil"/>
            </w:tcBorders>
            <w:shd w:val="clear" w:color="auto" w:fill="auto"/>
            <w:vAlign w:val="center"/>
            <w:hideMark/>
          </w:tcPr>
          <w:p w14:paraId="42DBCFE6" w14:textId="77777777" w:rsidR="00F3438D" w:rsidRDefault="00F3438D">
            <w:pPr>
              <w:rPr>
                <w:rFonts w:ascii="Cambria" w:hAnsi="Cambria"/>
                <w:color w:val="000000"/>
              </w:rPr>
            </w:pPr>
            <w:r>
              <w:rPr>
                <w:rFonts w:ascii="Cambria" w:hAnsi="Cambria"/>
                <w:color w:val="000000"/>
              </w:rPr>
              <w:t xml:space="preserve">Continuous Professional Development </w:t>
            </w:r>
          </w:p>
        </w:tc>
      </w:tr>
      <w:tr w:rsidR="00F3438D" w14:paraId="545AF64F" w14:textId="77777777" w:rsidTr="00C252C1">
        <w:trPr>
          <w:trHeight w:val="300"/>
        </w:trPr>
        <w:tc>
          <w:tcPr>
            <w:tcW w:w="2500" w:type="dxa"/>
            <w:tcBorders>
              <w:top w:val="nil"/>
              <w:left w:val="nil"/>
              <w:bottom w:val="nil"/>
              <w:right w:val="nil"/>
            </w:tcBorders>
            <w:shd w:val="clear" w:color="auto" w:fill="auto"/>
            <w:noWrap/>
            <w:hideMark/>
          </w:tcPr>
          <w:p w14:paraId="37A9D4A6" w14:textId="77777777" w:rsidR="00F3438D" w:rsidRDefault="00F3438D" w:rsidP="004165F0">
            <w:pPr>
              <w:rPr>
                <w:rFonts w:ascii="Cambria" w:hAnsi="Cambria"/>
                <w:b/>
                <w:bCs/>
                <w:color w:val="000000"/>
              </w:rPr>
            </w:pPr>
            <w:r>
              <w:rPr>
                <w:rFonts w:ascii="Cambria" w:hAnsi="Cambria"/>
                <w:b/>
                <w:bCs/>
                <w:color w:val="000000"/>
              </w:rPr>
              <w:t>CSO</w:t>
            </w:r>
          </w:p>
        </w:tc>
        <w:tc>
          <w:tcPr>
            <w:tcW w:w="7440" w:type="dxa"/>
            <w:tcBorders>
              <w:top w:val="nil"/>
              <w:left w:val="nil"/>
              <w:bottom w:val="nil"/>
              <w:right w:val="nil"/>
            </w:tcBorders>
            <w:shd w:val="clear" w:color="auto" w:fill="auto"/>
            <w:vAlign w:val="bottom"/>
            <w:hideMark/>
          </w:tcPr>
          <w:p w14:paraId="094FC591" w14:textId="77777777" w:rsidR="00F3438D" w:rsidRDefault="00F3438D">
            <w:pPr>
              <w:rPr>
                <w:rFonts w:ascii="Cambria" w:hAnsi="Cambria"/>
                <w:color w:val="000000"/>
              </w:rPr>
            </w:pPr>
            <w:r>
              <w:rPr>
                <w:rFonts w:ascii="Cambria" w:hAnsi="Cambria"/>
                <w:color w:val="000000"/>
              </w:rPr>
              <w:t>Civil Society Organisation</w:t>
            </w:r>
          </w:p>
        </w:tc>
      </w:tr>
      <w:tr w:rsidR="00F3438D" w14:paraId="2F42B770" w14:textId="77777777" w:rsidTr="00C252C1">
        <w:trPr>
          <w:trHeight w:val="570"/>
        </w:trPr>
        <w:tc>
          <w:tcPr>
            <w:tcW w:w="2500" w:type="dxa"/>
            <w:tcBorders>
              <w:top w:val="nil"/>
              <w:left w:val="nil"/>
              <w:bottom w:val="nil"/>
              <w:right w:val="nil"/>
            </w:tcBorders>
            <w:shd w:val="clear" w:color="auto" w:fill="auto"/>
            <w:noWrap/>
            <w:hideMark/>
          </w:tcPr>
          <w:p w14:paraId="40A81C1A" w14:textId="77777777" w:rsidR="00F3438D" w:rsidRDefault="00F3438D" w:rsidP="004165F0">
            <w:pPr>
              <w:rPr>
                <w:rFonts w:ascii="Cambria" w:hAnsi="Cambria"/>
                <w:b/>
                <w:bCs/>
                <w:color w:val="000000"/>
              </w:rPr>
            </w:pPr>
            <w:r>
              <w:rPr>
                <w:rFonts w:ascii="Cambria" w:hAnsi="Cambria"/>
                <w:b/>
                <w:bCs/>
                <w:color w:val="000000"/>
              </w:rPr>
              <w:t>DFAT</w:t>
            </w:r>
          </w:p>
        </w:tc>
        <w:tc>
          <w:tcPr>
            <w:tcW w:w="7440" w:type="dxa"/>
            <w:tcBorders>
              <w:top w:val="nil"/>
              <w:left w:val="nil"/>
              <w:bottom w:val="nil"/>
              <w:right w:val="nil"/>
            </w:tcBorders>
            <w:shd w:val="clear" w:color="auto" w:fill="auto"/>
            <w:vAlign w:val="center"/>
            <w:hideMark/>
          </w:tcPr>
          <w:p w14:paraId="0C4ADE66" w14:textId="77777777" w:rsidR="00F3438D" w:rsidRDefault="00F3438D">
            <w:pPr>
              <w:rPr>
                <w:rFonts w:ascii="Cambria" w:hAnsi="Cambria"/>
                <w:color w:val="000000"/>
              </w:rPr>
            </w:pPr>
            <w:r>
              <w:rPr>
                <w:rFonts w:ascii="Cambria" w:hAnsi="Cambria"/>
                <w:color w:val="000000"/>
              </w:rPr>
              <w:t>Australian Department of Foreign Affairs and Trade</w:t>
            </w:r>
          </w:p>
        </w:tc>
      </w:tr>
      <w:tr w:rsidR="00F3438D" w14:paraId="3FB810D4" w14:textId="77777777" w:rsidTr="00C252C1">
        <w:trPr>
          <w:trHeight w:val="300"/>
        </w:trPr>
        <w:tc>
          <w:tcPr>
            <w:tcW w:w="2500" w:type="dxa"/>
            <w:tcBorders>
              <w:top w:val="nil"/>
              <w:left w:val="nil"/>
              <w:bottom w:val="nil"/>
              <w:right w:val="nil"/>
            </w:tcBorders>
            <w:shd w:val="clear" w:color="auto" w:fill="auto"/>
            <w:noWrap/>
            <w:hideMark/>
          </w:tcPr>
          <w:p w14:paraId="2D8408FF" w14:textId="77777777" w:rsidR="00F3438D" w:rsidRDefault="00F3438D" w:rsidP="004165F0">
            <w:pPr>
              <w:rPr>
                <w:rFonts w:ascii="Cambria" w:hAnsi="Cambria"/>
                <w:b/>
                <w:bCs/>
                <w:color w:val="000000"/>
              </w:rPr>
            </w:pPr>
            <w:r>
              <w:rPr>
                <w:rFonts w:ascii="Cambria" w:hAnsi="Cambria"/>
                <w:b/>
                <w:bCs/>
                <w:color w:val="000000"/>
              </w:rPr>
              <w:t>DG</w:t>
            </w:r>
          </w:p>
        </w:tc>
        <w:tc>
          <w:tcPr>
            <w:tcW w:w="7440" w:type="dxa"/>
            <w:tcBorders>
              <w:top w:val="nil"/>
              <w:left w:val="nil"/>
              <w:bottom w:val="nil"/>
              <w:right w:val="nil"/>
            </w:tcBorders>
            <w:shd w:val="clear" w:color="auto" w:fill="auto"/>
            <w:vAlign w:val="bottom"/>
            <w:hideMark/>
          </w:tcPr>
          <w:p w14:paraId="3D59F927" w14:textId="77777777" w:rsidR="00F3438D" w:rsidRDefault="00F3438D">
            <w:pPr>
              <w:rPr>
                <w:rFonts w:ascii="Cambria" w:hAnsi="Cambria"/>
                <w:color w:val="000000"/>
              </w:rPr>
            </w:pPr>
            <w:r>
              <w:rPr>
                <w:rFonts w:ascii="Cambria" w:hAnsi="Cambria"/>
                <w:color w:val="000000"/>
              </w:rPr>
              <w:t>Director General</w:t>
            </w:r>
          </w:p>
        </w:tc>
      </w:tr>
      <w:tr w:rsidR="00F3438D" w14:paraId="61A8D29E" w14:textId="77777777" w:rsidTr="00C252C1">
        <w:trPr>
          <w:trHeight w:val="300"/>
        </w:trPr>
        <w:tc>
          <w:tcPr>
            <w:tcW w:w="2500" w:type="dxa"/>
            <w:tcBorders>
              <w:top w:val="nil"/>
              <w:left w:val="nil"/>
              <w:bottom w:val="nil"/>
              <w:right w:val="nil"/>
            </w:tcBorders>
            <w:shd w:val="clear" w:color="auto" w:fill="auto"/>
            <w:noWrap/>
            <w:hideMark/>
          </w:tcPr>
          <w:p w14:paraId="136A6FAF" w14:textId="77777777" w:rsidR="00F3438D" w:rsidRDefault="00F3438D" w:rsidP="004165F0">
            <w:pPr>
              <w:rPr>
                <w:rFonts w:ascii="Cambria" w:hAnsi="Cambria"/>
                <w:b/>
                <w:bCs/>
                <w:color w:val="000000"/>
              </w:rPr>
            </w:pPr>
            <w:r>
              <w:rPr>
                <w:rFonts w:ascii="Cambria" w:hAnsi="Cambria"/>
                <w:b/>
                <w:bCs/>
                <w:color w:val="000000"/>
              </w:rPr>
              <w:t>ECD</w:t>
            </w:r>
          </w:p>
        </w:tc>
        <w:tc>
          <w:tcPr>
            <w:tcW w:w="7440" w:type="dxa"/>
            <w:tcBorders>
              <w:top w:val="nil"/>
              <w:left w:val="nil"/>
              <w:bottom w:val="nil"/>
              <w:right w:val="nil"/>
            </w:tcBorders>
            <w:shd w:val="clear" w:color="auto" w:fill="auto"/>
            <w:vAlign w:val="bottom"/>
            <w:hideMark/>
          </w:tcPr>
          <w:p w14:paraId="754B37CE" w14:textId="77777777" w:rsidR="00F3438D" w:rsidRDefault="00F3438D">
            <w:pPr>
              <w:rPr>
                <w:rFonts w:ascii="Cambria" w:hAnsi="Cambria"/>
                <w:color w:val="000000"/>
              </w:rPr>
            </w:pPr>
            <w:r>
              <w:rPr>
                <w:rFonts w:ascii="Cambria" w:hAnsi="Cambria"/>
                <w:color w:val="000000"/>
              </w:rPr>
              <w:t>Early Childhood Development</w:t>
            </w:r>
          </w:p>
        </w:tc>
      </w:tr>
      <w:tr w:rsidR="00F3438D" w14:paraId="108C49BA" w14:textId="77777777" w:rsidTr="00C252C1">
        <w:trPr>
          <w:trHeight w:val="300"/>
        </w:trPr>
        <w:tc>
          <w:tcPr>
            <w:tcW w:w="2500" w:type="dxa"/>
            <w:tcBorders>
              <w:top w:val="nil"/>
              <w:left w:val="nil"/>
              <w:bottom w:val="nil"/>
              <w:right w:val="nil"/>
            </w:tcBorders>
            <w:shd w:val="clear" w:color="auto" w:fill="auto"/>
            <w:noWrap/>
            <w:hideMark/>
          </w:tcPr>
          <w:p w14:paraId="24A4F01C" w14:textId="77777777" w:rsidR="00F3438D" w:rsidRDefault="00F3438D" w:rsidP="004165F0">
            <w:pPr>
              <w:rPr>
                <w:rFonts w:ascii="Cambria" w:hAnsi="Cambria"/>
                <w:b/>
                <w:bCs/>
                <w:color w:val="000000"/>
              </w:rPr>
            </w:pPr>
            <w:r>
              <w:rPr>
                <w:rFonts w:ascii="Cambria" w:hAnsi="Cambria"/>
                <w:b/>
                <w:bCs/>
                <w:color w:val="000000"/>
              </w:rPr>
              <w:t>EMIS</w:t>
            </w:r>
          </w:p>
        </w:tc>
        <w:tc>
          <w:tcPr>
            <w:tcW w:w="7440" w:type="dxa"/>
            <w:tcBorders>
              <w:top w:val="nil"/>
              <w:left w:val="nil"/>
              <w:bottom w:val="nil"/>
              <w:right w:val="nil"/>
            </w:tcBorders>
            <w:shd w:val="clear" w:color="auto" w:fill="auto"/>
            <w:vAlign w:val="bottom"/>
            <w:hideMark/>
          </w:tcPr>
          <w:p w14:paraId="669C2D8C" w14:textId="77777777" w:rsidR="00F3438D" w:rsidRDefault="00F3438D">
            <w:pPr>
              <w:rPr>
                <w:rFonts w:ascii="Cambria" w:hAnsi="Cambria"/>
                <w:color w:val="000000"/>
              </w:rPr>
            </w:pPr>
            <w:r>
              <w:rPr>
                <w:rFonts w:ascii="Cambria" w:hAnsi="Cambria"/>
                <w:color w:val="000000"/>
              </w:rPr>
              <w:t>Education Management Information System</w:t>
            </w:r>
          </w:p>
        </w:tc>
      </w:tr>
      <w:tr w:rsidR="00F3438D" w14:paraId="0CA42402" w14:textId="77777777" w:rsidTr="00C252C1">
        <w:trPr>
          <w:trHeight w:val="300"/>
        </w:trPr>
        <w:tc>
          <w:tcPr>
            <w:tcW w:w="2500" w:type="dxa"/>
            <w:tcBorders>
              <w:top w:val="nil"/>
              <w:left w:val="nil"/>
              <w:bottom w:val="nil"/>
              <w:right w:val="nil"/>
            </w:tcBorders>
            <w:shd w:val="clear" w:color="auto" w:fill="auto"/>
            <w:noWrap/>
            <w:hideMark/>
          </w:tcPr>
          <w:p w14:paraId="70F50D54" w14:textId="77777777" w:rsidR="00F3438D" w:rsidRDefault="00F3438D" w:rsidP="004165F0">
            <w:pPr>
              <w:rPr>
                <w:rFonts w:ascii="Cambria" w:hAnsi="Cambria"/>
                <w:b/>
                <w:bCs/>
                <w:color w:val="000000"/>
              </w:rPr>
            </w:pPr>
            <w:r>
              <w:rPr>
                <w:rFonts w:ascii="Cambria" w:hAnsi="Cambria"/>
                <w:b/>
                <w:bCs/>
                <w:color w:val="000000"/>
              </w:rPr>
              <w:t>EOFOs</w:t>
            </w:r>
          </w:p>
        </w:tc>
        <w:tc>
          <w:tcPr>
            <w:tcW w:w="7440" w:type="dxa"/>
            <w:tcBorders>
              <w:top w:val="nil"/>
              <w:left w:val="nil"/>
              <w:bottom w:val="nil"/>
              <w:right w:val="nil"/>
            </w:tcBorders>
            <w:shd w:val="clear" w:color="auto" w:fill="auto"/>
            <w:vAlign w:val="bottom"/>
            <w:hideMark/>
          </w:tcPr>
          <w:p w14:paraId="040D4887" w14:textId="77777777" w:rsidR="00F3438D" w:rsidRDefault="00F3438D">
            <w:pPr>
              <w:rPr>
                <w:rFonts w:ascii="Cambria" w:hAnsi="Cambria"/>
                <w:color w:val="000000"/>
              </w:rPr>
            </w:pPr>
            <w:r>
              <w:rPr>
                <w:rFonts w:ascii="Cambria" w:hAnsi="Cambria"/>
                <w:color w:val="000000"/>
              </w:rPr>
              <w:t>End of Facility Outcomes</w:t>
            </w:r>
          </w:p>
        </w:tc>
      </w:tr>
      <w:tr w:rsidR="00F3438D" w14:paraId="6440F8B2" w14:textId="77777777" w:rsidTr="00C252C1">
        <w:trPr>
          <w:trHeight w:val="570"/>
        </w:trPr>
        <w:tc>
          <w:tcPr>
            <w:tcW w:w="2500" w:type="dxa"/>
            <w:tcBorders>
              <w:top w:val="nil"/>
              <w:left w:val="nil"/>
              <w:bottom w:val="nil"/>
              <w:right w:val="nil"/>
            </w:tcBorders>
            <w:shd w:val="clear" w:color="auto" w:fill="auto"/>
            <w:noWrap/>
            <w:hideMark/>
          </w:tcPr>
          <w:p w14:paraId="100626B6" w14:textId="77777777" w:rsidR="00F3438D" w:rsidRDefault="00F3438D" w:rsidP="004165F0">
            <w:pPr>
              <w:rPr>
                <w:rFonts w:ascii="Cambria" w:hAnsi="Cambria"/>
                <w:b/>
                <w:bCs/>
                <w:color w:val="000000"/>
              </w:rPr>
            </w:pPr>
            <w:r>
              <w:rPr>
                <w:rFonts w:ascii="Cambria" w:hAnsi="Cambria"/>
                <w:b/>
                <w:bCs/>
                <w:color w:val="000000"/>
              </w:rPr>
              <w:t>ESIP</w:t>
            </w:r>
          </w:p>
        </w:tc>
        <w:tc>
          <w:tcPr>
            <w:tcW w:w="7440" w:type="dxa"/>
            <w:tcBorders>
              <w:top w:val="nil"/>
              <w:left w:val="nil"/>
              <w:bottom w:val="nil"/>
              <w:right w:val="nil"/>
            </w:tcBorders>
            <w:shd w:val="clear" w:color="auto" w:fill="auto"/>
            <w:vAlign w:val="bottom"/>
            <w:hideMark/>
          </w:tcPr>
          <w:p w14:paraId="5707E09E" w14:textId="77777777" w:rsidR="00F3438D" w:rsidRDefault="00F3438D">
            <w:pPr>
              <w:rPr>
                <w:rFonts w:ascii="Cambria" w:hAnsi="Cambria"/>
                <w:color w:val="000000"/>
              </w:rPr>
            </w:pPr>
            <w:r>
              <w:rPr>
                <w:rFonts w:ascii="Cambria" w:hAnsi="Cambria"/>
                <w:color w:val="000000"/>
              </w:rPr>
              <w:t>Education Sector Investment Plan</w:t>
            </w:r>
          </w:p>
        </w:tc>
      </w:tr>
      <w:tr w:rsidR="00F3438D" w14:paraId="73D56709" w14:textId="77777777" w:rsidTr="00C252C1">
        <w:trPr>
          <w:trHeight w:val="570"/>
        </w:trPr>
        <w:tc>
          <w:tcPr>
            <w:tcW w:w="2500" w:type="dxa"/>
            <w:tcBorders>
              <w:top w:val="nil"/>
              <w:left w:val="nil"/>
              <w:bottom w:val="nil"/>
              <w:right w:val="nil"/>
            </w:tcBorders>
            <w:shd w:val="clear" w:color="auto" w:fill="auto"/>
            <w:noWrap/>
            <w:hideMark/>
          </w:tcPr>
          <w:p w14:paraId="2B91A2B3" w14:textId="77777777" w:rsidR="00F3438D" w:rsidRDefault="00F3438D" w:rsidP="004165F0">
            <w:pPr>
              <w:rPr>
                <w:rFonts w:ascii="Cambria" w:hAnsi="Cambria"/>
                <w:b/>
                <w:bCs/>
                <w:color w:val="000000"/>
              </w:rPr>
            </w:pPr>
            <w:r>
              <w:rPr>
                <w:rFonts w:ascii="Cambria" w:hAnsi="Cambria"/>
                <w:b/>
                <w:bCs/>
                <w:color w:val="000000"/>
              </w:rPr>
              <w:lastRenderedPageBreak/>
              <w:t>FTE</w:t>
            </w:r>
          </w:p>
        </w:tc>
        <w:tc>
          <w:tcPr>
            <w:tcW w:w="7440" w:type="dxa"/>
            <w:tcBorders>
              <w:top w:val="nil"/>
              <w:left w:val="nil"/>
              <w:bottom w:val="nil"/>
              <w:right w:val="nil"/>
            </w:tcBorders>
            <w:shd w:val="clear" w:color="auto" w:fill="auto"/>
            <w:vAlign w:val="bottom"/>
            <w:hideMark/>
          </w:tcPr>
          <w:p w14:paraId="0D1B854C" w14:textId="77777777" w:rsidR="00F3438D" w:rsidRDefault="00F3438D">
            <w:pPr>
              <w:rPr>
                <w:rFonts w:ascii="Cambria" w:hAnsi="Cambria"/>
                <w:color w:val="000000"/>
              </w:rPr>
            </w:pPr>
            <w:r>
              <w:rPr>
                <w:rFonts w:ascii="Cambria" w:hAnsi="Cambria"/>
                <w:color w:val="000000"/>
              </w:rPr>
              <w:t>Full time equivalent</w:t>
            </w:r>
          </w:p>
        </w:tc>
      </w:tr>
      <w:tr w:rsidR="00F3438D" w14:paraId="769F1130" w14:textId="77777777" w:rsidTr="00C252C1">
        <w:trPr>
          <w:trHeight w:val="300"/>
        </w:trPr>
        <w:tc>
          <w:tcPr>
            <w:tcW w:w="2500" w:type="dxa"/>
            <w:tcBorders>
              <w:top w:val="nil"/>
              <w:left w:val="nil"/>
              <w:bottom w:val="nil"/>
              <w:right w:val="nil"/>
            </w:tcBorders>
            <w:shd w:val="clear" w:color="auto" w:fill="auto"/>
            <w:noWrap/>
            <w:hideMark/>
          </w:tcPr>
          <w:p w14:paraId="5CDEA779" w14:textId="77777777" w:rsidR="00F3438D" w:rsidRDefault="00F3438D" w:rsidP="004165F0">
            <w:pPr>
              <w:rPr>
                <w:rFonts w:ascii="Cambria" w:hAnsi="Cambria"/>
                <w:b/>
                <w:bCs/>
                <w:color w:val="000000"/>
              </w:rPr>
            </w:pPr>
            <w:r>
              <w:rPr>
                <w:rFonts w:ascii="Cambria" w:hAnsi="Cambria"/>
                <w:b/>
                <w:bCs/>
                <w:color w:val="000000"/>
              </w:rPr>
              <w:t>FY</w:t>
            </w:r>
          </w:p>
        </w:tc>
        <w:tc>
          <w:tcPr>
            <w:tcW w:w="7440" w:type="dxa"/>
            <w:tcBorders>
              <w:top w:val="nil"/>
              <w:left w:val="nil"/>
              <w:bottom w:val="nil"/>
              <w:right w:val="nil"/>
            </w:tcBorders>
            <w:shd w:val="clear" w:color="auto" w:fill="auto"/>
            <w:vAlign w:val="bottom"/>
            <w:hideMark/>
          </w:tcPr>
          <w:p w14:paraId="64CBB9AD" w14:textId="77777777" w:rsidR="00F3438D" w:rsidRDefault="00F3438D">
            <w:pPr>
              <w:rPr>
                <w:rFonts w:ascii="Cambria" w:hAnsi="Cambria"/>
                <w:color w:val="000000"/>
              </w:rPr>
            </w:pPr>
            <w:r>
              <w:rPr>
                <w:rFonts w:ascii="Cambria" w:hAnsi="Cambria"/>
                <w:color w:val="000000"/>
              </w:rPr>
              <w:t>Financial Year</w:t>
            </w:r>
          </w:p>
        </w:tc>
      </w:tr>
      <w:tr w:rsidR="00F3438D" w14:paraId="408A701A" w14:textId="77777777" w:rsidTr="00C252C1">
        <w:trPr>
          <w:trHeight w:val="300"/>
        </w:trPr>
        <w:tc>
          <w:tcPr>
            <w:tcW w:w="2500" w:type="dxa"/>
            <w:tcBorders>
              <w:top w:val="nil"/>
              <w:left w:val="nil"/>
              <w:bottom w:val="nil"/>
              <w:right w:val="nil"/>
            </w:tcBorders>
            <w:shd w:val="clear" w:color="auto" w:fill="auto"/>
            <w:noWrap/>
            <w:hideMark/>
          </w:tcPr>
          <w:p w14:paraId="4F635B7E" w14:textId="77777777" w:rsidR="00F3438D" w:rsidRDefault="00F3438D" w:rsidP="004165F0">
            <w:pPr>
              <w:rPr>
                <w:rFonts w:ascii="Cambria" w:hAnsi="Cambria"/>
                <w:b/>
                <w:bCs/>
                <w:color w:val="000000"/>
              </w:rPr>
            </w:pPr>
            <w:r>
              <w:rPr>
                <w:rFonts w:ascii="Cambria" w:hAnsi="Cambria"/>
                <w:b/>
                <w:bCs/>
                <w:color w:val="000000"/>
              </w:rPr>
              <w:t>GESI</w:t>
            </w:r>
          </w:p>
        </w:tc>
        <w:tc>
          <w:tcPr>
            <w:tcW w:w="7440" w:type="dxa"/>
            <w:tcBorders>
              <w:top w:val="nil"/>
              <w:left w:val="nil"/>
              <w:bottom w:val="nil"/>
              <w:right w:val="nil"/>
            </w:tcBorders>
            <w:shd w:val="clear" w:color="auto" w:fill="auto"/>
            <w:vAlign w:val="bottom"/>
            <w:hideMark/>
          </w:tcPr>
          <w:p w14:paraId="31B9D0C2" w14:textId="77777777" w:rsidR="00F3438D" w:rsidRDefault="00F3438D">
            <w:pPr>
              <w:rPr>
                <w:rFonts w:ascii="Cambria" w:hAnsi="Cambria"/>
                <w:color w:val="000000"/>
              </w:rPr>
            </w:pPr>
            <w:r>
              <w:rPr>
                <w:rFonts w:ascii="Cambria" w:hAnsi="Cambria"/>
                <w:color w:val="000000"/>
              </w:rPr>
              <w:t>Gender Equality and Social Inclusion</w:t>
            </w:r>
          </w:p>
        </w:tc>
      </w:tr>
      <w:tr w:rsidR="00F3438D" w14:paraId="732CE021" w14:textId="77777777" w:rsidTr="00C252C1">
        <w:trPr>
          <w:trHeight w:val="300"/>
        </w:trPr>
        <w:tc>
          <w:tcPr>
            <w:tcW w:w="2500" w:type="dxa"/>
            <w:tcBorders>
              <w:top w:val="nil"/>
              <w:left w:val="nil"/>
              <w:bottom w:val="nil"/>
              <w:right w:val="nil"/>
            </w:tcBorders>
            <w:shd w:val="clear" w:color="auto" w:fill="auto"/>
            <w:noWrap/>
            <w:hideMark/>
          </w:tcPr>
          <w:p w14:paraId="19FB762E" w14:textId="77777777" w:rsidR="00F3438D" w:rsidRDefault="00F3438D" w:rsidP="004165F0">
            <w:pPr>
              <w:rPr>
                <w:rFonts w:ascii="Cambria" w:hAnsi="Cambria"/>
                <w:b/>
                <w:bCs/>
                <w:color w:val="000000"/>
              </w:rPr>
            </w:pPr>
            <w:r>
              <w:rPr>
                <w:rFonts w:ascii="Cambria" w:hAnsi="Cambria"/>
                <w:b/>
                <w:bCs/>
                <w:color w:val="000000"/>
              </w:rPr>
              <w:t>GoI</w:t>
            </w:r>
          </w:p>
        </w:tc>
        <w:tc>
          <w:tcPr>
            <w:tcW w:w="7440" w:type="dxa"/>
            <w:tcBorders>
              <w:top w:val="nil"/>
              <w:left w:val="nil"/>
              <w:bottom w:val="nil"/>
              <w:right w:val="nil"/>
            </w:tcBorders>
            <w:shd w:val="clear" w:color="auto" w:fill="auto"/>
            <w:vAlign w:val="bottom"/>
            <w:hideMark/>
          </w:tcPr>
          <w:p w14:paraId="5EF1894B" w14:textId="77777777" w:rsidR="00F3438D" w:rsidRDefault="00F3438D">
            <w:pPr>
              <w:rPr>
                <w:rFonts w:ascii="Cambria" w:hAnsi="Cambria"/>
                <w:color w:val="000000"/>
              </w:rPr>
            </w:pPr>
            <w:r>
              <w:rPr>
                <w:rFonts w:ascii="Cambria" w:hAnsi="Cambria"/>
                <w:color w:val="000000"/>
              </w:rPr>
              <w:t>Government of Indonesia</w:t>
            </w:r>
          </w:p>
        </w:tc>
      </w:tr>
      <w:tr w:rsidR="004B277A" w14:paraId="798CE348" w14:textId="77777777" w:rsidTr="00C252C1">
        <w:trPr>
          <w:trHeight w:val="300"/>
        </w:trPr>
        <w:tc>
          <w:tcPr>
            <w:tcW w:w="2500" w:type="dxa"/>
            <w:tcBorders>
              <w:top w:val="nil"/>
              <w:left w:val="nil"/>
              <w:bottom w:val="nil"/>
              <w:right w:val="nil"/>
            </w:tcBorders>
            <w:shd w:val="clear" w:color="auto" w:fill="auto"/>
            <w:noWrap/>
          </w:tcPr>
          <w:p w14:paraId="2B01F4DA" w14:textId="5B505CE1" w:rsidR="004B277A" w:rsidRDefault="004B277A" w:rsidP="004165F0">
            <w:pPr>
              <w:rPr>
                <w:rFonts w:ascii="Cambria" w:hAnsi="Cambria"/>
                <w:b/>
                <w:bCs/>
                <w:color w:val="000000"/>
              </w:rPr>
            </w:pPr>
            <w:r>
              <w:rPr>
                <w:rFonts w:ascii="Cambria" w:hAnsi="Cambria"/>
                <w:b/>
                <w:bCs/>
                <w:color w:val="000000"/>
              </w:rPr>
              <w:t>GTK</w:t>
            </w:r>
          </w:p>
        </w:tc>
        <w:tc>
          <w:tcPr>
            <w:tcW w:w="7440" w:type="dxa"/>
            <w:tcBorders>
              <w:top w:val="nil"/>
              <w:left w:val="nil"/>
              <w:bottom w:val="nil"/>
              <w:right w:val="nil"/>
            </w:tcBorders>
            <w:shd w:val="clear" w:color="auto" w:fill="auto"/>
            <w:vAlign w:val="bottom"/>
          </w:tcPr>
          <w:p w14:paraId="051B0B4B" w14:textId="2A506ECB" w:rsidR="004B277A" w:rsidRDefault="004B277A">
            <w:pPr>
              <w:rPr>
                <w:rFonts w:ascii="Cambria" w:hAnsi="Cambria"/>
                <w:color w:val="000000"/>
              </w:rPr>
            </w:pPr>
            <w:r w:rsidRPr="004B277A">
              <w:rPr>
                <w:rFonts w:ascii="Cambria" w:hAnsi="Cambria"/>
                <w:i/>
                <w:color w:val="000000"/>
              </w:rPr>
              <w:t>Guru dan Tenaga Kependidikan</w:t>
            </w:r>
            <w:r>
              <w:rPr>
                <w:rFonts w:ascii="Cambria" w:hAnsi="Cambria"/>
                <w:color w:val="000000"/>
              </w:rPr>
              <w:t xml:space="preserve"> / Teachers and Education Personnel</w:t>
            </w:r>
          </w:p>
        </w:tc>
      </w:tr>
      <w:tr w:rsidR="00F3438D" w14:paraId="4239A2FB" w14:textId="77777777" w:rsidTr="00C252C1">
        <w:trPr>
          <w:trHeight w:val="300"/>
        </w:trPr>
        <w:tc>
          <w:tcPr>
            <w:tcW w:w="2500" w:type="dxa"/>
            <w:tcBorders>
              <w:top w:val="nil"/>
              <w:left w:val="nil"/>
              <w:bottom w:val="nil"/>
              <w:right w:val="nil"/>
            </w:tcBorders>
            <w:shd w:val="clear" w:color="auto" w:fill="auto"/>
            <w:noWrap/>
            <w:hideMark/>
          </w:tcPr>
          <w:p w14:paraId="1B9F42AF" w14:textId="77777777" w:rsidR="00F3438D" w:rsidRDefault="00F3438D" w:rsidP="004165F0">
            <w:pPr>
              <w:rPr>
                <w:rFonts w:ascii="Cambria" w:hAnsi="Cambria"/>
                <w:b/>
                <w:bCs/>
                <w:color w:val="000000"/>
              </w:rPr>
            </w:pPr>
            <w:r>
              <w:rPr>
                <w:rFonts w:ascii="Cambria" w:hAnsi="Cambria"/>
                <w:b/>
                <w:bCs/>
                <w:color w:val="000000"/>
              </w:rPr>
              <w:t>HOTS</w:t>
            </w:r>
          </w:p>
        </w:tc>
        <w:tc>
          <w:tcPr>
            <w:tcW w:w="7440" w:type="dxa"/>
            <w:tcBorders>
              <w:top w:val="nil"/>
              <w:left w:val="nil"/>
              <w:bottom w:val="nil"/>
              <w:right w:val="nil"/>
            </w:tcBorders>
            <w:shd w:val="clear" w:color="auto" w:fill="auto"/>
            <w:vAlign w:val="bottom"/>
            <w:hideMark/>
          </w:tcPr>
          <w:p w14:paraId="47CDEE3E" w14:textId="7B9D360B" w:rsidR="00F3438D" w:rsidRDefault="00F3438D">
            <w:pPr>
              <w:rPr>
                <w:rFonts w:ascii="Cambria" w:hAnsi="Cambria"/>
                <w:color w:val="000000"/>
              </w:rPr>
            </w:pPr>
            <w:r>
              <w:rPr>
                <w:rFonts w:ascii="Cambria" w:hAnsi="Cambria"/>
                <w:color w:val="000000"/>
              </w:rPr>
              <w:t xml:space="preserve">Higher </w:t>
            </w:r>
            <w:r w:rsidR="004165F0">
              <w:rPr>
                <w:rFonts w:ascii="Cambria" w:hAnsi="Cambria"/>
                <w:color w:val="000000"/>
              </w:rPr>
              <w:t>Order Thinking Skills</w:t>
            </w:r>
          </w:p>
        </w:tc>
      </w:tr>
      <w:tr w:rsidR="00F3438D" w14:paraId="33D4EEBC" w14:textId="77777777" w:rsidTr="00C252C1">
        <w:trPr>
          <w:trHeight w:val="300"/>
        </w:trPr>
        <w:tc>
          <w:tcPr>
            <w:tcW w:w="2500" w:type="dxa"/>
            <w:tcBorders>
              <w:top w:val="nil"/>
              <w:left w:val="nil"/>
              <w:bottom w:val="nil"/>
              <w:right w:val="nil"/>
            </w:tcBorders>
            <w:shd w:val="clear" w:color="auto" w:fill="auto"/>
            <w:noWrap/>
            <w:hideMark/>
          </w:tcPr>
          <w:p w14:paraId="382E4496" w14:textId="77777777" w:rsidR="00F3438D" w:rsidRDefault="00F3438D" w:rsidP="004165F0">
            <w:pPr>
              <w:rPr>
                <w:rFonts w:ascii="Cambria" w:hAnsi="Cambria"/>
                <w:b/>
                <w:bCs/>
                <w:color w:val="000000"/>
              </w:rPr>
            </w:pPr>
            <w:r>
              <w:rPr>
                <w:rFonts w:ascii="Cambria" w:hAnsi="Cambria"/>
                <w:b/>
                <w:bCs/>
                <w:color w:val="000000"/>
              </w:rPr>
              <w:t>IDR</w:t>
            </w:r>
          </w:p>
        </w:tc>
        <w:tc>
          <w:tcPr>
            <w:tcW w:w="7440" w:type="dxa"/>
            <w:tcBorders>
              <w:top w:val="nil"/>
              <w:left w:val="nil"/>
              <w:bottom w:val="nil"/>
              <w:right w:val="nil"/>
            </w:tcBorders>
            <w:shd w:val="clear" w:color="auto" w:fill="auto"/>
            <w:vAlign w:val="bottom"/>
            <w:hideMark/>
          </w:tcPr>
          <w:p w14:paraId="6209FA51" w14:textId="689646EF" w:rsidR="00F3438D" w:rsidRDefault="00F3438D">
            <w:pPr>
              <w:rPr>
                <w:rFonts w:ascii="Cambria" w:hAnsi="Cambria"/>
                <w:color w:val="000000"/>
              </w:rPr>
            </w:pPr>
            <w:r>
              <w:rPr>
                <w:rFonts w:ascii="Cambria" w:hAnsi="Cambria"/>
                <w:color w:val="000000"/>
              </w:rPr>
              <w:t xml:space="preserve">Indonesian </w:t>
            </w:r>
            <w:r w:rsidR="004165F0">
              <w:rPr>
                <w:rFonts w:ascii="Cambria" w:hAnsi="Cambria"/>
                <w:color w:val="000000"/>
              </w:rPr>
              <w:t>rupiah</w:t>
            </w:r>
          </w:p>
        </w:tc>
      </w:tr>
      <w:tr w:rsidR="00F3438D" w14:paraId="0981FD18" w14:textId="77777777" w:rsidTr="00C252C1">
        <w:trPr>
          <w:trHeight w:val="585"/>
        </w:trPr>
        <w:tc>
          <w:tcPr>
            <w:tcW w:w="2500" w:type="dxa"/>
            <w:tcBorders>
              <w:top w:val="nil"/>
              <w:left w:val="nil"/>
              <w:bottom w:val="nil"/>
              <w:right w:val="nil"/>
            </w:tcBorders>
            <w:shd w:val="clear" w:color="auto" w:fill="auto"/>
            <w:noWrap/>
            <w:hideMark/>
          </w:tcPr>
          <w:p w14:paraId="0AD77F10" w14:textId="77777777" w:rsidR="00F3438D" w:rsidRDefault="00F3438D" w:rsidP="004165F0">
            <w:pPr>
              <w:rPr>
                <w:rFonts w:ascii="Cambria" w:hAnsi="Cambria"/>
                <w:b/>
                <w:bCs/>
                <w:color w:val="000000"/>
              </w:rPr>
            </w:pPr>
            <w:r>
              <w:rPr>
                <w:rFonts w:ascii="Cambria" w:hAnsi="Cambria"/>
                <w:b/>
                <w:bCs/>
                <w:color w:val="000000"/>
              </w:rPr>
              <w:t>ID-TEMAN</w:t>
            </w:r>
          </w:p>
        </w:tc>
        <w:tc>
          <w:tcPr>
            <w:tcW w:w="7440" w:type="dxa"/>
            <w:tcBorders>
              <w:top w:val="nil"/>
              <w:left w:val="nil"/>
              <w:bottom w:val="nil"/>
              <w:right w:val="nil"/>
            </w:tcBorders>
            <w:shd w:val="clear" w:color="auto" w:fill="auto"/>
            <w:vAlign w:val="bottom"/>
            <w:hideMark/>
          </w:tcPr>
          <w:p w14:paraId="08323759" w14:textId="77777777" w:rsidR="00F3438D" w:rsidRDefault="00F3438D">
            <w:pPr>
              <w:rPr>
                <w:rFonts w:ascii="Cambria" w:hAnsi="Cambria"/>
                <w:color w:val="000000"/>
              </w:rPr>
            </w:pPr>
            <w:r>
              <w:rPr>
                <w:rFonts w:ascii="Cambria" w:hAnsi="Cambria"/>
                <w:color w:val="000000"/>
              </w:rPr>
              <w:t>Improving Dimensions of Teaching, Education Management, and Learning Environment Program</w:t>
            </w:r>
          </w:p>
        </w:tc>
      </w:tr>
      <w:tr w:rsidR="00F3438D" w14:paraId="7061C6C1" w14:textId="77777777" w:rsidTr="00C252C1">
        <w:trPr>
          <w:trHeight w:val="300"/>
        </w:trPr>
        <w:tc>
          <w:tcPr>
            <w:tcW w:w="2500" w:type="dxa"/>
            <w:tcBorders>
              <w:top w:val="nil"/>
              <w:left w:val="nil"/>
              <w:bottom w:val="nil"/>
              <w:right w:val="nil"/>
            </w:tcBorders>
            <w:shd w:val="clear" w:color="auto" w:fill="auto"/>
            <w:noWrap/>
            <w:hideMark/>
          </w:tcPr>
          <w:p w14:paraId="5AD73831" w14:textId="77777777" w:rsidR="00F3438D" w:rsidRDefault="00F3438D" w:rsidP="004165F0">
            <w:pPr>
              <w:rPr>
                <w:rFonts w:ascii="Cambria" w:hAnsi="Cambria"/>
                <w:b/>
                <w:bCs/>
                <w:color w:val="000000"/>
              </w:rPr>
            </w:pPr>
            <w:r>
              <w:rPr>
                <w:rFonts w:ascii="Cambria" w:hAnsi="Cambria"/>
                <w:b/>
                <w:bCs/>
                <w:color w:val="000000"/>
              </w:rPr>
              <w:t>INOVASI</w:t>
            </w:r>
          </w:p>
        </w:tc>
        <w:tc>
          <w:tcPr>
            <w:tcW w:w="7440" w:type="dxa"/>
            <w:tcBorders>
              <w:top w:val="nil"/>
              <w:left w:val="nil"/>
              <w:bottom w:val="nil"/>
              <w:right w:val="nil"/>
            </w:tcBorders>
            <w:shd w:val="clear" w:color="auto" w:fill="auto"/>
            <w:vAlign w:val="center"/>
            <w:hideMark/>
          </w:tcPr>
          <w:p w14:paraId="0D938BAB" w14:textId="77777777" w:rsidR="00F3438D" w:rsidRDefault="00F3438D">
            <w:pPr>
              <w:rPr>
                <w:rFonts w:ascii="Cambria" w:hAnsi="Cambria"/>
                <w:color w:val="000000"/>
              </w:rPr>
            </w:pPr>
            <w:r>
              <w:rPr>
                <w:rFonts w:ascii="Cambria" w:hAnsi="Cambria"/>
                <w:color w:val="000000"/>
              </w:rPr>
              <w:t>Innovation for Indonesia’s School Children Program</w:t>
            </w:r>
          </w:p>
        </w:tc>
      </w:tr>
      <w:tr w:rsidR="00F3438D" w14:paraId="2B9F60A1" w14:textId="77777777" w:rsidTr="00C252C1">
        <w:trPr>
          <w:trHeight w:val="300"/>
        </w:trPr>
        <w:tc>
          <w:tcPr>
            <w:tcW w:w="2500" w:type="dxa"/>
            <w:tcBorders>
              <w:top w:val="nil"/>
              <w:left w:val="nil"/>
              <w:bottom w:val="nil"/>
              <w:right w:val="nil"/>
            </w:tcBorders>
            <w:shd w:val="clear" w:color="auto" w:fill="auto"/>
            <w:noWrap/>
            <w:hideMark/>
          </w:tcPr>
          <w:p w14:paraId="7212DDAF" w14:textId="77777777" w:rsidR="00F3438D" w:rsidRDefault="00F3438D" w:rsidP="004165F0">
            <w:pPr>
              <w:rPr>
                <w:rFonts w:ascii="Cambria" w:hAnsi="Cambria"/>
                <w:b/>
                <w:bCs/>
                <w:color w:val="000000"/>
              </w:rPr>
            </w:pPr>
            <w:r>
              <w:rPr>
                <w:rFonts w:ascii="Cambria" w:hAnsi="Cambria"/>
                <w:b/>
                <w:bCs/>
                <w:color w:val="000000"/>
              </w:rPr>
              <w:t>IOs</w:t>
            </w:r>
          </w:p>
        </w:tc>
        <w:tc>
          <w:tcPr>
            <w:tcW w:w="7440" w:type="dxa"/>
            <w:tcBorders>
              <w:top w:val="nil"/>
              <w:left w:val="nil"/>
              <w:bottom w:val="nil"/>
              <w:right w:val="nil"/>
            </w:tcBorders>
            <w:shd w:val="clear" w:color="auto" w:fill="auto"/>
            <w:vAlign w:val="bottom"/>
            <w:hideMark/>
          </w:tcPr>
          <w:p w14:paraId="58CF8147" w14:textId="77777777" w:rsidR="00F3438D" w:rsidRDefault="00F3438D">
            <w:pPr>
              <w:rPr>
                <w:rFonts w:ascii="Cambria" w:hAnsi="Cambria"/>
                <w:color w:val="000000"/>
              </w:rPr>
            </w:pPr>
            <w:r>
              <w:rPr>
                <w:rFonts w:ascii="Cambria" w:hAnsi="Cambria"/>
                <w:color w:val="000000"/>
              </w:rPr>
              <w:t>Intermediate Outcomes</w:t>
            </w:r>
          </w:p>
        </w:tc>
      </w:tr>
      <w:tr w:rsidR="00F3438D" w14:paraId="0277A0FD" w14:textId="77777777" w:rsidTr="00C252C1">
        <w:trPr>
          <w:trHeight w:val="300"/>
        </w:trPr>
        <w:tc>
          <w:tcPr>
            <w:tcW w:w="2500" w:type="dxa"/>
            <w:tcBorders>
              <w:top w:val="nil"/>
              <w:left w:val="nil"/>
              <w:bottom w:val="nil"/>
              <w:right w:val="nil"/>
            </w:tcBorders>
            <w:shd w:val="clear" w:color="auto" w:fill="auto"/>
            <w:noWrap/>
            <w:hideMark/>
          </w:tcPr>
          <w:p w14:paraId="1C4AC02E" w14:textId="77777777" w:rsidR="00F3438D" w:rsidRDefault="00F3438D" w:rsidP="004165F0">
            <w:pPr>
              <w:rPr>
                <w:rFonts w:ascii="Cambria" w:hAnsi="Cambria"/>
                <w:b/>
                <w:bCs/>
                <w:color w:val="000000"/>
              </w:rPr>
            </w:pPr>
            <w:r>
              <w:rPr>
                <w:rFonts w:ascii="Cambria" w:hAnsi="Cambria"/>
                <w:b/>
                <w:bCs/>
                <w:color w:val="000000"/>
              </w:rPr>
              <w:t>K2P</w:t>
            </w:r>
          </w:p>
        </w:tc>
        <w:tc>
          <w:tcPr>
            <w:tcW w:w="7440" w:type="dxa"/>
            <w:tcBorders>
              <w:top w:val="nil"/>
              <w:left w:val="nil"/>
              <w:bottom w:val="nil"/>
              <w:right w:val="nil"/>
            </w:tcBorders>
            <w:shd w:val="clear" w:color="auto" w:fill="auto"/>
            <w:vAlign w:val="bottom"/>
            <w:hideMark/>
          </w:tcPr>
          <w:p w14:paraId="7ABB6752" w14:textId="77777777" w:rsidR="00F3438D" w:rsidRDefault="00F3438D">
            <w:pPr>
              <w:rPr>
                <w:rFonts w:ascii="Cambria" w:hAnsi="Cambria"/>
                <w:color w:val="000000"/>
              </w:rPr>
            </w:pPr>
            <w:r>
              <w:rPr>
                <w:rFonts w:ascii="Cambria" w:hAnsi="Cambria"/>
                <w:color w:val="000000"/>
              </w:rPr>
              <w:t xml:space="preserve">Knowledge to Policy </w:t>
            </w:r>
          </w:p>
        </w:tc>
      </w:tr>
      <w:tr w:rsidR="00F3438D" w14:paraId="0CACA56E" w14:textId="77777777" w:rsidTr="00C252C1">
        <w:trPr>
          <w:trHeight w:val="570"/>
        </w:trPr>
        <w:tc>
          <w:tcPr>
            <w:tcW w:w="2500" w:type="dxa"/>
            <w:tcBorders>
              <w:top w:val="nil"/>
              <w:left w:val="nil"/>
              <w:bottom w:val="nil"/>
              <w:right w:val="nil"/>
            </w:tcBorders>
            <w:shd w:val="clear" w:color="auto" w:fill="auto"/>
            <w:noWrap/>
            <w:hideMark/>
          </w:tcPr>
          <w:p w14:paraId="4267C87A" w14:textId="77777777" w:rsidR="00F3438D" w:rsidRDefault="00F3438D" w:rsidP="004165F0">
            <w:pPr>
              <w:rPr>
                <w:rFonts w:ascii="Cambria" w:hAnsi="Cambria"/>
                <w:b/>
                <w:bCs/>
                <w:color w:val="000000"/>
              </w:rPr>
            </w:pPr>
            <w:r>
              <w:rPr>
                <w:rFonts w:ascii="Cambria" w:hAnsi="Cambria"/>
                <w:b/>
                <w:bCs/>
                <w:color w:val="000000"/>
              </w:rPr>
              <w:t>KOMPAK</w:t>
            </w:r>
          </w:p>
        </w:tc>
        <w:tc>
          <w:tcPr>
            <w:tcW w:w="7440" w:type="dxa"/>
            <w:tcBorders>
              <w:top w:val="nil"/>
              <w:left w:val="nil"/>
              <w:bottom w:val="nil"/>
              <w:right w:val="nil"/>
            </w:tcBorders>
            <w:shd w:val="clear" w:color="auto" w:fill="auto"/>
            <w:vAlign w:val="center"/>
            <w:hideMark/>
          </w:tcPr>
          <w:p w14:paraId="2282BD80" w14:textId="77777777" w:rsidR="00F3438D" w:rsidRDefault="00F3438D">
            <w:pPr>
              <w:rPr>
                <w:rFonts w:ascii="Cambria" w:hAnsi="Cambria"/>
                <w:i/>
                <w:iCs/>
                <w:color w:val="000000"/>
              </w:rPr>
            </w:pPr>
            <w:r>
              <w:rPr>
                <w:rFonts w:ascii="Cambria" w:hAnsi="Cambria"/>
                <w:i/>
                <w:iCs/>
                <w:color w:val="000000"/>
              </w:rPr>
              <w:t>Kolaborasi Masyarakat dan Pelayanan untuk Kesejahteraan</w:t>
            </w:r>
            <w:r>
              <w:rPr>
                <w:rFonts w:ascii="Cambria" w:hAnsi="Cambria"/>
                <w:color w:val="000000"/>
              </w:rPr>
              <w:t xml:space="preserve"> / Governance for Growth program</w:t>
            </w:r>
          </w:p>
        </w:tc>
      </w:tr>
      <w:tr w:rsidR="00F3438D" w14:paraId="3267DA10" w14:textId="77777777" w:rsidTr="00C252C1">
        <w:trPr>
          <w:trHeight w:val="300"/>
        </w:trPr>
        <w:tc>
          <w:tcPr>
            <w:tcW w:w="2500" w:type="dxa"/>
            <w:tcBorders>
              <w:top w:val="nil"/>
              <w:left w:val="nil"/>
              <w:bottom w:val="nil"/>
              <w:right w:val="nil"/>
            </w:tcBorders>
            <w:shd w:val="clear" w:color="auto" w:fill="auto"/>
            <w:noWrap/>
            <w:hideMark/>
          </w:tcPr>
          <w:p w14:paraId="56531CD7" w14:textId="77777777" w:rsidR="00F3438D" w:rsidRDefault="00F3438D" w:rsidP="004165F0">
            <w:pPr>
              <w:rPr>
                <w:rFonts w:ascii="Cambria" w:hAnsi="Cambria"/>
                <w:b/>
                <w:bCs/>
                <w:color w:val="000000"/>
              </w:rPr>
            </w:pPr>
            <w:r>
              <w:rPr>
                <w:rFonts w:ascii="Cambria" w:hAnsi="Cambria"/>
                <w:b/>
                <w:bCs/>
                <w:color w:val="000000"/>
              </w:rPr>
              <w:t>KSI</w:t>
            </w:r>
          </w:p>
        </w:tc>
        <w:tc>
          <w:tcPr>
            <w:tcW w:w="7440" w:type="dxa"/>
            <w:tcBorders>
              <w:top w:val="nil"/>
              <w:left w:val="nil"/>
              <w:bottom w:val="nil"/>
              <w:right w:val="nil"/>
            </w:tcBorders>
            <w:shd w:val="clear" w:color="auto" w:fill="auto"/>
            <w:vAlign w:val="bottom"/>
            <w:hideMark/>
          </w:tcPr>
          <w:p w14:paraId="4D864091" w14:textId="77777777" w:rsidR="00F3438D" w:rsidRDefault="00F3438D">
            <w:pPr>
              <w:rPr>
                <w:rFonts w:ascii="Cambria" w:hAnsi="Cambria"/>
                <w:color w:val="000000"/>
              </w:rPr>
            </w:pPr>
            <w:r>
              <w:rPr>
                <w:rFonts w:ascii="Cambria" w:hAnsi="Cambria"/>
                <w:color w:val="000000"/>
              </w:rPr>
              <w:t>Knowledge Sector Initiative</w:t>
            </w:r>
          </w:p>
        </w:tc>
      </w:tr>
      <w:tr w:rsidR="00F3438D" w14:paraId="3D16B12F" w14:textId="77777777" w:rsidTr="00C252C1">
        <w:trPr>
          <w:trHeight w:val="300"/>
        </w:trPr>
        <w:tc>
          <w:tcPr>
            <w:tcW w:w="2500" w:type="dxa"/>
            <w:tcBorders>
              <w:top w:val="nil"/>
              <w:left w:val="nil"/>
              <w:bottom w:val="nil"/>
              <w:right w:val="nil"/>
            </w:tcBorders>
            <w:shd w:val="clear" w:color="auto" w:fill="auto"/>
            <w:noWrap/>
            <w:hideMark/>
          </w:tcPr>
          <w:p w14:paraId="5525540E" w14:textId="77777777" w:rsidR="00F3438D" w:rsidRDefault="00F3438D" w:rsidP="004165F0">
            <w:pPr>
              <w:rPr>
                <w:rFonts w:ascii="Cambria" w:hAnsi="Cambria"/>
                <w:b/>
                <w:bCs/>
                <w:color w:val="000000"/>
              </w:rPr>
            </w:pPr>
            <w:r>
              <w:rPr>
                <w:rFonts w:ascii="Cambria" w:hAnsi="Cambria"/>
                <w:b/>
                <w:bCs/>
                <w:color w:val="000000"/>
              </w:rPr>
              <w:t>LTA</w:t>
            </w:r>
          </w:p>
        </w:tc>
        <w:tc>
          <w:tcPr>
            <w:tcW w:w="7440" w:type="dxa"/>
            <w:tcBorders>
              <w:top w:val="nil"/>
              <w:left w:val="nil"/>
              <w:bottom w:val="nil"/>
              <w:right w:val="nil"/>
            </w:tcBorders>
            <w:shd w:val="clear" w:color="auto" w:fill="auto"/>
            <w:vAlign w:val="bottom"/>
            <w:hideMark/>
          </w:tcPr>
          <w:p w14:paraId="1416786D" w14:textId="77777777" w:rsidR="00F3438D" w:rsidRDefault="00F3438D">
            <w:pPr>
              <w:rPr>
                <w:rFonts w:ascii="Cambria" w:hAnsi="Cambria"/>
                <w:color w:val="000000"/>
              </w:rPr>
            </w:pPr>
            <w:r>
              <w:rPr>
                <w:rFonts w:ascii="Cambria" w:hAnsi="Cambria"/>
                <w:color w:val="000000"/>
              </w:rPr>
              <w:t>Long Term Adviser</w:t>
            </w:r>
          </w:p>
        </w:tc>
      </w:tr>
      <w:tr w:rsidR="00F3438D" w14:paraId="21359491" w14:textId="77777777" w:rsidTr="00C252C1">
        <w:trPr>
          <w:trHeight w:val="300"/>
        </w:trPr>
        <w:tc>
          <w:tcPr>
            <w:tcW w:w="2500" w:type="dxa"/>
            <w:tcBorders>
              <w:top w:val="nil"/>
              <w:left w:val="nil"/>
              <w:bottom w:val="nil"/>
              <w:right w:val="nil"/>
            </w:tcBorders>
            <w:shd w:val="clear" w:color="auto" w:fill="auto"/>
            <w:noWrap/>
            <w:hideMark/>
          </w:tcPr>
          <w:p w14:paraId="2A982BC5" w14:textId="77777777" w:rsidR="00F3438D" w:rsidRDefault="00F3438D" w:rsidP="004165F0">
            <w:pPr>
              <w:rPr>
                <w:rFonts w:ascii="Cambria" w:hAnsi="Cambria"/>
                <w:b/>
                <w:bCs/>
                <w:color w:val="000000"/>
              </w:rPr>
            </w:pPr>
            <w:r>
              <w:rPr>
                <w:rFonts w:ascii="Cambria" w:hAnsi="Cambria"/>
                <w:b/>
                <w:bCs/>
                <w:color w:val="000000"/>
              </w:rPr>
              <w:t>M&amp;E</w:t>
            </w:r>
          </w:p>
        </w:tc>
        <w:tc>
          <w:tcPr>
            <w:tcW w:w="7440" w:type="dxa"/>
            <w:tcBorders>
              <w:top w:val="nil"/>
              <w:left w:val="nil"/>
              <w:bottom w:val="nil"/>
              <w:right w:val="nil"/>
            </w:tcBorders>
            <w:shd w:val="clear" w:color="auto" w:fill="auto"/>
            <w:vAlign w:val="bottom"/>
            <w:hideMark/>
          </w:tcPr>
          <w:p w14:paraId="2AD3FA49" w14:textId="682C1BCF" w:rsidR="00F3438D" w:rsidRDefault="00F3438D">
            <w:pPr>
              <w:rPr>
                <w:rFonts w:ascii="Cambria" w:hAnsi="Cambria"/>
                <w:color w:val="000000"/>
              </w:rPr>
            </w:pPr>
            <w:r>
              <w:rPr>
                <w:rFonts w:ascii="Cambria" w:hAnsi="Cambria"/>
                <w:color w:val="000000"/>
              </w:rPr>
              <w:t xml:space="preserve">Monitoring and </w:t>
            </w:r>
            <w:r w:rsidR="004165F0">
              <w:rPr>
                <w:rFonts w:ascii="Cambria" w:hAnsi="Cambria"/>
                <w:color w:val="000000"/>
              </w:rPr>
              <w:t>E</w:t>
            </w:r>
            <w:r>
              <w:rPr>
                <w:rFonts w:ascii="Cambria" w:hAnsi="Cambria"/>
                <w:color w:val="000000"/>
              </w:rPr>
              <w:t>valuation</w:t>
            </w:r>
          </w:p>
        </w:tc>
      </w:tr>
      <w:tr w:rsidR="00F3438D" w14:paraId="3734944F" w14:textId="77777777" w:rsidTr="00C252C1">
        <w:trPr>
          <w:trHeight w:val="300"/>
        </w:trPr>
        <w:tc>
          <w:tcPr>
            <w:tcW w:w="2500" w:type="dxa"/>
            <w:tcBorders>
              <w:top w:val="nil"/>
              <w:left w:val="nil"/>
              <w:bottom w:val="nil"/>
              <w:right w:val="nil"/>
            </w:tcBorders>
            <w:shd w:val="clear" w:color="auto" w:fill="auto"/>
            <w:noWrap/>
            <w:hideMark/>
          </w:tcPr>
          <w:p w14:paraId="1F91548C" w14:textId="77777777" w:rsidR="00F3438D" w:rsidRDefault="00F3438D" w:rsidP="004165F0">
            <w:pPr>
              <w:rPr>
                <w:rFonts w:ascii="Cambria" w:hAnsi="Cambria"/>
                <w:b/>
                <w:bCs/>
                <w:color w:val="000000"/>
              </w:rPr>
            </w:pPr>
            <w:r>
              <w:rPr>
                <w:rFonts w:ascii="Cambria" w:hAnsi="Cambria"/>
                <w:b/>
                <w:bCs/>
                <w:color w:val="000000"/>
              </w:rPr>
              <w:t>MoEC</w:t>
            </w:r>
          </w:p>
        </w:tc>
        <w:tc>
          <w:tcPr>
            <w:tcW w:w="7440" w:type="dxa"/>
            <w:tcBorders>
              <w:top w:val="nil"/>
              <w:left w:val="nil"/>
              <w:bottom w:val="nil"/>
              <w:right w:val="nil"/>
            </w:tcBorders>
            <w:shd w:val="clear" w:color="auto" w:fill="auto"/>
            <w:vAlign w:val="bottom"/>
            <w:hideMark/>
          </w:tcPr>
          <w:p w14:paraId="2565387B" w14:textId="2CC57C2E" w:rsidR="00F3438D" w:rsidRDefault="00F3438D">
            <w:pPr>
              <w:rPr>
                <w:rFonts w:ascii="Cambria" w:hAnsi="Cambria"/>
                <w:color w:val="000000"/>
              </w:rPr>
            </w:pPr>
            <w:r>
              <w:rPr>
                <w:rFonts w:ascii="Cambria" w:hAnsi="Cambria"/>
                <w:color w:val="000000"/>
              </w:rPr>
              <w:t>Indonesia</w:t>
            </w:r>
            <w:r w:rsidR="004165F0">
              <w:rPr>
                <w:rFonts w:ascii="Cambria" w:hAnsi="Cambria"/>
                <w:color w:val="000000"/>
              </w:rPr>
              <w:t>’s</w:t>
            </w:r>
            <w:r>
              <w:rPr>
                <w:rFonts w:ascii="Cambria" w:hAnsi="Cambria"/>
                <w:color w:val="000000"/>
              </w:rPr>
              <w:t xml:space="preserve"> Ministry of Education and Culture</w:t>
            </w:r>
          </w:p>
        </w:tc>
      </w:tr>
      <w:tr w:rsidR="00F3438D" w14:paraId="0477FD52" w14:textId="77777777" w:rsidTr="00C252C1">
        <w:trPr>
          <w:trHeight w:val="570"/>
        </w:trPr>
        <w:tc>
          <w:tcPr>
            <w:tcW w:w="2500" w:type="dxa"/>
            <w:tcBorders>
              <w:top w:val="nil"/>
              <w:left w:val="nil"/>
              <w:bottom w:val="nil"/>
              <w:right w:val="nil"/>
            </w:tcBorders>
            <w:shd w:val="clear" w:color="auto" w:fill="auto"/>
            <w:noWrap/>
            <w:hideMark/>
          </w:tcPr>
          <w:p w14:paraId="772A7B6E" w14:textId="77777777" w:rsidR="00F3438D" w:rsidRDefault="00F3438D" w:rsidP="004165F0">
            <w:pPr>
              <w:rPr>
                <w:rFonts w:ascii="Cambria" w:hAnsi="Cambria"/>
                <w:b/>
                <w:bCs/>
                <w:color w:val="000000"/>
              </w:rPr>
            </w:pPr>
            <w:r>
              <w:rPr>
                <w:rFonts w:ascii="Cambria" w:hAnsi="Cambria"/>
                <w:b/>
                <w:bCs/>
                <w:color w:val="000000"/>
              </w:rPr>
              <w:t>MoRA</w:t>
            </w:r>
          </w:p>
        </w:tc>
        <w:tc>
          <w:tcPr>
            <w:tcW w:w="7440" w:type="dxa"/>
            <w:tcBorders>
              <w:top w:val="nil"/>
              <w:left w:val="nil"/>
              <w:bottom w:val="nil"/>
              <w:right w:val="nil"/>
            </w:tcBorders>
            <w:shd w:val="clear" w:color="auto" w:fill="auto"/>
            <w:vAlign w:val="bottom"/>
            <w:hideMark/>
          </w:tcPr>
          <w:p w14:paraId="33CE17E8" w14:textId="70F62884" w:rsidR="00F3438D" w:rsidRDefault="00F3438D">
            <w:pPr>
              <w:rPr>
                <w:rFonts w:ascii="Cambria" w:hAnsi="Cambria"/>
                <w:color w:val="000000"/>
              </w:rPr>
            </w:pPr>
            <w:r>
              <w:rPr>
                <w:rFonts w:ascii="Cambria" w:hAnsi="Cambria"/>
                <w:color w:val="000000"/>
              </w:rPr>
              <w:t>Indonesia</w:t>
            </w:r>
            <w:r w:rsidR="004165F0">
              <w:rPr>
                <w:rFonts w:ascii="Cambria" w:hAnsi="Cambria"/>
                <w:color w:val="000000"/>
              </w:rPr>
              <w:t>’s</w:t>
            </w:r>
            <w:r>
              <w:rPr>
                <w:rFonts w:ascii="Cambria" w:hAnsi="Cambria"/>
                <w:color w:val="000000"/>
              </w:rPr>
              <w:t xml:space="preserve"> Ministry of Religious Affairs</w:t>
            </w:r>
          </w:p>
        </w:tc>
      </w:tr>
      <w:tr w:rsidR="00F3438D" w14:paraId="2863DC90" w14:textId="77777777" w:rsidTr="00C252C1">
        <w:trPr>
          <w:trHeight w:val="300"/>
        </w:trPr>
        <w:tc>
          <w:tcPr>
            <w:tcW w:w="2500" w:type="dxa"/>
            <w:tcBorders>
              <w:top w:val="nil"/>
              <w:left w:val="nil"/>
              <w:bottom w:val="nil"/>
              <w:right w:val="nil"/>
            </w:tcBorders>
            <w:shd w:val="clear" w:color="auto" w:fill="auto"/>
            <w:noWrap/>
            <w:hideMark/>
          </w:tcPr>
          <w:p w14:paraId="0A3DE4B2" w14:textId="77777777" w:rsidR="00F3438D" w:rsidRDefault="00F3438D" w:rsidP="004165F0">
            <w:pPr>
              <w:rPr>
                <w:rFonts w:ascii="Cambria" w:hAnsi="Cambria"/>
                <w:b/>
                <w:bCs/>
                <w:color w:val="000000"/>
              </w:rPr>
            </w:pPr>
            <w:r>
              <w:rPr>
                <w:rFonts w:ascii="Cambria" w:hAnsi="Cambria"/>
                <w:b/>
                <w:bCs/>
                <w:color w:val="000000"/>
              </w:rPr>
              <w:t>MOSA-BR</w:t>
            </w:r>
          </w:p>
        </w:tc>
        <w:tc>
          <w:tcPr>
            <w:tcW w:w="7440" w:type="dxa"/>
            <w:tcBorders>
              <w:top w:val="nil"/>
              <w:left w:val="nil"/>
              <w:bottom w:val="nil"/>
              <w:right w:val="nil"/>
            </w:tcBorders>
            <w:shd w:val="clear" w:color="auto" w:fill="auto"/>
            <w:vAlign w:val="bottom"/>
            <w:hideMark/>
          </w:tcPr>
          <w:p w14:paraId="037B3318" w14:textId="221998A0" w:rsidR="00F3438D" w:rsidRDefault="004165F0">
            <w:pPr>
              <w:rPr>
                <w:rFonts w:ascii="Cambria" w:hAnsi="Cambria"/>
                <w:color w:val="000000"/>
              </w:rPr>
            </w:pPr>
            <w:r>
              <w:rPr>
                <w:rFonts w:ascii="Cambria" w:hAnsi="Cambria"/>
                <w:color w:val="000000"/>
              </w:rPr>
              <w:t xml:space="preserve">Indonesia’s </w:t>
            </w:r>
            <w:r w:rsidR="00F3438D">
              <w:rPr>
                <w:rFonts w:ascii="Cambria" w:hAnsi="Cambria"/>
                <w:color w:val="000000"/>
              </w:rPr>
              <w:t xml:space="preserve">Ministry of State Apparatus and Bureaucratic Reform </w:t>
            </w:r>
          </w:p>
        </w:tc>
      </w:tr>
      <w:tr w:rsidR="00251A3D" w14:paraId="11ED669A" w14:textId="77777777" w:rsidTr="00C252C1">
        <w:trPr>
          <w:trHeight w:val="570"/>
        </w:trPr>
        <w:tc>
          <w:tcPr>
            <w:tcW w:w="2500" w:type="dxa"/>
            <w:tcBorders>
              <w:top w:val="nil"/>
              <w:left w:val="nil"/>
              <w:bottom w:val="nil"/>
              <w:right w:val="nil"/>
            </w:tcBorders>
            <w:shd w:val="clear" w:color="auto" w:fill="auto"/>
            <w:noWrap/>
          </w:tcPr>
          <w:p w14:paraId="43F7BC1F" w14:textId="4B7270D9" w:rsidR="00251A3D" w:rsidRDefault="00251A3D" w:rsidP="004165F0">
            <w:pPr>
              <w:rPr>
                <w:rFonts w:ascii="Cambria" w:hAnsi="Cambria"/>
                <w:b/>
                <w:bCs/>
                <w:color w:val="000000"/>
              </w:rPr>
            </w:pPr>
            <w:r>
              <w:rPr>
                <w:rFonts w:ascii="Cambria" w:hAnsi="Cambria"/>
                <w:b/>
                <w:bCs/>
                <w:color w:val="000000"/>
              </w:rPr>
              <w:t>OECD</w:t>
            </w:r>
          </w:p>
        </w:tc>
        <w:tc>
          <w:tcPr>
            <w:tcW w:w="7440" w:type="dxa"/>
            <w:tcBorders>
              <w:top w:val="nil"/>
              <w:left w:val="nil"/>
              <w:bottom w:val="nil"/>
              <w:right w:val="nil"/>
            </w:tcBorders>
            <w:shd w:val="clear" w:color="auto" w:fill="auto"/>
            <w:vAlign w:val="center"/>
          </w:tcPr>
          <w:p w14:paraId="11F8D418" w14:textId="2C2DBB82" w:rsidR="00251A3D" w:rsidRPr="00251A3D" w:rsidRDefault="00251A3D">
            <w:pPr>
              <w:rPr>
                <w:rFonts w:ascii="Cambria" w:hAnsi="Cambria"/>
                <w:iCs/>
                <w:color w:val="000000"/>
              </w:rPr>
            </w:pPr>
            <w:r>
              <w:rPr>
                <w:rFonts w:ascii="Cambria" w:hAnsi="Cambria"/>
                <w:iCs/>
                <w:color w:val="000000"/>
              </w:rPr>
              <w:t>Organisation for Economic Cooperation and Development</w:t>
            </w:r>
          </w:p>
        </w:tc>
      </w:tr>
      <w:tr w:rsidR="00F3438D" w14:paraId="239894ED" w14:textId="77777777" w:rsidTr="00C252C1">
        <w:trPr>
          <w:trHeight w:val="570"/>
        </w:trPr>
        <w:tc>
          <w:tcPr>
            <w:tcW w:w="2500" w:type="dxa"/>
            <w:tcBorders>
              <w:top w:val="nil"/>
              <w:left w:val="nil"/>
              <w:bottom w:val="nil"/>
              <w:right w:val="nil"/>
            </w:tcBorders>
            <w:shd w:val="clear" w:color="auto" w:fill="auto"/>
            <w:noWrap/>
            <w:hideMark/>
          </w:tcPr>
          <w:p w14:paraId="1A1146AC" w14:textId="3FC6F632" w:rsidR="00F3438D" w:rsidRDefault="00F3438D" w:rsidP="004165F0">
            <w:pPr>
              <w:rPr>
                <w:rFonts w:ascii="Cambria" w:hAnsi="Cambria"/>
                <w:b/>
                <w:bCs/>
                <w:color w:val="000000"/>
              </w:rPr>
            </w:pPr>
            <w:r>
              <w:rPr>
                <w:rFonts w:ascii="Cambria" w:hAnsi="Cambria"/>
                <w:b/>
                <w:bCs/>
                <w:color w:val="000000"/>
              </w:rPr>
              <w:t>PDSPK</w:t>
            </w:r>
          </w:p>
        </w:tc>
        <w:tc>
          <w:tcPr>
            <w:tcW w:w="7440" w:type="dxa"/>
            <w:tcBorders>
              <w:top w:val="nil"/>
              <w:left w:val="nil"/>
              <w:bottom w:val="nil"/>
              <w:right w:val="nil"/>
            </w:tcBorders>
            <w:shd w:val="clear" w:color="auto" w:fill="auto"/>
            <w:vAlign w:val="center"/>
            <w:hideMark/>
          </w:tcPr>
          <w:p w14:paraId="23D0FD77" w14:textId="77777777" w:rsidR="00F3438D" w:rsidRDefault="00F3438D">
            <w:pPr>
              <w:rPr>
                <w:rFonts w:ascii="Cambria" w:hAnsi="Cambria"/>
                <w:i/>
                <w:iCs/>
                <w:color w:val="000000"/>
              </w:rPr>
            </w:pPr>
            <w:r>
              <w:rPr>
                <w:rFonts w:ascii="Cambria" w:hAnsi="Cambria"/>
                <w:i/>
                <w:iCs/>
                <w:color w:val="000000"/>
              </w:rPr>
              <w:t>Pusat Data Statistik Pendidikan dan Kebudayaan</w:t>
            </w:r>
            <w:r>
              <w:rPr>
                <w:rFonts w:ascii="Cambria" w:hAnsi="Cambria"/>
                <w:color w:val="000000"/>
              </w:rPr>
              <w:t xml:space="preserve"> / Centre for Education and Culture Data and Statistics </w:t>
            </w:r>
          </w:p>
        </w:tc>
      </w:tr>
      <w:tr w:rsidR="004639B7" w14:paraId="1C3A6091" w14:textId="77777777" w:rsidTr="00C252C1">
        <w:trPr>
          <w:trHeight w:val="570"/>
        </w:trPr>
        <w:tc>
          <w:tcPr>
            <w:tcW w:w="2500" w:type="dxa"/>
            <w:tcBorders>
              <w:top w:val="nil"/>
              <w:left w:val="nil"/>
              <w:bottom w:val="nil"/>
              <w:right w:val="nil"/>
            </w:tcBorders>
            <w:shd w:val="clear" w:color="auto" w:fill="auto"/>
            <w:noWrap/>
          </w:tcPr>
          <w:p w14:paraId="79FC14C6" w14:textId="6FD198A8" w:rsidR="004639B7" w:rsidRDefault="004639B7" w:rsidP="004165F0">
            <w:pPr>
              <w:rPr>
                <w:rFonts w:ascii="Cambria" w:hAnsi="Cambria"/>
                <w:b/>
                <w:bCs/>
                <w:color w:val="000000"/>
              </w:rPr>
            </w:pPr>
            <w:r>
              <w:rPr>
                <w:rFonts w:ascii="Cambria" w:hAnsi="Cambria"/>
                <w:b/>
                <w:bCs/>
                <w:color w:val="000000"/>
              </w:rPr>
              <w:t>PSPK</w:t>
            </w:r>
          </w:p>
        </w:tc>
        <w:tc>
          <w:tcPr>
            <w:tcW w:w="7440" w:type="dxa"/>
            <w:tcBorders>
              <w:top w:val="nil"/>
              <w:left w:val="nil"/>
              <w:bottom w:val="nil"/>
              <w:right w:val="nil"/>
            </w:tcBorders>
            <w:shd w:val="clear" w:color="auto" w:fill="auto"/>
            <w:vAlign w:val="center"/>
          </w:tcPr>
          <w:p w14:paraId="56B5EC62" w14:textId="7F33BDFF" w:rsidR="004639B7" w:rsidRPr="004639B7" w:rsidRDefault="004639B7" w:rsidP="004639B7">
            <w:pPr>
              <w:rPr>
                <w:rFonts w:ascii="Cambria" w:hAnsi="Cambria"/>
                <w:iCs/>
                <w:color w:val="000000"/>
                <w:lang w:val="en-AU"/>
              </w:rPr>
            </w:pPr>
            <w:r w:rsidRPr="004639B7">
              <w:rPr>
                <w:rFonts w:ascii="Cambria" w:hAnsi="Cambria"/>
                <w:i/>
                <w:iCs/>
                <w:color w:val="000000"/>
                <w:lang w:val="en-AU"/>
              </w:rPr>
              <w:t>Pusat Studi Pendidikan dan Kebijakan </w:t>
            </w:r>
            <w:r>
              <w:rPr>
                <w:rFonts w:ascii="Cambria" w:hAnsi="Cambria"/>
                <w:i/>
                <w:iCs/>
                <w:color w:val="000000"/>
                <w:lang w:val="en-AU"/>
              </w:rPr>
              <w:t>/</w:t>
            </w:r>
            <w:r>
              <w:rPr>
                <w:rFonts w:ascii="Cambria" w:hAnsi="Cambria"/>
                <w:iCs/>
                <w:color w:val="000000"/>
                <w:lang w:val="en-AU"/>
              </w:rPr>
              <w:t xml:space="preserve"> Education</w:t>
            </w:r>
            <w:r w:rsidR="004165F0">
              <w:rPr>
                <w:rFonts w:ascii="Cambria" w:hAnsi="Cambria"/>
                <w:iCs/>
                <w:color w:val="000000"/>
                <w:lang w:val="en-AU"/>
              </w:rPr>
              <w:t xml:space="preserve"> Policy</w:t>
            </w:r>
            <w:r>
              <w:rPr>
                <w:rFonts w:ascii="Cambria" w:hAnsi="Cambria"/>
                <w:iCs/>
                <w:color w:val="000000"/>
                <w:lang w:val="en-AU"/>
              </w:rPr>
              <w:t xml:space="preserve"> Research Centre</w:t>
            </w:r>
          </w:p>
        </w:tc>
      </w:tr>
      <w:tr w:rsidR="00F3438D" w14:paraId="63471B6F" w14:textId="77777777" w:rsidTr="00C252C1">
        <w:trPr>
          <w:trHeight w:val="300"/>
        </w:trPr>
        <w:tc>
          <w:tcPr>
            <w:tcW w:w="2500" w:type="dxa"/>
            <w:tcBorders>
              <w:top w:val="nil"/>
              <w:left w:val="nil"/>
              <w:bottom w:val="nil"/>
              <w:right w:val="nil"/>
            </w:tcBorders>
            <w:shd w:val="clear" w:color="auto" w:fill="auto"/>
            <w:noWrap/>
            <w:hideMark/>
          </w:tcPr>
          <w:p w14:paraId="2F9601A5" w14:textId="77777777" w:rsidR="00F3438D" w:rsidRDefault="00F3438D" w:rsidP="004165F0">
            <w:pPr>
              <w:rPr>
                <w:rFonts w:ascii="Cambria" w:hAnsi="Cambria"/>
                <w:b/>
                <w:bCs/>
                <w:color w:val="000000"/>
              </w:rPr>
            </w:pPr>
            <w:r>
              <w:rPr>
                <w:rFonts w:ascii="Cambria" w:hAnsi="Cambria"/>
                <w:b/>
                <w:bCs/>
                <w:color w:val="000000"/>
              </w:rPr>
              <w:t>PAF</w:t>
            </w:r>
          </w:p>
        </w:tc>
        <w:tc>
          <w:tcPr>
            <w:tcW w:w="7440" w:type="dxa"/>
            <w:tcBorders>
              <w:top w:val="nil"/>
              <w:left w:val="nil"/>
              <w:bottom w:val="nil"/>
              <w:right w:val="nil"/>
            </w:tcBorders>
            <w:shd w:val="clear" w:color="auto" w:fill="auto"/>
            <w:vAlign w:val="bottom"/>
            <w:hideMark/>
          </w:tcPr>
          <w:p w14:paraId="28C9DD9A" w14:textId="77777777" w:rsidR="00F3438D" w:rsidRDefault="00F3438D">
            <w:pPr>
              <w:rPr>
                <w:rFonts w:ascii="Cambria" w:hAnsi="Cambria"/>
                <w:color w:val="000000"/>
              </w:rPr>
            </w:pPr>
            <w:r>
              <w:rPr>
                <w:rFonts w:ascii="Cambria" w:hAnsi="Cambria"/>
                <w:color w:val="000000"/>
              </w:rPr>
              <w:t>Performance Assessment Framework</w:t>
            </w:r>
          </w:p>
        </w:tc>
      </w:tr>
      <w:tr w:rsidR="00F3438D" w14:paraId="516AC69B" w14:textId="77777777" w:rsidTr="00C252C1">
        <w:trPr>
          <w:trHeight w:val="300"/>
        </w:trPr>
        <w:tc>
          <w:tcPr>
            <w:tcW w:w="2500" w:type="dxa"/>
            <w:tcBorders>
              <w:top w:val="nil"/>
              <w:left w:val="nil"/>
              <w:bottom w:val="nil"/>
              <w:right w:val="nil"/>
            </w:tcBorders>
            <w:shd w:val="clear" w:color="auto" w:fill="auto"/>
            <w:noWrap/>
            <w:hideMark/>
          </w:tcPr>
          <w:p w14:paraId="0C2835E9" w14:textId="77777777" w:rsidR="00F3438D" w:rsidRDefault="00F3438D" w:rsidP="004165F0">
            <w:pPr>
              <w:rPr>
                <w:rFonts w:ascii="Cambria" w:hAnsi="Cambria"/>
                <w:b/>
                <w:bCs/>
                <w:color w:val="000000"/>
              </w:rPr>
            </w:pPr>
            <w:r>
              <w:rPr>
                <w:rFonts w:ascii="Cambria" w:hAnsi="Cambria"/>
                <w:b/>
                <w:bCs/>
                <w:color w:val="000000"/>
              </w:rPr>
              <w:t>PISA</w:t>
            </w:r>
          </w:p>
        </w:tc>
        <w:tc>
          <w:tcPr>
            <w:tcW w:w="7440" w:type="dxa"/>
            <w:tcBorders>
              <w:top w:val="nil"/>
              <w:left w:val="nil"/>
              <w:bottom w:val="nil"/>
              <w:right w:val="nil"/>
            </w:tcBorders>
            <w:shd w:val="clear" w:color="auto" w:fill="auto"/>
            <w:vAlign w:val="bottom"/>
            <w:hideMark/>
          </w:tcPr>
          <w:p w14:paraId="7DA8D7C6" w14:textId="77777777" w:rsidR="00F3438D" w:rsidRDefault="00F3438D">
            <w:pPr>
              <w:rPr>
                <w:rFonts w:ascii="Cambria" w:hAnsi="Cambria"/>
                <w:color w:val="000000"/>
              </w:rPr>
            </w:pPr>
            <w:r>
              <w:rPr>
                <w:rFonts w:ascii="Cambria" w:hAnsi="Cambria"/>
                <w:color w:val="000000"/>
              </w:rPr>
              <w:t xml:space="preserve">Programme for International Student Assessment </w:t>
            </w:r>
          </w:p>
        </w:tc>
      </w:tr>
      <w:tr w:rsidR="00F3438D" w14:paraId="7AC57DD7" w14:textId="77777777" w:rsidTr="00C252C1">
        <w:trPr>
          <w:trHeight w:val="300"/>
        </w:trPr>
        <w:tc>
          <w:tcPr>
            <w:tcW w:w="2500" w:type="dxa"/>
            <w:tcBorders>
              <w:top w:val="nil"/>
              <w:left w:val="nil"/>
              <w:bottom w:val="nil"/>
              <w:right w:val="nil"/>
            </w:tcBorders>
            <w:shd w:val="clear" w:color="auto" w:fill="auto"/>
            <w:noWrap/>
            <w:hideMark/>
          </w:tcPr>
          <w:p w14:paraId="085215EF" w14:textId="77777777" w:rsidR="00F3438D" w:rsidRDefault="00F3438D" w:rsidP="004165F0">
            <w:pPr>
              <w:rPr>
                <w:rFonts w:ascii="Cambria" w:hAnsi="Cambria"/>
                <w:b/>
                <w:bCs/>
                <w:color w:val="000000"/>
              </w:rPr>
            </w:pPr>
            <w:r>
              <w:rPr>
                <w:rFonts w:ascii="Cambria" w:hAnsi="Cambria"/>
                <w:b/>
                <w:bCs/>
                <w:color w:val="000000"/>
              </w:rPr>
              <w:t>PPG</w:t>
            </w:r>
          </w:p>
        </w:tc>
        <w:tc>
          <w:tcPr>
            <w:tcW w:w="7440" w:type="dxa"/>
            <w:tcBorders>
              <w:top w:val="nil"/>
              <w:left w:val="nil"/>
              <w:bottom w:val="nil"/>
              <w:right w:val="nil"/>
            </w:tcBorders>
            <w:shd w:val="clear" w:color="auto" w:fill="auto"/>
            <w:vAlign w:val="bottom"/>
            <w:hideMark/>
          </w:tcPr>
          <w:p w14:paraId="50201B55" w14:textId="68E2ABED" w:rsidR="00F3438D" w:rsidRDefault="00F3438D">
            <w:pPr>
              <w:rPr>
                <w:rFonts w:ascii="Cambria" w:hAnsi="Cambria"/>
                <w:color w:val="000000"/>
              </w:rPr>
            </w:pPr>
            <w:r w:rsidRPr="004B277A">
              <w:rPr>
                <w:rFonts w:ascii="Cambria" w:hAnsi="Cambria"/>
                <w:i/>
                <w:color w:val="000000"/>
              </w:rPr>
              <w:t>Pendidikan Profesi Guru</w:t>
            </w:r>
            <w:r>
              <w:rPr>
                <w:rFonts w:ascii="Cambria" w:hAnsi="Cambria"/>
                <w:color w:val="000000"/>
              </w:rPr>
              <w:t xml:space="preserve"> / Teacher Professional Education</w:t>
            </w:r>
            <w:r w:rsidR="004165F0">
              <w:rPr>
                <w:rFonts w:ascii="Cambria" w:hAnsi="Cambria"/>
                <w:color w:val="000000"/>
              </w:rPr>
              <w:t xml:space="preserve"> program</w:t>
            </w:r>
          </w:p>
        </w:tc>
      </w:tr>
      <w:tr w:rsidR="00F3438D" w14:paraId="1024D97D" w14:textId="77777777" w:rsidTr="00C252C1">
        <w:trPr>
          <w:trHeight w:val="570"/>
        </w:trPr>
        <w:tc>
          <w:tcPr>
            <w:tcW w:w="2500" w:type="dxa"/>
            <w:tcBorders>
              <w:top w:val="nil"/>
              <w:left w:val="nil"/>
              <w:bottom w:val="nil"/>
              <w:right w:val="nil"/>
            </w:tcBorders>
            <w:shd w:val="clear" w:color="auto" w:fill="auto"/>
            <w:noWrap/>
            <w:hideMark/>
          </w:tcPr>
          <w:p w14:paraId="0579ABE0" w14:textId="77777777" w:rsidR="00F3438D" w:rsidRDefault="00F3438D" w:rsidP="004165F0">
            <w:pPr>
              <w:rPr>
                <w:rFonts w:ascii="Cambria" w:hAnsi="Cambria"/>
                <w:b/>
                <w:bCs/>
                <w:color w:val="000000"/>
              </w:rPr>
            </w:pPr>
            <w:r>
              <w:rPr>
                <w:rFonts w:ascii="Cambria" w:hAnsi="Cambria"/>
                <w:b/>
                <w:bCs/>
                <w:color w:val="000000"/>
              </w:rPr>
              <w:t>Puslitjak</w:t>
            </w:r>
          </w:p>
        </w:tc>
        <w:tc>
          <w:tcPr>
            <w:tcW w:w="7440" w:type="dxa"/>
            <w:tcBorders>
              <w:top w:val="nil"/>
              <w:left w:val="nil"/>
              <w:bottom w:val="nil"/>
              <w:right w:val="nil"/>
            </w:tcBorders>
            <w:shd w:val="clear" w:color="auto" w:fill="auto"/>
            <w:vAlign w:val="bottom"/>
            <w:hideMark/>
          </w:tcPr>
          <w:p w14:paraId="27C37323" w14:textId="77777777" w:rsidR="00F3438D" w:rsidRDefault="00F3438D">
            <w:pPr>
              <w:rPr>
                <w:rFonts w:ascii="Cambria" w:hAnsi="Cambria"/>
                <w:color w:val="000000"/>
              </w:rPr>
            </w:pPr>
            <w:r>
              <w:rPr>
                <w:rFonts w:ascii="Cambria" w:hAnsi="Cambria"/>
                <w:i/>
                <w:iCs/>
                <w:color w:val="000000"/>
              </w:rPr>
              <w:t>Pusat Penelitian Kebijakan</w:t>
            </w:r>
            <w:r>
              <w:rPr>
                <w:rFonts w:ascii="Cambria" w:hAnsi="Cambria"/>
                <w:color w:val="000000"/>
              </w:rPr>
              <w:t xml:space="preserve"> / Center for Policy Research</w:t>
            </w:r>
          </w:p>
        </w:tc>
      </w:tr>
      <w:tr w:rsidR="00F3438D" w14:paraId="547128F3" w14:textId="77777777" w:rsidTr="00C252C1">
        <w:trPr>
          <w:trHeight w:val="300"/>
        </w:trPr>
        <w:tc>
          <w:tcPr>
            <w:tcW w:w="2500" w:type="dxa"/>
            <w:tcBorders>
              <w:top w:val="nil"/>
              <w:left w:val="nil"/>
              <w:bottom w:val="nil"/>
              <w:right w:val="nil"/>
            </w:tcBorders>
            <w:shd w:val="clear" w:color="auto" w:fill="auto"/>
            <w:noWrap/>
            <w:hideMark/>
          </w:tcPr>
          <w:p w14:paraId="70B846BB" w14:textId="77777777" w:rsidR="00F3438D" w:rsidRDefault="00F3438D" w:rsidP="004165F0">
            <w:pPr>
              <w:rPr>
                <w:rFonts w:ascii="Cambria" w:hAnsi="Cambria"/>
                <w:b/>
                <w:bCs/>
                <w:color w:val="000000"/>
              </w:rPr>
            </w:pPr>
            <w:r>
              <w:rPr>
                <w:rFonts w:ascii="Cambria" w:hAnsi="Cambria"/>
                <w:b/>
                <w:bCs/>
                <w:color w:val="000000"/>
              </w:rPr>
              <w:t>Puspendik</w:t>
            </w:r>
          </w:p>
        </w:tc>
        <w:tc>
          <w:tcPr>
            <w:tcW w:w="7440" w:type="dxa"/>
            <w:tcBorders>
              <w:top w:val="nil"/>
              <w:left w:val="nil"/>
              <w:bottom w:val="nil"/>
              <w:right w:val="nil"/>
            </w:tcBorders>
            <w:shd w:val="clear" w:color="auto" w:fill="auto"/>
            <w:vAlign w:val="center"/>
            <w:hideMark/>
          </w:tcPr>
          <w:p w14:paraId="687E6838" w14:textId="77777777" w:rsidR="00F3438D" w:rsidRDefault="00F3438D">
            <w:pPr>
              <w:rPr>
                <w:rFonts w:ascii="Cambria" w:hAnsi="Cambria"/>
                <w:i/>
                <w:iCs/>
                <w:color w:val="000000"/>
              </w:rPr>
            </w:pPr>
            <w:r>
              <w:rPr>
                <w:rFonts w:ascii="Cambria" w:hAnsi="Cambria"/>
                <w:i/>
                <w:iCs/>
                <w:color w:val="000000"/>
              </w:rPr>
              <w:t>Pusat Penilaian Pendidikan</w:t>
            </w:r>
            <w:r>
              <w:rPr>
                <w:rFonts w:ascii="Cambria" w:hAnsi="Cambria"/>
                <w:color w:val="000000"/>
              </w:rPr>
              <w:t xml:space="preserve"> / Education Assessment Centre</w:t>
            </w:r>
          </w:p>
        </w:tc>
      </w:tr>
      <w:tr w:rsidR="00F3438D" w14:paraId="1045709B" w14:textId="77777777" w:rsidTr="00C252C1">
        <w:trPr>
          <w:trHeight w:val="300"/>
        </w:trPr>
        <w:tc>
          <w:tcPr>
            <w:tcW w:w="2500" w:type="dxa"/>
            <w:tcBorders>
              <w:top w:val="nil"/>
              <w:left w:val="nil"/>
              <w:bottom w:val="nil"/>
              <w:right w:val="nil"/>
            </w:tcBorders>
            <w:shd w:val="clear" w:color="auto" w:fill="auto"/>
            <w:noWrap/>
            <w:hideMark/>
          </w:tcPr>
          <w:p w14:paraId="143CCEBE" w14:textId="77777777" w:rsidR="00F3438D" w:rsidRDefault="00F3438D" w:rsidP="004165F0">
            <w:pPr>
              <w:rPr>
                <w:rFonts w:ascii="Cambria" w:hAnsi="Cambria"/>
                <w:b/>
                <w:bCs/>
                <w:color w:val="000000"/>
              </w:rPr>
            </w:pPr>
            <w:r>
              <w:rPr>
                <w:rFonts w:ascii="Cambria" w:hAnsi="Cambria"/>
                <w:b/>
                <w:bCs/>
                <w:color w:val="000000"/>
              </w:rPr>
              <w:t>QA</w:t>
            </w:r>
          </w:p>
        </w:tc>
        <w:tc>
          <w:tcPr>
            <w:tcW w:w="7440" w:type="dxa"/>
            <w:tcBorders>
              <w:top w:val="nil"/>
              <w:left w:val="nil"/>
              <w:bottom w:val="nil"/>
              <w:right w:val="nil"/>
            </w:tcBorders>
            <w:shd w:val="clear" w:color="auto" w:fill="auto"/>
            <w:vAlign w:val="bottom"/>
            <w:hideMark/>
          </w:tcPr>
          <w:p w14:paraId="7BD4080A" w14:textId="77777777" w:rsidR="00F3438D" w:rsidRDefault="00F3438D">
            <w:pPr>
              <w:rPr>
                <w:rFonts w:ascii="Cambria" w:hAnsi="Cambria"/>
                <w:color w:val="000000"/>
              </w:rPr>
            </w:pPr>
            <w:r>
              <w:rPr>
                <w:rFonts w:ascii="Cambria" w:hAnsi="Cambria"/>
                <w:color w:val="000000"/>
              </w:rPr>
              <w:t>Quality Assurance</w:t>
            </w:r>
          </w:p>
        </w:tc>
      </w:tr>
      <w:tr w:rsidR="00F3438D" w14:paraId="7FEA1A80" w14:textId="77777777" w:rsidTr="00C252C1">
        <w:trPr>
          <w:trHeight w:val="300"/>
        </w:trPr>
        <w:tc>
          <w:tcPr>
            <w:tcW w:w="2500" w:type="dxa"/>
            <w:tcBorders>
              <w:top w:val="nil"/>
              <w:left w:val="nil"/>
              <w:bottom w:val="nil"/>
              <w:right w:val="nil"/>
            </w:tcBorders>
            <w:shd w:val="clear" w:color="auto" w:fill="auto"/>
            <w:noWrap/>
            <w:hideMark/>
          </w:tcPr>
          <w:p w14:paraId="52FD9F48" w14:textId="77777777" w:rsidR="00F3438D" w:rsidRDefault="00F3438D" w:rsidP="004165F0">
            <w:pPr>
              <w:rPr>
                <w:rFonts w:ascii="Cambria" w:hAnsi="Cambria"/>
                <w:b/>
                <w:bCs/>
                <w:color w:val="000000"/>
              </w:rPr>
            </w:pPr>
            <w:r>
              <w:rPr>
                <w:rFonts w:ascii="Cambria" w:hAnsi="Cambria"/>
                <w:b/>
                <w:bCs/>
                <w:color w:val="000000"/>
              </w:rPr>
              <w:t>SC</w:t>
            </w:r>
          </w:p>
        </w:tc>
        <w:tc>
          <w:tcPr>
            <w:tcW w:w="7440" w:type="dxa"/>
            <w:tcBorders>
              <w:top w:val="nil"/>
              <w:left w:val="nil"/>
              <w:bottom w:val="nil"/>
              <w:right w:val="nil"/>
            </w:tcBorders>
            <w:shd w:val="clear" w:color="auto" w:fill="auto"/>
            <w:vAlign w:val="center"/>
            <w:hideMark/>
          </w:tcPr>
          <w:p w14:paraId="66D4771A" w14:textId="77777777" w:rsidR="00F3438D" w:rsidRPr="004B277A" w:rsidRDefault="00F3438D">
            <w:pPr>
              <w:rPr>
                <w:rFonts w:ascii="Cambria" w:hAnsi="Cambria"/>
                <w:iCs/>
                <w:color w:val="000000"/>
              </w:rPr>
            </w:pPr>
            <w:r w:rsidRPr="004B277A">
              <w:rPr>
                <w:rFonts w:ascii="Cambria" w:hAnsi="Cambria"/>
                <w:iCs/>
                <w:color w:val="000000"/>
              </w:rPr>
              <w:t>Steering Committee</w:t>
            </w:r>
          </w:p>
        </w:tc>
      </w:tr>
      <w:tr w:rsidR="00A364C4" w14:paraId="3B9F9A82" w14:textId="77777777" w:rsidTr="00C252C1">
        <w:trPr>
          <w:trHeight w:val="300"/>
        </w:trPr>
        <w:tc>
          <w:tcPr>
            <w:tcW w:w="2500" w:type="dxa"/>
            <w:tcBorders>
              <w:top w:val="nil"/>
              <w:left w:val="nil"/>
              <w:bottom w:val="nil"/>
              <w:right w:val="nil"/>
            </w:tcBorders>
            <w:shd w:val="clear" w:color="auto" w:fill="auto"/>
            <w:noWrap/>
          </w:tcPr>
          <w:p w14:paraId="35381C24" w14:textId="6D576534" w:rsidR="00A364C4" w:rsidRDefault="00A364C4" w:rsidP="004165F0">
            <w:pPr>
              <w:rPr>
                <w:rFonts w:ascii="Cambria" w:hAnsi="Cambria"/>
                <w:b/>
                <w:bCs/>
                <w:color w:val="000000"/>
              </w:rPr>
            </w:pPr>
            <w:r>
              <w:rPr>
                <w:rFonts w:ascii="Cambria" w:hAnsi="Cambria"/>
                <w:b/>
                <w:bCs/>
                <w:color w:val="000000"/>
              </w:rPr>
              <w:t>SDG</w:t>
            </w:r>
          </w:p>
        </w:tc>
        <w:tc>
          <w:tcPr>
            <w:tcW w:w="7440" w:type="dxa"/>
            <w:tcBorders>
              <w:top w:val="nil"/>
              <w:left w:val="nil"/>
              <w:bottom w:val="nil"/>
              <w:right w:val="nil"/>
            </w:tcBorders>
            <w:shd w:val="clear" w:color="auto" w:fill="auto"/>
            <w:vAlign w:val="center"/>
          </w:tcPr>
          <w:p w14:paraId="449C4F6B" w14:textId="3EAAD4FE" w:rsidR="00A364C4" w:rsidRPr="004B277A" w:rsidRDefault="00A364C4">
            <w:pPr>
              <w:rPr>
                <w:rFonts w:ascii="Cambria" w:hAnsi="Cambria"/>
                <w:iCs/>
                <w:color w:val="000000"/>
              </w:rPr>
            </w:pPr>
            <w:r>
              <w:rPr>
                <w:rFonts w:ascii="Cambria" w:hAnsi="Cambria"/>
                <w:iCs/>
                <w:color w:val="000000"/>
              </w:rPr>
              <w:t>Sustainable Development Goals</w:t>
            </w:r>
          </w:p>
        </w:tc>
      </w:tr>
      <w:tr w:rsidR="00F3438D" w14:paraId="61A1DE37" w14:textId="77777777" w:rsidTr="00C252C1">
        <w:trPr>
          <w:trHeight w:val="570"/>
        </w:trPr>
        <w:tc>
          <w:tcPr>
            <w:tcW w:w="2500" w:type="dxa"/>
            <w:tcBorders>
              <w:top w:val="nil"/>
              <w:left w:val="nil"/>
              <w:bottom w:val="nil"/>
              <w:right w:val="nil"/>
            </w:tcBorders>
            <w:shd w:val="clear" w:color="auto" w:fill="auto"/>
            <w:noWrap/>
            <w:hideMark/>
          </w:tcPr>
          <w:p w14:paraId="53079C95" w14:textId="77777777" w:rsidR="00F3438D" w:rsidRDefault="00F3438D" w:rsidP="004165F0">
            <w:pPr>
              <w:rPr>
                <w:rFonts w:ascii="Cambria" w:hAnsi="Cambria"/>
                <w:b/>
                <w:bCs/>
                <w:color w:val="000000"/>
              </w:rPr>
            </w:pPr>
            <w:r>
              <w:rPr>
                <w:rFonts w:ascii="Cambria" w:hAnsi="Cambria"/>
                <w:b/>
                <w:bCs/>
                <w:color w:val="000000"/>
              </w:rPr>
              <w:t>SEAMEO-CECCEP</w:t>
            </w:r>
          </w:p>
        </w:tc>
        <w:tc>
          <w:tcPr>
            <w:tcW w:w="7440" w:type="dxa"/>
            <w:tcBorders>
              <w:top w:val="nil"/>
              <w:left w:val="nil"/>
              <w:bottom w:val="nil"/>
              <w:right w:val="nil"/>
            </w:tcBorders>
            <w:shd w:val="clear" w:color="auto" w:fill="auto"/>
            <w:vAlign w:val="center"/>
            <w:hideMark/>
          </w:tcPr>
          <w:p w14:paraId="660ED22C" w14:textId="77777777" w:rsidR="00F3438D" w:rsidRDefault="00F3438D">
            <w:pPr>
              <w:rPr>
                <w:rFonts w:ascii="Cambria" w:hAnsi="Cambria"/>
                <w:color w:val="000000"/>
              </w:rPr>
            </w:pPr>
            <w:r>
              <w:rPr>
                <w:rFonts w:ascii="Cambria" w:hAnsi="Cambria"/>
                <w:color w:val="000000"/>
              </w:rPr>
              <w:t>Southeast Asian Ministers of Education Organisation Centre for Early Childhood Care, Education and Parenting</w:t>
            </w:r>
          </w:p>
        </w:tc>
      </w:tr>
      <w:tr w:rsidR="00F3438D" w14:paraId="35CF8BCB" w14:textId="77777777" w:rsidTr="00C252C1">
        <w:trPr>
          <w:trHeight w:val="300"/>
        </w:trPr>
        <w:tc>
          <w:tcPr>
            <w:tcW w:w="2500" w:type="dxa"/>
            <w:tcBorders>
              <w:top w:val="nil"/>
              <w:left w:val="nil"/>
              <w:bottom w:val="nil"/>
              <w:right w:val="nil"/>
            </w:tcBorders>
            <w:shd w:val="clear" w:color="auto" w:fill="auto"/>
            <w:noWrap/>
            <w:hideMark/>
          </w:tcPr>
          <w:p w14:paraId="19D6C3F7" w14:textId="77777777" w:rsidR="00F3438D" w:rsidRDefault="00F3438D" w:rsidP="004165F0">
            <w:pPr>
              <w:rPr>
                <w:rFonts w:ascii="Cambria" w:hAnsi="Cambria"/>
                <w:b/>
                <w:bCs/>
                <w:color w:val="000000"/>
              </w:rPr>
            </w:pPr>
            <w:r>
              <w:rPr>
                <w:rFonts w:ascii="Cambria" w:hAnsi="Cambria"/>
                <w:b/>
                <w:bCs/>
                <w:color w:val="000000"/>
              </w:rPr>
              <w:t>SMERU</w:t>
            </w:r>
          </w:p>
        </w:tc>
        <w:tc>
          <w:tcPr>
            <w:tcW w:w="7440" w:type="dxa"/>
            <w:tcBorders>
              <w:top w:val="nil"/>
              <w:left w:val="nil"/>
              <w:bottom w:val="nil"/>
              <w:right w:val="nil"/>
            </w:tcBorders>
            <w:shd w:val="clear" w:color="auto" w:fill="auto"/>
            <w:vAlign w:val="bottom"/>
            <w:hideMark/>
          </w:tcPr>
          <w:p w14:paraId="5F28A85B" w14:textId="77777777" w:rsidR="00F3438D" w:rsidRDefault="00F3438D">
            <w:pPr>
              <w:rPr>
                <w:rFonts w:ascii="Cambria" w:hAnsi="Cambria"/>
                <w:color w:val="000000"/>
              </w:rPr>
            </w:pPr>
            <w:r>
              <w:rPr>
                <w:rFonts w:ascii="Cambria" w:hAnsi="Cambria"/>
                <w:color w:val="000000"/>
              </w:rPr>
              <w:t>Social Monitoring and Early Response Unit - Research Institute</w:t>
            </w:r>
          </w:p>
        </w:tc>
      </w:tr>
      <w:tr w:rsidR="00F3438D" w14:paraId="040D56D3" w14:textId="77777777" w:rsidTr="00C252C1">
        <w:trPr>
          <w:trHeight w:val="300"/>
        </w:trPr>
        <w:tc>
          <w:tcPr>
            <w:tcW w:w="2500" w:type="dxa"/>
            <w:tcBorders>
              <w:top w:val="nil"/>
              <w:left w:val="nil"/>
              <w:bottom w:val="nil"/>
              <w:right w:val="nil"/>
            </w:tcBorders>
            <w:shd w:val="clear" w:color="auto" w:fill="auto"/>
            <w:noWrap/>
            <w:hideMark/>
          </w:tcPr>
          <w:p w14:paraId="7632B153" w14:textId="77777777" w:rsidR="00F3438D" w:rsidRDefault="00F3438D" w:rsidP="004165F0">
            <w:pPr>
              <w:rPr>
                <w:rFonts w:ascii="Cambria" w:hAnsi="Cambria"/>
                <w:b/>
                <w:bCs/>
                <w:color w:val="000000"/>
              </w:rPr>
            </w:pPr>
            <w:r>
              <w:rPr>
                <w:rFonts w:ascii="Cambria" w:hAnsi="Cambria"/>
                <w:b/>
                <w:bCs/>
                <w:color w:val="000000"/>
              </w:rPr>
              <w:t>STA</w:t>
            </w:r>
          </w:p>
        </w:tc>
        <w:tc>
          <w:tcPr>
            <w:tcW w:w="7440" w:type="dxa"/>
            <w:tcBorders>
              <w:top w:val="nil"/>
              <w:left w:val="nil"/>
              <w:bottom w:val="nil"/>
              <w:right w:val="nil"/>
            </w:tcBorders>
            <w:shd w:val="clear" w:color="auto" w:fill="auto"/>
            <w:vAlign w:val="bottom"/>
            <w:hideMark/>
          </w:tcPr>
          <w:p w14:paraId="11C9C167" w14:textId="7F0CCBC1" w:rsidR="00F3438D" w:rsidRDefault="00F3438D">
            <w:pPr>
              <w:rPr>
                <w:rFonts w:ascii="Cambria" w:hAnsi="Cambria"/>
                <w:color w:val="000000"/>
              </w:rPr>
            </w:pPr>
            <w:r>
              <w:rPr>
                <w:rFonts w:ascii="Cambria" w:hAnsi="Cambria"/>
                <w:color w:val="000000"/>
              </w:rPr>
              <w:t xml:space="preserve">Short term </w:t>
            </w:r>
            <w:r w:rsidR="004165F0">
              <w:rPr>
                <w:rFonts w:ascii="Cambria" w:hAnsi="Cambria"/>
                <w:color w:val="000000"/>
              </w:rPr>
              <w:t>A</w:t>
            </w:r>
            <w:r>
              <w:rPr>
                <w:rFonts w:ascii="Cambria" w:hAnsi="Cambria"/>
                <w:color w:val="000000"/>
              </w:rPr>
              <w:t>dviser</w:t>
            </w:r>
          </w:p>
        </w:tc>
      </w:tr>
      <w:tr w:rsidR="00F3438D" w14:paraId="1B51411F" w14:textId="77777777" w:rsidTr="00C252C1">
        <w:trPr>
          <w:trHeight w:val="300"/>
        </w:trPr>
        <w:tc>
          <w:tcPr>
            <w:tcW w:w="2500" w:type="dxa"/>
            <w:tcBorders>
              <w:top w:val="nil"/>
              <w:left w:val="nil"/>
              <w:bottom w:val="nil"/>
              <w:right w:val="nil"/>
            </w:tcBorders>
            <w:shd w:val="clear" w:color="auto" w:fill="auto"/>
            <w:noWrap/>
            <w:hideMark/>
          </w:tcPr>
          <w:p w14:paraId="0EC89E4B" w14:textId="77777777" w:rsidR="00F3438D" w:rsidRDefault="00F3438D" w:rsidP="004165F0">
            <w:pPr>
              <w:rPr>
                <w:rFonts w:ascii="Cambria" w:hAnsi="Cambria"/>
                <w:b/>
                <w:bCs/>
                <w:sz w:val="20"/>
                <w:szCs w:val="20"/>
              </w:rPr>
            </w:pPr>
            <w:r>
              <w:rPr>
                <w:rFonts w:ascii="Cambria" w:hAnsi="Cambria"/>
                <w:b/>
                <w:bCs/>
                <w:sz w:val="20"/>
                <w:szCs w:val="20"/>
              </w:rPr>
              <w:t>TASS</w:t>
            </w:r>
          </w:p>
        </w:tc>
        <w:tc>
          <w:tcPr>
            <w:tcW w:w="7440" w:type="dxa"/>
            <w:tcBorders>
              <w:top w:val="nil"/>
              <w:left w:val="nil"/>
              <w:bottom w:val="nil"/>
              <w:right w:val="nil"/>
            </w:tcBorders>
            <w:shd w:val="clear" w:color="auto" w:fill="auto"/>
            <w:vAlign w:val="bottom"/>
            <w:hideMark/>
          </w:tcPr>
          <w:p w14:paraId="416D5B38" w14:textId="77777777" w:rsidR="00F3438D" w:rsidRDefault="00F3438D">
            <w:pPr>
              <w:rPr>
                <w:rFonts w:ascii="Cambria" w:hAnsi="Cambria"/>
                <w:color w:val="000000"/>
              </w:rPr>
            </w:pPr>
            <w:r>
              <w:rPr>
                <w:rFonts w:ascii="Cambria" w:hAnsi="Cambria"/>
                <w:color w:val="000000"/>
              </w:rPr>
              <w:t>Technical Assistance for Education System Strengthening Program</w:t>
            </w:r>
          </w:p>
        </w:tc>
      </w:tr>
      <w:tr w:rsidR="00F3438D" w14:paraId="21CF04E0" w14:textId="77777777" w:rsidTr="00C252C1">
        <w:trPr>
          <w:trHeight w:val="300"/>
        </w:trPr>
        <w:tc>
          <w:tcPr>
            <w:tcW w:w="2500" w:type="dxa"/>
            <w:tcBorders>
              <w:top w:val="nil"/>
              <w:left w:val="nil"/>
              <w:bottom w:val="nil"/>
              <w:right w:val="nil"/>
            </w:tcBorders>
            <w:shd w:val="clear" w:color="auto" w:fill="auto"/>
            <w:noWrap/>
            <w:hideMark/>
          </w:tcPr>
          <w:p w14:paraId="173C0A92" w14:textId="77777777" w:rsidR="00F3438D" w:rsidRDefault="00F3438D" w:rsidP="004165F0">
            <w:pPr>
              <w:rPr>
                <w:rFonts w:ascii="Cambria" w:hAnsi="Cambria"/>
                <w:b/>
                <w:bCs/>
                <w:color w:val="000000"/>
              </w:rPr>
            </w:pPr>
            <w:r>
              <w:rPr>
                <w:rFonts w:ascii="Cambria" w:hAnsi="Cambria"/>
                <w:b/>
                <w:bCs/>
                <w:color w:val="000000"/>
              </w:rPr>
              <w:t>TWP</w:t>
            </w:r>
          </w:p>
        </w:tc>
        <w:tc>
          <w:tcPr>
            <w:tcW w:w="7440" w:type="dxa"/>
            <w:tcBorders>
              <w:top w:val="nil"/>
              <w:left w:val="nil"/>
              <w:bottom w:val="nil"/>
              <w:right w:val="nil"/>
            </w:tcBorders>
            <w:shd w:val="clear" w:color="auto" w:fill="auto"/>
            <w:vAlign w:val="bottom"/>
            <w:hideMark/>
          </w:tcPr>
          <w:p w14:paraId="756E4160" w14:textId="77777777" w:rsidR="00F3438D" w:rsidRDefault="00F3438D">
            <w:pPr>
              <w:rPr>
                <w:rFonts w:ascii="Cambria" w:hAnsi="Cambria"/>
                <w:color w:val="000000"/>
              </w:rPr>
            </w:pPr>
            <w:r>
              <w:rPr>
                <w:rFonts w:ascii="Cambria" w:hAnsi="Cambria"/>
                <w:color w:val="000000"/>
              </w:rPr>
              <w:t>Thinking and Working Politically</w:t>
            </w:r>
          </w:p>
        </w:tc>
      </w:tr>
      <w:tr w:rsidR="00F3438D" w14:paraId="791E52DB" w14:textId="77777777" w:rsidTr="00C252C1">
        <w:trPr>
          <w:trHeight w:val="300"/>
        </w:trPr>
        <w:tc>
          <w:tcPr>
            <w:tcW w:w="2500" w:type="dxa"/>
            <w:tcBorders>
              <w:top w:val="nil"/>
              <w:left w:val="nil"/>
              <w:bottom w:val="nil"/>
              <w:right w:val="nil"/>
            </w:tcBorders>
            <w:shd w:val="clear" w:color="auto" w:fill="auto"/>
            <w:noWrap/>
            <w:hideMark/>
          </w:tcPr>
          <w:p w14:paraId="1DFAC8BD" w14:textId="77777777" w:rsidR="00F3438D" w:rsidRDefault="00F3438D" w:rsidP="004165F0">
            <w:pPr>
              <w:rPr>
                <w:rFonts w:ascii="Cambria" w:hAnsi="Cambria"/>
                <w:b/>
                <w:bCs/>
                <w:color w:val="000000"/>
              </w:rPr>
            </w:pPr>
            <w:r>
              <w:rPr>
                <w:rFonts w:ascii="Cambria" w:hAnsi="Cambria"/>
                <w:b/>
                <w:bCs/>
                <w:color w:val="000000"/>
              </w:rPr>
              <w:t>UN</w:t>
            </w:r>
          </w:p>
        </w:tc>
        <w:tc>
          <w:tcPr>
            <w:tcW w:w="7440" w:type="dxa"/>
            <w:tcBorders>
              <w:top w:val="nil"/>
              <w:left w:val="nil"/>
              <w:bottom w:val="nil"/>
              <w:right w:val="nil"/>
            </w:tcBorders>
            <w:shd w:val="clear" w:color="auto" w:fill="auto"/>
            <w:vAlign w:val="bottom"/>
            <w:hideMark/>
          </w:tcPr>
          <w:p w14:paraId="38F3B973" w14:textId="77777777" w:rsidR="00F3438D" w:rsidRDefault="00F3438D">
            <w:pPr>
              <w:rPr>
                <w:rFonts w:ascii="Cambria" w:hAnsi="Cambria"/>
                <w:color w:val="000000"/>
              </w:rPr>
            </w:pPr>
            <w:r>
              <w:rPr>
                <w:rFonts w:ascii="Cambria" w:hAnsi="Cambria"/>
                <w:i/>
                <w:iCs/>
                <w:color w:val="000000"/>
              </w:rPr>
              <w:t>Ujian Nasional</w:t>
            </w:r>
            <w:r>
              <w:rPr>
                <w:rFonts w:ascii="Cambria" w:hAnsi="Cambria"/>
                <w:color w:val="000000"/>
              </w:rPr>
              <w:t xml:space="preserve"> / National Examination</w:t>
            </w:r>
          </w:p>
        </w:tc>
      </w:tr>
      <w:tr w:rsidR="00F3438D" w14:paraId="311496FE" w14:textId="77777777" w:rsidTr="00C252C1">
        <w:trPr>
          <w:trHeight w:val="300"/>
        </w:trPr>
        <w:tc>
          <w:tcPr>
            <w:tcW w:w="2500" w:type="dxa"/>
            <w:tcBorders>
              <w:top w:val="nil"/>
              <w:left w:val="nil"/>
              <w:bottom w:val="nil"/>
              <w:right w:val="nil"/>
            </w:tcBorders>
            <w:shd w:val="clear" w:color="auto" w:fill="auto"/>
            <w:noWrap/>
            <w:hideMark/>
          </w:tcPr>
          <w:p w14:paraId="1B5D92D9" w14:textId="77777777" w:rsidR="00F3438D" w:rsidRDefault="00F3438D" w:rsidP="004165F0">
            <w:pPr>
              <w:rPr>
                <w:rFonts w:ascii="Cambria" w:hAnsi="Cambria"/>
                <w:b/>
                <w:bCs/>
                <w:color w:val="000000"/>
              </w:rPr>
            </w:pPr>
            <w:r>
              <w:rPr>
                <w:rFonts w:ascii="Cambria" w:hAnsi="Cambria"/>
                <w:b/>
                <w:bCs/>
                <w:color w:val="000000"/>
              </w:rPr>
              <w:t>UNICEF</w:t>
            </w:r>
          </w:p>
        </w:tc>
        <w:tc>
          <w:tcPr>
            <w:tcW w:w="7440" w:type="dxa"/>
            <w:tcBorders>
              <w:top w:val="nil"/>
              <w:left w:val="nil"/>
              <w:bottom w:val="nil"/>
              <w:right w:val="nil"/>
            </w:tcBorders>
            <w:shd w:val="clear" w:color="auto" w:fill="auto"/>
            <w:vAlign w:val="bottom"/>
            <w:hideMark/>
          </w:tcPr>
          <w:p w14:paraId="6FD748E6" w14:textId="77777777" w:rsidR="00F3438D" w:rsidRDefault="00F3438D">
            <w:pPr>
              <w:rPr>
                <w:rFonts w:ascii="Cambria" w:hAnsi="Cambria"/>
                <w:color w:val="000000"/>
              </w:rPr>
            </w:pPr>
            <w:r>
              <w:rPr>
                <w:rFonts w:ascii="Cambria" w:hAnsi="Cambria"/>
                <w:color w:val="000000"/>
              </w:rPr>
              <w:t>United National Children's Fund</w:t>
            </w:r>
          </w:p>
        </w:tc>
      </w:tr>
      <w:bookmarkEnd w:id="1"/>
    </w:tbl>
    <w:p w14:paraId="7DF1566D" w14:textId="77777777" w:rsidR="003D53CE" w:rsidRDefault="003D53CE">
      <w:pPr>
        <w:spacing w:before="200" w:line="264" w:lineRule="auto"/>
        <w:sectPr w:rsidR="003D53CE" w:rsidSect="004320B1">
          <w:pgSz w:w="11906" w:h="16838"/>
          <w:pgMar w:top="1135" w:right="1134" w:bottom="1276" w:left="1134" w:header="709" w:footer="788" w:gutter="0"/>
          <w:pgNumType w:fmt="lowerRoman" w:start="1"/>
          <w:cols w:space="708"/>
          <w:docGrid w:linePitch="360"/>
        </w:sectPr>
      </w:pPr>
    </w:p>
    <w:p w14:paraId="51949622" w14:textId="77777777" w:rsidR="00016249" w:rsidRPr="004845B4" w:rsidRDefault="00016249" w:rsidP="00016249">
      <w:pPr>
        <w:pStyle w:val="Head1"/>
        <w:jc w:val="both"/>
        <w:rPr>
          <w:rFonts w:ascii="Cambria" w:hAnsi="Cambria"/>
        </w:rPr>
      </w:pPr>
      <w:bookmarkStart w:id="2" w:name="_Toc1036383"/>
      <w:bookmarkStart w:id="3" w:name="_Toc1132793"/>
      <w:bookmarkStart w:id="4" w:name="_Toc19006704"/>
      <w:r w:rsidRPr="004845B4">
        <w:rPr>
          <w:rFonts w:ascii="Cambria" w:hAnsi="Cambria"/>
        </w:rPr>
        <w:t>Executive Summary</w:t>
      </w:r>
      <w:bookmarkEnd w:id="2"/>
      <w:bookmarkEnd w:id="3"/>
      <w:bookmarkEnd w:id="4"/>
    </w:p>
    <w:p w14:paraId="4C5079DB" w14:textId="77777777" w:rsidR="00016249" w:rsidRPr="004845B4" w:rsidRDefault="00016249" w:rsidP="00016249">
      <w:pPr>
        <w:pStyle w:val="Head2"/>
      </w:pPr>
      <w:bookmarkStart w:id="5" w:name="_Toc1132794"/>
      <w:bookmarkStart w:id="6" w:name="_Toc19006705"/>
      <w:r w:rsidRPr="004845B4">
        <w:t xml:space="preserve">TASS </w:t>
      </w:r>
      <w:r w:rsidRPr="00C252C1">
        <w:t>Background</w:t>
      </w:r>
      <w:bookmarkEnd w:id="5"/>
      <w:bookmarkEnd w:id="6"/>
    </w:p>
    <w:p w14:paraId="465FA8CA" w14:textId="6B8348F4" w:rsidR="00016249" w:rsidRPr="004845B4" w:rsidRDefault="00016249" w:rsidP="00016249">
      <w:pPr>
        <w:pStyle w:val="Body"/>
      </w:pPr>
      <w:r w:rsidRPr="004845B4">
        <w:t xml:space="preserve">The Technical Assistance for Education System Strengthening (TASS) Program </w:t>
      </w:r>
      <w:r>
        <w:t xml:space="preserve">(2017-2020) </w:t>
      </w:r>
      <w:r w:rsidRPr="004845B4">
        <w:t xml:space="preserve">works at the national level to support Government of Indonesia (GoI) efforts to address two key constraints of the education system – (1) the poor quality of teaching and learning; and (2) persistent disparities that adversely impact learning outcomes. </w:t>
      </w:r>
      <w:r>
        <w:t xml:space="preserve"> This 2018 Annual Progress Report covers the second year of implementation of the program.</w:t>
      </w:r>
    </w:p>
    <w:p w14:paraId="5EDB2C3E" w14:textId="533DD7B9" w:rsidR="00016249" w:rsidRPr="004845B4" w:rsidRDefault="000C04F4" w:rsidP="00016249">
      <w:pPr>
        <w:pStyle w:val="Head2"/>
      </w:pPr>
      <w:bookmarkStart w:id="7" w:name="_Toc1132795"/>
      <w:bookmarkStart w:id="8" w:name="_Toc19006706"/>
      <w:r>
        <w:t>Evolution of the p</w:t>
      </w:r>
      <w:r w:rsidR="00016249" w:rsidRPr="00C252C1">
        <w:t>rogram</w:t>
      </w:r>
      <w:bookmarkEnd w:id="7"/>
      <w:bookmarkEnd w:id="8"/>
    </w:p>
    <w:p w14:paraId="193D1EB7" w14:textId="77777777" w:rsidR="00016249" w:rsidRPr="004845B4" w:rsidRDefault="00016249" w:rsidP="00016249">
      <w:pPr>
        <w:pStyle w:val="Body"/>
      </w:pPr>
      <w:r w:rsidRPr="004845B4">
        <w:t xml:space="preserve">In 2018, TASS implemented 16 </w:t>
      </w:r>
      <w:r w:rsidRPr="00C252C1">
        <w:t>activities</w:t>
      </w:r>
      <w:r w:rsidRPr="004845B4">
        <w:t xml:space="preserve"> with the Government of Indonesia and </w:t>
      </w:r>
      <w:r>
        <w:t>three</w:t>
      </w:r>
      <w:r w:rsidRPr="004845B4">
        <w:t xml:space="preserve"> activities with the Department of Foreign Affairs and Trade. </w:t>
      </w:r>
    </w:p>
    <w:p w14:paraId="58D0244D" w14:textId="77777777" w:rsidR="00016249" w:rsidRPr="004845B4" w:rsidRDefault="00016249" w:rsidP="00016249">
      <w:pPr>
        <w:pStyle w:val="Body"/>
      </w:pPr>
      <w:r w:rsidRPr="004845B4">
        <w:t>In a shift from the ‘demand-led’ approach in the first year of the program, in 2018 the program began to seek and seize opportunities to build on momentum generated through activit</w:t>
      </w:r>
      <w:r>
        <w:t>ies</w:t>
      </w:r>
      <w:r w:rsidRPr="004845B4">
        <w:t xml:space="preserve"> to generate subsequent and more strategic support that further progressed initial indications of an intent for reform. In other ways that TASS built on momentum, once emerging changes in understanding or intent were observed the program proactively brought other, related stakeholders together to construct or widen the support base for reform.  This occurred particularly in support provided to the </w:t>
      </w:r>
      <w:r w:rsidRPr="00CE50CB">
        <w:rPr>
          <w:i/>
        </w:rPr>
        <w:t>Bappenas</w:t>
      </w:r>
      <w:r w:rsidRPr="004845B4">
        <w:t xml:space="preserve"> Education Sector Review and Background Study, and the </w:t>
      </w:r>
      <w:r>
        <w:t xml:space="preserve">Basic and Secondary Education </w:t>
      </w:r>
      <w:r w:rsidRPr="004845B4">
        <w:t>Quality Assurance System review and related follow up.</w:t>
      </w:r>
    </w:p>
    <w:p w14:paraId="440D854D" w14:textId="77777777" w:rsidR="00016249" w:rsidRPr="004845B4" w:rsidRDefault="00016249" w:rsidP="00016249">
      <w:pPr>
        <w:pStyle w:val="Body"/>
        <w:rPr>
          <w:sz w:val="20"/>
          <w:szCs w:val="20"/>
        </w:rPr>
      </w:pPr>
      <w:r w:rsidRPr="004845B4">
        <w:t xml:space="preserve">Expertise, trusted relationships and ongoing policy engagement were critical success factors in 2018.  In reviews </w:t>
      </w:r>
      <w:r w:rsidRPr="00650C97">
        <w:t>undertaken by the monitoring and evaluation team, it was found</w:t>
      </w:r>
      <w:r>
        <w:t>:</w:t>
      </w:r>
    </w:p>
    <w:p w14:paraId="55BFA0F4" w14:textId="77777777" w:rsidR="00016249" w:rsidRPr="00650C97" w:rsidRDefault="00016249" w:rsidP="00016249">
      <w:pPr>
        <w:pStyle w:val="ListParagraph"/>
        <w:numPr>
          <w:ilvl w:val="0"/>
          <w:numId w:val="33"/>
        </w:numPr>
        <w:jc w:val="both"/>
        <w:rPr>
          <w:rFonts w:ascii="Cambria" w:hAnsi="Cambria" w:cs="Arial"/>
        </w:rPr>
      </w:pPr>
      <w:r w:rsidRPr="00650C97">
        <w:rPr>
          <w:rFonts w:ascii="Cambria" w:hAnsi="Cambria" w:cs="Arial"/>
        </w:rPr>
        <w:t>that</w:t>
      </w:r>
      <w:r w:rsidRPr="00650C97">
        <w:rPr>
          <w:rFonts w:ascii="Cambria" w:hAnsi="Cambria" w:cs="Arial"/>
          <w:color w:val="1F497D" w:themeColor="text2"/>
        </w:rPr>
        <w:t xml:space="preserve"> s</w:t>
      </w:r>
      <w:r w:rsidRPr="00650C97">
        <w:rPr>
          <w:rFonts w:ascii="Cambria" w:hAnsi="Cambria" w:cs="Arial"/>
        </w:rPr>
        <w:t xml:space="preserve">hort-term advisors are highly skilled and trusted by their counterparts, with whom most have longstanding relationships. </w:t>
      </w:r>
    </w:p>
    <w:p w14:paraId="338EA382" w14:textId="77777777" w:rsidR="00016249" w:rsidRPr="00650C97" w:rsidRDefault="00016249" w:rsidP="00016249">
      <w:pPr>
        <w:pStyle w:val="ListParagraph"/>
        <w:numPr>
          <w:ilvl w:val="0"/>
          <w:numId w:val="33"/>
        </w:numPr>
        <w:jc w:val="both"/>
        <w:rPr>
          <w:rFonts w:ascii="Cambria" w:hAnsi="Cambria" w:cs="Arial"/>
        </w:rPr>
      </w:pPr>
      <w:r w:rsidRPr="00650C97">
        <w:rPr>
          <w:rFonts w:ascii="Cambria" w:hAnsi="Cambria" w:cs="Arial"/>
        </w:rPr>
        <w:t xml:space="preserve">TASS is supporting counterparts to bridge the policy-implementation divide by helping to reach broader sets of stakeholders and facilitating consideration of implications for policy implementation. </w:t>
      </w:r>
    </w:p>
    <w:p w14:paraId="0223772A" w14:textId="77777777" w:rsidR="00016249" w:rsidRPr="00650C97" w:rsidRDefault="00016249" w:rsidP="00016249">
      <w:pPr>
        <w:pStyle w:val="ListParagraph"/>
        <w:numPr>
          <w:ilvl w:val="0"/>
          <w:numId w:val="33"/>
        </w:numPr>
        <w:jc w:val="both"/>
        <w:rPr>
          <w:rStyle w:val="BodyChar"/>
        </w:rPr>
      </w:pPr>
      <w:r w:rsidRPr="00650C97">
        <w:rPr>
          <w:rFonts w:ascii="Cambria" w:hAnsi="Cambria" w:cs="Arial"/>
        </w:rPr>
        <w:t>T</w:t>
      </w:r>
      <w:r w:rsidRPr="00650C97">
        <w:rPr>
          <w:rStyle w:val="BodyChar"/>
        </w:rPr>
        <w:t xml:space="preserve">ASS is taking actions to ensure that activities are not stand-alone and therefore have little sustainable influence. It is targeting its investments to support broader Government reform and is assessing each activity for its potential to leverage and complement other work. </w:t>
      </w:r>
    </w:p>
    <w:p w14:paraId="259F3DEE" w14:textId="4482B536" w:rsidR="00016249" w:rsidRPr="004845B4" w:rsidRDefault="00016249" w:rsidP="00016249">
      <w:pPr>
        <w:pStyle w:val="Body"/>
      </w:pPr>
      <w:r w:rsidRPr="004845B4">
        <w:t xml:space="preserve">TASS updated its program logic to better incorporate the centrality of Thinking and Working Politically </w:t>
      </w:r>
      <w:r w:rsidRPr="009B7DCE">
        <w:t>and</w:t>
      </w:r>
      <w:r w:rsidRPr="004845B4">
        <w:t xml:space="preserve"> Knowledge to Policy</w:t>
      </w:r>
      <w:r w:rsidR="00E070A8">
        <w:t xml:space="preserve"> and Practice</w:t>
      </w:r>
      <w:r w:rsidRPr="004845B4">
        <w:t xml:space="preserve"> approaches and to better reflect program efforts to support GoI bridge the policy-implementation gap. Monitoring and evaluation, gender and disability inclusion and risk management continued to be a focus for the program, although efforts to pursue gender and disability inclusion in activities was affected by the budget </w:t>
      </w:r>
      <w:r>
        <w:t>adjustment</w:t>
      </w:r>
      <w:r w:rsidRPr="004845B4">
        <w:t xml:space="preserve"> for the 2018</w:t>
      </w:r>
      <w:r w:rsidR="00A66CC2">
        <w:t>-</w:t>
      </w:r>
      <w:r w:rsidRPr="004845B4">
        <w:t>19 financial year.</w:t>
      </w:r>
    </w:p>
    <w:p w14:paraId="6917ABBA" w14:textId="77777777" w:rsidR="00016249" w:rsidRPr="004845B4" w:rsidRDefault="00016249" w:rsidP="00016249">
      <w:pPr>
        <w:pStyle w:val="Body"/>
      </w:pPr>
      <w:r w:rsidRPr="004845B4">
        <w:t>While ongoing policy engagement was initially the responsibility of the Facility Director and the senior of the Activity Managers, this has also become a part of the way the whole core team and core STA team operate. The team have well established trusted relationships with the counterparts from working with them over several years – and in some instances, decades. The inclusion of core and activity</w:t>
      </w:r>
      <w:r>
        <w:t xml:space="preserve"> </w:t>
      </w:r>
      <w:r w:rsidRPr="004845B4">
        <w:t xml:space="preserve">STA on more than one phase of a TASS activity, has allowed knowledge sharing between activities to occur, significantly increasing the value of activities through bridging stakeholder groups and building coalitions of support (for example, within the Strategic Planning Activities, and linking Quality Assurance and </w:t>
      </w:r>
      <w:r>
        <w:t>a</w:t>
      </w:r>
      <w:r w:rsidRPr="004845B4">
        <w:t xml:space="preserve">ccreditation </w:t>
      </w:r>
      <w:r>
        <w:t>s</w:t>
      </w:r>
      <w:r w:rsidRPr="004845B4">
        <w:t xml:space="preserve">ystems). </w:t>
      </w:r>
      <w:r>
        <w:t xml:space="preserve"> Evidence collected by the program demonstrates that </w:t>
      </w:r>
      <w:r w:rsidRPr="004845B4">
        <w:rPr>
          <w:rFonts w:eastAsia="Calibri"/>
          <w:spacing w:val="-2"/>
        </w:rPr>
        <w:t>TA</w:t>
      </w:r>
      <w:r w:rsidRPr="004845B4">
        <w:rPr>
          <w:rFonts w:eastAsia="Calibri"/>
          <w:spacing w:val="-1"/>
        </w:rPr>
        <w:t>S</w:t>
      </w:r>
      <w:r w:rsidRPr="004845B4">
        <w:rPr>
          <w:rFonts w:eastAsia="Calibri"/>
        </w:rPr>
        <w:t>S</w:t>
      </w:r>
      <w:r w:rsidRPr="004845B4">
        <w:rPr>
          <w:rFonts w:eastAsia="Calibri"/>
          <w:spacing w:val="-1"/>
        </w:rPr>
        <w:t xml:space="preserve"> </w:t>
      </w:r>
      <w:r>
        <w:rPr>
          <w:rFonts w:eastAsia="Calibri"/>
          <w:spacing w:val="5"/>
        </w:rPr>
        <w:t>took</w:t>
      </w:r>
      <w:r w:rsidRPr="004845B4">
        <w:rPr>
          <w:rFonts w:eastAsia="Calibri"/>
          <w:spacing w:val="1"/>
        </w:rPr>
        <w:t xml:space="preserve"> </w:t>
      </w:r>
      <w:r w:rsidRPr="004845B4">
        <w:rPr>
          <w:rFonts w:eastAsia="Calibri"/>
        </w:rPr>
        <w:t>a</w:t>
      </w:r>
      <w:r w:rsidRPr="004845B4">
        <w:rPr>
          <w:rFonts w:eastAsia="Calibri"/>
          <w:spacing w:val="2"/>
        </w:rPr>
        <w:t>c</w:t>
      </w:r>
      <w:r w:rsidRPr="004845B4">
        <w:rPr>
          <w:rFonts w:eastAsia="Calibri"/>
          <w:spacing w:val="1"/>
        </w:rPr>
        <w:t>t</w:t>
      </w:r>
      <w:r w:rsidRPr="004845B4">
        <w:rPr>
          <w:rFonts w:eastAsia="Calibri"/>
        </w:rPr>
        <w:t>i</w:t>
      </w:r>
      <w:r w:rsidRPr="004845B4">
        <w:rPr>
          <w:rFonts w:eastAsia="Calibri"/>
          <w:spacing w:val="-2"/>
        </w:rPr>
        <w:t>o</w:t>
      </w:r>
      <w:r w:rsidRPr="004845B4">
        <w:rPr>
          <w:rFonts w:eastAsia="Calibri"/>
          <w:spacing w:val="2"/>
        </w:rPr>
        <w:t>n</w:t>
      </w:r>
      <w:r w:rsidRPr="004845B4">
        <w:rPr>
          <w:rFonts w:eastAsia="Calibri"/>
        </w:rPr>
        <w:t>s</w:t>
      </w:r>
      <w:r w:rsidRPr="004845B4">
        <w:rPr>
          <w:rFonts w:eastAsia="Calibri"/>
          <w:spacing w:val="-1"/>
        </w:rPr>
        <w:t xml:space="preserve"> </w:t>
      </w:r>
      <w:r w:rsidRPr="004845B4">
        <w:rPr>
          <w:rFonts w:eastAsia="Calibri"/>
          <w:spacing w:val="1"/>
        </w:rPr>
        <w:t>t</w:t>
      </w:r>
      <w:r w:rsidRPr="004845B4">
        <w:rPr>
          <w:rFonts w:eastAsia="Calibri"/>
        </w:rPr>
        <w:t>o</w:t>
      </w:r>
      <w:r w:rsidRPr="004845B4">
        <w:rPr>
          <w:rFonts w:eastAsia="Calibri"/>
          <w:spacing w:val="-1"/>
        </w:rPr>
        <w:t xml:space="preserve"> </w:t>
      </w:r>
      <w:r w:rsidRPr="004845B4">
        <w:rPr>
          <w:rFonts w:eastAsia="Calibri"/>
        </w:rPr>
        <w:t>en</w:t>
      </w:r>
      <w:r w:rsidRPr="004845B4">
        <w:rPr>
          <w:rFonts w:eastAsia="Calibri"/>
          <w:spacing w:val="-1"/>
        </w:rPr>
        <w:t>s</w:t>
      </w:r>
      <w:r w:rsidRPr="004845B4">
        <w:rPr>
          <w:rFonts w:eastAsia="Calibri"/>
        </w:rPr>
        <w:t>u</w:t>
      </w:r>
      <w:r w:rsidRPr="004845B4">
        <w:rPr>
          <w:rFonts w:eastAsia="Calibri"/>
          <w:spacing w:val="-2"/>
        </w:rPr>
        <w:t>r</w:t>
      </w:r>
      <w:r w:rsidRPr="004845B4">
        <w:rPr>
          <w:rFonts w:eastAsia="Calibri"/>
        </w:rPr>
        <w:t>e</w:t>
      </w:r>
      <w:r w:rsidRPr="004845B4">
        <w:rPr>
          <w:rFonts w:eastAsia="Calibri"/>
          <w:spacing w:val="1"/>
        </w:rPr>
        <w:t xml:space="preserve"> t</w:t>
      </w:r>
      <w:r w:rsidRPr="004845B4">
        <w:rPr>
          <w:rFonts w:eastAsia="Calibri"/>
        </w:rPr>
        <w:t>h</w:t>
      </w:r>
      <w:r w:rsidRPr="004845B4">
        <w:rPr>
          <w:rFonts w:eastAsia="Calibri"/>
          <w:spacing w:val="-1"/>
        </w:rPr>
        <w:t>a</w:t>
      </w:r>
      <w:r w:rsidRPr="004845B4">
        <w:rPr>
          <w:rFonts w:eastAsia="Calibri"/>
        </w:rPr>
        <w:t>t</w:t>
      </w:r>
      <w:r w:rsidRPr="004845B4">
        <w:rPr>
          <w:rFonts w:eastAsia="Calibri"/>
          <w:spacing w:val="1"/>
        </w:rPr>
        <w:t xml:space="preserve"> </w:t>
      </w:r>
      <w:r w:rsidRPr="004845B4">
        <w:rPr>
          <w:rFonts w:eastAsia="Calibri"/>
        </w:rPr>
        <w:t>a</w:t>
      </w:r>
      <w:r w:rsidRPr="004845B4">
        <w:rPr>
          <w:rFonts w:eastAsia="Calibri"/>
          <w:spacing w:val="2"/>
        </w:rPr>
        <w:t>c</w:t>
      </w:r>
      <w:r w:rsidRPr="004845B4">
        <w:rPr>
          <w:rFonts w:eastAsia="Calibri"/>
          <w:spacing w:val="1"/>
        </w:rPr>
        <w:t>t</w:t>
      </w:r>
      <w:r w:rsidRPr="004845B4">
        <w:rPr>
          <w:rFonts w:eastAsia="Calibri"/>
        </w:rPr>
        <w:t>ivi</w:t>
      </w:r>
      <w:r w:rsidRPr="004845B4">
        <w:rPr>
          <w:rFonts w:eastAsia="Calibri"/>
          <w:spacing w:val="1"/>
        </w:rPr>
        <w:t>t</w:t>
      </w:r>
      <w:r w:rsidRPr="004845B4">
        <w:rPr>
          <w:rFonts w:eastAsia="Calibri"/>
        </w:rPr>
        <w:t>ies</w:t>
      </w:r>
      <w:r w:rsidRPr="004845B4">
        <w:rPr>
          <w:rFonts w:eastAsia="Calibri"/>
          <w:spacing w:val="1"/>
        </w:rPr>
        <w:t xml:space="preserve"> </w:t>
      </w:r>
      <w:r w:rsidRPr="004845B4">
        <w:rPr>
          <w:rFonts w:eastAsia="Calibri"/>
        </w:rPr>
        <w:t>a</w:t>
      </w:r>
      <w:r w:rsidRPr="004845B4">
        <w:rPr>
          <w:rFonts w:eastAsia="Calibri"/>
          <w:spacing w:val="-2"/>
        </w:rPr>
        <w:t>r</w:t>
      </w:r>
      <w:r w:rsidRPr="004845B4">
        <w:rPr>
          <w:rFonts w:eastAsia="Calibri"/>
        </w:rPr>
        <w:t>e</w:t>
      </w:r>
      <w:r w:rsidRPr="004845B4">
        <w:rPr>
          <w:rFonts w:eastAsia="Calibri"/>
          <w:spacing w:val="1"/>
        </w:rPr>
        <w:t xml:space="preserve"> </w:t>
      </w:r>
      <w:r w:rsidRPr="004845B4">
        <w:rPr>
          <w:rFonts w:eastAsia="Calibri"/>
        </w:rPr>
        <w:t>n</w:t>
      </w:r>
      <w:r w:rsidRPr="004845B4">
        <w:rPr>
          <w:rFonts w:eastAsia="Calibri"/>
          <w:spacing w:val="-2"/>
        </w:rPr>
        <w:t>o</w:t>
      </w:r>
      <w:r w:rsidRPr="004845B4">
        <w:rPr>
          <w:rFonts w:eastAsia="Calibri"/>
        </w:rPr>
        <w:t>t</w:t>
      </w:r>
      <w:r w:rsidRPr="004845B4">
        <w:rPr>
          <w:rFonts w:eastAsia="Calibri"/>
          <w:spacing w:val="1"/>
        </w:rPr>
        <w:t xml:space="preserve"> </w:t>
      </w:r>
      <w:r w:rsidRPr="004845B4">
        <w:rPr>
          <w:rFonts w:eastAsia="Calibri"/>
          <w:spacing w:val="-1"/>
        </w:rPr>
        <w:t>s</w:t>
      </w:r>
      <w:r w:rsidRPr="004845B4">
        <w:rPr>
          <w:rFonts w:eastAsia="Calibri"/>
          <w:spacing w:val="1"/>
        </w:rPr>
        <w:t>t</w:t>
      </w:r>
      <w:r w:rsidRPr="004845B4">
        <w:rPr>
          <w:rFonts w:eastAsia="Calibri"/>
        </w:rPr>
        <w:t>a</w:t>
      </w:r>
      <w:r w:rsidRPr="004845B4">
        <w:rPr>
          <w:rFonts w:eastAsia="Calibri"/>
          <w:spacing w:val="-1"/>
        </w:rPr>
        <w:t>n</w:t>
      </w:r>
      <w:r w:rsidRPr="004845B4">
        <w:rPr>
          <w:rFonts w:eastAsia="Calibri"/>
        </w:rPr>
        <w:t>d</w:t>
      </w:r>
      <w:r w:rsidRPr="004845B4">
        <w:rPr>
          <w:rFonts w:eastAsia="Calibri"/>
          <w:spacing w:val="-2"/>
        </w:rPr>
        <w:t>-</w:t>
      </w:r>
      <w:r w:rsidRPr="004845B4">
        <w:rPr>
          <w:rFonts w:eastAsia="Calibri"/>
        </w:rPr>
        <w:t>a</w:t>
      </w:r>
      <w:r w:rsidRPr="004845B4">
        <w:rPr>
          <w:rFonts w:eastAsia="Calibri"/>
          <w:spacing w:val="-1"/>
        </w:rPr>
        <w:t>lo</w:t>
      </w:r>
      <w:r w:rsidRPr="004845B4">
        <w:rPr>
          <w:rFonts w:eastAsia="Calibri"/>
        </w:rPr>
        <w:t>ne a</w:t>
      </w:r>
      <w:r w:rsidRPr="004845B4">
        <w:rPr>
          <w:rFonts w:eastAsia="Calibri"/>
          <w:spacing w:val="-1"/>
        </w:rPr>
        <w:t>n</w:t>
      </w:r>
      <w:r w:rsidRPr="004845B4">
        <w:rPr>
          <w:rFonts w:eastAsia="Calibri"/>
        </w:rPr>
        <w:t xml:space="preserve">d </w:t>
      </w:r>
      <w:r w:rsidRPr="004845B4">
        <w:rPr>
          <w:rFonts w:eastAsia="Calibri"/>
          <w:spacing w:val="1"/>
        </w:rPr>
        <w:t>t</w:t>
      </w:r>
      <w:r w:rsidRPr="004845B4">
        <w:rPr>
          <w:rFonts w:eastAsia="Calibri"/>
        </w:rPr>
        <w:t>he</w:t>
      </w:r>
      <w:r w:rsidRPr="004845B4">
        <w:rPr>
          <w:rFonts w:eastAsia="Calibri"/>
          <w:spacing w:val="-2"/>
        </w:rPr>
        <w:t>r</w:t>
      </w:r>
      <w:r w:rsidRPr="004845B4">
        <w:rPr>
          <w:rFonts w:eastAsia="Calibri"/>
          <w:spacing w:val="5"/>
        </w:rPr>
        <w:t>e</w:t>
      </w:r>
      <w:r w:rsidRPr="004845B4">
        <w:rPr>
          <w:rFonts w:eastAsia="Calibri"/>
          <w:spacing w:val="-2"/>
        </w:rPr>
        <w:t>f</w:t>
      </w:r>
      <w:r w:rsidRPr="004845B4">
        <w:rPr>
          <w:rFonts w:eastAsia="Calibri"/>
          <w:spacing w:val="-1"/>
        </w:rPr>
        <w:t>o</w:t>
      </w:r>
      <w:r w:rsidRPr="004845B4">
        <w:rPr>
          <w:rFonts w:eastAsia="Calibri"/>
          <w:spacing w:val="-2"/>
        </w:rPr>
        <w:t>r</w:t>
      </w:r>
      <w:r w:rsidRPr="004845B4">
        <w:rPr>
          <w:rFonts w:eastAsia="Calibri"/>
        </w:rPr>
        <w:t>e</w:t>
      </w:r>
      <w:r w:rsidRPr="004845B4">
        <w:rPr>
          <w:rFonts w:eastAsia="Calibri"/>
          <w:spacing w:val="1"/>
        </w:rPr>
        <w:t xml:space="preserve"> </w:t>
      </w:r>
      <w:r w:rsidRPr="004845B4">
        <w:rPr>
          <w:rFonts w:eastAsia="Calibri"/>
        </w:rPr>
        <w:t>h</w:t>
      </w:r>
      <w:r w:rsidRPr="004845B4">
        <w:rPr>
          <w:rFonts w:eastAsia="Calibri"/>
          <w:spacing w:val="-1"/>
        </w:rPr>
        <w:t>a</w:t>
      </w:r>
      <w:r w:rsidRPr="004845B4">
        <w:rPr>
          <w:rFonts w:eastAsia="Calibri"/>
        </w:rPr>
        <w:t>ve</w:t>
      </w:r>
      <w:r w:rsidRPr="004845B4">
        <w:rPr>
          <w:rFonts w:eastAsia="Calibri"/>
          <w:spacing w:val="1"/>
        </w:rPr>
        <w:t xml:space="preserve"> </w:t>
      </w:r>
      <w:r w:rsidRPr="004845B4">
        <w:rPr>
          <w:rFonts w:eastAsia="Calibri"/>
        </w:rPr>
        <w:t>l</w:t>
      </w:r>
      <w:r w:rsidRPr="004845B4">
        <w:rPr>
          <w:rFonts w:eastAsia="Calibri"/>
          <w:spacing w:val="-1"/>
        </w:rPr>
        <w:t>i</w:t>
      </w:r>
      <w:r w:rsidRPr="004845B4">
        <w:rPr>
          <w:rFonts w:eastAsia="Calibri"/>
          <w:spacing w:val="1"/>
        </w:rPr>
        <w:t>tt</w:t>
      </w:r>
      <w:r w:rsidRPr="004845B4">
        <w:rPr>
          <w:rFonts w:eastAsia="Calibri"/>
        </w:rPr>
        <w:t xml:space="preserve">le </w:t>
      </w:r>
      <w:r w:rsidRPr="004845B4">
        <w:rPr>
          <w:rFonts w:eastAsia="Calibri"/>
          <w:spacing w:val="-1"/>
        </w:rPr>
        <w:t>s</w:t>
      </w:r>
      <w:r w:rsidRPr="004845B4">
        <w:rPr>
          <w:rFonts w:eastAsia="Calibri"/>
        </w:rPr>
        <w:t>u</w:t>
      </w:r>
      <w:r w:rsidRPr="004845B4">
        <w:rPr>
          <w:rFonts w:eastAsia="Calibri"/>
          <w:spacing w:val="-2"/>
        </w:rPr>
        <w:t>s</w:t>
      </w:r>
      <w:r w:rsidRPr="004845B4">
        <w:rPr>
          <w:rFonts w:eastAsia="Calibri"/>
          <w:spacing w:val="1"/>
        </w:rPr>
        <w:t>t</w:t>
      </w:r>
      <w:r w:rsidRPr="004845B4">
        <w:rPr>
          <w:rFonts w:eastAsia="Calibri"/>
        </w:rPr>
        <w:t>a</w:t>
      </w:r>
      <w:r w:rsidRPr="004845B4">
        <w:rPr>
          <w:rFonts w:eastAsia="Calibri"/>
          <w:spacing w:val="-1"/>
        </w:rPr>
        <w:t>i</w:t>
      </w:r>
      <w:r w:rsidRPr="004845B4">
        <w:rPr>
          <w:rFonts w:eastAsia="Calibri"/>
        </w:rPr>
        <w:t>n</w:t>
      </w:r>
      <w:r w:rsidRPr="004845B4">
        <w:rPr>
          <w:rFonts w:eastAsia="Calibri"/>
          <w:spacing w:val="-1"/>
        </w:rPr>
        <w:t>a</w:t>
      </w:r>
      <w:r w:rsidRPr="004845B4">
        <w:rPr>
          <w:rFonts w:eastAsia="Calibri"/>
        </w:rPr>
        <w:t>b</w:t>
      </w:r>
      <w:r w:rsidRPr="004845B4">
        <w:rPr>
          <w:rFonts w:eastAsia="Calibri"/>
          <w:spacing w:val="-1"/>
        </w:rPr>
        <w:t>l</w:t>
      </w:r>
      <w:r w:rsidRPr="004845B4">
        <w:rPr>
          <w:rFonts w:eastAsia="Calibri"/>
        </w:rPr>
        <w:t>e</w:t>
      </w:r>
      <w:r w:rsidRPr="004845B4">
        <w:rPr>
          <w:rFonts w:eastAsia="Calibri"/>
          <w:spacing w:val="1"/>
        </w:rPr>
        <w:t xml:space="preserve"> </w:t>
      </w:r>
      <w:r w:rsidRPr="004845B4">
        <w:rPr>
          <w:rFonts w:eastAsia="Calibri"/>
        </w:rPr>
        <w:t>i</w:t>
      </w:r>
      <w:r w:rsidRPr="004845B4">
        <w:rPr>
          <w:rFonts w:eastAsia="Calibri"/>
          <w:spacing w:val="-1"/>
        </w:rPr>
        <w:t>n</w:t>
      </w:r>
      <w:r w:rsidRPr="004845B4">
        <w:rPr>
          <w:rFonts w:eastAsia="Calibri"/>
          <w:spacing w:val="-2"/>
        </w:rPr>
        <w:t>f</w:t>
      </w:r>
      <w:r w:rsidRPr="004845B4">
        <w:rPr>
          <w:rFonts w:eastAsia="Calibri"/>
          <w:spacing w:val="4"/>
        </w:rPr>
        <w:t>l</w:t>
      </w:r>
      <w:r w:rsidRPr="004845B4">
        <w:rPr>
          <w:rFonts w:eastAsia="Calibri"/>
        </w:rPr>
        <w:t>uen</w:t>
      </w:r>
      <w:r w:rsidRPr="004845B4">
        <w:rPr>
          <w:rFonts w:eastAsia="Calibri"/>
          <w:spacing w:val="1"/>
        </w:rPr>
        <w:t>c</w:t>
      </w:r>
      <w:r w:rsidRPr="004845B4">
        <w:rPr>
          <w:rFonts w:eastAsia="Calibri"/>
          <w:spacing w:val="3"/>
        </w:rPr>
        <w:t>e</w:t>
      </w:r>
      <w:r w:rsidRPr="004845B4">
        <w:rPr>
          <w:rFonts w:eastAsia="Calibri"/>
        </w:rPr>
        <w:t xml:space="preserve">. It </w:t>
      </w:r>
      <w:r>
        <w:rPr>
          <w:rFonts w:eastAsia="Calibri"/>
        </w:rPr>
        <w:t xml:space="preserve">created strategies to </w:t>
      </w:r>
      <w:r w:rsidRPr="004845B4">
        <w:rPr>
          <w:rFonts w:eastAsia="Calibri"/>
          <w:spacing w:val="1"/>
        </w:rPr>
        <w:t>t</w:t>
      </w:r>
      <w:r w:rsidRPr="004845B4">
        <w:rPr>
          <w:rFonts w:eastAsia="Calibri"/>
        </w:rPr>
        <w:t>a</w:t>
      </w:r>
      <w:r w:rsidRPr="004845B4">
        <w:rPr>
          <w:rFonts w:eastAsia="Calibri"/>
          <w:spacing w:val="-2"/>
        </w:rPr>
        <w:t>r</w:t>
      </w:r>
      <w:r w:rsidRPr="004845B4">
        <w:rPr>
          <w:rFonts w:eastAsia="Calibri"/>
          <w:spacing w:val="1"/>
        </w:rPr>
        <w:t>g</w:t>
      </w:r>
      <w:r w:rsidRPr="004845B4">
        <w:rPr>
          <w:rFonts w:eastAsia="Calibri"/>
        </w:rPr>
        <w:t>e</w:t>
      </w:r>
      <w:r w:rsidRPr="004845B4">
        <w:rPr>
          <w:rFonts w:eastAsia="Calibri"/>
          <w:spacing w:val="2"/>
        </w:rPr>
        <w:t>t</w:t>
      </w:r>
      <w:r>
        <w:rPr>
          <w:rFonts w:eastAsia="Calibri"/>
        </w:rPr>
        <w:t xml:space="preserve"> </w:t>
      </w:r>
      <w:r w:rsidRPr="004845B4">
        <w:rPr>
          <w:rFonts w:eastAsia="Calibri"/>
        </w:rPr>
        <w:t>i</w:t>
      </w:r>
      <w:r w:rsidRPr="004845B4">
        <w:rPr>
          <w:rFonts w:eastAsia="Calibri"/>
          <w:spacing w:val="1"/>
        </w:rPr>
        <w:t>t</w:t>
      </w:r>
      <w:r w:rsidRPr="004845B4">
        <w:rPr>
          <w:rFonts w:eastAsia="Calibri"/>
        </w:rPr>
        <w:t>s</w:t>
      </w:r>
      <w:r w:rsidRPr="004845B4">
        <w:rPr>
          <w:rFonts w:eastAsia="Calibri"/>
          <w:spacing w:val="-1"/>
        </w:rPr>
        <w:t xml:space="preserve"> </w:t>
      </w:r>
      <w:r w:rsidRPr="004845B4">
        <w:rPr>
          <w:rFonts w:eastAsia="Calibri"/>
        </w:rPr>
        <w:t>i</w:t>
      </w:r>
      <w:r w:rsidRPr="004845B4">
        <w:rPr>
          <w:rFonts w:eastAsia="Calibri"/>
          <w:spacing w:val="-1"/>
        </w:rPr>
        <w:t>n</w:t>
      </w:r>
      <w:r w:rsidRPr="004845B4">
        <w:rPr>
          <w:rFonts w:eastAsia="Calibri"/>
        </w:rPr>
        <w:t>v</w:t>
      </w:r>
      <w:r w:rsidRPr="004845B4">
        <w:rPr>
          <w:rFonts w:eastAsia="Calibri"/>
          <w:spacing w:val="1"/>
        </w:rPr>
        <w:t>e</w:t>
      </w:r>
      <w:r w:rsidRPr="004845B4">
        <w:rPr>
          <w:rFonts w:eastAsia="Calibri"/>
          <w:spacing w:val="-1"/>
        </w:rPr>
        <w:t>s</w:t>
      </w:r>
      <w:r w:rsidRPr="004845B4">
        <w:rPr>
          <w:rFonts w:eastAsia="Calibri"/>
          <w:spacing w:val="1"/>
        </w:rPr>
        <w:t>t</w:t>
      </w:r>
      <w:r w:rsidRPr="004845B4">
        <w:rPr>
          <w:rFonts w:eastAsia="Calibri"/>
          <w:spacing w:val="-1"/>
        </w:rPr>
        <w:t>m</w:t>
      </w:r>
      <w:r w:rsidRPr="004845B4">
        <w:rPr>
          <w:rFonts w:eastAsia="Calibri"/>
        </w:rPr>
        <w:t>en</w:t>
      </w:r>
      <w:r w:rsidRPr="004845B4">
        <w:rPr>
          <w:rFonts w:eastAsia="Calibri"/>
          <w:spacing w:val="1"/>
        </w:rPr>
        <w:t>t</w:t>
      </w:r>
      <w:r w:rsidRPr="004845B4">
        <w:rPr>
          <w:rFonts w:eastAsia="Calibri"/>
        </w:rPr>
        <w:t>s</w:t>
      </w:r>
      <w:r w:rsidRPr="004845B4">
        <w:rPr>
          <w:rFonts w:eastAsia="Calibri"/>
          <w:spacing w:val="-1"/>
        </w:rPr>
        <w:t xml:space="preserve"> </w:t>
      </w:r>
      <w:r w:rsidRPr="004845B4">
        <w:rPr>
          <w:rFonts w:eastAsia="Calibri"/>
          <w:spacing w:val="1"/>
        </w:rPr>
        <w:t>t</w:t>
      </w:r>
      <w:r w:rsidRPr="004845B4">
        <w:rPr>
          <w:rFonts w:eastAsia="Calibri"/>
        </w:rPr>
        <w:t>o</w:t>
      </w:r>
      <w:r w:rsidRPr="004845B4">
        <w:rPr>
          <w:rFonts w:eastAsia="Calibri"/>
          <w:spacing w:val="-1"/>
        </w:rPr>
        <w:t xml:space="preserve"> s</w:t>
      </w:r>
      <w:r w:rsidRPr="004845B4">
        <w:rPr>
          <w:rFonts w:eastAsia="Calibri"/>
        </w:rPr>
        <w:t>u</w:t>
      </w:r>
      <w:r w:rsidRPr="004845B4">
        <w:rPr>
          <w:rFonts w:eastAsia="Calibri"/>
          <w:spacing w:val="-1"/>
        </w:rPr>
        <w:t>p</w:t>
      </w:r>
      <w:r w:rsidRPr="004845B4">
        <w:rPr>
          <w:rFonts w:eastAsia="Calibri"/>
        </w:rPr>
        <w:t>p</w:t>
      </w:r>
      <w:r w:rsidRPr="004845B4">
        <w:rPr>
          <w:rFonts w:eastAsia="Calibri"/>
          <w:spacing w:val="-2"/>
        </w:rPr>
        <w:t>or</w:t>
      </w:r>
      <w:r w:rsidRPr="004845B4">
        <w:rPr>
          <w:rFonts w:eastAsia="Calibri"/>
        </w:rPr>
        <w:t>t</w:t>
      </w:r>
      <w:r w:rsidRPr="004845B4">
        <w:rPr>
          <w:rFonts w:eastAsia="Calibri"/>
          <w:spacing w:val="1"/>
        </w:rPr>
        <w:t xml:space="preserve"> </w:t>
      </w:r>
      <w:r w:rsidRPr="004845B4">
        <w:rPr>
          <w:rFonts w:eastAsia="Calibri"/>
        </w:rPr>
        <w:t>b</w:t>
      </w:r>
      <w:r w:rsidRPr="004845B4">
        <w:rPr>
          <w:rFonts w:eastAsia="Calibri"/>
          <w:spacing w:val="-2"/>
        </w:rPr>
        <w:t>r</w:t>
      </w:r>
      <w:r w:rsidRPr="004845B4">
        <w:rPr>
          <w:rFonts w:eastAsia="Calibri"/>
          <w:spacing w:val="-1"/>
        </w:rPr>
        <w:t>o</w:t>
      </w:r>
      <w:r w:rsidRPr="004845B4">
        <w:rPr>
          <w:rFonts w:eastAsia="Calibri"/>
        </w:rPr>
        <w:t>a</w:t>
      </w:r>
      <w:r w:rsidRPr="004845B4">
        <w:rPr>
          <w:rFonts w:eastAsia="Calibri"/>
          <w:spacing w:val="-1"/>
        </w:rPr>
        <w:t>d</w:t>
      </w:r>
      <w:r w:rsidRPr="004845B4">
        <w:rPr>
          <w:rFonts w:eastAsia="Calibri"/>
          <w:spacing w:val="5"/>
        </w:rPr>
        <w:t>e</w:t>
      </w:r>
      <w:r w:rsidRPr="004845B4">
        <w:rPr>
          <w:rFonts w:eastAsia="Calibri"/>
        </w:rPr>
        <w:t>r</w:t>
      </w:r>
      <w:r w:rsidRPr="004845B4">
        <w:rPr>
          <w:rFonts w:eastAsia="Calibri"/>
          <w:spacing w:val="-2"/>
        </w:rPr>
        <w:t xml:space="preserve"> </w:t>
      </w:r>
      <w:r w:rsidRPr="004845B4">
        <w:rPr>
          <w:rFonts w:eastAsia="Calibri"/>
          <w:spacing w:val="1"/>
        </w:rPr>
        <w:t>G</w:t>
      </w:r>
      <w:r w:rsidRPr="004845B4">
        <w:rPr>
          <w:rFonts w:eastAsia="Calibri"/>
          <w:spacing w:val="-1"/>
        </w:rPr>
        <w:t>o</w:t>
      </w:r>
      <w:r w:rsidRPr="004845B4">
        <w:rPr>
          <w:rFonts w:eastAsia="Calibri"/>
        </w:rPr>
        <w:t>v</w:t>
      </w:r>
      <w:r w:rsidRPr="004845B4">
        <w:rPr>
          <w:rFonts w:eastAsia="Calibri"/>
          <w:spacing w:val="1"/>
        </w:rPr>
        <w:t>e</w:t>
      </w:r>
      <w:r w:rsidRPr="004845B4">
        <w:rPr>
          <w:rFonts w:eastAsia="Calibri"/>
          <w:spacing w:val="4"/>
        </w:rPr>
        <w:t>r</w:t>
      </w:r>
      <w:r w:rsidRPr="004845B4">
        <w:rPr>
          <w:rFonts w:eastAsia="Calibri"/>
        </w:rPr>
        <w:t>n</w:t>
      </w:r>
      <w:r w:rsidRPr="004845B4">
        <w:rPr>
          <w:rFonts w:eastAsia="Calibri"/>
          <w:spacing w:val="-1"/>
        </w:rPr>
        <w:t>m</w:t>
      </w:r>
      <w:r w:rsidRPr="004845B4">
        <w:rPr>
          <w:rFonts w:eastAsia="Calibri"/>
        </w:rPr>
        <w:t>ent</w:t>
      </w:r>
      <w:r w:rsidRPr="004845B4">
        <w:rPr>
          <w:rFonts w:eastAsia="Calibri"/>
          <w:spacing w:val="1"/>
        </w:rPr>
        <w:t xml:space="preserve"> </w:t>
      </w:r>
      <w:r w:rsidRPr="004845B4">
        <w:rPr>
          <w:rFonts w:eastAsia="Calibri"/>
          <w:spacing w:val="-1"/>
        </w:rPr>
        <w:t>r</w:t>
      </w:r>
      <w:r w:rsidRPr="004845B4">
        <w:rPr>
          <w:rFonts w:eastAsia="Calibri"/>
        </w:rPr>
        <w:t>e</w:t>
      </w:r>
      <w:r w:rsidRPr="004845B4">
        <w:rPr>
          <w:rFonts w:eastAsia="Calibri"/>
          <w:spacing w:val="-2"/>
        </w:rPr>
        <w:t>f</w:t>
      </w:r>
      <w:r w:rsidRPr="004845B4">
        <w:rPr>
          <w:rFonts w:eastAsia="Calibri"/>
          <w:spacing w:val="4"/>
        </w:rPr>
        <w:t>o</w:t>
      </w:r>
      <w:r w:rsidRPr="004845B4">
        <w:rPr>
          <w:rFonts w:eastAsia="Calibri"/>
          <w:spacing w:val="-2"/>
        </w:rPr>
        <w:t>r</w:t>
      </w:r>
      <w:r w:rsidRPr="004845B4">
        <w:rPr>
          <w:rFonts w:eastAsia="Calibri"/>
        </w:rPr>
        <w:t>m</w:t>
      </w:r>
      <w:r w:rsidRPr="004845B4">
        <w:rPr>
          <w:rFonts w:eastAsia="Calibri"/>
          <w:spacing w:val="-1"/>
        </w:rPr>
        <w:t xml:space="preserve"> </w:t>
      </w:r>
      <w:r w:rsidRPr="004845B4">
        <w:rPr>
          <w:rFonts w:eastAsia="Calibri"/>
        </w:rPr>
        <w:t>and</w:t>
      </w:r>
      <w:r w:rsidRPr="004845B4">
        <w:rPr>
          <w:rFonts w:eastAsia="Calibri"/>
          <w:spacing w:val="-1"/>
        </w:rPr>
        <w:t xml:space="preserve"> </w:t>
      </w:r>
      <w:r>
        <w:rPr>
          <w:rFonts w:eastAsia="Calibri"/>
        </w:rPr>
        <w:t>assessed</w:t>
      </w:r>
      <w:r w:rsidRPr="004845B4">
        <w:rPr>
          <w:rFonts w:eastAsia="Calibri"/>
          <w:spacing w:val="1"/>
        </w:rPr>
        <w:t xml:space="preserve"> e</w:t>
      </w:r>
      <w:r w:rsidRPr="004845B4">
        <w:rPr>
          <w:rFonts w:eastAsia="Calibri"/>
        </w:rPr>
        <w:t>a</w:t>
      </w:r>
      <w:r w:rsidRPr="004845B4">
        <w:rPr>
          <w:rFonts w:eastAsia="Calibri"/>
          <w:spacing w:val="1"/>
        </w:rPr>
        <w:t>c</w:t>
      </w:r>
      <w:r w:rsidRPr="004845B4">
        <w:rPr>
          <w:rFonts w:eastAsia="Calibri"/>
        </w:rPr>
        <w:t>h a</w:t>
      </w:r>
      <w:r w:rsidRPr="004845B4">
        <w:rPr>
          <w:rFonts w:eastAsia="Calibri"/>
          <w:spacing w:val="1"/>
        </w:rPr>
        <w:t>ct</w:t>
      </w:r>
      <w:r w:rsidRPr="004845B4">
        <w:rPr>
          <w:rFonts w:eastAsia="Calibri"/>
        </w:rPr>
        <w:t>ivi</w:t>
      </w:r>
      <w:r w:rsidRPr="004845B4">
        <w:rPr>
          <w:rFonts w:eastAsia="Calibri"/>
          <w:spacing w:val="1"/>
        </w:rPr>
        <w:t>t</w:t>
      </w:r>
      <w:r w:rsidRPr="004845B4">
        <w:rPr>
          <w:rFonts w:eastAsia="Calibri"/>
        </w:rPr>
        <w:t xml:space="preserve">y </w:t>
      </w:r>
      <w:r w:rsidRPr="004845B4">
        <w:rPr>
          <w:rFonts w:eastAsia="Calibri"/>
          <w:spacing w:val="-2"/>
        </w:rPr>
        <w:t>f</w:t>
      </w:r>
      <w:r w:rsidRPr="004845B4">
        <w:rPr>
          <w:rFonts w:eastAsia="Calibri"/>
          <w:spacing w:val="-1"/>
        </w:rPr>
        <w:t>o</w:t>
      </w:r>
      <w:r w:rsidRPr="004845B4">
        <w:rPr>
          <w:rFonts w:eastAsia="Calibri"/>
        </w:rPr>
        <w:t>r</w:t>
      </w:r>
      <w:r w:rsidRPr="004845B4">
        <w:rPr>
          <w:rFonts w:eastAsia="Calibri"/>
          <w:spacing w:val="-2"/>
        </w:rPr>
        <w:t xml:space="preserve"> </w:t>
      </w:r>
      <w:r w:rsidRPr="004845B4">
        <w:rPr>
          <w:rFonts w:eastAsia="Calibri"/>
        </w:rPr>
        <w:t>i</w:t>
      </w:r>
      <w:r w:rsidRPr="004845B4">
        <w:rPr>
          <w:rFonts w:eastAsia="Calibri"/>
          <w:spacing w:val="1"/>
        </w:rPr>
        <w:t>t</w:t>
      </w:r>
      <w:r w:rsidRPr="004845B4">
        <w:rPr>
          <w:rFonts w:eastAsia="Calibri"/>
        </w:rPr>
        <w:t>s</w:t>
      </w:r>
      <w:r w:rsidRPr="004845B4">
        <w:rPr>
          <w:rFonts w:eastAsia="Calibri"/>
          <w:spacing w:val="-1"/>
        </w:rPr>
        <w:t xml:space="preserve"> </w:t>
      </w:r>
      <w:r w:rsidRPr="004845B4">
        <w:rPr>
          <w:rFonts w:eastAsia="Calibri"/>
        </w:rPr>
        <w:t>p</w:t>
      </w:r>
      <w:r w:rsidRPr="004845B4">
        <w:rPr>
          <w:rFonts w:eastAsia="Calibri"/>
          <w:spacing w:val="-1"/>
        </w:rPr>
        <w:t>o</w:t>
      </w:r>
      <w:r w:rsidRPr="004845B4">
        <w:rPr>
          <w:rFonts w:eastAsia="Calibri"/>
          <w:spacing w:val="1"/>
        </w:rPr>
        <w:t>t</w:t>
      </w:r>
      <w:r w:rsidRPr="004845B4">
        <w:rPr>
          <w:rFonts w:eastAsia="Calibri"/>
        </w:rPr>
        <w:t>en</w:t>
      </w:r>
      <w:r w:rsidRPr="004845B4">
        <w:rPr>
          <w:rFonts w:eastAsia="Calibri"/>
          <w:spacing w:val="1"/>
        </w:rPr>
        <w:t>t</w:t>
      </w:r>
      <w:r w:rsidRPr="004845B4">
        <w:rPr>
          <w:rFonts w:eastAsia="Calibri"/>
        </w:rPr>
        <w:t>i</w:t>
      </w:r>
      <w:r w:rsidRPr="004845B4">
        <w:rPr>
          <w:rFonts w:eastAsia="Calibri"/>
          <w:spacing w:val="-1"/>
        </w:rPr>
        <w:t>a</w:t>
      </w:r>
      <w:r w:rsidRPr="004845B4">
        <w:rPr>
          <w:rFonts w:eastAsia="Calibri"/>
        </w:rPr>
        <w:t xml:space="preserve">l </w:t>
      </w:r>
      <w:r w:rsidRPr="004845B4">
        <w:rPr>
          <w:rFonts w:eastAsia="Calibri"/>
          <w:spacing w:val="1"/>
        </w:rPr>
        <w:t>t</w:t>
      </w:r>
      <w:r w:rsidRPr="004845B4">
        <w:rPr>
          <w:rFonts w:eastAsia="Calibri"/>
        </w:rPr>
        <w:t>o</w:t>
      </w:r>
      <w:r w:rsidRPr="004845B4">
        <w:rPr>
          <w:rFonts w:eastAsia="Calibri"/>
          <w:spacing w:val="-1"/>
        </w:rPr>
        <w:t xml:space="preserve"> </w:t>
      </w:r>
      <w:r w:rsidRPr="004845B4">
        <w:rPr>
          <w:rFonts w:eastAsia="Calibri"/>
        </w:rPr>
        <w:t>le</w:t>
      </w:r>
      <w:r w:rsidRPr="004845B4">
        <w:rPr>
          <w:rFonts w:eastAsia="Calibri"/>
          <w:spacing w:val="1"/>
        </w:rPr>
        <w:t>v</w:t>
      </w:r>
      <w:r w:rsidRPr="004845B4">
        <w:rPr>
          <w:rFonts w:eastAsia="Calibri"/>
        </w:rPr>
        <w:t>e</w:t>
      </w:r>
      <w:r w:rsidRPr="004845B4">
        <w:rPr>
          <w:rFonts w:eastAsia="Calibri"/>
          <w:spacing w:val="-1"/>
        </w:rPr>
        <w:t>r</w:t>
      </w:r>
      <w:r w:rsidRPr="004845B4">
        <w:rPr>
          <w:rFonts w:eastAsia="Calibri"/>
        </w:rPr>
        <w:t>a</w:t>
      </w:r>
      <w:r w:rsidRPr="004845B4">
        <w:rPr>
          <w:rFonts w:eastAsia="Calibri"/>
          <w:spacing w:val="1"/>
        </w:rPr>
        <w:t>g</w:t>
      </w:r>
      <w:r w:rsidRPr="004845B4">
        <w:rPr>
          <w:rFonts w:eastAsia="Calibri"/>
        </w:rPr>
        <w:t>e</w:t>
      </w:r>
      <w:r w:rsidRPr="004845B4">
        <w:rPr>
          <w:rFonts w:eastAsia="Calibri"/>
          <w:spacing w:val="1"/>
        </w:rPr>
        <w:t xml:space="preserve"> </w:t>
      </w:r>
      <w:r w:rsidRPr="004845B4">
        <w:rPr>
          <w:rFonts w:eastAsia="Calibri"/>
        </w:rPr>
        <w:t>a</w:t>
      </w:r>
      <w:r w:rsidRPr="004845B4">
        <w:rPr>
          <w:rFonts w:eastAsia="Calibri"/>
          <w:spacing w:val="-1"/>
        </w:rPr>
        <w:t>n</w:t>
      </w:r>
      <w:r w:rsidRPr="004845B4">
        <w:rPr>
          <w:rFonts w:eastAsia="Calibri"/>
        </w:rPr>
        <w:t xml:space="preserve">d </w:t>
      </w:r>
      <w:r w:rsidRPr="004845B4">
        <w:rPr>
          <w:rFonts w:eastAsia="Calibri"/>
          <w:spacing w:val="2"/>
        </w:rPr>
        <w:t>c</w:t>
      </w:r>
      <w:r w:rsidRPr="004845B4">
        <w:rPr>
          <w:rFonts w:eastAsia="Calibri"/>
          <w:spacing w:val="-1"/>
        </w:rPr>
        <w:t>om</w:t>
      </w:r>
      <w:r w:rsidRPr="004845B4">
        <w:rPr>
          <w:rFonts w:eastAsia="Calibri"/>
        </w:rPr>
        <w:t>p</w:t>
      </w:r>
      <w:r w:rsidRPr="004845B4">
        <w:rPr>
          <w:rFonts w:eastAsia="Calibri"/>
          <w:spacing w:val="-1"/>
        </w:rPr>
        <w:t>l</w:t>
      </w:r>
      <w:r w:rsidRPr="004845B4">
        <w:rPr>
          <w:rFonts w:eastAsia="Calibri"/>
        </w:rPr>
        <w:t>ement</w:t>
      </w:r>
      <w:r w:rsidRPr="004845B4">
        <w:rPr>
          <w:rFonts w:eastAsia="Calibri"/>
          <w:spacing w:val="1"/>
        </w:rPr>
        <w:t xml:space="preserve"> </w:t>
      </w:r>
      <w:r w:rsidRPr="004845B4">
        <w:rPr>
          <w:rFonts w:eastAsia="Calibri"/>
          <w:spacing w:val="-1"/>
        </w:rPr>
        <w:t>o</w:t>
      </w:r>
      <w:r w:rsidRPr="004845B4">
        <w:rPr>
          <w:rFonts w:eastAsia="Calibri"/>
          <w:spacing w:val="1"/>
        </w:rPr>
        <w:t>t</w:t>
      </w:r>
      <w:r w:rsidRPr="004845B4">
        <w:rPr>
          <w:rFonts w:eastAsia="Calibri"/>
        </w:rPr>
        <w:t>her</w:t>
      </w:r>
      <w:r w:rsidRPr="004845B4">
        <w:rPr>
          <w:rFonts w:eastAsia="Calibri"/>
          <w:spacing w:val="-2"/>
        </w:rPr>
        <w:t xml:space="preserve"> w</w:t>
      </w:r>
      <w:r w:rsidRPr="004845B4">
        <w:rPr>
          <w:rFonts w:eastAsia="Calibri"/>
          <w:spacing w:val="4"/>
        </w:rPr>
        <w:t>o</w:t>
      </w:r>
      <w:r w:rsidRPr="004845B4">
        <w:rPr>
          <w:rFonts w:eastAsia="Calibri"/>
          <w:spacing w:val="-2"/>
        </w:rPr>
        <w:t>r</w:t>
      </w:r>
      <w:r w:rsidRPr="004845B4">
        <w:rPr>
          <w:rFonts w:eastAsia="Calibri"/>
        </w:rPr>
        <w:t>k.</w:t>
      </w:r>
    </w:p>
    <w:p w14:paraId="4C23EE5D" w14:textId="77777777" w:rsidR="00016249" w:rsidRPr="004845B4" w:rsidRDefault="00016249" w:rsidP="00016249">
      <w:pPr>
        <w:pStyle w:val="Head2"/>
      </w:pPr>
      <w:bookmarkStart w:id="9" w:name="_Toc1132796"/>
      <w:bookmarkStart w:id="10" w:name="_Toc19006707"/>
      <w:r w:rsidRPr="004845B4">
        <w:t xml:space="preserve">Major </w:t>
      </w:r>
      <w:r w:rsidRPr="00C252C1">
        <w:t>Achievements</w:t>
      </w:r>
      <w:bookmarkEnd w:id="9"/>
      <w:bookmarkEnd w:id="10"/>
    </w:p>
    <w:p w14:paraId="197C3FED" w14:textId="4E553B42" w:rsidR="00016249" w:rsidRPr="004845B4" w:rsidRDefault="00016249" w:rsidP="00016249">
      <w:pPr>
        <w:pStyle w:val="Body"/>
        <w:rPr>
          <w:lang w:bidi="en-US"/>
        </w:rPr>
      </w:pPr>
      <w:r w:rsidRPr="004845B4">
        <w:rPr>
          <w:lang w:bidi="en-US"/>
        </w:rPr>
        <w:t>Much of 2018 focused on dialogue associated with identification of key priorities, strategies, indicators and targets for the RPJMN, and on the implementation of a number of ‘leveraging’ activities (such as support to M</w:t>
      </w:r>
      <w:r w:rsidR="00E30E00">
        <w:rPr>
          <w:lang w:bidi="en-US"/>
        </w:rPr>
        <w:t>inistry of Education and Culture (MoEC)</w:t>
      </w:r>
      <w:r w:rsidRPr="004845B4">
        <w:rPr>
          <w:lang w:bidi="en-US"/>
        </w:rPr>
        <w:t xml:space="preserve"> Strategic Planning processes, and the MoEC Organisational Review). Through these activities and surrounding dialogue, TASS observed increasing acknowledgement and traction on the need for national government plans, policies, strategies and programs to shift</w:t>
      </w:r>
      <w:r>
        <w:rPr>
          <w:lang w:bidi="en-US"/>
        </w:rPr>
        <w:t xml:space="preserve"> </w:t>
      </w:r>
      <w:r w:rsidRPr="004845B4">
        <w:rPr>
          <w:lang w:bidi="en-US"/>
        </w:rPr>
        <w:t>foc</w:t>
      </w:r>
      <w:r>
        <w:rPr>
          <w:lang w:bidi="en-US"/>
        </w:rPr>
        <w:t xml:space="preserve">us from compliance to quality. This was supported by a stable sector and continuation of key, reform-minded personnel in senior positions. </w:t>
      </w:r>
      <w:r w:rsidRPr="004845B4">
        <w:rPr>
          <w:lang w:bidi="en-US"/>
        </w:rPr>
        <w:t xml:space="preserve">While this view wasn’t shared uniformly across TASS stakeholders, there is sufficient momentum to start new dialogue in </w:t>
      </w:r>
      <w:r>
        <w:rPr>
          <w:lang w:bidi="en-US"/>
        </w:rPr>
        <w:t>2019</w:t>
      </w:r>
      <w:r w:rsidRPr="004845B4">
        <w:rPr>
          <w:lang w:bidi="en-US"/>
        </w:rPr>
        <w:t xml:space="preserve"> on translating this will into action</w:t>
      </w:r>
      <w:r>
        <w:rPr>
          <w:lang w:bidi="en-US"/>
        </w:rPr>
        <w:t xml:space="preserve"> – both within the Ministry, and with higher and broader stakeholder groups</w:t>
      </w:r>
      <w:r w:rsidRPr="004845B4">
        <w:rPr>
          <w:lang w:bidi="en-US"/>
        </w:rPr>
        <w:t xml:space="preserve">. </w:t>
      </w:r>
    </w:p>
    <w:p w14:paraId="4EAD2E47" w14:textId="1EFEAF41" w:rsidR="00016249" w:rsidRPr="004845B4" w:rsidRDefault="00016249" w:rsidP="00016249">
      <w:pPr>
        <w:pStyle w:val="Body"/>
      </w:pPr>
      <w:r w:rsidRPr="004845B4">
        <w:rPr>
          <w:b/>
        </w:rPr>
        <w:t>The Strategic Planning activities (in collaboration with INOVASI, the World Bank and A</w:t>
      </w:r>
      <w:r w:rsidR="003A18E2">
        <w:rPr>
          <w:b/>
        </w:rPr>
        <w:t>sian Development Bank</w:t>
      </w:r>
      <w:r w:rsidRPr="004845B4">
        <w:rPr>
          <w:b/>
        </w:rPr>
        <w:t>)</w:t>
      </w:r>
      <w:r w:rsidRPr="004845B4">
        <w:t xml:space="preserve"> have been a critical area of engagement and investment, as the RPJMN in particular and the ministries’ </w:t>
      </w:r>
      <w:r w:rsidR="00A66CC2">
        <w:rPr>
          <w:i/>
        </w:rPr>
        <w:t>2018</w:t>
      </w:r>
      <w:r w:rsidRPr="004845B4">
        <w:t xml:space="preserve"> will </w:t>
      </w:r>
      <w:r w:rsidR="00033040">
        <w:t>determine</w:t>
      </w:r>
      <w:r w:rsidRPr="004845B4">
        <w:t xml:space="preserve"> national and sub-national policy focus for the next five years.</w:t>
      </w:r>
      <w:r>
        <w:t xml:space="preserve"> </w:t>
      </w:r>
      <w:r w:rsidRPr="004845B4">
        <w:t xml:space="preserve">TASS </w:t>
      </w:r>
      <w:r w:rsidR="00033040">
        <w:t>in</w:t>
      </w:r>
      <w:r w:rsidRPr="004845B4">
        <w:t xml:space="preserve"> </w:t>
      </w:r>
      <w:r>
        <w:t>its</w:t>
      </w:r>
      <w:r w:rsidRPr="004845B4">
        <w:t xml:space="preserve"> position </w:t>
      </w:r>
      <w:r w:rsidR="00033040">
        <w:t>advising</w:t>
      </w:r>
      <w:r>
        <w:t xml:space="preserve"> all three ministries (</w:t>
      </w:r>
      <w:r w:rsidRPr="00CE50CB">
        <w:rPr>
          <w:i/>
        </w:rPr>
        <w:t>Bappenas</w:t>
      </w:r>
      <w:r>
        <w:t>, MoEC and M</w:t>
      </w:r>
      <w:r w:rsidR="00251A3D">
        <w:t>inistry of Religious Affairs, M</w:t>
      </w:r>
      <w:r>
        <w:t xml:space="preserve">oRA) </w:t>
      </w:r>
      <w:r w:rsidR="00033040">
        <w:t>supported GoI to determine</w:t>
      </w:r>
      <w:r w:rsidRPr="004845B4">
        <w:t xml:space="preserve"> the strategies </w:t>
      </w:r>
      <w:r w:rsidR="00033040">
        <w:t>they</w:t>
      </w:r>
      <w:r w:rsidRPr="004845B4">
        <w:t xml:space="preserve"> could employ to address </w:t>
      </w:r>
      <w:r>
        <w:t>a number</w:t>
      </w:r>
      <w:r w:rsidRPr="004845B4">
        <w:t xml:space="preserve"> of the fundamental constraints to quality teaching and learning, and equitable outcomes for all Indonesian children. </w:t>
      </w:r>
      <w:r>
        <w:t>In relation to this:</w:t>
      </w:r>
    </w:p>
    <w:p w14:paraId="64D5490F" w14:textId="77777777" w:rsidR="00016249" w:rsidRPr="004845B4" w:rsidRDefault="00016249" w:rsidP="00016249">
      <w:pPr>
        <w:pStyle w:val="Bullet1"/>
        <w:jc w:val="both"/>
        <w:rPr>
          <w:rFonts w:eastAsia="Arial"/>
          <w:lang w:val="en-AU"/>
        </w:rPr>
      </w:pPr>
      <w:r w:rsidRPr="00CE50CB">
        <w:rPr>
          <w:rFonts w:eastAsia="Arial"/>
          <w:i/>
        </w:rPr>
        <w:t>Bappenas</w:t>
      </w:r>
      <w:r w:rsidRPr="004845B4">
        <w:rPr>
          <w:rFonts w:eastAsia="Arial"/>
        </w:rPr>
        <w:t xml:space="preserve"> reported that the v</w:t>
      </w:r>
      <w:r w:rsidRPr="004845B4">
        <w:t>arious analyses provided as part of the Education Sector Review</w:t>
      </w:r>
      <w:r w:rsidRPr="004845B4">
        <w:rPr>
          <w:rFonts w:eastAsia="Arial"/>
        </w:rPr>
        <w:t xml:space="preserve"> gave them new perspectives that helped them shape up thematic issues and gain greater depth and understanding of longstanding issues. </w:t>
      </w:r>
    </w:p>
    <w:p w14:paraId="6560BA89" w14:textId="77777777" w:rsidR="00016249" w:rsidRPr="004845B4" w:rsidRDefault="00016249" w:rsidP="00016249">
      <w:pPr>
        <w:pStyle w:val="Bullet1"/>
        <w:jc w:val="both"/>
        <w:rPr>
          <w:rFonts w:eastAsia="Arial"/>
          <w:lang w:val="en-AU"/>
        </w:rPr>
      </w:pPr>
      <w:r w:rsidRPr="00CE50CB">
        <w:rPr>
          <w:rFonts w:eastAsia="Arial"/>
          <w:i/>
        </w:rPr>
        <w:t>Bappenas</w:t>
      </w:r>
      <w:r w:rsidRPr="004845B4">
        <w:rPr>
          <w:rFonts w:eastAsia="Arial"/>
        </w:rPr>
        <w:t xml:space="preserve"> draft RPJMN content indicates that a number of TASS-proposed indicators for measuring quality and equity in educ</w:t>
      </w:r>
      <w:r>
        <w:t>ation will be used in the RPJMN</w:t>
      </w:r>
      <w:r w:rsidRPr="004845B4">
        <w:rPr>
          <w:rFonts w:eastAsia="Arial"/>
        </w:rPr>
        <w:t>. For the first time, Indonesia will have sound indicators of student learning and equity in learning.</w:t>
      </w:r>
    </w:p>
    <w:p w14:paraId="4AE0FDCC" w14:textId="77777777" w:rsidR="00016249" w:rsidRPr="004845B4" w:rsidRDefault="00016249" w:rsidP="00016249">
      <w:pPr>
        <w:pStyle w:val="Bullet1"/>
        <w:jc w:val="both"/>
        <w:rPr>
          <w:lang w:val="en-AU"/>
        </w:rPr>
      </w:pPr>
      <w:r w:rsidRPr="004845B4">
        <w:rPr>
          <w:rFonts w:eastAsia="Arial"/>
        </w:rPr>
        <w:t xml:space="preserve">Information and analyses from the ESR shared with MoEC and MoRA have been used by MoEC and MoRA in their own </w:t>
      </w:r>
      <w:r w:rsidRPr="00CE50CB">
        <w:rPr>
          <w:rFonts w:eastAsia="Arial"/>
          <w:i/>
        </w:rPr>
        <w:t>Renstra</w:t>
      </w:r>
      <w:r w:rsidRPr="004845B4">
        <w:rPr>
          <w:rFonts w:eastAsia="Arial"/>
        </w:rPr>
        <w:t xml:space="preserve"> development</w:t>
      </w:r>
      <w:r>
        <w:t>, creating necessary linkages between the documents</w:t>
      </w:r>
      <w:r w:rsidRPr="004845B4">
        <w:rPr>
          <w:rFonts w:eastAsia="Arial"/>
        </w:rPr>
        <w:t>.</w:t>
      </w:r>
    </w:p>
    <w:p w14:paraId="347567C2" w14:textId="3A591090" w:rsidR="00016249" w:rsidRPr="004845B4" w:rsidRDefault="00016249" w:rsidP="00016249">
      <w:pPr>
        <w:pStyle w:val="Body"/>
        <w:rPr>
          <w:lang w:bidi="en-US"/>
        </w:rPr>
      </w:pPr>
      <w:r w:rsidRPr="004845B4">
        <w:rPr>
          <w:lang w:bidi="en-US"/>
        </w:rPr>
        <w:t xml:space="preserve">Activities focused on a </w:t>
      </w:r>
      <w:r w:rsidR="00CE50CB">
        <w:rPr>
          <w:b/>
          <w:lang w:bidi="en-US"/>
        </w:rPr>
        <w:t>q</w:t>
      </w:r>
      <w:r w:rsidRPr="004845B4">
        <w:rPr>
          <w:b/>
          <w:lang w:bidi="en-US"/>
        </w:rPr>
        <w:t xml:space="preserve">uality education system </w:t>
      </w:r>
      <w:r w:rsidRPr="004845B4">
        <w:rPr>
          <w:lang w:bidi="en-US"/>
        </w:rPr>
        <w:t>le</w:t>
      </w:r>
      <w:r>
        <w:rPr>
          <w:lang w:bidi="en-US"/>
        </w:rPr>
        <w:t>d to technical achievements, and</w:t>
      </w:r>
      <w:r w:rsidRPr="004845B4">
        <w:rPr>
          <w:lang w:bidi="en-US"/>
        </w:rPr>
        <w:t xml:space="preserve"> also multi-stakeholder commitments to improving the system as a whole. </w:t>
      </w:r>
    </w:p>
    <w:p w14:paraId="171A3F7E" w14:textId="2B961FE4" w:rsidR="00016249" w:rsidRPr="00C252C1" w:rsidRDefault="00016249" w:rsidP="00016249">
      <w:pPr>
        <w:pStyle w:val="Bullet1"/>
        <w:jc w:val="both"/>
      </w:pPr>
      <w:r w:rsidRPr="004845B4">
        <w:rPr>
          <w:rFonts w:eastAsia="Arial"/>
        </w:rPr>
        <w:t xml:space="preserve">TASS’ review of the Quality Assurance System led to engagement with multiple actors in the Ministry on the need for revised standards that focus on what really matters for quality teaching and learning, performance-driven school/madrasah accreditation processes, and improved school quality assurance </w:t>
      </w:r>
      <w:r>
        <w:rPr>
          <w:rFonts w:eastAsia="Arial"/>
        </w:rPr>
        <w:t xml:space="preserve">that makes clear schools’ intent to </w:t>
      </w:r>
      <w:r w:rsidRPr="004845B4">
        <w:rPr>
          <w:rFonts w:eastAsia="Arial"/>
        </w:rPr>
        <w:t xml:space="preserve">improve </w:t>
      </w:r>
      <w:r>
        <w:rPr>
          <w:rFonts w:eastAsia="Arial"/>
        </w:rPr>
        <w:t>the quality of teaching and learning</w:t>
      </w:r>
      <w:r w:rsidRPr="004845B4">
        <w:rPr>
          <w:rFonts w:eastAsia="Arial"/>
        </w:rPr>
        <w:t xml:space="preserve">. All three are critical to assure that </w:t>
      </w:r>
      <w:r w:rsidRPr="00C252C1">
        <w:t>Indonesia’s schools progressively work towards and meet measures of quality through locally-developed and driven strategies for improvement.</w:t>
      </w:r>
    </w:p>
    <w:p w14:paraId="65027939" w14:textId="563901C7" w:rsidR="00016249" w:rsidRPr="004845B4" w:rsidRDefault="00016249" w:rsidP="00016249">
      <w:pPr>
        <w:pStyle w:val="Bullet1"/>
        <w:jc w:val="both"/>
        <w:rPr>
          <w:rFonts w:eastAsia="Arial"/>
          <w:lang w:val="en-AU"/>
        </w:rPr>
      </w:pPr>
      <w:r w:rsidRPr="00C252C1">
        <w:t xml:space="preserve">Important dialogue facilitated by TASS and led by MoEC, with </w:t>
      </w:r>
      <w:r w:rsidR="003A18E2">
        <w:t xml:space="preserve">the Head of MoEC’s Research and Development Agency - </w:t>
      </w:r>
      <w:r w:rsidR="003A18E2" w:rsidRPr="003A18E2">
        <w:rPr>
          <w:i/>
        </w:rPr>
        <w:t>Balitbang</w:t>
      </w:r>
      <w:r w:rsidRPr="00C252C1">
        <w:t>), DG Teachers and Education Personnel, the National Education Standards Board (BSNP) and the National School and Madrasah Accreditation</w:t>
      </w:r>
      <w:r w:rsidRPr="004845B4">
        <w:rPr>
          <w:rFonts w:eastAsia="Arial"/>
        </w:rPr>
        <w:t xml:space="preserve"> Board (BAN-S/M) agreed on the need for revised and integrated standards, </w:t>
      </w:r>
      <w:r w:rsidR="00251A3D">
        <w:rPr>
          <w:rFonts w:eastAsia="Arial"/>
        </w:rPr>
        <w:t>Quality Assurance (QA)</w:t>
      </w:r>
      <w:r w:rsidRPr="004845B4">
        <w:rPr>
          <w:rFonts w:eastAsia="Arial"/>
        </w:rPr>
        <w:t xml:space="preserve"> processes and accreditation processes centred on quality rather than compliance.</w:t>
      </w:r>
    </w:p>
    <w:p w14:paraId="2AF15F3E" w14:textId="77777777" w:rsidR="00016249" w:rsidRPr="004845B4" w:rsidRDefault="00016249" w:rsidP="00016249">
      <w:pPr>
        <w:pStyle w:val="Body"/>
        <w:rPr>
          <w:lang w:bidi="en-US"/>
        </w:rPr>
      </w:pPr>
      <w:r w:rsidRPr="004845B4">
        <w:rPr>
          <w:lang w:bidi="en-US"/>
        </w:rPr>
        <w:t xml:space="preserve">The interdependencies of related systems (i.e. in that meaningful accreditation relies on sound annual quality assurance processes; and good quality assurance depends on reliable student assessment data) was a strategic entry point for TASS to support a shift in mind set on the need for change – particularly in MoEC, but to some extent also in </w:t>
      </w:r>
      <w:r w:rsidRPr="00CE50CB">
        <w:rPr>
          <w:i/>
          <w:lang w:bidi="en-US"/>
        </w:rPr>
        <w:t>Bappenas</w:t>
      </w:r>
      <w:r w:rsidRPr="004845B4">
        <w:rPr>
          <w:lang w:bidi="en-US"/>
        </w:rPr>
        <w:t xml:space="preserve"> and MoRA. The return on this investment already achieved in 2018 puts TASS in a strong position to support instrumental change (i.e. new or revised frameworks, guidelines, instruments, or regulation) in 2019.</w:t>
      </w:r>
    </w:p>
    <w:p w14:paraId="08DF97B5" w14:textId="511ECA9F" w:rsidR="00016249" w:rsidRPr="004845B4" w:rsidRDefault="00016249" w:rsidP="00016249">
      <w:pPr>
        <w:pStyle w:val="Body"/>
        <w:rPr>
          <w:lang w:val="en-AU"/>
        </w:rPr>
      </w:pPr>
      <w:r w:rsidRPr="004845B4">
        <w:rPr>
          <w:lang w:val="en-AU"/>
        </w:rPr>
        <w:t xml:space="preserve">Support to MoRA </w:t>
      </w:r>
      <w:r w:rsidRPr="004845B4">
        <w:rPr>
          <w:b/>
        </w:rPr>
        <w:t xml:space="preserve">on piloting system design and content for the Continuous Professional Development program for Madrasah teachers </w:t>
      </w:r>
      <w:r w:rsidRPr="004845B4">
        <w:t>(and recently all teachers of religi</w:t>
      </w:r>
      <w:r>
        <w:t xml:space="preserve">ous </w:t>
      </w:r>
      <w:r w:rsidR="00033040">
        <w:t>education</w:t>
      </w:r>
      <w:r>
        <w:t xml:space="preserve"> under the mandate of MoRA</w:t>
      </w:r>
      <w:r w:rsidRPr="004845B4">
        <w:t>) has also linked to significant opportunity for improving teacher quality. The focus</w:t>
      </w:r>
      <w:r>
        <w:t xml:space="preserve"> from the outset</w:t>
      </w:r>
      <w:r w:rsidRPr="004845B4">
        <w:t xml:space="preserve"> on developing </w:t>
      </w:r>
      <w:r>
        <w:t>a sustainable</w:t>
      </w:r>
      <w:r w:rsidRPr="004845B4">
        <w:t xml:space="preserve"> system to be implemented by MoRA involved contributing </w:t>
      </w:r>
      <w:r>
        <w:t xml:space="preserve">in 2018 </w:t>
      </w:r>
      <w:r w:rsidRPr="004845B4">
        <w:t xml:space="preserve">to the enactment of a Ministerial decree for the </w:t>
      </w:r>
      <w:r>
        <w:t>C</w:t>
      </w:r>
      <w:r w:rsidR="00EA19E9">
        <w:t xml:space="preserve">ontinuous </w:t>
      </w:r>
      <w:r>
        <w:t>P</w:t>
      </w:r>
      <w:r w:rsidR="00EA19E9">
        <w:t xml:space="preserve">rofessional </w:t>
      </w:r>
      <w:r>
        <w:t>D</w:t>
      </w:r>
      <w:r w:rsidR="00EA19E9">
        <w:t>evelopment (CPD)</w:t>
      </w:r>
      <w:r>
        <w:t xml:space="preserve"> </w:t>
      </w:r>
      <w:r w:rsidRPr="004845B4">
        <w:t xml:space="preserve">system, and supporting </w:t>
      </w:r>
      <w:r>
        <w:t>MoRA to develop</w:t>
      </w:r>
      <w:r w:rsidRPr="004845B4">
        <w:t xml:space="preserve"> partnerships with CSOs and private institutions to fund implementation nationally.</w:t>
      </w:r>
      <w:r>
        <w:t xml:space="preserve"> Key achievements include:</w:t>
      </w:r>
    </w:p>
    <w:p w14:paraId="04CBA77D" w14:textId="77777777" w:rsidR="00016249" w:rsidRPr="00C252C1" w:rsidRDefault="00016249" w:rsidP="00016249">
      <w:pPr>
        <w:pStyle w:val="Bullet1"/>
        <w:jc w:val="both"/>
        <w:rPr>
          <w:lang w:bidi="ar-SA"/>
        </w:rPr>
      </w:pPr>
      <w:r w:rsidRPr="004845B4">
        <w:rPr>
          <w:rFonts w:eastAsia="Arial"/>
        </w:rPr>
        <w:t xml:space="preserve">A Ministerial Regulation for teacher CPD signed by the Minister of Religious Affairs in December 2018. This is a significant outcome becomes it provides a legal framework, for the first time, for CPD for all </w:t>
      </w:r>
      <w:r>
        <w:rPr>
          <w:rFonts w:eastAsia="Arial"/>
        </w:rPr>
        <w:t xml:space="preserve">1.3 million </w:t>
      </w:r>
      <w:r w:rsidRPr="004845B4">
        <w:rPr>
          <w:rFonts w:eastAsia="Arial"/>
        </w:rPr>
        <w:t xml:space="preserve">teachers under MoRA’s mandate (i.e. including teachers of Catholic, </w:t>
      </w:r>
      <w:r w:rsidRPr="00C252C1">
        <w:rPr>
          <w:lang w:bidi="ar-SA"/>
        </w:rPr>
        <w:t xml:space="preserve">Protestant, Hindu, Buddhist, and Confucian religions). </w:t>
      </w:r>
    </w:p>
    <w:p w14:paraId="13E52ABF" w14:textId="77777777" w:rsidR="00016249" w:rsidRPr="00C252C1" w:rsidRDefault="00016249" w:rsidP="00016249">
      <w:pPr>
        <w:pStyle w:val="Bullet1"/>
        <w:jc w:val="both"/>
      </w:pPr>
      <w:r w:rsidRPr="00C252C1">
        <w:t>TASS supported accelerated implementation in East Java in all of East Java’s 38 districts and municipalities. Teachers and madrasah foundations contributed an estimated IDR1.5 billion (from BOS and teacher allowances) to co-fund CPD piloting in local teacher working groups</w:t>
      </w:r>
      <w:r>
        <w:t xml:space="preserve"> and over 110,000 teachers participated in teacher performance appraisal</w:t>
      </w:r>
      <w:r w:rsidRPr="00C252C1">
        <w:t xml:space="preserve">. Supporting efforts in all pilot </w:t>
      </w:r>
      <w:r>
        <w:t>p</w:t>
      </w:r>
      <w:r w:rsidRPr="00C252C1">
        <w:t xml:space="preserve">rovinces will continue to be a focus in 2019. </w:t>
      </w:r>
    </w:p>
    <w:p w14:paraId="59A5AE0A" w14:textId="0748387F" w:rsidR="00016249" w:rsidRPr="00C252C1" w:rsidRDefault="00016249" w:rsidP="00016249">
      <w:pPr>
        <w:pStyle w:val="Bullet1"/>
        <w:jc w:val="both"/>
      </w:pPr>
      <w:r w:rsidRPr="00C252C1">
        <w:t xml:space="preserve">TASS inputs and strategic advice have </w:t>
      </w:r>
      <w:r w:rsidR="00033040">
        <w:t xml:space="preserve">supported </w:t>
      </w:r>
      <w:r w:rsidRPr="00C252C1">
        <w:t>MoRA</w:t>
      </w:r>
      <w:r w:rsidR="00033040">
        <w:t xml:space="preserve"> to</w:t>
      </w:r>
      <w:r w:rsidRPr="00C252C1">
        <w:t xml:space="preserve"> develop first-ever partnerships with universities, teacher associations, and </w:t>
      </w:r>
      <w:r>
        <w:t>civil society</w:t>
      </w:r>
      <w:r w:rsidRPr="00C252C1">
        <w:t xml:space="preserve"> organisations that will broaden the base of CPD implementers, making it more likely that CPD will be able to be implemented across Indonesia. </w:t>
      </w:r>
    </w:p>
    <w:p w14:paraId="44128881" w14:textId="3571FFB0" w:rsidR="00016249" w:rsidRPr="004845B4" w:rsidRDefault="00016249" w:rsidP="00016249">
      <w:pPr>
        <w:pStyle w:val="Bullet1"/>
        <w:jc w:val="both"/>
        <w:rPr>
          <w:rFonts w:eastAsia="Arial"/>
        </w:rPr>
      </w:pPr>
      <w:r w:rsidRPr="00C252C1">
        <w:t>Gender and Inclusive Education Advisers were recruited and initial discussions held on planning for G</w:t>
      </w:r>
      <w:r w:rsidR="00E36295">
        <w:t xml:space="preserve">ender </w:t>
      </w:r>
      <w:r w:rsidR="00E30E00">
        <w:t xml:space="preserve">Equality </w:t>
      </w:r>
      <w:r w:rsidR="00E36295">
        <w:t>and Social Inclusion (G</w:t>
      </w:r>
      <w:r w:rsidRPr="00C252C1">
        <w:t>ESI</w:t>
      </w:r>
      <w:r w:rsidR="00E36295">
        <w:t>)</w:t>
      </w:r>
      <w:r w:rsidRPr="00C252C1">
        <w:t xml:space="preserve"> reviews of the CPD system and a selection of modules within the system. GESI advisers</w:t>
      </w:r>
      <w:r w:rsidRPr="004845B4">
        <w:t xml:space="preserve"> will continue to work with the MoRA implementation team in 2019.</w:t>
      </w:r>
    </w:p>
    <w:p w14:paraId="160B92A9" w14:textId="77777777" w:rsidR="00016249" w:rsidRPr="004845B4" w:rsidRDefault="00016249" w:rsidP="00016249">
      <w:pPr>
        <w:pStyle w:val="Body"/>
        <w:rPr>
          <w:lang w:bidi="en-US"/>
        </w:rPr>
      </w:pPr>
      <w:r>
        <w:rPr>
          <w:lang w:bidi="en-US"/>
        </w:rPr>
        <w:t xml:space="preserve">Supporting </w:t>
      </w:r>
      <w:r w:rsidRPr="004845B4">
        <w:rPr>
          <w:lang w:bidi="en-US"/>
        </w:rPr>
        <w:t xml:space="preserve">directorates in MoEC to make evidence-based policy and planning decisions was a highly effective investment in 2018. </w:t>
      </w:r>
    </w:p>
    <w:p w14:paraId="5506100C" w14:textId="4255C79D" w:rsidR="00016249" w:rsidRPr="00C252C1" w:rsidRDefault="00016249" w:rsidP="00016249">
      <w:pPr>
        <w:pStyle w:val="Bullet1"/>
        <w:jc w:val="both"/>
        <w:rPr>
          <w:lang w:bidi="ar-SA"/>
        </w:rPr>
      </w:pPr>
      <w:r w:rsidRPr="004845B4">
        <w:rPr>
          <w:rFonts w:eastAsia="Arial"/>
        </w:rPr>
        <w:t xml:space="preserve">TASS supported a number of analyses that were used by senior decision makers (e.g. Secretary </w:t>
      </w:r>
      <w:r w:rsidRPr="00C252C1">
        <w:rPr>
          <w:lang w:bidi="ar-SA"/>
        </w:rPr>
        <w:t xml:space="preserve">General, DG Teachers and Education Personnel, and Head of </w:t>
      </w:r>
      <w:r w:rsidR="003A18E2">
        <w:rPr>
          <w:lang w:bidi="ar-SA"/>
        </w:rPr>
        <w:t>the Bureau of Planning and International Cooperation - BPKLN</w:t>
      </w:r>
      <w:r w:rsidRPr="00C252C1">
        <w:rPr>
          <w:lang w:bidi="ar-SA"/>
        </w:rPr>
        <w:t xml:space="preserve">) and shared with the Minister and onwards to </w:t>
      </w:r>
      <w:r>
        <w:rPr>
          <w:lang w:bidi="ar-SA"/>
        </w:rPr>
        <w:t>the Ministry of Finance</w:t>
      </w:r>
      <w:r w:rsidRPr="00C252C1">
        <w:rPr>
          <w:lang w:bidi="ar-SA"/>
        </w:rPr>
        <w:t xml:space="preserve">, the Coordinating Ministry for Human Development and Culture, and the Vice President’s office to inform discussions on key policy issues. </w:t>
      </w:r>
    </w:p>
    <w:p w14:paraId="64A26E1B" w14:textId="77777777" w:rsidR="00016249" w:rsidRPr="00C252C1" w:rsidRDefault="00016249" w:rsidP="00016249">
      <w:pPr>
        <w:pStyle w:val="Bullet1"/>
        <w:jc w:val="both"/>
      </w:pPr>
      <w:r w:rsidRPr="00C252C1">
        <w:t>A comparison of key education indicators was undertaken using MoEC and Bureau of Statistics data to show variances and the reasons for them. This informed a joint MoEC-</w:t>
      </w:r>
      <w:r w:rsidRPr="00CE50CB">
        <w:rPr>
          <w:i/>
        </w:rPr>
        <w:t>Bappenas</w:t>
      </w:r>
      <w:r w:rsidRPr="00C252C1">
        <w:t xml:space="preserve"> decision to use Bureau of Statistics data in the upcoming RPJMN and </w:t>
      </w:r>
      <w:r w:rsidRPr="00CE50CB">
        <w:rPr>
          <w:i/>
        </w:rPr>
        <w:t>Renstras</w:t>
      </w:r>
      <w:r w:rsidRPr="00C252C1">
        <w:t>.</w:t>
      </w:r>
    </w:p>
    <w:p w14:paraId="4666E22B" w14:textId="77777777" w:rsidR="00016249" w:rsidRPr="004845B4" w:rsidRDefault="00016249" w:rsidP="00016249">
      <w:pPr>
        <w:pStyle w:val="Bullet1"/>
        <w:jc w:val="both"/>
      </w:pPr>
      <w:r>
        <w:t>Support for p</w:t>
      </w:r>
      <w:r w:rsidRPr="00C252C1">
        <w:t>rojections of SDG 4 target</w:t>
      </w:r>
      <w:r>
        <w:t>s</w:t>
      </w:r>
      <w:r w:rsidRPr="00C252C1">
        <w:t xml:space="preserve"> and milestones, including providing technical advice on feasibility of targets, means of calculation and inclusion in the RPJMN (2020-2024) </w:t>
      </w:r>
      <w:r>
        <w:t>contributed to inclusion and alignment of SDG indicators in national planning documents.</w:t>
      </w:r>
      <w:r w:rsidRPr="004845B4">
        <w:t xml:space="preserve"> </w:t>
      </w:r>
    </w:p>
    <w:p w14:paraId="73FF55B9" w14:textId="77777777" w:rsidR="00016249" w:rsidRPr="004845B4" w:rsidRDefault="00016249" w:rsidP="00016249">
      <w:pPr>
        <w:pStyle w:val="Bullet1"/>
        <w:jc w:val="both"/>
        <w:rPr>
          <w:rFonts w:eastAsia="Times New Roman"/>
          <w:szCs w:val="20"/>
          <w:lang w:val="en-AU"/>
        </w:rPr>
      </w:pPr>
      <w:r w:rsidRPr="004845B4">
        <w:rPr>
          <w:rFonts w:eastAsia="Times New Roman"/>
          <w:szCs w:val="20"/>
          <w:lang w:val="en-AU"/>
        </w:rPr>
        <w:t xml:space="preserve">MoEC invested in recruiting an additional 100,000 teachers and </w:t>
      </w:r>
      <w:r>
        <w:rPr>
          <w:rFonts w:eastAsia="Times New Roman"/>
          <w:szCs w:val="20"/>
          <w:lang w:val="en-AU"/>
        </w:rPr>
        <w:t>decided on the volume of investment (</w:t>
      </w:r>
      <w:r w:rsidRPr="004845B4">
        <w:rPr>
          <w:rFonts w:eastAsia="Times New Roman"/>
          <w:szCs w:val="20"/>
          <w:lang w:val="en-AU"/>
        </w:rPr>
        <w:t>IDR 1.2 trillion</w:t>
      </w:r>
      <w:r>
        <w:rPr>
          <w:rFonts w:eastAsia="Times New Roman"/>
          <w:szCs w:val="20"/>
          <w:lang w:val="en-AU"/>
        </w:rPr>
        <w:t>)</w:t>
      </w:r>
      <w:r w:rsidRPr="004845B4">
        <w:rPr>
          <w:rFonts w:eastAsia="Times New Roman"/>
          <w:szCs w:val="20"/>
          <w:lang w:val="en-AU"/>
        </w:rPr>
        <w:t xml:space="preserve"> in a performance-based BOS as a result of comprehensive data analyses </w:t>
      </w:r>
      <w:r>
        <w:rPr>
          <w:rFonts w:eastAsia="Times New Roman"/>
          <w:szCs w:val="20"/>
          <w:lang w:val="en-AU"/>
        </w:rPr>
        <w:t xml:space="preserve">on the cost of delivering education services </w:t>
      </w:r>
      <w:r w:rsidRPr="004845B4">
        <w:rPr>
          <w:rFonts w:eastAsia="Times New Roman"/>
          <w:szCs w:val="20"/>
          <w:lang w:val="en-AU"/>
        </w:rPr>
        <w:t xml:space="preserve">supported by TASS. </w:t>
      </w:r>
    </w:p>
    <w:p w14:paraId="25888CB3" w14:textId="77777777" w:rsidR="00016249" w:rsidRPr="004845B4" w:rsidRDefault="00016249" w:rsidP="00016249">
      <w:pPr>
        <w:pStyle w:val="Bullet1"/>
        <w:jc w:val="both"/>
        <w:rPr>
          <w:rFonts w:eastAsia="Times New Roman"/>
          <w:szCs w:val="20"/>
          <w:lang w:val="en-AU"/>
        </w:rPr>
      </w:pPr>
      <w:r w:rsidRPr="004845B4">
        <w:rPr>
          <w:rFonts w:eastAsia="Times New Roman"/>
          <w:szCs w:val="20"/>
          <w:lang w:val="en-AU"/>
        </w:rPr>
        <w:t xml:space="preserve">An additional IDR 3.5 billion (MoRA) and IDR 1.5 billion (East Java province) was invested in CPD in </w:t>
      </w:r>
      <w:r w:rsidRPr="00D34578">
        <w:rPr>
          <w:rFonts w:eastAsia="Times New Roman"/>
          <w:szCs w:val="20"/>
          <w:lang w:val="en-AU"/>
        </w:rPr>
        <w:t>MoRA’s 2019 budget –</w:t>
      </w:r>
      <w:r w:rsidRPr="004845B4">
        <w:rPr>
          <w:rFonts w:eastAsia="Times New Roman"/>
          <w:szCs w:val="20"/>
          <w:lang w:val="en-AU"/>
        </w:rPr>
        <w:t xml:space="preserve"> around A$490,000 in total. This include</w:t>
      </w:r>
      <w:r>
        <w:rPr>
          <w:rFonts w:eastAsia="Times New Roman"/>
          <w:szCs w:val="20"/>
          <w:lang w:val="en-AU"/>
        </w:rPr>
        <w:t>d</w:t>
      </w:r>
      <w:r w:rsidRPr="004845B4">
        <w:rPr>
          <w:rFonts w:eastAsia="Times New Roman"/>
          <w:szCs w:val="20"/>
          <w:lang w:val="en-AU"/>
        </w:rPr>
        <w:t xml:space="preserve"> funding for 100 packages of IDR 50 million for KKG/MGMP to implement CPD at local levels.</w:t>
      </w:r>
    </w:p>
    <w:p w14:paraId="028A777D" w14:textId="77777777" w:rsidR="00016249" w:rsidRPr="004845B4" w:rsidRDefault="00016249" w:rsidP="00016249">
      <w:pPr>
        <w:pStyle w:val="Head2"/>
      </w:pPr>
      <w:bookmarkStart w:id="11" w:name="_Toc1132797"/>
      <w:bookmarkStart w:id="12" w:name="_Toc19006708"/>
      <w:r w:rsidRPr="004845B4">
        <w:t xml:space="preserve">Progress on </w:t>
      </w:r>
      <w:r w:rsidRPr="00C252C1">
        <w:t>Outcomes</w:t>
      </w:r>
      <w:bookmarkEnd w:id="11"/>
      <w:bookmarkEnd w:id="12"/>
    </w:p>
    <w:p w14:paraId="15169C54" w14:textId="77777777" w:rsidR="00016249" w:rsidRPr="004845B4" w:rsidRDefault="00016249" w:rsidP="00016249">
      <w:pPr>
        <w:pStyle w:val="Body"/>
      </w:pPr>
      <w:r w:rsidRPr="004845B4">
        <w:t xml:space="preserve">Reviews undertaken in 2018 found that TASS continues to perform better than expected at all levels of the TASS results framework. All activities have had a strong line-of-sight to the end-of-facility outcomes and have focused on contextually-specific problems. Practical, feasible, relevant solutions have been provided. </w:t>
      </w:r>
    </w:p>
    <w:p w14:paraId="1F77F28D" w14:textId="77777777" w:rsidR="00016249" w:rsidRPr="004845B4" w:rsidRDefault="00016249" w:rsidP="00016249">
      <w:pPr>
        <w:pStyle w:val="Body"/>
      </w:pPr>
      <w:r w:rsidRPr="004845B4">
        <w:t xml:space="preserve">A mid-term evaluation conducted in 2018, alongside DFAT’s Strategic Review of INOVASI, TASS and the ID-TEMAN programs, found that TASS was exceeding expectations with regards to results achieved, despite a downwards adjustment of the TASS budget in mid-2018 which saw some activities cancelled or reduced in scope. Keys to this success included sound application of thinking and working politically (TWP) and knowledge to policy (K2P) approaches, the use of advisers with close and trusted relationships with leadership within TASS counterpart ministries, and routine stakeholder mapping to identify the interests of influencers and blockers and how proposed activities would engage with them.  </w:t>
      </w:r>
    </w:p>
    <w:p w14:paraId="57A0BFE5" w14:textId="77777777" w:rsidR="00016249" w:rsidRPr="004845B4" w:rsidRDefault="00016249" w:rsidP="00016249">
      <w:pPr>
        <w:pStyle w:val="Body"/>
      </w:pPr>
      <w:r w:rsidRPr="004845B4">
        <w:t xml:space="preserve">Intermediate outcomes indicate a ‘better than expected’ result for instrumental use and improved policy processes. In other words, there is an excellent level of uptake and use of TASS services and products, which is a necessary precondition for the end-of-facility outcomes. </w:t>
      </w:r>
      <w:r>
        <w:t>It found n</w:t>
      </w:r>
      <w:r w:rsidRPr="004845B4">
        <w:t xml:space="preserve">ot only is TASS investing its limited resources wisely, it is maximising the potential influence of these brief, short-term activities. TASS, therefore, is contributing to the education reforms in Indonesia and in doing so is contributing to the Performance Assessment Framework and the Education Sector Improvement Plan. </w:t>
      </w:r>
    </w:p>
    <w:p w14:paraId="4CEEA8A1" w14:textId="77777777" w:rsidR="00016249" w:rsidRPr="004845B4" w:rsidRDefault="00016249" w:rsidP="00016249">
      <w:pPr>
        <w:pStyle w:val="Body"/>
        <w:rPr>
          <w:sz w:val="20"/>
          <w:szCs w:val="20"/>
        </w:rPr>
      </w:pPr>
      <w:r w:rsidRPr="004845B4">
        <w:t xml:space="preserve">TASS’ contribution to results has been important-to-significant. TASS activities are but one contributing factor to outcomes. An assessment of TASS’ contribution found that it has </w:t>
      </w:r>
      <w:r>
        <w:t>had an important-to-significant</w:t>
      </w:r>
      <w:r w:rsidRPr="004845B4">
        <w:t xml:space="preserve"> contribution, based on: (a) a higher than expected level of outcomes; (b) the important role played by TASS’ technical expertise, relationships and ongoing policy engagement; (c) TASS was able to expand the scale and scope, and improve the quality of outcomes; and (d) TASS leveraged resources and added a degree of </w:t>
      </w:r>
      <w:r w:rsidRPr="0016169C">
        <w:t>value not otherwise possible</w:t>
      </w:r>
      <w:r w:rsidRPr="004845B4">
        <w:rPr>
          <w:sz w:val="20"/>
          <w:szCs w:val="20"/>
        </w:rPr>
        <w:t xml:space="preserve">. </w:t>
      </w:r>
    </w:p>
    <w:p w14:paraId="7AC80CAA" w14:textId="77777777" w:rsidR="00016249" w:rsidRPr="004845B4" w:rsidRDefault="00016249" w:rsidP="00016249">
      <w:pPr>
        <w:pStyle w:val="Body"/>
        <w:rPr>
          <w:color w:val="002060"/>
        </w:rPr>
      </w:pPr>
      <w:r w:rsidRPr="004845B4">
        <w:t>It is indicated in the Annual Monitoring Review that the ‘better-than-expected’ results have occurred from the embedding TWP and K2P into its everyday practices. The TASS core team and STAs have been helpful in supporting counterparts to reach broader sets of stakeholders, including important external stakeholders, and to consider implications for policy implementation beyond what would otherwise have occurred. It is expected this support is helping to bridge the policy-implementation divide.</w:t>
      </w:r>
      <w:r w:rsidRPr="004845B4">
        <w:rPr>
          <w:color w:val="002060"/>
        </w:rPr>
        <w:t xml:space="preserve"> </w:t>
      </w:r>
    </w:p>
    <w:p w14:paraId="679AD057" w14:textId="77777777" w:rsidR="00016249" w:rsidRPr="004845B4" w:rsidRDefault="00016249" w:rsidP="00016249">
      <w:pPr>
        <w:pStyle w:val="Head2"/>
      </w:pPr>
      <w:bookmarkStart w:id="13" w:name="_Toc1132798"/>
      <w:bookmarkStart w:id="14" w:name="_Toc19006709"/>
      <w:r w:rsidRPr="004845B4">
        <w:t>Lesson</w:t>
      </w:r>
      <w:r>
        <w:t>s</w:t>
      </w:r>
      <w:r w:rsidRPr="004845B4">
        <w:t xml:space="preserve"> and </w:t>
      </w:r>
      <w:r w:rsidRPr="00C252C1">
        <w:t>Future</w:t>
      </w:r>
      <w:r w:rsidRPr="004845B4">
        <w:t xml:space="preserve"> Planning</w:t>
      </w:r>
      <w:bookmarkEnd w:id="13"/>
      <w:bookmarkEnd w:id="14"/>
    </w:p>
    <w:p w14:paraId="393779BD" w14:textId="77777777" w:rsidR="00016249" w:rsidRPr="004845B4" w:rsidRDefault="00016249" w:rsidP="00016249">
      <w:pPr>
        <w:pStyle w:val="Body"/>
        <w:spacing w:before="0" w:after="0"/>
        <w:rPr>
          <w:rFonts w:eastAsia="Calibri"/>
          <w:szCs w:val="20"/>
        </w:rPr>
      </w:pPr>
      <w:r w:rsidRPr="004845B4">
        <w:rPr>
          <w:rFonts w:eastAsia="Calibri"/>
          <w:szCs w:val="20"/>
        </w:rPr>
        <w:t>Key lessons were identified in 2018 that will inform programming in 2019. These included:</w:t>
      </w:r>
    </w:p>
    <w:p w14:paraId="2046233A" w14:textId="656EB1EE" w:rsidR="00016249" w:rsidRDefault="00016249" w:rsidP="00016249">
      <w:pPr>
        <w:pStyle w:val="Bullet1"/>
        <w:jc w:val="both"/>
      </w:pPr>
      <w:r>
        <w:t>TASS’ application of Thinking and Working Politically and Knowledge-to-Policy</w:t>
      </w:r>
      <w:r w:rsidR="00E070A8">
        <w:t>-and-Practice</w:t>
      </w:r>
      <w:r>
        <w:t xml:space="preserve"> is making a difference. A mid-term evaluation conducted by TASS in mid-2018 demonstrated that the approaches made an important contribution to achievement of outcomes in the vast majority (86%) of activities evaluated.</w:t>
      </w:r>
      <w:r>
        <w:rPr>
          <w:rStyle w:val="FootnoteReference"/>
        </w:rPr>
        <w:footnoteReference w:id="2"/>
      </w:r>
      <w:r>
        <w:t xml:space="preserve"> The approaches, embedded in TASS activities, are adding value by helping Government achieve outcomes that are more likely to lead to policy implementation because they are targeted towards longer-term reforms, have engaged relevant stakeholders, are timely, and are feasible. </w:t>
      </w:r>
    </w:p>
    <w:p w14:paraId="3DC21A33" w14:textId="77777777" w:rsidR="00016249" w:rsidRDefault="00016249" w:rsidP="00016249">
      <w:pPr>
        <w:pStyle w:val="Bullet1"/>
        <w:jc w:val="both"/>
      </w:pPr>
      <w:r>
        <w:t>T</w:t>
      </w:r>
      <w:r w:rsidRPr="0070558E">
        <w:rPr>
          <w:rFonts w:eastAsia="Calibri"/>
        </w:rPr>
        <w:t xml:space="preserve">ASS activity value-add comes from being responsive and strategic. </w:t>
      </w:r>
      <w:r w:rsidRPr="00502D28">
        <w:t>TASS designed its activities to not only respond to the immediate / articulated needs of the government, but also to support the intended activity to link with the broader policy environment and possibilities for systems-level improvement (e.g. quality assurance linking to standards</w:t>
      </w:r>
      <w:r>
        <w:t xml:space="preserve">). </w:t>
      </w:r>
    </w:p>
    <w:p w14:paraId="5A73DDDC" w14:textId="77777777" w:rsidR="00016249" w:rsidRPr="0070558E" w:rsidRDefault="00016249" w:rsidP="00016249">
      <w:pPr>
        <w:pStyle w:val="Bullet1"/>
        <w:jc w:val="both"/>
        <w:rPr>
          <w:rFonts w:eastAsia="Calibri"/>
        </w:rPr>
      </w:pPr>
      <w:r>
        <w:t xml:space="preserve">As the program shifted in 2018, it became apparent that TASS has a significant value add that was achieved outside of direct activity engagement. Drawing on activity generated findings, advice and recommendations, the core team built on initial momentum on reform to engage with key counterparts on the evidence and help to identify and put in place the necessary ‘next-steps’ to </w:t>
      </w:r>
      <w:r w:rsidRPr="00077BFB">
        <w:rPr>
          <w:lang w:val="en-AU"/>
        </w:rPr>
        <w:t>maximise</w:t>
      </w:r>
      <w:r>
        <w:t xml:space="preserve"> uptake and use.</w:t>
      </w:r>
    </w:p>
    <w:p w14:paraId="2A1317C4" w14:textId="77777777" w:rsidR="00016249" w:rsidRPr="0050235E" w:rsidRDefault="00016249" w:rsidP="00016249">
      <w:pPr>
        <w:pStyle w:val="Bullet1"/>
        <w:jc w:val="both"/>
      </w:pPr>
      <w:r>
        <w:t>While the TASS experience shows that technical assistance can be a cost effective aid modality, a key lesson that eventuated in redesigning activities to fit within the FY 2018-19 budget allocation was that while TASS operates in a cost effective manner, activities still require a critical level of resourcing to ensure that the activity adds value to GoI and DFAT.</w:t>
      </w:r>
    </w:p>
    <w:p w14:paraId="398381AF" w14:textId="77777777" w:rsidR="00016249" w:rsidRDefault="00016249" w:rsidP="00016249">
      <w:pPr>
        <w:pStyle w:val="Bullet1"/>
        <w:jc w:val="both"/>
      </w:pPr>
      <w:r w:rsidRPr="004845B4">
        <w:t xml:space="preserve">That GESI continues to be an ambition of the program, and within the resources available TASS’ efforts are best focused on mainstreaming GESI into activities. </w:t>
      </w:r>
    </w:p>
    <w:p w14:paraId="0512FB5B" w14:textId="77777777" w:rsidR="00016249" w:rsidRPr="004845B4" w:rsidRDefault="00016249" w:rsidP="00016249">
      <w:pPr>
        <w:pStyle w:val="Body"/>
      </w:pPr>
      <w:r>
        <w:t>In 2019, TASS will</w:t>
      </w:r>
      <w:r w:rsidRPr="004845B4">
        <w:t xml:space="preserve"> consolidate its activities </w:t>
      </w:r>
      <w:r>
        <w:t>to invest in areas</w:t>
      </w:r>
      <w:r w:rsidRPr="004845B4">
        <w:t xml:space="preserve"> where there is strong traction, high potential for achievement of </w:t>
      </w:r>
      <w:r>
        <w:t xml:space="preserve">DFAT, </w:t>
      </w:r>
      <w:r w:rsidRPr="004845B4">
        <w:t>TASS</w:t>
      </w:r>
      <w:r w:rsidRPr="004845B4">
        <w:rPr>
          <w:rStyle w:val="FootnoteReference"/>
        </w:rPr>
        <w:footnoteReference w:id="3"/>
      </w:r>
      <w:r w:rsidRPr="004845B4">
        <w:t xml:space="preserve"> and GoI outcomes, and therefore a strong return on investment for DFAT. </w:t>
      </w:r>
    </w:p>
    <w:p w14:paraId="4441914C" w14:textId="77777777" w:rsidR="00016249" w:rsidRPr="004845B4" w:rsidRDefault="00016249" w:rsidP="00016249">
      <w:pPr>
        <w:pStyle w:val="Body"/>
        <w:rPr>
          <w:rFonts w:eastAsia="Calibri" w:cs="Calibri"/>
        </w:rPr>
      </w:pPr>
      <w:r w:rsidRPr="004845B4">
        <w:t xml:space="preserve">Anticipating significant movement of senior officials towards the end of 2019, TASS will ensure each activity in 2019 engages with multiple levels in counterpart agencies (i.e. Echelon 1 down to 3 and 4) to support continuity of activities in the event of a change in senior personnel. In line with TASS’ </w:t>
      </w:r>
      <w:r w:rsidRPr="004845B4">
        <w:rPr>
          <w:i/>
        </w:rPr>
        <w:t>Thinking and Working Politically</w:t>
      </w:r>
      <w:r w:rsidRPr="004845B4">
        <w:t xml:space="preserve"> and </w:t>
      </w:r>
      <w:r w:rsidRPr="004845B4">
        <w:rPr>
          <w:i/>
        </w:rPr>
        <w:t>Knowledge to Policy</w:t>
      </w:r>
      <w:r w:rsidRPr="004845B4">
        <w:t xml:space="preserve"> approaches, early engagement with new officials will be sought to ascertain their interest and engagement in activities under implementation, </w:t>
      </w:r>
      <w:r>
        <w:t>with</w:t>
      </w:r>
      <w:r w:rsidRPr="004845B4">
        <w:t xml:space="preserve"> activities adjusted </w:t>
      </w:r>
      <w:r>
        <w:t>accordingly.</w:t>
      </w:r>
    </w:p>
    <w:p w14:paraId="226FF624" w14:textId="77777777" w:rsidR="00016249" w:rsidRDefault="00016249" w:rsidP="00016249"/>
    <w:p w14:paraId="441643E1" w14:textId="35337ABC" w:rsidR="0032704B" w:rsidRDefault="0032704B" w:rsidP="00580BAA">
      <w:pPr>
        <w:pStyle w:val="Body"/>
        <w:rPr>
          <w:rFonts w:eastAsia="Calibri"/>
          <w:highlight w:val="yellow"/>
        </w:rPr>
      </w:pPr>
      <w:r>
        <w:rPr>
          <w:rFonts w:eastAsia="Calibri"/>
          <w:highlight w:val="yellow"/>
        </w:rPr>
        <w:br w:type="page"/>
      </w:r>
    </w:p>
    <w:p w14:paraId="2536D89F" w14:textId="77777777" w:rsidR="00210752" w:rsidRPr="0002392B" w:rsidRDefault="00210752" w:rsidP="00210752">
      <w:pPr>
        <w:pStyle w:val="Head1"/>
        <w:rPr>
          <w:rFonts w:eastAsia="Calibri"/>
        </w:rPr>
      </w:pPr>
      <w:bookmarkStart w:id="15" w:name="_Toc19006710"/>
      <w:bookmarkStart w:id="16" w:name="_Toc506361096"/>
      <w:bookmarkStart w:id="17" w:name="_Toc513467407"/>
      <w:bookmarkStart w:id="18" w:name="_Toc513467743"/>
      <w:bookmarkStart w:id="19" w:name="_Toc513470367"/>
      <w:bookmarkStart w:id="20" w:name="_Toc534370026"/>
      <w:r w:rsidRPr="0002392B">
        <w:rPr>
          <w:rFonts w:eastAsia="Calibri"/>
        </w:rPr>
        <w:t>Introduction</w:t>
      </w:r>
      <w:bookmarkEnd w:id="15"/>
    </w:p>
    <w:p w14:paraId="442102FC" w14:textId="77777777" w:rsidR="00210752" w:rsidRPr="0002392B" w:rsidRDefault="00210752" w:rsidP="00210752">
      <w:pPr>
        <w:pStyle w:val="Head2"/>
        <w:rPr>
          <w:rFonts w:eastAsia="Calibri"/>
        </w:rPr>
      </w:pPr>
      <w:bookmarkStart w:id="21" w:name="_Toc19006711"/>
      <w:r w:rsidRPr="0002392B">
        <w:rPr>
          <w:rFonts w:eastAsia="Calibri"/>
        </w:rPr>
        <w:t>Program Background</w:t>
      </w:r>
      <w:bookmarkEnd w:id="21"/>
    </w:p>
    <w:p w14:paraId="417C525E" w14:textId="77777777" w:rsidR="00210752" w:rsidRPr="009A6FF4" w:rsidRDefault="00210752" w:rsidP="002A3549">
      <w:pPr>
        <w:pStyle w:val="Body"/>
      </w:pPr>
      <w:r w:rsidRPr="0032704B">
        <w:t xml:space="preserve">The Technical Assistance for Education System Strengthening (TASS) Program works at the national level to </w:t>
      </w:r>
      <w:r w:rsidRPr="009A6FF4">
        <w:t xml:space="preserve">support Government of Indonesia (GoI) efforts to address two key constraints of the education system – (1) the poor quality of teaching and learning; and (2) persistent disparities that adversely impact learning outcomes. </w:t>
      </w:r>
    </w:p>
    <w:p w14:paraId="5970AB4D" w14:textId="77777777" w:rsidR="00210752" w:rsidRPr="009A6FF4" w:rsidRDefault="00210752" w:rsidP="002A3549">
      <w:pPr>
        <w:pStyle w:val="Body"/>
      </w:pPr>
      <w:r w:rsidRPr="009A6FF4">
        <w:t xml:space="preserve">TASS provides strategic short-term technical assistance to three counterpart agencies: the Ministry of Education and Culture (MoEC), the Ministry of Religious Affairs (MoRA), and the National Development Planning Ministry (Bappenas). TASS works with the GoI to identify best-fit activities that can address the quality of teaching and disparities in learning outcomes. Where possible, activities build on each other and form part of GoI existing activities, rather than being stand-alone initiatives. </w:t>
      </w:r>
    </w:p>
    <w:p w14:paraId="526889EE" w14:textId="77777777" w:rsidR="00210752" w:rsidRPr="009A6FF4" w:rsidRDefault="00210752" w:rsidP="002A3549">
      <w:pPr>
        <w:pStyle w:val="Body"/>
      </w:pPr>
      <w:r w:rsidRPr="009A6FF4">
        <w:t>TASS’ main operating modality is to provide responsive, demand driven technical assistance to support key Indonesian decision makers to develop and apply evidence-based policies, systems, processes, and programs that support education sector reform. TASS provides support that is politically smart, contextually informed and supports entrepreneurial counterparts.</w:t>
      </w:r>
    </w:p>
    <w:p w14:paraId="0F804AF4" w14:textId="77777777" w:rsidR="00210752" w:rsidRPr="009A6FF4" w:rsidRDefault="00210752" w:rsidP="002A3549">
      <w:pPr>
        <w:pStyle w:val="Body"/>
      </w:pPr>
      <w:r w:rsidRPr="009A6FF4">
        <w:t>TASS also supports</w:t>
      </w:r>
      <w:r w:rsidR="005C084B">
        <w:t xml:space="preserve"> the Australia Department of Foreign Affairs and Trade</w:t>
      </w:r>
      <w:r w:rsidRPr="009A6FF4">
        <w:t xml:space="preserve"> </w:t>
      </w:r>
      <w:r w:rsidR="005C084B">
        <w:t>(</w:t>
      </w:r>
      <w:r w:rsidRPr="009A6FF4">
        <w:t>DFAT</w:t>
      </w:r>
      <w:r w:rsidR="005C084B">
        <w:t>)</w:t>
      </w:r>
      <w:r w:rsidRPr="009A6FF4">
        <w:t xml:space="preserve"> in the coordination, delivery and oversight of its overall education portfolio in Indonesia. </w:t>
      </w:r>
    </w:p>
    <w:p w14:paraId="47C81DCD" w14:textId="77777777" w:rsidR="00210752" w:rsidRPr="009A6FF4" w:rsidRDefault="00210752" w:rsidP="002A3549">
      <w:pPr>
        <w:pStyle w:val="Body"/>
      </w:pPr>
      <w:r w:rsidRPr="009A6FF4">
        <w:t xml:space="preserve">The major implementing agency is the TASS team, recruited by Palladium International, who work in collaboration with the MoEC, MoRA and </w:t>
      </w:r>
      <w:r w:rsidRPr="00C8034C">
        <w:rPr>
          <w:i/>
        </w:rPr>
        <w:t>Bappenas</w:t>
      </w:r>
      <w:r w:rsidRPr="009A6FF4">
        <w:t>, the in-country government partners.</w:t>
      </w:r>
    </w:p>
    <w:p w14:paraId="632C0CEC" w14:textId="77777777" w:rsidR="00210752" w:rsidRPr="0032704B" w:rsidRDefault="00210752" w:rsidP="002A3549">
      <w:pPr>
        <w:pStyle w:val="Body"/>
      </w:pPr>
      <w:r w:rsidRPr="009A6FF4">
        <w:t xml:space="preserve">This Annual Report for the TASS Facility </w:t>
      </w:r>
      <w:r w:rsidRPr="004F401E">
        <w:t xml:space="preserve">fulfils the requirements of Services Order 70774/29 Clause 8.1VI. The report covers the period 1 January </w:t>
      </w:r>
      <w:r w:rsidR="004F401E" w:rsidRPr="004F401E">
        <w:t xml:space="preserve">2018 </w:t>
      </w:r>
      <w:r w:rsidRPr="004F401E">
        <w:t xml:space="preserve">to 31 </w:t>
      </w:r>
      <w:r w:rsidR="005C084B" w:rsidRPr="004F401E">
        <w:t xml:space="preserve">January </w:t>
      </w:r>
      <w:r w:rsidRPr="004F401E">
        <w:t>201</w:t>
      </w:r>
      <w:r w:rsidR="004F401E" w:rsidRPr="004F401E">
        <w:t>9</w:t>
      </w:r>
      <w:r w:rsidR="004F401E" w:rsidRPr="004F401E">
        <w:rPr>
          <w:rStyle w:val="FootnoteReference"/>
        </w:rPr>
        <w:footnoteReference w:id="4"/>
      </w:r>
      <w:r w:rsidRPr="0032704B">
        <w:t xml:space="preserve"> and provides a summary of:</w:t>
      </w:r>
    </w:p>
    <w:p w14:paraId="2BF8B691" w14:textId="77777777" w:rsidR="00210752" w:rsidRPr="0032704B" w:rsidRDefault="00210752" w:rsidP="00565075">
      <w:pPr>
        <w:pStyle w:val="Bullet1"/>
        <w:jc w:val="both"/>
        <w:rPr>
          <w:rFonts w:eastAsia="Calibri"/>
        </w:rPr>
      </w:pPr>
      <w:r w:rsidRPr="0032704B">
        <w:rPr>
          <w:rFonts w:eastAsia="Calibri"/>
        </w:rPr>
        <w:t xml:space="preserve">Each GoI-driven </w:t>
      </w:r>
      <w:r w:rsidR="00565075">
        <w:rPr>
          <w:rFonts w:eastAsia="Calibri"/>
        </w:rPr>
        <w:t>Activity/</w:t>
      </w:r>
      <w:r w:rsidRPr="0032704B">
        <w:rPr>
          <w:rFonts w:eastAsia="Calibri"/>
        </w:rPr>
        <w:t>Tasking Note, including deliverables, progress, policy implications, highlights and challenges, and future action;</w:t>
      </w:r>
    </w:p>
    <w:p w14:paraId="7F80A3AD" w14:textId="77777777" w:rsidR="00210752" w:rsidRPr="0032704B" w:rsidRDefault="00210752" w:rsidP="00565075">
      <w:pPr>
        <w:pStyle w:val="Bullet1"/>
        <w:jc w:val="both"/>
        <w:rPr>
          <w:rFonts w:eastAsia="Calibri"/>
        </w:rPr>
      </w:pPr>
      <w:r w:rsidRPr="0032704B">
        <w:rPr>
          <w:rFonts w:eastAsia="Calibri"/>
        </w:rPr>
        <w:t xml:space="preserve">Each DFAT-driven </w:t>
      </w:r>
      <w:r w:rsidR="00565075">
        <w:rPr>
          <w:rFonts w:eastAsia="Calibri"/>
        </w:rPr>
        <w:t>Activity/</w:t>
      </w:r>
      <w:r w:rsidRPr="0032704B">
        <w:rPr>
          <w:rFonts w:eastAsia="Calibri"/>
        </w:rPr>
        <w:t xml:space="preserve">Tasking Note, including deliverables, progress, and future action; </w:t>
      </w:r>
    </w:p>
    <w:p w14:paraId="05141D3C" w14:textId="77777777" w:rsidR="00210752" w:rsidRPr="0032704B" w:rsidRDefault="00210752" w:rsidP="00565075">
      <w:pPr>
        <w:pStyle w:val="Bullet1"/>
        <w:jc w:val="both"/>
        <w:rPr>
          <w:rFonts w:eastAsia="Calibri"/>
        </w:rPr>
      </w:pPr>
      <w:r w:rsidRPr="0032704B">
        <w:rPr>
          <w:rFonts w:eastAsia="Calibri"/>
        </w:rPr>
        <w:t>Program performance information;</w:t>
      </w:r>
    </w:p>
    <w:p w14:paraId="6FB24429" w14:textId="77777777" w:rsidR="00210752" w:rsidRPr="0032704B" w:rsidRDefault="00210752" w:rsidP="00565075">
      <w:pPr>
        <w:pStyle w:val="Bullet1"/>
        <w:jc w:val="both"/>
        <w:rPr>
          <w:rFonts w:eastAsia="Calibri"/>
        </w:rPr>
      </w:pPr>
      <w:r w:rsidRPr="0032704B">
        <w:rPr>
          <w:rFonts w:eastAsia="Calibri"/>
        </w:rPr>
        <w:t>TASS management activities;</w:t>
      </w:r>
    </w:p>
    <w:p w14:paraId="5252958D" w14:textId="77777777" w:rsidR="00210752" w:rsidRPr="0032704B" w:rsidRDefault="00210752" w:rsidP="00565075">
      <w:pPr>
        <w:pStyle w:val="Bullet1"/>
        <w:jc w:val="both"/>
        <w:rPr>
          <w:rFonts w:eastAsia="Calibri"/>
        </w:rPr>
      </w:pPr>
      <w:r w:rsidRPr="0032704B">
        <w:rPr>
          <w:rFonts w:eastAsia="Calibri"/>
        </w:rPr>
        <w:t>TASS governance activities; and</w:t>
      </w:r>
    </w:p>
    <w:p w14:paraId="45402979" w14:textId="77777777" w:rsidR="00210752" w:rsidRPr="0032704B" w:rsidRDefault="00210752" w:rsidP="00565075">
      <w:pPr>
        <w:pStyle w:val="Bullet1"/>
        <w:jc w:val="both"/>
        <w:rPr>
          <w:rFonts w:eastAsia="Calibri"/>
        </w:rPr>
      </w:pPr>
      <w:r w:rsidRPr="0032704B">
        <w:rPr>
          <w:rFonts w:eastAsia="Calibri"/>
        </w:rPr>
        <w:t>Key lessons from 2018 and actions for 2019.</w:t>
      </w:r>
    </w:p>
    <w:p w14:paraId="4983EC56" w14:textId="77777777" w:rsidR="00210752" w:rsidRPr="0032704B" w:rsidRDefault="00210752" w:rsidP="002A3549">
      <w:pPr>
        <w:pStyle w:val="Body"/>
      </w:pPr>
      <w:r w:rsidRPr="0032704B">
        <w:t xml:space="preserve">Communications and learning </w:t>
      </w:r>
      <w:r w:rsidRPr="009A6FF4">
        <w:t>events</w:t>
      </w:r>
      <w:r w:rsidRPr="0032704B">
        <w:t xml:space="preserve">, media advocacy and communications activities, where delivered, are reported under related </w:t>
      </w:r>
      <w:r w:rsidR="00565075">
        <w:t>activities/</w:t>
      </w:r>
      <w:r w:rsidRPr="0032704B">
        <w:t xml:space="preserve">tasking notes. </w:t>
      </w:r>
    </w:p>
    <w:p w14:paraId="650E6FDD" w14:textId="77777777" w:rsidR="00210752" w:rsidRPr="009D6A98" w:rsidRDefault="00210752" w:rsidP="00210752">
      <w:pPr>
        <w:pStyle w:val="Head2"/>
        <w:rPr>
          <w:rFonts w:eastAsia="Calibri"/>
        </w:rPr>
      </w:pPr>
      <w:bookmarkStart w:id="22" w:name="_Toc19006712"/>
      <w:r w:rsidRPr="009D6A98">
        <w:rPr>
          <w:rFonts w:eastAsia="Calibri"/>
        </w:rPr>
        <w:t>2018 Program Overview</w:t>
      </w:r>
      <w:bookmarkEnd w:id="22"/>
    </w:p>
    <w:p w14:paraId="75E65C34" w14:textId="4639DC6B" w:rsidR="00210752" w:rsidRPr="00330095" w:rsidRDefault="00210752" w:rsidP="002A3549">
      <w:pPr>
        <w:pStyle w:val="Body"/>
      </w:pPr>
      <w:r w:rsidRPr="00330095">
        <w:t xml:space="preserve">2018 was the second year of the TASS Program, in which the program was able to leverage trust and relationships built in the first year and begin to implement larger and / or more strategic activities to support GoI. </w:t>
      </w:r>
      <w:r w:rsidR="00216D15" w:rsidRPr="00330095">
        <w:t xml:space="preserve">Demand for TASS support was high </w:t>
      </w:r>
      <w:r w:rsidR="00216D15">
        <w:t>with s</w:t>
      </w:r>
      <w:r w:rsidRPr="00330095">
        <w:t xml:space="preserve">ome </w:t>
      </w:r>
      <w:r w:rsidR="00534131">
        <w:t xml:space="preserve">of the </w:t>
      </w:r>
      <w:r w:rsidRPr="00330095">
        <w:t>large scale and strategic activities (</w:t>
      </w:r>
      <w:r w:rsidR="00534131">
        <w:t xml:space="preserve">such as </w:t>
      </w:r>
      <w:r w:rsidR="005C084B">
        <w:t xml:space="preserve">the </w:t>
      </w:r>
      <w:r w:rsidR="00534131" w:rsidRPr="00534131">
        <w:rPr>
          <w:i/>
        </w:rPr>
        <w:t>Bappenas</w:t>
      </w:r>
      <w:r w:rsidR="00534131">
        <w:t xml:space="preserve"> </w:t>
      </w:r>
      <w:r w:rsidR="005C084B">
        <w:t xml:space="preserve">Education Sector Review </w:t>
      </w:r>
      <w:r w:rsidR="00534131">
        <w:t>and</w:t>
      </w:r>
      <w:r w:rsidR="005C084B">
        <w:t xml:space="preserve"> </w:t>
      </w:r>
      <w:r w:rsidR="00534131">
        <w:t xml:space="preserve">Background Study </w:t>
      </w:r>
      <w:r w:rsidR="005C084B">
        <w:t>support</w:t>
      </w:r>
      <w:r w:rsidRPr="00330095">
        <w:t xml:space="preserve">, MoEC/MoRA </w:t>
      </w:r>
      <w:r w:rsidR="005C084B" w:rsidRPr="005C084B">
        <w:t>Strategic Plan support</w:t>
      </w:r>
      <w:r w:rsidR="005C084B">
        <w:t>,</w:t>
      </w:r>
      <w:r w:rsidRPr="00330095">
        <w:t xml:space="preserve"> Review </w:t>
      </w:r>
      <w:r w:rsidR="005C084B">
        <w:t xml:space="preserve">of the QA System </w:t>
      </w:r>
      <w:r w:rsidRPr="00330095">
        <w:t xml:space="preserve">and Data </w:t>
      </w:r>
      <w:r w:rsidR="00534131">
        <w:t xml:space="preserve">Analysis </w:t>
      </w:r>
      <w:r w:rsidRPr="00330095">
        <w:t xml:space="preserve">for Policy and Planning) </w:t>
      </w:r>
      <w:r w:rsidR="00216D15" w:rsidRPr="00330095">
        <w:t>provid</w:t>
      </w:r>
      <w:r w:rsidR="00216D15">
        <w:t>ing a</w:t>
      </w:r>
      <w:r w:rsidR="00216D15" w:rsidRPr="00330095">
        <w:t xml:space="preserve"> </w:t>
      </w:r>
      <w:r w:rsidRPr="00330095">
        <w:t>strong platform for the program to engage strategically with MoEC, MoRA and the broader education sector</w:t>
      </w:r>
      <w:r w:rsidR="004165F0">
        <w:t>. This also supported</w:t>
      </w:r>
      <w:r w:rsidRPr="00330095">
        <w:t xml:space="preserve"> TASS to </w:t>
      </w:r>
      <w:r w:rsidR="00B42A60">
        <w:t>consolidate understanding of counterpart interests and appetite for change</w:t>
      </w:r>
      <w:r w:rsidRPr="00330095">
        <w:t xml:space="preserve"> for the third year of the program. </w:t>
      </w:r>
    </w:p>
    <w:p w14:paraId="39729F40" w14:textId="53078A6F" w:rsidR="00216D15" w:rsidRDefault="00054CF3" w:rsidP="00216D15">
      <w:pPr>
        <w:pStyle w:val="Body"/>
      </w:pPr>
      <w:r>
        <w:t xml:space="preserve">Scope emerged to shape requests for support from what started as an operational or technical focus, to </w:t>
      </w:r>
      <w:r w:rsidR="00216D15">
        <w:t>more strategic support that</w:t>
      </w:r>
      <w:r>
        <w:t xml:space="preserve"> contribute</w:t>
      </w:r>
      <w:r w:rsidR="00216D15">
        <w:t>d</w:t>
      </w:r>
      <w:r>
        <w:t xml:space="preserve"> to systems strengthening</w:t>
      </w:r>
      <w:r w:rsidR="00216D15">
        <w:t xml:space="preserve"> – e.g. high level frameworks, regulation, and </w:t>
      </w:r>
      <w:r w:rsidR="00216D15" w:rsidRPr="009A6FF4">
        <w:t>standards</w:t>
      </w:r>
      <w:r w:rsidR="00216D15">
        <w:t>. A key achievement was the enactment of a MoRA Ministerial Regulation for Teacher Professional Development in MoRA, which for the first time provides for an organised and consistent system for teacher quality improvement across MoRA.</w:t>
      </w:r>
    </w:p>
    <w:p w14:paraId="50B27838" w14:textId="7F1AF629" w:rsidR="00BA2997" w:rsidRPr="009A6FF4" w:rsidRDefault="006F2DC1" w:rsidP="002A3549">
      <w:pPr>
        <w:pStyle w:val="Body"/>
      </w:pPr>
      <w:r>
        <w:t xml:space="preserve">In many </w:t>
      </w:r>
      <w:r w:rsidR="00B27358">
        <w:t xml:space="preserve">instances </w:t>
      </w:r>
      <w:r>
        <w:t>the initial activity and its output</w:t>
      </w:r>
      <w:r w:rsidR="00B27358">
        <w:t>(s)</w:t>
      </w:r>
      <w:r w:rsidR="00210752" w:rsidRPr="00330095">
        <w:t xml:space="preserve"> </w:t>
      </w:r>
      <w:r>
        <w:t xml:space="preserve">became the starting point for </w:t>
      </w:r>
      <w:r w:rsidR="00534131">
        <w:t>this more</w:t>
      </w:r>
      <w:r>
        <w:t xml:space="preserve"> strategic dialogue on systemic reforms</w:t>
      </w:r>
      <w:r w:rsidR="00B27358">
        <w:t xml:space="preserve">, </w:t>
      </w:r>
      <w:r w:rsidR="00B27358" w:rsidRPr="00330095">
        <w:t xml:space="preserve">such as </w:t>
      </w:r>
      <w:r w:rsidR="00B27358">
        <w:t xml:space="preserve">in the case of </w:t>
      </w:r>
      <w:r w:rsidR="00B27358" w:rsidRPr="00330095">
        <w:t xml:space="preserve">the </w:t>
      </w:r>
      <w:r w:rsidR="00B27358">
        <w:t xml:space="preserve">MoEC </w:t>
      </w:r>
      <w:r w:rsidR="00B27358" w:rsidRPr="00330095">
        <w:t>Q</w:t>
      </w:r>
      <w:r w:rsidR="00B27358">
        <w:t xml:space="preserve">uality </w:t>
      </w:r>
      <w:r w:rsidR="00B27358" w:rsidRPr="00330095">
        <w:t>A</w:t>
      </w:r>
      <w:r w:rsidR="00B27358">
        <w:t>ssurance</w:t>
      </w:r>
      <w:r w:rsidR="00B27358" w:rsidRPr="00330095">
        <w:t xml:space="preserve"> review and </w:t>
      </w:r>
      <w:r w:rsidR="00C8034C">
        <w:t>MoEC Organisational Review</w:t>
      </w:r>
      <w:r>
        <w:t xml:space="preserve">. In the QA review for example, MoEC’s request to focus on effectiveness of instruments and business processes evolved into dialogue about the need to reform the national education standards, and integrate QA and school/madrasah </w:t>
      </w:r>
      <w:r w:rsidRPr="009A6FF4">
        <w:t xml:space="preserve">accreditation systems. </w:t>
      </w:r>
      <w:r w:rsidR="00B27358">
        <w:t xml:space="preserve">As a result of technical dialogue facilitated by TASS, </w:t>
      </w:r>
      <w:r w:rsidR="00D36E6D" w:rsidRPr="009A6FF4">
        <w:t>MoEC, the BSNP and the National School and Madrasah Accreditation Board (BAN-S/M)</w:t>
      </w:r>
      <w:r w:rsidR="00534131">
        <w:t xml:space="preserve"> came together and</w:t>
      </w:r>
      <w:r w:rsidR="00D36E6D" w:rsidRPr="009A6FF4">
        <w:t xml:space="preserve"> agreed on both the need for </w:t>
      </w:r>
      <w:r w:rsidR="00C252C1" w:rsidRPr="00EB282A">
        <w:rPr>
          <w:noProof/>
          <w:lang w:val="en-AU" w:eastAsia="en-AU"/>
        </w:rPr>
        <mc:AlternateContent>
          <mc:Choice Requires="wps">
            <w:drawing>
              <wp:anchor distT="0" distB="0" distL="114300" distR="114300" simplePos="0" relativeHeight="251647488" behindDoc="0" locked="0" layoutInCell="1" allowOverlap="1" wp14:anchorId="47BA1788" wp14:editId="5E1AAE6E">
                <wp:simplePos x="0" y="0"/>
                <wp:positionH relativeFrom="margin">
                  <wp:posOffset>4029710</wp:posOffset>
                </wp:positionH>
                <wp:positionV relativeFrom="paragraph">
                  <wp:posOffset>-3676015</wp:posOffset>
                </wp:positionV>
                <wp:extent cx="2031365" cy="6911340"/>
                <wp:effectExtent l="0" t="0" r="26035" b="22860"/>
                <wp:wrapSquare wrapText="bothSides"/>
                <wp:docPr id="13" name="TextBox 11">
                  <a:extLst xmlns:a="http://schemas.openxmlformats.org/drawingml/2006/main">
                    <a:ext uri="{FF2B5EF4-FFF2-40B4-BE49-F238E27FC236}">
                      <a16:creationId xmlns:a16="http://schemas.microsoft.com/office/drawing/2014/main" id="{1E0CA1C7-B9CF-44A7-A1D3-0A0795CBB5D0}"/>
                    </a:ext>
                  </a:extLst>
                </wp:docPr>
                <wp:cNvGraphicFramePr/>
                <a:graphic xmlns:a="http://schemas.openxmlformats.org/drawingml/2006/main">
                  <a:graphicData uri="http://schemas.microsoft.com/office/word/2010/wordprocessingShape">
                    <wps:wsp>
                      <wps:cNvSpPr txBox="1"/>
                      <wps:spPr>
                        <a:xfrm>
                          <a:off x="0" y="0"/>
                          <a:ext cx="2031365" cy="6911340"/>
                        </a:xfrm>
                        <a:prstGeom prst="rect">
                          <a:avLst/>
                        </a:prstGeom>
                        <a:noFill/>
                        <a:ln w="12700">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0FDE21CD" w14:textId="7C31E165" w:rsidR="00033040" w:rsidRPr="000D5CC7" w:rsidRDefault="00033040" w:rsidP="00A515C6">
                            <w:pPr>
                              <w:pStyle w:val="NormalWeb"/>
                              <w:spacing w:after="0"/>
                              <w:jc w:val="center"/>
                              <w:rPr>
                                <w:rFonts w:ascii="Cambria" w:hAnsi="Cambria" w:cstheme="minorBidi"/>
                                <w:b/>
                                <w:kern w:val="24"/>
                                <w:sz w:val="20"/>
                                <w:szCs w:val="20"/>
                              </w:rPr>
                            </w:pPr>
                            <w:r w:rsidRPr="000D5CC7">
                              <w:rPr>
                                <w:rFonts w:ascii="Cambria" w:hAnsi="Cambria" w:cstheme="minorBidi"/>
                                <w:b/>
                                <w:kern w:val="24"/>
                                <w:sz w:val="20"/>
                                <w:szCs w:val="20"/>
                              </w:rPr>
                              <w:t>Are we making the right investments?</w:t>
                            </w:r>
                          </w:p>
                          <w:p w14:paraId="42D62A28" w14:textId="6A483B7A" w:rsidR="00033040" w:rsidRPr="00C252C1" w:rsidRDefault="00033040" w:rsidP="00AF341D">
                            <w:pPr>
                              <w:pStyle w:val="Contenttext"/>
                              <w:rPr>
                                <w:rFonts w:asciiTheme="minorHAnsi" w:hAnsiTheme="minorHAnsi" w:cstheme="minorHAnsi"/>
                                <w:i/>
                                <w:sz w:val="20"/>
                                <w:szCs w:val="20"/>
                              </w:rPr>
                            </w:pPr>
                            <w:r w:rsidRPr="00C252C1">
                              <w:rPr>
                                <w:rFonts w:asciiTheme="minorHAnsi" w:hAnsiTheme="minorHAnsi" w:cstheme="minorHAnsi"/>
                                <w:i/>
                                <w:sz w:val="20"/>
                                <w:szCs w:val="20"/>
                              </w:rPr>
                              <w:t>TASS’ review of the Quality Assurance System led to strategic engagement with multiple actors in the Ministry on the need for revised standards that focus on what really matters for quality teaching and learning, performance-driven school/madrasah accreditation processes, and an improved school quality assurance system with express intent to improve school quality. All three are critical to assure that Indonesia’s schools progressively work towards and meet measures of quality through locally-developed and driven strategies for improvement.</w:t>
                            </w:r>
                          </w:p>
                          <w:p w14:paraId="57C370AA" w14:textId="7140555D" w:rsidR="00033040" w:rsidRPr="00C252C1" w:rsidRDefault="00033040" w:rsidP="006A49C8">
                            <w:pPr>
                              <w:pStyle w:val="NormalWeb"/>
                              <w:spacing w:before="0" w:beforeAutospacing="0" w:after="0" w:afterAutospacing="0"/>
                              <w:rPr>
                                <w:rFonts w:asciiTheme="minorHAnsi" w:hAnsiTheme="minorHAnsi" w:cstheme="minorHAnsi"/>
                                <w:i/>
                                <w:sz w:val="20"/>
                                <w:szCs w:val="20"/>
                              </w:rPr>
                            </w:pPr>
                            <w:r w:rsidRPr="00C252C1">
                              <w:rPr>
                                <w:rFonts w:asciiTheme="minorHAnsi" w:hAnsiTheme="minorHAnsi" w:cstheme="minorHAnsi"/>
                                <w:i/>
                                <w:kern w:val="24"/>
                                <w:sz w:val="20"/>
                                <w:szCs w:val="20"/>
                              </w:rPr>
                              <w:t xml:space="preserve">The interdependencies of </w:t>
                            </w:r>
                            <w:r>
                              <w:rPr>
                                <w:rFonts w:asciiTheme="minorHAnsi" w:hAnsiTheme="minorHAnsi" w:cstheme="minorHAnsi"/>
                                <w:i/>
                                <w:kern w:val="24"/>
                                <w:sz w:val="20"/>
                                <w:szCs w:val="20"/>
                              </w:rPr>
                              <w:t>related</w:t>
                            </w:r>
                            <w:r w:rsidRPr="00C252C1">
                              <w:rPr>
                                <w:rFonts w:asciiTheme="minorHAnsi" w:hAnsiTheme="minorHAnsi" w:cstheme="minorHAnsi"/>
                                <w:i/>
                                <w:kern w:val="24"/>
                                <w:sz w:val="20"/>
                                <w:szCs w:val="20"/>
                              </w:rPr>
                              <w:t xml:space="preserve"> systems (i.e. in that </w:t>
                            </w:r>
                            <w:r w:rsidRPr="00A668AD">
                              <w:rPr>
                                <w:rFonts w:asciiTheme="minorHAnsi" w:hAnsiTheme="minorHAnsi" w:cstheme="minorHAnsi"/>
                                <w:i/>
                                <w:kern w:val="24"/>
                                <w:sz w:val="20"/>
                                <w:szCs w:val="20"/>
                              </w:rPr>
                              <w:t>meaningful accreditation relies on sound annual quality assurance processes</w:t>
                            </w:r>
                            <w:r>
                              <w:rPr>
                                <w:rFonts w:asciiTheme="minorHAnsi" w:hAnsiTheme="minorHAnsi" w:cstheme="minorHAnsi"/>
                                <w:i/>
                                <w:kern w:val="24"/>
                                <w:sz w:val="20"/>
                                <w:szCs w:val="20"/>
                              </w:rPr>
                              <w:t xml:space="preserve">; and </w:t>
                            </w:r>
                            <w:r w:rsidRPr="00C252C1">
                              <w:rPr>
                                <w:rFonts w:asciiTheme="minorHAnsi" w:hAnsiTheme="minorHAnsi" w:cstheme="minorHAnsi"/>
                                <w:i/>
                                <w:kern w:val="24"/>
                                <w:sz w:val="20"/>
                                <w:szCs w:val="20"/>
                              </w:rPr>
                              <w:t>good quality assurance depends on reliable student assessment data</w:t>
                            </w:r>
                            <w:r>
                              <w:rPr>
                                <w:rFonts w:asciiTheme="minorHAnsi" w:hAnsiTheme="minorHAnsi" w:cstheme="minorHAnsi"/>
                                <w:i/>
                                <w:kern w:val="24"/>
                                <w:sz w:val="20"/>
                                <w:szCs w:val="20"/>
                              </w:rPr>
                              <w:t>)</w:t>
                            </w:r>
                            <w:r w:rsidRPr="00C252C1">
                              <w:rPr>
                                <w:rFonts w:asciiTheme="minorHAnsi" w:hAnsiTheme="minorHAnsi" w:cstheme="minorHAnsi"/>
                                <w:i/>
                                <w:kern w:val="24"/>
                                <w:sz w:val="20"/>
                                <w:szCs w:val="20"/>
                              </w:rPr>
                              <w:t>) was a strategic entry point for TASS to support a shift in mind set on the need for change – particularly in MoEC, but to some extent also in Bappenas and MoRA. The return on this investment already achieved in 2018 puts TASS in a</w:t>
                            </w:r>
                            <w:r>
                              <w:rPr>
                                <w:rFonts w:asciiTheme="minorHAnsi" w:hAnsiTheme="minorHAnsi" w:cstheme="minorHAnsi"/>
                                <w:i/>
                                <w:kern w:val="24"/>
                                <w:sz w:val="20"/>
                                <w:szCs w:val="20"/>
                              </w:rPr>
                              <w:t xml:space="preserve"> </w:t>
                            </w:r>
                            <w:r w:rsidRPr="00C252C1">
                              <w:rPr>
                                <w:rFonts w:asciiTheme="minorHAnsi" w:hAnsiTheme="minorHAnsi" w:cstheme="minorHAnsi"/>
                                <w:i/>
                                <w:kern w:val="24"/>
                                <w:sz w:val="20"/>
                                <w:szCs w:val="20"/>
                              </w:rPr>
                              <w:t>strong position to support instrumental change (i.e. new or revised frameworks, guidelines, instruments, or regulation) in 2019.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BA1788" id="TextBox 11" o:spid="_x0000_s1028" type="#_x0000_t202" style="position:absolute;left:0;text-align:left;margin-left:317.3pt;margin-top:-289.45pt;width:159.95pt;height:544.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TigIAADwFAAAOAAAAZHJzL2Uyb0RvYy54bWysVNuO0zAQfUfiH6y8Z3Ntuq02XTVpg5AQ&#10;IHb5ANdx2gjHDra3SbXaf2fsXLoChBDixdc5M3POjH133zcMnalUteCpE9z4DqKciLLmx9T5+li4&#10;tw5SGvMSM8Fp6lyocu43b9/cde2ahuIkWEklAidcrbs2dU5at2vPU+REG6xuREs5XFZCNljDVh69&#10;UuIOvDfMC30/8Tohy1YKQpWC091w6Wys/6qiRH+qKkU1YqkDuWk7SjsezOht7vD6KHF7qsmYBv6H&#10;LBpccwg6u9phjdGTrH9x1dRECiUqfUNE44mqqgm1HIBN4P/E5uGEW2q5gDiqnWVS/88t+Xj+LFFd&#10;Qu0iB3HcQI0eaa8z0aMgsJRg90FpQw5WA6nnogizxb6I3QJWbuxnsZvt45VbhNHtPlwWeRglLwYd&#10;JGsiKdbQHu/LSeAg+TsCY6mNNLFnJbaZPgd7P98G+dLNVnnhxvF26W6DXeT6W3+5WuRZttj5L6a0&#10;ns15mi0Lr2vV2rI2PWKXDy1IoHugDCoYmDlXcGg495VszAylQnAPPXSZ+8boQeAw9KMgShYOInCX&#10;rIIgim1nQfgJ3kql31HRILNIHQmNacXFZ8hqyHQyMdG4KGrGbHMyjjrIK1z6vkUowerS3Bo7JY+H&#10;nEl0xqa//dBPpsCvzCANxkGEKy270hdGjQ/Gv9AKhDVEhgjm8dHZLSaEcr0Y9bTWBlZBCjNw6BT7&#10;aq9Apq2aEH60NTBqH+UMHDn9KeKMsFEF1zO4qbmQv0u5/DZHHuwn9gNnQ1/3h952UzhV/CDKCzRC&#10;B59B6qjvT1hSB0nNcmH/DhOdi+2TFlVtK2a8DJjROzxR22rjd2L+gNd7a3X99DY/AAAA//8DAFBL&#10;AwQUAAYACAAAACEAtezj0OIAAAAMAQAADwAAAGRycy9kb3ducmV2LnhtbEyPwU7DMBBE70j8g7VI&#10;3Fqb0KRNyKYCJJAQJ0KFxM2NTRLVXkex24S/rzmV42qeZt6W29kadtKj7x0h3C0FME2NUz21CLvP&#10;l8UGmA+SlDSONMKv9rCtrq9KWSg30Yc+1aFlsYR8IRG6EIaCc9902kq/dIOmmP240coQz7HlapRT&#10;LLeGJ0Jk3Mqe4kInB/3c6eZQHy1CIt6m6XWn1HedrN+Deaq/DqpHvL2ZHx+ABT2HCwx/+lEdqui0&#10;d0dSnhmE7H6VRRRhka43ObCI5OkqBbZHSEWeAq9K/v+J6gwAAP//AwBQSwECLQAUAAYACAAAACEA&#10;toM4kv4AAADhAQAAEwAAAAAAAAAAAAAAAAAAAAAAW0NvbnRlbnRfVHlwZXNdLnhtbFBLAQItABQA&#10;BgAIAAAAIQA4/SH/1gAAAJQBAAALAAAAAAAAAAAAAAAAAC8BAABfcmVscy8ucmVsc1BLAQItABQA&#10;BgAIAAAAIQD/MDATigIAADwFAAAOAAAAAAAAAAAAAAAAAC4CAABkcnMvZTJvRG9jLnhtbFBLAQIt&#10;ABQABgAIAAAAIQC17OPQ4gAAAAwBAAAPAAAAAAAAAAAAAAAAAOQEAABkcnMvZG93bnJldi54bWxQ&#10;SwUGAAAAAAQABADzAAAA8wUAAAAA&#10;" filled="f" strokecolor="#002060" strokeweight="1pt">
                <v:textbox>
                  <w:txbxContent>
                    <w:p w14:paraId="0FDE21CD" w14:textId="7C31E165" w:rsidR="00033040" w:rsidRPr="000D5CC7" w:rsidRDefault="00033040" w:rsidP="00A515C6">
                      <w:pPr>
                        <w:pStyle w:val="NormalWeb"/>
                        <w:spacing w:after="0"/>
                        <w:jc w:val="center"/>
                        <w:rPr>
                          <w:rFonts w:ascii="Cambria" w:hAnsi="Cambria" w:cstheme="minorBidi"/>
                          <w:b/>
                          <w:kern w:val="24"/>
                          <w:sz w:val="20"/>
                          <w:szCs w:val="20"/>
                        </w:rPr>
                      </w:pPr>
                      <w:r w:rsidRPr="000D5CC7">
                        <w:rPr>
                          <w:rFonts w:ascii="Cambria" w:hAnsi="Cambria" w:cstheme="minorBidi"/>
                          <w:b/>
                          <w:kern w:val="24"/>
                          <w:sz w:val="20"/>
                          <w:szCs w:val="20"/>
                        </w:rPr>
                        <w:t>Are we making the right investments?</w:t>
                      </w:r>
                    </w:p>
                    <w:p w14:paraId="42D62A28" w14:textId="6A483B7A" w:rsidR="00033040" w:rsidRPr="00C252C1" w:rsidRDefault="00033040" w:rsidP="00AF341D">
                      <w:pPr>
                        <w:pStyle w:val="Contenttext"/>
                        <w:rPr>
                          <w:rFonts w:asciiTheme="minorHAnsi" w:hAnsiTheme="minorHAnsi" w:cstheme="minorHAnsi"/>
                          <w:i/>
                          <w:sz w:val="20"/>
                          <w:szCs w:val="20"/>
                        </w:rPr>
                      </w:pPr>
                      <w:r w:rsidRPr="00C252C1">
                        <w:rPr>
                          <w:rFonts w:asciiTheme="minorHAnsi" w:hAnsiTheme="minorHAnsi" w:cstheme="minorHAnsi"/>
                          <w:i/>
                          <w:sz w:val="20"/>
                          <w:szCs w:val="20"/>
                        </w:rPr>
                        <w:t>TASS’ review of the Quality Assurance System led to strategic engagement with multiple actors in the Ministry on the need for revised standards that focus on what really matters for quality teaching and learning, performance-driven school/madrasah accreditation processes, and an improved school quality assurance system with express intent to improve school quality. All three are critical to assure that Indonesia’s schools progressively work towards and meet measures of quality through locally-developed and driven strategies for improvement.</w:t>
                      </w:r>
                    </w:p>
                    <w:p w14:paraId="57C370AA" w14:textId="7140555D" w:rsidR="00033040" w:rsidRPr="00C252C1" w:rsidRDefault="00033040" w:rsidP="006A49C8">
                      <w:pPr>
                        <w:pStyle w:val="NormalWeb"/>
                        <w:spacing w:before="0" w:beforeAutospacing="0" w:after="0" w:afterAutospacing="0"/>
                        <w:rPr>
                          <w:rFonts w:asciiTheme="minorHAnsi" w:hAnsiTheme="minorHAnsi" w:cstheme="minorHAnsi"/>
                          <w:i/>
                          <w:sz w:val="20"/>
                          <w:szCs w:val="20"/>
                        </w:rPr>
                      </w:pPr>
                      <w:r w:rsidRPr="00C252C1">
                        <w:rPr>
                          <w:rFonts w:asciiTheme="minorHAnsi" w:hAnsiTheme="minorHAnsi" w:cstheme="minorHAnsi"/>
                          <w:i/>
                          <w:kern w:val="24"/>
                          <w:sz w:val="20"/>
                          <w:szCs w:val="20"/>
                        </w:rPr>
                        <w:t xml:space="preserve">The interdependencies of </w:t>
                      </w:r>
                      <w:r>
                        <w:rPr>
                          <w:rFonts w:asciiTheme="minorHAnsi" w:hAnsiTheme="minorHAnsi" w:cstheme="minorHAnsi"/>
                          <w:i/>
                          <w:kern w:val="24"/>
                          <w:sz w:val="20"/>
                          <w:szCs w:val="20"/>
                        </w:rPr>
                        <w:t>related</w:t>
                      </w:r>
                      <w:r w:rsidRPr="00C252C1">
                        <w:rPr>
                          <w:rFonts w:asciiTheme="minorHAnsi" w:hAnsiTheme="minorHAnsi" w:cstheme="minorHAnsi"/>
                          <w:i/>
                          <w:kern w:val="24"/>
                          <w:sz w:val="20"/>
                          <w:szCs w:val="20"/>
                        </w:rPr>
                        <w:t xml:space="preserve"> systems (i.e. in that </w:t>
                      </w:r>
                      <w:r w:rsidRPr="00A668AD">
                        <w:rPr>
                          <w:rFonts w:asciiTheme="minorHAnsi" w:hAnsiTheme="minorHAnsi" w:cstheme="minorHAnsi"/>
                          <w:i/>
                          <w:kern w:val="24"/>
                          <w:sz w:val="20"/>
                          <w:szCs w:val="20"/>
                        </w:rPr>
                        <w:t>meaningful accreditation relies on sound annual quality assurance processes</w:t>
                      </w:r>
                      <w:r>
                        <w:rPr>
                          <w:rFonts w:asciiTheme="minorHAnsi" w:hAnsiTheme="minorHAnsi" w:cstheme="minorHAnsi"/>
                          <w:i/>
                          <w:kern w:val="24"/>
                          <w:sz w:val="20"/>
                          <w:szCs w:val="20"/>
                        </w:rPr>
                        <w:t xml:space="preserve">; and </w:t>
                      </w:r>
                      <w:r w:rsidRPr="00C252C1">
                        <w:rPr>
                          <w:rFonts w:asciiTheme="minorHAnsi" w:hAnsiTheme="minorHAnsi" w:cstheme="minorHAnsi"/>
                          <w:i/>
                          <w:kern w:val="24"/>
                          <w:sz w:val="20"/>
                          <w:szCs w:val="20"/>
                        </w:rPr>
                        <w:t>good quality assurance depends on reliable student assessment data</w:t>
                      </w:r>
                      <w:r>
                        <w:rPr>
                          <w:rFonts w:asciiTheme="minorHAnsi" w:hAnsiTheme="minorHAnsi" w:cstheme="minorHAnsi"/>
                          <w:i/>
                          <w:kern w:val="24"/>
                          <w:sz w:val="20"/>
                          <w:szCs w:val="20"/>
                        </w:rPr>
                        <w:t>)</w:t>
                      </w:r>
                      <w:r w:rsidRPr="00C252C1">
                        <w:rPr>
                          <w:rFonts w:asciiTheme="minorHAnsi" w:hAnsiTheme="minorHAnsi" w:cstheme="minorHAnsi"/>
                          <w:i/>
                          <w:kern w:val="24"/>
                          <w:sz w:val="20"/>
                          <w:szCs w:val="20"/>
                        </w:rPr>
                        <w:t>) was a strategic entry point for TASS to support a shift in mind set on the need for change – particularly in MoEC, but to some extent also in Bappenas and MoRA. The return on this investment already achieved in 2018 puts TASS in a</w:t>
                      </w:r>
                      <w:r>
                        <w:rPr>
                          <w:rFonts w:asciiTheme="minorHAnsi" w:hAnsiTheme="minorHAnsi" w:cstheme="minorHAnsi"/>
                          <w:i/>
                          <w:kern w:val="24"/>
                          <w:sz w:val="20"/>
                          <w:szCs w:val="20"/>
                        </w:rPr>
                        <w:t xml:space="preserve"> </w:t>
                      </w:r>
                      <w:r w:rsidRPr="00C252C1">
                        <w:rPr>
                          <w:rFonts w:asciiTheme="minorHAnsi" w:hAnsiTheme="minorHAnsi" w:cstheme="minorHAnsi"/>
                          <w:i/>
                          <w:kern w:val="24"/>
                          <w:sz w:val="20"/>
                          <w:szCs w:val="20"/>
                        </w:rPr>
                        <w:t>strong position to support instrumental change (i.e. new or revised frameworks, guidelines, instruments, or regulation) in 2019.</w:t>
                      </w:r>
                    </w:p>
                  </w:txbxContent>
                </v:textbox>
                <w10:wrap type="square" anchorx="margin"/>
              </v:shape>
            </w:pict>
          </mc:Fallback>
        </mc:AlternateContent>
      </w:r>
      <w:r w:rsidR="00D36E6D" w:rsidRPr="009A6FF4">
        <w:t xml:space="preserve">better alignment of </w:t>
      </w:r>
      <w:r w:rsidR="00534131">
        <w:t>the</w:t>
      </w:r>
      <w:r w:rsidR="00D36E6D" w:rsidRPr="009A6FF4">
        <w:t xml:space="preserve"> systems for greater impact on improving school quality, and the need to shift the focus </w:t>
      </w:r>
      <w:r w:rsidR="00534131">
        <w:t xml:space="preserve">of the systems </w:t>
      </w:r>
      <w:r w:rsidR="00D36E6D" w:rsidRPr="009A6FF4">
        <w:t xml:space="preserve">from compliance to </w:t>
      </w:r>
      <w:r w:rsidR="00B27358">
        <w:t>performance</w:t>
      </w:r>
      <w:r w:rsidR="00D36E6D" w:rsidRPr="009A6FF4">
        <w:t>. This has led to design of new activities</w:t>
      </w:r>
      <w:r w:rsidR="00BA2997" w:rsidRPr="005C084B">
        <w:rPr>
          <w:rStyle w:val="FootnoteReference"/>
        </w:rPr>
        <w:footnoteReference w:id="5"/>
      </w:r>
      <w:r w:rsidR="00D36E6D" w:rsidRPr="005C084B">
        <w:rPr>
          <w:vertAlign w:val="superscript"/>
        </w:rPr>
        <w:t xml:space="preserve"> </w:t>
      </w:r>
      <w:r w:rsidR="00D36E6D" w:rsidRPr="009A6FF4">
        <w:t>to support revised QA and accreditation frameworks, and interest from the BSNP in revising the standards</w:t>
      </w:r>
      <w:r w:rsidR="00BA2997" w:rsidRPr="00C0713E">
        <w:rPr>
          <w:rStyle w:val="FootnoteReference"/>
        </w:rPr>
        <w:footnoteReference w:id="6"/>
      </w:r>
      <w:r w:rsidR="00D36E6D" w:rsidRPr="009A6FF4">
        <w:t xml:space="preserve">. </w:t>
      </w:r>
    </w:p>
    <w:p w14:paraId="01934E0E" w14:textId="65EE0390" w:rsidR="002C1C7E" w:rsidRPr="00C252C1" w:rsidRDefault="00BA2997" w:rsidP="00033040">
      <w:pPr>
        <w:pStyle w:val="Body"/>
      </w:pPr>
      <w:r w:rsidRPr="00C252C1">
        <w:t xml:space="preserve">In another example of strategic dialogue facilitated or initiated by TASS, </w:t>
      </w:r>
      <w:r w:rsidR="006F2DC1" w:rsidRPr="00C252C1">
        <w:t xml:space="preserve">the MoEC Organisational Review contributed to a change in perspective on the Ministry’s </w:t>
      </w:r>
      <w:r w:rsidR="006F2DC1" w:rsidRPr="00033040">
        <w:rPr>
          <w:i/>
        </w:rPr>
        <w:t>raison d’etre</w:t>
      </w:r>
      <w:r w:rsidR="006F2DC1" w:rsidRPr="00C252C1">
        <w:t xml:space="preserve"> and internal </w:t>
      </w:r>
      <w:r w:rsidR="004F401E" w:rsidRPr="00C252C1">
        <w:t xml:space="preserve">and cross-government </w:t>
      </w:r>
      <w:r w:rsidR="006F2DC1" w:rsidRPr="00C252C1">
        <w:t>conversations about reshaping the Ministry’s function to fulfil decentralisation’s mandate.</w:t>
      </w:r>
      <w:r w:rsidR="003E6228" w:rsidRPr="00C252C1">
        <w:t xml:space="preserve"> </w:t>
      </w:r>
      <w:r w:rsidR="00B27358">
        <w:t xml:space="preserve">TASS brought in a trusted adviser to the key counterpart for this activity who </w:t>
      </w:r>
      <w:r w:rsidR="00EB282A">
        <w:t>in conducting the</w:t>
      </w:r>
      <w:r w:rsidR="00B27358">
        <w:t xml:space="preserve"> review </w:t>
      </w:r>
      <w:r w:rsidR="00EB282A">
        <w:t>drew on</w:t>
      </w:r>
      <w:r w:rsidR="00B27358">
        <w:t xml:space="preserve"> long-standing relationships with senior MoEC personnel to put sensitive and hard-hitting issues on the table and </w:t>
      </w:r>
      <w:r w:rsidR="00033040">
        <w:t>support</w:t>
      </w:r>
      <w:r w:rsidR="00B27358">
        <w:t xml:space="preserve"> counterparts to consider an alternative vision for </w:t>
      </w:r>
      <w:r w:rsidR="00EB282A">
        <w:t xml:space="preserve">delivering on </w:t>
      </w:r>
      <w:r w:rsidR="00B27358">
        <w:t>the Ministry</w:t>
      </w:r>
      <w:r w:rsidR="00EB282A">
        <w:t>’s role and function</w:t>
      </w:r>
      <w:r w:rsidR="00B27358">
        <w:t xml:space="preserve">. </w:t>
      </w:r>
      <w:r w:rsidR="002C1C7E" w:rsidRPr="00C252C1">
        <w:t xml:space="preserve"> </w:t>
      </w:r>
    </w:p>
    <w:p w14:paraId="4A9D5E1C" w14:textId="30DF1760" w:rsidR="00054CF3" w:rsidRPr="00C252C1" w:rsidRDefault="00EB282A" w:rsidP="00033040">
      <w:pPr>
        <w:pStyle w:val="Body"/>
      </w:pPr>
      <w:r w:rsidRPr="00C252C1">
        <w:t>In a shift from the ‘demand-led’ approach in the first year of the program, in 2018 the program began to seek and seize opportunities to build on momentum generated through an activity</w:t>
      </w:r>
      <w:r w:rsidR="004E7823" w:rsidRPr="00C252C1">
        <w:t xml:space="preserve"> to generate subsequent and more strategic support that further progressed initial indications of an intent for reform. In other ways that TASS built on momentum, once emerging changes in understanding or intent were observed the program</w:t>
      </w:r>
      <w:r w:rsidRPr="00C252C1">
        <w:t xml:space="preserve"> proactively </w:t>
      </w:r>
      <w:r w:rsidR="004E7823" w:rsidRPr="00C252C1">
        <w:t>brought</w:t>
      </w:r>
      <w:r w:rsidRPr="00C252C1">
        <w:t xml:space="preserve"> </w:t>
      </w:r>
      <w:r w:rsidR="004E7823" w:rsidRPr="00C252C1">
        <w:t xml:space="preserve">other, </w:t>
      </w:r>
      <w:r w:rsidRPr="00C252C1">
        <w:t>related stakeh</w:t>
      </w:r>
      <w:r w:rsidR="004E7823" w:rsidRPr="00C252C1">
        <w:t>olders together to construct or widen the support base for reform</w:t>
      </w:r>
      <w:r w:rsidRPr="00C252C1">
        <w:t xml:space="preserve">.  </w:t>
      </w:r>
      <w:r w:rsidR="004165F0" w:rsidRPr="00C252C1">
        <w:t xml:space="preserve">This occurred particularly in support provided to the Bappenas Education Sector Review and Background Study, and the QA review and related follow up. </w:t>
      </w:r>
    </w:p>
    <w:p w14:paraId="39F51CD1" w14:textId="7C4FE6FA" w:rsidR="007C26E0" w:rsidRDefault="00C252C1" w:rsidP="00C252C1">
      <w:pPr>
        <w:pStyle w:val="Body"/>
        <w:spacing w:before="120"/>
      </w:pPr>
      <w:r w:rsidRPr="006A49C8">
        <w:rPr>
          <w:noProof/>
          <w:lang w:val="en-AU" w:eastAsia="en-AU"/>
        </w:rPr>
        <mc:AlternateContent>
          <mc:Choice Requires="wps">
            <w:drawing>
              <wp:anchor distT="0" distB="0" distL="114300" distR="114300" simplePos="0" relativeHeight="251646464" behindDoc="0" locked="0" layoutInCell="1" allowOverlap="1" wp14:anchorId="7AE24312" wp14:editId="4D8C8719">
                <wp:simplePos x="0" y="0"/>
                <wp:positionH relativeFrom="margin">
                  <wp:align>right</wp:align>
                </wp:positionH>
                <wp:positionV relativeFrom="paragraph">
                  <wp:posOffset>25746</wp:posOffset>
                </wp:positionV>
                <wp:extent cx="2004695" cy="5753100"/>
                <wp:effectExtent l="0" t="0" r="14605" b="19050"/>
                <wp:wrapSquare wrapText="bothSides"/>
                <wp:docPr id="12" name="TextBox 11">
                  <a:extLst xmlns:a="http://schemas.openxmlformats.org/drawingml/2006/main">
                    <a:ext uri="{FF2B5EF4-FFF2-40B4-BE49-F238E27FC236}">
                      <a16:creationId xmlns:a16="http://schemas.microsoft.com/office/drawing/2014/main" id="{1E0CA1C7-B9CF-44A7-A1D3-0A0795CBB5D0}"/>
                    </a:ext>
                  </a:extLst>
                </wp:docPr>
                <wp:cNvGraphicFramePr/>
                <a:graphic xmlns:a="http://schemas.openxmlformats.org/drawingml/2006/main">
                  <a:graphicData uri="http://schemas.microsoft.com/office/word/2010/wordprocessingShape">
                    <wps:wsp>
                      <wps:cNvSpPr txBox="1"/>
                      <wps:spPr>
                        <a:xfrm>
                          <a:off x="0" y="0"/>
                          <a:ext cx="2004695" cy="5753100"/>
                        </a:xfrm>
                        <a:prstGeom prst="rect">
                          <a:avLst/>
                        </a:prstGeom>
                        <a:noFill/>
                        <a:ln w="12700">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5535BC76" w14:textId="011B4849" w:rsidR="00033040" w:rsidRPr="00C252C1" w:rsidRDefault="00033040" w:rsidP="00AF341D">
                            <w:pPr>
                              <w:jc w:val="center"/>
                              <w:rPr>
                                <w:i/>
                                <w:sz w:val="20"/>
                                <w:szCs w:val="20"/>
                              </w:rPr>
                            </w:pPr>
                            <w:r w:rsidRPr="00C252C1">
                              <w:rPr>
                                <w:i/>
                                <w:sz w:val="20"/>
                                <w:szCs w:val="20"/>
                              </w:rPr>
                              <w:t xml:space="preserve">The Strategic Planning activities have been </w:t>
                            </w:r>
                            <w:r>
                              <w:rPr>
                                <w:i/>
                                <w:sz w:val="20"/>
                                <w:szCs w:val="20"/>
                              </w:rPr>
                              <w:t>a critical</w:t>
                            </w:r>
                            <w:r w:rsidRPr="00C252C1">
                              <w:rPr>
                                <w:i/>
                                <w:sz w:val="20"/>
                                <w:szCs w:val="20"/>
                              </w:rPr>
                              <w:t xml:space="preserve"> area of engagement and investment, as the RPJMN in particular and the ministries’ Renstras will influence national and sub-national policy focus for the next five years.</w:t>
                            </w:r>
                          </w:p>
                          <w:p w14:paraId="1D13F2DE" w14:textId="2D78E624" w:rsidR="00033040" w:rsidRPr="00C252C1" w:rsidRDefault="00033040" w:rsidP="00AF341D">
                            <w:pPr>
                              <w:jc w:val="center"/>
                              <w:rPr>
                                <w:i/>
                                <w:sz w:val="20"/>
                                <w:szCs w:val="20"/>
                              </w:rPr>
                            </w:pPr>
                            <w:r w:rsidRPr="00C252C1">
                              <w:rPr>
                                <w:i/>
                                <w:sz w:val="20"/>
                                <w:szCs w:val="20"/>
                              </w:rPr>
                              <w:t xml:space="preserve">TASS has been successful in </w:t>
                            </w:r>
                            <w:r>
                              <w:rPr>
                                <w:i/>
                                <w:sz w:val="20"/>
                                <w:szCs w:val="20"/>
                              </w:rPr>
                              <w:t>supporting GoI determine</w:t>
                            </w:r>
                            <w:r w:rsidRPr="00C252C1">
                              <w:rPr>
                                <w:i/>
                                <w:sz w:val="20"/>
                                <w:szCs w:val="20"/>
                              </w:rPr>
                              <w:t xml:space="preserve"> strategies that the government could employ to address some of the fundamental constraints to quality teaching and learning, and equitable outcomes for all Indonesian children. </w:t>
                            </w:r>
                          </w:p>
                          <w:p w14:paraId="6DAEEFAE" w14:textId="09B9CB49" w:rsidR="00033040" w:rsidRPr="00AF341D" w:rsidRDefault="00033040" w:rsidP="00AF341D">
                            <w:pPr>
                              <w:jc w:val="center"/>
                              <w:rPr>
                                <w:i/>
                                <w:sz w:val="18"/>
                                <w:szCs w:val="16"/>
                              </w:rPr>
                            </w:pPr>
                            <w:r w:rsidRPr="00C252C1">
                              <w:rPr>
                                <w:i/>
                                <w:sz w:val="20"/>
                                <w:szCs w:val="20"/>
                              </w:rPr>
                              <w:t xml:space="preserve">TASS </w:t>
                            </w:r>
                            <w:r>
                              <w:rPr>
                                <w:i/>
                                <w:sz w:val="20"/>
                                <w:szCs w:val="20"/>
                              </w:rPr>
                              <w:t xml:space="preserve">contributed </w:t>
                            </w:r>
                            <w:r w:rsidRPr="00C252C1">
                              <w:rPr>
                                <w:i/>
                                <w:sz w:val="20"/>
                                <w:szCs w:val="20"/>
                              </w:rPr>
                              <w:t>to the increased profile of equity in</w:t>
                            </w:r>
                            <w:r w:rsidRPr="00C252C1">
                              <w:rPr>
                                <w:i/>
                                <w:sz w:val="20"/>
                                <w:szCs w:val="20"/>
                                <w:lang w:val="en-AU"/>
                              </w:rPr>
                              <w:t xml:space="preserve"> Bappenas</w:t>
                            </w:r>
                            <w:r>
                              <w:rPr>
                                <w:i/>
                                <w:sz w:val="20"/>
                                <w:szCs w:val="20"/>
                                <w:lang w:val="en-AU"/>
                              </w:rPr>
                              <w:t xml:space="preserve"> </w:t>
                            </w:r>
                            <w:r w:rsidRPr="00C252C1">
                              <w:rPr>
                                <w:i/>
                                <w:sz w:val="20"/>
                                <w:szCs w:val="20"/>
                              </w:rPr>
                              <w:t>RPJMN priorities through substantial analysis on equity in the Education Sector Review. Further, a number of indicators proposed by TASS for measuring quality and equity in education have been put forward by Bappenas as indicators for the RPJMN. This means that for the first time, Indonesia will have sound indicators of student performance and in particular, equity in learning</w:t>
                            </w:r>
                            <w:r w:rsidRPr="00AF341D">
                              <w:rPr>
                                <w:i/>
                                <w:sz w:val="18"/>
                                <w:szCs w:val="16"/>
                              </w:rPr>
                              <w:t>.</w:t>
                            </w:r>
                          </w:p>
                          <w:p w14:paraId="25BBD2E6" w14:textId="77777777" w:rsidR="00033040" w:rsidRPr="00AF341D" w:rsidRDefault="00033040" w:rsidP="006A49C8">
                            <w:pPr>
                              <w:pStyle w:val="NormalWeb"/>
                              <w:spacing w:before="0" w:beforeAutospacing="0" w:after="0" w:afterAutospacing="0"/>
                              <w:rPr>
                                <w:i/>
                                <w:sz w:val="18"/>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24312" id="_x0000_s1029" type="#_x0000_t202" style="position:absolute;left:0;text-align:left;margin-left:106.65pt;margin-top:2.05pt;width:157.85pt;height:453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H3iAIAADwFAAAOAAAAZHJzL2Uyb0RvYy54bWysVGtv0zAU/Y7Ef7D8PcujSbtWS6cmbRAS&#10;AsTGD3Adp41w7GB7Tatp/51r59EJEEKIL4nt+zznHvvu/txwdGJK11KkOLwJMGKCyrIWhxR/fSy8&#10;W4y0IaIkXAqW4gvT+H799s1d165YJI+Sl0whSCL0qmtTfDSmXfm+pkfWEH0jWybAWEnVEANbdfBL&#10;RTrI3nA/CoK530lVtkpSpjWcbnsjXrv8VcWo+VRVmhnEUwy9GfdV7ru3X399R1YHRdpjTYc2yD90&#10;0ZBaQNEp1ZYYgp5U/UuqpqZKalmZGyobX1ZVTZnDAGjC4Cc0D0fSMocFyNHtRJP+f2npx9NnheoS&#10;ZhdhJEgDM3pkZ5PJMwpDBwl2H7Sx4GDVg3ouiihLdkXsFbDy4iCLvWwXL70imt3uokWRR7P5i40O&#10;5yuqGDEgj/flSHA4/zsAw6gtNbHvKHadPoe7IN+E+cLLlnnhxfFm4W3C7cwLNsFimeRZlmyDFzta&#10;3/U8/h0Kv2v1yqG2GnHLhxYoMGeADCzYMHuu4dBiPleqsX8YFQI7aOgy6cbyQeEQhBjPlwlGFGzJ&#10;IpmFgVMWlB/DW6XNOyYbZBcpViBMRy45QVd9p6OLrSZkUXPuxMkF6ux0FpDTmrTkdWmtbqMO+5wr&#10;dCJW30EUzMfCr9ygDS6AhCsstzIXzmwOLr6wCoi1QPoK9vKxKS2hlAmTDHw6bxtWQQtTYK8Ud2uv&#10;gdw4NqH84GvDmLuUU+CA6U8VpwhXVQozBTe1kOp3LZffpsq9/4i+x2zhm/P+7NQ0Gye+l+UFhNDB&#10;Y5Bi/f2JKIaRMjyX7u2w1YXcPBlZ1W5iNksfM2SHK+qkNjwn9g14vXde10dv/QMAAP//AwBQSwME&#10;FAAGAAgAAAAhAF/eQFfdAAAABgEAAA8AAABkcnMvZG93bnJldi54bWxMj81OwzAQhO9IvIO1SNyo&#10;nfDTErKpAAkk1BOhQurNjZckqr2OYrcJb485wXE0o5lvyvXsrDjRGHrPCNlCgSBuvOm5Rdh+vFyt&#10;QISo2WjrmRC+KcC6Oj8rdWH8xO90qmMrUgmHQiN0MQ6FlKHpyOmw8ANx8r786HRMcmylGfWUyp2V&#10;uVJ30ume00KnB3ruqDnUR4eQq7dpet0as6vz5Sbap/rzYHrEy4v58QFEpDn+heEXP6FDlZj2/sgm&#10;CIuQjkSEmwxEMq+z2yWIPcJ9pjKQVSn/41c/AAAA//8DAFBLAQItABQABgAIAAAAIQC2gziS/gAA&#10;AOEBAAATAAAAAAAAAAAAAAAAAAAAAABbQ29udGVudF9UeXBlc10ueG1sUEsBAi0AFAAGAAgAAAAh&#10;ADj9If/WAAAAlAEAAAsAAAAAAAAAAAAAAAAALwEAAF9yZWxzLy5yZWxzUEsBAi0AFAAGAAgAAAAh&#10;APH2YfeIAgAAPAUAAA4AAAAAAAAAAAAAAAAALgIAAGRycy9lMm9Eb2MueG1sUEsBAi0AFAAGAAgA&#10;AAAhAF/eQFfdAAAABgEAAA8AAAAAAAAAAAAAAAAA4gQAAGRycy9kb3ducmV2LnhtbFBLBQYAAAAA&#10;BAAEAPMAAADsBQAAAAA=&#10;" filled="f" strokecolor="#002060" strokeweight="1pt">
                <v:textbox>
                  <w:txbxContent>
                    <w:p w14:paraId="5535BC76" w14:textId="011B4849" w:rsidR="00033040" w:rsidRPr="00C252C1" w:rsidRDefault="00033040" w:rsidP="00AF341D">
                      <w:pPr>
                        <w:jc w:val="center"/>
                        <w:rPr>
                          <w:i/>
                          <w:sz w:val="20"/>
                          <w:szCs w:val="20"/>
                        </w:rPr>
                      </w:pPr>
                      <w:r w:rsidRPr="00C252C1">
                        <w:rPr>
                          <w:i/>
                          <w:sz w:val="20"/>
                          <w:szCs w:val="20"/>
                        </w:rPr>
                        <w:t xml:space="preserve">The Strategic Planning activities have been </w:t>
                      </w:r>
                      <w:r>
                        <w:rPr>
                          <w:i/>
                          <w:sz w:val="20"/>
                          <w:szCs w:val="20"/>
                        </w:rPr>
                        <w:t>a critical</w:t>
                      </w:r>
                      <w:r w:rsidRPr="00C252C1">
                        <w:rPr>
                          <w:i/>
                          <w:sz w:val="20"/>
                          <w:szCs w:val="20"/>
                        </w:rPr>
                        <w:t xml:space="preserve"> area of engagement and investment, as the RPJMN in particular and the ministries’ Renstras will influence national and sub-national policy focus for the next five years.</w:t>
                      </w:r>
                    </w:p>
                    <w:p w14:paraId="1D13F2DE" w14:textId="2D78E624" w:rsidR="00033040" w:rsidRPr="00C252C1" w:rsidRDefault="00033040" w:rsidP="00AF341D">
                      <w:pPr>
                        <w:jc w:val="center"/>
                        <w:rPr>
                          <w:i/>
                          <w:sz w:val="20"/>
                          <w:szCs w:val="20"/>
                        </w:rPr>
                      </w:pPr>
                      <w:r w:rsidRPr="00C252C1">
                        <w:rPr>
                          <w:i/>
                          <w:sz w:val="20"/>
                          <w:szCs w:val="20"/>
                        </w:rPr>
                        <w:t xml:space="preserve">TASS has been successful in </w:t>
                      </w:r>
                      <w:r>
                        <w:rPr>
                          <w:i/>
                          <w:sz w:val="20"/>
                          <w:szCs w:val="20"/>
                        </w:rPr>
                        <w:t>supporting GoI determine</w:t>
                      </w:r>
                      <w:r w:rsidRPr="00C252C1">
                        <w:rPr>
                          <w:i/>
                          <w:sz w:val="20"/>
                          <w:szCs w:val="20"/>
                        </w:rPr>
                        <w:t xml:space="preserve"> strategies that the government could employ to address some of the fundamental constraints to quality teaching and learning, and equitable outcomes for all Indonesian children. </w:t>
                      </w:r>
                    </w:p>
                    <w:p w14:paraId="6DAEEFAE" w14:textId="09B9CB49" w:rsidR="00033040" w:rsidRPr="00AF341D" w:rsidRDefault="00033040" w:rsidP="00AF341D">
                      <w:pPr>
                        <w:jc w:val="center"/>
                        <w:rPr>
                          <w:i/>
                          <w:sz w:val="18"/>
                          <w:szCs w:val="16"/>
                        </w:rPr>
                      </w:pPr>
                      <w:r w:rsidRPr="00C252C1">
                        <w:rPr>
                          <w:i/>
                          <w:sz w:val="20"/>
                          <w:szCs w:val="20"/>
                        </w:rPr>
                        <w:t xml:space="preserve">TASS </w:t>
                      </w:r>
                      <w:r>
                        <w:rPr>
                          <w:i/>
                          <w:sz w:val="20"/>
                          <w:szCs w:val="20"/>
                        </w:rPr>
                        <w:t xml:space="preserve">contributed </w:t>
                      </w:r>
                      <w:r w:rsidRPr="00C252C1">
                        <w:rPr>
                          <w:i/>
                          <w:sz w:val="20"/>
                          <w:szCs w:val="20"/>
                        </w:rPr>
                        <w:t>to the increased profile of equity in</w:t>
                      </w:r>
                      <w:r w:rsidRPr="00C252C1">
                        <w:rPr>
                          <w:i/>
                          <w:sz w:val="20"/>
                          <w:szCs w:val="20"/>
                          <w:lang w:val="en-AU"/>
                        </w:rPr>
                        <w:t xml:space="preserve"> Bappenas</w:t>
                      </w:r>
                      <w:r>
                        <w:rPr>
                          <w:i/>
                          <w:sz w:val="20"/>
                          <w:szCs w:val="20"/>
                          <w:lang w:val="en-AU"/>
                        </w:rPr>
                        <w:t xml:space="preserve"> </w:t>
                      </w:r>
                      <w:r w:rsidRPr="00C252C1">
                        <w:rPr>
                          <w:i/>
                          <w:sz w:val="20"/>
                          <w:szCs w:val="20"/>
                        </w:rPr>
                        <w:t>RPJMN priorities through substantial analysis on equity in the Education Sector Review. Further, a number of indicators proposed by TASS for measuring quality and equity in education have been put forward by Bappenas as indicators for the RPJMN. This means that for the first time, Indonesia will have sound indicators of student performance and in particular, equity in learning</w:t>
                      </w:r>
                      <w:r w:rsidRPr="00AF341D">
                        <w:rPr>
                          <w:i/>
                          <w:sz w:val="18"/>
                          <w:szCs w:val="16"/>
                        </w:rPr>
                        <w:t>.</w:t>
                      </w:r>
                    </w:p>
                    <w:p w14:paraId="25BBD2E6" w14:textId="77777777" w:rsidR="00033040" w:rsidRPr="00AF341D" w:rsidRDefault="00033040" w:rsidP="006A49C8">
                      <w:pPr>
                        <w:pStyle w:val="NormalWeb"/>
                        <w:spacing w:before="0" w:beforeAutospacing="0" w:after="0" w:afterAutospacing="0"/>
                        <w:rPr>
                          <w:i/>
                          <w:sz w:val="18"/>
                          <w:szCs w:val="16"/>
                        </w:rPr>
                      </w:pPr>
                    </w:p>
                  </w:txbxContent>
                </v:textbox>
                <w10:wrap type="square" anchorx="margin"/>
              </v:shape>
            </w:pict>
          </mc:Fallback>
        </mc:AlternateContent>
      </w:r>
      <w:r w:rsidR="004E7823">
        <w:t>W</w:t>
      </w:r>
      <w:r w:rsidR="007C26E0">
        <w:t xml:space="preserve">indows of opportunity to influence policy arose </w:t>
      </w:r>
      <w:r w:rsidR="004E7823">
        <w:t xml:space="preserve">also </w:t>
      </w:r>
      <w:r w:rsidR="007C26E0">
        <w:t xml:space="preserve">within </w:t>
      </w:r>
      <w:r w:rsidR="007C26E0" w:rsidRPr="009A6FF4">
        <w:t>activities</w:t>
      </w:r>
      <w:r w:rsidR="00EB282A">
        <w:t>,</w:t>
      </w:r>
      <w:r w:rsidR="007C26E0">
        <w:t xml:space="preserve"> such as </w:t>
      </w:r>
      <w:r w:rsidR="004E7823">
        <w:t xml:space="preserve">an </w:t>
      </w:r>
      <w:r w:rsidR="007C26E0">
        <w:t xml:space="preserve">unanticipated </w:t>
      </w:r>
      <w:r w:rsidR="004E7823">
        <w:t xml:space="preserve">request </w:t>
      </w:r>
      <w:r w:rsidR="00534131">
        <w:t xml:space="preserve">during the </w:t>
      </w:r>
      <w:r w:rsidR="00534131" w:rsidRPr="0018026A">
        <w:rPr>
          <w:i/>
        </w:rPr>
        <w:t>Bappenas</w:t>
      </w:r>
      <w:r w:rsidR="00534131">
        <w:t xml:space="preserve"> Education Sector Review and Background Study </w:t>
      </w:r>
      <w:r w:rsidR="004E7823">
        <w:t>to provide technical advice</w:t>
      </w:r>
      <w:r w:rsidR="007C26E0">
        <w:t xml:space="preserve"> </w:t>
      </w:r>
      <w:r w:rsidR="00534131">
        <w:t>in support of</w:t>
      </w:r>
      <w:r w:rsidR="00EB282A">
        <w:t xml:space="preserve"> GoI decision making on </w:t>
      </w:r>
      <w:r w:rsidR="007C26E0">
        <w:t xml:space="preserve">SDG learning indicators. </w:t>
      </w:r>
      <w:r w:rsidR="00EB282A">
        <w:t>TASS advice contributed to two</w:t>
      </w:r>
      <w:r w:rsidR="007C26E0">
        <w:t xml:space="preserve"> indicators </w:t>
      </w:r>
      <w:r w:rsidR="00EB282A">
        <w:t>of student learning</w:t>
      </w:r>
      <w:r w:rsidR="00534131">
        <w:rPr>
          <w:rStyle w:val="FootnoteReference"/>
        </w:rPr>
        <w:footnoteReference w:id="7"/>
      </w:r>
      <w:r w:rsidR="00EB282A">
        <w:t xml:space="preserve"> being</w:t>
      </w:r>
      <w:r w:rsidR="007C26E0">
        <w:t xml:space="preserve"> included in the draft medium term development plan</w:t>
      </w:r>
      <w:r w:rsidR="004E7823">
        <w:t xml:space="preserve"> and</w:t>
      </w:r>
      <w:r w:rsidR="001346F6">
        <w:t xml:space="preserve"> a commitment to the future development of a national early grades assessment</w:t>
      </w:r>
      <w:r w:rsidR="00534131">
        <w:t>.</w:t>
      </w:r>
    </w:p>
    <w:p w14:paraId="5E753931" w14:textId="432A3CEF" w:rsidR="007C26E0" w:rsidRDefault="001346F6" w:rsidP="00C252C1">
      <w:pPr>
        <w:pStyle w:val="Body"/>
      </w:pPr>
      <w:r>
        <w:t xml:space="preserve">This work was critical as for the first time, Indonesia will have a sound measure of learning, </w:t>
      </w:r>
      <w:r w:rsidRPr="00F128BC">
        <w:rPr>
          <w:i/>
        </w:rPr>
        <w:t>and equity in learning</w:t>
      </w:r>
      <w:r>
        <w:t>, in its highest level strategic plan. This lays a strong foundation for an increased focus on learning into the future.</w:t>
      </w:r>
      <w:r w:rsidR="0048151E">
        <w:t xml:space="preserve"> </w:t>
      </w:r>
      <w:r w:rsidR="007C26E0">
        <w:t xml:space="preserve">A mid-term evaluation conducted in 2018, alongside DFAT’s Strategic Review of INOVASI, TASS and the ID-TEMAN programs, found that TASS was exceeding expectations with regards </w:t>
      </w:r>
      <w:r w:rsidR="007C26E0" w:rsidRPr="009A6FF4">
        <w:t xml:space="preserve">to results achieved, despite a downwards adjustment of the TASS budget in mid-2018 which saw some activities cancelled or reduced </w:t>
      </w:r>
      <w:r w:rsidR="007C26E0" w:rsidRPr="0048151E">
        <w:t>in scope (see Section 3). Key</w:t>
      </w:r>
      <w:r w:rsidR="007C26E0">
        <w:t xml:space="preserve">s </w:t>
      </w:r>
      <w:r w:rsidR="007C26E0" w:rsidRPr="009A6FF4">
        <w:t>to this succes</w:t>
      </w:r>
      <w:r w:rsidR="007C26E0">
        <w:t>s included</w:t>
      </w:r>
      <w:r w:rsidR="004165F0">
        <w:t xml:space="preserve"> </w:t>
      </w:r>
      <w:r w:rsidR="007C26E0">
        <w:t>s</w:t>
      </w:r>
      <w:r w:rsidR="007C26E0" w:rsidRPr="009A6FF4">
        <w:t xml:space="preserve">ound application of </w:t>
      </w:r>
      <w:r w:rsidR="00F128BC" w:rsidRPr="009A6FF4">
        <w:t xml:space="preserve">Thinking </w:t>
      </w:r>
      <w:r w:rsidR="00F128BC">
        <w:t>a</w:t>
      </w:r>
      <w:r w:rsidR="00F128BC" w:rsidRPr="009A6FF4">
        <w:t>nd Working Politically</w:t>
      </w:r>
      <w:r w:rsidR="00F128BC">
        <w:t xml:space="preserve"> </w:t>
      </w:r>
      <w:r w:rsidR="007C26E0">
        <w:t xml:space="preserve">(TWP) and </w:t>
      </w:r>
      <w:r w:rsidR="00F128BC" w:rsidRPr="009A6FF4">
        <w:t xml:space="preserve">Knowledge </w:t>
      </w:r>
      <w:r w:rsidR="00F128BC">
        <w:t>t</w:t>
      </w:r>
      <w:r w:rsidR="00F128BC" w:rsidRPr="009A6FF4">
        <w:t xml:space="preserve">o Policy </w:t>
      </w:r>
      <w:r w:rsidR="004165F0">
        <w:t xml:space="preserve">(K2P) </w:t>
      </w:r>
      <w:r w:rsidR="007C26E0" w:rsidRPr="009A6FF4">
        <w:t xml:space="preserve">approaches, </w:t>
      </w:r>
      <w:r w:rsidR="00F128BC">
        <w:t xml:space="preserve">specifically, </w:t>
      </w:r>
      <w:r w:rsidR="007C26E0" w:rsidRPr="009A6FF4">
        <w:t xml:space="preserve">the use of advisers with </w:t>
      </w:r>
      <w:r w:rsidR="007C26E0">
        <w:t>close and trus</w:t>
      </w:r>
      <w:r>
        <w:t>ted</w:t>
      </w:r>
      <w:r w:rsidR="007C26E0">
        <w:t xml:space="preserve"> </w:t>
      </w:r>
      <w:r w:rsidR="007C26E0" w:rsidRPr="009A6FF4">
        <w:t xml:space="preserve">relationships </w:t>
      </w:r>
      <w:r>
        <w:t>with</w:t>
      </w:r>
      <w:r w:rsidR="007C26E0" w:rsidRPr="009A6FF4">
        <w:t xml:space="preserve"> </w:t>
      </w:r>
      <w:r w:rsidR="007C26E0">
        <w:t xml:space="preserve">leadership within </w:t>
      </w:r>
      <w:r>
        <w:t>TASS counterpart ministries</w:t>
      </w:r>
      <w:r w:rsidR="004165F0">
        <w:t xml:space="preserve">, and </w:t>
      </w:r>
      <w:r w:rsidR="007C26E0" w:rsidRPr="009A6FF4">
        <w:t>routine stakeholder mapping to identify the interests of influencers and blockers and how</w:t>
      </w:r>
      <w:r w:rsidR="007C26E0">
        <w:t xml:space="preserve"> proposed </w:t>
      </w:r>
      <w:r w:rsidR="007C26E0" w:rsidRPr="009A6FF4">
        <w:t>activit</w:t>
      </w:r>
      <w:r w:rsidR="007C26E0">
        <w:t>ies</w:t>
      </w:r>
      <w:r w:rsidR="007C26E0" w:rsidRPr="009A6FF4">
        <w:t xml:space="preserve"> would engage with them.  </w:t>
      </w:r>
    </w:p>
    <w:p w14:paraId="521FF0FB" w14:textId="0848DE9B" w:rsidR="007C26E0" w:rsidRPr="009A6FF4" w:rsidRDefault="007C26E0" w:rsidP="007C26E0">
      <w:pPr>
        <w:pStyle w:val="Body"/>
      </w:pPr>
      <w:r>
        <w:t xml:space="preserve">In terms of overall program management, the team </w:t>
      </w:r>
      <w:r w:rsidR="00C8034C">
        <w:t xml:space="preserve">grew </w:t>
      </w:r>
      <w:r w:rsidR="001346F6">
        <w:t>slightly</w:t>
      </w:r>
      <w:r>
        <w:t xml:space="preserve"> in 2018 </w:t>
      </w:r>
      <w:r w:rsidRPr="009A6FF4">
        <w:t xml:space="preserve">to increase TASS capacity to respond to requests and </w:t>
      </w:r>
      <w:r>
        <w:t xml:space="preserve">improve activity management </w:t>
      </w:r>
      <w:r w:rsidR="001346F6">
        <w:t>and oversight</w:t>
      </w:r>
      <w:r>
        <w:t xml:space="preserve">. </w:t>
      </w:r>
      <w:r w:rsidR="00E070A8">
        <w:t>As a result of b</w:t>
      </w:r>
      <w:r w:rsidRPr="009A6FF4">
        <w:t>udget adjustments in the middle of the year</w:t>
      </w:r>
      <w:r w:rsidR="00E070A8">
        <w:t xml:space="preserve"> where the received allocation was lower</w:t>
      </w:r>
      <w:r w:rsidR="000804DE">
        <w:t xml:space="preserve"> than the allocation approved in </w:t>
      </w:r>
      <w:r w:rsidR="00E070A8">
        <w:t>the work plan</w:t>
      </w:r>
      <w:r>
        <w:t>,</w:t>
      </w:r>
      <w:r w:rsidR="00B624DD">
        <w:t xml:space="preserve"> </w:t>
      </w:r>
      <w:r>
        <w:t xml:space="preserve">other new </w:t>
      </w:r>
      <w:r w:rsidRPr="009A6FF4">
        <w:t>positions</w:t>
      </w:r>
      <w:r w:rsidR="00E070A8">
        <w:t xml:space="preserve"> were </w:t>
      </w:r>
      <w:r w:rsidR="001D638A">
        <w:t>not</w:t>
      </w:r>
      <w:r w:rsidRPr="009A6FF4">
        <w:t xml:space="preserve"> </w:t>
      </w:r>
      <w:r>
        <w:t>recruited</w:t>
      </w:r>
      <w:r w:rsidR="0019655D">
        <w:t xml:space="preserve">. Available resources were therefore organised to deliver on committed </w:t>
      </w:r>
      <w:r w:rsidR="001D638A">
        <w:t>activities. Some</w:t>
      </w:r>
      <w:r w:rsidR="008C2F05">
        <w:t xml:space="preserve"> activities were also </w:t>
      </w:r>
      <w:r w:rsidR="001346F6">
        <w:t xml:space="preserve">necessarily </w:t>
      </w:r>
      <w:r w:rsidR="008C2F05">
        <w:t>impacted in scale and scope</w:t>
      </w:r>
      <w:r w:rsidR="0019655D">
        <w:t xml:space="preserve">; individual activity outcomes were still largely achieved through close dialogue and engagement with government counterparts on the extent of support that could be provided. </w:t>
      </w:r>
      <w:r w:rsidR="008C2F05">
        <w:t xml:space="preserve"> </w:t>
      </w:r>
      <w:r w:rsidR="008C2F05">
        <w:rPr>
          <w:rFonts w:cs="Cambria"/>
          <w:lang w:eastAsia="en-GB"/>
        </w:rPr>
        <w:t xml:space="preserve"> </w:t>
      </w:r>
    </w:p>
    <w:p w14:paraId="2E6CA168" w14:textId="2327AE7D" w:rsidR="007C26E0" w:rsidRPr="009A6FF4" w:rsidRDefault="007C26E0" w:rsidP="007C26E0">
      <w:pPr>
        <w:pStyle w:val="Body"/>
      </w:pPr>
      <w:r w:rsidRPr="009A6FF4">
        <w:t xml:space="preserve">TASS </w:t>
      </w:r>
      <w:r>
        <w:t xml:space="preserve">also </w:t>
      </w:r>
      <w:r w:rsidRPr="009A6FF4">
        <w:t xml:space="preserve">updated its program logic to better incorporate the centrality of </w:t>
      </w:r>
      <w:r w:rsidR="00F128BC">
        <w:t>TWP and K2P</w:t>
      </w:r>
      <w:r w:rsidRPr="009A6FF4">
        <w:t xml:space="preserve"> approaches</w:t>
      </w:r>
      <w:r>
        <w:t xml:space="preserve"> and to better reflect program efforts to support GoI bridge the policy-implementation gap</w:t>
      </w:r>
      <w:r w:rsidRPr="009A6FF4">
        <w:t xml:space="preserve">. Monitoring and evaluation, gender and disability inclusion and risk management continued to be a focus for the program, </w:t>
      </w:r>
      <w:r>
        <w:t>al</w:t>
      </w:r>
      <w:r w:rsidRPr="009A6FF4">
        <w:t xml:space="preserve">though </w:t>
      </w:r>
      <w:r>
        <w:t xml:space="preserve">efforts to pursue gender and disability inclusion </w:t>
      </w:r>
      <w:r w:rsidR="00B31AE5">
        <w:t>within committed</w:t>
      </w:r>
      <w:r w:rsidR="00033040">
        <w:t xml:space="preserve"> </w:t>
      </w:r>
      <w:r>
        <w:t xml:space="preserve">activities </w:t>
      </w:r>
      <w:r w:rsidR="00B31AE5">
        <w:t xml:space="preserve">were </w:t>
      </w:r>
      <w:r>
        <w:t>affected by the 2018</w:t>
      </w:r>
      <w:r w:rsidR="00F128BC">
        <w:t>-</w:t>
      </w:r>
      <w:r>
        <w:t>19 financial year</w:t>
      </w:r>
      <w:r w:rsidR="00B31AE5">
        <w:t xml:space="preserve"> allocation</w:t>
      </w:r>
      <w:r>
        <w:t xml:space="preserve">. </w:t>
      </w:r>
    </w:p>
    <w:p w14:paraId="43695FBD" w14:textId="77777777" w:rsidR="00210752" w:rsidRDefault="00210752" w:rsidP="00210752">
      <w:pPr>
        <w:pStyle w:val="Head2"/>
        <w:rPr>
          <w:rFonts w:eastAsia="Calibri"/>
        </w:rPr>
      </w:pPr>
      <w:bookmarkStart w:id="23" w:name="_Toc19006713"/>
      <w:r w:rsidRPr="0032704B">
        <w:rPr>
          <w:rFonts w:eastAsia="Calibri"/>
        </w:rPr>
        <w:t xml:space="preserve">2018 </w:t>
      </w:r>
      <w:r>
        <w:rPr>
          <w:rFonts w:eastAsia="Calibri"/>
        </w:rPr>
        <w:t>Context Overview</w:t>
      </w:r>
      <w:bookmarkEnd w:id="23"/>
    </w:p>
    <w:p w14:paraId="14F4B926" w14:textId="1F67035B" w:rsidR="007C26E0" w:rsidRPr="009D6A98" w:rsidRDefault="007C26E0" w:rsidP="007C26E0">
      <w:pPr>
        <w:pStyle w:val="Body"/>
      </w:pPr>
      <w:r w:rsidRPr="009D6A98">
        <w:t>Across all three of TASS’ counterpart ministries, planning for</w:t>
      </w:r>
      <w:r>
        <w:t xml:space="preserve"> the</w:t>
      </w:r>
      <w:r w:rsidRPr="009D6A98">
        <w:t xml:space="preserve"> next five-year administration (2020-2024) </w:t>
      </w:r>
      <w:r>
        <w:t xml:space="preserve">was a key focus throughout the year. Consequently, the nature of demand for TASS support followed suit.  </w:t>
      </w:r>
      <w:r w:rsidR="00EB58AC">
        <w:t>On many fronts it became clear that TASS support was being utilised by GoI to support preparation of new</w:t>
      </w:r>
      <w:r w:rsidR="0018026A">
        <w:t xml:space="preserve"> </w:t>
      </w:r>
      <w:r>
        <w:t>plans and s</w:t>
      </w:r>
      <w:r w:rsidRPr="009D6A98">
        <w:t xml:space="preserve">trategies </w:t>
      </w:r>
      <w:r>
        <w:t xml:space="preserve">for </w:t>
      </w:r>
      <w:r w:rsidRPr="009D6A98">
        <w:t xml:space="preserve">consideration of a new education minister in </w:t>
      </w:r>
      <w:r>
        <w:t xml:space="preserve">either </w:t>
      </w:r>
      <w:r w:rsidRPr="009D6A98">
        <w:t xml:space="preserve">late 2019 or early 2020. </w:t>
      </w:r>
    </w:p>
    <w:p w14:paraId="16950919" w14:textId="1F578251" w:rsidR="00551DC1" w:rsidRDefault="00F128BC" w:rsidP="00551DC1">
      <w:pPr>
        <w:pStyle w:val="Body"/>
      </w:pPr>
      <w:r>
        <w:t>T</w:t>
      </w:r>
      <w:r w:rsidR="007C26E0" w:rsidRPr="009D6A98">
        <w:t xml:space="preserve">he education sector </w:t>
      </w:r>
      <w:r>
        <w:t xml:space="preserve">overall </w:t>
      </w:r>
      <w:r w:rsidR="007C26E0" w:rsidRPr="009D6A98">
        <w:t>was relatively stable in 2018 with the government’s 2017 priorities (skills and vocational education and training, improving teacher and school quality, provision of senior secondary infrastructure, and promoting and expanding the number of recipients of the Indonesia Smart Card Program) continu</w:t>
      </w:r>
      <w:r>
        <w:t>ed</w:t>
      </w:r>
      <w:r w:rsidR="007C26E0" w:rsidRPr="009D6A98">
        <w:t xml:space="preserve"> to </w:t>
      </w:r>
      <w:r w:rsidR="007C26E0">
        <w:t>take precedence</w:t>
      </w:r>
      <w:r w:rsidR="007C26E0" w:rsidRPr="009D6A98">
        <w:t>.</w:t>
      </w:r>
      <w:r w:rsidR="007C26E0">
        <w:t xml:space="preserve"> President</w:t>
      </w:r>
      <w:r w:rsidR="007C26E0" w:rsidRPr="009D6A98">
        <w:t xml:space="preserve"> Jokowi’s focus on skills and vocational </w:t>
      </w:r>
      <w:r w:rsidR="007C26E0">
        <w:t xml:space="preserve">education </w:t>
      </w:r>
      <w:r w:rsidR="007C26E0" w:rsidRPr="009A6FF4">
        <w:t>remaine</w:t>
      </w:r>
      <w:r w:rsidR="007C26E0">
        <w:t xml:space="preserve">d another key policy platform in 2018; analysis conducted by TASS for the </w:t>
      </w:r>
      <w:r w:rsidR="007C26E0" w:rsidRPr="0018026A">
        <w:rPr>
          <w:i/>
        </w:rPr>
        <w:t>Bappenas</w:t>
      </w:r>
      <w:r w:rsidR="007C26E0">
        <w:t xml:space="preserve"> Education Sector Review/RPJMN Background Study uncovered </w:t>
      </w:r>
      <w:r w:rsidR="007C26E0" w:rsidRPr="009A6FF4">
        <w:t>rapid expansion in vocational high schools (SMK)</w:t>
      </w:r>
      <w:r w:rsidR="007C26E0">
        <w:t xml:space="preserve"> over the past number of years</w:t>
      </w:r>
      <w:r w:rsidR="007C26E0" w:rsidRPr="009A6FF4">
        <w:t xml:space="preserve">, many of which are small, private institutions that offer a low-quality education. </w:t>
      </w:r>
      <w:r w:rsidR="00033040">
        <w:t>The</w:t>
      </w:r>
      <w:r w:rsidR="007C26E0" w:rsidRPr="009A6FF4">
        <w:t xml:space="preserve"> focus on skills </w:t>
      </w:r>
      <w:r w:rsidR="00033040">
        <w:t xml:space="preserve">(i.e. at higher levels of education) </w:t>
      </w:r>
      <w:r w:rsidR="007C26E0" w:rsidRPr="009A6FF4">
        <w:t xml:space="preserve">has meant that </w:t>
      </w:r>
      <w:r w:rsidR="00033040">
        <w:t xml:space="preserve">it is more difficult to bring attention to </w:t>
      </w:r>
      <w:r w:rsidR="007C26E0" w:rsidRPr="009A6FF4">
        <w:t>key issues such as poor literacy and numeracy outcomes for primary and lower secondary graduates</w:t>
      </w:r>
      <w:r w:rsidR="00033040">
        <w:t xml:space="preserve"> and </w:t>
      </w:r>
      <w:r w:rsidR="007C26E0" w:rsidRPr="009A6FF4">
        <w:t xml:space="preserve">the need to invest </w:t>
      </w:r>
      <w:r w:rsidR="007C26E0">
        <w:t xml:space="preserve">further </w:t>
      </w:r>
      <w:r w:rsidR="007C26E0" w:rsidRPr="009A6FF4">
        <w:t xml:space="preserve">in basic, foundational skills. </w:t>
      </w:r>
      <w:r w:rsidR="00EB58AC" w:rsidRPr="00846C56">
        <w:t xml:space="preserve">TASS will continue to work with partners in 2019 to advocate for greater focus on </w:t>
      </w:r>
      <w:r w:rsidR="00EB58AC" w:rsidRPr="004165F0">
        <w:t>basic literacy, numeracy and science</w:t>
      </w:r>
      <w:r w:rsidR="004165F0">
        <w:t xml:space="preserve"> skills</w:t>
      </w:r>
      <w:r w:rsidR="004165F0" w:rsidRPr="004165F0">
        <w:t>, as w</w:t>
      </w:r>
      <w:r w:rsidR="004165F0" w:rsidRPr="00C252C1">
        <w:rPr>
          <w:lang w:val="en-AU"/>
        </w:rPr>
        <w:t>ithout a strong foundation of basic skills, students will struggle to complete their schooling and will be ill-prepared for the workforce.</w:t>
      </w:r>
      <w:r w:rsidR="004165F0" w:rsidRPr="004165F0">
        <w:rPr>
          <w:lang w:val="en-AU"/>
        </w:rPr>
        <w:t xml:space="preserve"> </w:t>
      </w:r>
      <w:r w:rsidR="007C26E0" w:rsidRPr="009A6FF4">
        <w:t>Th</w:t>
      </w:r>
      <w:r w:rsidR="007C26E0">
        <w:t xml:space="preserve">is period of relative stability in leadership has led to TASS deepening </w:t>
      </w:r>
      <w:r w:rsidR="00EB58AC">
        <w:t>its</w:t>
      </w:r>
      <w:r w:rsidR="007C26E0">
        <w:t xml:space="preserve"> relationships and has allowed </w:t>
      </w:r>
      <w:r w:rsidR="00EB58AC">
        <w:t>the program</w:t>
      </w:r>
      <w:r w:rsidR="007C26E0">
        <w:t xml:space="preserve"> to act as a trusted</w:t>
      </w:r>
      <w:r w:rsidR="007C26E0" w:rsidRPr="009A6FF4">
        <w:t xml:space="preserve"> ‘critical</w:t>
      </w:r>
      <w:r w:rsidR="007C26E0">
        <w:t xml:space="preserve"> friend’ </w:t>
      </w:r>
      <w:r w:rsidR="00EB58AC">
        <w:t>to key counterparts</w:t>
      </w:r>
      <w:r w:rsidR="007C26E0">
        <w:t xml:space="preserve">. </w:t>
      </w:r>
    </w:p>
    <w:p w14:paraId="68104717" w14:textId="77777777" w:rsidR="00210752" w:rsidRDefault="00210752" w:rsidP="00551DC1">
      <w:pPr>
        <w:pStyle w:val="Head3"/>
      </w:pPr>
      <w:bookmarkStart w:id="24" w:name="_Toc19006714"/>
      <w:r>
        <w:t>Ministry of Education and Culture</w:t>
      </w:r>
      <w:bookmarkEnd w:id="24"/>
    </w:p>
    <w:p w14:paraId="0F3556EC" w14:textId="57520378" w:rsidR="00210752" w:rsidRPr="009D6A98" w:rsidRDefault="00EB58AC" w:rsidP="002A3549">
      <w:pPr>
        <w:pStyle w:val="Body"/>
      </w:pPr>
      <w:r>
        <w:t xml:space="preserve">MoEC’s </w:t>
      </w:r>
      <w:r w:rsidR="00210752" w:rsidRPr="009D6A98">
        <w:t xml:space="preserve">major new policy initiative in 2018 was the introduction of a new zoning system for student enrolment. This saw MoEC interventions (such as infrastructure, teacher professional development, and grants for </w:t>
      </w:r>
      <w:r w:rsidR="00C252C1">
        <w:t xml:space="preserve">school </w:t>
      </w:r>
      <w:r w:rsidR="00353B22">
        <w:t>improvement</w:t>
      </w:r>
      <w:r w:rsidR="00210752" w:rsidRPr="009D6A98">
        <w:t>) redirected to rapidly improve quality in poorer performing schools</w:t>
      </w:r>
      <w:r w:rsidR="00353B22">
        <w:t xml:space="preserve"> within each</w:t>
      </w:r>
      <w:r w:rsidR="001B7C52">
        <w:t xml:space="preserve"> enrolment</w:t>
      </w:r>
      <w:r w:rsidR="00353B22">
        <w:t xml:space="preserve"> zone</w:t>
      </w:r>
      <w:r w:rsidR="00210752" w:rsidRPr="009D6A98">
        <w:t xml:space="preserve">. </w:t>
      </w:r>
    </w:p>
    <w:p w14:paraId="0C54604C" w14:textId="647949C7" w:rsidR="00F96311" w:rsidRDefault="00210752" w:rsidP="002A3549">
      <w:pPr>
        <w:pStyle w:val="Body"/>
      </w:pPr>
      <w:r w:rsidRPr="009D6A98">
        <w:t xml:space="preserve">MoEC continued its strong focus on the national examinations, continuing to expand </w:t>
      </w:r>
      <w:r w:rsidR="00033040" w:rsidRPr="009D6A98">
        <w:t>computer-based</w:t>
      </w:r>
      <w:r w:rsidRPr="009D6A98">
        <w:t xml:space="preserve"> testing and introducing for the first time a small proportion of higher order thinking skills (HOTS) items in the national exam. </w:t>
      </w:r>
      <w:r w:rsidR="00933684">
        <w:t>This</w:t>
      </w:r>
      <w:r w:rsidRPr="009D6A98">
        <w:t xml:space="preserve"> is </w:t>
      </w:r>
      <w:r w:rsidRPr="009A6FF4">
        <w:t>expected</w:t>
      </w:r>
      <w:r w:rsidRPr="009D6A98">
        <w:t xml:space="preserve"> to drive an increased emphasis on HOTS in classroom teaching and learning. </w:t>
      </w:r>
      <w:r w:rsidR="005C084B">
        <w:t>The Centre for Educational Assessment (</w:t>
      </w:r>
      <w:r w:rsidRPr="009D6A98">
        <w:t>Puspendik</w:t>
      </w:r>
      <w:r w:rsidR="005C084B">
        <w:t>)</w:t>
      </w:r>
      <w:r w:rsidRPr="009D6A98">
        <w:t xml:space="preserve"> expanded </w:t>
      </w:r>
      <w:r w:rsidR="005C084B">
        <w:t>the</w:t>
      </w:r>
      <w:r w:rsidR="005C084B" w:rsidRPr="005C084B">
        <w:t xml:space="preserve"> </w:t>
      </w:r>
      <w:r w:rsidR="005C084B">
        <w:t>National Assessment for Students (</w:t>
      </w:r>
      <w:r w:rsidR="005C084B" w:rsidRPr="00353B22">
        <w:rPr>
          <w:i/>
        </w:rPr>
        <w:t>Assessment Kompetensi Siswa Indonesia</w:t>
      </w:r>
      <w:r w:rsidR="005C084B">
        <w:t xml:space="preserve"> / </w:t>
      </w:r>
      <w:r w:rsidRPr="009D6A98">
        <w:t>AKSI</w:t>
      </w:r>
      <w:r w:rsidR="005C084B">
        <w:t>)</w:t>
      </w:r>
      <w:r w:rsidRPr="009D6A98">
        <w:t xml:space="preserve"> with a new “AKSI for schools” test that is intended to support schools to use assessment data to inform teaching of the curriculum. </w:t>
      </w:r>
      <w:r w:rsidR="00F96311">
        <w:t xml:space="preserve">Both of these are a positive development that, if done well, will provide sound data for teachers to reflect on and adjust their teaching, and over time, contribute to improved teaching practice and better learning for students. </w:t>
      </w:r>
    </w:p>
    <w:p w14:paraId="332E65E3" w14:textId="24E1DE9B" w:rsidR="005C0F30" w:rsidRDefault="00E97AC8" w:rsidP="002A3549">
      <w:pPr>
        <w:pStyle w:val="Body"/>
      </w:pPr>
      <w:r>
        <w:t>A window emerged mid-year to advocate for more efficient t</w:t>
      </w:r>
      <w:r w:rsidR="00C54096">
        <w:t xml:space="preserve">eacher recruitment and </w:t>
      </w:r>
      <w:r>
        <w:t xml:space="preserve">to pursue teacher redistribution, after the Vice President’s office turned attention to the significant number of retired and retiring teachers </w:t>
      </w:r>
      <w:r w:rsidRPr="00FC705D">
        <w:t>who under the 201</w:t>
      </w:r>
      <w:r w:rsidR="00FC705D" w:rsidRPr="00FC705D">
        <w:t xml:space="preserve">4 </w:t>
      </w:r>
      <w:r w:rsidRPr="00FC705D">
        <w:t>moratorium</w:t>
      </w:r>
      <w:r>
        <w:t xml:space="preserve"> on recruitment of civil servants had not been able to be replaced </w:t>
      </w:r>
      <w:r w:rsidR="00AE6444">
        <w:t>(</w:t>
      </w:r>
      <w:r>
        <w:t>other than with c</w:t>
      </w:r>
      <w:r w:rsidR="00AE6444">
        <w:t xml:space="preserve">asual or </w:t>
      </w:r>
      <w:r>
        <w:t>honorary teachers</w:t>
      </w:r>
      <w:r w:rsidR="00AE6444">
        <w:t>)</w:t>
      </w:r>
      <w:r>
        <w:t xml:space="preserve">. This presented an opportunity for TASS to support a reform minded counterpart with </w:t>
      </w:r>
      <w:r w:rsidR="001B7C52">
        <w:t xml:space="preserve">the </w:t>
      </w:r>
      <w:r>
        <w:t xml:space="preserve">data analysis and international evidence to support </w:t>
      </w:r>
      <w:r w:rsidR="001B7C52">
        <w:t xml:space="preserve">their </w:t>
      </w:r>
      <w:r>
        <w:t xml:space="preserve">proposals for a more efficient teacher </w:t>
      </w:r>
      <w:r w:rsidRPr="009A6FF4">
        <w:t>workforce</w:t>
      </w:r>
      <w:r>
        <w:t xml:space="preserve">, through application of policies such as multi-grade and multi-subject teaching, increasing teacher statutory working hours (i.e. in classroom time) </w:t>
      </w:r>
      <w:r w:rsidR="001B7C52">
        <w:t>to be</w:t>
      </w:r>
      <w:r>
        <w:t xml:space="preserve"> in line with many other countries, and redistributing teachers from overstaffed schools. </w:t>
      </w:r>
    </w:p>
    <w:p w14:paraId="395C88AB" w14:textId="232DDEC3" w:rsidR="00210752" w:rsidRDefault="00210752" w:rsidP="002A3549">
      <w:pPr>
        <w:pStyle w:val="Body"/>
      </w:pPr>
      <w:r w:rsidRPr="009D6A98">
        <w:t xml:space="preserve">Character education had a lower profile in 2018 compared to previous years. It appears to be relatively settled and accepted as a policy area - no new regulations were issued on character compared to three in each of 2015, 2016 and 2017. Media reporting on worrying levels of religious intolerance in the teaching staff and student population in tertiary institutions and secondary schools </w:t>
      </w:r>
      <w:r w:rsidR="00043FAA">
        <w:t>has</w:t>
      </w:r>
      <w:r w:rsidRPr="009D6A98">
        <w:t xml:space="preserve"> reinforce</w:t>
      </w:r>
      <w:r w:rsidR="00043FAA">
        <w:t>d</w:t>
      </w:r>
      <w:r w:rsidRPr="009D6A98">
        <w:t xml:space="preserve"> the </w:t>
      </w:r>
      <w:r w:rsidR="00043FAA">
        <w:t xml:space="preserve">importance of policies to address radicalism </w:t>
      </w:r>
      <w:r w:rsidR="00077BFB">
        <w:t>risks.</w:t>
      </w:r>
      <w:r w:rsidRPr="009D6A98">
        <w:t xml:space="preserve"> </w:t>
      </w:r>
      <w:r w:rsidR="00D57DE0">
        <w:t xml:space="preserve">Opportunities in 2018 to shift the character conversation </w:t>
      </w:r>
      <w:r w:rsidR="00512511">
        <w:t xml:space="preserve">to </w:t>
      </w:r>
      <w:r w:rsidR="00043FAA">
        <w:t xml:space="preserve">include </w:t>
      </w:r>
      <w:r w:rsidR="00D57DE0">
        <w:t xml:space="preserve">student </w:t>
      </w:r>
      <w:r w:rsidR="00512511">
        <w:t xml:space="preserve">wellbeing and </w:t>
      </w:r>
      <w:r w:rsidR="00043FAA">
        <w:t xml:space="preserve">the </w:t>
      </w:r>
      <w:r w:rsidR="00512511">
        <w:t>development of important non-cognitive skills (such as self-regulation, adaptability, innovation, inquisitiveness and creativity) were furthered in the RPJMN process through a partnership with a local education policy research and policy organisation, Centre for the Study of Education Policy</w:t>
      </w:r>
      <w:r w:rsidR="005C084B">
        <w:t xml:space="preserve"> (</w:t>
      </w:r>
      <w:r w:rsidR="005C084B" w:rsidRPr="008037FA">
        <w:rPr>
          <w:i/>
        </w:rPr>
        <w:t>Pusat Studi Kebijakan dan Pendidikan</w:t>
      </w:r>
      <w:r w:rsidR="005C084B">
        <w:t xml:space="preserve"> / PSPK</w:t>
      </w:r>
      <w:r w:rsidR="00512511">
        <w:t>). A first draft of the RPJMN sighted at the time of writing this report included this content.</w:t>
      </w:r>
    </w:p>
    <w:p w14:paraId="2DF3C7BD" w14:textId="3CCC9170" w:rsidR="00210752" w:rsidRPr="00512511" w:rsidRDefault="00210752" w:rsidP="002A3549">
      <w:pPr>
        <w:pStyle w:val="Body"/>
        <w:sectPr w:rsidR="00210752" w:rsidRPr="00512511" w:rsidSect="00805AD4">
          <w:footerReference w:type="default" r:id="rId16"/>
          <w:pgSz w:w="11906" w:h="16838" w:code="9"/>
          <w:pgMar w:top="1134" w:right="1134" w:bottom="1276" w:left="1134" w:header="709" w:footer="709" w:gutter="0"/>
          <w:pgNumType w:start="1"/>
          <w:cols w:space="708"/>
          <w:docGrid w:linePitch="360"/>
        </w:sectPr>
      </w:pPr>
      <w:r>
        <w:t xml:space="preserve">In 2018, TASS actively managed </w:t>
      </w:r>
      <w:r w:rsidR="00512511" w:rsidRPr="009A6FF4">
        <w:t>eight</w:t>
      </w:r>
      <w:r>
        <w:t xml:space="preserve"> activities with the Ministry of Education and Culture, and was in the process of </w:t>
      </w:r>
      <w:r w:rsidR="00512511">
        <w:t>designing two activities in Q</w:t>
      </w:r>
      <w:r w:rsidR="008037FA">
        <w:t xml:space="preserve">uarter </w:t>
      </w:r>
      <w:r w:rsidR="00512511">
        <w:t xml:space="preserve">4, as </w:t>
      </w:r>
      <w:r w:rsidR="00512511" w:rsidRPr="001F71AE">
        <w:t xml:space="preserve">outlined in Table </w:t>
      </w:r>
      <w:r w:rsidR="008037FA" w:rsidRPr="001F71AE">
        <w:t>1</w:t>
      </w:r>
      <w:r w:rsidR="00512511" w:rsidRPr="001F71AE">
        <w:t xml:space="preserve"> below.</w:t>
      </w:r>
      <w:r w:rsidR="00551DC1">
        <w:t xml:space="preserve">  </w:t>
      </w:r>
      <w:r w:rsidR="00551DC1" w:rsidRPr="00551DC1">
        <w:t>While TASS was able to capitalise on many opportunities presented in 2018, there were some opportunities that fell outside of TASS’ scope, capacity or resourcing levels</w:t>
      </w:r>
      <w:r w:rsidR="005353E8">
        <w:t xml:space="preserve"> (s</w:t>
      </w:r>
      <w:r w:rsidR="00551DC1" w:rsidRPr="00551DC1">
        <w:t>ee Annex 1 for more details</w:t>
      </w:r>
      <w:r w:rsidR="005353E8">
        <w:t>)</w:t>
      </w:r>
      <w:r w:rsidR="00551DC1" w:rsidRPr="00551DC1">
        <w:t>.</w:t>
      </w:r>
    </w:p>
    <w:p w14:paraId="7C42594D" w14:textId="5393F166" w:rsidR="00210752" w:rsidRPr="007C6AC4" w:rsidRDefault="00210752" w:rsidP="00551DC1">
      <w:pPr>
        <w:pStyle w:val="Caption"/>
        <w:spacing w:after="0"/>
        <w:rPr>
          <w:color w:val="auto"/>
          <w:szCs w:val="20"/>
        </w:rPr>
      </w:pPr>
      <w:bookmarkStart w:id="25" w:name="_Toc19006747"/>
      <w:r>
        <w:t xml:space="preserve">Table </w:t>
      </w:r>
      <w:r>
        <w:fldChar w:fldCharType="begin"/>
      </w:r>
      <w:r>
        <w:instrText xml:space="preserve"> SEQ Table \* ARABIC </w:instrText>
      </w:r>
      <w:r>
        <w:fldChar w:fldCharType="separate"/>
      </w:r>
      <w:r w:rsidR="00505CCA">
        <w:rPr>
          <w:noProof/>
        </w:rPr>
        <w:t>1</w:t>
      </w:r>
      <w:r>
        <w:fldChar w:fldCharType="end"/>
      </w:r>
      <w:r>
        <w:t xml:space="preserve">: </w:t>
      </w:r>
      <w:r w:rsidRPr="00AA701E">
        <w:t xml:space="preserve">Activities </w:t>
      </w:r>
      <w:r w:rsidR="008037FA">
        <w:t xml:space="preserve">delivered </w:t>
      </w:r>
      <w:r w:rsidRPr="00AA701E">
        <w:t>in partnership with MoEC in 2018</w:t>
      </w:r>
      <w:bookmarkEnd w:id="25"/>
    </w:p>
    <w:tbl>
      <w:tblPr>
        <w:tblStyle w:val="ColorfulList1"/>
        <w:tblW w:w="14428" w:type="dxa"/>
        <w:tblLayout w:type="fixed"/>
        <w:tblLook w:val="04A0" w:firstRow="1" w:lastRow="0" w:firstColumn="1" w:lastColumn="0" w:noHBand="0" w:noVBand="1"/>
      </w:tblPr>
      <w:tblGrid>
        <w:gridCol w:w="851"/>
        <w:gridCol w:w="1701"/>
        <w:gridCol w:w="2693"/>
        <w:gridCol w:w="1843"/>
        <w:gridCol w:w="1276"/>
        <w:gridCol w:w="2551"/>
        <w:gridCol w:w="3513"/>
      </w:tblGrid>
      <w:tr w:rsidR="000525DF" w:rsidRPr="0032704B" w14:paraId="7FBFBE61" w14:textId="2B4166FC" w:rsidTr="00FE6F3E">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851" w:type="dxa"/>
            <w:shd w:val="clear" w:color="auto" w:fill="002060"/>
          </w:tcPr>
          <w:p w14:paraId="1868CF4B" w14:textId="0FB3BD50" w:rsidR="008C03EE" w:rsidRPr="001F71AE" w:rsidRDefault="008C03EE" w:rsidP="00FE6F3E">
            <w:pPr>
              <w:pStyle w:val="Body"/>
              <w:rPr>
                <w:color w:val="FFFFFF" w:themeColor="background1"/>
              </w:rPr>
            </w:pPr>
            <w:r w:rsidRPr="001F71AE">
              <w:rPr>
                <w:color w:val="FFFFFF" w:themeColor="background1"/>
              </w:rPr>
              <w:t xml:space="preserve">Activity </w:t>
            </w:r>
            <w:r w:rsidR="00FE6F3E">
              <w:rPr>
                <w:color w:val="FFFFFF" w:themeColor="background1"/>
              </w:rPr>
              <w:t>#</w:t>
            </w:r>
          </w:p>
        </w:tc>
        <w:tc>
          <w:tcPr>
            <w:tcW w:w="1701" w:type="dxa"/>
            <w:tcBorders>
              <w:right w:val="single" w:sz="4" w:space="0" w:color="auto"/>
            </w:tcBorders>
            <w:shd w:val="clear" w:color="auto" w:fill="002060"/>
          </w:tcPr>
          <w:p w14:paraId="07E52E84" w14:textId="77777777" w:rsidR="008C03EE" w:rsidRPr="001F71AE" w:rsidRDefault="008C03EE" w:rsidP="002A3549">
            <w:pPr>
              <w:pStyle w:val="Body"/>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1F71AE">
              <w:rPr>
                <w:color w:val="FFFFFF" w:themeColor="background1"/>
              </w:rPr>
              <w:t>Activity Name</w:t>
            </w:r>
          </w:p>
        </w:tc>
        <w:tc>
          <w:tcPr>
            <w:tcW w:w="2693" w:type="dxa"/>
            <w:tcBorders>
              <w:left w:val="single" w:sz="4" w:space="0" w:color="auto"/>
            </w:tcBorders>
            <w:shd w:val="clear" w:color="auto" w:fill="002060"/>
          </w:tcPr>
          <w:p w14:paraId="7E362F41" w14:textId="77777777" w:rsidR="008C03EE" w:rsidRPr="001F71AE" w:rsidRDefault="008C03EE" w:rsidP="002A3549">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sidRPr="001F71AE">
              <w:rPr>
                <w:color w:val="FFFFFF" w:themeColor="background1"/>
              </w:rPr>
              <w:t>Description</w:t>
            </w:r>
          </w:p>
        </w:tc>
        <w:tc>
          <w:tcPr>
            <w:tcW w:w="1843" w:type="dxa"/>
            <w:tcBorders>
              <w:left w:val="single" w:sz="4" w:space="0" w:color="auto"/>
            </w:tcBorders>
            <w:shd w:val="clear" w:color="auto" w:fill="002060"/>
          </w:tcPr>
          <w:p w14:paraId="5CB3D9A0" w14:textId="6BBCD766" w:rsidR="008C03EE" w:rsidRPr="001F71AE" w:rsidRDefault="008C03EE" w:rsidP="002A3549">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Counterparts</w:t>
            </w:r>
          </w:p>
        </w:tc>
        <w:tc>
          <w:tcPr>
            <w:tcW w:w="1276" w:type="dxa"/>
            <w:tcBorders>
              <w:left w:val="single" w:sz="4" w:space="0" w:color="auto"/>
              <w:right w:val="single" w:sz="4" w:space="0" w:color="auto"/>
            </w:tcBorders>
            <w:shd w:val="clear" w:color="auto" w:fill="002060"/>
          </w:tcPr>
          <w:p w14:paraId="7C72BD3C" w14:textId="46A059D8" w:rsidR="008C03EE" w:rsidRPr="001F71AE" w:rsidRDefault="008C03EE" w:rsidP="002A3549">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Timeline</w:t>
            </w:r>
          </w:p>
        </w:tc>
        <w:tc>
          <w:tcPr>
            <w:tcW w:w="2551" w:type="dxa"/>
            <w:tcBorders>
              <w:left w:val="single" w:sz="4" w:space="0" w:color="auto"/>
            </w:tcBorders>
            <w:shd w:val="clear" w:color="auto" w:fill="002060"/>
          </w:tcPr>
          <w:p w14:paraId="736F4FAD" w14:textId="10A37BA1" w:rsidR="008C03EE" w:rsidRPr="001F71AE" w:rsidRDefault="008C03EE" w:rsidP="002A3549">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Target output</w:t>
            </w:r>
          </w:p>
        </w:tc>
        <w:tc>
          <w:tcPr>
            <w:tcW w:w="3513" w:type="dxa"/>
            <w:tcBorders>
              <w:left w:val="single" w:sz="4" w:space="0" w:color="auto"/>
            </w:tcBorders>
            <w:shd w:val="clear" w:color="auto" w:fill="002060"/>
          </w:tcPr>
          <w:p w14:paraId="07189A9B" w14:textId="6019FC98" w:rsidR="008C03EE" w:rsidRDefault="008C03EE" w:rsidP="002A3549">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Progress</w:t>
            </w:r>
          </w:p>
        </w:tc>
      </w:tr>
      <w:tr w:rsidR="000525DF" w14:paraId="46988585" w14:textId="55EFE39B" w:rsidTr="00FE6F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51" w:type="dxa"/>
          </w:tcPr>
          <w:p w14:paraId="79F7937C" w14:textId="77777777" w:rsidR="008C03EE" w:rsidRPr="004147C8" w:rsidRDefault="008C03EE" w:rsidP="00E43B7A">
            <w:pPr>
              <w:pStyle w:val="Body"/>
              <w:jc w:val="left"/>
            </w:pPr>
            <w:r w:rsidRPr="004147C8">
              <w:t>#003</w:t>
            </w:r>
            <w:r>
              <w:t>B and # G017</w:t>
            </w:r>
          </w:p>
        </w:tc>
        <w:tc>
          <w:tcPr>
            <w:tcW w:w="1701" w:type="dxa"/>
          </w:tcPr>
          <w:p w14:paraId="29E1ECD1" w14:textId="77777777" w:rsidR="008C03EE" w:rsidRPr="000C28F8"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r w:rsidRPr="000C28F8">
              <w:t xml:space="preserve">Data </w:t>
            </w:r>
            <w:r>
              <w:t>Analysis</w:t>
            </w:r>
            <w:r w:rsidRPr="000C28F8">
              <w:t xml:space="preserve"> for Policy and Planning (Phase 2</w:t>
            </w:r>
            <w:r>
              <w:t xml:space="preserve"> and 3</w:t>
            </w:r>
            <w:r w:rsidRPr="000C28F8">
              <w:t>)</w:t>
            </w:r>
          </w:p>
        </w:tc>
        <w:tc>
          <w:tcPr>
            <w:tcW w:w="2693" w:type="dxa"/>
          </w:tcPr>
          <w:p w14:paraId="5B46CFA3" w14:textId="5216AA25" w:rsidR="008C03EE" w:rsidRDefault="008C03EE" w:rsidP="00E43B7A">
            <w:pPr>
              <w:pStyle w:val="Body"/>
              <w:jc w:val="left"/>
              <w:cnfStyle w:val="000000100000" w:firstRow="0" w:lastRow="0" w:firstColumn="0" w:lastColumn="0" w:oddVBand="0" w:evenVBand="0" w:oddHBand="1" w:evenHBand="0" w:firstRowFirstColumn="0" w:firstRowLastColumn="0" w:lastRowFirstColumn="0" w:lastRowLastColumn="0"/>
              <w:rPr>
                <w:color w:val="002060"/>
                <w:szCs w:val="20"/>
              </w:rPr>
            </w:pPr>
            <w:r>
              <w:t xml:space="preserve">Working with BPKLN, a team of </w:t>
            </w:r>
            <w:r w:rsidR="00077BFB">
              <w:t>short-term</w:t>
            </w:r>
            <w:r>
              <w:t xml:space="preserve"> advisers provide </w:t>
            </w:r>
            <w:r w:rsidRPr="00E46EA3">
              <w:t>technical assistance</w:t>
            </w:r>
            <w:r>
              <w:t xml:space="preserve"> </w:t>
            </w:r>
            <w:r w:rsidRPr="00E46EA3">
              <w:t xml:space="preserve">on extracting and </w:t>
            </w:r>
            <w:r w:rsidRPr="00077BFB">
              <w:rPr>
                <w:lang w:val="en-AU"/>
              </w:rPr>
              <w:t>analysing</w:t>
            </w:r>
            <w:r w:rsidRPr="00E46EA3">
              <w:t xml:space="preserve"> data, while building the capacity of selected MoEC personnel to undertake data analysis and use findings to inform planning and policy.</w:t>
            </w:r>
          </w:p>
        </w:tc>
        <w:tc>
          <w:tcPr>
            <w:tcW w:w="1843" w:type="dxa"/>
          </w:tcPr>
          <w:p w14:paraId="5DB9A1CE" w14:textId="77777777" w:rsidR="008C03EE" w:rsidRDefault="000525DF" w:rsidP="00E43B7A">
            <w:pPr>
              <w:pStyle w:val="Body"/>
              <w:jc w:val="left"/>
              <w:cnfStyle w:val="000000100000" w:firstRow="0" w:lastRow="0" w:firstColumn="0" w:lastColumn="0" w:oddVBand="0" w:evenVBand="0" w:oddHBand="1" w:evenHBand="0" w:firstRowFirstColumn="0" w:firstRowLastColumn="0" w:lastRowFirstColumn="0" w:lastRowLastColumn="0"/>
              <w:rPr>
                <w:rFonts w:eastAsia="Arial"/>
                <w:lang w:val="en-GB" w:eastAsia="en-AU" w:bidi="ar-SA"/>
              </w:rPr>
            </w:pPr>
            <w:r w:rsidRPr="00052BEF">
              <w:rPr>
                <w:rFonts w:eastAsia="Arial"/>
                <w:lang w:val="en-GB" w:eastAsia="en-AU" w:bidi="ar-SA"/>
              </w:rPr>
              <w:t>Head, Bureau of Planning and Foreign Cooperation (BPKLN), MoEC</w:t>
            </w:r>
          </w:p>
          <w:p w14:paraId="35813527" w14:textId="77777777"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rPr>
                <w:rFonts w:eastAsia="Arial"/>
                <w:lang w:val="en-GB" w:eastAsia="en-AU" w:bidi="ar-SA"/>
              </w:rPr>
            </w:pPr>
          </w:p>
          <w:p w14:paraId="6854461F" w14:textId="16233E90"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rsidRPr="00052BEF">
              <w:rPr>
                <w:rFonts w:eastAsia="Arial"/>
                <w:lang w:val="en-GB" w:eastAsia="en-AU" w:bidi="ar-SA"/>
              </w:rPr>
              <w:t>Head of Policy Sub-Unit, Program Performance and Evaluation Unit, BPKLN, MoEC</w:t>
            </w:r>
          </w:p>
        </w:tc>
        <w:tc>
          <w:tcPr>
            <w:tcW w:w="1276" w:type="dxa"/>
          </w:tcPr>
          <w:p w14:paraId="7AFA4806" w14:textId="6EA9FB1F" w:rsidR="000525DF" w:rsidRDefault="000525DF" w:rsidP="00E43B7A">
            <w:pPr>
              <w:suppressAutoHyphens/>
              <w:spacing w:line="264" w:lineRule="auto"/>
              <w:cnfStyle w:val="000000100000" w:firstRow="0" w:lastRow="0" w:firstColumn="0" w:lastColumn="0" w:oddVBand="0" w:evenVBand="0" w:oddHBand="1" w:evenHBand="0" w:firstRowFirstColumn="0" w:firstRowLastColumn="0" w:lastRowFirstColumn="0" w:lastRowLastColumn="0"/>
              <w:rPr>
                <w:rFonts w:ascii="Cambria" w:eastAsia="Arial" w:hAnsi="Cambria" w:cs="Arial"/>
                <w:color w:val="000000"/>
                <w:lang w:val="en-GB" w:eastAsia="en-AU" w:bidi="ar-SA"/>
              </w:rPr>
            </w:pPr>
            <w:r w:rsidRPr="00052BEF">
              <w:rPr>
                <w:rFonts w:ascii="Cambria" w:eastAsia="Arial" w:hAnsi="Cambria" w:cs="Arial"/>
                <w:color w:val="000000"/>
                <w:lang w:val="en-GB" w:eastAsia="en-AU" w:bidi="ar-SA"/>
              </w:rPr>
              <w:t>Phase 2: July 2017 – June 2018</w:t>
            </w:r>
          </w:p>
          <w:p w14:paraId="366BA3BC" w14:textId="77777777" w:rsidR="008C03EE"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p>
          <w:p w14:paraId="5A75430E" w14:textId="5F9A4F2B" w:rsidR="000525DF" w:rsidRDefault="000525DF" w:rsidP="00E43B7A">
            <w:pPr>
              <w:suppressAutoHyphens/>
              <w:spacing w:line="264" w:lineRule="auto"/>
              <w:cnfStyle w:val="000000100000" w:firstRow="0" w:lastRow="0" w:firstColumn="0" w:lastColumn="0" w:oddVBand="0" w:evenVBand="0" w:oddHBand="1" w:evenHBand="0" w:firstRowFirstColumn="0" w:firstRowLastColumn="0" w:lastRowFirstColumn="0" w:lastRowLastColumn="0"/>
              <w:rPr>
                <w:rFonts w:ascii="Cambria" w:eastAsia="Arial" w:hAnsi="Cambria" w:cs="Arial"/>
                <w:color w:val="000000"/>
                <w:lang w:val="en-GB" w:eastAsia="en-AU" w:bidi="ar-SA"/>
              </w:rPr>
            </w:pPr>
            <w:r w:rsidRPr="00052BEF">
              <w:rPr>
                <w:rFonts w:ascii="Cambria" w:eastAsia="Arial" w:hAnsi="Cambria" w:cs="Arial"/>
                <w:color w:val="000000"/>
                <w:lang w:val="en-GB" w:eastAsia="en-AU" w:bidi="ar-SA"/>
              </w:rPr>
              <w:t>Phase 3: October 2018 – March 2019</w:t>
            </w:r>
          </w:p>
          <w:p w14:paraId="226C3332" w14:textId="77777777"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p>
        </w:tc>
        <w:tc>
          <w:tcPr>
            <w:tcW w:w="2551" w:type="dxa"/>
          </w:tcPr>
          <w:p w14:paraId="2FB272DD" w14:textId="2DE80CD3"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1 Identified data sets (i.e. the combination of data sets/variables that may be used to meet the objectives of the analysis). </w:t>
            </w:r>
          </w:p>
          <w:p w14:paraId="6BED58D5" w14:textId="62FF84A2"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2 The results from the statistical analyses. </w:t>
            </w:r>
          </w:p>
          <w:p w14:paraId="7DF6BD0A" w14:textId="5AE5DD61" w:rsidR="008C03EE"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t>3 Sets of findings/recommendations designed to inform policy/decision making.</w:t>
            </w:r>
          </w:p>
        </w:tc>
        <w:tc>
          <w:tcPr>
            <w:tcW w:w="3513" w:type="dxa"/>
          </w:tcPr>
          <w:p w14:paraId="0C74694A" w14:textId="34702008"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Analyses were undertaken with MoEC staff and technical support provided for interpretation of data and co-development of materials for presentation, in the following areas:  </w:t>
            </w:r>
            <w:r w:rsidRPr="00E77259">
              <w:t xml:space="preserve">Teacher </w:t>
            </w:r>
            <w:r w:rsidR="00077BFB" w:rsidRPr="00E77259">
              <w:t>utilisation,</w:t>
            </w:r>
            <w:r>
              <w:t xml:space="preserve"> e</w:t>
            </w:r>
            <w:r w:rsidRPr="00E77259">
              <w:t>ducation enrolment indicators</w:t>
            </w:r>
            <w:r>
              <w:t>, t</w:t>
            </w:r>
            <w:r w:rsidRPr="00E77259">
              <w:t>eacher recruitment</w:t>
            </w:r>
            <w:r>
              <w:t>, e</w:t>
            </w:r>
            <w:r w:rsidRPr="00E77259">
              <w:t>ducation financing</w:t>
            </w:r>
            <w:r>
              <w:t>, e</w:t>
            </w:r>
            <w:r w:rsidRPr="00586D21">
              <w:t xml:space="preserve">stimates for MoEC’s </w:t>
            </w:r>
            <w:r w:rsidRPr="0018026A">
              <w:rPr>
                <w:i/>
              </w:rPr>
              <w:t>Renstra</w:t>
            </w:r>
            <w:r w:rsidRPr="00586D21">
              <w:t xml:space="preserve"> financing framework</w:t>
            </w:r>
            <w:r w:rsidR="005331E7">
              <w:t>.</w:t>
            </w:r>
          </w:p>
          <w:p w14:paraId="6D5CE312" w14:textId="1F8026D2" w:rsidR="005331E7" w:rsidRDefault="005331E7" w:rsidP="00E43B7A">
            <w:pPr>
              <w:pStyle w:val="Body"/>
              <w:jc w:val="left"/>
              <w:cnfStyle w:val="000000100000" w:firstRow="0" w:lastRow="0" w:firstColumn="0" w:lastColumn="0" w:oddVBand="0" w:evenVBand="0" w:oddHBand="1" w:evenHBand="0" w:firstRowFirstColumn="0" w:firstRowLastColumn="0" w:lastRowFirstColumn="0" w:lastRowLastColumn="0"/>
            </w:pPr>
          </w:p>
          <w:p w14:paraId="6EFB8D18" w14:textId="4341DC47" w:rsidR="008C03EE" w:rsidRDefault="005331E7" w:rsidP="005331E7">
            <w:pPr>
              <w:pStyle w:val="Body"/>
              <w:cnfStyle w:val="000000100000" w:firstRow="0" w:lastRow="0" w:firstColumn="0" w:lastColumn="0" w:oddVBand="0" w:evenVBand="0" w:oddHBand="1" w:evenHBand="0" w:firstRowFirstColumn="0" w:firstRowLastColumn="0" w:lastRowFirstColumn="0" w:lastRowLastColumn="0"/>
            </w:pPr>
            <w:r>
              <w:t>A</w:t>
            </w:r>
            <w:r w:rsidRPr="00586D21">
              <w:t xml:space="preserve">nalyses were used by senior decision makers and shared with the Minister and onwards to MoF, the Coordinating Ministry for Human Development and Culture, and the Vice President’s office to inform discussions on key policy issues. </w:t>
            </w:r>
          </w:p>
        </w:tc>
      </w:tr>
      <w:tr w:rsidR="000525DF" w14:paraId="2ACC4D96" w14:textId="4360BF1D" w:rsidTr="00FE6F3E">
        <w:trPr>
          <w:trHeight w:val="263"/>
        </w:trPr>
        <w:tc>
          <w:tcPr>
            <w:cnfStyle w:val="001000000000" w:firstRow="0" w:lastRow="0" w:firstColumn="1" w:lastColumn="0" w:oddVBand="0" w:evenVBand="0" w:oddHBand="0" w:evenHBand="0" w:firstRowFirstColumn="0" w:firstRowLastColumn="0" w:lastRowFirstColumn="0" w:lastRowLastColumn="0"/>
            <w:tcW w:w="851" w:type="dxa"/>
          </w:tcPr>
          <w:p w14:paraId="644708F8" w14:textId="77777777" w:rsidR="008C03EE" w:rsidRPr="004147C8" w:rsidRDefault="008C03EE" w:rsidP="00E43B7A">
            <w:pPr>
              <w:pStyle w:val="Body"/>
              <w:jc w:val="left"/>
            </w:pPr>
            <w:r>
              <w:t>#005</w:t>
            </w:r>
          </w:p>
        </w:tc>
        <w:tc>
          <w:tcPr>
            <w:tcW w:w="1701" w:type="dxa"/>
          </w:tcPr>
          <w:p w14:paraId="14300124" w14:textId="77777777" w:rsidR="008C03EE" w:rsidRPr="000C28F8" w:rsidRDefault="008C03EE" w:rsidP="00E43B7A">
            <w:pPr>
              <w:pStyle w:val="Body"/>
              <w:jc w:val="left"/>
              <w:cnfStyle w:val="000000000000" w:firstRow="0" w:lastRow="0" w:firstColumn="0" w:lastColumn="0" w:oddVBand="0" w:evenVBand="0" w:oddHBand="0" w:evenHBand="0" w:firstRowFirstColumn="0" w:firstRowLastColumn="0" w:lastRowFirstColumn="0" w:lastRowLastColumn="0"/>
            </w:pPr>
            <w:r w:rsidRPr="000C28F8">
              <w:t>Support for establishment of SEAMEO-CECCEP Facility</w:t>
            </w:r>
          </w:p>
        </w:tc>
        <w:tc>
          <w:tcPr>
            <w:tcW w:w="2693" w:type="dxa"/>
          </w:tcPr>
          <w:p w14:paraId="10A87CE6" w14:textId="77777777" w:rsidR="008C03EE" w:rsidRDefault="008C03EE" w:rsidP="00E43B7A">
            <w:pPr>
              <w:pStyle w:val="Body"/>
              <w:jc w:val="left"/>
              <w:cnfStyle w:val="000000000000" w:firstRow="0" w:lastRow="0" w:firstColumn="0" w:lastColumn="0" w:oddVBand="0" w:evenVBand="0" w:oddHBand="0" w:evenHBand="0" w:firstRowFirstColumn="0" w:firstRowLastColumn="0" w:lastRowFirstColumn="0" w:lastRowLastColumn="0"/>
            </w:pPr>
            <w:r>
              <w:t xml:space="preserve">Supporting the </w:t>
            </w:r>
            <w:r w:rsidRPr="00923796">
              <w:rPr>
                <w:bCs/>
              </w:rPr>
              <w:t>DG of Early Childhood Education and Community Education</w:t>
            </w:r>
            <w:r w:rsidRPr="009A0DC3">
              <w:t xml:space="preserve"> to operationalise the newly established South East Asian Ministers of Education Organisation </w:t>
            </w:r>
            <w:r>
              <w:t xml:space="preserve">(SEAMEO) </w:t>
            </w:r>
            <w:r w:rsidRPr="009A0DC3">
              <w:t>Regional Centre for Early Childhood Care and Education and Parenting</w:t>
            </w:r>
            <w:r>
              <w:t xml:space="preserve"> (CECCEP)</w:t>
            </w:r>
            <w:r w:rsidRPr="009A0DC3">
              <w:t>.</w:t>
            </w:r>
          </w:p>
        </w:tc>
        <w:tc>
          <w:tcPr>
            <w:tcW w:w="1843" w:type="dxa"/>
          </w:tcPr>
          <w:p w14:paraId="0E292BE7" w14:textId="77777777" w:rsidR="008C03EE"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rsidRPr="00BD2FC9">
              <w:t>Director General for Early Childhood and Community Education</w:t>
            </w:r>
          </w:p>
          <w:p w14:paraId="5C85F962" w14:textId="77777777" w:rsidR="000525DF"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p>
          <w:p w14:paraId="68E4A4A9" w14:textId="339E6DE8" w:rsidR="000525DF"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rsidRPr="00BD2FC9">
              <w:t>Head, SEAMEO CECCEP Secretariat</w:t>
            </w:r>
          </w:p>
        </w:tc>
        <w:tc>
          <w:tcPr>
            <w:tcW w:w="1276" w:type="dxa"/>
          </w:tcPr>
          <w:p w14:paraId="6BBD1F4D" w14:textId="1A6CA4A5" w:rsidR="008C03EE"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t xml:space="preserve">September </w:t>
            </w:r>
            <w:r w:rsidRPr="009512AB">
              <w:t>2017 – May 2018</w:t>
            </w:r>
          </w:p>
        </w:tc>
        <w:tc>
          <w:tcPr>
            <w:tcW w:w="2551" w:type="dxa"/>
          </w:tcPr>
          <w:p w14:paraId="0CF3E5F2" w14:textId="0D49323C" w:rsidR="000525DF"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t>1</w:t>
            </w:r>
            <w:r w:rsidR="008D1C44">
              <w:t xml:space="preserve"> </w:t>
            </w:r>
            <w:r>
              <w:t>A Five Year Development Plan for CECCEP (2017-2021), developed jointly with MoEC and CECCEP Secretariat</w:t>
            </w:r>
          </w:p>
          <w:p w14:paraId="03C92878" w14:textId="4C18DF19" w:rsidR="000525DF"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t>2</w:t>
            </w:r>
            <w:r w:rsidR="008D1C44">
              <w:t xml:space="preserve"> </w:t>
            </w:r>
            <w:r>
              <w:t>A report detailing technical advice provided to MoEC on establishing and growing the CECCEP Centre, including strategy and work planning, staffing, financing of activities, institutional linkages, and communications/</w:t>
            </w:r>
            <w:r w:rsidR="008D1C44">
              <w:t xml:space="preserve"> </w:t>
            </w:r>
            <w:r>
              <w:t xml:space="preserve">advocacy. </w:t>
            </w:r>
          </w:p>
          <w:p w14:paraId="27246739" w14:textId="71338E7F" w:rsidR="008C03EE"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t>3</w:t>
            </w:r>
            <w:r w:rsidR="008D1C44">
              <w:t xml:space="preserve"> </w:t>
            </w:r>
            <w:r>
              <w:t>A communications and advocacy strategy for CECCEP.</w:t>
            </w:r>
          </w:p>
        </w:tc>
        <w:tc>
          <w:tcPr>
            <w:tcW w:w="3513" w:type="dxa"/>
          </w:tcPr>
          <w:p w14:paraId="7EDAC7F1" w14:textId="57563CD6" w:rsidR="008C03EE"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rsidRPr="00FF76AD">
              <w:t>Much of this activity was completed in 2017 with final outputs finalized in the first quarter of 2018.</w:t>
            </w:r>
            <w:r>
              <w:t xml:space="preserve"> </w:t>
            </w:r>
            <w:r w:rsidRPr="00FF76AD">
              <w:t xml:space="preserve">The </w:t>
            </w:r>
            <w:r w:rsidR="00077BFB" w:rsidRPr="00FF76AD">
              <w:t>five-year</w:t>
            </w:r>
            <w:r w:rsidRPr="00FF76AD">
              <w:t xml:space="preserve"> development plan and the communications and advocacy strategy put forward activities and approaches to enhance regional and global commitments to quality ECCE and parenting</w:t>
            </w:r>
            <w:r w:rsidR="005331E7">
              <w:t>.</w:t>
            </w:r>
          </w:p>
          <w:p w14:paraId="5BD00A8B" w14:textId="77777777" w:rsidR="005331E7" w:rsidRDefault="005331E7" w:rsidP="00E43B7A">
            <w:pPr>
              <w:pStyle w:val="Body"/>
              <w:jc w:val="left"/>
              <w:cnfStyle w:val="000000000000" w:firstRow="0" w:lastRow="0" w:firstColumn="0" w:lastColumn="0" w:oddVBand="0" w:evenVBand="0" w:oddHBand="0" w:evenHBand="0" w:firstRowFirstColumn="0" w:firstRowLastColumn="0" w:lastRowFirstColumn="0" w:lastRowLastColumn="0"/>
            </w:pPr>
          </w:p>
          <w:p w14:paraId="57314CD0" w14:textId="77777777" w:rsidR="005331E7" w:rsidRPr="007B1092" w:rsidRDefault="005331E7" w:rsidP="005331E7">
            <w:pPr>
              <w:pStyle w:val="Body"/>
              <w:cnfStyle w:val="000000000000" w:firstRow="0" w:lastRow="0" w:firstColumn="0" w:lastColumn="0" w:oddVBand="0" w:evenVBand="0" w:oddHBand="0" w:evenHBand="0" w:firstRowFirstColumn="0" w:firstRowLastColumn="0" w:lastRowFirstColumn="0" w:lastRowLastColumn="0"/>
            </w:pPr>
            <w:r>
              <w:t>Final versions of activity outputs were endorsed by the counterpart in April 2018 for implementation by CECCEP.</w:t>
            </w:r>
          </w:p>
          <w:p w14:paraId="71909CDD" w14:textId="2A355A25" w:rsidR="005331E7" w:rsidRDefault="005331E7" w:rsidP="00E43B7A">
            <w:pPr>
              <w:pStyle w:val="Body"/>
              <w:jc w:val="left"/>
              <w:cnfStyle w:val="000000000000" w:firstRow="0" w:lastRow="0" w:firstColumn="0" w:lastColumn="0" w:oddVBand="0" w:evenVBand="0" w:oddHBand="0" w:evenHBand="0" w:firstRowFirstColumn="0" w:firstRowLastColumn="0" w:lastRowFirstColumn="0" w:lastRowLastColumn="0"/>
            </w:pPr>
          </w:p>
        </w:tc>
      </w:tr>
      <w:tr w:rsidR="000525DF" w14:paraId="2B546E0A" w14:textId="53DEC89D" w:rsidTr="00FE6F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51" w:type="dxa"/>
          </w:tcPr>
          <w:p w14:paraId="7AC938A6" w14:textId="77777777" w:rsidR="008C03EE" w:rsidRPr="004147C8" w:rsidRDefault="008C03EE" w:rsidP="00E43B7A">
            <w:pPr>
              <w:pStyle w:val="Body"/>
              <w:jc w:val="left"/>
            </w:pPr>
            <w:r w:rsidRPr="004147C8">
              <w:t>#008</w:t>
            </w:r>
          </w:p>
        </w:tc>
        <w:tc>
          <w:tcPr>
            <w:tcW w:w="1701" w:type="dxa"/>
          </w:tcPr>
          <w:p w14:paraId="148F2B3F" w14:textId="77777777" w:rsidR="008C03EE" w:rsidRPr="000C28F8"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r w:rsidRPr="00BF3ABB">
              <w:t>Review of the basic and secondary education quality assurance</w:t>
            </w:r>
            <w:r>
              <w:t xml:space="preserve"> </w:t>
            </w:r>
            <w:r w:rsidRPr="00BF3ABB">
              <w:t>system</w:t>
            </w:r>
          </w:p>
        </w:tc>
        <w:tc>
          <w:tcPr>
            <w:tcW w:w="2693" w:type="dxa"/>
          </w:tcPr>
          <w:p w14:paraId="537ADBF0" w14:textId="77777777" w:rsidR="008C03EE" w:rsidRDefault="008C03EE" w:rsidP="00E43B7A">
            <w:pPr>
              <w:pStyle w:val="Body"/>
              <w:jc w:val="left"/>
              <w:cnfStyle w:val="000000100000" w:firstRow="0" w:lastRow="0" w:firstColumn="0" w:lastColumn="0" w:oddVBand="0" w:evenVBand="0" w:oddHBand="1" w:evenHBand="0" w:firstRowFirstColumn="0" w:firstRowLastColumn="0" w:lastRowFirstColumn="0" w:lastRowLastColumn="0"/>
              <w:rPr>
                <w:lang w:val="en-AU"/>
              </w:rPr>
            </w:pPr>
            <w:r>
              <w:t xml:space="preserve">The first </w:t>
            </w:r>
            <w:r w:rsidRPr="009A0DC3">
              <w:t xml:space="preserve">review </w:t>
            </w:r>
            <w:r>
              <w:t>of</w:t>
            </w:r>
            <w:r w:rsidRPr="009A0DC3">
              <w:t xml:space="preserve"> the effectiveness of </w:t>
            </w:r>
            <w:r>
              <w:t xml:space="preserve">the </w:t>
            </w:r>
            <w:r w:rsidRPr="009A0DC3">
              <w:t>basic and secondary educa</w:t>
            </w:r>
            <w:r>
              <w:t>tion quality assurance system, including recommendations for improving the utility of the system for school improvement initiatives. This activity led to further requests for TASS assistance to revise the national education standards and the school/madrasah accreditation process, and better integrate all three (standards, QA and accreditation).</w:t>
            </w:r>
          </w:p>
        </w:tc>
        <w:tc>
          <w:tcPr>
            <w:tcW w:w="1843" w:type="dxa"/>
          </w:tcPr>
          <w:p w14:paraId="59622B5C" w14:textId="6179882A"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rsidRPr="00C7589C">
              <w:t>Director General for Basic and Secondary Education, MoEC</w:t>
            </w:r>
          </w:p>
          <w:p w14:paraId="0E69945E" w14:textId="77777777"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p>
          <w:p w14:paraId="036D9D37" w14:textId="66D729E6"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rsidRPr="00C7589C">
              <w:t>Secretary to Director General for Basic and Secondary Education, MoEC</w:t>
            </w:r>
          </w:p>
          <w:p w14:paraId="2C5F713D" w14:textId="08B0232F"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p>
        </w:tc>
        <w:tc>
          <w:tcPr>
            <w:tcW w:w="1276" w:type="dxa"/>
          </w:tcPr>
          <w:p w14:paraId="6D2B07ED" w14:textId="1993FD00" w:rsidR="008C03EE"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rsidRPr="00106BE4">
              <w:rPr>
                <w:rStyle w:val="BodyChar"/>
              </w:rPr>
              <w:t>December 2017 – July 2018</w:t>
            </w:r>
          </w:p>
        </w:tc>
        <w:tc>
          <w:tcPr>
            <w:tcW w:w="2551" w:type="dxa"/>
          </w:tcPr>
          <w:p w14:paraId="1FC60B7E" w14:textId="2FD5C1CD" w:rsidR="000525DF" w:rsidRDefault="008D1C44"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1 </w:t>
            </w:r>
            <w:r w:rsidR="000525DF">
              <w:t>A work plan for the overall activity</w:t>
            </w:r>
          </w:p>
          <w:p w14:paraId="0BB3AB08" w14:textId="4D665331"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t>2</w:t>
            </w:r>
            <w:r w:rsidR="008D1C44">
              <w:t xml:space="preserve"> </w:t>
            </w:r>
            <w:r>
              <w:t>A research design for the review of quality assurance systems and capacity</w:t>
            </w:r>
          </w:p>
          <w:p w14:paraId="0E1DBC0F" w14:textId="3130DCCA" w:rsidR="008C03EE"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t>3</w:t>
            </w:r>
            <w:r w:rsidR="008D1C44">
              <w:t xml:space="preserve"> </w:t>
            </w:r>
            <w:r>
              <w:t>A review report that provides key findings/conclusions and recommendations</w:t>
            </w:r>
          </w:p>
        </w:tc>
        <w:tc>
          <w:tcPr>
            <w:tcW w:w="3513" w:type="dxa"/>
          </w:tcPr>
          <w:p w14:paraId="693B96C9" w14:textId="07322F13" w:rsidR="005331E7" w:rsidRPr="007205F3" w:rsidRDefault="005331E7" w:rsidP="005331E7">
            <w:pPr>
              <w:pStyle w:val="Bullet1"/>
              <w:numPr>
                <w:ilvl w:val="0"/>
                <w:numId w:val="0"/>
              </w:numPr>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7205F3">
              <w:rPr>
                <w:rFonts w:eastAsia="Times New Roman"/>
              </w:rPr>
              <w:t xml:space="preserve">The activity has provided clear actions to help MoEC progress towards a performance-based system. </w:t>
            </w:r>
          </w:p>
          <w:p w14:paraId="53B0E346" w14:textId="77777777" w:rsidR="005331E7" w:rsidRDefault="005331E7" w:rsidP="005331E7">
            <w:pPr>
              <w:pStyle w:val="Bullet1"/>
              <w:numPr>
                <w:ilvl w:val="0"/>
                <w:numId w:val="0"/>
              </w:numPr>
              <w:jc w:val="both"/>
              <w:cnfStyle w:val="000000100000" w:firstRow="0" w:lastRow="0" w:firstColumn="0" w:lastColumn="0" w:oddVBand="0" w:evenVBand="0" w:oddHBand="1" w:evenHBand="0" w:firstRowFirstColumn="0" w:firstRowLastColumn="0" w:lastRowFirstColumn="0" w:lastRowLastColumn="0"/>
              <w:rPr>
                <w:rFonts w:eastAsia="Times New Roman"/>
              </w:rPr>
            </w:pPr>
          </w:p>
          <w:p w14:paraId="3EE58291" w14:textId="77777777" w:rsidR="005331E7" w:rsidRDefault="005331E7" w:rsidP="005331E7">
            <w:pPr>
              <w:pStyle w:val="Bullet1"/>
              <w:numPr>
                <w:ilvl w:val="0"/>
                <w:numId w:val="0"/>
              </w:numPr>
              <w:jc w:val="both"/>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MoEC</w:t>
            </w:r>
            <w:r w:rsidRPr="007205F3">
              <w:rPr>
                <w:rFonts w:eastAsia="Times New Roman"/>
              </w:rPr>
              <w:t xml:space="preserve"> indicated an intention to act on the recommendations; at the time of writing TASS was discussing details of a follow up activity to support MoEC to action the recommendations</w:t>
            </w:r>
            <w:r>
              <w:rPr>
                <w:rFonts w:eastAsia="Times New Roman"/>
              </w:rPr>
              <w:t xml:space="preserve"> </w:t>
            </w:r>
          </w:p>
          <w:p w14:paraId="674EC3B9" w14:textId="77777777" w:rsidR="005331E7" w:rsidRDefault="005331E7" w:rsidP="005331E7">
            <w:pPr>
              <w:pStyle w:val="Bullet1"/>
              <w:numPr>
                <w:ilvl w:val="0"/>
                <w:numId w:val="0"/>
              </w:numPr>
              <w:jc w:val="both"/>
              <w:cnfStyle w:val="000000100000" w:firstRow="0" w:lastRow="0" w:firstColumn="0" w:lastColumn="0" w:oddVBand="0" w:evenVBand="0" w:oddHBand="1" w:evenHBand="0" w:firstRowFirstColumn="0" w:firstRowLastColumn="0" w:lastRowFirstColumn="0" w:lastRowLastColumn="0"/>
              <w:rPr>
                <w:rFonts w:eastAsia="Times New Roman"/>
              </w:rPr>
            </w:pPr>
          </w:p>
          <w:p w14:paraId="62B06120" w14:textId="53B78D69" w:rsidR="005331E7" w:rsidRPr="005331E7" w:rsidRDefault="005331E7" w:rsidP="005331E7">
            <w:pPr>
              <w:pStyle w:val="Bullet1"/>
              <w:numPr>
                <w:ilvl w:val="0"/>
                <w:numId w:val="0"/>
              </w:numPr>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8B0CB9">
              <w:rPr>
                <w:rFonts w:eastAsia="Times New Roman"/>
              </w:rPr>
              <w:t xml:space="preserve">Important dialogue facilitated by TASS </w:t>
            </w:r>
            <w:r>
              <w:rPr>
                <w:rFonts w:eastAsia="Times New Roman"/>
              </w:rPr>
              <w:t>and</w:t>
            </w:r>
            <w:r w:rsidRPr="008B0CB9">
              <w:rPr>
                <w:rFonts w:eastAsia="Times New Roman"/>
              </w:rPr>
              <w:t xml:space="preserve"> led by MoEC, with the BSNP and the National School and Madrasah Accreditation Board (BAN-S/M) agreed on the need for revised </w:t>
            </w:r>
            <w:r>
              <w:rPr>
                <w:rFonts w:eastAsia="Times New Roman"/>
              </w:rPr>
              <w:t xml:space="preserve">and integrated </w:t>
            </w:r>
            <w:r w:rsidRPr="008B0CB9">
              <w:rPr>
                <w:rFonts w:eastAsia="Times New Roman"/>
              </w:rPr>
              <w:t>standards, QA processes and accreditation processes</w:t>
            </w:r>
            <w:r>
              <w:rPr>
                <w:rFonts w:eastAsia="Times New Roman"/>
              </w:rPr>
              <w:t xml:space="preserve"> centred on quality rather than compliance</w:t>
            </w:r>
            <w:r w:rsidRPr="008B0CB9">
              <w:rPr>
                <w:rFonts w:eastAsia="Times New Roman"/>
              </w:rPr>
              <w:t>. This will be much of the focus of TASS’ 2019 work plan.</w:t>
            </w:r>
          </w:p>
          <w:p w14:paraId="24C31278" w14:textId="09966209" w:rsidR="008C03EE" w:rsidRPr="005331E7" w:rsidRDefault="008C03EE" w:rsidP="00E43B7A">
            <w:pPr>
              <w:pStyle w:val="Body"/>
              <w:jc w:val="left"/>
              <w:cnfStyle w:val="000000100000" w:firstRow="0" w:lastRow="0" w:firstColumn="0" w:lastColumn="0" w:oddVBand="0" w:evenVBand="0" w:oddHBand="1" w:evenHBand="0" w:firstRowFirstColumn="0" w:firstRowLastColumn="0" w:lastRowFirstColumn="0" w:lastRowLastColumn="0"/>
              <w:rPr>
                <w:rFonts w:eastAsia="Times New Roman"/>
              </w:rPr>
            </w:pPr>
          </w:p>
        </w:tc>
      </w:tr>
      <w:tr w:rsidR="000525DF" w14:paraId="76B6D77D" w14:textId="6AA83A7E" w:rsidTr="00FE6F3E">
        <w:trPr>
          <w:trHeight w:val="263"/>
        </w:trPr>
        <w:tc>
          <w:tcPr>
            <w:cnfStyle w:val="001000000000" w:firstRow="0" w:lastRow="0" w:firstColumn="1" w:lastColumn="0" w:oddVBand="0" w:evenVBand="0" w:oddHBand="0" w:evenHBand="0" w:firstRowFirstColumn="0" w:firstRowLastColumn="0" w:lastRowFirstColumn="0" w:lastRowLastColumn="0"/>
            <w:tcW w:w="851" w:type="dxa"/>
          </w:tcPr>
          <w:p w14:paraId="610E4607" w14:textId="77777777" w:rsidR="008C03EE" w:rsidRPr="004147C8" w:rsidRDefault="008C03EE" w:rsidP="00E43B7A">
            <w:pPr>
              <w:pStyle w:val="Body"/>
              <w:jc w:val="left"/>
            </w:pPr>
            <w:r w:rsidRPr="004147C8">
              <w:t>#010</w:t>
            </w:r>
          </w:p>
        </w:tc>
        <w:tc>
          <w:tcPr>
            <w:tcW w:w="1701" w:type="dxa"/>
          </w:tcPr>
          <w:p w14:paraId="7BA176EC" w14:textId="77777777" w:rsidR="008C03EE" w:rsidRPr="000C28F8" w:rsidRDefault="008C03EE" w:rsidP="00E43B7A">
            <w:pPr>
              <w:pStyle w:val="Body"/>
              <w:jc w:val="left"/>
              <w:cnfStyle w:val="000000000000" w:firstRow="0" w:lastRow="0" w:firstColumn="0" w:lastColumn="0" w:oddVBand="0" w:evenVBand="0" w:oddHBand="0" w:evenHBand="0" w:firstRowFirstColumn="0" w:firstRowLastColumn="0" w:lastRowFirstColumn="0" w:lastRowLastColumn="0"/>
            </w:pPr>
            <w:r w:rsidRPr="00BF3ABB">
              <w:t xml:space="preserve">Support to </w:t>
            </w:r>
            <w:r w:rsidRPr="00C8034C">
              <w:rPr>
                <w:i/>
              </w:rPr>
              <w:t>Puspendik</w:t>
            </w:r>
            <w:r w:rsidRPr="00BF3ABB">
              <w:t xml:space="preserve"> for the ongoing development of the </w:t>
            </w:r>
            <w:r>
              <w:t>AKSI</w:t>
            </w:r>
          </w:p>
        </w:tc>
        <w:tc>
          <w:tcPr>
            <w:tcW w:w="2693" w:type="dxa"/>
          </w:tcPr>
          <w:p w14:paraId="7C5C29A7" w14:textId="77777777" w:rsidR="008C03EE" w:rsidRDefault="008C03EE" w:rsidP="00E43B7A">
            <w:pPr>
              <w:pStyle w:val="Body"/>
              <w:jc w:val="left"/>
              <w:cnfStyle w:val="000000000000" w:firstRow="0" w:lastRow="0" w:firstColumn="0" w:lastColumn="0" w:oddVBand="0" w:evenVBand="0" w:oddHBand="0" w:evenHBand="0" w:firstRowFirstColumn="0" w:firstRowLastColumn="0" w:lastRowFirstColumn="0" w:lastRowLastColumn="0"/>
              <w:rPr>
                <w:lang w:val="en-AU"/>
              </w:rPr>
            </w:pPr>
            <w:r>
              <w:t xml:space="preserve">A team of experts </w:t>
            </w:r>
            <w:r w:rsidRPr="009A0DC3">
              <w:t xml:space="preserve">provided detailed technical guidance to </w:t>
            </w:r>
            <w:r w:rsidRPr="009A0DC3">
              <w:rPr>
                <w:i/>
              </w:rPr>
              <w:t>Puspendi</w:t>
            </w:r>
            <w:r>
              <w:rPr>
                <w:i/>
              </w:rPr>
              <w:t>k</w:t>
            </w:r>
            <w:r w:rsidRPr="009A0DC3">
              <w:t xml:space="preserve"> in the development of competency level descriptors for each grade and subject area tested by AKSI - a standardised national test designed to enable MoEC to better monitor the health of Indonesia’s national education system.</w:t>
            </w:r>
          </w:p>
        </w:tc>
        <w:tc>
          <w:tcPr>
            <w:tcW w:w="1843" w:type="dxa"/>
          </w:tcPr>
          <w:p w14:paraId="3577CA7A" w14:textId="77777777" w:rsidR="008C03EE"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rsidRPr="00C96B3C">
              <w:t>Centre for Education Assessment (</w:t>
            </w:r>
            <w:r w:rsidRPr="00016249">
              <w:rPr>
                <w:i/>
              </w:rPr>
              <w:t>Puspendik</w:t>
            </w:r>
            <w:r w:rsidRPr="00C96B3C">
              <w:t>), Research and Development Agency (</w:t>
            </w:r>
            <w:r w:rsidRPr="00016249">
              <w:rPr>
                <w:i/>
              </w:rPr>
              <w:t>Balitbang</w:t>
            </w:r>
            <w:r w:rsidRPr="00C96B3C">
              <w:t>), MoEC</w:t>
            </w:r>
          </w:p>
          <w:p w14:paraId="4F9F7566" w14:textId="77777777" w:rsidR="000525DF"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p>
          <w:p w14:paraId="50E45EA3" w14:textId="539C2074" w:rsidR="000525DF"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rsidRPr="00C96B3C">
              <w:t xml:space="preserve">Head of </w:t>
            </w:r>
            <w:r w:rsidRPr="00016249">
              <w:rPr>
                <w:i/>
              </w:rPr>
              <w:t>Puspendik</w:t>
            </w:r>
          </w:p>
        </w:tc>
        <w:tc>
          <w:tcPr>
            <w:tcW w:w="1276" w:type="dxa"/>
          </w:tcPr>
          <w:p w14:paraId="6152852B" w14:textId="2C1D61D3" w:rsidR="008C03EE"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rsidRPr="00972F4A">
              <w:rPr>
                <w:rStyle w:val="BodyChar"/>
              </w:rPr>
              <w:t>December 2017 – August 2018</w:t>
            </w:r>
          </w:p>
        </w:tc>
        <w:tc>
          <w:tcPr>
            <w:tcW w:w="2551" w:type="dxa"/>
          </w:tcPr>
          <w:p w14:paraId="0C1A50C9" w14:textId="5AAD7A81" w:rsidR="000525DF" w:rsidRDefault="008D1C44" w:rsidP="00E43B7A">
            <w:pPr>
              <w:pStyle w:val="Body"/>
              <w:jc w:val="left"/>
              <w:cnfStyle w:val="000000000000" w:firstRow="0" w:lastRow="0" w:firstColumn="0" w:lastColumn="0" w:oddVBand="0" w:evenVBand="0" w:oddHBand="0" w:evenHBand="0" w:firstRowFirstColumn="0" w:firstRowLastColumn="0" w:lastRowFirstColumn="0" w:lastRowLastColumn="0"/>
            </w:pPr>
            <w:r>
              <w:t xml:space="preserve">1 </w:t>
            </w:r>
            <w:r w:rsidR="000525DF">
              <w:t>A report describing the steps and procedures that are typically undertaken in leading education systems in the development of standards in large scale assessments</w:t>
            </w:r>
          </w:p>
          <w:p w14:paraId="6899DCA6" w14:textId="0755322E" w:rsidR="000525DF" w:rsidRDefault="000525DF" w:rsidP="00E43B7A">
            <w:pPr>
              <w:pStyle w:val="Body"/>
              <w:jc w:val="left"/>
              <w:cnfStyle w:val="000000000000" w:firstRow="0" w:lastRow="0" w:firstColumn="0" w:lastColumn="0" w:oddVBand="0" w:evenVBand="0" w:oddHBand="0" w:evenHBand="0" w:firstRowFirstColumn="0" w:firstRowLastColumn="0" w:lastRowFirstColumn="0" w:lastRowLastColumn="0"/>
            </w:pPr>
            <w:r>
              <w:t>2</w:t>
            </w:r>
            <w:r w:rsidR="008D1C44">
              <w:t xml:space="preserve"> </w:t>
            </w:r>
            <w:r>
              <w:t>A guideline mapping out steps that may be undertaken by Puspendik to develop competency level descriptors, with an initial focus on Grade 8</w:t>
            </w:r>
          </w:p>
          <w:p w14:paraId="71B2BDE5" w14:textId="4EF823F7" w:rsidR="000525DF" w:rsidRDefault="008D1C44" w:rsidP="00E43B7A">
            <w:pPr>
              <w:pStyle w:val="Body"/>
              <w:jc w:val="left"/>
              <w:cnfStyle w:val="000000000000" w:firstRow="0" w:lastRow="0" w:firstColumn="0" w:lastColumn="0" w:oddVBand="0" w:evenVBand="0" w:oddHBand="0" w:evenHBand="0" w:firstRowFirstColumn="0" w:firstRowLastColumn="0" w:lastRowFirstColumn="0" w:lastRowLastColumn="0"/>
            </w:pPr>
            <w:r>
              <w:t xml:space="preserve">3 </w:t>
            </w:r>
            <w:r w:rsidR="000525DF">
              <w:t>A final report that responds to the guideline document, detailing the achievements (outputs) of Puspendik over the support period, and the procedures employed by the centre in developing those outputs</w:t>
            </w:r>
          </w:p>
          <w:p w14:paraId="76300A70" w14:textId="30E3EBCB" w:rsidR="008C03EE" w:rsidRDefault="008D1C44" w:rsidP="00E43B7A">
            <w:pPr>
              <w:pStyle w:val="Body"/>
              <w:jc w:val="left"/>
              <w:cnfStyle w:val="000000000000" w:firstRow="0" w:lastRow="0" w:firstColumn="0" w:lastColumn="0" w:oddVBand="0" w:evenVBand="0" w:oddHBand="0" w:evenHBand="0" w:firstRowFirstColumn="0" w:firstRowLastColumn="0" w:lastRowFirstColumn="0" w:lastRowLastColumn="0"/>
            </w:pPr>
            <w:r>
              <w:t xml:space="preserve">4 </w:t>
            </w:r>
            <w:r w:rsidR="000525DF">
              <w:t>A report outlining further areas for development for AKSI.</w:t>
            </w:r>
          </w:p>
        </w:tc>
        <w:tc>
          <w:tcPr>
            <w:tcW w:w="3513" w:type="dxa"/>
          </w:tcPr>
          <w:p w14:paraId="75646C51" w14:textId="054C38AE" w:rsidR="005331E7" w:rsidRPr="00142DF6" w:rsidRDefault="005331E7" w:rsidP="005331E7">
            <w:pPr>
              <w:pStyle w:val="Body"/>
              <w:jc w:val="left"/>
              <w:cnfStyle w:val="000000000000" w:firstRow="0" w:lastRow="0" w:firstColumn="0" w:lastColumn="0" w:oddVBand="0" w:evenVBand="0" w:oddHBand="0" w:evenHBand="0" w:firstRowFirstColumn="0" w:firstRowLastColumn="0" w:lastRowFirstColumn="0" w:lastRowLastColumn="0"/>
            </w:pPr>
            <w:r>
              <w:t>C</w:t>
            </w:r>
            <w:r w:rsidR="000525DF">
              <w:t xml:space="preserve">onsultants from the University of Western Australia consulted on an as-required / as-available basis with the team nominated from Puspendik. </w:t>
            </w:r>
            <w:r w:rsidRPr="0018026A">
              <w:rPr>
                <w:rFonts w:eastAsia="Times New Roman"/>
                <w:i/>
              </w:rPr>
              <w:t xml:space="preserve">Puspendik </w:t>
            </w:r>
            <w:r>
              <w:rPr>
                <w:rFonts w:eastAsia="Times New Roman"/>
              </w:rPr>
              <w:t>staff gained n</w:t>
            </w:r>
            <w:r w:rsidRPr="00BB2788">
              <w:rPr>
                <w:rFonts w:eastAsia="Times New Roman"/>
              </w:rPr>
              <w:t>ew skills in developing compe</w:t>
            </w:r>
            <w:r>
              <w:rPr>
                <w:rFonts w:eastAsia="Times New Roman"/>
              </w:rPr>
              <w:t xml:space="preserve">tency descriptors. </w:t>
            </w:r>
          </w:p>
          <w:p w14:paraId="52D8D6C1" w14:textId="73D1C31B" w:rsidR="005331E7" w:rsidRDefault="005331E7" w:rsidP="005331E7">
            <w:pPr>
              <w:pStyle w:val="Bullet1"/>
              <w:numPr>
                <w:ilvl w:val="0"/>
                <w:numId w:val="0"/>
              </w:numPr>
              <w:spacing w:before="120" w:after="120"/>
              <w:jc w:val="both"/>
              <w:cnfStyle w:val="000000000000" w:firstRow="0" w:lastRow="0" w:firstColumn="0" w:lastColumn="0" w:oddVBand="0" w:evenVBand="0" w:oddHBand="0" w:evenHBand="0" w:firstRowFirstColumn="0" w:firstRowLastColumn="0" w:lastRowFirstColumn="0" w:lastRowLastColumn="0"/>
            </w:pPr>
            <w:r w:rsidRPr="005331E7">
              <w:rPr>
                <w:i/>
              </w:rPr>
              <w:t>Puspendik</w:t>
            </w:r>
            <w:r w:rsidRPr="005331E7">
              <w:t xml:space="preserve"> used the guidelines and new skills developed </w:t>
            </w:r>
            <w:r w:rsidRPr="009A6FF4">
              <w:t>under the activity to develop competency standards for Year 4 and 8.</w:t>
            </w:r>
            <w:r>
              <w:t xml:space="preserve"> </w:t>
            </w:r>
          </w:p>
        </w:tc>
      </w:tr>
      <w:tr w:rsidR="000525DF" w14:paraId="5E9F7E7B" w14:textId="63B381ED" w:rsidTr="00FE6F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51" w:type="dxa"/>
          </w:tcPr>
          <w:p w14:paraId="5F75BEEF" w14:textId="77777777" w:rsidR="008C03EE" w:rsidRPr="004147C8" w:rsidRDefault="008C03EE" w:rsidP="00E43B7A">
            <w:pPr>
              <w:pStyle w:val="Body"/>
              <w:jc w:val="left"/>
            </w:pPr>
            <w:r>
              <w:t>#012</w:t>
            </w:r>
          </w:p>
        </w:tc>
        <w:tc>
          <w:tcPr>
            <w:tcW w:w="1701" w:type="dxa"/>
          </w:tcPr>
          <w:p w14:paraId="432ABFA6" w14:textId="77777777" w:rsidR="008C03EE" w:rsidRPr="000C28F8"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r w:rsidRPr="00564743">
              <w:t>MoEC-MoRA forum for communication and synchronisation of education policy and programs</w:t>
            </w:r>
          </w:p>
        </w:tc>
        <w:tc>
          <w:tcPr>
            <w:tcW w:w="2693" w:type="dxa"/>
          </w:tcPr>
          <w:p w14:paraId="5A072190" w14:textId="77777777" w:rsidR="008C03EE"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r w:rsidRPr="009A0DC3">
              <w:t xml:space="preserve">TASS </w:t>
            </w:r>
            <w:r>
              <w:t>support includes facilitating</w:t>
            </w:r>
            <w:r w:rsidRPr="009A0DC3">
              <w:t xml:space="preserve"> </w:t>
            </w:r>
            <w:r>
              <w:t xml:space="preserve">a </w:t>
            </w:r>
            <w:r w:rsidRPr="009A0DC3">
              <w:t>series of coordination meetings between MoEC and MoRA. The forum aims to agree on solutions to cross-</w:t>
            </w:r>
            <w:r>
              <w:t>M</w:t>
            </w:r>
            <w:r w:rsidRPr="009A0DC3">
              <w:t>inistry bottlenecks in education policy and programs</w:t>
            </w:r>
            <w:r>
              <w:t>.</w:t>
            </w:r>
          </w:p>
        </w:tc>
        <w:tc>
          <w:tcPr>
            <w:tcW w:w="1843" w:type="dxa"/>
          </w:tcPr>
          <w:p w14:paraId="51E2458B" w14:textId="77777777"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rsidRPr="0041624F">
              <w:t>Secretary General, MoEC</w:t>
            </w:r>
          </w:p>
          <w:p w14:paraId="7092BB70" w14:textId="77777777" w:rsid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p>
          <w:p w14:paraId="423B9CB4" w14:textId="3EED9D7A" w:rsidR="000525DF" w:rsidRPr="000525DF"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rsidRPr="0041624F">
              <w:t>Head, Bureau of Planning and Foreign Cooperation, MoEC</w:t>
            </w:r>
          </w:p>
        </w:tc>
        <w:tc>
          <w:tcPr>
            <w:tcW w:w="1276" w:type="dxa"/>
          </w:tcPr>
          <w:p w14:paraId="5EDF50CE" w14:textId="0795EB9A" w:rsidR="008C03EE" w:rsidRPr="009A0DC3" w:rsidRDefault="000525DF" w:rsidP="00E43B7A">
            <w:pPr>
              <w:pStyle w:val="Body"/>
              <w:jc w:val="left"/>
              <w:cnfStyle w:val="000000100000" w:firstRow="0" w:lastRow="0" w:firstColumn="0" w:lastColumn="0" w:oddVBand="0" w:evenVBand="0" w:oddHBand="1" w:evenHBand="0" w:firstRowFirstColumn="0" w:firstRowLastColumn="0" w:lastRowFirstColumn="0" w:lastRowLastColumn="0"/>
            </w:pPr>
            <w:r>
              <w:t>Sept</w:t>
            </w:r>
            <w:r w:rsidR="00A500B1">
              <w:t>ember</w:t>
            </w:r>
            <w:r>
              <w:t xml:space="preserve"> 2017 – Feb</w:t>
            </w:r>
            <w:r w:rsidR="00A500B1">
              <w:t>ruary</w:t>
            </w:r>
            <w:r>
              <w:t xml:space="preserve"> 2019</w:t>
            </w:r>
          </w:p>
        </w:tc>
        <w:tc>
          <w:tcPr>
            <w:tcW w:w="2551" w:type="dxa"/>
          </w:tcPr>
          <w:p w14:paraId="1774997A" w14:textId="6678899B" w:rsidR="008C03EE" w:rsidRPr="009A0DC3" w:rsidRDefault="00A500B1" w:rsidP="00E43B7A">
            <w:pPr>
              <w:pStyle w:val="Body"/>
              <w:jc w:val="left"/>
              <w:cnfStyle w:val="000000100000" w:firstRow="0" w:lastRow="0" w:firstColumn="0" w:lastColumn="0" w:oddVBand="0" w:evenVBand="0" w:oddHBand="1" w:evenHBand="0" w:firstRowFirstColumn="0" w:firstRowLastColumn="0" w:lastRowFirstColumn="0" w:lastRowLastColumn="0"/>
            </w:pPr>
            <w:r>
              <w:t>There are no specific outputs for the activity. The TASS core team plays a facilitating role in setting meeting agendas and bringing findings and recommendations to the table from TASS activities, INOVASI and UNICEF pilots, and World Bank analyses</w:t>
            </w:r>
          </w:p>
        </w:tc>
        <w:tc>
          <w:tcPr>
            <w:tcW w:w="3513" w:type="dxa"/>
          </w:tcPr>
          <w:p w14:paraId="523B2C2D" w14:textId="431FEC52" w:rsidR="005331E7" w:rsidRPr="007D610B" w:rsidRDefault="005331E7" w:rsidP="005331E7">
            <w:pPr>
              <w:pStyle w:val="ListParagraph"/>
              <w:spacing w:after="180" w:line="240" w:lineRule="auto"/>
              <w:ind w:left="0"/>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rPr>
            </w:pPr>
            <w:r w:rsidRPr="007D610B">
              <w:rPr>
                <w:rFonts w:ascii="Cambria" w:eastAsia="Times New Roman" w:hAnsi="Cambria" w:cs="Times New Roman"/>
              </w:rPr>
              <w:t>Meetings sparked interest and intent in greater collaboration between MoEC and MoRA.</w:t>
            </w:r>
          </w:p>
          <w:p w14:paraId="788C5CCD" w14:textId="77777777" w:rsidR="008C03EE" w:rsidRPr="009A0DC3"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p>
        </w:tc>
      </w:tr>
      <w:tr w:rsidR="000525DF" w14:paraId="531087BD" w14:textId="3BD12068" w:rsidTr="00FE6F3E">
        <w:trPr>
          <w:trHeight w:val="263"/>
        </w:trPr>
        <w:tc>
          <w:tcPr>
            <w:cnfStyle w:val="001000000000" w:firstRow="0" w:lastRow="0" w:firstColumn="1" w:lastColumn="0" w:oddVBand="0" w:evenVBand="0" w:oddHBand="0" w:evenHBand="0" w:firstRowFirstColumn="0" w:firstRowLastColumn="0" w:lastRowFirstColumn="0" w:lastRowLastColumn="0"/>
            <w:tcW w:w="851" w:type="dxa"/>
          </w:tcPr>
          <w:p w14:paraId="27C4277A" w14:textId="77777777" w:rsidR="008C03EE" w:rsidRPr="004147C8" w:rsidRDefault="008C03EE" w:rsidP="00E43B7A">
            <w:pPr>
              <w:pStyle w:val="Body"/>
              <w:jc w:val="left"/>
            </w:pPr>
            <w:r w:rsidRPr="004147C8">
              <w:t>#014</w:t>
            </w:r>
          </w:p>
        </w:tc>
        <w:tc>
          <w:tcPr>
            <w:tcW w:w="1701" w:type="dxa"/>
          </w:tcPr>
          <w:p w14:paraId="2B2B314A" w14:textId="77777777" w:rsidR="008C03EE" w:rsidRPr="000C28F8" w:rsidRDefault="008C03EE" w:rsidP="00E43B7A">
            <w:pPr>
              <w:pStyle w:val="Body"/>
              <w:jc w:val="left"/>
              <w:cnfStyle w:val="000000000000" w:firstRow="0" w:lastRow="0" w:firstColumn="0" w:lastColumn="0" w:oddVBand="0" w:evenVBand="0" w:oddHBand="0" w:evenHBand="0" w:firstRowFirstColumn="0" w:firstRowLastColumn="0" w:lastRowFirstColumn="0" w:lastRowLastColumn="0"/>
            </w:pPr>
            <w:r w:rsidRPr="00BF3ABB">
              <w:t>Review and support for Ministry of Education and Culture strategic planning processes</w:t>
            </w:r>
          </w:p>
        </w:tc>
        <w:tc>
          <w:tcPr>
            <w:tcW w:w="2693" w:type="dxa"/>
          </w:tcPr>
          <w:p w14:paraId="330E9FAD" w14:textId="77777777" w:rsidR="008C03EE" w:rsidRDefault="008C03EE" w:rsidP="00E43B7A">
            <w:pPr>
              <w:pStyle w:val="Body"/>
              <w:jc w:val="left"/>
              <w:cnfStyle w:val="000000000000" w:firstRow="0" w:lastRow="0" w:firstColumn="0" w:lastColumn="0" w:oddVBand="0" w:evenVBand="0" w:oddHBand="0" w:evenHBand="0" w:firstRowFirstColumn="0" w:firstRowLastColumn="0" w:lastRowFirstColumn="0" w:lastRowLastColumn="0"/>
              <w:rPr>
                <w:lang w:val="en-AU"/>
              </w:rPr>
            </w:pPr>
            <w:r w:rsidRPr="009A0DC3">
              <w:t xml:space="preserve">This activity </w:t>
            </w:r>
            <w:r>
              <w:t>supported</w:t>
            </w:r>
            <w:r w:rsidRPr="009A0DC3">
              <w:t xml:space="preserve"> MoEC to review current regulations and practice in strategic planning within MoEC and provide</w:t>
            </w:r>
            <w:r>
              <w:t xml:space="preserve"> recommendations and tools to strengthen the </w:t>
            </w:r>
            <w:r w:rsidRPr="00F83902">
              <w:rPr>
                <w:i/>
              </w:rPr>
              <w:t>Renstra</w:t>
            </w:r>
            <w:r>
              <w:t xml:space="preserve"> development process.</w:t>
            </w:r>
          </w:p>
        </w:tc>
        <w:tc>
          <w:tcPr>
            <w:tcW w:w="1843" w:type="dxa"/>
          </w:tcPr>
          <w:p w14:paraId="3B627330" w14:textId="77777777" w:rsidR="008C03EE"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rsidRPr="00547D86">
              <w:t>Head, Bureau of Planning and International Cooperation (BPKLN)</w:t>
            </w:r>
          </w:p>
          <w:p w14:paraId="4AE9D978" w14:textId="77777777" w:rsidR="00A500B1"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p>
          <w:p w14:paraId="463DEA1C" w14:textId="5A28E273" w:rsidR="00A500B1" w:rsidRPr="009A0DC3"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rsidRPr="00547D86">
              <w:t>Head of Policy Sub-Unit, Program Performance Evaluation Unit, BPKLN, MoEC</w:t>
            </w:r>
          </w:p>
        </w:tc>
        <w:tc>
          <w:tcPr>
            <w:tcW w:w="1276" w:type="dxa"/>
          </w:tcPr>
          <w:p w14:paraId="05CF2338" w14:textId="722D5027" w:rsidR="008C03EE" w:rsidRPr="009A0DC3"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t>September 2018 – February 2019</w:t>
            </w:r>
          </w:p>
        </w:tc>
        <w:tc>
          <w:tcPr>
            <w:tcW w:w="2551" w:type="dxa"/>
          </w:tcPr>
          <w:p w14:paraId="2EA722E8" w14:textId="0E4994D9" w:rsidR="00A500B1"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t>1 An inception report and work plan</w:t>
            </w:r>
          </w:p>
          <w:p w14:paraId="5CF2E95C" w14:textId="287D21C0" w:rsidR="00A500B1"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t>2 A review of current strategic planning processes, as required by law and as implemented in practice</w:t>
            </w:r>
          </w:p>
          <w:p w14:paraId="6DEF4869" w14:textId="6EB4FE57" w:rsidR="00A500B1"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t>3 A literary/document review of public sector planning processes in other countries, to compare MoEC’s strategic planning processes, methodologies and approaches to those used in other countries</w:t>
            </w:r>
          </w:p>
          <w:p w14:paraId="0FB9C3C2" w14:textId="5B3A30BE" w:rsidR="00A500B1"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t>4 A recommendations report for gender and disability/inclusion sensitive planning and budgeting</w:t>
            </w:r>
          </w:p>
          <w:p w14:paraId="64979442" w14:textId="03C3EFB5" w:rsidR="00A500B1"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t xml:space="preserve">5 Recommendations for improvements to strategic and, as required, annual planning processes and related budget development processes. </w:t>
            </w:r>
          </w:p>
          <w:p w14:paraId="3823B1C5" w14:textId="50344B14" w:rsidR="008C03EE" w:rsidRPr="009A0DC3" w:rsidRDefault="00A500B1" w:rsidP="00E43B7A">
            <w:pPr>
              <w:pStyle w:val="Body"/>
              <w:jc w:val="left"/>
              <w:cnfStyle w:val="000000000000" w:firstRow="0" w:lastRow="0" w:firstColumn="0" w:lastColumn="0" w:oddVBand="0" w:evenVBand="0" w:oddHBand="0" w:evenHBand="0" w:firstRowFirstColumn="0" w:firstRowLastColumn="0" w:lastRowFirstColumn="0" w:lastRowLastColumn="0"/>
            </w:pPr>
            <w:r>
              <w:t>6 A Planning Toolkit (with training for MoEC nominated personnel in how to use it to improve their strategic planning processes).</w:t>
            </w:r>
          </w:p>
        </w:tc>
        <w:tc>
          <w:tcPr>
            <w:tcW w:w="3513" w:type="dxa"/>
          </w:tcPr>
          <w:p w14:paraId="7A34EAA0" w14:textId="24AC83A4" w:rsidR="007F65BE" w:rsidRDefault="002C05DB" w:rsidP="007F65BE">
            <w:pPr>
              <w:pStyle w:val="Body"/>
              <w:cnfStyle w:val="000000000000" w:firstRow="0" w:lastRow="0" w:firstColumn="0" w:lastColumn="0" w:oddVBand="0" w:evenVBand="0" w:oddHBand="0" w:evenHBand="0" w:firstRowFirstColumn="0" w:firstRowLastColumn="0" w:lastRowFirstColumn="0" w:lastRowLastColumn="0"/>
            </w:pPr>
            <w:r>
              <w:t>Performance issues with the activity required TASS to adjust key deliverables. However, k</w:t>
            </w:r>
            <w:r w:rsidR="007F65BE">
              <w:t xml:space="preserve">ey findings and recommendations have been presented to MoEC in </w:t>
            </w:r>
            <w:r w:rsidR="007F65BE" w:rsidRPr="0018026A">
              <w:rPr>
                <w:i/>
              </w:rPr>
              <w:t>Renstra</w:t>
            </w:r>
            <w:r w:rsidR="007F65BE">
              <w:t xml:space="preserve">-related meetings. </w:t>
            </w:r>
          </w:p>
          <w:p w14:paraId="16FAA65B" w14:textId="77777777" w:rsidR="007F65BE" w:rsidRDefault="007F65BE" w:rsidP="007F65BE">
            <w:pPr>
              <w:pStyle w:val="Body"/>
              <w:cnfStyle w:val="000000000000" w:firstRow="0" w:lastRow="0" w:firstColumn="0" w:lastColumn="0" w:oddVBand="0" w:evenVBand="0" w:oddHBand="0" w:evenHBand="0" w:firstRowFirstColumn="0" w:firstRowLastColumn="0" w:lastRowFirstColumn="0" w:lastRowLastColumn="0"/>
            </w:pPr>
          </w:p>
          <w:p w14:paraId="239CB171" w14:textId="27120F63" w:rsidR="005331E7" w:rsidRDefault="007F65BE" w:rsidP="007F65BE">
            <w:pPr>
              <w:pStyle w:val="Body"/>
              <w:cnfStyle w:val="000000000000" w:firstRow="0" w:lastRow="0" w:firstColumn="0" w:lastColumn="0" w:oddVBand="0" w:evenVBand="0" w:oddHBand="0" w:evenHBand="0" w:firstRowFirstColumn="0" w:firstRowLastColumn="0" w:lastRowFirstColumn="0" w:lastRowLastColumn="0"/>
            </w:pPr>
            <w:r>
              <w:t>W</w:t>
            </w:r>
            <w:r w:rsidR="005331E7">
              <w:t>ork continues to socialise the toolkit with MoEC’s Renstra development team to support its uptake and use.</w:t>
            </w:r>
          </w:p>
          <w:p w14:paraId="000DDBEE" w14:textId="77777777" w:rsidR="008C03EE" w:rsidRDefault="008C03EE" w:rsidP="00E43B7A">
            <w:pPr>
              <w:pStyle w:val="Body"/>
              <w:jc w:val="left"/>
              <w:cnfStyle w:val="000000000000" w:firstRow="0" w:lastRow="0" w:firstColumn="0" w:lastColumn="0" w:oddVBand="0" w:evenVBand="0" w:oddHBand="0" w:evenHBand="0" w:firstRowFirstColumn="0" w:firstRowLastColumn="0" w:lastRowFirstColumn="0" w:lastRowLastColumn="0"/>
              <w:rPr>
                <w:highlight w:val="yellow"/>
              </w:rPr>
            </w:pPr>
          </w:p>
          <w:p w14:paraId="2EBAEAEA" w14:textId="709A93C4" w:rsidR="007F65BE" w:rsidRPr="00C252C1" w:rsidRDefault="007F65BE" w:rsidP="007F65BE">
            <w:pPr>
              <w:pStyle w:val="Body"/>
              <w:cnfStyle w:val="000000000000" w:firstRow="0" w:lastRow="0" w:firstColumn="0" w:lastColumn="0" w:oddVBand="0" w:evenVBand="0" w:oddHBand="0" w:evenHBand="0" w:firstRowFirstColumn="0" w:firstRowLastColumn="0" w:lastRowFirstColumn="0" w:lastRowLastColumn="0"/>
            </w:pPr>
            <w:r>
              <w:t>D</w:t>
            </w:r>
            <w:r w:rsidRPr="00C252C1">
              <w:t xml:space="preserve">raft tools developed for this activity were brought to MoRA and are being used in the planning and development of the draft Islamic Education </w:t>
            </w:r>
            <w:r w:rsidRPr="00C252C1">
              <w:rPr>
                <w:i/>
              </w:rPr>
              <w:t>Renstra</w:t>
            </w:r>
            <w:r w:rsidRPr="00C252C1">
              <w:t>.</w:t>
            </w:r>
          </w:p>
          <w:p w14:paraId="60D4FA0A" w14:textId="4389299A" w:rsidR="007F65BE" w:rsidRPr="005331E7" w:rsidRDefault="007F65BE" w:rsidP="00E43B7A">
            <w:pPr>
              <w:pStyle w:val="Body"/>
              <w:jc w:val="left"/>
              <w:cnfStyle w:val="000000000000" w:firstRow="0" w:lastRow="0" w:firstColumn="0" w:lastColumn="0" w:oddVBand="0" w:evenVBand="0" w:oddHBand="0" w:evenHBand="0" w:firstRowFirstColumn="0" w:firstRowLastColumn="0" w:lastRowFirstColumn="0" w:lastRowLastColumn="0"/>
              <w:rPr>
                <w:highlight w:val="yellow"/>
              </w:rPr>
            </w:pPr>
          </w:p>
        </w:tc>
      </w:tr>
      <w:tr w:rsidR="000525DF" w14:paraId="545E855E" w14:textId="4CBD874F" w:rsidTr="00FE6F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51" w:type="dxa"/>
          </w:tcPr>
          <w:p w14:paraId="5405E160" w14:textId="77777777" w:rsidR="008C03EE" w:rsidRPr="004147C8" w:rsidRDefault="008C03EE" w:rsidP="00E43B7A">
            <w:pPr>
              <w:pStyle w:val="Body"/>
              <w:jc w:val="left"/>
            </w:pPr>
            <w:r w:rsidRPr="004147C8">
              <w:t>#016</w:t>
            </w:r>
          </w:p>
        </w:tc>
        <w:tc>
          <w:tcPr>
            <w:tcW w:w="1701" w:type="dxa"/>
          </w:tcPr>
          <w:p w14:paraId="00A3F66C" w14:textId="77777777" w:rsidR="008C03EE" w:rsidRPr="000C28F8"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r w:rsidRPr="00BF3ABB">
              <w:t>Organisational Review: Ministry of Education and Culture, Indonesia</w:t>
            </w:r>
          </w:p>
        </w:tc>
        <w:tc>
          <w:tcPr>
            <w:tcW w:w="2693" w:type="dxa"/>
          </w:tcPr>
          <w:p w14:paraId="2D3138D8" w14:textId="77777777" w:rsidR="008C03EE" w:rsidRDefault="008C03EE" w:rsidP="00E43B7A">
            <w:pPr>
              <w:pStyle w:val="Body"/>
              <w:jc w:val="left"/>
              <w:cnfStyle w:val="000000100000" w:firstRow="0" w:lastRow="0" w:firstColumn="0" w:lastColumn="0" w:oddVBand="0" w:evenVBand="0" w:oddHBand="1" w:evenHBand="0" w:firstRowFirstColumn="0" w:firstRowLastColumn="0" w:lastRowFirstColumn="0" w:lastRowLastColumn="0"/>
              <w:rPr>
                <w:lang w:val="en-AU"/>
              </w:rPr>
            </w:pPr>
            <w:r w:rsidRPr="009A0DC3">
              <w:t xml:space="preserve">This activity </w:t>
            </w:r>
            <w:r>
              <w:t xml:space="preserve">reviewed MoEC’s self-assessed data on the organizational structure and functional and operational responsibilities of central, provincial and district offices of the Ministry. Discussion and workshops were held with key Ministry staff to reflect on the functional responsibilities of the Ministry and advice provided on best-fit practice of the Balanced Scorecard approach to organizational review in the public sector. </w:t>
            </w:r>
          </w:p>
        </w:tc>
        <w:tc>
          <w:tcPr>
            <w:tcW w:w="1843" w:type="dxa"/>
          </w:tcPr>
          <w:p w14:paraId="7E547F70" w14:textId="77777777" w:rsidR="008C03EE" w:rsidRDefault="00A500B1" w:rsidP="00E43B7A">
            <w:pPr>
              <w:pStyle w:val="Body"/>
              <w:jc w:val="left"/>
              <w:cnfStyle w:val="000000100000" w:firstRow="0" w:lastRow="0" w:firstColumn="0" w:lastColumn="0" w:oddVBand="0" w:evenVBand="0" w:oddHBand="1" w:evenHBand="0" w:firstRowFirstColumn="0" w:firstRowLastColumn="0" w:lastRowFirstColumn="0" w:lastRowLastColumn="0"/>
            </w:pPr>
            <w:r w:rsidRPr="00F018BC">
              <w:t>Secretary General, MoEC</w:t>
            </w:r>
          </w:p>
          <w:p w14:paraId="0AA9F6C2" w14:textId="77777777" w:rsidR="00A500B1" w:rsidRDefault="00A500B1" w:rsidP="00E43B7A">
            <w:pPr>
              <w:pStyle w:val="Body"/>
              <w:jc w:val="left"/>
              <w:cnfStyle w:val="000000100000" w:firstRow="0" w:lastRow="0" w:firstColumn="0" w:lastColumn="0" w:oddVBand="0" w:evenVBand="0" w:oddHBand="1" w:evenHBand="0" w:firstRowFirstColumn="0" w:firstRowLastColumn="0" w:lastRowFirstColumn="0" w:lastRowLastColumn="0"/>
            </w:pPr>
          </w:p>
          <w:p w14:paraId="23597055" w14:textId="46EE6474" w:rsidR="00A500B1" w:rsidRPr="009A0DC3" w:rsidRDefault="00A500B1" w:rsidP="00E43B7A">
            <w:pPr>
              <w:pStyle w:val="Body"/>
              <w:jc w:val="left"/>
              <w:cnfStyle w:val="000000100000" w:firstRow="0" w:lastRow="0" w:firstColumn="0" w:lastColumn="0" w:oddVBand="0" w:evenVBand="0" w:oddHBand="1" w:evenHBand="0" w:firstRowFirstColumn="0" w:firstRowLastColumn="0" w:lastRowFirstColumn="0" w:lastRowLastColumn="0"/>
            </w:pPr>
            <w:r w:rsidRPr="00F018BC">
              <w:t>Head, Bureau of Legal and Organisational Affairs</w:t>
            </w:r>
          </w:p>
        </w:tc>
        <w:tc>
          <w:tcPr>
            <w:tcW w:w="1276" w:type="dxa"/>
          </w:tcPr>
          <w:p w14:paraId="2FD8AD0A" w14:textId="7E2ED093" w:rsidR="00FE6F3E" w:rsidRPr="009A0DC3"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rsidRPr="009F6460">
              <w:t>Sept</w:t>
            </w:r>
            <w:r>
              <w:t>ember</w:t>
            </w:r>
            <w:r w:rsidRPr="009F6460">
              <w:t xml:space="preserve"> 2018 – Nov</w:t>
            </w:r>
            <w:r>
              <w:t>ember</w:t>
            </w:r>
            <w:r w:rsidRPr="009F6460">
              <w:t xml:space="preserve"> 2019</w:t>
            </w:r>
          </w:p>
          <w:p w14:paraId="0CEA027F" w14:textId="5B7BE538" w:rsidR="008C03EE" w:rsidRPr="009A0DC3" w:rsidRDefault="008C03EE" w:rsidP="00E43B7A">
            <w:pPr>
              <w:pStyle w:val="Body"/>
              <w:jc w:val="left"/>
              <w:cnfStyle w:val="000000100000" w:firstRow="0" w:lastRow="0" w:firstColumn="0" w:lastColumn="0" w:oddVBand="0" w:evenVBand="0" w:oddHBand="1" w:evenHBand="0" w:firstRowFirstColumn="0" w:firstRowLastColumn="0" w:lastRowFirstColumn="0" w:lastRowLastColumn="0"/>
            </w:pPr>
          </w:p>
        </w:tc>
        <w:tc>
          <w:tcPr>
            <w:tcW w:w="2551" w:type="dxa"/>
          </w:tcPr>
          <w:p w14:paraId="7B77CD4B" w14:textId="6902DF0F" w:rsidR="00FE6F3E" w:rsidRDefault="00E43B7A"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1 </w:t>
            </w:r>
            <w:r w:rsidR="00FE6F3E">
              <w:t>Activity work plan</w:t>
            </w:r>
          </w:p>
          <w:p w14:paraId="3E0BB34D" w14:textId="2175C5D0"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2</w:t>
            </w:r>
            <w:r w:rsidR="00E43B7A">
              <w:t xml:space="preserve"> </w:t>
            </w:r>
            <w:r>
              <w:t>A report at the completion of inputs with key points to support MoEC presentation to the Minister for Education and Culture</w:t>
            </w:r>
          </w:p>
          <w:p w14:paraId="61EA70F4" w14:textId="34455029"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3</w:t>
            </w:r>
            <w:r w:rsidR="00E43B7A">
              <w:t xml:space="preserve"> </w:t>
            </w:r>
            <w:r>
              <w:t>A report on the quality of data collected by MoEC’s self-assessment, the quality of the Bureau’s instrument, and recommendations for future improvement of the tools and processes</w:t>
            </w:r>
          </w:p>
          <w:p w14:paraId="12AADE77" w14:textId="2A3648D9" w:rsidR="008C03EE" w:rsidRPr="009A0DC3"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4</w:t>
            </w:r>
            <w:r w:rsidR="00E43B7A">
              <w:t xml:space="preserve"> </w:t>
            </w:r>
            <w:r>
              <w:t>Short PowerPoint presentations, as required</w:t>
            </w:r>
          </w:p>
        </w:tc>
        <w:tc>
          <w:tcPr>
            <w:tcW w:w="3513" w:type="dxa"/>
          </w:tcPr>
          <w:p w14:paraId="1DFCBE3D" w14:textId="7A3A8724" w:rsidR="008C03EE" w:rsidRPr="009A0DC3" w:rsidRDefault="007F65BE"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The (confidential) review report was well received by MoEC. Senior personnel reported that the review helped MoEC </w:t>
            </w:r>
            <w:r w:rsidRPr="00502D28">
              <w:t>see challenges more clearly, to understand the problems and risks, and to think about how to resolve them</w:t>
            </w:r>
            <w:r>
              <w:t>. D</w:t>
            </w:r>
            <w:r w:rsidRPr="00502D28">
              <w:t xml:space="preserve">iscussions with the STA </w:t>
            </w:r>
            <w:r>
              <w:t xml:space="preserve">for the activity </w:t>
            </w:r>
            <w:r w:rsidRPr="00502D28">
              <w:t xml:space="preserve">provided opportunities to conceptually explore different structures for MoEC and how </w:t>
            </w:r>
            <w:r>
              <w:t>the ministry</w:t>
            </w:r>
            <w:r w:rsidRPr="00502D28">
              <w:t xml:space="preserve"> might work effectively in Indonesian’s decentralised governance</w:t>
            </w:r>
            <w:r w:rsidRPr="00FC37B4">
              <w:rPr>
                <w:rFonts w:eastAsia="Times New Roman"/>
                <w:color w:val="auto"/>
              </w:rPr>
              <w:t xml:space="preserve"> system</w:t>
            </w:r>
            <w:r>
              <w:rPr>
                <w:rFonts w:eastAsia="Times New Roman"/>
                <w:color w:val="auto"/>
              </w:rPr>
              <w:t>.</w:t>
            </w:r>
          </w:p>
        </w:tc>
      </w:tr>
      <w:tr w:rsidR="000525DF" w14:paraId="625BF680" w14:textId="041AEA27" w:rsidTr="00FE6F3E">
        <w:trPr>
          <w:trHeight w:val="263"/>
        </w:trPr>
        <w:tc>
          <w:tcPr>
            <w:cnfStyle w:val="001000000000" w:firstRow="0" w:lastRow="0" w:firstColumn="1" w:lastColumn="0" w:oddVBand="0" w:evenVBand="0" w:oddHBand="0" w:evenHBand="0" w:firstRowFirstColumn="0" w:firstRowLastColumn="0" w:lastRowFirstColumn="0" w:lastRowLastColumn="0"/>
            <w:tcW w:w="851" w:type="dxa"/>
          </w:tcPr>
          <w:p w14:paraId="492F56C1" w14:textId="77777777" w:rsidR="008C03EE" w:rsidRPr="004147C8" w:rsidRDefault="008C03EE" w:rsidP="00E43B7A">
            <w:pPr>
              <w:pStyle w:val="Body"/>
              <w:jc w:val="left"/>
            </w:pPr>
            <w:r>
              <w:t>#020</w:t>
            </w:r>
          </w:p>
        </w:tc>
        <w:tc>
          <w:tcPr>
            <w:tcW w:w="1701" w:type="dxa"/>
          </w:tcPr>
          <w:p w14:paraId="382005FA" w14:textId="78477A08" w:rsidR="008C03EE" w:rsidRPr="00BF3ABB" w:rsidRDefault="008C03EE" w:rsidP="00E43B7A">
            <w:pPr>
              <w:pStyle w:val="Body"/>
              <w:jc w:val="left"/>
              <w:cnfStyle w:val="000000000000" w:firstRow="0" w:lastRow="0" w:firstColumn="0" w:lastColumn="0" w:oddVBand="0" w:evenVBand="0" w:oddHBand="0" w:evenHBand="0" w:firstRowFirstColumn="0" w:firstRowLastColumn="0" w:lastRowFirstColumn="0" w:lastRowLastColumn="0"/>
              <w:rPr>
                <w:lang w:val="en-AU"/>
              </w:rPr>
            </w:pPr>
            <w:r w:rsidRPr="00C52EEC">
              <w:t xml:space="preserve">Technical advice to support development of a new school </w:t>
            </w:r>
            <w:r>
              <w:t>QA and improvement framework</w:t>
            </w:r>
          </w:p>
        </w:tc>
        <w:tc>
          <w:tcPr>
            <w:tcW w:w="2693" w:type="dxa"/>
          </w:tcPr>
          <w:p w14:paraId="3F9215D2" w14:textId="77777777" w:rsidR="008C03EE" w:rsidRPr="009A0DC3" w:rsidRDefault="008C03EE" w:rsidP="00E43B7A">
            <w:pPr>
              <w:pStyle w:val="Body"/>
              <w:jc w:val="left"/>
              <w:cnfStyle w:val="000000000000" w:firstRow="0" w:lastRow="0" w:firstColumn="0" w:lastColumn="0" w:oddVBand="0" w:evenVBand="0" w:oddHBand="0" w:evenHBand="0" w:firstRowFirstColumn="0" w:firstRowLastColumn="0" w:lastRowFirstColumn="0" w:lastRowLastColumn="0"/>
            </w:pPr>
            <w:r w:rsidRPr="00C52EEC">
              <w:t>This activity is currently being designed. It will support MoEC to implement recommendations of activity from IDTAS-G008 (Review of the basic and secondary education quality assurance system)</w:t>
            </w:r>
            <w:r>
              <w:t>.</w:t>
            </w:r>
          </w:p>
        </w:tc>
        <w:tc>
          <w:tcPr>
            <w:tcW w:w="1843" w:type="dxa"/>
          </w:tcPr>
          <w:p w14:paraId="17D1DBD4" w14:textId="30658748" w:rsidR="008C03EE" w:rsidRPr="00C52EEC" w:rsidRDefault="00FE6F3E" w:rsidP="00E43B7A">
            <w:pPr>
              <w:pStyle w:val="Body"/>
              <w:jc w:val="left"/>
              <w:cnfStyle w:val="000000000000" w:firstRow="0" w:lastRow="0" w:firstColumn="0" w:lastColumn="0" w:oddVBand="0" w:evenVBand="0" w:oddHBand="0" w:evenHBand="0" w:firstRowFirstColumn="0" w:firstRowLastColumn="0" w:lastRowFirstColumn="0" w:lastRowLastColumn="0"/>
            </w:pPr>
            <w:r>
              <w:t>TBD</w:t>
            </w:r>
          </w:p>
        </w:tc>
        <w:tc>
          <w:tcPr>
            <w:tcW w:w="1276" w:type="dxa"/>
          </w:tcPr>
          <w:p w14:paraId="12F8BECF" w14:textId="77777777" w:rsidR="008C03EE" w:rsidRPr="00C52EEC" w:rsidRDefault="008C03EE" w:rsidP="00E43B7A">
            <w:pPr>
              <w:pStyle w:val="Body"/>
              <w:jc w:val="left"/>
              <w:cnfStyle w:val="000000000000" w:firstRow="0" w:lastRow="0" w:firstColumn="0" w:lastColumn="0" w:oddVBand="0" w:evenVBand="0" w:oddHBand="0" w:evenHBand="0" w:firstRowFirstColumn="0" w:firstRowLastColumn="0" w:lastRowFirstColumn="0" w:lastRowLastColumn="0"/>
            </w:pPr>
          </w:p>
        </w:tc>
        <w:tc>
          <w:tcPr>
            <w:tcW w:w="2551" w:type="dxa"/>
          </w:tcPr>
          <w:p w14:paraId="6D1BEBD2" w14:textId="42039CCA" w:rsidR="008C03EE" w:rsidRPr="00C52EEC" w:rsidRDefault="00FE6F3E" w:rsidP="00E43B7A">
            <w:pPr>
              <w:pStyle w:val="Body"/>
              <w:jc w:val="left"/>
              <w:cnfStyle w:val="000000000000" w:firstRow="0" w:lastRow="0" w:firstColumn="0" w:lastColumn="0" w:oddVBand="0" w:evenVBand="0" w:oddHBand="0" w:evenHBand="0" w:firstRowFirstColumn="0" w:firstRowLastColumn="0" w:lastRowFirstColumn="0" w:lastRowLastColumn="0"/>
            </w:pPr>
            <w:r>
              <w:t>TBD</w:t>
            </w:r>
          </w:p>
        </w:tc>
        <w:tc>
          <w:tcPr>
            <w:tcW w:w="3513" w:type="dxa"/>
          </w:tcPr>
          <w:p w14:paraId="1795924B" w14:textId="1FA2BDBD" w:rsidR="008C03EE" w:rsidRPr="00C52EEC" w:rsidRDefault="00FE6F3E" w:rsidP="00E43B7A">
            <w:pPr>
              <w:pStyle w:val="Body"/>
              <w:jc w:val="left"/>
              <w:cnfStyle w:val="000000000000" w:firstRow="0" w:lastRow="0" w:firstColumn="0" w:lastColumn="0" w:oddVBand="0" w:evenVBand="0" w:oddHBand="0" w:evenHBand="0" w:firstRowFirstColumn="0" w:firstRowLastColumn="0" w:lastRowFirstColumn="0" w:lastRowLastColumn="0"/>
            </w:pPr>
            <w:r>
              <w:t>TBD</w:t>
            </w:r>
          </w:p>
        </w:tc>
      </w:tr>
    </w:tbl>
    <w:p w14:paraId="55AC803E" w14:textId="77777777" w:rsidR="00551DC1" w:rsidRDefault="00551DC1" w:rsidP="002A3549">
      <w:pPr>
        <w:pStyle w:val="Body"/>
        <w:sectPr w:rsidR="00551DC1" w:rsidSect="00551DC1">
          <w:footerReference w:type="default" r:id="rId17"/>
          <w:pgSz w:w="16838" w:h="11906" w:orient="landscape" w:code="9"/>
          <w:pgMar w:top="1134" w:right="1134" w:bottom="1134" w:left="1276" w:header="709" w:footer="709" w:gutter="0"/>
          <w:cols w:space="708"/>
          <w:docGrid w:linePitch="360"/>
        </w:sectPr>
      </w:pPr>
    </w:p>
    <w:p w14:paraId="1C87DC86" w14:textId="77777777" w:rsidR="00210752" w:rsidRPr="009D6A98" w:rsidRDefault="00210752" w:rsidP="00210752">
      <w:pPr>
        <w:pStyle w:val="Head3"/>
        <w:ind w:left="851" w:hanging="851"/>
      </w:pPr>
      <w:bookmarkStart w:id="26" w:name="_Toc19006715"/>
      <w:r>
        <w:t>Ministry of Religious Affairs</w:t>
      </w:r>
      <w:bookmarkEnd w:id="26"/>
    </w:p>
    <w:p w14:paraId="65E17E4B" w14:textId="49EAEAB9" w:rsidR="007C26E0" w:rsidRDefault="007C26E0" w:rsidP="00C252C1">
      <w:pPr>
        <w:pStyle w:val="Body"/>
      </w:pPr>
      <w:r w:rsidRPr="009D6A98">
        <w:t xml:space="preserve">MoRA continued to express a desire </w:t>
      </w:r>
      <w:r>
        <w:t xml:space="preserve">and appreciate the urgent need </w:t>
      </w:r>
      <w:r w:rsidRPr="009D6A98">
        <w:t xml:space="preserve">to improve the quality of Islamic education. A backlog of in-service </w:t>
      </w:r>
      <w:r>
        <w:t xml:space="preserve">madrasah </w:t>
      </w:r>
      <w:r w:rsidRPr="009D6A98">
        <w:t xml:space="preserve">teachers who have not yet completed the </w:t>
      </w:r>
      <w:r>
        <w:t xml:space="preserve">Teacher Professional Education </w:t>
      </w:r>
      <w:r w:rsidRPr="009D6A98">
        <w:t>program</w:t>
      </w:r>
      <w:r>
        <w:t xml:space="preserve"> (</w:t>
      </w:r>
      <w:r w:rsidRPr="008037FA">
        <w:rPr>
          <w:i/>
        </w:rPr>
        <w:t>Pendidikan Profesi Guru</w:t>
      </w:r>
      <w:r>
        <w:t xml:space="preserve"> / </w:t>
      </w:r>
      <w:r w:rsidRPr="009D6A98">
        <w:t>PPG</w:t>
      </w:r>
      <w:r>
        <w:t>), and/or are owed payment of professional allowances</w:t>
      </w:r>
      <w:r w:rsidRPr="009D6A98">
        <w:t xml:space="preserve"> consumed much of </w:t>
      </w:r>
      <w:r>
        <w:t>MoR</w:t>
      </w:r>
      <w:r w:rsidR="00A072F4">
        <w:t>A’s budget for teachers and i</w:t>
      </w:r>
      <w:r w:rsidRPr="009D6A98">
        <w:t xml:space="preserve">mpacted </w:t>
      </w:r>
      <w:r w:rsidR="00A072F4">
        <w:t xml:space="preserve">the scale of </w:t>
      </w:r>
      <w:r w:rsidRPr="009D6A98">
        <w:t>pilo</w:t>
      </w:r>
      <w:r>
        <w:t xml:space="preserve">ting </w:t>
      </w:r>
      <w:r w:rsidR="005353E8">
        <w:t xml:space="preserve">of </w:t>
      </w:r>
      <w:r>
        <w:t xml:space="preserve">the madrasah teacher continuous professional development (CPD) </w:t>
      </w:r>
      <w:r w:rsidR="005353E8">
        <w:t>program</w:t>
      </w:r>
      <w:r>
        <w:t xml:space="preserve"> - </w:t>
      </w:r>
      <w:r w:rsidRPr="009D6A98">
        <w:t>with uneven implementation a</w:t>
      </w:r>
      <w:r>
        <w:t>cross the seven pilot provinces</w:t>
      </w:r>
      <w:r w:rsidRPr="009D6A98">
        <w:t xml:space="preserve">. </w:t>
      </w:r>
    </w:p>
    <w:p w14:paraId="5DAE3F36" w14:textId="543B9558" w:rsidR="00414A01" w:rsidRDefault="00414A01" w:rsidP="00414A01">
      <w:pPr>
        <w:pStyle w:val="Body"/>
      </w:pPr>
      <w:r>
        <w:t xml:space="preserve">TASS observed in a number of RPJMN-related events and dialogue that religious conservatism and intolerance was a continuing concern of MoRA in 2018, and across all religions (i.e. the Islamic, Catholic, Protestant, Hindu, Buddhist and Confucian directorate </w:t>
      </w:r>
      <w:r w:rsidRPr="00414A01">
        <w:t xml:space="preserve">generals). </w:t>
      </w:r>
    </w:p>
    <w:p w14:paraId="41BBFDD3" w14:textId="00BBE1DF" w:rsidR="00210752" w:rsidRDefault="00210752" w:rsidP="002A3549">
      <w:pPr>
        <w:pStyle w:val="Body"/>
      </w:pPr>
      <w:r>
        <w:t xml:space="preserve">In 2018, TASS managed </w:t>
      </w:r>
      <w:r w:rsidR="00CF2B46">
        <w:t>three</w:t>
      </w:r>
      <w:r>
        <w:t xml:space="preserve"> activities with the Ministry of Religious Affairs.</w:t>
      </w:r>
    </w:p>
    <w:p w14:paraId="64056263" w14:textId="736C8E3E" w:rsidR="00210752" w:rsidRPr="009D6A98" w:rsidRDefault="00210752" w:rsidP="00210752">
      <w:pPr>
        <w:pStyle w:val="Caption"/>
      </w:pPr>
      <w:bookmarkStart w:id="27" w:name="_Toc19006748"/>
      <w:r>
        <w:t xml:space="preserve">Table </w:t>
      </w:r>
      <w:r>
        <w:fldChar w:fldCharType="begin"/>
      </w:r>
      <w:r>
        <w:instrText xml:space="preserve"> SEQ Table \* ARABIC </w:instrText>
      </w:r>
      <w:r>
        <w:fldChar w:fldCharType="separate"/>
      </w:r>
      <w:r w:rsidR="00505CCA">
        <w:rPr>
          <w:noProof/>
        </w:rPr>
        <w:t>2</w:t>
      </w:r>
      <w:r>
        <w:fldChar w:fldCharType="end"/>
      </w:r>
      <w:r>
        <w:t xml:space="preserve">: </w:t>
      </w:r>
      <w:r w:rsidRPr="00982C46">
        <w:t xml:space="preserve">Activities </w:t>
      </w:r>
      <w:r w:rsidR="008037FA">
        <w:t xml:space="preserve">delivered </w:t>
      </w:r>
      <w:r w:rsidRPr="00982C46">
        <w:t>in Partnership with MoRA in 2018</w:t>
      </w:r>
      <w:bookmarkEnd w:id="27"/>
    </w:p>
    <w:tbl>
      <w:tblPr>
        <w:tblStyle w:val="ColorfulList1"/>
        <w:tblW w:w="14317" w:type="dxa"/>
        <w:tblLayout w:type="fixed"/>
        <w:tblLook w:val="04A0" w:firstRow="1" w:lastRow="0" w:firstColumn="1" w:lastColumn="0" w:noHBand="0" w:noVBand="1"/>
      </w:tblPr>
      <w:tblGrid>
        <w:gridCol w:w="1047"/>
        <w:gridCol w:w="1505"/>
        <w:gridCol w:w="340"/>
        <w:gridCol w:w="2495"/>
        <w:gridCol w:w="1701"/>
        <w:gridCol w:w="1134"/>
        <w:gridCol w:w="2410"/>
        <w:gridCol w:w="3685"/>
      </w:tblGrid>
      <w:tr w:rsidR="00FE6F3E" w:rsidRPr="0032704B" w14:paraId="013CB0FF" w14:textId="2415F166" w:rsidTr="00E43B7A">
        <w:trPr>
          <w:cnfStyle w:val="100000000000" w:firstRow="1" w:lastRow="0" w:firstColumn="0" w:lastColumn="0" w:oddVBand="0" w:evenVBand="0" w:oddHBand="0" w:evenHBand="0" w:firstRowFirstColumn="0" w:firstRowLastColumn="0" w:lastRowFirstColumn="0" w:lastRowLastColumn="0"/>
          <w:trHeight w:val="299"/>
          <w:tblHeader/>
        </w:trPr>
        <w:tc>
          <w:tcPr>
            <w:cnfStyle w:val="001000000000" w:firstRow="0" w:lastRow="0" w:firstColumn="1" w:lastColumn="0" w:oddVBand="0" w:evenVBand="0" w:oddHBand="0" w:evenHBand="0" w:firstRowFirstColumn="0" w:firstRowLastColumn="0" w:lastRowFirstColumn="0" w:lastRowLastColumn="0"/>
            <w:tcW w:w="1047" w:type="dxa"/>
            <w:shd w:val="clear" w:color="auto" w:fill="002060"/>
          </w:tcPr>
          <w:p w14:paraId="3D9C6EE5" w14:textId="308E9121" w:rsidR="00FE6F3E" w:rsidRPr="001F71AE" w:rsidRDefault="00FE6F3E" w:rsidP="00930642">
            <w:pPr>
              <w:pStyle w:val="Body"/>
              <w:rPr>
                <w:color w:val="FFFFFF" w:themeColor="background1"/>
              </w:rPr>
            </w:pPr>
            <w:r w:rsidRPr="001F71AE">
              <w:rPr>
                <w:color w:val="FFFFFF" w:themeColor="background1"/>
              </w:rPr>
              <w:t xml:space="preserve">Activity </w:t>
            </w:r>
            <w:r w:rsidR="00930642">
              <w:rPr>
                <w:color w:val="FFFFFF" w:themeColor="background1"/>
              </w:rPr>
              <w:t>#</w:t>
            </w:r>
          </w:p>
        </w:tc>
        <w:tc>
          <w:tcPr>
            <w:tcW w:w="1845" w:type="dxa"/>
            <w:gridSpan w:val="2"/>
            <w:tcBorders>
              <w:right w:val="single" w:sz="4" w:space="0" w:color="auto"/>
            </w:tcBorders>
            <w:shd w:val="clear" w:color="auto" w:fill="002060"/>
          </w:tcPr>
          <w:p w14:paraId="3557157E" w14:textId="77777777" w:rsidR="00FE6F3E" w:rsidRPr="001F71AE" w:rsidRDefault="00FE6F3E" w:rsidP="00FE6F3E">
            <w:pPr>
              <w:pStyle w:val="Body"/>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1F71AE">
              <w:rPr>
                <w:color w:val="FFFFFF" w:themeColor="background1"/>
              </w:rPr>
              <w:t>Activity Name</w:t>
            </w:r>
          </w:p>
        </w:tc>
        <w:tc>
          <w:tcPr>
            <w:tcW w:w="2495" w:type="dxa"/>
            <w:tcBorders>
              <w:left w:val="single" w:sz="4" w:space="0" w:color="auto"/>
            </w:tcBorders>
            <w:shd w:val="clear" w:color="auto" w:fill="002060"/>
          </w:tcPr>
          <w:p w14:paraId="68E0557E" w14:textId="77777777" w:rsidR="00FE6F3E" w:rsidRPr="001F71AE" w:rsidRDefault="00FE6F3E" w:rsidP="00FE6F3E">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sidRPr="001F71AE">
              <w:rPr>
                <w:color w:val="FFFFFF" w:themeColor="background1"/>
              </w:rPr>
              <w:t>Description</w:t>
            </w:r>
          </w:p>
        </w:tc>
        <w:tc>
          <w:tcPr>
            <w:tcW w:w="1701" w:type="dxa"/>
            <w:tcBorders>
              <w:left w:val="single" w:sz="4" w:space="0" w:color="auto"/>
              <w:right w:val="single" w:sz="4" w:space="0" w:color="auto"/>
            </w:tcBorders>
            <w:shd w:val="clear" w:color="auto" w:fill="002060"/>
          </w:tcPr>
          <w:p w14:paraId="1B0A11B4" w14:textId="749DFE93" w:rsidR="00FE6F3E" w:rsidRPr="001F71AE" w:rsidRDefault="00FE6F3E" w:rsidP="00FE6F3E">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Counterparts</w:t>
            </w:r>
          </w:p>
        </w:tc>
        <w:tc>
          <w:tcPr>
            <w:tcW w:w="1134" w:type="dxa"/>
            <w:tcBorders>
              <w:left w:val="single" w:sz="4" w:space="0" w:color="auto"/>
            </w:tcBorders>
            <w:shd w:val="clear" w:color="auto" w:fill="002060"/>
          </w:tcPr>
          <w:p w14:paraId="64D70AF2" w14:textId="6C3C41B0" w:rsidR="00FE6F3E" w:rsidRPr="001F71AE" w:rsidRDefault="00FE6F3E" w:rsidP="00FE6F3E">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Timeline</w:t>
            </w:r>
          </w:p>
        </w:tc>
        <w:tc>
          <w:tcPr>
            <w:tcW w:w="2410" w:type="dxa"/>
            <w:tcBorders>
              <w:left w:val="single" w:sz="4" w:space="0" w:color="auto"/>
              <w:right w:val="single" w:sz="4" w:space="0" w:color="auto"/>
            </w:tcBorders>
            <w:shd w:val="clear" w:color="auto" w:fill="002060"/>
          </w:tcPr>
          <w:p w14:paraId="13DC6B7B" w14:textId="5EB0F98B" w:rsidR="00FE6F3E" w:rsidRPr="001F71AE" w:rsidRDefault="00FE6F3E" w:rsidP="00FE6F3E">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Target output</w:t>
            </w:r>
          </w:p>
        </w:tc>
        <w:tc>
          <w:tcPr>
            <w:tcW w:w="3685" w:type="dxa"/>
            <w:tcBorders>
              <w:left w:val="single" w:sz="4" w:space="0" w:color="auto"/>
            </w:tcBorders>
            <w:shd w:val="clear" w:color="auto" w:fill="002060"/>
          </w:tcPr>
          <w:p w14:paraId="78DAA1BB" w14:textId="46622608" w:rsidR="00FE6F3E" w:rsidRPr="001F71AE" w:rsidRDefault="00FE6F3E" w:rsidP="00FE6F3E">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Progress</w:t>
            </w:r>
          </w:p>
        </w:tc>
      </w:tr>
      <w:tr w:rsidR="00FE6F3E" w14:paraId="2C916664" w14:textId="767B6E4E" w:rsidTr="00E43B7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47" w:type="dxa"/>
          </w:tcPr>
          <w:p w14:paraId="105EE189" w14:textId="77777777" w:rsidR="00FE6F3E" w:rsidRPr="004147C8" w:rsidRDefault="00FE6F3E" w:rsidP="00E43B7A">
            <w:pPr>
              <w:pStyle w:val="Body"/>
              <w:jc w:val="left"/>
            </w:pPr>
            <w:r>
              <w:t>#007, #013</w:t>
            </w:r>
          </w:p>
        </w:tc>
        <w:tc>
          <w:tcPr>
            <w:tcW w:w="1505" w:type="dxa"/>
          </w:tcPr>
          <w:p w14:paraId="22FEEF68" w14:textId="77777777" w:rsidR="00FE6F3E" w:rsidRPr="000C28F8"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rsidRPr="000C28F8">
              <w:t>Technical assistance to support development and piloting of a Continuous Professional Development System for Madrasah Teachers (Phase 2</w:t>
            </w:r>
            <w:r>
              <w:t xml:space="preserve"> and 3</w:t>
            </w:r>
            <w:r w:rsidRPr="000C28F8">
              <w:t>)</w:t>
            </w:r>
          </w:p>
        </w:tc>
        <w:tc>
          <w:tcPr>
            <w:tcW w:w="2835" w:type="dxa"/>
            <w:gridSpan w:val="2"/>
          </w:tcPr>
          <w:p w14:paraId="29333552" w14:textId="47808D1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rPr>
                <w:color w:val="002060"/>
              </w:rPr>
            </w:pPr>
            <w:r>
              <w:t xml:space="preserve">Advising </w:t>
            </w:r>
            <w:r w:rsidRPr="009A0DC3">
              <w:t xml:space="preserve">MoRA </w:t>
            </w:r>
            <w:r>
              <w:t>on piloting</w:t>
            </w:r>
            <w:r w:rsidRPr="009A0DC3">
              <w:t xml:space="preserve"> system design and content</w:t>
            </w:r>
            <w:r>
              <w:t xml:space="preserve"> for the Continuous Professional Development program for Madrasah teachers (and recently all teachers of religion). This activity has focused on sustainably developing the system to be implemented by MoRA, which has significantly involved contributing to the enactment of a Ministerial decree for use of the system, and supporting the development of partnerships with civil society organisations and private institutions to fund the implementation nationally.</w:t>
            </w:r>
          </w:p>
        </w:tc>
        <w:tc>
          <w:tcPr>
            <w:tcW w:w="1701" w:type="dxa"/>
          </w:tcPr>
          <w:p w14:paraId="00506395" w14:textId="7777777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rsidRPr="00C2445C">
              <w:t>Director General for Islamic Education (DG IE), MoRA</w:t>
            </w:r>
          </w:p>
          <w:p w14:paraId="27090B32" w14:textId="7777777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p>
          <w:p w14:paraId="36825514" w14:textId="6A40D5DC"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rsidRPr="00C2445C">
              <w:t>Director of Madrasah Teacher and Education Personnel, MoRA</w:t>
            </w:r>
          </w:p>
        </w:tc>
        <w:tc>
          <w:tcPr>
            <w:tcW w:w="1134" w:type="dxa"/>
          </w:tcPr>
          <w:p w14:paraId="5358762D" w14:textId="5F090219"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rPr>
                <w:lang w:val="en-GB" w:eastAsia="en-AU"/>
              </w:rPr>
            </w:pPr>
            <w:r w:rsidRPr="00052BEF">
              <w:rPr>
                <w:lang w:val="en-GB" w:eastAsia="en-AU"/>
              </w:rPr>
              <w:t xml:space="preserve">Phase 2: </w:t>
            </w:r>
            <w:r>
              <w:t xml:space="preserve">  Aug 2017 – Feb 2018</w:t>
            </w:r>
          </w:p>
          <w:p w14:paraId="26EFA5FC" w14:textId="77A2687F"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rPr>
                <w:lang w:val="en-GB" w:eastAsia="en-AU"/>
              </w:rPr>
            </w:pPr>
            <w:r w:rsidRPr="00052BEF">
              <w:rPr>
                <w:lang w:val="en-GB" w:eastAsia="en-AU"/>
              </w:rPr>
              <w:t xml:space="preserve">Phase </w:t>
            </w:r>
            <w:r>
              <w:rPr>
                <w:lang w:val="en-GB" w:eastAsia="en-AU"/>
              </w:rPr>
              <w:t>3</w:t>
            </w:r>
            <w:r w:rsidRPr="00052BEF">
              <w:rPr>
                <w:lang w:val="en-GB" w:eastAsia="en-AU"/>
              </w:rPr>
              <w:t xml:space="preserve">: </w:t>
            </w:r>
            <w:r>
              <w:t xml:space="preserve"> May 2018 – May 2019</w:t>
            </w:r>
          </w:p>
          <w:p w14:paraId="2CA1D41D" w14:textId="6C55E6C0"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7918DAAC" w14:textId="7777777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Outputs (Phase 2)</w:t>
            </w:r>
          </w:p>
          <w:p w14:paraId="4989E521" w14:textId="7777777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p>
          <w:p w14:paraId="4A280B83" w14:textId="24EC56B6" w:rsidR="00FE6F3E" w:rsidRDefault="00E43B7A"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1 </w:t>
            </w:r>
            <w:r w:rsidR="00FE6F3E">
              <w:t>Final draft of CPD regulations</w:t>
            </w:r>
          </w:p>
          <w:p w14:paraId="7D4E8956" w14:textId="0EF0E2C0"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2</w:t>
            </w:r>
            <w:r w:rsidR="00E43B7A">
              <w:t xml:space="preserve"> </w:t>
            </w:r>
            <w:r>
              <w:t>Endorsed CPD guidelines (delivery, financing including BOS, quality assurance)</w:t>
            </w:r>
          </w:p>
          <w:p w14:paraId="1623659C" w14:textId="520F1E9F"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3</w:t>
            </w:r>
            <w:r w:rsidR="00E43B7A">
              <w:t xml:space="preserve"> </w:t>
            </w:r>
            <w:r>
              <w:t>MoRA’s 2018 annual work plan and budget for CPD</w:t>
            </w:r>
          </w:p>
          <w:p w14:paraId="66FDDACD" w14:textId="7777777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p>
          <w:p w14:paraId="0FE9FDF9" w14:textId="7777777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Outputs (Phase 3)</w:t>
            </w:r>
          </w:p>
          <w:p w14:paraId="1EC0E957" w14:textId="77777777"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p>
          <w:p w14:paraId="69C464B4" w14:textId="60B95D2B"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1</w:t>
            </w:r>
            <w:r w:rsidR="00E43B7A">
              <w:t xml:space="preserve"> </w:t>
            </w:r>
            <w:r>
              <w:t>CPD Ministerial Regulation</w:t>
            </w:r>
          </w:p>
          <w:p w14:paraId="2E582CC7" w14:textId="00B453A8"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2</w:t>
            </w:r>
            <w:r w:rsidR="00E43B7A">
              <w:t xml:space="preserve"> </w:t>
            </w:r>
            <w:r>
              <w:t>Updated CPD guidelines for 2019</w:t>
            </w:r>
          </w:p>
          <w:p w14:paraId="07BA8A8A" w14:textId="47404135"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3</w:t>
            </w:r>
            <w:r w:rsidR="00E43B7A">
              <w:t xml:space="preserve"> </w:t>
            </w:r>
            <w:r>
              <w:t>Endorsed BOS guidelines for 2019 (that specifically allow BOS funds to be spent on teacher CPD)</w:t>
            </w:r>
          </w:p>
          <w:p w14:paraId="1A61851C" w14:textId="696F4409" w:rsidR="00FE6F3E" w:rsidRDefault="00E43B7A"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4 </w:t>
            </w:r>
            <w:r w:rsidR="00FE6F3E">
              <w:t>MoRA’s 2019 annual work plan and budget for CPD</w:t>
            </w:r>
          </w:p>
          <w:p w14:paraId="3D046D7D" w14:textId="34BACA94" w:rsidR="00FE6F3E" w:rsidRDefault="00FE6F3E" w:rsidP="00E43B7A">
            <w:pPr>
              <w:pStyle w:val="Body"/>
              <w:jc w:val="left"/>
              <w:cnfStyle w:val="000000100000" w:firstRow="0" w:lastRow="0" w:firstColumn="0" w:lastColumn="0" w:oddVBand="0" w:evenVBand="0" w:oddHBand="1" w:evenHBand="0" w:firstRowFirstColumn="0" w:firstRowLastColumn="0" w:lastRowFirstColumn="0" w:lastRowLastColumn="0"/>
            </w:pPr>
            <w:r>
              <w:t>5</w:t>
            </w:r>
            <w:r w:rsidR="00E43B7A">
              <w:t xml:space="preserve"> </w:t>
            </w:r>
            <w:r>
              <w:t>Gender and inclusion review of CPD system and modules</w:t>
            </w:r>
          </w:p>
        </w:tc>
        <w:tc>
          <w:tcPr>
            <w:tcW w:w="3685" w:type="dxa"/>
          </w:tcPr>
          <w:p w14:paraId="2E2AC06C" w14:textId="77777777" w:rsidR="00FE6F3E" w:rsidRPr="00A072F4" w:rsidRDefault="00FE6F3E" w:rsidP="00A072F4">
            <w:pPr>
              <w:spacing w:after="180" w:line="240"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A072F4">
              <w:rPr>
                <w:rFonts w:ascii="Cambria" w:hAnsi="Cambria"/>
                <w:color w:val="000000"/>
              </w:rPr>
              <w:t xml:space="preserve">2018 was the second year of piloting and the TASS team of advisers’ focus was on supporting MoRA to plan and schedule CPD pilot implementation, finalise a ministerial regulation governing teacher CPD, develop partnerships with (Islamic) CSOs and large providers of Islamic Education Services to finance CPD, and accelerate pilot implementation in East Java </w:t>
            </w:r>
            <w:r w:rsidRPr="00A072F4">
              <w:rPr>
                <w:rFonts w:ascii="Cambria" w:hAnsi="Cambria"/>
                <w:color w:val="000000"/>
              </w:rPr>
              <w:footnoteReference w:id="8"/>
            </w:r>
            <w:r w:rsidRPr="00A072F4">
              <w:rPr>
                <w:rFonts w:ascii="Cambria" w:hAnsi="Cambria"/>
                <w:color w:val="000000"/>
              </w:rPr>
              <w:t>and facilitate East Java to guide and be a model for other target pilot provinces.</w:t>
            </w:r>
          </w:p>
          <w:p w14:paraId="3924B13F" w14:textId="77777777" w:rsidR="00FE6F3E" w:rsidRPr="00A072F4" w:rsidRDefault="00FE6F3E" w:rsidP="00A072F4">
            <w:pPr>
              <w:spacing w:after="180" w:line="240"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rPr>
            </w:pPr>
          </w:p>
          <w:p w14:paraId="7AF5E03B" w14:textId="30371EF6" w:rsidR="00A072F4" w:rsidRPr="00A072F4" w:rsidRDefault="00A072F4" w:rsidP="00A072F4">
            <w:pPr>
              <w:spacing w:after="180" w:line="240"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A072F4">
              <w:rPr>
                <w:rFonts w:ascii="Cambria" w:hAnsi="Cambria"/>
                <w:color w:val="000000"/>
              </w:rPr>
              <w:t xml:space="preserve">The Ministerial Regulation for teacher CPD was signed by the Minister of Religious Affairs in December 2018. This is a significant outcome becomes it provides a legal framework, for the first time, for CPD for all teachers under MoRA’s mandate (i.e. including teachers of Catholic, Protestant, Hindu, Buddhist, and Confucian religions). </w:t>
            </w:r>
          </w:p>
          <w:p w14:paraId="606E4557" w14:textId="65C02287" w:rsidR="00A072F4" w:rsidRPr="00A072F4" w:rsidRDefault="00A072F4" w:rsidP="00A072F4">
            <w:pPr>
              <w:spacing w:after="180" w:line="240"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A072F4">
              <w:rPr>
                <w:rFonts w:ascii="Cambria" w:hAnsi="Cambria"/>
                <w:color w:val="000000"/>
              </w:rPr>
              <w:t>Pilot implementation is occurring in all seven pilot provinces, although to varying degrees – East Java in all of its 38 districts and municipalities. A trial android application for teacher performance appraisal (as the basis for determining CPD content in each teacher working group) was developed by MoRA in East Java with technical advice from TASS. 110,000 teachers participated from the province and the application and process will be expanded to other provinces in 2018.</w:t>
            </w:r>
          </w:p>
          <w:p w14:paraId="78438B69" w14:textId="0CD68A0F" w:rsidR="00A072F4" w:rsidRPr="00A072F4" w:rsidRDefault="00A072F4" w:rsidP="00A072F4">
            <w:pPr>
              <w:spacing w:after="180" w:line="240"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A072F4">
              <w:rPr>
                <w:rFonts w:ascii="Cambria" w:hAnsi="Cambria"/>
                <w:color w:val="000000"/>
              </w:rPr>
              <w:t xml:space="preserve">TASS inputs and strategic advice supported MoRA to develop first-ever partnerships with universities, teacher associations, and national organisations such as NU/Maarif that will broaden the base of CPD implementers, making it more likely that CPD will be able to be implemented across Indonesia. </w:t>
            </w:r>
          </w:p>
        </w:tc>
      </w:tr>
      <w:tr w:rsidR="00FE6F3E" w14:paraId="1AE97240" w14:textId="52483CB2" w:rsidTr="00E43B7A">
        <w:trPr>
          <w:trHeight w:val="278"/>
        </w:trPr>
        <w:tc>
          <w:tcPr>
            <w:cnfStyle w:val="001000000000" w:firstRow="0" w:lastRow="0" w:firstColumn="1" w:lastColumn="0" w:oddVBand="0" w:evenVBand="0" w:oddHBand="0" w:evenHBand="0" w:firstRowFirstColumn="0" w:firstRowLastColumn="0" w:lastRowFirstColumn="0" w:lastRowLastColumn="0"/>
            <w:tcW w:w="1047" w:type="dxa"/>
          </w:tcPr>
          <w:p w14:paraId="6111D31F" w14:textId="77777777" w:rsidR="00FE6F3E" w:rsidRDefault="00FE6F3E" w:rsidP="00E43B7A">
            <w:pPr>
              <w:pStyle w:val="Body"/>
              <w:jc w:val="left"/>
            </w:pPr>
            <w:r>
              <w:t>#019</w:t>
            </w:r>
          </w:p>
        </w:tc>
        <w:tc>
          <w:tcPr>
            <w:tcW w:w="1505" w:type="dxa"/>
          </w:tcPr>
          <w:p w14:paraId="03DD24B8" w14:textId="77777777" w:rsidR="00FE6F3E" w:rsidRPr="000C28F8" w:rsidRDefault="00FE6F3E" w:rsidP="00E43B7A">
            <w:pPr>
              <w:pStyle w:val="Body"/>
              <w:jc w:val="left"/>
              <w:cnfStyle w:val="000000000000" w:firstRow="0" w:lastRow="0" w:firstColumn="0" w:lastColumn="0" w:oddVBand="0" w:evenVBand="0" w:oddHBand="0" w:evenHBand="0" w:firstRowFirstColumn="0" w:firstRowLastColumn="0" w:lastRowFirstColumn="0" w:lastRowLastColumn="0"/>
            </w:pPr>
            <w:r>
              <w:t xml:space="preserve">Support to development of Islamic Education </w:t>
            </w:r>
            <w:r w:rsidRPr="00F83902">
              <w:rPr>
                <w:i/>
              </w:rPr>
              <w:t>Renstra</w:t>
            </w:r>
          </w:p>
        </w:tc>
        <w:tc>
          <w:tcPr>
            <w:tcW w:w="2835" w:type="dxa"/>
            <w:gridSpan w:val="2"/>
          </w:tcPr>
          <w:p w14:paraId="55D6578C" w14:textId="77777777" w:rsidR="00FE6F3E" w:rsidRDefault="00FE6F3E" w:rsidP="00E43B7A">
            <w:pPr>
              <w:pStyle w:val="Body"/>
              <w:jc w:val="left"/>
              <w:cnfStyle w:val="000000000000" w:firstRow="0" w:lastRow="0" w:firstColumn="0" w:lastColumn="0" w:oddVBand="0" w:evenVBand="0" w:oddHBand="0" w:evenHBand="0" w:firstRowFirstColumn="0" w:firstRowLastColumn="0" w:lastRowFirstColumn="0" w:lastRowLastColumn="0"/>
              <w:rPr>
                <w:lang w:val="en-AU"/>
              </w:rPr>
            </w:pPr>
            <w:r>
              <w:t>T</w:t>
            </w:r>
            <w:r w:rsidRPr="009A0DC3">
              <w:t>echnical advice</w:t>
            </w:r>
            <w:r>
              <w:t xml:space="preserve"> and data analysis </w:t>
            </w:r>
            <w:r w:rsidRPr="009A0DC3">
              <w:t>to enable MoRA to identify its key priorities, strategies, and</w:t>
            </w:r>
            <w:r>
              <w:t xml:space="preserve"> related indicators and targets for the 2020-2024 Islamic Education </w:t>
            </w:r>
            <w:r w:rsidRPr="00F83902">
              <w:rPr>
                <w:i/>
              </w:rPr>
              <w:t>Renstra.</w:t>
            </w:r>
            <w:r>
              <w:t xml:space="preserve"> </w:t>
            </w:r>
          </w:p>
        </w:tc>
        <w:tc>
          <w:tcPr>
            <w:tcW w:w="1701" w:type="dxa"/>
          </w:tcPr>
          <w:p w14:paraId="169EECD5" w14:textId="77777777" w:rsidR="00FE6F3E" w:rsidRDefault="00FE6F3E" w:rsidP="00E43B7A">
            <w:pPr>
              <w:pStyle w:val="Body"/>
              <w:jc w:val="left"/>
              <w:cnfStyle w:val="000000000000" w:firstRow="0" w:lastRow="0" w:firstColumn="0" w:lastColumn="0" w:oddVBand="0" w:evenVBand="0" w:oddHBand="0" w:evenHBand="0" w:firstRowFirstColumn="0" w:firstRowLastColumn="0" w:lastRowFirstColumn="0" w:lastRowLastColumn="0"/>
            </w:pPr>
            <w:r w:rsidRPr="009F7DB2">
              <w:t>Secretary to the Director General, Islamic Education, MoRA</w:t>
            </w:r>
          </w:p>
          <w:p w14:paraId="69F055C2" w14:textId="77777777" w:rsidR="00FE6F3E" w:rsidRDefault="00FE6F3E" w:rsidP="00E43B7A">
            <w:pPr>
              <w:pStyle w:val="Body"/>
              <w:jc w:val="left"/>
              <w:cnfStyle w:val="000000000000" w:firstRow="0" w:lastRow="0" w:firstColumn="0" w:lastColumn="0" w:oddVBand="0" w:evenVBand="0" w:oddHBand="0" w:evenHBand="0" w:firstRowFirstColumn="0" w:firstRowLastColumn="0" w:lastRowFirstColumn="0" w:lastRowLastColumn="0"/>
            </w:pPr>
          </w:p>
          <w:p w14:paraId="37558F8E" w14:textId="36452B67" w:rsidR="00FE6F3E" w:rsidRDefault="00FE6F3E" w:rsidP="00E43B7A">
            <w:pPr>
              <w:pStyle w:val="Body"/>
              <w:jc w:val="left"/>
              <w:cnfStyle w:val="000000000000" w:firstRow="0" w:lastRow="0" w:firstColumn="0" w:lastColumn="0" w:oddVBand="0" w:evenVBand="0" w:oddHBand="0" w:evenHBand="0" w:firstRowFirstColumn="0" w:firstRowLastColumn="0" w:lastRowFirstColumn="0" w:lastRowLastColumn="0"/>
            </w:pPr>
          </w:p>
        </w:tc>
        <w:tc>
          <w:tcPr>
            <w:tcW w:w="1134" w:type="dxa"/>
          </w:tcPr>
          <w:p w14:paraId="2B40763E" w14:textId="2F8BED3D" w:rsidR="00FE6F3E" w:rsidRDefault="00930642" w:rsidP="00E43B7A">
            <w:pPr>
              <w:pStyle w:val="Body"/>
              <w:jc w:val="left"/>
              <w:cnfStyle w:val="000000000000" w:firstRow="0" w:lastRow="0" w:firstColumn="0" w:lastColumn="0" w:oddVBand="0" w:evenVBand="0" w:oddHBand="0" w:evenHBand="0" w:firstRowFirstColumn="0" w:firstRowLastColumn="0" w:lastRowFirstColumn="0" w:lastRowLastColumn="0"/>
            </w:pPr>
            <w:r w:rsidRPr="009F6460">
              <w:t>December 2018 – March 2019</w:t>
            </w:r>
          </w:p>
        </w:tc>
        <w:tc>
          <w:tcPr>
            <w:tcW w:w="2410" w:type="dxa"/>
          </w:tcPr>
          <w:p w14:paraId="336A21C5" w14:textId="2A81D5B6" w:rsidR="00930642" w:rsidRDefault="00930642" w:rsidP="00E43B7A">
            <w:pPr>
              <w:pStyle w:val="Body"/>
              <w:jc w:val="left"/>
              <w:cnfStyle w:val="000000000000" w:firstRow="0" w:lastRow="0" w:firstColumn="0" w:lastColumn="0" w:oddVBand="0" w:evenVBand="0" w:oddHBand="0" w:evenHBand="0" w:firstRowFirstColumn="0" w:firstRowLastColumn="0" w:lastRowFirstColumn="0" w:lastRowLastColumn="0"/>
            </w:pPr>
            <w:r>
              <w:t>1</w:t>
            </w:r>
            <w:r w:rsidR="00E43B7A">
              <w:t xml:space="preserve"> </w:t>
            </w:r>
            <w:r>
              <w:t xml:space="preserve">A work plan for the overall activity </w:t>
            </w:r>
          </w:p>
          <w:p w14:paraId="254702EF" w14:textId="0FB029C9" w:rsidR="00FE6F3E" w:rsidRDefault="00930642" w:rsidP="00E43B7A">
            <w:pPr>
              <w:pStyle w:val="Body"/>
              <w:jc w:val="left"/>
              <w:cnfStyle w:val="000000000000" w:firstRow="0" w:lastRow="0" w:firstColumn="0" w:lastColumn="0" w:oddVBand="0" w:evenVBand="0" w:oddHBand="0" w:evenHBand="0" w:firstRowFirstColumn="0" w:firstRowLastColumn="0" w:lastRowFirstColumn="0" w:lastRowLastColumn="0"/>
            </w:pPr>
            <w:r>
              <w:t>2</w:t>
            </w:r>
            <w:r w:rsidR="00E43B7A">
              <w:t xml:space="preserve"> </w:t>
            </w:r>
            <w:r>
              <w:t>Presentations and analyses as required by MoRA</w:t>
            </w:r>
          </w:p>
        </w:tc>
        <w:tc>
          <w:tcPr>
            <w:tcW w:w="3685" w:type="dxa"/>
          </w:tcPr>
          <w:p w14:paraId="384D54C0" w14:textId="7F6806B8" w:rsidR="00FE6F3E" w:rsidRPr="00E43B7A" w:rsidRDefault="00930642" w:rsidP="00E43B7A">
            <w:pPr>
              <w:spacing w:after="18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FC37B4">
              <w:rPr>
                <w:rFonts w:ascii="Cambria" w:hAnsi="Cambria"/>
                <w:color w:val="000000"/>
              </w:rPr>
              <w:t xml:space="preserve">This activity was mobilized in December 2018 with an STA team consisting of a national Islamic Education Specialist and national Data Analyst who are supporting MoRA to identify priorities, strategies, indicators and targets for the Islamic Education </w:t>
            </w:r>
            <w:r w:rsidRPr="00DE0F5C">
              <w:rPr>
                <w:rFonts w:ascii="Cambria" w:hAnsi="Cambria"/>
                <w:i/>
                <w:color w:val="000000"/>
              </w:rPr>
              <w:t>Renstra</w:t>
            </w:r>
            <w:r w:rsidRPr="00FC37B4">
              <w:rPr>
                <w:rFonts w:ascii="Cambria" w:hAnsi="Cambria"/>
                <w:color w:val="000000"/>
              </w:rPr>
              <w:t xml:space="preserve"> through provision of advice, facilitation, and participation in various forums for dialogue, both on the </w:t>
            </w:r>
            <w:r w:rsidRPr="00DE0F5C">
              <w:rPr>
                <w:rFonts w:ascii="Cambria" w:hAnsi="Cambria"/>
                <w:i/>
                <w:color w:val="000000"/>
              </w:rPr>
              <w:t>Renstra</w:t>
            </w:r>
            <w:r w:rsidRPr="00FC37B4">
              <w:rPr>
                <w:rFonts w:ascii="Cambria" w:hAnsi="Cambria"/>
                <w:color w:val="000000"/>
              </w:rPr>
              <w:t xml:space="preserve"> development process and the content of the upcoming </w:t>
            </w:r>
            <w:r w:rsidRPr="00DE0F5C">
              <w:rPr>
                <w:rFonts w:ascii="Cambria" w:hAnsi="Cambria"/>
                <w:i/>
                <w:color w:val="000000"/>
              </w:rPr>
              <w:t>Renstra</w:t>
            </w:r>
            <w:r w:rsidR="00E43B7A">
              <w:rPr>
                <w:rFonts w:ascii="Cambria" w:hAnsi="Cambria"/>
                <w:color w:val="000000"/>
              </w:rPr>
              <w:t xml:space="preserve">. </w:t>
            </w:r>
          </w:p>
        </w:tc>
      </w:tr>
    </w:tbl>
    <w:p w14:paraId="08D0B34E" w14:textId="77777777" w:rsidR="00210752" w:rsidRDefault="00210752" w:rsidP="00210752">
      <w:pPr>
        <w:pStyle w:val="Caption"/>
      </w:pPr>
    </w:p>
    <w:p w14:paraId="497B77B3" w14:textId="77777777" w:rsidR="00210752" w:rsidRDefault="00210752" w:rsidP="00210752">
      <w:pPr>
        <w:pStyle w:val="Head3"/>
        <w:ind w:left="851" w:hanging="851"/>
      </w:pPr>
      <w:bookmarkStart w:id="28" w:name="_Toc19006716"/>
      <w:r>
        <w:t>National Development Planning Ministry (Bappenas)</w:t>
      </w:r>
      <w:bookmarkEnd w:id="28"/>
    </w:p>
    <w:p w14:paraId="20ABE8FE" w14:textId="05DE0934" w:rsidR="00210752" w:rsidRDefault="00210752" w:rsidP="002A3549">
      <w:pPr>
        <w:pStyle w:val="Body"/>
      </w:pPr>
      <w:r w:rsidRPr="009D6A98">
        <w:t xml:space="preserve">Through the RPJMN process, </w:t>
      </w:r>
      <w:r w:rsidRPr="0018026A">
        <w:rPr>
          <w:i/>
        </w:rPr>
        <w:t>Bappenas</w:t>
      </w:r>
      <w:r w:rsidRPr="009D6A98">
        <w:t xml:space="preserve"> has set </w:t>
      </w:r>
      <w:r w:rsidR="005C364A">
        <w:t xml:space="preserve">its 2020-24 </w:t>
      </w:r>
      <w:r w:rsidRPr="009D6A98">
        <w:t xml:space="preserve">priorities in education quality, skills, and equity and acknowledged a number of fundamental constraints in education financing and governance that require new strategies in the next RPJMN. </w:t>
      </w:r>
      <w:r w:rsidR="00BD3B3E" w:rsidRPr="0018026A">
        <w:rPr>
          <w:i/>
        </w:rPr>
        <w:t>Bappenas</w:t>
      </w:r>
      <w:r w:rsidR="00BD3B3E">
        <w:t xml:space="preserve"> </w:t>
      </w:r>
      <w:r w:rsidR="005C364A">
        <w:t>recognised</w:t>
      </w:r>
      <w:r w:rsidR="00BD3B3E">
        <w:t xml:space="preserve"> on many occasions that new thinking and new approaches are needed to make progress on entrenched patterns of poor learning. </w:t>
      </w:r>
    </w:p>
    <w:p w14:paraId="7E161F60" w14:textId="32612567" w:rsidR="00E61425" w:rsidRPr="00E61425" w:rsidRDefault="00E61425" w:rsidP="002A3549">
      <w:pPr>
        <w:pStyle w:val="Body"/>
      </w:pPr>
      <w:r>
        <w:t>TASS support to Bappenas to conduct the Education Sector Review and support identification of key strategies for the next RPJMN</w:t>
      </w:r>
      <w:r w:rsidR="005353E8">
        <w:t xml:space="preserve"> also</w:t>
      </w:r>
      <w:r>
        <w:t xml:space="preserve"> offered a strategic platform to </w:t>
      </w:r>
      <w:r w:rsidR="0076468E">
        <w:t>draw on</w:t>
      </w:r>
      <w:r>
        <w:t xml:space="preserve"> key findings and recommendations from other activities, and </w:t>
      </w:r>
      <w:r w:rsidR="005C364A">
        <w:t xml:space="preserve">support Bappenas efforts to disseminate </w:t>
      </w:r>
      <w:r>
        <w:t xml:space="preserve">Education Sector Review and RPJMN analyses and </w:t>
      </w:r>
      <w:r w:rsidR="005C364A">
        <w:t>policy and strategy recommendations to inform</w:t>
      </w:r>
      <w:r>
        <w:t xml:space="preserve"> MoEC and MoRA Strategic Plan development (</w:t>
      </w:r>
      <w:r w:rsidRPr="00E61425">
        <w:rPr>
          <w:i/>
        </w:rPr>
        <w:t>Renstra</w:t>
      </w:r>
      <w:r>
        <w:t xml:space="preserve">). </w:t>
      </w:r>
      <w:r w:rsidR="00DC3A0B">
        <w:t xml:space="preserve">Two related activities supporting strategic planning in MoEC and MoRA were also </w:t>
      </w:r>
      <w:r w:rsidR="0076468E">
        <w:t>drawn upon to support GoI determine</w:t>
      </w:r>
      <w:r w:rsidR="00DC3A0B">
        <w:t xml:space="preserve"> key priorities and strategies across all three ministries. </w:t>
      </w:r>
      <w:r>
        <w:t xml:space="preserve">This should support strong alignment of the two Ministries’ </w:t>
      </w:r>
      <w:r w:rsidRPr="00E61425">
        <w:rPr>
          <w:i/>
        </w:rPr>
        <w:t>Renstra</w:t>
      </w:r>
      <w:r>
        <w:rPr>
          <w:i/>
        </w:rPr>
        <w:t xml:space="preserve"> </w:t>
      </w:r>
      <w:r w:rsidRPr="00E61425">
        <w:t>with the RPJMN</w:t>
      </w:r>
      <w:r w:rsidR="0018026A">
        <w:t>.</w:t>
      </w:r>
    </w:p>
    <w:p w14:paraId="31BEB48A" w14:textId="4CF9D455" w:rsidR="00210752" w:rsidRDefault="00210752" w:rsidP="00210752">
      <w:pPr>
        <w:pStyle w:val="Caption"/>
      </w:pPr>
      <w:bookmarkStart w:id="29" w:name="_Toc19006749"/>
      <w:r>
        <w:t xml:space="preserve">Table </w:t>
      </w:r>
      <w:r>
        <w:fldChar w:fldCharType="begin"/>
      </w:r>
      <w:r>
        <w:instrText xml:space="preserve"> SEQ Table \* ARABIC </w:instrText>
      </w:r>
      <w:r>
        <w:fldChar w:fldCharType="separate"/>
      </w:r>
      <w:r w:rsidR="00505CCA">
        <w:rPr>
          <w:noProof/>
        </w:rPr>
        <w:t>3</w:t>
      </w:r>
      <w:r>
        <w:fldChar w:fldCharType="end"/>
      </w:r>
      <w:r>
        <w:t xml:space="preserve">: </w:t>
      </w:r>
      <w:r w:rsidRPr="003F67FF">
        <w:t>Activities in Partnership with Bappenas 2018</w:t>
      </w:r>
      <w:bookmarkEnd w:id="29"/>
    </w:p>
    <w:tbl>
      <w:tblPr>
        <w:tblStyle w:val="ColorfulList1"/>
        <w:tblW w:w="14317" w:type="dxa"/>
        <w:tblLook w:val="04A0" w:firstRow="1" w:lastRow="0" w:firstColumn="1" w:lastColumn="0" w:noHBand="0" w:noVBand="1"/>
      </w:tblPr>
      <w:tblGrid>
        <w:gridCol w:w="1047"/>
        <w:gridCol w:w="1346"/>
        <w:gridCol w:w="3159"/>
        <w:gridCol w:w="1563"/>
        <w:gridCol w:w="1249"/>
        <w:gridCol w:w="2409"/>
        <w:gridCol w:w="3544"/>
      </w:tblGrid>
      <w:tr w:rsidR="004F61A8" w:rsidRPr="0032704B" w14:paraId="1D940EFC" w14:textId="13173384" w:rsidTr="00E43B7A">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47" w:type="dxa"/>
            <w:shd w:val="clear" w:color="auto" w:fill="002060"/>
          </w:tcPr>
          <w:p w14:paraId="7C20E5F9" w14:textId="77777777" w:rsidR="004F61A8" w:rsidRPr="001F71AE" w:rsidRDefault="004F61A8" w:rsidP="004F61A8">
            <w:pPr>
              <w:pStyle w:val="Body"/>
              <w:rPr>
                <w:color w:val="FFFFFF" w:themeColor="background1"/>
              </w:rPr>
            </w:pPr>
            <w:r w:rsidRPr="001F71AE">
              <w:rPr>
                <w:color w:val="FFFFFF" w:themeColor="background1"/>
              </w:rPr>
              <w:t>Activity Number</w:t>
            </w:r>
          </w:p>
        </w:tc>
        <w:tc>
          <w:tcPr>
            <w:tcW w:w="1346" w:type="dxa"/>
            <w:tcBorders>
              <w:right w:val="single" w:sz="4" w:space="0" w:color="auto"/>
            </w:tcBorders>
            <w:shd w:val="clear" w:color="auto" w:fill="002060"/>
          </w:tcPr>
          <w:p w14:paraId="15238B7A" w14:textId="77777777" w:rsidR="004F61A8" w:rsidRPr="001F71AE" w:rsidRDefault="004F61A8" w:rsidP="004F61A8">
            <w:pPr>
              <w:pStyle w:val="Body"/>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1F71AE">
              <w:rPr>
                <w:color w:val="FFFFFF" w:themeColor="background1"/>
              </w:rPr>
              <w:t>Activity Name</w:t>
            </w:r>
          </w:p>
        </w:tc>
        <w:tc>
          <w:tcPr>
            <w:tcW w:w="3159" w:type="dxa"/>
            <w:tcBorders>
              <w:left w:val="single" w:sz="4" w:space="0" w:color="auto"/>
            </w:tcBorders>
            <w:shd w:val="clear" w:color="auto" w:fill="002060"/>
          </w:tcPr>
          <w:p w14:paraId="0FAA9147" w14:textId="77777777" w:rsidR="004F61A8" w:rsidRPr="001F71AE" w:rsidRDefault="004F61A8" w:rsidP="004F61A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sidRPr="001F71AE">
              <w:rPr>
                <w:color w:val="FFFFFF" w:themeColor="background1"/>
              </w:rPr>
              <w:t>Description</w:t>
            </w:r>
          </w:p>
        </w:tc>
        <w:tc>
          <w:tcPr>
            <w:tcW w:w="1563" w:type="dxa"/>
            <w:tcBorders>
              <w:left w:val="single" w:sz="4" w:space="0" w:color="auto"/>
              <w:right w:val="single" w:sz="4" w:space="0" w:color="auto"/>
            </w:tcBorders>
            <w:shd w:val="clear" w:color="auto" w:fill="002060"/>
          </w:tcPr>
          <w:p w14:paraId="6F855ABE" w14:textId="7E448E43" w:rsidR="004F61A8" w:rsidRPr="001F71AE" w:rsidRDefault="004F61A8" w:rsidP="004F61A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Counterparts</w:t>
            </w:r>
          </w:p>
        </w:tc>
        <w:tc>
          <w:tcPr>
            <w:tcW w:w="1249" w:type="dxa"/>
            <w:tcBorders>
              <w:left w:val="single" w:sz="4" w:space="0" w:color="auto"/>
            </w:tcBorders>
            <w:shd w:val="clear" w:color="auto" w:fill="002060"/>
          </w:tcPr>
          <w:p w14:paraId="70AC15BB" w14:textId="2712ADF5" w:rsidR="004F61A8" w:rsidRPr="001F71AE" w:rsidRDefault="004F61A8" w:rsidP="004F61A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Timeline</w:t>
            </w:r>
          </w:p>
        </w:tc>
        <w:tc>
          <w:tcPr>
            <w:tcW w:w="2409" w:type="dxa"/>
            <w:tcBorders>
              <w:left w:val="single" w:sz="4" w:space="0" w:color="auto"/>
              <w:right w:val="single" w:sz="4" w:space="0" w:color="auto"/>
            </w:tcBorders>
            <w:shd w:val="clear" w:color="auto" w:fill="002060"/>
          </w:tcPr>
          <w:p w14:paraId="0C5CBA43" w14:textId="12A84F2C" w:rsidR="004F61A8" w:rsidRPr="001F71AE" w:rsidRDefault="004F61A8" w:rsidP="004F61A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Target output</w:t>
            </w:r>
          </w:p>
        </w:tc>
        <w:tc>
          <w:tcPr>
            <w:tcW w:w="3544" w:type="dxa"/>
            <w:tcBorders>
              <w:left w:val="single" w:sz="4" w:space="0" w:color="auto"/>
            </w:tcBorders>
            <w:shd w:val="clear" w:color="auto" w:fill="002060"/>
          </w:tcPr>
          <w:p w14:paraId="7C2016F5" w14:textId="5DF2032E" w:rsidR="004F61A8" w:rsidRPr="001F71AE" w:rsidRDefault="004F61A8" w:rsidP="004F61A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Progress</w:t>
            </w:r>
          </w:p>
        </w:tc>
      </w:tr>
      <w:tr w:rsidR="004F61A8" w14:paraId="2ADBDBDF" w14:textId="761DAFB2" w:rsidTr="00E43B7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47" w:type="dxa"/>
          </w:tcPr>
          <w:p w14:paraId="540FAA3E" w14:textId="77777777" w:rsidR="004F61A8" w:rsidRPr="004147C8" w:rsidRDefault="004F61A8" w:rsidP="00E43B7A">
            <w:pPr>
              <w:pStyle w:val="Body"/>
              <w:jc w:val="left"/>
            </w:pPr>
            <w:r w:rsidRPr="004147C8">
              <w:t>#011</w:t>
            </w:r>
            <w:r>
              <w:t>,</w:t>
            </w:r>
            <w:r w:rsidRPr="004147C8">
              <w:t xml:space="preserve"> #018</w:t>
            </w:r>
            <w:r>
              <w:t xml:space="preserve"> and #021</w:t>
            </w:r>
          </w:p>
        </w:tc>
        <w:tc>
          <w:tcPr>
            <w:tcW w:w="1346" w:type="dxa"/>
          </w:tcPr>
          <w:p w14:paraId="7802FE69" w14:textId="77777777" w:rsidR="004F61A8" w:rsidRPr="000C28F8" w:rsidRDefault="004F61A8" w:rsidP="00E43B7A">
            <w:pPr>
              <w:pStyle w:val="Body"/>
              <w:jc w:val="left"/>
              <w:cnfStyle w:val="000000100000" w:firstRow="0" w:lastRow="0" w:firstColumn="0" w:lastColumn="0" w:oddVBand="0" w:evenVBand="0" w:oddHBand="1" w:evenHBand="0" w:firstRowFirstColumn="0" w:firstRowLastColumn="0" w:lastRowFirstColumn="0" w:lastRowLastColumn="0"/>
            </w:pPr>
            <w:r w:rsidRPr="00BF3ABB">
              <w:t>Education Sector Review and Preparation for 2020-2024 RPJMN (Phase 1</w:t>
            </w:r>
            <w:r>
              <w:t>, 2 and 3)</w:t>
            </w:r>
          </w:p>
        </w:tc>
        <w:tc>
          <w:tcPr>
            <w:tcW w:w="3159" w:type="dxa"/>
          </w:tcPr>
          <w:p w14:paraId="25E705F2" w14:textId="77777777" w:rsidR="004F61A8" w:rsidRDefault="004F61A8" w:rsidP="00E43B7A">
            <w:pPr>
              <w:pStyle w:val="Body"/>
              <w:jc w:val="left"/>
              <w:cnfStyle w:val="000000100000" w:firstRow="0" w:lastRow="0" w:firstColumn="0" w:lastColumn="0" w:oddVBand="0" w:evenVBand="0" w:oddHBand="1" w:evenHBand="0" w:firstRowFirstColumn="0" w:firstRowLastColumn="0" w:lastRowFirstColumn="0" w:lastRowLastColumn="0"/>
              <w:rPr>
                <w:color w:val="002060"/>
                <w:szCs w:val="20"/>
              </w:rPr>
            </w:pPr>
            <w:r w:rsidRPr="000E4A94">
              <w:t xml:space="preserve">Every five years, </w:t>
            </w:r>
            <w:r w:rsidRPr="0018026A">
              <w:rPr>
                <w:i/>
              </w:rPr>
              <w:t>Bappenas</w:t>
            </w:r>
            <w:r w:rsidRPr="000E4A94">
              <w:t xml:space="preserve"> leads an Education Sector Review that feeds important analysis into development of the technocratic draft of the next five-year medium development plan (RPJMN). The review results in a series of published Background Papers, which are a key source of the policy </w:t>
            </w:r>
            <w:r w:rsidRPr="0032704B">
              <w:t>directions</w:t>
            </w:r>
            <w:r w:rsidRPr="000E4A94">
              <w:t xml:space="preserve"> and strategies for the next planning cycle. Under </w:t>
            </w:r>
            <w:r w:rsidRPr="0018026A">
              <w:rPr>
                <w:i/>
              </w:rPr>
              <w:t>Bappenas</w:t>
            </w:r>
            <w:r w:rsidRPr="000E4A94">
              <w:t>’ guidance, TASS provide</w:t>
            </w:r>
            <w:r>
              <w:t>d technical expertise, analyses, le</w:t>
            </w:r>
            <w:r w:rsidRPr="000E4A94">
              <w:t>d development partner contributions, and facilitate</w:t>
            </w:r>
            <w:r>
              <w:t>d</w:t>
            </w:r>
            <w:r w:rsidRPr="000E4A94">
              <w:t xml:space="preserve"> consultations and dialogue in support of the Education Sector Review</w:t>
            </w:r>
            <w:r>
              <w:t xml:space="preserve"> </w:t>
            </w:r>
            <w:r w:rsidRPr="000E4A94">
              <w:t>and development of Background Papers for the next RPJMN.</w:t>
            </w:r>
          </w:p>
        </w:tc>
        <w:tc>
          <w:tcPr>
            <w:tcW w:w="1563" w:type="dxa"/>
          </w:tcPr>
          <w:p w14:paraId="53EAFC63" w14:textId="77777777" w:rsidR="004F61A8" w:rsidRDefault="00165E7E" w:rsidP="00E43B7A">
            <w:pPr>
              <w:pStyle w:val="Body"/>
              <w:jc w:val="left"/>
              <w:cnfStyle w:val="000000100000" w:firstRow="0" w:lastRow="0" w:firstColumn="0" w:lastColumn="0" w:oddVBand="0" w:evenVBand="0" w:oddHBand="1" w:evenHBand="0" w:firstRowFirstColumn="0" w:firstRowLastColumn="0" w:lastRowFirstColumn="0" w:lastRowLastColumn="0"/>
              <w:rPr>
                <w:i/>
              </w:rPr>
            </w:pPr>
            <w:r>
              <w:t xml:space="preserve">Deputy Minister </w:t>
            </w:r>
            <w:r w:rsidRPr="008276F2">
              <w:t xml:space="preserve">Education, Culture and Community, </w:t>
            </w:r>
            <w:r w:rsidRPr="0018026A">
              <w:rPr>
                <w:i/>
              </w:rPr>
              <w:t>Bappenas</w:t>
            </w:r>
          </w:p>
          <w:p w14:paraId="209FCAF5" w14:textId="77777777" w:rsidR="00165E7E" w:rsidRDefault="00165E7E" w:rsidP="00E43B7A">
            <w:pPr>
              <w:pStyle w:val="Body"/>
              <w:jc w:val="left"/>
              <w:cnfStyle w:val="000000100000" w:firstRow="0" w:lastRow="0" w:firstColumn="0" w:lastColumn="0" w:oddVBand="0" w:evenVBand="0" w:oddHBand="1" w:evenHBand="0" w:firstRowFirstColumn="0" w:firstRowLastColumn="0" w:lastRowFirstColumn="0" w:lastRowLastColumn="0"/>
              <w:rPr>
                <w:i/>
              </w:rPr>
            </w:pPr>
          </w:p>
          <w:p w14:paraId="48AFB3EC" w14:textId="2D39DF5D" w:rsidR="00165E7E" w:rsidRPr="00165E7E"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r w:rsidRPr="008276F2">
              <w:t xml:space="preserve">Director for Education, </w:t>
            </w:r>
            <w:r w:rsidRPr="0018026A">
              <w:rPr>
                <w:i/>
              </w:rPr>
              <w:t>Bappenas</w:t>
            </w:r>
          </w:p>
        </w:tc>
        <w:tc>
          <w:tcPr>
            <w:tcW w:w="1249" w:type="dxa"/>
          </w:tcPr>
          <w:p w14:paraId="6C8E4519" w14:textId="10888FA9" w:rsidR="00165E7E" w:rsidRDefault="00165E7E" w:rsidP="00E43B7A">
            <w:pPr>
              <w:pStyle w:val="Body"/>
              <w:jc w:val="left"/>
              <w:cnfStyle w:val="000000100000" w:firstRow="0" w:lastRow="0" w:firstColumn="0" w:lastColumn="0" w:oddVBand="0" w:evenVBand="0" w:oddHBand="1" w:evenHBand="0" w:firstRowFirstColumn="0" w:firstRowLastColumn="0" w:lastRowFirstColumn="0" w:lastRowLastColumn="0"/>
              <w:rPr>
                <w:lang w:val="en-GB" w:eastAsia="en-AU"/>
              </w:rPr>
            </w:pPr>
            <w:r w:rsidRPr="00052BEF">
              <w:rPr>
                <w:lang w:val="en-GB" w:eastAsia="en-AU"/>
              </w:rPr>
              <w:t xml:space="preserve">Phase </w:t>
            </w:r>
            <w:r w:rsidR="00E43B7A">
              <w:rPr>
                <w:lang w:val="en-GB" w:eastAsia="en-AU"/>
              </w:rPr>
              <w:t>1</w:t>
            </w:r>
            <w:r w:rsidRPr="0018026A">
              <w:rPr>
                <w:lang w:val="en-GB" w:eastAsia="en-AU"/>
              </w:rPr>
              <w:t xml:space="preserve">: </w:t>
            </w:r>
            <w:r w:rsidRPr="0018026A">
              <w:t xml:space="preserve">  October 2017 – July 2018</w:t>
            </w:r>
          </w:p>
          <w:p w14:paraId="28FDBD1B" w14:textId="77777777" w:rsidR="004F61A8" w:rsidRDefault="004F61A8" w:rsidP="00E43B7A">
            <w:pPr>
              <w:pStyle w:val="Body"/>
              <w:jc w:val="left"/>
              <w:cnfStyle w:val="000000100000" w:firstRow="0" w:lastRow="0" w:firstColumn="0" w:lastColumn="0" w:oddVBand="0" w:evenVBand="0" w:oddHBand="1" w:evenHBand="0" w:firstRowFirstColumn="0" w:firstRowLastColumn="0" w:lastRowFirstColumn="0" w:lastRowLastColumn="0"/>
            </w:pPr>
          </w:p>
          <w:p w14:paraId="74F2F70C" w14:textId="1929A325" w:rsidR="00165E7E"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r>
              <w:t>Phase 2: July 2018-October 2018</w:t>
            </w:r>
          </w:p>
          <w:p w14:paraId="3E5531A2" w14:textId="69F720BC" w:rsidR="00165E7E" w:rsidRPr="000E4A94"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p>
        </w:tc>
        <w:tc>
          <w:tcPr>
            <w:tcW w:w="2409" w:type="dxa"/>
          </w:tcPr>
          <w:p w14:paraId="613AA06A" w14:textId="4D290192" w:rsidR="00165E7E" w:rsidRDefault="00E43B7A"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1 </w:t>
            </w:r>
            <w:r w:rsidR="00165E7E">
              <w:t>Education Sector Review papers (Phase 1)</w:t>
            </w:r>
          </w:p>
          <w:p w14:paraId="2128FE11" w14:textId="3B732096" w:rsidR="00165E7E"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r>
              <w:t>2</w:t>
            </w:r>
            <w:r w:rsidR="00E43B7A">
              <w:t xml:space="preserve"> </w:t>
            </w:r>
            <w:r>
              <w:t>Various papers and presentations as required in response to Bappenas needs (Phase 2,3)</w:t>
            </w:r>
          </w:p>
          <w:p w14:paraId="42F5F297" w14:textId="42C14329" w:rsidR="004F61A8" w:rsidRPr="000E4A94"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r>
              <w:t>3</w:t>
            </w:r>
            <w:r w:rsidR="00E43B7A">
              <w:t xml:space="preserve"> </w:t>
            </w:r>
            <w:r>
              <w:t>Background Study for Education Chapter of the RPJMN 2020-2024 (Phase 3)</w:t>
            </w:r>
          </w:p>
        </w:tc>
        <w:tc>
          <w:tcPr>
            <w:tcW w:w="3544" w:type="dxa"/>
          </w:tcPr>
          <w:p w14:paraId="104B7C88" w14:textId="694BCC26" w:rsidR="00165E7E"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r>
              <w:t>Education Sector Review completed with 11 thematic papers, seven consultative workshops, and intensive dialogue with Bappenas, MoEC, MoRA and the SDGs Secretariat. TASS partnered with the World Bank and Asian Development Bank in production of papers, and engaged with INOVASI, UNICEF, SMERU and PSPK in review and development of content, and in various forums for dialogue.</w:t>
            </w:r>
          </w:p>
          <w:p w14:paraId="0D4635B2" w14:textId="77777777" w:rsidR="00165E7E"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p>
          <w:p w14:paraId="089F2998" w14:textId="24222CA0" w:rsidR="004F61A8" w:rsidRDefault="00165E7E" w:rsidP="00E43B7A">
            <w:pPr>
              <w:pStyle w:val="Body"/>
              <w:jc w:val="left"/>
              <w:cnfStyle w:val="000000100000" w:firstRow="0" w:lastRow="0" w:firstColumn="0" w:lastColumn="0" w:oddVBand="0" w:evenVBand="0" w:oddHBand="1" w:evenHBand="0" w:firstRowFirstColumn="0" w:firstRowLastColumn="0" w:lastRowFirstColumn="0" w:lastRowLastColumn="0"/>
            </w:pPr>
            <w:r>
              <w:t xml:space="preserve">Various papers and analyses developed by core STA and technical advisers </w:t>
            </w:r>
            <w:r w:rsidR="002C05DB">
              <w:t>were drawn on by</w:t>
            </w:r>
            <w:r>
              <w:t xml:space="preserve"> Bappenas</w:t>
            </w:r>
            <w:r w:rsidR="002C05DB">
              <w:t xml:space="preserve"> to</w:t>
            </w:r>
            <w:r>
              <w:t xml:space="preserve"> determine the key directions, strategies, and targets for the draft RPJMN.</w:t>
            </w:r>
          </w:p>
          <w:p w14:paraId="1615BBDA" w14:textId="3B001744" w:rsidR="0076468E" w:rsidRDefault="0076468E" w:rsidP="00E43B7A">
            <w:pPr>
              <w:pStyle w:val="Body"/>
              <w:jc w:val="left"/>
              <w:cnfStyle w:val="000000100000" w:firstRow="0" w:lastRow="0" w:firstColumn="0" w:lastColumn="0" w:oddVBand="0" w:evenVBand="0" w:oddHBand="1" w:evenHBand="0" w:firstRowFirstColumn="0" w:firstRowLastColumn="0" w:lastRowFirstColumn="0" w:lastRowLastColumn="0"/>
            </w:pPr>
          </w:p>
          <w:p w14:paraId="6BEA3D77" w14:textId="20F13805" w:rsidR="0076468E" w:rsidRPr="000E4A94" w:rsidRDefault="002C05DB" w:rsidP="002C05DB">
            <w:pPr>
              <w:pStyle w:val="Bullet1"/>
              <w:numPr>
                <w:ilvl w:val="0"/>
                <w:numId w:val="0"/>
              </w:numPr>
              <w:spacing w:after="120"/>
              <w:jc w:val="both"/>
              <w:cnfStyle w:val="000000100000" w:firstRow="0" w:lastRow="0" w:firstColumn="0" w:lastColumn="0" w:oddVBand="0" w:evenVBand="0" w:oddHBand="1" w:evenHBand="0" w:firstRowFirstColumn="0" w:firstRowLastColumn="0" w:lastRowFirstColumn="0" w:lastRowLastColumn="0"/>
            </w:pPr>
            <w:r w:rsidRPr="0018026A">
              <w:rPr>
                <w:i/>
              </w:rPr>
              <w:t>Bappenas</w:t>
            </w:r>
            <w:r w:rsidRPr="007179A1">
              <w:t xml:space="preserve"> reported that the various analyses </w:t>
            </w:r>
            <w:r>
              <w:t xml:space="preserve">provided by TASS </w:t>
            </w:r>
            <w:r w:rsidRPr="007179A1">
              <w:t xml:space="preserve">gave them new perspectives that helped them shape up </w:t>
            </w:r>
            <w:r>
              <w:t xml:space="preserve">thematic issues and gain </w:t>
            </w:r>
            <w:r w:rsidRPr="007179A1">
              <w:t xml:space="preserve">greater depth </w:t>
            </w:r>
            <w:r w:rsidRPr="009A6FF4">
              <w:t xml:space="preserve">and </w:t>
            </w:r>
            <w:r w:rsidRPr="005D0ED7">
              <w:t xml:space="preserve">understanding of longstanding issues. </w:t>
            </w:r>
          </w:p>
        </w:tc>
      </w:tr>
    </w:tbl>
    <w:p w14:paraId="4F8ED460" w14:textId="77777777" w:rsidR="00210752" w:rsidRDefault="00210752" w:rsidP="00210752">
      <w:pPr>
        <w:pStyle w:val="Head2"/>
        <w:rPr>
          <w:rFonts w:eastAsia="Calibri"/>
        </w:rPr>
      </w:pPr>
      <w:bookmarkStart w:id="30" w:name="_Toc19006717"/>
      <w:r>
        <w:rPr>
          <w:rFonts w:eastAsia="Calibri"/>
        </w:rPr>
        <w:t>Department of Foreign Affairs and Trade</w:t>
      </w:r>
      <w:bookmarkEnd w:id="30"/>
    </w:p>
    <w:p w14:paraId="357642F6" w14:textId="60FEDEFF" w:rsidR="00385785" w:rsidRDefault="006C44FF" w:rsidP="002A3549">
      <w:pPr>
        <w:pStyle w:val="Body"/>
      </w:pPr>
      <w:bookmarkStart w:id="31" w:name="_Toc534641978"/>
      <w:r w:rsidRPr="00551DC1">
        <w:t xml:space="preserve">TASS delivered </w:t>
      </w:r>
      <w:r w:rsidR="008B398D" w:rsidRPr="00551DC1">
        <w:t>3 activities in 2018</w:t>
      </w:r>
      <w:r w:rsidR="00203D57" w:rsidRPr="00551DC1">
        <w:t xml:space="preserve">, </w:t>
      </w:r>
      <w:r w:rsidR="00582920" w:rsidRPr="00551DC1">
        <w:t>with</w:t>
      </w:r>
      <w:r w:rsidR="00582920">
        <w:t xml:space="preserve"> a key focus on ensuring that the program could be responsive to emerging needs – namely </w:t>
      </w:r>
      <w:r w:rsidR="00DC3A0B">
        <w:t xml:space="preserve">performance reporting, </w:t>
      </w:r>
      <w:r w:rsidR="00582920">
        <w:t>communications products for internal and external use, and small ad-hoc activities in support of DFAT</w:t>
      </w:r>
      <w:r w:rsidR="00DC3A0B">
        <w:t>’s</w:t>
      </w:r>
      <w:r w:rsidR="00582920">
        <w:t xml:space="preserve"> Education Sector Investment Plan.  </w:t>
      </w:r>
    </w:p>
    <w:p w14:paraId="14F3BA47" w14:textId="7F6DC7B3" w:rsidR="00210752" w:rsidRDefault="00210752" w:rsidP="005353E8">
      <w:pPr>
        <w:pStyle w:val="Caption"/>
      </w:pPr>
      <w:bookmarkStart w:id="32" w:name="_Toc19006750"/>
      <w:r>
        <w:t xml:space="preserve">Table </w:t>
      </w:r>
      <w:r>
        <w:fldChar w:fldCharType="begin"/>
      </w:r>
      <w:r>
        <w:instrText xml:space="preserve"> SEQ Table \* ARABIC </w:instrText>
      </w:r>
      <w:r>
        <w:fldChar w:fldCharType="separate"/>
      </w:r>
      <w:r w:rsidR="00505CCA">
        <w:rPr>
          <w:noProof/>
        </w:rPr>
        <w:t>4</w:t>
      </w:r>
      <w:r>
        <w:fldChar w:fldCharType="end"/>
      </w:r>
      <w:bookmarkEnd w:id="31"/>
      <w:r>
        <w:t>: Activities in Partnership with DFAT 2018</w:t>
      </w:r>
      <w:bookmarkEnd w:id="32"/>
    </w:p>
    <w:tbl>
      <w:tblPr>
        <w:tblStyle w:val="ColorfulList1"/>
        <w:tblW w:w="14428" w:type="dxa"/>
        <w:tblLayout w:type="fixed"/>
        <w:tblLook w:val="04A0" w:firstRow="1" w:lastRow="0" w:firstColumn="1" w:lastColumn="0" w:noHBand="0" w:noVBand="1"/>
      </w:tblPr>
      <w:tblGrid>
        <w:gridCol w:w="993"/>
        <w:gridCol w:w="1417"/>
        <w:gridCol w:w="3260"/>
        <w:gridCol w:w="1701"/>
        <w:gridCol w:w="1134"/>
        <w:gridCol w:w="2268"/>
        <w:gridCol w:w="3655"/>
      </w:tblGrid>
      <w:tr w:rsidR="00EB22E8" w:rsidRPr="005E182B" w14:paraId="22BA199E" w14:textId="258388DB" w:rsidTr="00E43B7A">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93" w:type="dxa"/>
            <w:shd w:val="clear" w:color="auto" w:fill="002060"/>
          </w:tcPr>
          <w:p w14:paraId="653DE046" w14:textId="46F12BDC" w:rsidR="00EB22E8" w:rsidRPr="001F71AE" w:rsidRDefault="00EB22E8" w:rsidP="00EB22E8">
            <w:pPr>
              <w:pStyle w:val="Body"/>
              <w:rPr>
                <w:color w:val="FFFFFF" w:themeColor="background1"/>
              </w:rPr>
            </w:pPr>
            <w:r w:rsidRPr="001F71AE">
              <w:rPr>
                <w:color w:val="FFFFFF" w:themeColor="background1"/>
              </w:rPr>
              <w:t xml:space="preserve">Activity </w:t>
            </w:r>
            <w:r>
              <w:rPr>
                <w:color w:val="FFFFFF" w:themeColor="background1"/>
              </w:rPr>
              <w:t>#</w:t>
            </w:r>
          </w:p>
        </w:tc>
        <w:tc>
          <w:tcPr>
            <w:tcW w:w="1417" w:type="dxa"/>
            <w:tcBorders>
              <w:right w:val="single" w:sz="4" w:space="0" w:color="auto"/>
            </w:tcBorders>
            <w:shd w:val="clear" w:color="auto" w:fill="002060"/>
          </w:tcPr>
          <w:p w14:paraId="11D1DD43" w14:textId="77777777" w:rsidR="00EB22E8" w:rsidRPr="001F71AE" w:rsidRDefault="00EB22E8" w:rsidP="00EB22E8">
            <w:pPr>
              <w:pStyle w:val="Body"/>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1F71AE">
              <w:rPr>
                <w:color w:val="FFFFFF" w:themeColor="background1"/>
              </w:rPr>
              <w:t>Activity Name</w:t>
            </w:r>
          </w:p>
        </w:tc>
        <w:tc>
          <w:tcPr>
            <w:tcW w:w="3260" w:type="dxa"/>
            <w:tcBorders>
              <w:left w:val="single" w:sz="4" w:space="0" w:color="auto"/>
            </w:tcBorders>
            <w:shd w:val="clear" w:color="auto" w:fill="002060"/>
          </w:tcPr>
          <w:p w14:paraId="3B22022C" w14:textId="77777777" w:rsidR="00EB22E8" w:rsidRPr="001F71AE" w:rsidRDefault="00EB22E8" w:rsidP="00EB22E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sidRPr="001F71AE">
              <w:rPr>
                <w:color w:val="FFFFFF" w:themeColor="background1"/>
              </w:rPr>
              <w:t>Description</w:t>
            </w:r>
          </w:p>
        </w:tc>
        <w:tc>
          <w:tcPr>
            <w:tcW w:w="1701" w:type="dxa"/>
            <w:tcBorders>
              <w:left w:val="single" w:sz="4" w:space="0" w:color="auto"/>
              <w:right w:val="single" w:sz="4" w:space="0" w:color="auto"/>
            </w:tcBorders>
            <w:shd w:val="clear" w:color="auto" w:fill="002060"/>
          </w:tcPr>
          <w:p w14:paraId="1F1FDE81" w14:textId="5C5F6246" w:rsidR="00EB22E8" w:rsidRPr="001F71AE" w:rsidRDefault="00EB22E8" w:rsidP="00EB22E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Counterparts</w:t>
            </w:r>
          </w:p>
        </w:tc>
        <w:tc>
          <w:tcPr>
            <w:tcW w:w="1134" w:type="dxa"/>
            <w:tcBorders>
              <w:left w:val="single" w:sz="4" w:space="0" w:color="auto"/>
            </w:tcBorders>
            <w:shd w:val="clear" w:color="auto" w:fill="002060"/>
          </w:tcPr>
          <w:p w14:paraId="10B92985" w14:textId="5249F9CF" w:rsidR="00EB22E8" w:rsidRPr="001F71AE" w:rsidRDefault="00EB22E8" w:rsidP="00EB22E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Timeline</w:t>
            </w:r>
          </w:p>
        </w:tc>
        <w:tc>
          <w:tcPr>
            <w:tcW w:w="2268" w:type="dxa"/>
            <w:tcBorders>
              <w:left w:val="single" w:sz="4" w:space="0" w:color="auto"/>
              <w:right w:val="single" w:sz="4" w:space="0" w:color="auto"/>
            </w:tcBorders>
            <w:shd w:val="clear" w:color="auto" w:fill="002060"/>
          </w:tcPr>
          <w:p w14:paraId="1DA22275" w14:textId="7B0166FE" w:rsidR="00EB22E8" w:rsidRPr="001F71AE" w:rsidRDefault="00EB22E8" w:rsidP="00EB22E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Target output</w:t>
            </w:r>
          </w:p>
        </w:tc>
        <w:tc>
          <w:tcPr>
            <w:tcW w:w="3655" w:type="dxa"/>
            <w:tcBorders>
              <w:left w:val="single" w:sz="4" w:space="0" w:color="auto"/>
            </w:tcBorders>
            <w:shd w:val="clear" w:color="auto" w:fill="002060"/>
          </w:tcPr>
          <w:p w14:paraId="42261259" w14:textId="7FD91495" w:rsidR="00EB22E8" w:rsidRPr="001F71AE" w:rsidRDefault="00EB22E8" w:rsidP="00EB22E8">
            <w:pPr>
              <w:pStyle w:val="Bod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Progress</w:t>
            </w:r>
          </w:p>
        </w:tc>
      </w:tr>
      <w:tr w:rsidR="00EB22E8" w:rsidRPr="005E182B" w14:paraId="43278C4B" w14:textId="499AC389" w:rsidTr="00E43B7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93" w:type="dxa"/>
          </w:tcPr>
          <w:p w14:paraId="58758EC0" w14:textId="77777777" w:rsidR="00EB22E8" w:rsidRDefault="00EB22E8" w:rsidP="00E43B7A">
            <w:pPr>
              <w:pStyle w:val="Body"/>
              <w:jc w:val="left"/>
            </w:pPr>
            <w:r>
              <w:t>#009</w:t>
            </w:r>
          </w:p>
        </w:tc>
        <w:tc>
          <w:tcPr>
            <w:tcW w:w="1417" w:type="dxa"/>
          </w:tcPr>
          <w:p w14:paraId="30F2391D" w14:textId="77777777" w:rsidR="00EB22E8" w:rsidRPr="0056474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rPr>
                <w:lang w:val="en-AU"/>
              </w:rPr>
            </w:pPr>
            <w:r w:rsidRPr="00564743">
              <w:t>Significant Policy Change case study: education assessment reform</w:t>
            </w:r>
          </w:p>
        </w:tc>
        <w:tc>
          <w:tcPr>
            <w:tcW w:w="3260" w:type="dxa"/>
          </w:tcPr>
          <w:p w14:paraId="5785CD73" w14:textId="77777777"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rsidRPr="009A0DC3">
              <w:t xml:space="preserve">This activity was to develop significant policy change </w:t>
            </w:r>
            <w:r>
              <w:t>case study under DFAT’s Aid Investment Plan Performance Assessment Framework, on Australian support to</w:t>
            </w:r>
            <w:r w:rsidRPr="009A0DC3">
              <w:t xml:space="preserve"> education assessment reform. This case study captured evidence on the catalytic role played by the Australian </w:t>
            </w:r>
            <w:r>
              <w:t>aid program in this policy area</w:t>
            </w:r>
            <w:r w:rsidRPr="009A0DC3">
              <w:t xml:space="preserve"> under various past and current initiatives including ACDP, INOVASI, TASS, and direct-DFAT funded technical assistance. </w:t>
            </w:r>
          </w:p>
        </w:tc>
        <w:tc>
          <w:tcPr>
            <w:tcW w:w="1701" w:type="dxa"/>
          </w:tcPr>
          <w:p w14:paraId="4F81D528" w14:textId="1C116479"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rsidRPr="00DE0F5C">
              <w:t>Unit Manager, Education, DFAT Jakarta</w:t>
            </w:r>
          </w:p>
        </w:tc>
        <w:tc>
          <w:tcPr>
            <w:tcW w:w="1134" w:type="dxa"/>
          </w:tcPr>
          <w:p w14:paraId="3BED9043" w14:textId="7C25E42D"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rsidRPr="00DE0F5C">
              <w:t>February 2018 – May 2018</w:t>
            </w:r>
          </w:p>
        </w:tc>
        <w:tc>
          <w:tcPr>
            <w:tcW w:w="2268" w:type="dxa"/>
          </w:tcPr>
          <w:p w14:paraId="4BEB5B17" w14:textId="37D5B76B"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t>NA</w:t>
            </w:r>
          </w:p>
        </w:tc>
        <w:tc>
          <w:tcPr>
            <w:tcW w:w="3655" w:type="dxa"/>
          </w:tcPr>
          <w:p w14:paraId="34799855" w14:textId="56F02D72" w:rsidR="00EB22E8" w:rsidRPr="00E43B7A"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rsidRPr="00E43B7A">
              <w:t>Completed.</w:t>
            </w:r>
          </w:p>
          <w:p w14:paraId="514C4B7D" w14:textId="7010B48C"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p>
        </w:tc>
      </w:tr>
      <w:tr w:rsidR="00EB22E8" w:rsidRPr="005E182B" w14:paraId="03473B41" w14:textId="76F8E9C0" w:rsidTr="00E43B7A">
        <w:trPr>
          <w:trHeight w:val="278"/>
        </w:trPr>
        <w:tc>
          <w:tcPr>
            <w:cnfStyle w:val="001000000000" w:firstRow="0" w:lastRow="0" w:firstColumn="1" w:lastColumn="0" w:oddVBand="0" w:evenVBand="0" w:oddHBand="0" w:evenHBand="0" w:firstRowFirstColumn="0" w:firstRowLastColumn="0" w:lastRowFirstColumn="0" w:lastRowLastColumn="0"/>
            <w:tcW w:w="993" w:type="dxa"/>
          </w:tcPr>
          <w:p w14:paraId="5F3DF914" w14:textId="77777777" w:rsidR="00EB22E8" w:rsidRDefault="00EB22E8" w:rsidP="00E43B7A">
            <w:pPr>
              <w:pStyle w:val="Body"/>
              <w:jc w:val="left"/>
            </w:pPr>
            <w:r>
              <w:t>#010</w:t>
            </w:r>
          </w:p>
        </w:tc>
        <w:tc>
          <w:tcPr>
            <w:tcW w:w="1417" w:type="dxa"/>
          </w:tcPr>
          <w:p w14:paraId="67895A51" w14:textId="77777777" w:rsidR="00EB22E8" w:rsidRPr="00564743" w:rsidRDefault="00EB22E8" w:rsidP="00E43B7A">
            <w:pPr>
              <w:pStyle w:val="Body"/>
              <w:jc w:val="left"/>
              <w:cnfStyle w:val="000000000000" w:firstRow="0" w:lastRow="0" w:firstColumn="0" w:lastColumn="0" w:oddVBand="0" w:evenVBand="0" w:oddHBand="0" w:evenHBand="0" w:firstRowFirstColumn="0" w:firstRowLastColumn="0" w:lastRowFirstColumn="0" w:lastRowLastColumn="0"/>
              <w:rPr>
                <w:lang w:val="en-AU"/>
              </w:rPr>
            </w:pPr>
            <w:r w:rsidRPr="00564743">
              <w:t>DFAT Ad-Hoc Activities</w:t>
            </w:r>
          </w:p>
        </w:tc>
        <w:tc>
          <w:tcPr>
            <w:tcW w:w="3260" w:type="dxa"/>
          </w:tcPr>
          <w:p w14:paraId="1B5ABE67" w14:textId="36E43297" w:rsidR="00EB22E8" w:rsidRPr="009A0DC3" w:rsidRDefault="00EB22E8" w:rsidP="00E43B7A">
            <w:pPr>
              <w:pStyle w:val="Body"/>
              <w:jc w:val="left"/>
              <w:cnfStyle w:val="000000000000" w:firstRow="0" w:lastRow="0" w:firstColumn="0" w:lastColumn="0" w:oddVBand="0" w:evenVBand="0" w:oddHBand="0" w:evenHBand="0" w:firstRowFirstColumn="0" w:firstRowLastColumn="0" w:lastRowFirstColumn="0" w:lastRowLastColumn="0"/>
            </w:pPr>
            <w:r w:rsidRPr="009A0DC3">
              <w:t xml:space="preserve">This </w:t>
            </w:r>
            <w:r>
              <w:t>activity funds</w:t>
            </w:r>
            <w:r w:rsidRPr="009A0DC3">
              <w:t xml:space="preserve"> small ad-hoc activities in support of DFAT’s Education Sector Investment Plan</w:t>
            </w:r>
            <w:r>
              <w:t xml:space="preserve"> and for</w:t>
            </w:r>
            <w:r w:rsidRPr="009A0DC3">
              <w:t xml:space="preserve"> </w:t>
            </w:r>
            <w:r>
              <w:t>project-related</w:t>
            </w:r>
            <w:r w:rsidRPr="009A0DC3">
              <w:t xml:space="preserve"> travel for TASS core team members not related to approved GoI activities/tasking notes. </w:t>
            </w:r>
          </w:p>
        </w:tc>
        <w:tc>
          <w:tcPr>
            <w:tcW w:w="1701" w:type="dxa"/>
          </w:tcPr>
          <w:p w14:paraId="706B3537" w14:textId="52FC18A1" w:rsidR="00EB22E8" w:rsidRPr="009A0DC3" w:rsidRDefault="00EB22E8" w:rsidP="00E43B7A">
            <w:pPr>
              <w:pStyle w:val="Body"/>
              <w:jc w:val="left"/>
              <w:cnfStyle w:val="000000000000" w:firstRow="0" w:lastRow="0" w:firstColumn="0" w:lastColumn="0" w:oddVBand="0" w:evenVBand="0" w:oddHBand="0" w:evenHBand="0" w:firstRowFirstColumn="0" w:firstRowLastColumn="0" w:lastRowFirstColumn="0" w:lastRowLastColumn="0"/>
            </w:pPr>
            <w:r w:rsidRPr="00DE0F5C">
              <w:t>Unit Manager, Education, DFAT Jakarta</w:t>
            </w:r>
          </w:p>
        </w:tc>
        <w:tc>
          <w:tcPr>
            <w:tcW w:w="1134" w:type="dxa"/>
          </w:tcPr>
          <w:p w14:paraId="35CB4026" w14:textId="1B59F9D3" w:rsidR="00EB22E8" w:rsidRPr="009A0DC3" w:rsidRDefault="00EB22E8" w:rsidP="00E43B7A">
            <w:pPr>
              <w:pStyle w:val="Body"/>
              <w:jc w:val="left"/>
              <w:cnfStyle w:val="000000000000" w:firstRow="0" w:lastRow="0" w:firstColumn="0" w:lastColumn="0" w:oddVBand="0" w:evenVBand="0" w:oddHBand="0" w:evenHBand="0" w:firstRowFirstColumn="0" w:firstRowLastColumn="0" w:lastRowFirstColumn="0" w:lastRowLastColumn="0"/>
            </w:pPr>
            <w:r w:rsidRPr="00DE0F5C">
              <w:t>August 2018 – February 2019</w:t>
            </w:r>
          </w:p>
        </w:tc>
        <w:tc>
          <w:tcPr>
            <w:tcW w:w="2268" w:type="dxa"/>
          </w:tcPr>
          <w:p w14:paraId="1F32D3FA" w14:textId="1CEA42BD" w:rsidR="00EB22E8" w:rsidRPr="009A0DC3" w:rsidRDefault="00EB22E8" w:rsidP="00E43B7A">
            <w:pPr>
              <w:pStyle w:val="Body"/>
              <w:jc w:val="left"/>
              <w:cnfStyle w:val="000000000000" w:firstRow="0" w:lastRow="0" w:firstColumn="0" w:lastColumn="0" w:oddVBand="0" w:evenVBand="0" w:oddHBand="0" w:evenHBand="0" w:firstRowFirstColumn="0" w:firstRowLastColumn="0" w:lastRowFirstColumn="0" w:lastRowLastColumn="0"/>
            </w:pPr>
            <w:r>
              <w:t>NA</w:t>
            </w:r>
          </w:p>
        </w:tc>
        <w:tc>
          <w:tcPr>
            <w:tcW w:w="3655" w:type="dxa"/>
          </w:tcPr>
          <w:p w14:paraId="462C67CE" w14:textId="570C482D" w:rsidR="00EB22E8" w:rsidRPr="009A0DC3" w:rsidRDefault="00EB22E8" w:rsidP="00E43B7A">
            <w:pPr>
              <w:pStyle w:val="Body"/>
              <w:jc w:val="left"/>
              <w:cnfStyle w:val="000000000000" w:firstRow="0" w:lastRow="0" w:firstColumn="0" w:lastColumn="0" w:oddVBand="0" w:evenVBand="0" w:oddHBand="0" w:evenHBand="0" w:firstRowFirstColumn="0" w:firstRowLastColumn="0" w:lastRowFirstColumn="0" w:lastRowLastColumn="0"/>
            </w:pPr>
            <w:r>
              <w:t>In progress.</w:t>
            </w:r>
          </w:p>
        </w:tc>
      </w:tr>
      <w:tr w:rsidR="00EB22E8" w:rsidRPr="005E182B" w14:paraId="51616A5B" w14:textId="309729D2" w:rsidTr="00E43B7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93" w:type="dxa"/>
          </w:tcPr>
          <w:p w14:paraId="5EB8EB2D" w14:textId="77777777" w:rsidR="00EB22E8" w:rsidRDefault="00EB22E8" w:rsidP="00E43B7A">
            <w:pPr>
              <w:pStyle w:val="Body"/>
              <w:jc w:val="left"/>
            </w:pPr>
            <w:r>
              <w:t>#011</w:t>
            </w:r>
          </w:p>
        </w:tc>
        <w:tc>
          <w:tcPr>
            <w:tcW w:w="1417" w:type="dxa"/>
          </w:tcPr>
          <w:p w14:paraId="772310E3" w14:textId="77777777" w:rsidR="00EB22E8" w:rsidRPr="0056474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rPr>
                <w:lang w:val="en-AU"/>
              </w:rPr>
            </w:pPr>
            <w:r w:rsidRPr="00564743">
              <w:t>TASS Program Communications Products</w:t>
            </w:r>
          </w:p>
        </w:tc>
        <w:tc>
          <w:tcPr>
            <w:tcW w:w="3260" w:type="dxa"/>
          </w:tcPr>
          <w:p w14:paraId="174BC8C2" w14:textId="51153421"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rPr>
                <w:lang w:val="en"/>
              </w:rPr>
            </w:pPr>
            <w:r w:rsidRPr="009A0DC3">
              <w:t xml:space="preserve">This </w:t>
            </w:r>
            <w:r>
              <w:t>activity funds the</w:t>
            </w:r>
            <w:r w:rsidRPr="009A0DC3">
              <w:t xml:space="preserve"> production of general communication products</w:t>
            </w:r>
            <w:r>
              <w:t xml:space="preserve"> such as factsheets, brochures, and branded merchandise</w:t>
            </w:r>
            <w:r w:rsidRPr="009A0DC3">
              <w:t xml:space="preserve"> for TASS, i.e. products not related to individual </w:t>
            </w:r>
            <w:r>
              <w:t>activities.</w:t>
            </w:r>
          </w:p>
        </w:tc>
        <w:tc>
          <w:tcPr>
            <w:tcW w:w="1701" w:type="dxa"/>
          </w:tcPr>
          <w:p w14:paraId="0AC6686F" w14:textId="2C49AB49"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rsidRPr="00DE0F5C">
              <w:t>Unit Manager, Education, DFAT Jakarta</w:t>
            </w:r>
          </w:p>
        </w:tc>
        <w:tc>
          <w:tcPr>
            <w:tcW w:w="1134" w:type="dxa"/>
          </w:tcPr>
          <w:p w14:paraId="38A4B54B" w14:textId="3836A0F8"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t>August 2018 – June 2019</w:t>
            </w:r>
          </w:p>
        </w:tc>
        <w:tc>
          <w:tcPr>
            <w:tcW w:w="2268" w:type="dxa"/>
          </w:tcPr>
          <w:p w14:paraId="6008649C" w14:textId="620F0F58"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t>NA</w:t>
            </w:r>
          </w:p>
        </w:tc>
        <w:tc>
          <w:tcPr>
            <w:tcW w:w="3655" w:type="dxa"/>
          </w:tcPr>
          <w:p w14:paraId="322C2AEA" w14:textId="0D39D76B" w:rsidR="00EB22E8" w:rsidRPr="009A0DC3" w:rsidRDefault="00EB22E8" w:rsidP="00E43B7A">
            <w:pPr>
              <w:pStyle w:val="Body"/>
              <w:jc w:val="left"/>
              <w:cnfStyle w:val="000000100000" w:firstRow="0" w:lastRow="0" w:firstColumn="0" w:lastColumn="0" w:oddVBand="0" w:evenVBand="0" w:oddHBand="1" w:evenHBand="0" w:firstRowFirstColumn="0" w:firstRowLastColumn="0" w:lastRowFirstColumn="0" w:lastRowLastColumn="0"/>
            </w:pPr>
            <w:r>
              <w:t>In progress.</w:t>
            </w:r>
          </w:p>
        </w:tc>
      </w:tr>
      <w:bookmarkEnd w:id="16"/>
      <w:bookmarkEnd w:id="17"/>
      <w:bookmarkEnd w:id="18"/>
      <w:bookmarkEnd w:id="19"/>
      <w:bookmarkEnd w:id="20"/>
    </w:tbl>
    <w:p w14:paraId="38241CAB" w14:textId="77777777" w:rsidR="00EB22E8" w:rsidRDefault="00EB22E8">
      <w:pPr>
        <w:spacing w:before="200" w:line="264" w:lineRule="auto"/>
        <w:rPr>
          <w:rFonts w:ascii="Cambria" w:eastAsia="Times New Roman" w:hAnsi="Cambria" w:cs="Times New Roman"/>
        </w:rPr>
        <w:sectPr w:rsidR="00EB22E8" w:rsidSect="00FE6F3E">
          <w:pgSz w:w="16838" w:h="11906" w:orient="landscape" w:code="9"/>
          <w:pgMar w:top="1134" w:right="1134" w:bottom="1134" w:left="1276" w:header="709" w:footer="709" w:gutter="0"/>
          <w:cols w:space="708"/>
          <w:docGrid w:linePitch="360"/>
        </w:sectPr>
      </w:pPr>
    </w:p>
    <w:p w14:paraId="5DF96476" w14:textId="5C6C9B78" w:rsidR="00821207" w:rsidRPr="00B418FC" w:rsidRDefault="00821207">
      <w:pPr>
        <w:spacing w:before="200" w:line="264" w:lineRule="auto"/>
        <w:rPr>
          <w:rFonts w:ascii="Cambria" w:eastAsia="Times New Roman" w:hAnsi="Cambria" w:cs="Times New Roman"/>
        </w:rPr>
      </w:pPr>
    </w:p>
    <w:p w14:paraId="3DE242BF" w14:textId="77777777" w:rsidR="00BB2788" w:rsidRPr="00BB2788" w:rsidRDefault="00AB5FCE" w:rsidP="00FD4F1B">
      <w:pPr>
        <w:pStyle w:val="Head1"/>
        <w:rPr>
          <w:rFonts w:eastAsia="Times New Roman"/>
        </w:rPr>
      </w:pPr>
      <w:bookmarkStart w:id="33" w:name="_Toc506361117"/>
      <w:bookmarkStart w:id="34" w:name="_Toc513467428"/>
      <w:bookmarkStart w:id="35" w:name="_Toc513467764"/>
      <w:bookmarkStart w:id="36" w:name="_Toc513470388"/>
      <w:bookmarkStart w:id="37" w:name="_Toc534370044"/>
      <w:bookmarkStart w:id="38" w:name="_Toc19006718"/>
      <w:r>
        <w:rPr>
          <w:rFonts w:eastAsia="Times New Roman"/>
        </w:rPr>
        <w:t>P</w:t>
      </w:r>
      <w:r w:rsidR="00BB2788" w:rsidRPr="00BB2788">
        <w:rPr>
          <w:rFonts w:eastAsia="Times New Roman"/>
        </w:rPr>
        <w:t>rogram performance</w:t>
      </w:r>
      <w:bookmarkEnd w:id="33"/>
      <w:bookmarkEnd w:id="34"/>
      <w:bookmarkEnd w:id="35"/>
      <w:bookmarkEnd w:id="36"/>
      <w:bookmarkEnd w:id="37"/>
      <w:bookmarkEnd w:id="38"/>
    </w:p>
    <w:p w14:paraId="2C275D80" w14:textId="50A0BA52" w:rsidR="00B07BE7" w:rsidRPr="007A3C0E" w:rsidRDefault="00B07BE7" w:rsidP="00B07BE7">
      <w:pPr>
        <w:spacing w:after="0" w:line="259" w:lineRule="auto"/>
        <w:ind w:left="33"/>
        <w:jc w:val="both"/>
        <w:rPr>
          <w:rFonts w:ascii="Cambria" w:eastAsia="Times New Roman" w:hAnsi="Cambria" w:cs="Times New Roman"/>
        </w:rPr>
      </w:pPr>
      <w:bookmarkStart w:id="39" w:name="_Toc513467441"/>
      <w:bookmarkStart w:id="40" w:name="_Toc513467772"/>
      <w:bookmarkStart w:id="41" w:name="_Toc513470396"/>
      <w:bookmarkStart w:id="42" w:name="_Toc513471050"/>
      <w:r w:rsidRPr="007A3C0E">
        <w:rPr>
          <w:rFonts w:ascii="Cambria" w:eastAsia="Times New Roman" w:hAnsi="Cambria" w:cs="Times New Roman"/>
        </w:rPr>
        <w:t>This section provides a summary of the TASS program theory and presents results against DFAT Aid Investment Plan (AIP) Performance Assessment Framework</w:t>
      </w:r>
      <w:r w:rsidR="006B1034">
        <w:rPr>
          <w:rFonts w:ascii="Cambria" w:eastAsia="Times New Roman" w:hAnsi="Cambria" w:cs="Times New Roman"/>
        </w:rPr>
        <w:t xml:space="preserve"> and the TASS results framework</w:t>
      </w:r>
      <w:r w:rsidRPr="007A3C0E">
        <w:rPr>
          <w:rFonts w:ascii="Cambria" w:eastAsia="Times New Roman" w:hAnsi="Cambria" w:cs="Times New Roman"/>
          <w:vertAlign w:val="superscript"/>
        </w:rPr>
        <w:footnoteReference w:id="9"/>
      </w:r>
      <w:r w:rsidR="00502C5D">
        <w:rPr>
          <w:rStyle w:val="FootnoteReference"/>
          <w:rFonts w:ascii="Cambria" w:eastAsia="Times New Roman" w:hAnsi="Cambria" w:cs="Times New Roman"/>
        </w:rPr>
        <w:footnoteReference w:id="10"/>
      </w:r>
      <w:r w:rsidRPr="007A3C0E">
        <w:rPr>
          <w:rFonts w:ascii="Cambria" w:eastAsia="Times New Roman" w:hAnsi="Cambria" w:cs="Times New Roman"/>
        </w:rPr>
        <w:t>.</w:t>
      </w:r>
    </w:p>
    <w:p w14:paraId="7D3AAF3E" w14:textId="3F7EEB44" w:rsidR="00B07BE7" w:rsidRPr="00BB2788" w:rsidRDefault="00B07BE7" w:rsidP="00B07BE7">
      <w:pPr>
        <w:pStyle w:val="Head2"/>
        <w:rPr>
          <w:rFonts w:eastAsia="Times New Roman"/>
        </w:rPr>
      </w:pPr>
      <w:bookmarkStart w:id="43" w:name="_Toc506361118"/>
      <w:bookmarkStart w:id="44" w:name="_Toc506369925"/>
      <w:bookmarkStart w:id="45" w:name="_Toc513467429"/>
      <w:bookmarkStart w:id="46" w:name="_Toc513467765"/>
      <w:bookmarkStart w:id="47" w:name="_Toc513470389"/>
      <w:bookmarkStart w:id="48" w:name="_Toc534370045"/>
      <w:bookmarkStart w:id="49" w:name="_Toc1036395"/>
      <w:bookmarkStart w:id="50" w:name="_Toc19006719"/>
      <w:r w:rsidRPr="00BB2788">
        <w:rPr>
          <w:rFonts w:eastAsia="Times New Roman"/>
        </w:rPr>
        <w:t xml:space="preserve">Program </w:t>
      </w:r>
      <w:r>
        <w:rPr>
          <w:rFonts w:eastAsia="Times New Roman"/>
        </w:rPr>
        <w:t>logic</w:t>
      </w:r>
      <w:r w:rsidRPr="00BB2788">
        <w:rPr>
          <w:rFonts w:eastAsia="Times New Roman"/>
        </w:rPr>
        <w:t xml:space="preserve"> overview</w:t>
      </w:r>
      <w:bookmarkEnd w:id="43"/>
      <w:bookmarkEnd w:id="44"/>
      <w:bookmarkEnd w:id="45"/>
      <w:bookmarkEnd w:id="46"/>
      <w:bookmarkEnd w:id="47"/>
      <w:bookmarkEnd w:id="48"/>
      <w:bookmarkEnd w:id="49"/>
      <w:bookmarkEnd w:id="50"/>
    </w:p>
    <w:p w14:paraId="4F61E31F" w14:textId="0D67265F" w:rsidR="00B07BE7" w:rsidRPr="00C375D6" w:rsidRDefault="00B07BE7" w:rsidP="00B07BE7">
      <w:pPr>
        <w:pStyle w:val="Head3"/>
        <w:rPr>
          <w:rFonts w:eastAsia="Times New Roman"/>
        </w:rPr>
      </w:pPr>
      <w:bookmarkStart w:id="51" w:name="_Toc1036396"/>
      <w:bookmarkStart w:id="52" w:name="_Toc19006720"/>
      <w:bookmarkStart w:id="53" w:name="_Toc506361119"/>
      <w:bookmarkStart w:id="54" w:name="_Toc506369926"/>
      <w:bookmarkStart w:id="55" w:name="_Toc513467430"/>
      <w:bookmarkStart w:id="56" w:name="_Toc513467766"/>
      <w:bookmarkStart w:id="57" w:name="_Toc513470390"/>
      <w:bookmarkStart w:id="58" w:name="_Toc534370046"/>
      <w:r w:rsidRPr="00C375D6">
        <w:rPr>
          <w:rFonts w:eastAsia="Times New Roman"/>
        </w:rPr>
        <w:t>End of Facility Outcomes</w:t>
      </w:r>
      <w:bookmarkEnd w:id="51"/>
      <w:bookmarkEnd w:id="52"/>
    </w:p>
    <w:p w14:paraId="7952F101" w14:textId="0E04E118" w:rsidR="00B07BE7" w:rsidRDefault="00B07BE7" w:rsidP="00B07BE7">
      <w:pPr>
        <w:spacing w:after="0" w:line="259" w:lineRule="auto"/>
        <w:ind w:left="33"/>
        <w:jc w:val="both"/>
        <w:rPr>
          <w:rFonts w:ascii="Cambria" w:eastAsia="Times New Roman" w:hAnsi="Cambria" w:cs="Times New Roman"/>
        </w:rPr>
      </w:pPr>
      <w:r w:rsidRPr="00415C6A">
        <w:rPr>
          <w:rFonts w:ascii="Cambria" w:eastAsia="Times New Roman" w:hAnsi="Cambria" w:cs="Times New Roman"/>
        </w:rPr>
        <w:t>TASS, as a Facility, does not have a set of comprehensive activities that are sufficient to achieve ‘end-of-facility outcomes’ (EOFOs).</w:t>
      </w:r>
      <w:r>
        <w:rPr>
          <w:rFonts w:ascii="Cambria" w:eastAsia="Times New Roman" w:hAnsi="Cambria" w:cs="Times New Roman"/>
        </w:rPr>
        <w:t xml:space="preserve"> </w:t>
      </w:r>
      <w:r w:rsidRPr="00415C6A">
        <w:rPr>
          <w:rFonts w:ascii="Cambria" w:eastAsia="Times New Roman" w:hAnsi="Cambria" w:cs="Times New Roman"/>
        </w:rPr>
        <w:t xml:space="preserve"> TASS activities are often disparate and too small in scale and scope to directly influence the EOFOs</w:t>
      </w:r>
      <w:r>
        <w:rPr>
          <w:rFonts w:ascii="Cambria" w:eastAsia="Times New Roman" w:hAnsi="Cambria" w:cs="Times New Roman"/>
        </w:rPr>
        <w:t xml:space="preserve">, although over time, TASS should see some trend towards them. </w:t>
      </w:r>
    </w:p>
    <w:p w14:paraId="7DF49DE8" w14:textId="6C3C04C5" w:rsidR="00B07BE7" w:rsidRPr="00415C6A" w:rsidRDefault="00B07BE7" w:rsidP="00B07BE7">
      <w:pPr>
        <w:spacing w:after="0" w:line="259" w:lineRule="auto"/>
        <w:ind w:left="33"/>
        <w:jc w:val="both"/>
        <w:rPr>
          <w:rFonts w:ascii="Cambria" w:eastAsia="Times New Roman" w:hAnsi="Cambria" w:cs="Times New Roman"/>
        </w:rPr>
      </w:pPr>
    </w:p>
    <w:p w14:paraId="2C5AD8E0" w14:textId="558FFC77" w:rsidR="00B07BE7" w:rsidRPr="00C375D6" w:rsidRDefault="00B07BE7" w:rsidP="00B07BE7">
      <w:pPr>
        <w:spacing w:after="0" w:line="259" w:lineRule="auto"/>
        <w:ind w:left="33"/>
        <w:jc w:val="both"/>
        <w:rPr>
          <w:rFonts w:ascii="Cambria" w:eastAsia="Times New Roman" w:hAnsi="Cambria" w:cs="Times New Roman"/>
        </w:rPr>
      </w:pPr>
      <w:r w:rsidRPr="00C375D6">
        <w:rPr>
          <w:rFonts w:ascii="Cambria" w:eastAsia="Times New Roman" w:hAnsi="Cambria" w:cs="Times New Roman"/>
        </w:rPr>
        <w:t>The EOFOs for TASS are:</w:t>
      </w:r>
    </w:p>
    <w:p w14:paraId="343ECC23" w14:textId="042ADD7D" w:rsidR="00B07BE7" w:rsidRPr="00C375D6" w:rsidRDefault="00B07BE7" w:rsidP="00435CCD">
      <w:pPr>
        <w:pStyle w:val="ListParagraph"/>
        <w:numPr>
          <w:ilvl w:val="0"/>
          <w:numId w:val="20"/>
        </w:numPr>
        <w:spacing w:after="0" w:line="259" w:lineRule="auto"/>
        <w:jc w:val="both"/>
        <w:rPr>
          <w:rFonts w:ascii="Cambria" w:eastAsia="Times New Roman" w:hAnsi="Cambria" w:cs="Times New Roman"/>
        </w:rPr>
      </w:pPr>
      <w:r w:rsidRPr="00C375D6">
        <w:rPr>
          <w:rFonts w:ascii="Cambria" w:hAnsi="Cambria"/>
        </w:rPr>
        <w:t>Participating decision makers implement processes that help bridge the divide between policy and implementation.</w:t>
      </w:r>
    </w:p>
    <w:p w14:paraId="682A2E7C" w14:textId="6D681504" w:rsidR="00B07BE7" w:rsidRPr="00C375D6" w:rsidRDefault="00B07BE7" w:rsidP="00435CCD">
      <w:pPr>
        <w:pStyle w:val="ListParagraph"/>
        <w:numPr>
          <w:ilvl w:val="0"/>
          <w:numId w:val="20"/>
        </w:numPr>
        <w:spacing w:after="0" w:line="259" w:lineRule="auto"/>
        <w:jc w:val="both"/>
        <w:rPr>
          <w:rFonts w:ascii="Cambria" w:eastAsia="Times New Roman" w:hAnsi="Cambria" w:cs="Times New Roman"/>
        </w:rPr>
      </w:pPr>
      <w:r w:rsidRPr="00C375D6">
        <w:rPr>
          <w:rFonts w:ascii="Cambria" w:hAnsi="Cambria"/>
        </w:rPr>
        <w:t>Participating decision makers apply policies, systems, processes, and programs needed to effect education reform.</w:t>
      </w:r>
    </w:p>
    <w:p w14:paraId="354627BC" w14:textId="4CFB1C62" w:rsidR="00B07BE7" w:rsidRDefault="00B07BE7" w:rsidP="00B07BE7">
      <w:pPr>
        <w:spacing w:after="0" w:line="259" w:lineRule="auto"/>
        <w:ind w:left="33"/>
        <w:jc w:val="both"/>
        <w:rPr>
          <w:rFonts w:ascii="Cambria" w:eastAsia="Times New Roman" w:hAnsi="Cambria" w:cs="Times New Roman"/>
        </w:rPr>
      </w:pPr>
    </w:p>
    <w:p w14:paraId="5F6F2539" w14:textId="0F3878DC" w:rsidR="00B07BE7" w:rsidRDefault="00B07BE7" w:rsidP="00B07BE7">
      <w:pPr>
        <w:spacing w:after="0" w:line="259" w:lineRule="auto"/>
        <w:ind w:left="33"/>
        <w:jc w:val="both"/>
        <w:rPr>
          <w:rFonts w:ascii="Cambria" w:eastAsia="Times New Roman" w:hAnsi="Cambria" w:cs="Times New Roman"/>
        </w:rPr>
      </w:pPr>
      <w:r w:rsidRPr="00415C6A">
        <w:rPr>
          <w:rFonts w:ascii="Cambria" w:eastAsia="Times New Roman" w:hAnsi="Cambria" w:cs="Times New Roman"/>
        </w:rPr>
        <w:t xml:space="preserve">The EOFOs provide direction for TASS and guide its decisions as to where it should focus its efforts. All TASS activities must have a ‘line-of-sight’ to one of the EOFOs. </w:t>
      </w:r>
    </w:p>
    <w:p w14:paraId="45F3D1F3" w14:textId="048138FD" w:rsidR="00B07BE7" w:rsidRPr="00C375D6" w:rsidRDefault="00B07BE7" w:rsidP="00B07BE7">
      <w:pPr>
        <w:pStyle w:val="Head3"/>
        <w:rPr>
          <w:rFonts w:eastAsia="Times New Roman"/>
        </w:rPr>
      </w:pPr>
      <w:bookmarkStart w:id="59" w:name="_Toc1036397"/>
      <w:bookmarkStart w:id="60" w:name="_Toc19006721"/>
      <w:r w:rsidRPr="00C375D6">
        <w:rPr>
          <w:rFonts w:eastAsia="Times New Roman"/>
        </w:rPr>
        <w:t>Intermediate Outcomes</w:t>
      </w:r>
      <w:bookmarkEnd w:id="59"/>
      <w:bookmarkEnd w:id="60"/>
    </w:p>
    <w:p w14:paraId="35CA33BD" w14:textId="4DA2CCFB" w:rsidR="00B07BE7" w:rsidRPr="00C375D6" w:rsidRDefault="00B07BE7" w:rsidP="00B07BE7">
      <w:pPr>
        <w:rPr>
          <w:rFonts w:ascii="Cambria" w:eastAsia="Times New Roman" w:hAnsi="Cambria" w:cs="Times New Roman"/>
        </w:rPr>
      </w:pPr>
      <w:r w:rsidRPr="00C375D6">
        <w:rPr>
          <w:rFonts w:ascii="Cambria" w:hAnsi="Cambria"/>
          <w:lang w:val="en-AU" w:eastAsia="en-GB"/>
        </w:rPr>
        <w:t>Intermediate Outcomes (IO)</w:t>
      </w:r>
      <w:r w:rsidRPr="00C375D6">
        <w:rPr>
          <w:rFonts w:ascii="Cambria" w:hAnsi="Cambria"/>
          <w:b/>
          <w:lang w:val="en-AU" w:eastAsia="en-GB"/>
        </w:rPr>
        <w:t xml:space="preserve"> </w:t>
      </w:r>
      <w:r w:rsidRPr="00C375D6">
        <w:rPr>
          <w:rFonts w:ascii="Cambria" w:hAnsi="Cambria"/>
          <w:lang w:val="en-AU" w:eastAsia="en-GB"/>
        </w:rPr>
        <w:t xml:space="preserve">are in TASS’ sphere of influence </w:t>
      </w:r>
      <w:r w:rsidRPr="00C375D6">
        <w:rPr>
          <w:rFonts w:ascii="Cambria" w:hAnsi="Cambria"/>
        </w:rPr>
        <w:t>where the immediate effects of TASS’ interventions can be seen</w:t>
      </w:r>
      <w:r w:rsidRPr="00C375D6">
        <w:rPr>
          <w:rFonts w:ascii="Cambria" w:hAnsi="Cambria"/>
          <w:lang w:val="en-AU" w:eastAsia="en-GB"/>
        </w:rPr>
        <w:t>. There are three IOs for TASS:</w:t>
      </w:r>
    </w:p>
    <w:p w14:paraId="292FB90C" w14:textId="353C4D8E" w:rsidR="00B07BE7" w:rsidRPr="00C375D6" w:rsidRDefault="00B07BE7" w:rsidP="00435CCD">
      <w:pPr>
        <w:pStyle w:val="ListParagraph"/>
        <w:numPr>
          <w:ilvl w:val="0"/>
          <w:numId w:val="21"/>
        </w:numPr>
        <w:spacing w:after="0" w:line="259" w:lineRule="auto"/>
        <w:jc w:val="both"/>
        <w:rPr>
          <w:rFonts w:ascii="Cambria" w:hAnsi="Cambria"/>
        </w:rPr>
      </w:pPr>
      <w:r w:rsidRPr="00C375D6">
        <w:rPr>
          <w:rFonts w:ascii="Cambria" w:hAnsi="Cambria"/>
        </w:rPr>
        <w:t>Conceptual use: Participating decision makers use TASS-facilitated products and services to inform their decision-making</w:t>
      </w:r>
      <w:r>
        <w:rPr>
          <w:rFonts w:ascii="Cambria" w:hAnsi="Cambria"/>
        </w:rPr>
        <w:t>.</w:t>
      </w:r>
    </w:p>
    <w:p w14:paraId="26DABD9B" w14:textId="54C7E53D" w:rsidR="00B07BE7" w:rsidRPr="00C375D6" w:rsidRDefault="00B07BE7" w:rsidP="00435CCD">
      <w:pPr>
        <w:pStyle w:val="ListParagraph"/>
        <w:numPr>
          <w:ilvl w:val="0"/>
          <w:numId w:val="21"/>
        </w:numPr>
        <w:spacing w:after="0" w:line="259" w:lineRule="auto"/>
        <w:jc w:val="both"/>
        <w:rPr>
          <w:rFonts w:ascii="Cambria" w:hAnsi="Cambria"/>
        </w:rPr>
      </w:pPr>
      <w:r w:rsidRPr="00C375D6">
        <w:rPr>
          <w:rFonts w:ascii="Cambria" w:hAnsi="Cambria"/>
        </w:rPr>
        <w:t>Instrumental use: Participating decision makers make changes to policies, plans, budgets, financing, systems, practices</w:t>
      </w:r>
      <w:r>
        <w:rPr>
          <w:rFonts w:ascii="Cambria" w:hAnsi="Cambria"/>
        </w:rPr>
        <w:t>.</w:t>
      </w:r>
    </w:p>
    <w:p w14:paraId="30A89849" w14:textId="0978466F" w:rsidR="00B07BE7" w:rsidRPr="00C375D6" w:rsidRDefault="00B07BE7" w:rsidP="00435CCD">
      <w:pPr>
        <w:pStyle w:val="ListParagraph"/>
        <w:numPr>
          <w:ilvl w:val="0"/>
          <w:numId w:val="21"/>
        </w:numPr>
        <w:spacing w:after="0" w:line="259" w:lineRule="auto"/>
        <w:jc w:val="both"/>
        <w:rPr>
          <w:rFonts w:ascii="Cambria" w:hAnsi="Cambria"/>
        </w:rPr>
      </w:pPr>
      <w:r w:rsidRPr="00C375D6">
        <w:rPr>
          <w:rFonts w:ascii="Cambria" w:hAnsi="Cambria"/>
        </w:rPr>
        <w:t>Improved policy and decision-making processes: Participating decision makers draw on TASS supports to improve the feasibility of policy implementation</w:t>
      </w:r>
      <w:r>
        <w:rPr>
          <w:rFonts w:ascii="Cambria" w:hAnsi="Cambria"/>
        </w:rPr>
        <w:t>.</w:t>
      </w:r>
    </w:p>
    <w:p w14:paraId="4EE6EC1B" w14:textId="6632C97E" w:rsidR="00B07BE7" w:rsidRDefault="00B07BE7" w:rsidP="00B07BE7">
      <w:pPr>
        <w:spacing w:after="0" w:line="259" w:lineRule="auto"/>
        <w:ind w:left="33"/>
        <w:jc w:val="both"/>
        <w:rPr>
          <w:rFonts w:ascii="Cambria" w:eastAsia="Times New Roman" w:hAnsi="Cambria" w:cs="Times New Roman"/>
        </w:rPr>
      </w:pPr>
    </w:p>
    <w:p w14:paraId="0BFC9B82" w14:textId="63B20834" w:rsidR="00B07BE7" w:rsidRDefault="0019655D" w:rsidP="007131FA">
      <w:pPr>
        <w:spacing w:after="120" w:line="259" w:lineRule="auto"/>
        <w:ind w:left="34"/>
        <w:jc w:val="both"/>
        <w:rPr>
          <w:rFonts w:ascii="Cambria" w:eastAsia="Times New Roman" w:hAnsi="Cambria" w:cs="Times New Roman"/>
        </w:rPr>
      </w:pPr>
      <w:r w:rsidRPr="00415C6A">
        <w:rPr>
          <w:rFonts w:ascii="Cambria" w:eastAsia="Times New Roman" w:hAnsi="Cambria" w:cs="Times New Roman"/>
          <w:noProof/>
          <w:lang w:val="en-AU" w:eastAsia="en-AU" w:bidi="ar-SA"/>
        </w:rPr>
        <mc:AlternateContent>
          <mc:Choice Requires="wps">
            <w:drawing>
              <wp:anchor distT="45720" distB="45720" distL="114300" distR="114300" simplePos="0" relativeHeight="251640320" behindDoc="1" locked="0" layoutInCell="1" allowOverlap="1" wp14:anchorId="6B428F7E" wp14:editId="3FF19C77">
                <wp:simplePos x="0" y="0"/>
                <wp:positionH relativeFrom="margin">
                  <wp:align>center</wp:align>
                </wp:positionH>
                <wp:positionV relativeFrom="paragraph">
                  <wp:posOffset>292735</wp:posOffset>
                </wp:positionV>
                <wp:extent cx="5501640" cy="3238500"/>
                <wp:effectExtent l="0" t="0" r="22860"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3238500"/>
                        </a:xfrm>
                        <a:prstGeom prst="rect">
                          <a:avLst/>
                        </a:prstGeom>
                        <a:noFill/>
                        <a:ln w="12700">
                          <a:solidFill>
                            <a:srgbClr val="002060"/>
                          </a:solidFill>
                          <a:headEnd/>
                          <a:tailEnd/>
                        </a:ln>
                        <a:effectLst/>
                      </wps:spPr>
                      <wps:style>
                        <a:lnRef idx="1">
                          <a:schemeClr val="accent1"/>
                        </a:lnRef>
                        <a:fillRef idx="2">
                          <a:schemeClr val="accent1"/>
                        </a:fillRef>
                        <a:effectRef idx="1">
                          <a:schemeClr val="accent1"/>
                        </a:effectRef>
                        <a:fontRef idx="minor">
                          <a:schemeClr val="dk1"/>
                        </a:fontRef>
                      </wps:style>
                      <wps:txbx>
                        <w:txbxContent>
                          <w:p w14:paraId="6D5EF567" w14:textId="77777777" w:rsidR="00033040" w:rsidRPr="00415C6A" w:rsidRDefault="00033040" w:rsidP="00B07BE7">
                            <w:pPr>
                              <w:jc w:val="both"/>
                              <w:rPr>
                                <w:rFonts w:ascii="Cambria" w:hAnsi="Cambria"/>
                              </w:rPr>
                            </w:pPr>
                            <w:r w:rsidRPr="00415C6A">
                              <w:rPr>
                                <w:rFonts w:ascii="Cambria" w:hAnsi="Cambria"/>
                                <w:b/>
                              </w:rPr>
                              <w:t>If</w:t>
                            </w:r>
                            <w:r w:rsidRPr="00415C6A">
                              <w:rPr>
                                <w:rFonts w:ascii="Cambria" w:hAnsi="Cambria"/>
                              </w:rPr>
                              <w:t xml:space="preserve"> TASS can work in a politically smart way with GoI partners to identify and respond to opportunities to provide targeted, short term technical assistance that provides GoI with locally-led, high-quality, policy relevant knowledge and evidence that leverage key aspects of government reform</w:t>
                            </w:r>
                          </w:p>
                          <w:p w14:paraId="6EF9653B" w14:textId="77777777" w:rsidR="00033040" w:rsidRPr="00415C6A" w:rsidRDefault="00033040" w:rsidP="00B07BE7">
                            <w:pPr>
                              <w:jc w:val="both"/>
                              <w:rPr>
                                <w:rFonts w:ascii="Cambria" w:hAnsi="Cambria"/>
                              </w:rPr>
                            </w:pPr>
                            <w:r w:rsidRPr="00415C6A">
                              <w:rPr>
                                <w:rFonts w:ascii="Cambria" w:hAnsi="Cambria"/>
                                <w:b/>
                              </w:rPr>
                              <w:t>then</w:t>
                            </w:r>
                            <w:r w:rsidRPr="00415C6A">
                              <w:rPr>
                                <w:rFonts w:ascii="Cambria" w:hAnsi="Cambria"/>
                              </w:rPr>
                              <w:t xml:space="preserve"> targeted stakeholders within MoEC, MoRA and Bappenas will be invested in using these outputs to inform their decision-making and make changes to policies, plans, budgets, financing, systems and practices</w:t>
                            </w:r>
                          </w:p>
                          <w:p w14:paraId="70AD692A" w14:textId="77777777" w:rsidR="00033040" w:rsidRPr="00415C6A" w:rsidRDefault="00033040" w:rsidP="00B07BE7">
                            <w:pPr>
                              <w:jc w:val="both"/>
                              <w:rPr>
                                <w:rFonts w:ascii="Cambria" w:hAnsi="Cambria"/>
                              </w:rPr>
                            </w:pPr>
                            <w:r w:rsidRPr="00415C6A">
                              <w:rPr>
                                <w:rFonts w:ascii="Cambria" w:hAnsi="Cambria"/>
                                <w:b/>
                              </w:rPr>
                              <w:t xml:space="preserve">and if </w:t>
                            </w:r>
                            <w:r w:rsidRPr="00415C6A">
                              <w:rPr>
                                <w:rFonts w:ascii="Cambria" w:hAnsi="Cambria"/>
                              </w:rPr>
                              <w:t>TASS supports GoI partners with ongoing policy engagement during and after activities to apply processes and practices that help to improve the feasibility of policy implementation</w:t>
                            </w:r>
                          </w:p>
                          <w:p w14:paraId="47A85D47" w14:textId="77777777" w:rsidR="00033040" w:rsidRPr="00415C6A" w:rsidRDefault="00033040" w:rsidP="00B07BE7">
                            <w:pPr>
                              <w:jc w:val="both"/>
                              <w:rPr>
                                <w:rFonts w:ascii="Cambria" w:hAnsi="Cambria"/>
                                <w:b/>
                              </w:rPr>
                            </w:pPr>
                            <w:r w:rsidRPr="00415C6A">
                              <w:rPr>
                                <w:rFonts w:ascii="Cambria" w:hAnsi="Cambria"/>
                                <w:b/>
                              </w:rPr>
                              <w:t xml:space="preserve">then </w:t>
                            </w:r>
                            <w:r w:rsidRPr="00415C6A">
                              <w:rPr>
                                <w:rFonts w:ascii="Cambria" w:hAnsi="Cambria"/>
                              </w:rPr>
                              <w:t>the changes will contribute to education reform and to help bridge the divide between policy and implementation</w:t>
                            </w:r>
                          </w:p>
                          <w:p w14:paraId="210F51B9" w14:textId="77777777" w:rsidR="00033040" w:rsidRPr="00415C6A" w:rsidRDefault="00033040" w:rsidP="00B07BE7">
                            <w:pPr>
                              <w:jc w:val="both"/>
                              <w:rPr>
                                <w:rFonts w:ascii="Cambria" w:hAnsi="Cambria"/>
                              </w:rPr>
                            </w:pPr>
                            <w:r w:rsidRPr="00415C6A">
                              <w:rPr>
                                <w:rFonts w:ascii="Cambria" w:hAnsi="Cambria"/>
                                <w:b/>
                              </w:rPr>
                              <w:t xml:space="preserve">and, </w:t>
                            </w:r>
                            <w:r w:rsidRPr="00415C6A">
                              <w:rPr>
                                <w:rFonts w:ascii="Cambria" w:hAnsi="Cambria"/>
                              </w:rPr>
                              <w:t>in turn, to improvements in the quality of teaching and learning and a reduction in the impact of disparities on learning outcomes.</w:t>
                            </w:r>
                          </w:p>
                          <w:p w14:paraId="63BEF362" w14:textId="77777777" w:rsidR="00033040" w:rsidRPr="00415C6A" w:rsidRDefault="00033040" w:rsidP="00B07BE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28F7E" id="_x0000_s1030" type="#_x0000_t202" style="position:absolute;left:0;text-align:left;margin-left:0;margin-top:23.05pt;width:433.2pt;height:255pt;z-index:-251676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iEawIAAB4FAAAOAAAAZHJzL2Uyb0RvYy54bWysVNtu2zAMfR+wfxD0vthxk7Qz4hRdug4D&#10;ugvW7gMUWYqFyqInKbHTrx8lO052QR+GvQiSSB4eHlJaXne1JnthnQJT0OkkpUQYDqUy24J+f7x7&#10;c0WJ88yUTIMRBT0IR69Xr18t2yYXGVSgS2EJghiXt01BK++bPEkcr0TN3AQaYdAowdbM49Fuk9Ky&#10;FtFrnWRpukhasGVjgQvn8Pa2N9JVxJdScP9FSic80QVFbj6uNq6bsCarJcu3ljWV4gMN9g8saqYM&#10;Jh2hbplnZGfVH1C14hYcSD/hUCcgpeIi1oDVTNPfqnmoWCNiLSiOa0aZ3P+D5Z/3Xy1RZUEXlBhW&#10;Y4seRefJO+hIFtRpG5ej00ODbr7Da+xyrNQ198CfHDGwrpjZihtroa0EK5HdNEQmZ6E9jgsgm/YT&#10;lJiG7TxEoE7aOkiHYhBExy4dxs4EKhwv5/N0upihiaPtIru4mqexdwnLj+GNdf6DgJqETUEttj7C&#10;s/2984EOy48uIZuBO6V1bL82pEXO2SViBpMDrcpgjQe73ay1JXsWJijN0sUx8S9uofD3pox4nind&#10;7zGnNgFFxFEciARdghSDKP6gRfDR5puQ2IqTwuERiDE541wY30s7eIcwiUTHwKwv4KXAwf/Eagwe&#10;+vpScF8HRsTMYPwYXCsD9m/Zy6cjZdn7D5Ph+rqDGL7bdHEGZ8eJ20B5wFmx0D9Y/GBwU4F9pqTF&#10;x1pQ92PHrKBEfzQ4b2+nszAcPh5m88sMD/bcsjm3MMMRqqCekn679vFHCDUZuMG5lCpOTODWMxk4&#10;4yOMgzR8GOGVn5+j1+lbW/0EAAD//wMAUEsDBBQABgAIAAAAIQCqDiLd3QAAAAcBAAAPAAAAZHJz&#10;L2Rvd25yZXYueG1sTI9BS8NAEIXvgv9hmYI3u2loY4mZFBUUxJOxCN622WkSmp0N2W0T/73jSY/z&#10;3uO9b4rd7Hp1oTF0nhFWywQUce1txw3C/uP5dgsqRMPW9J4J4ZsC7Mrrq8Lk1k/8TpcqNkpKOOQG&#10;oY1xyLUOdUvOhKUfiMU7+tGZKOfYaDuaScpdr9MkybQzHctCawZ6aqk+VWeHkCav0/Syt/arSu/e&#10;Yv9YfZ5sh3izmB/uQUWa418YfvEFHUphOvgz26B6BHkkIqyzFShxt1m2BnVA2GxE0WWh//OXPwAA&#10;AP//AwBQSwECLQAUAAYACAAAACEAtoM4kv4AAADhAQAAEwAAAAAAAAAAAAAAAAAAAAAAW0NvbnRl&#10;bnRfVHlwZXNdLnhtbFBLAQItABQABgAIAAAAIQA4/SH/1gAAAJQBAAALAAAAAAAAAAAAAAAAAC8B&#10;AABfcmVscy8ucmVsc1BLAQItABQABgAIAAAAIQCpuYiEawIAAB4FAAAOAAAAAAAAAAAAAAAAAC4C&#10;AABkcnMvZTJvRG9jLnhtbFBLAQItABQABgAIAAAAIQCqDiLd3QAAAAcBAAAPAAAAAAAAAAAAAAAA&#10;AMUEAABkcnMvZG93bnJldi54bWxQSwUGAAAAAAQABADzAAAAzwUAAAAA&#10;" filled="f" strokecolor="#002060" strokeweight="1pt">
                <v:textbox>
                  <w:txbxContent>
                    <w:p w14:paraId="6D5EF567" w14:textId="77777777" w:rsidR="00033040" w:rsidRPr="00415C6A" w:rsidRDefault="00033040" w:rsidP="00B07BE7">
                      <w:pPr>
                        <w:jc w:val="both"/>
                        <w:rPr>
                          <w:rFonts w:ascii="Cambria" w:hAnsi="Cambria"/>
                        </w:rPr>
                      </w:pPr>
                      <w:r w:rsidRPr="00415C6A">
                        <w:rPr>
                          <w:rFonts w:ascii="Cambria" w:hAnsi="Cambria"/>
                          <w:b/>
                        </w:rPr>
                        <w:t>If</w:t>
                      </w:r>
                      <w:r w:rsidRPr="00415C6A">
                        <w:rPr>
                          <w:rFonts w:ascii="Cambria" w:hAnsi="Cambria"/>
                        </w:rPr>
                        <w:t xml:space="preserve"> TASS can work in a politically smart way with GoI partners to identify and respond to opportunities to provide targeted, short term technical assistance that provides GoI with locally-led, high-quality, policy relevant knowledge and evidence that leverage key aspects of government reform</w:t>
                      </w:r>
                    </w:p>
                    <w:p w14:paraId="6EF9653B" w14:textId="77777777" w:rsidR="00033040" w:rsidRPr="00415C6A" w:rsidRDefault="00033040" w:rsidP="00B07BE7">
                      <w:pPr>
                        <w:jc w:val="both"/>
                        <w:rPr>
                          <w:rFonts w:ascii="Cambria" w:hAnsi="Cambria"/>
                        </w:rPr>
                      </w:pPr>
                      <w:r w:rsidRPr="00415C6A">
                        <w:rPr>
                          <w:rFonts w:ascii="Cambria" w:hAnsi="Cambria"/>
                          <w:b/>
                        </w:rPr>
                        <w:t>then</w:t>
                      </w:r>
                      <w:r w:rsidRPr="00415C6A">
                        <w:rPr>
                          <w:rFonts w:ascii="Cambria" w:hAnsi="Cambria"/>
                        </w:rPr>
                        <w:t xml:space="preserve"> targeted stakeholders within MoEC, MoRA and Bappenas will be invested in using these outputs to inform their decision-making and make changes to policies, plans, budgets, financing, systems and practices</w:t>
                      </w:r>
                    </w:p>
                    <w:p w14:paraId="70AD692A" w14:textId="77777777" w:rsidR="00033040" w:rsidRPr="00415C6A" w:rsidRDefault="00033040" w:rsidP="00B07BE7">
                      <w:pPr>
                        <w:jc w:val="both"/>
                        <w:rPr>
                          <w:rFonts w:ascii="Cambria" w:hAnsi="Cambria"/>
                        </w:rPr>
                      </w:pPr>
                      <w:r w:rsidRPr="00415C6A">
                        <w:rPr>
                          <w:rFonts w:ascii="Cambria" w:hAnsi="Cambria"/>
                          <w:b/>
                        </w:rPr>
                        <w:t xml:space="preserve">and if </w:t>
                      </w:r>
                      <w:r w:rsidRPr="00415C6A">
                        <w:rPr>
                          <w:rFonts w:ascii="Cambria" w:hAnsi="Cambria"/>
                        </w:rPr>
                        <w:t>TASS supports GoI partners with ongoing policy engagement during and after activities to apply processes and practices that help to improve the feasibility of policy implementation</w:t>
                      </w:r>
                    </w:p>
                    <w:p w14:paraId="47A85D47" w14:textId="77777777" w:rsidR="00033040" w:rsidRPr="00415C6A" w:rsidRDefault="00033040" w:rsidP="00B07BE7">
                      <w:pPr>
                        <w:jc w:val="both"/>
                        <w:rPr>
                          <w:rFonts w:ascii="Cambria" w:hAnsi="Cambria"/>
                          <w:b/>
                        </w:rPr>
                      </w:pPr>
                      <w:r w:rsidRPr="00415C6A">
                        <w:rPr>
                          <w:rFonts w:ascii="Cambria" w:hAnsi="Cambria"/>
                          <w:b/>
                        </w:rPr>
                        <w:t xml:space="preserve">then </w:t>
                      </w:r>
                      <w:r w:rsidRPr="00415C6A">
                        <w:rPr>
                          <w:rFonts w:ascii="Cambria" w:hAnsi="Cambria"/>
                        </w:rPr>
                        <w:t>the changes will contribute to education reform and to help bridge the divide between policy and implementation</w:t>
                      </w:r>
                    </w:p>
                    <w:p w14:paraId="210F51B9" w14:textId="77777777" w:rsidR="00033040" w:rsidRPr="00415C6A" w:rsidRDefault="00033040" w:rsidP="00B07BE7">
                      <w:pPr>
                        <w:jc w:val="both"/>
                        <w:rPr>
                          <w:rFonts w:ascii="Cambria" w:hAnsi="Cambria"/>
                        </w:rPr>
                      </w:pPr>
                      <w:r w:rsidRPr="00415C6A">
                        <w:rPr>
                          <w:rFonts w:ascii="Cambria" w:hAnsi="Cambria"/>
                          <w:b/>
                        </w:rPr>
                        <w:t xml:space="preserve">and, </w:t>
                      </w:r>
                      <w:r w:rsidRPr="00415C6A">
                        <w:rPr>
                          <w:rFonts w:ascii="Cambria" w:hAnsi="Cambria"/>
                        </w:rPr>
                        <w:t>in turn, to improvements in the quality of teaching and learning and a reduction in the impact of disparities on learning outcomes.</w:t>
                      </w:r>
                    </w:p>
                    <w:p w14:paraId="63BEF362" w14:textId="77777777" w:rsidR="00033040" w:rsidRPr="00415C6A" w:rsidRDefault="00033040" w:rsidP="00B07BE7">
                      <w:pPr>
                        <w:jc w:val="both"/>
                      </w:pPr>
                    </w:p>
                  </w:txbxContent>
                </v:textbox>
                <w10:wrap type="topAndBottom" anchorx="margin"/>
              </v:shape>
            </w:pict>
          </mc:Fallback>
        </mc:AlternateContent>
      </w:r>
      <w:r w:rsidR="00B07BE7" w:rsidRPr="007A3C0E">
        <w:rPr>
          <w:rFonts w:ascii="Cambria" w:eastAsia="Times New Roman" w:hAnsi="Cambria" w:cs="Times New Roman"/>
        </w:rPr>
        <w:t xml:space="preserve">The TASS program theory </w:t>
      </w:r>
      <w:r w:rsidR="00B07BE7">
        <w:rPr>
          <w:rFonts w:ascii="Cambria" w:eastAsia="Times New Roman" w:hAnsi="Cambria" w:cs="Times New Roman"/>
        </w:rPr>
        <w:t>is summarised below</w:t>
      </w:r>
      <w:r w:rsidR="00B07BE7" w:rsidRPr="007A3C0E">
        <w:rPr>
          <w:rFonts w:ascii="Cambria" w:eastAsia="Times New Roman" w:hAnsi="Cambria" w:cs="Times New Roman"/>
        </w:rPr>
        <w:t xml:space="preserve">: </w:t>
      </w:r>
    </w:p>
    <w:p w14:paraId="74E67994" w14:textId="571BE1CB" w:rsidR="00B07BE7" w:rsidRDefault="00B07BE7" w:rsidP="00B07BE7">
      <w:pPr>
        <w:spacing w:after="0" w:line="259" w:lineRule="auto"/>
        <w:contextualSpacing/>
        <w:jc w:val="both"/>
        <w:rPr>
          <w:rFonts w:ascii="Cambria" w:eastAsia="Times New Roman" w:hAnsi="Cambria" w:cs="Times New Roman"/>
        </w:rPr>
      </w:pPr>
      <w:r>
        <w:rPr>
          <w:rFonts w:ascii="Cambria" w:eastAsia="Times New Roman" w:hAnsi="Cambria" w:cs="Times New Roman"/>
        </w:rPr>
        <w:t>Related</w:t>
      </w:r>
      <w:r w:rsidRPr="007A3C0E">
        <w:rPr>
          <w:rFonts w:ascii="Cambria" w:eastAsia="Times New Roman" w:hAnsi="Cambria" w:cs="Times New Roman"/>
        </w:rPr>
        <w:t xml:space="preserve"> outcomes and indicators are </w:t>
      </w:r>
      <w:r w:rsidR="00183117">
        <w:rPr>
          <w:rFonts w:ascii="Cambria" w:eastAsia="Times New Roman" w:hAnsi="Cambria" w:cs="Times New Roman"/>
        </w:rPr>
        <w:t xml:space="preserve">available in the Monitoring and Evaluation Plan. </w:t>
      </w:r>
      <w:r w:rsidRPr="007A3C0E">
        <w:rPr>
          <w:rFonts w:ascii="Cambria" w:eastAsia="Times New Roman" w:hAnsi="Cambria" w:cs="Times New Roman"/>
        </w:rPr>
        <w:t xml:space="preserve"> </w:t>
      </w:r>
    </w:p>
    <w:p w14:paraId="48D31B2D" w14:textId="72592D18" w:rsidR="00B07BE7" w:rsidRDefault="00B07BE7" w:rsidP="00B07BE7">
      <w:pPr>
        <w:spacing w:after="0" w:line="259" w:lineRule="auto"/>
        <w:ind w:left="33"/>
        <w:jc w:val="both"/>
        <w:rPr>
          <w:rFonts w:ascii="Cambria" w:eastAsia="Times New Roman" w:hAnsi="Cambria" w:cs="Times New Roman"/>
        </w:rPr>
      </w:pPr>
    </w:p>
    <w:p w14:paraId="65C6634A" w14:textId="17CB3F12" w:rsidR="00B07BE7" w:rsidRPr="007A3C0E" w:rsidRDefault="00B07BE7" w:rsidP="00B07BE7">
      <w:pPr>
        <w:spacing w:after="0" w:line="259" w:lineRule="auto"/>
        <w:jc w:val="both"/>
        <w:rPr>
          <w:rFonts w:ascii="Cambria" w:eastAsia="Times New Roman" w:hAnsi="Cambria" w:cs="Times New Roman"/>
        </w:rPr>
      </w:pPr>
      <w:r w:rsidRPr="007A3C0E">
        <w:rPr>
          <w:rFonts w:ascii="Cambria" w:eastAsia="Times New Roman" w:hAnsi="Cambria" w:cs="Times New Roman"/>
        </w:rPr>
        <w:t xml:space="preserve">TASS’s program theory assumes that contribution to GoI efforts can be maximised by implementing activities in ways that have been shown to improve the uptake and use of evidence in policy. For TASS, the two key approaches are ‘thinking and working politically’ (TWP) and ‘knowledge-to-policy’ (K2P). </w:t>
      </w:r>
    </w:p>
    <w:p w14:paraId="06DBF4D7" w14:textId="6B78640B" w:rsidR="00B07BE7" w:rsidRPr="00BB2788" w:rsidRDefault="00B07BE7" w:rsidP="00B07BE7">
      <w:pPr>
        <w:pStyle w:val="Head2"/>
        <w:rPr>
          <w:rFonts w:eastAsia="Times New Roman"/>
        </w:rPr>
      </w:pPr>
      <w:bookmarkStart w:id="61" w:name="_Toc1036398"/>
      <w:bookmarkStart w:id="62" w:name="_Toc19006722"/>
      <w:r w:rsidRPr="00BB2788">
        <w:rPr>
          <w:rFonts w:eastAsia="Times New Roman"/>
        </w:rPr>
        <w:t>Results reporting</w:t>
      </w:r>
      <w:bookmarkEnd w:id="53"/>
      <w:bookmarkEnd w:id="54"/>
      <w:bookmarkEnd w:id="55"/>
      <w:bookmarkEnd w:id="56"/>
      <w:bookmarkEnd w:id="57"/>
      <w:bookmarkEnd w:id="58"/>
      <w:bookmarkEnd w:id="61"/>
      <w:bookmarkEnd w:id="62"/>
    </w:p>
    <w:p w14:paraId="05D08919" w14:textId="20822C6D" w:rsidR="00B07BE7" w:rsidRDefault="00F437B4" w:rsidP="00B07BE7">
      <w:pPr>
        <w:jc w:val="both"/>
        <w:rPr>
          <w:rFonts w:ascii="Cambria" w:hAnsi="Cambria"/>
        </w:rPr>
      </w:pPr>
      <w:r>
        <w:rPr>
          <w:rFonts w:ascii="Cambria" w:hAnsi="Cambria"/>
        </w:rPr>
        <w:t xml:space="preserve">In line with the proportional approach to TASS monitoring and evaluation, </w:t>
      </w:r>
      <w:r w:rsidR="00846C56">
        <w:rPr>
          <w:rFonts w:ascii="Cambria" w:hAnsi="Cambria"/>
        </w:rPr>
        <w:t xml:space="preserve">nine </w:t>
      </w:r>
      <w:r>
        <w:rPr>
          <w:rFonts w:ascii="Cambria" w:hAnsi="Cambria"/>
        </w:rPr>
        <w:t xml:space="preserve">activities were monitored in </w:t>
      </w:r>
      <w:r w:rsidR="00502D28">
        <w:rPr>
          <w:rFonts w:ascii="Cambria" w:hAnsi="Cambria"/>
        </w:rPr>
        <w:t>2018</w:t>
      </w:r>
      <w:r w:rsidR="00502D28">
        <w:rPr>
          <w:rStyle w:val="FootnoteReference"/>
          <w:rFonts w:ascii="Cambria" w:hAnsi="Cambria"/>
        </w:rPr>
        <w:footnoteReference w:id="11"/>
      </w:r>
      <w:r w:rsidR="00502D28">
        <w:rPr>
          <w:rFonts w:ascii="Cambria" w:hAnsi="Cambria"/>
        </w:rPr>
        <w:t xml:space="preserve">. </w:t>
      </w:r>
      <w:r w:rsidR="00B07BE7" w:rsidRPr="00E30E3F">
        <w:rPr>
          <w:rFonts w:ascii="Cambria" w:hAnsi="Cambria"/>
        </w:rPr>
        <w:t xml:space="preserve">Monitoring tasks were conducted over one week in </w:t>
      </w:r>
      <w:r w:rsidR="00513028">
        <w:rPr>
          <w:rFonts w:ascii="Cambria" w:hAnsi="Cambria"/>
        </w:rPr>
        <w:t xml:space="preserve">May, two weeks in </w:t>
      </w:r>
      <w:r w:rsidR="00B07BE7" w:rsidRPr="00E30E3F">
        <w:rPr>
          <w:rFonts w:ascii="Cambria" w:hAnsi="Cambria"/>
        </w:rPr>
        <w:t xml:space="preserve">August and one week in November. Analysis was undertaken against each of the activity monitoring plans and the results </w:t>
      </w:r>
      <w:r w:rsidR="00B07BE7" w:rsidRPr="006C04C6">
        <w:rPr>
          <w:rFonts w:ascii="Cambria" w:hAnsi="Cambria"/>
        </w:rPr>
        <w:t>framework, and the level of contribution was assessed.</w:t>
      </w:r>
      <w:r w:rsidR="00513028">
        <w:rPr>
          <w:rStyle w:val="FootnoteReference"/>
          <w:rFonts w:ascii="Cambria" w:hAnsi="Cambria"/>
        </w:rPr>
        <w:footnoteReference w:id="12"/>
      </w:r>
      <w:r w:rsidR="00B07BE7" w:rsidRPr="006C04C6">
        <w:rPr>
          <w:rFonts w:ascii="Cambria" w:hAnsi="Cambria"/>
        </w:rPr>
        <w:t xml:space="preserve"> </w:t>
      </w:r>
    </w:p>
    <w:p w14:paraId="3C8A79EC" w14:textId="77777777" w:rsidR="007131FA" w:rsidRDefault="007131FA" w:rsidP="007131FA">
      <w:pPr>
        <w:pStyle w:val="Head2"/>
        <w:rPr>
          <w:rFonts w:eastAsia="Times New Roman"/>
        </w:rPr>
      </w:pPr>
      <w:bookmarkStart w:id="63" w:name="_Toc19006723"/>
      <w:r>
        <w:rPr>
          <w:rFonts w:eastAsia="Times New Roman"/>
        </w:rPr>
        <w:t>Achievements</w:t>
      </w:r>
      <w:r w:rsidRPr="006C04C6">
        <w:rPr>
          <w:rFonts w:eastAsia="Times New Roman"/>
        </w:rPr>
        <w:t xml:space="preserve"> against the AIP PAF</w:t>
      </w:r>
      <w:bookmarkEnd w:id="63"/>
    </w:p>
    <w:p w14:paraId="2774272E" w14:textId="6829764A" w:rsidR="007131FA" w:rsidRDefault="007131FA" w:rsidP="007131FA">
      <w:pPr>
        <w:rPr>
          <w:rFonts w:ascii="Cambria" w:eastAsia="Times New Roman" w:hAnsi="Cambria" w:cs="Times New Roman"/>
          <w:lang w:val="en-AU"/>
        </w:rPr>
      </w:pPr>
      <w:r w:rsidRPr="0032741D">
        <w:rPr>
          <w:rFonts w:ascii="Cambria" w:eastAsia="Times New Roman" w:hAnsi="Cambria" w:cs="Times New Roman"/>
          <w:lang w:val="en-AU"/>
        </w:rPr>
        <w:t xml:space="preserve">TASS is contributing as expected </w:t>
      </w:r>
      <w:r w:rsidRPr="0048151E">
        <w:rPr>
          <w:rFonts w:ascii="Cambria" w:eastAsia="Times New Roman" w:hAnsi="Cambria" w:cs="Times New Roman"/>
          <w:lang w:val="en-AU"/>
        </w:rPr>
        <w:t>to DFAT’s Indonesia Aid Investment Plan Performance Assessment Framework.</w:t>
      </w:r>
      <w:r w:rsidRPr="0032741D">
        <w:rPr>
          <w:rFonts w:ascii="Cambria" w:eastAsia="Times New Roman" w:hAnsi="Cambria" w:cs="Times New Roman"/>
          <w:lang w:val="en-AU"/>
        </w:rPr>
        <w:t xml:space="preserve"> </w:t>
      </w:r>
    </w:p>
    <w:p w14:paraId="19ABE368" w14:textId="77777777" w:rsidR="00AE2B97" w:rsidRPr="0032741D" w:rsidRDefault="00AE2B97" w:rsidP="007131FA">
      <w:pPr>
        <w:rPr>
          <w:rFonts w:ascii="Cambria" w:eastAsia="Times New Roman" w:hAnsi="Cambria" w:cs="Times New Roman"/>
          <w:lang w:val="en-AU"/>
        </w:rPr>
      </w:pPr>
    </w:p>
    <w:p w14:paraId="2E0FDE63" w14:textId="3D3A52BA" w:rsidR="007131FA" w:rsidRPr="0032741D" w:rsidRDefault="007131FA" w:rsidP="007131FA">
      <w:pPr>
        <w:pStyle w:val="Caption"/>
        <w:rPr>
          <w:rFonts w:ascii="Cambria" w:eastAsia="Times New Roman" w:hAnsi="Cambria" w:cs="Times New Roman"/>
          <w:b/>
          <w:szCs w:val="24"/>
          <w:shd w:val="clear" w:color="auto" w:fill="FFFFFF"/>
          <w:lang w:val="en-AU"/>
        </w:rPr>
      </w:pPr>
      <w:bookmarkStart w:id="64" w:name="_Toc19006751"/>
      <w:r>
        <w:t xml:space="preserve">Table </w:t>
      </w:r>
      <w:r>
        <w:fldChar w:fldCharType="begin"/>
      </w:r>
      <w:r>
        <w:instrText xml:space="preserve"> SEQ Table \* ARABIC </w:instrText>
      </w:r>
      <w:r>
        <w:fldChar w:fldCharType="separate"/>
      </w:r>
      <w:r w:rsidR="00505CCA">
        <w:rPr>
          <w:noProof/>
        </w:rPr>
        <w:t>5</w:t>
      </w:r>
      <w:r>
        <w:fldChar w:fldCharType="end"/>
      </w:r>
      <w:r>
        <w:t xml:space="preserve">: </w:t>
      </w:r>
      <w:r w:rsidRPr="00FA1132">
        <w:t>Findings against the DFAT AIP PAF</w:t>
      </w:r>
      <w:bookmarkEnd w:id="64"/>
    </w:p>
    <w:tbl>
      <w:tblPr>
        <w:tblStyle w:val="ColorfulList17"/>
        <w:tblW w:w="9639" w:type="dxa"/>
        <w:tblLayout w:type="fixed"/>
        <w:tblLook w:val="04A0" w:firstRow="1" w:lastRow="0" w:firstColumn="1" w:lastColumn="0" w:noHBand="0" w:noVBand="1"/>
      </w:tblPr>
      <w:tblGrid>
        <w:gridCol w:w="2127"/>
        <w:gridCol w:w="2409"/>
        <w:gridCol w:w="5103"/>
      </w:tblGrid>
      <w:tr w:rsidR="007131FA" w:rsidRPr="0032741D" w14:paraId="76CC5BD4" w14:textId="77777777" w:rsidTr="00A66C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002060"/>
          </w:tcPr>
          <w:p w14:paraId="31D34B2A" w14:textId="77777777" w:rsidR="007131FA" w:rsidRPr="0032741D" w:rsidRDefault="007131FA" w:rsidP="00A66CC2">
            <w:pPr>
              <w:spacing w:before="120" w:after="120" w:line="240" w:lineRule="auto"/>
              <w:jc w:val="center"/>
              <w:rPr>
                <w:rFonts w:ascii="Cambria" w:eastAsia="Times New Roman" w:hAnsi="Cambria" w:cs="Times New Roman"/>
                <w:b w:val="0"/>
                <w:sz w:val="20"/>
                <w:szCs w:val="20"/>
                <w:lang w:val="en-AU"/>
              </w:rPr>
            </w:pPr>
          </w:p>
        </w:tc>
        <w:tc>
          <w:tcPr>
            <w:tcW w:w="2409" w:type="dxa"/>
            <w:shd w:val="clear" w:color="auto" w:fill="002060"/>
          </w:tcPr>
          <w:p w14:paraId="11F763E0" w14:textId="77777777" w:rsidR="007131FA" w:rsidRPr="0032741D" w:rsidRDefault="007131FA" w:rsidP="00A66CC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Milestones, Indicator</w:t>
            </w:r>
            <w:r w:rsidRPr="0032741D">
              <w:rPr>
                <w:rFonts w:ascii="Cambria" w:eastAsia="Times New Roman" w:hAnsi="Cambria" w:cs="Times New Roman"/>
                <w:b w:val="0"/>
                <w:sz w:val="20"/>
                <w:szCs w:val="20"/>
                <w:lang w:val="en-AU"/>
              </w:rPr>
              <w:t xml:space="preserve">s, </w:t>
            </w:r>
            <w:r w:rsidRPr="0032741D">
              <w:rPr>
                <w:rFonts w:ascii="Cambria" w:eastAsia="Times New Roman" w:hAnsi="Cambria" w:cs="Times New Roman"/>
                <w:sz w:val="20"/>
                <w:szCs w:val="20"/>
                <w:lang w:val="en-AU"/>
              </w:rPr>
              <w:t>Targets</w:t>
            </w:r>
          </w:p>
        </w:tc>
        <w:tc>
          <w:tcPr>
            <w:tcW w:w="5103" w:type="dxa"/>
            <w:shd w:val="clear" w:color="auto" w:fill="002060"/>
          </w:tcPr>
          <w:p w14:paraId="5ABF4524" w14:textId="77777777" w:rsidR="007131FA" w:rsidRPr="0032741D" w:rsidRDefault="007131FA" w:rsidP="00A66CC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sz w:val="20"/>
                <w:szCs w:val="20"/>
                <w:lang w:val="en-AU"/>
              </w:rPr>
            </w:pPr>
            <w:r w:rsidRPr="0032741D">
              <w:rPr>
                <w:rFonts w:ascii="Cambria" w:eastAsia="Times New Roman" w:hAnsi="Cambria" w:cs="Times New Roman"/>
                <w:sz w:val="20"/>
                <w:szCs w:val="20"/>
                <w:lang w:val="en-AU"/>
              </w:rPr>
              <w:t xml:space="preserve">Findings </w:t>
            </w:r>
          </w:p>
        </w:tc>
      </w:tr>
      <w:tr w:rsidR="007131FA" w:rsidRPr="0032741D" w14:paraId="24FEEA5D" w14:textId="77777777" w:rsidTr="00A66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tcPr>
          <w:p w14:paraId="18EBC77C" w14:textId="77777777" w:rsidR="007131FA" w:rsidRPr="0032741D" w:rsidRDefault="007131FA" w:rsidP="00A66CC2">
            <w:pPr>
              <w:spacing w:before="120" w:after="120" w:line="240" w:lineRule="auto"/>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 xml:space="preserve">Objective 2: Human development for a productive and healthy society </w:t>
            </w:r>
          </w:p>
          <w:p w14:paraId="28509014" w14:textId="77777777" w:rsidR="007131FA" w:rsidRPr="003D3D50" w:rsidRDefault="007131FA" w:rsidP="00A66CC2">
            <w:pPr>
              <w:spacing w:before="120" w:after="120" w:line="240" w:lineRule="auto"/>
              <w:rPr>
                <w:rFonts w:ascii="Cambria" w:eastAsia="Times New Roman" w:hAnsi="Cambria" w:cs="Times New Roman"/>
                <w:i/>
                <w:sz w:val="20"/>
                <w:szCs w:val="20"/>
                <w:lang w:val="en-AU"/>
              </w:rPr>
            </w:pPr>
            <w:r w:rsidRPr="003D3D50">
              <w:rPr>
                <w:rFonts w:ascii="Cambria" w:eastAsia="Times New Roman" w:hAnsi="Cambria" w:cs="Times New Roman"/>
                <w:i/>
                <w:sz w:val="20"/>
                <w:szCs w:val="20"/>
                <w:lang w:val="en-AU"/>
              </w:rPr>
              <w:t>Outcome 6: Children have improved literacy and numeracy</w:t>
            </w:r>
          </w:p>
        </w:tc>
        <w:tc>
          <w:tcPr>
            <w:tcW w:w="2409" w:type="dxa"/>
            <w:tcBorders>
              <w:top w:val="single" w:sz="4" w:space="0" w:color="auto"/>
              <w:bottom w:val="single" w:sz="4" w:space="0" w:color="auto"/>
            </w:tcBorders>
          </w:tcPr>
          <w:p w14:paraId="35B4134D" w14:textId="77777777" w:rsidR="007131FA" w:rsidRPr="0032741D"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Indonesia adopts improved systems and practices for the professional development of teachers, using evidence from pilots</w:t>
            </w:r>
          </w:p>
          <w:p w14:paraId="5855481D" w14:textId="77777777" w:rsidR="007131FA" w:rsidRPr="0032741D"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Target: N/A</w:t>
            </w:r>
          </w:p>
        </w:tc>
        <w:tc>
          <w:tcPr>
            <w:tcW w:w="5103" w:type="dxa"/>
            <w:tcBorders>
              <w:top w:val="single" w:sz="4" w:space="0" w:color="auto"/>
              <w:bottom w:val="single" w:sz="4" w:space="0" w:color="auto"/>
            </w:tcBorders>
          </w:tcPr>
          <w:p w14:paraId="5ABC63E4" w14:textId="77777777" w:rsidR="007131FA" w:rsidRPr="001E3043"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E3043">
              <w:rPr>
                <w:rFonts w:ascii="Cambria" w:hAnsi="Cambria"/>
                <w:sz w:val="20"/>
                <w:szCs w:val="20"/>
              </w:rPr>
              <w:t xml:space="preserve">A ministerial regulation was signed in December 2018 that provides the legal framework for the madrasah teacher CPD system for the whole of the ministry. This is a significant outcome becomes it gives authority to the first ever CPD system for teachers in private madrasah, which make up around 90% of the Islamic education sector. It also provides an umbrella framework that government and private providers can invest in, and being ministry-wide, makes the system available to teachers across all religious schools, not only madrasah. </w:t>
            </w:r>
          </w:p>
          <w:p w14:paraId="0850F620" w14:textId="77777777" w:rsidR="007131FA" w:rsidRPr="001E3043"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sidRPr="001E3043">
              <w:rPr>
                <w:rFonts w:ascii="Cambria" w:eastAsia="Times New Roman" w:hAnsi="Cambria" w:cs="Times New Roman"/>
                <w:sz w:val="20"/>
                <w:szCs w:val="20"/>
                <w:lang w:val="en-AU"/>
              </w:rPr>
              <w:t>MoRA has tested and revised its CPD system based on evidence generated by the 2017 pilot – for example, in 2018 MoRA devolved disbursement of CPD funds to MoRA provincial offices to ensure funds could be better targeted to respond to local needs and timing. MoRA has also adopted teacher performance appraisal as a key step in the CPD process, rolling out an android-based appraisal application in East Java in 2018 and committing to its wider use in 2019.</w:t>
            </w:r>
          </w:p>
        </w:tc>
      </w:tr>
      <w:tr w:rsidR="007131FA" w:rsidRPr="0032741D" w14:paraId="6CFC3296" w14:textId="77777777" w:rsidTr="00A66CC2">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tcPr>
          <w:p w14:paraId="6271C93A" w14:textId="77777777" w:rsidR="007131FA" w:rsidRPr="0032741D" w:rsidRDefault="007131FA" w:rsidP="00A66CC2">
            <w:pPr>
              <w:spacing w:before="120" w:after="120" w:line="240" w:lineRule="auto"/>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 xml:space="preserve">Objective 3: An inclusive society through effective governance </w:t>
            </w:r>
          </w:p>
          <w:p w14:paraId="42418EEF" w14:textId="77777777" w:rsidR="007131FA" w:rsidRPr="003D3D50" w:rsidRDefault="007131FA" w:rsidP="00A66CC2">
            <w:pPr>
              <w:spacing w:before="120" w:after="120" w:line="240" w:lineRule="auto"/>
              <w:rPr>
                <w:rFonts w:ascii="Cambria" w:eastAsia="Times New Roman" w:hAnsi="Cambria" w:cs="Times New Roman"/>
                <w:i/>
                <w:sz w:val="20"/>
                <w:szCs w:val="20"/>
                <w:lang w:val="en-AU"/>
              </w:rPr>
            </w:pPr>
            <w:r w:rsidRPr="003D3D50">
              <w:rPr>
                <w:rFonts w:ascii="Cambria" w:eastAsia="Times New Roman" w:hAnsi="Cambria" w:cs="Times New Roman"/>
                <w:i/>
                <w:sz w:val="20"/>
                <w:szCs w:val="20"/>
                <w:lang w:val="en-AU"/>
              </w:rPr>
              <w:t xml:space="preserve">Outcome 11: Public policies are informed by evidence </w:t>
            </w:r>
          </w:p>
        </w:tc>
        <w:tc>
          <w:tcPr>
            <w:tcW w:w="2409" w:type="dxa"/>
            <w:tcBorders>
              <w:top w:val="single" w:sz="4" w:space="0" w:color="auto"/>
              <w:bottom w:val="single" w:sz="4" w:space="0" w:color="auto"/>
            </w:tcBorders>
          </w:tcPr>
          <w:p w14:paraId="681550FF" w14:textId="77777777" w:rsidR="007131FA" w:rsidRPr="0032741D" w:rsidRDefault="007131FA" w:rsidP="00A66C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Lessons and evidence, including from pilots, are used to inform the national medium-term development plan (RPJMN)</w:t>
            </w:r>
          </w:p>
          <w:p w14:paraId="14D12F3D" w14:textId="77777777" w:rsidR="007131FA" w:rsidRPr="0032741D" w:rsidRDefault="007131FA" w:rsidP="00A66C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Target: N/A</w:t>
            </w:r>
          </w:p>
        </w:tc>
        <w:tc>
          <w:tcPr>
            <w:tcW w:w="5103" w:type="dxa"/>
            <w:tcBorders>
              <w:top w:val="single" w:sz="4" w:space="0" w:color="auto"/>
              <w:bottom w:val="single" w:sz="4" w:space="0" w:color="auto"/>
            </w:tcBorders>
          </w:tcPr>
          <w:p w14:paraId="380E0084" w14:textId="77777777" w:rsidR="007131FA" w:rsidRPr="0032741D" w:rsidRDefault="007131FA" w:rsidP="00A66C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 xml:space="preserve">TASS </w:t>
            </w:r>
            <w:r>
              <w:rPr>
                <w:rFonts w:ascii="Cambria" w:eastAsia="Times New Roman" w:hAnsi="Cambria" w:cs="Times New Roman"/>
                <w:sz w:val="20"/>
                <w:szCs w:val="20"/>
                <w:lang w:val="en-AU"/>
              </w:rPr>
              <w:t>support to</w:t>
            </w:r>
            <w:r w:rsidRPr="0032741D">
              <w:rPr>
                <w:rFonts w:ascii="Cambria" w:eastAsia="Times New Roman" w:hAnsi="Cambria" w:cs="Times New Roman"/>
                <w:sz w:val="20"/>
                <w:szCs w:val="20"/>
                <w:lang w:val="en-AU"/>
              </w:rPr>
              <w:t xml:space="preserve"> </w:t>
            </w:r>
            <w:r w:rsidRPr="00DE0F5C">
              <w:rPr>
                <w:rFonts w:ascii="Cambria" w:eastAsia="Times New Roman" w:hAnsi="Cambria" w:cs="Times New Roman"/>
                <w:i/>
                <w:sz w:val="20"/>
                <w:szCs w:val="20"/>
                <w:lang w:val="en-AU"/>
              </w:rPr>
              <w:t>Bappenas</w:t>
            </w:r>
            <w:r>
              <w:rPr>
                <w:rFonts w:ascii="Cambria" w:eastAsia="Times New Roman" w:hAnsi="Cambria" w:cs="Times New Roman"/>
                <w:sz w:val="20"/>
                <w:szCs w:val="20"/>
                <w:lang w:val="en-AU"/>
              </w:rPr>
              <w:t>’ Education Sector Review</w:t>
            </w:r>
            <w:r w:rsidRPr="0032741D">
              <w:rPr>
                <w:rFonts w:ascii="Cambria" w:eastAsia="Times New Roman" w:hAnsi="Cambria" w:cs="Times New Roman"/>
                <w:sz w:val="20"/>
                <w:szCs w:val="20"/>
                <w:lang w:val="en-AU"/>
              </w:rPr>
              <w:t xml:space="preserve"> </w:t>
            </w:r>
            <w:r>
              <w:rPr>
                <w:rFonts w:ascii="Cambria" w:eastAsia="Times New Roman" w:hAnsi="Cambria" w:cs="Times New Roman"/>
                <w:sz w:val="20"/>
                <w:szCs w:val="20"/>
                <w:lang w:val="en-AU"/>
              </w:rPr>
              <w:t xml:space="preserve">provided </w:t>
            </w:r>
            <w:r w:rsidRPr="00DE0F5C">
              <w:rPr>
                <w:rFonts w:ascii="Cambria" w:eastAsia="Times New Roman" w:hAnsi="Cambria" w:cs="Times New Roman"/>
                <w:i/>
                <w:sz w:val="20"/>
                <w:szCs w:val="20"/>
                <w:lang w:val="en-AU"/>
              </w:rPr>
              <w:t xml:space="preserve">Bappenas </w:t>
            </w:r>
            <w:r>
              <w:rPr>
                <w:rFonts w:ascii="Cambria" w:eastAsia="Times New Roman" w:hAnsi="Cambria" w:cs="Times New Roman"/>
                <w:sz w:val="20"/>
                <w:szCs w:val="20"/>
                <w:lang w:val="en-AU"/>
              </w:rPr>
              <w:t>with</w:t>
            </w:r>
            <w:r w:rsidRPr="0032741D">
              <w:rPr>
                <w:rFonts w:ascii="Cambria" w:eastAsia="Times New Roman" w:hAnsi="Cambria" w:cs="Times New Roman"/>
                <w:sz w:val="20"/>
                <w:szCs w:val="20"/>
                <w:lang w:val="en-AU"/>
              </w:rPr>
              <w:t xml:space="preserve"> a range of evidence-based studies, including studies </w:t>
            </w:r>
            <w:r>
              <w:rPr>
                <w:rFonts w:ascii="Cambria" w:eastAsia="Times New Roman" w:hAnsi="Cambria" w:cs="Times New Roman"/>
                <w:sz w:val="20"/>
                <w:szCs w:val="20"/>
                <w:lang w:val="en-AU"/>
              </w:rPr>
              <w:t>commissioned</w:t>
            </w:r>
            <w:r w:rsidRPr="0032741D">
              <w:rPr>
                <w:rFonts w:ascii="Cambria" w:eastAsia="Times New Roman" w:hAnsi="Cambria" w:cs="Times New Roman"/>
                <w:sz w:val="20"/>
                <w:szCs w:val="20"/>
                <w:lang w:val="en-AU"/>
              </w:rPr>
              <w:t xml:space="preserve"> as part of the ESR activity, information from other TASS activities, studies undertaken by other development partners, and information </w:t>
            </w:r>
            <w:r>
              <w:rPr>
                <w:rFonts w:ascii="Cambria" w:eastAsia="Times New Roman" w:hAnsi="Cambria" w:cs="Times New Roman"/>
                <w:sz w:val="20"/>
                <w:szCs w:val="20"/>
                <w:lang w:val="en-AU"/>
              </w:rPr>
              <w:t xml:space="preserve">derived </w:t>
            </w:r>
            <w:r w:rsidRPr="0032741D">
              <w:rPr>
                <w:rFonts w:ascii="Cambria" w:eastAsia="Times New Roman" w:hAnsi="Cambria" w:cs="Times New Roman"/>
                <w:sz w:val="20"/>
                <w:szCs w:val="20"/>
                <w:lang w:val="en-AU"/>
              </w:rPr>
              <w:t xml:space="preserve">from </w:t>
            </w:r>
            <w:r>
              <w:rPr>
                <w:rFonts w:ascii="Cambria" w:eastAsia="Times New Roman" w:hAnsi="Cambria" w:cs="Times New Roman"/>
                <w:sz w:val="20"/>
                <w:szCs w:val="20"/>
                <w:lang w:val="en-AU"/>
              </w:rPr>
              <w:t xml:space="preserve">consultations with education </w:t>
            </w:r>
            <w:r w:rsidRPr="0032741D">
              <w:rPr>
                <w:rFonts w:ascii="Cambria" w:eastAsia="Times New Roman" w:hAnsi="Cambria" w:cs="Times New Roman"/>
                <w:sz w:val="20"/>
                <w:szCs w:val="20"/>
                <w:lang w:val="en-AU"/>
              </w:rPr>
              <w:t xml:space="preserve">stakeholders and external influencers.  </w:t>
            </w:r>
          </w:p>
          <w:p w14:paraId="0C369B21" w14:textId="77777777" w:rsidR="007131FA" w:rsidRDefault="007131FA" w:rsidP="00A66C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Pr>
                <w:rFonts w:ascii="Cambria" w:eastAsia="Times New Roman" w:hAnsi="Cambria" w:cs="Times New Roman"/>
                <w:sz w:val="20"/>
                <w:szCs w:val="20"/>
                <w:lang w:val="en-AU"/>
              </w:rPr>
              <w:t>The ESR iteratively informed</w:t>
            </w:r>
            <w:r w:rsidRPr="0032741D">
              <w:rPr>
                <w:rFonts w:ascii="Cambria" w:eastAsia="Times New Roman" w:hAnsi="Cambria" w:cs="Times New Roman"/>
                <w:sz w:val="20"/>
                <w:szCs w:val="20"/>
                <w:lang w:val="en-AU"/>
              </w:rPr>
              <w:t xml:space="preserve"> the RPJMN. </w:t>
            </w:r>
            <w:r w:rsidRPr="00DE0F5C">
              <w:rPr>
                <w:rFonts w:ascii="Cambria" w:eastAsia="Times New Roman" w:hAnsi="Cambria" w:cs="Times New Roman"/>
                <w:i/>
                <w:sz w:val="20"/>
                <w:szCs w:val="20"/>
                <w:lang w:val="en-AU"/>
              </w:rPr>
              <w:t>Bappenas</w:t>
            </w:r>
            <w:r w:rsidRPr="003D3D50">
              <w:rPr>
                <w:rFonts w:ascii="Cambria" w:eastAsia="Times New Roman" w:hAnsi="Cambria" w:cs="Times New Roman"/>
                <w:sz w:val="20"/>
                <w:szCs w:val="20"/>
                <w:lang w:val="en-AU"/>
              </w:rPr>
              <w:t xml:space="preserve"> reported that the various ESR analyses gave them new perspectives that gave them greater depth and understanding of longstanding issues. Senior and middle managers in </w:t>
            </w:r>
            <w:r w:rsidRPr="00DE0F5C">
              <w:rPr>
                <w:rFonts w:ascii="Cambria" w:eastAsia="Times New Roman" w:hAnsi="Cambria" w:cs="Times New Roman"/>
                <w:i/>
                <w:sz w:val="20"/>
                <w:szCs w:val="20"/>
                <w:lang w:val="en-AU"/>
              </w:rPr>
              <w:t>Bappenas</w:t>
            </w:r>
            <w:r w:rsidRPr="003D3D50">
              <w:rPr>
                <w:rFonts w:ascii="Cambria" w:eastAsia="Times New Roman" w:hAnsi="Cambria" w:cs="Times New Roman"/>
                <w:sz w:val="20"/>
                <w:szCs w:val="20"/>
                <w:lang w:val="en-AU"/>
              </w:rPr>
              <w:t xml:space="preserve"> have reportedly used the evidence in presentations, clearly articulating the new nuances related to the key issues and directions.</w:t>
            </w:r>
            <w:r>
              <w:rPr>
                <w:rFonts w:ascii="Cambria" w:eastAsia="Times New Roman" w:hAnsi="Cambria" w:cs="Times New Roman"/>
                <w:sz w:val="20"/>
                <w:szCs w:val="20"/>
                <w:lang w:val="en-AU"/>
              </w:rPr>
              <w:t xml:space="preserve"> </w:t>
            </w:r>
          </w:p>
          <w:p w14:paraId="25E9E5EE" w14:textId="77777777" w:rsidR="007131FA" w:rsidRPr="003D3D50" w:rsidRDefault="007131FA" w:rsidP="00A66C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sidRPr="003D3D50">
              <w:rPr>
                <w:rFonts w:ascii="Cambria" w:eastAsia="Times New Roman" w:hAnsi="Cambria" w:cs="Times New Roman"/>
                <w:sz w:val="20"/>
                <w:szCs w:val="20"/>
                <w:lang w:val="en-AU"/>
              </w:rPr>
              <w:t xml:space="preserve">It is apparent that key stakeholders from relevant ministries agreed on key directions, with each of them having been heard to quote ESR evidence and the directions at different events. </w:t>
            </w:r>
          </w:p>
          <w:p w14:paraId="1926A3FF" w14:textId="77777777" w:rsidR="007131FA" w:rsidRDefault="007131FA" w:rsidP="00A66C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Pr>
                <w:rFonts w:ascii="Cambria" w:eastAsia="Times New Roman" w:hAnsi="Cambria" w:cs="Times New Roman"/>
                <w:sz w:val="20"/>
                <w:szCs w:val="20"/>
                <w:lang w:val="en-AU"/>
              </w:rPr>
              <w:t xml:space="preserve">It is also evident that </w:t>
            </w:r>
            <w:r w:rsidRPr="00DE0F5C">
              <w:rPr>
                <w:rFonts w:ascii="Cambria" w:eastAsia="Times New Roman" w:hAnsi="Cambria" w:cs="Times New Roman"/>
                <w:i/>
                <w:sz w:val="20"/>
                <w:szCs w:val="20"/>
                <w:lang w:val="en-AU"/>
              </w:rPr>
              <w:t>Bappenas</w:t>
            </w:r>
            <w:r>
              <w:rPr>
                <w:rFonts w:ascii="Cambria" w:eastAsia="Times New Roman" w:hAnsi="Cambria" w:cs="Times New Roman"/>
                <w:sz w:val="20"/>
                <w:szCs w:val="20"/>
                <w:lang w:val="en-AU"/>
              </w:rPr>
              <w:t xml:space="preserve"> was drawing on the ESR to write the technocractic draft of the RPJMN.</w:t>
            </w:r>
          </w:p>
          <w:p w14:paraId="7A6E1A84" w14:textId="77777777" w:rsidR="007131FA" w:rsidRPr="0032741D" w:rsidRDefault="007131FA" w:rsidP="00A66CC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AU"/>
              </w:rPr>
            </w:pPr>
            <w:r w:rsidRPr="003D3D50">
              <w:rPr>
                <w:rFonts w:ascii="Cambria" w:eastAsia="Times New Roman" w:hAnsi="Cambria" w:cs="Times New Roman"/>
                <w:sz w:val="20"/>
                <w:szCs w:val="20"/>
                <w:lang w:val="en-AU"/>
              </w:rPr>
              <w:t xml:space="preserve">While key priorities between the 2015-19 and 2020-24 are likely to largely remain the same, improving learning outcomes has become more prominent as a key priority for 2020-24. In relation to this, </w:t>
            </w:r>
            <w:r w:rsidRPr="00DE0F5C">
              <w:rPr>
                <w:rFonts w:ascii="Cambria" w:eastAsia="Times New Roman" w:hAnsi="Cambria" w:cs="Times New Roman"/>
                <w:i/>
                <w:sz w:val="20"/>
                <w:szCs w:val="20"/>
                <w:lang w:val="en-AU"/>
              </w:rPr>
              <w:t>Bappenas</w:t>
            </w:r>
            <w:r w:rsidRPr="003D3D50">
              <w:rPr>
                <w:rFonts w:ascii="Cambria" w:eastAsia="Times New Roman" w:hAnsi="Cambria" w:cs="Times New Roman"/>
                <w:sz w:val="20"/>
                <w:szCs w:val="20"/>
                <w:lang w:val="en-AU"/>
              </w:rPr>
              <w:t xml:space="preserve"> reported that TASS helped them create sensible targets and indicators to measure the quality of education. TASS’ support also helped achieve an agreed set of indicators between the SDGs and the RPJMN and MoEC </w:t>
            </w:r>
            <w:r w:rsidRPr="006B1034">
              <w:rPr>
                <w:rFonts w:ascii="Cambria" w:eastAsia="Times New Roman" w:hAnsi="Cambria" w:cs="Times New Roman"/>
                <w:i/>
                <w:sz w:val="20"/>
                <w:szCs w:val="20"/>
                <w:lang w:val="en-AU"/>
              </w:rPr>
              <w:t>Renstra</w:t>
            </w:r>
            <w:r w:rsidRPr="003D3D50">
              <w:rPr>
                <w:rFonts w:ascii="Cambria" w:eastAsia="Times New Roman" w:hAnsi="Cambria" w:cs="Times New Roman"/>
                <w:sz w:val="20"/>
                <w:szCs w:val="20"/>
                <w:lang w:val="en-AU"/>
              </w:rPr>
              <w:t>.</w:t>
            </w:r>
          </w:p>
        </w:tc>
      </w:tr>
      <w:tr w:rsidR="007131FA" w:rsidRPr="0032741D" w14:paraId="3DF3D4AB" w14:textId="77777777" w:rsidTr="00A66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tcPr>
          <w:p w14:paraId="222D8F6B" w14:textId="77777777" w:rsidR="007131FA" w:rsidRPr="0032741D" w:rsidRDefault="007131FA" w:rsidP="00A66CC2">
            <w:pPr>
              <w:spacing w:before="120" w:after="120" w:line="240" w:lineRule="auto"/>
              <w:rPr>
                <w:rFonts w:ascii="Cambria" w:eastAsia="Times New Roman" w:hAnsi="Cambria" w:cs="Times New Roman"/>
                <w:sz w:val="20"/>
                <w:szCs w:val="20"/>
                <w:lang w:val="en-AU"/>
              </w:rPr>
            </w:pPr>
            <w:r>
              <w:rPr>
                <w:rFonts w:ascii="Cambria" w:eastAsia="Times New Roman" w:hAnsi="Cambria" w:cs="Times New Roman"/>
                <w:sz w:val="20"/>
                <w:szCs w:val="20"/>
                <w:lang w:val="en-AU"/>
              </w:rPr>
              <w:t xml:space="preserve">AIP </w:t>
            </w:r>
            <w:r w:rsidRPr="0032741D">
              <w:rPr>
                <w:rFonts w:ascii="Cambria" w:eastAsia="Times New Roman" w:hAnsi="Cambria" w:cs="Times New Roman"/>
                <w:sz w:val="20"/>
                <w:szCs w:val="20"/>
                <w:lang w:val="en-AU"/>
              </w:rPr>
              <w:t xml:space="preserve">High Level Policy Indicators </w:t>
            </w:r>
          </w:p>
        </w:tc>
        <w:tc>
          <w:tcPr>
            <w:tcW w:w="2409" w:type="dxa"/>
            <w:tcBorders>
              <w:top w:val="single" w:sz="4" w:space="0" w:color="auto"/>
              <w:bottom w:val="single" w:sz="4" w:space="0" w:color="auto"/>
            </w:tcBorders>
          </w:tcPr>
          <w:p w14:paraId="48E3B724" w14:textId="77777777" w:rsidR="007131FA" w:rsidRPr="0032741D"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 xml:space="preserve">Indicator #1: A/m of additional financing co-invested in development </w:t>
            </w:r>
          </w:p>
          <w:p w14:paraId="62F5AD8D" w14:textId="77777777" w:rsidR="007131FA" w:rsidRPr="0032741D"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Target: AUD 2 million</w:t>
            </w:r>
          </w:p>
        </w:tc>
        <w:tc>
          <w:tcPr>
            <w:tcW w:w="5103" w:type="dxa"/>
            <w:tcBorders>
              <w:top w:val="single" w:sz="4" w:space="0" w:color="auto"/>
              <w:bottom w:val="single" w:sz="4" w:space="0" w:color="auto"/>
            </w:tcBorders>
          </w:tcPr>
          <w:p w14:paraId="060FF363" w14:textId="549AE4EC" w:rsidR="007131FA" w:rsidRPr="0032741D"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 xml:space="preserve">MoEC invested in </w:t>
            </w:r>
            <w:r>
              <w:rPr>
                <w:rFonts w:ascii="Cambria" w:eastAsia="Times New Roman" w:hAnsi="Cambria" w:cs="Times New Roman"/>
                <w:sz w:val="20"/>
                <w:szCs w:val="20"/>
                <w:lang w:val="en-AU"/>
              </w:rPr>
              <w:t xml:space="preserve">recruiting </w:t>
            </w:r>
            <w:r w:rsidRPr="0032741D">
              <w:rPr>
                <w:rFonts w:ascii="Cambria" w:eastAsia="Times New Roman" w:hAnsi="Cambria" w:cs="Times New Roman"/>
                <w:sz w:val="20"/>
                <w:szCs w:val="20"/>
                <w:lang w:val="en-AU"/>
              </w:rPr>
              <w:t>an additional 100,000 teachers and IDR 1.2 trillion in a performance-based BOS</w:t>
            </w:r>
            <w:r w:rsidR="002C05DB">
              <w:rPr>
                <w:rFonts w:ascii="Cambria" w:eastAsia="Times New Roman" w:hAnsi="Cambria" w:cs="Times New Roman"/>
                <w:sz w:val="20"/>
                <w:szCs w:val="20"/>
                <w:lang w:val="en-AU"/>
              </w:rPr>
              <w:t xml:space="preserve">. Justification for the decisions drew on </w:t>
            </w:r>
            <w:r w:rsidRPr="0032741D">
              <w:rPr>
                <w:rFonts w:ascii="Cambria" w:eastAsia="Times New Roman" w:hAnsi="Cambria" w:cs="Times New Roman"/>
                <w:sz w:val="20"/>
                <w:szCs w:val="20"/>
                <w:lang w:val="en-AU"/>
              </w:rPr>
              <w:t>comprehensive data analyses</w:t>
            </w:r>
            <w:r>
              <w:rPr>
                <w:rFonts w:ascii="Cambria" w:eastAsia="Times New Roman" w:hAnsi="Cambria" w:cs="Times New Roman"/>
                <w:sz w:val="20"/>
                <w:szCs w:val="20"/>
                <w:lang w:val="en-AU"/>
              </w:rPr>
              <w:t xml:space="preserve"> supported by TASS</w:t>
            </w:r>
            <w:r w:rsidRPr="0032741D">
              <w:rPr>
                <w:rFonts w:ascii="Cambria" w:eastAsia="Times New Roman" w:hAnsi="Cambria" w:cs="Times New Roman"/>
                <w:sz w:val="20"/>
                <w:szCs w:val="20"/>
                <w:lang w:val="en-AU"/>
              </w:rPr>
              <w:t xml:space="preserve">. </w:t>
            </w:r>
          </w:p>
          <w:p w14:paraId="2CF8C56D" w14:textId="77777777" w:rsidR="007131FA" w:rsidRPr="0032741D"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sidRPr="0032741D">
              <w:rPr>
                <w:rFonts w:ascii="Cambria" w:eastAsia="Times New Roman" w:hAnsi="Cambria" w:cs="Times New Roman"/>
                <w:sz w:val="20"/>
                <w:szCs w:val="20"/>
                <w:lang w:val="en-AU"/>
              </w:rPr>
              <w:t xml:space="preserve">An additional IDR 3.5 billion (MoRA) and IDR 1.5 billion (East Java province) </w:t>
            </w:r>
            <w:r>
              <w:rPr>
                <w:rFonts w:ascii="Cambria" w:eastAsia="Times New Roman" w:hAnsi="Cambria" w:cs="Times New Roman"/>
                <w:sz w:val="20"/>
                <w:szCs w:val="20"/>
                <w:lang w:val="en-AU"/>
              </w:rPr>
              <w:t>was</w:t>
            </w:r>
            <w:r w:rsidRPr="0032741D">
              <w:rPr>
                <w:rFonts w:ascii="Cambria" w:eastAsia="Times New Roman" w:hAnsi="Cambria" w:cs="Times New Roman"/>
                <w:sz w:val="20"/>
                <w:szCs w:val="20"/>
                <w:lang w:val="en-AU"/>
              </w:rPr>
              <w:t xml:space="preserve"> invested in CPD</w:t>
            </w:r>
            <w:r>
              <w:rPr>
                <w:rFonts w:ascii="Cambria" w:eastAsia="Times New Roman" w:hAnsi="Cambria" w:cs="Times New Roman"/>
                <w:sz w:val="20"/>
                <w:szCs w:val="20"/>
                <w:lang w:val="en-AU"/>
              </w:rPr>
              <w:t xml:space="preserve"> in </w:t>
            </w:r>
            <w:r w:rsidRPr="00DE0F5C">
              <w:rPr>
                <w:rFonts w:ascii="Cambria" w:eastAsia="Times New Roman" w:hAnsi="Cambria" w:cs="Times New Roman"/>
                <w:sz w:val="20"/>
                <w:szCs w:val="20"/>
                <w:lang w:val="en-AU"/>
              </w:rPr>
              <w:t>MoRA’s 2019 budget – around A$490,000 in total. This includes</w:t>
            </w:r>
            <w:r>
              <w:rPr>
                <w:rFonts w:ascii="Cambria" w:eastAsia="Times New Roman" w:hAnsi="Cambria" w:cs="Times New Roman"/>
                <w:sz w:val="20"/>
                <w:szCs w:val="20"/>
                <w:lang w:val="en-AU"/>
              </w:rPr>
              <w:t xml:space="preserve"> funding for </w:t>
            </w:r>
            <w:r w:rsidRPr="00246A9E">
              <w:rPr>
                <w:rFonts w:ascii="Cambria" w:eastAsia="Times New Roman" w:hAnsi="Cambria" w:cs="Times New Roman"/>
                <w:sz w:val="20"/>
                <w:szCs w:val="20"/>
                <w:lang w:val="en-AU"/>
              </w:rPr>
              <w:t>100 packages of IDR 50 million for KKG/MGMP to implement CPD at local levels.</w:t>
            </w:r>
          </w:p>
          <w:p w14:paraId="5EBAC3BB" w14:textId="77777777" w:rsidR="007131FA" w:rsidRPr="0032741D" w:rsidRDefault="007131FA" w:rsidP="00A66CC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AU"/>
              </w:rPr>
            </w:pPr>
            <w:r>
              <w:rPr>
                <w:rFonts w:ascii="Cambria" w:eastAsia="Times New Roman" w:hAnsi="Cambria" w:cs="Times New Roman"/>
                <w:sz w:val="20"/>
                <w:szCs w:val="20"/>
                <w:lang w:val="en-AU"/>
              </w:rPr>
              <w:t>The amount was less than expected, with a presidential instruction to ensure all teachers’ various allowances are paid up to date consuming most of the Directorate of Teacher and Education Personnel budget.</w:t>
            </w:r>
          </w:p>
        </w:tc>
      </w:tr>
    </w:tbl>
    <w:p w14:paraId="4E328800" w14:textId="77777777" w:rsidR="007131FA" w:rsidRPr="0032741D" w:rsidRDefault="007131FA" w:rsidP="007131FA">
      <w:pPr>
        <w:rPr>
          <w:rFonts w:ascii="Cambria" w:eastAsia="Times New Roman" w:hAnsi="Cambria" w:cs="Times New Roman"/>
          <w:lang w:val="en-AU"/>
        </w:rPr>
      </w:pPr>
    </w:p>
    <w:p w14:paraId="039846B7" w14:textId="1683526D" w:rsidR="007131FA" w:rsidRDefault="007131FA" w:rsidP="00AE2B97">
      <w:pPr>
        <w:pStyle w:val="Head2"/>
        <w:rPr>
          <w:rFonts w:eastAsia="Times New Roman"/>
        </w:rPr>
      </w:pPr>
      <w:bookmarkStart w:id="65" w:name="_Toc19006724"/>
      <w:r>
        <w:rPr>
          <w:rFonts w:eastAsia="Times New Roman"/>
        </w:rPr>
        <w:t>Achievements</w:t>
      </w:r>
      <w:r w:rsidRPr="006C04C6">
        <w:rPr>
          <w:rFonts w:eastAsia="Times New Roman"/>
        </w:rPr>
        <w:t xml:space="preserve"> against the </w:t>
      </w:r>
      <w:r>
        <w:rPr>
          <w:rFonts w:eastAsia="Times New Roman"/>
        </w:rPr>
        <w:t>E</w:t>
      </w:r>
      <w:r w:rsidR="00EA19E9">
        <w:rPr>
          <w:rFonts w:eastAsia="Times New Roman"/>
        </w:rPr>
        <w:t xml:space="preserve">ducation </w:t>
      </w:r>
      <w:r>
        <w:rPr>
          <w:rFonts w:eastAsia="Times New Roman"/>
        </w:rPr>
        <w:t>S</w:t>
      </w:r>
      <w:r w:rsidR="00EA19E9">
        <w:rPr>
          <w:rFonts w:eastAsia="Times New Roman"/>
        </w:rPr>
        <w:t xml:space="preserve">ector </w:t>
      </w:r>
      <w:r w:rsidRPr="006C04C6">
        <w:rPr>
          <w:rFonts w:eastAsia="Times New Roman"/>
        </w:rPr>
        <w:t>I</w:t>
      </w:r>
      <w:r w:rsidR="00EA19E9">
        <w:rPr>
          <w:rFonts w:eastAsia="Times New Roman"/>
        </w:rPr>
        <w:t xml:space="preserve">nvestment </w:t>
      </w:r>
      <w:r w:rsidRPr="006C04C6">
        <w:rPr>
          <w:rFonts w:eastAsia="Times New Roman"/>
        </w:rPr>
        <w:t>P</w:t>
      </w:r>
      <w:r w:rsidR="00EA19E9">
        <w:rPr>
          <w:rFonts w:eastAsia="Times New Roman"/>
        </w:rPr>
        <w:t>lan (ESIP)</w:t>
      </w:r>
      <w:r w:rsidRPr="006C04C6">
        <w:rPr>
          <w:rFonts w:eastAsia="Times New Roman"/>
        </w:rPr>
        <w:t xml:space="preserve"> PAF</w:t>
      </w:r>
      <w:bookmarkEnd w:id="65"/>
    </w:p>
    <w:p w14:paraId="03DD7E60" w14:textId="77777777" w:rsidR="007131FA" w:rsidRDefault="007131FA" w:rsidP="007131FA">
      <w:pPr>
        <w:pStyle w:val="Body"/>
      </w:pPr>
      <w:r>
        <w:t xml:space="preserve">ESIP indicators were released in January 2019 with reporting due in May 2019. Data is currently being collected against the ESIP and will be reported separately. </w:t>
      </w:r>
    </w:p>
    <w:p w14:paraId="3E6F9CC3" w14:textId="77777777" w:rsidR="00A93502" w:rsidRPr="006C04C6" w:rsidRDefault="00A93502" w:rsidP="00C252C1">
      <w:pPr>
        <w:pStyle w:val="Head2"/>
        <w:rPr>
          <w:rFonts w:eastAsia="Times New Roman"/>
        </w:rPr>
      </w:pPr>
      <w:bookmarkStart w:id="66" w:name="_Toc19006725"/>
      <w:r>
        <w:rPr>
          <w:rFonts w:eastAsia="Times New Roman"/>
        </w:rPr>
        <w:t>Achievements</w:t>
      </w:r>
      <w:r w:rsidRPr="006C04C6">
        <w:rPr>
          <w:rFonts w:eastAsia="Times New Roman"/>
        </w:rPr>
        <w:t xml:space="preserve"> against the TASS results framework</w:t>
      </w:r>
      <w:bookmarkEnd w:id="66"/>
    </w:p>
    <w:p w14:paraId="5ADDC98B" w14:textId="77777777" w:rsidR="00A93502" w:rsidRDefault="00A93502" w:rsidP="00A93502">
      <w:pPr>
        <w:pStyle w:val="Body"/>
      </w:pPr>
      <w:r>
        <w:t>The program has</w:t>
      </w:r>
      <w:r w:rsidRPr="004F1CBC">
        <w:t xml:space="preserve"> continue</w:t>
      </w:r>
      <w:r>
        <w:t>d</w:t>
      </w:r>
      <w:r w:rsidRPr="004F1CBC">
        <w:t xml:space="preserve"> to perform better than expected at all levels of the results framework. All activities have had a strong line-of-sight to the EOFOs, have focused on contextually-specific problems and offered up practical solutions that are</w:t>
      </w:r>
      <w:r>
        <w:t xml:space="preserve"> feasible, useful and relevant. </w:t>
      </w:r>
      <w:r w:rsidRPr="004F1CBC">
        <w:t xml:space="preserve">Intermediate outcomes have been achieved, with a ‘better than expected’ result for instrumental use and improved policy processes. In other words, there is an excellent level of uptake and use of TASS services and products, which is a necessary precondition for the end-of-facility outcomes. Not only is TASS investing its limited resources wisely, it is maximising the potential influence of these brief, short-term activities. </w:t>
      </w:r>
    </w:p>
    <w:p w14:paraId="0989B822" w14:textId="77777777" w:rsidR="00A93502" w:rsidRPr="0048151E" w:rsidRDefault="00A93502" w:rsidP="00A93502">
      <w:pPr>
        <w:pStyle w:val="Body"/>
      </w:pPr>
      <w:r>
        <w:t xml:space="preserve">Although a well-targeted investment, activity IDTAS-G014 is the only activity that has not yet demonstrated achievement against intermediate outcomes due to performance issues </w:t>
      </w:r>
      <w:r w:rsidRPr="00502D28">
        <w:t xml:space="preserve">described in </w:t>
      </w:r>
      <w:r w:rsidRPr="0048151E">
        <w:t>Section 3.</w:t>
      </w:r>
    </w:p>
    <w:p w14:paraId="0369B3A4" w14:textId="137882F3" w:rsidR="00A93502" w:rsidRDefault="00A93502" w:rsidP="00A93502">
      <w:pPr>
        <w:pStyle w:val="Body"/>
      </w:pPr>
      <w:r w:rsidRPr="0048151E">
        <w:t xml:space="preserve">Table </w:t>
      </w:r>
      <w:r w:rsidR="000D5CC7" w:rsidRPr="0048151E">
        <w:t xml:space="preserve">5 </w:t>
      </w:r>
      <w:r w:rsidRPr="0048151E">
        <w:t>below</w:t>
      </w:r>
      <w:r>
        <w:t xml:space="preserve"> presents a summary of results against each level of the program logic.</w:t>
      </w:r>
      <w:r w:rsidR="00846C56">
        <w:t xml:space="preserve"> Detailed reporting on each activity monitored is provided </w:t>
      </w:r>
      <w:r w:rsidR="0095730E" w:rsidRPr="0095730E">
        <w:t>in the 2018 Monitoring Report.</w:t>
      </w:r>
    </w:p>
    <w:p w14:paraId="38FD53F8" w14:textId="3B9BD18E" w:rsidR="000D5CC7" w:rsidRDefault="000D5CC7" w:rsidP="00C252C1">
      <w:pPr>
        <w:pStyle w:val="Caption"/>
      </w:pPr>
      <w:bookmarkStart w:id="67" w:name="_Toc19006752"/>
      <w:r>
        <w:t xml:space="preserve">Table </w:t>
      </w:r>
      <w:r>
        <w:fldChar w:fldCharType="begin"/>
      </w:r>
      <w:r>
        <w:instrText xml:space="preserve"> SEQ Table \* ARABIC </w:instrText>
      </w:r>
      <w:r>
        <w:fldChar w:fldCharType="separate"/>
      </w:r>
      <w:r w:rsidR="00505CCA">
        <w:rPr>
          <w:noProof/>
        </w:rPr>
        <w:t>6</w:t>
      </w:r>
      <w:r>
        <w:fldChar w:fldCharType="end"/>
      </w:r>
      <w:r>
        <w:t>: Summary of results against the program logic</w:t>
      </w:r>
      <w:bookmarkEnd w:id="67"/>
    </w:p>
    <w:tbl>
      <w:tblPr>
        <w:tblStyle w:val="ColorfulList1"/>
        <w:tblW w:w="5000" w:type="pct"/>
        <w:tblLook w:val="04A0" w:firstRow="1" w:lastRow="0" w:firstColumn="1" w:lastColumn="0" w:noHBand="0" w:noVBand="1"/>
      </w:tblPr>
      <w:tblGrid>
        <w:gridCol w:w="2333"/>
        <w:gridCol w:w="3421"/>
        <w:gridCol w:w="3884"/>
      </w:tblGrid>
      <w:tr w:rsidR="00A93502" w14:paraId="258EDDA3" w14:textId="77777777" w:rsidTr="002234FB">
        <w:trPr>
          <w:cnfStyle w:val="100000000000" w:firstRow="1" w:lastRow="0" w:firstColumn="0" w:lastColumn="0" w:oddVBand="0" w:evenVBand="0" w:oddHBand="0" w:evenHBand="0" w:firstRowFirstColumn="0" w:firstRowLastColumn="0" w:lastRowFirstColumn="0" w:lastRowLastColumn="0"/>
          <w:trHeight w:val="304"/>
          <w:tblHeader/>
        </w:trPr>
        <w:tc>
          <w:tcPr>
            <w:cnfStyle w:val="001000000000" w:firstRow="0" w:lastRow="0" w:firstColumn="1" w:lastColumn="0" w:oddVBand="0" w:evenVBand="0" w:oddHBand="0" w:evenHBand="0" w:firstRowFirstColumn="0" w:firstRowLastColumn="0" w:lastRowFirstColumn="0" w:lastRowLastColumn="0"/>
            <w:tcW w:w="1210" w:type="pct"/>
            <w:tcBorders>
              <w:bottom w:val="none" w:sz="0" w:space="0" w:color="auto"/>
              <w:right w:val="single" w:sz="8" w:space="0" w:color="FFFFFF" w:themeColor="background1"/>
            </w:tcBorders>
            <w:shd w:val="clear" w:color="auto" w:fill="002060"/>
            <w:vAlign w:val="center"/>
          </w:tcPr>
          <w:p w14:paraId="091D5267" w14:textId="77777777" w:rsidR="00A93502" w:rsidRPr="00EF185E" w:rsidRDefault="00A93502" w:rsidP="002234FB">
            <w:pPr>
              <w:spacing w:before="120" w:after="120"/>
              <w:jc w:val="center"/>
              <w:rPr>
                <w:rFonts w:ascii="Cambria" w:hAnsi="Cambria"/>
                <w:b w:val="0"/>
                <w:sz w:val="20"/>
                <w:szCs w:val="20"/>
              </w:rPr>
            </w:pPr>
            <w:r w:rsidRPr="00EF185E">
              <w:rPr>
                <w:rFonts w:ascii="Cambria" w:hAnsi="Cambria"/>
                <w:b w:val="0"/>
                <w:sz w:val="20"/>
                <w:szCs w:val="20"/>
              </w:rPr>
              <w:t>Result area</w:t>
            </w:r>
          </w:p>
        </w:tc>
        <w:tc>
          <w:tcPr>
            <w:tcW w:w="1775" w:type="pct"/>
            <w:tcBorders>
              <w:left w:val="single" w:sz="8" w:space="0" w:color="FFFFFF" w:themeColor="background1"/>
              <w:bottom w:val="none" w:sz="0" w:space="0" w:color="auto"/>
              <w:right w:val="single" w:sz="8" w:space="0" w:color="FFFFFF" w:themeColor="background1"/>
            </w:tcBorders>
            <w:shd w:val="clear" w:color="auto" w:fill="002060"/>
            <w:vAlign w:val="center"/>
          </w:tcPr>
          <w:p w14:paraId="44EEF942" w14:textId="77777777" w:rsidR="00A93502" w:rsidRPr="0069474F" w:rsidRDefault="00A93502" w:rsidP="002234FB">
            <w:pPr>
              <w:pStyle w:val="Contenttext"/>
              <w:spacing w:before="120" w:after="120"/>
              <w:jc w:val="center"/>
              <w:cnfStyle w:val="100000000000" w:firstRow="1" w:lastRow="0" w:firstColumn="0" w:lastColumn="0" w:oddVBand="0" w:evenVBand="0" w:oddHBand="0" w:evenHBand="0" w:firstRowFirstColumn="0" w:firstRowLastColumn="0" w:lastRowFirstColumn="0" w:lastRowLastColumn="0"/>
              <w:rPr>
                <w:b w:val="0"/>
                <w:sz w:val="20"/>
                <w:szCs w:val="20"/>
                <w:shd w:val="clear" w:color="auto" w:fill="FFFFFF"/>
              </w:rPr>
            </w:pPr>
            <w:r w:rsidRPr="0069474F">
              <w:rPr>
                <w:b w:val="0"/>
                <w:sz w:val="20"/>
                <w:szCs w:val="20"/>
              </w:rPr>
              <w:t>Indicator and Target</w:t>
            </w:r>
          </w:p>
        </w:tc>
        <w:tc>
          <w:tcPr>
            <w:tcW w:w="2015" w:type="pct"/>
            <w:tcBorders>
              <w:left w:val="single" w:sz="8" w:space="0" w:color="FFFFFF" w:themeColor="background1"/>
              <w:bottom w:val="none" w:sz="0" w:space="0" w:color="auto"/>
            </w:tcBorders>
            <w:shd w:val="clear" w:color="auto" w:fill="002060"/>
            <w:vAlign w:val="center"/>
          </w:tcPr>
          <w:p w14:paraId="1EDD2987" w14:textId="77777777" w:rsidR="00A93502" w:rsidRPr="0069474F" w:rsidRDefault="00A93502" w:rsidP="002234FB">
            <w:pPr>
              <w:pStyle w:val="Contenttext"/>
              <w:spacing w:before="120" w:after="120"/>
              <w:jc w:val="center"/>
              <w:cnfStyle w:val="100000000000" w:firstRow="1" w:lastRow="0" w:firstColumn="0" w:lastColumn="0" w:oddVBand="0" w:evenVBand="0" w:oddHBand="0" w:evenHBand="0" w:firstRowFirstColumn="0" w:firstRowLastColumn="0" w:lastRowFirstColumn="0" w:lastRowLastColumn="0"/>
              <w:rPr>
                <w:b w:val="0"/>
                <w:sz w:val="20"/>
                <w:szCs w:val="20"/>
                <w:shd w:val="clear" w:color="auto" w:fill="FFFFFF"/>
              </w:rPr>
            </w:pPr>
            <w:r w:rsidRPr="0069474F">
              <w:rPr>
                <w:b w:val="0"/>
                <w:sz w:val="20"/>
                <w:szCs w:val="20"/>
              </w:rPr>
              <w:t>Findings</w:t>
            </w:r>
          </w:p>
        </w:tc>
      </w:tr>
      <w:tr w:rsidR="00A93502" w:rsidRPr="005E182B" w14:paraId="557EA88A"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tcPr>
          <w:p w14:paraId="74D97587" w14:textId="77777777" w:rsidR="00A93502" w:rsidRPr="004147C8" w:rsidRDefault="00A93502" w:rsidP="002234FB">
            <w:pPr>
              <w:spacing w:before="120" w:after="120"/>
              <w:rPr>
                <w:rFonts w:ascii="Cambria" w:hAnsi="Cambria"/>
                <w:color w:val="002060"/>
                <w:sz w:val="20"/>
                <w:szCs w:val="20"/>
              </w:rPr>
            </w:pPr>
            <w:r w:rsidRPr="004147C8">
              <w:rPr>
                <w:rFonts w:ascii="Cambria" w:hAnsi="Cambria"/>
                <w:color w:val="002060"/>
                <w:sz w:val="20"/>
                <w:szCs w:val="20"/>
              </w:rPr>
              <w:t>EOFO</w:t>
            </w:r>
          </w:p>
        </w:tc>
      </w:tr>
      <w:tr w:rsidR="00A93502" w:rsidRPr="005E182B" w14:paraId="236067BE"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auto"/>
              <w:bottom w:val="single" w:sz="4" w:space="0" w:color="auto"/>
              <w:right w:val="single" w:sz="8" w:space="0" w:color="FFFFFF" w:themeColor="background1"/>
            </w:tcBorders>
          </w:tcPr>
          <w:p w14:paraId="77149091" w14:textId="77777777" w:rsidR="00A93502" w:rsidRPr="004147C8" w:rsidRDefault="00A93502" w:rsidP="002234FB">
            <w:pPr>
              <w:spacing w:before="120" w:after="120"/>
              <w:rPr>
                <w:rFonts w:ascii="Cambria" w:hAnsi="Cambria"/>
                <w:b w:val="0"/>
                <w:color w:val="002060"/>
                <w:sz w:val="20"/>
                <w:szCs w:val="20"/>
              </w:rPr>
            </w:pPr>
            <w:r w:rsidRPr="004147C8">
              <w:rPr>
                <w:rFonts w:ascii="Cambria" w:hAnsi="Cambria"/>
                <w:b w:val="0"/>
                <w:color w:val="002060"/>
                <w:sz w:val="20"/>
                <w:szCs w:val="20"/>
              </w:rPr>
              <w:t>Participating decision</w:t>
            </w:r>
            <w:r>
              <w:rPr>
                <w:rFonts w:ascii="Cambria" w:hAnsi="Cambria"/>
                <w:b w:val="0"/>
                <w:color w:val="002060"/>
                <w:sz w:val="20"/>
                <w:szCs w:val="20"/>
              </w:rPr>
              <w:t xml:space="preserve"> </w:t>
            </w:r>
            <w:r w:rsidRPr="004147C8">
              <w:rPr>
                <w:rFonts w:ascii="Cambria" w:hAnsi="Cambria"/>
                <w:b w:val="0"/>
                <w:color w:val="002060"/>
                <w:sz w:val="20"/>
                <w:szCs w:val="20"/>
              </w:rPr>
              <w:t xml:space="preserve">makers apply policies, systems, processes, and programs needed to effect education reform </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vAlign w:val="center"/>
          </w:tcPr>
          <w:p w14:paraId="6AFB1418"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Indicator: Decision</w:t>
            </w:r>
            <w:r>
              <w:rPr>
                <w:rFonts w:ascii="Cambria" w:hAnsi="Cambria"/>
                <w:color w:val="002060"/>
                <w:sz w:val="20"/>
                <w:szCs w:val="20"/>
              </w:rPr>
              <w:t xml:space="preserve"> </w:t>
            </w:r>
            <w:r w:rsidRPr="004147C8">
              <w:rPr>
                <w:rFonts w:ascii="Cambria" w:hAnsi="Cambria"/>
                <w:color w:val="002060"/>
                <w:sz w:val="20"/>
                <w:szCs w:val="20"/>
              </w:rPr>
              <w:t>makers take necessary action to build on the suite of interventions needed to address the two key constraints</w:t>
            </w:r>
          </w:p>
          <w:p w14:paraId="3D3EBBA7"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Target: Trend towards outcome demonstrated in a majority of activities </w:t>
            </w:r>
          </w:p>
        </w:tc>
        <w:tc>
          <w:tcPr>
            <w:tcW w:w="2015" w:type="pct"/>
            <w:tcBorders>
              <w:top w:val="single" w:sz="4" w:space="0" w:color="auto"/>
              <w:left w:val="single" w:sz="8" w:space="0" w:color="FFFFFF" w:themeColor="background1"/>
              <w:bottom w:val="single" w:sz="4" w:space="0" w:color="auto"/>
            </w:tcBorders>
          </w:tcPr>
          <w:p w14:paraId="2AB1D4E7"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70C0"/>
                <w:sz w:val="20"/>
                <w:szCs w:val="20"/>
              </w:rPr>
            </w:pPr>
            <w:r w:rsidRPr="004147C8">
              <w:rPr>
                <w:rFonts w:ascii="Cambria" w:hAnsi="Cambria"/>
                <w:b/>
                <w:noProof/>
                <w:color w:val="0070C0"/>
                <w:sz w:val="20"/>
                <w:szCs w:val="20"/>
                <w:lang w:val="en-AU" w:eastAsia="en-AU" w:bidi="ar-SA"/>
              </w:rPr>
              <mc:AlternateContent>
                <mc:Choice Requires="wps">
                  <w:drawing>
                    <wp:anchor distT="0" distB="0" distL="114300" distR="114300" simplePos="0" relativeHeight="251662848" behindDoc="0" locked="0" layoutInCell="1" allowOverlap="1" wp14:anchorId="06553022" wp14:editId="4F4AE2EF">
                      <wp:simplePos x="0" y="0"/>
                      <wp:positionH relativeFrom="column">
                        <wp:posOffset>1831975</wp:posOffset>
                      </wp:positionH>
                      <wp:positionV relativeFrom="paragraph">
                        <wp:posOffset>44940</wp:posOffset>
                      </wp:positionV>
                      <wp:extent cx="286064" cy="304172"/>
                      <wp:effectExtent l="12700" t="12700" r="19050" b="13335"/>
                      <wp:wrapNone/>
                      <wp:docPr id="27" name="Oval 27"/>
                      <wp:cNvGraphicFramePr/>
                      <a:graphic xmlns:a="http://schemas.openxmlformats.org/drawingml/2006/main">
                        <a:graphicData uri="http://schemas.microsoft.com/office/word/2010/wordprocessingShape">
                          <wps:wsp>
                            <wps:cNvSpPr/>
                            <wps:spPr>
                              <a:xfrm>
                                <a:off x="0" y="0"/>
                                <a:ext cx="286064" cy="304172"/>
                              </a:xfrm>
                              <a:prstGeom prst="ellipse">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1F0C41" id="Oval 27" o:spid="_x0000_s1026" style="position:absolute;margin-left:144.25pt;margin-top:3.55pt;width:22.5pt;height:2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6GogIAAOoFAAAOAAAAZHJzL2Uyb0RvYy54bWysVG1PGzEM/j5p/yHK93EvK4VVXFEFYprE&#10;AAETn0Mu4SLlbUnaa/fr5yR3RzfYkKb1Qxo79mP7Odsnp1sl0YY5L4xucHVQYsQ0Na3QTw3+dn/x&#10;4RgjH4huiTSaNXjHPD5dvn930tsFq01nZMscAhDtF71tcBeCXRSFpx1TxB8YyzQ8cuMUCSC6p6J1&#10;pAd0JYu6LOdFb1xrnaHMe9Ce50e8TPicMxquOfcsINlgyC2k06XzMZ7F8oQsnhyxnaBDGuQfslBE&#10;aAg6QZ2TQNDaiRdQSlBnvOHhgBpVGM4FZakGqKYqf6vmriOWpVqAHG8nmvz/g6VXmxuHRNvg+ggj&#10;TRR8o+sNkQhE4Ka3fgEmd/bGDZKHayx0y52K/1AC2iY+dxOfbBsQBWV9PC/nM4woPH0sZ9VRHTGL&#10;Z2frfPjMjELx0mAmpbA+VkwWZHPpQ7YeraLaGynaCyFlEmKXsDPpEGTc4LCtk6tcq6+mzbp5Cb/8&#10;lUENvZDVs1ENyaReiygptV8CSP1WTEIp06Ea6tpzBuDoXUQGM2fpFnaSRUypbxkH3iNLKekpi5zg&#10;iJvid6RlWX34x7wTYLTmQM6EXf0NO7M72EdXlgZmci7fdp48UmSjw+SshDbuNQA5scWz/UhSpiay&#10;9GjaHXSlM3lcvaUXAhrkkvhwQxzMJ0wy7JxwDQeXpm+wGW4Ydcb9eE0f7WFs4BWjHua9wf77mjiG&#10;kfyiYaA+VbNZXBBJmB0e1SC4/ZfH/Re9VmcGWq6C7WZpukb7IMcrd0Y9wGpaxajwRDSF2A2mwY3C&#10;Wch7CJYbZatVMoOlYEm41HeWRvDIauz+++0DcXaYkgDjdWXG3fBiUrJt9NRmtQ6GizRGz7wOfMNC&#10;SQ0/LL+4sfblZPW8opc/AQAA//8DAFBLAwQUAAYACAAAACEAtYTmrt4AAAAIAQAADwAAAGRycy9k&#10;b3ducmV2LnhtbEyPMU/DMBSEdyT+g/WQ2KjTuoEoxKkiJDYG2iAEmxs/4gj7OYrdNvTX10wwnu50&#10;9121mZ1lR5zC4EnCcpEBQ+q8HqiX8NY+3xXAQlSklfWEEn4wwKa+vqpUqf2JtnjcxZ6lEgqlkmBi&#10;HEvOQ2fQqbDwI1LyvvzkVExy6rme1CmVO8tXWXbPnRooLRg14pPB7nt3cBKm5mN9bsXL1ujP2b6f&#10;xWvrVCPl7c3cPAKLOMe/MPziJ3SoE9PeH0gHZiWsiiJPUQkPS2DJF0IkvZeQ5xnwuuL/D9QXAAAA&#10;//8DAFBLAQItABQABgAIAAAAIQC2gziS/gAAAOEBAAATAAAAAAAAAAAAAAAAAAAAAABbQ29udGVu&#10;dF9UeXBlc10ueG1sUEsBAi0AFAAGAAgAAAAhADj9If/WAAAAlAEAAAsAAAAAAAAAAAAAAAAALwEA&#10;AF9yZWxzLy5yZWxzUEsBAi0AFAAGAAgAAAAhACVs7oaiAgAA6gUAAA4AAAAAAAAAAAAAAAAALgIA&#10;AGRycy9lMm9Eb2MueG1sUEsBAi0AFAAGAAgAAAAhALWE5q7eAAAACAEAAA8AAAAAAAAAAAAAAAAA&#10;/AQAAGRycy9kb3ducmV2LnhtbFBLBQYAAAAABAAEAPMAAAAHBgAAAAA=&#10;" fillcolor="#548dd4 [1951]" strokecolor="#4f81bd [3204]" strokeweight="2pt"/>
                  </w:pict>
                </mc:Fallback>
              </mc:AlternateContent>
            </w:r>
            <w:r w:rsidRPr="004147C8">
              <w:rPr>
                <w:rFonts w:ascii="Cambria" w:hAnsi="Cambria"/>
                <w:b/>
                <w:color w:val="0070C0"/>
                <w:sz w:val="20"/>
                <w:szCs w:val="20"/>
              </w:rPr>
              <w:t xml:space="preserve">BETTER THAN EXPECTED </w:t>
            </w:r>
          </w:p>
          <w:p w14:paraId="03417697"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87.5% of activities (7 of 8) indicate some early trend towards the EOFO. </w:t>
            </w:r>
          </w:p>
          <w:p w14:paraId="016F3C13" w14:textId="6FF0DDF8"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Only one activity (#014 Support to MoEC planning processes) is at risk of </w:t>
            </w:r>
            <w:r w:rsidR="002C05DB">
              <w:rPr>
                <w:rFonts w:ascii="Cambria" w:hAnsi="Cambria"/>
                <w:color w:val="002060"/>
                <w:sz w:val="20"/>
                <w:szCs w:val="20"/>
              </w:rPr>
              <w:t xml:space="preserve">not </w:t>
            </w:r>
            <w:r w:rsidRPr="004147C8">
              <w:rPr>
                <w:rFonts w:ascii="Cambria" w:hAnsi="Cambria"/>
                <w:color w:val="002060"/>
                <w:sz w:val="20"/>
                <w:szCs w:val="20"/>
              </w:rPr>
              <w:t xml:space="preserve">making </w:t>
            </w:r>
            <w:r w:rsidR="002C05DB">
              <w:rPr>
                <w:rFonts w:ascii="Cambria" w:hAnsi="Cambria"/>
                <w:color w:val="002060"/>
                <w:sz w:val="20"/>
                <w:szCs w:val="20"/>
              </w:rPr>
              <w:t>a</w:t>
            </w:r>
            <w:r w:rsidRPr="004147C8">
              <w:rPr>
                <w:rFonts w:ascii="Cambria" w:hAnsi="Cambria"/>
                <w:color w:val="002060"/>
                <w:sz w:val="20"/>
                <w:szCs w:val="20"/>
              </w:rPr>
              <w:t xml:space="preserve"> contribution to </w:t>
            </w:r>
            <w:r>
              <w:rPr>
                <w:rFonts w:ascii="Cambria" w:hAnsi="Cambria"/>
                <w:color w:val="002060"/>
                <w:sz w:val="20"/>
                <w:szCs w:val="20"/>
              </w:rPr>
              <w:t xml:space="preserve">EOFO. </w:t>
            </w:r>
          </w:p>
        </w:tc>
      </w:tr>
      <w:tr w:rsidR="00A93502" w:rsidRPr="005E182B" w14:paraId="5FD3BDDA"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auto"/>
              <w:bottom w:val="single" w:sz="4" w:space="0" w:color="auto"/>
              <w:right w:val="single" w:sz="8" w:space="0" w:color="FFFFFF" w:themeColor="background1"/>
            </w:tcBorders>
          </w:tcPr>
          <w:p w14:paraId="4478AF65" w14:textId="77777777" w:rsidR="00A93502" w:rsidRPr="004147C8" w:rsidRDefault="00A93502" w:rsidP="002234FB">
            <w:pPr>
              <w:spacing w:before="120" w:after="120"/>
              <w:rPr>
                <w:rFonts w:ascii="Cambria" w:hAnsi="Cambria"/>
                <w:b w:val="0"/>
                <w:color w:val="002060"/>
                <w:sz w:val="20"/>
                <w:szCs w:val="20"/>
              </w:rPr>
            </w:pPr>
            <w:r w:rsidRPr="004147C8">
              <w:rPr>
                <w:rFonts w:ascii="Cambria" w:hAnsi="Cambria"/>
                <w:b w:val="0"/>
                <w:color w:val="002060"/>
                <w:sz w:val="20"/>
                <w:szCs w:val="20"/>
              </w:rPr>
              <w:t>Participating decision</w:t>
            </w:r>
            <w:r>
              <w:rPr>
                <w:rFonts w:ascii="Cambria" w:hAnsi="Cambria"/>
                <w:b w:val="0"/>
                <w:color w:val="002060"/>
                <w:sz w:val="20"/>
                <w:szCs w:val="20"/>
              </w:rPr>
              <w:t xml:space="preserve"> </w:t>
            </w:r>
            <w:r w:rsidRPr="004147C8">
              <w:rPr>
                <w:rFonts w:ascii="Cambria" w:hAnsi="Cambria"/>
                <w:b w:val="0"/>
                <w:color w:val="002060"/>
                <w:sz w:val="20"/>
                <w:szCs w:val="20"/>
              </w:rPr>
              <w:t>makers implement processes that help bridge the divide between policy and implementation</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64ED9868"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Indicator: Decision</w:t>
            </w:r>
            <w:r>
              <w:rPr>
                <w:rFonts w:ascii="Cambria" w:hAnsi="Cambria"/>
                <w:color w:val="002060"/>
                <w:sz w:val="20"/>
                <w:szCs w:val="20"/>
              </w:rPr>
              <w:t xml:space="preserve"> </w:t>
            </w:r>
            <w:r w:rsidRPr="004147C8">
              <w:rPr>
                <w:rFonts w:ascii="Cambria" w:hAnsi="Cambria"/>
                <w:color w:val="002060"/>
                <w:sz w:val="20"/>
                <w:szCs w:val="20"/>
              </w:rPr>
              <w:t xml:space="preserve">makers map and understand the sub-systems and use this to inform interventions </w:t>
            </w:r>
          </w:p>
          <w:p w14:paraId="09FCC6B8"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Target: Trend towards outcome demonstrated in a majority of activities</w:t>
            </w:r>
          </w:p>
        </w:tc>
        <w:tc>
          <w:tcPr>
            <w:tcW w:w="2015" w:type="pct"/>
            <w:tcBorders>
              <w:top w:val="single" w:sz="4" w:space="0" w:color="auto"/>
              <w:left w:val="single" w:sz="8" w:space="0" w:color="FFFFFF" w:themeColor="background1"/>
              <w:bottom w:val="single" w:sz="4" w:space="0" w:color="auto"/>
            </w:tcBorders>
            <w:shd w:val="clear" w:color="auto" w:fill="E6E6E6" w:themeFill="text1" w:themeFillTint="19"/>
          </w:tcPr>
          <w:p w14:paraId="41603AC3"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b/>
                <w:color w:val="FFFF00"/>
                <w:sz w:val="20"/>
                <w:szCs w:val="20"/>
              </w:rPr>
            </w:pPr>
            <w:r w:rsidRPr="004147C8">
              <w:rPr>
                <w:rFonts w:ascii="Cambria" w:hAnsi="Cambria"/>
                <w:b/>
                <w:noProof/>
                <w:color w:val="FFE923"/>
                <w:sz w:val="20"/>
                <w:szCs w:val="20"/>
                <w:lang w:val="en-AU" w:eastAsia="en-AU" w:bidi="ar-SA"/>
              </w:rPr>
              <mc:AlternateContent>
                <mc:Choice Requires="wps">
                  <w:drawing>
                    <wp:anchor distT="0" distB="0" distL="114300" distR="114300" simplePos="0" relativeHeight="251659776" behindDoc="0" locked="0" layoutInCell="1" allowOverlap="1" wp14:anchorId="42F83B9A" wp14:editId="06F0BF1F">
                      <wp:simplePos x="0" y="0"/>
                      <wp:positionH relativeFrom="column">
                        <wp:posOffset>818634</wp:posOffset>
                      </wp:positionH>
                      <wp:positionV relativeFrom="paragraph">
                        <wp:posOffset>27990</wp:posOffset>
                      </wp:positionV>
                      <wp:extent cx="258904" cy="277011"/>
                      <wp:effectExtent l="12700" t="12700" r="8255" b="15240"/>
                      <wp:wrapNone/>
                      <wp:docPr id="28" name="Oval 28"/>
                      <wp:cNvGraphicFramePr/>
                      <a:graphic xmlns:a="http://schemas.openxmlformats.org/drawingml/2006/main">
                        <a:graphicData uri="http://schemas.microsoft.com/office/word/2010/wordprocessingShape">
                          <wps:wsp>
                            <wps:cNvSpPr/>
                            <wps:spPr>
                              <a:xfrm>
                                <a:off x="0" y="0"/>
                                <a:ext cx="258904" cy="277011"/>
                              </a:xfrm>
                              <a:prstGeom prst="ellipse">
                                <a:avLst/>
                              </a:prstGeom>
                              <a:solidFill>
                                <a:srgbClr val="FFD411"/>
                              </a:solidFill>
                              <a:ln>
                                <a:solidFill>
                                  <a:srgbClr val="FFD41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5F506B" id="Oval 28" o:spid="_x0000_s1026" style="position:absolute;margin-left:64.45pt;margin-top:2.2pt;width:20.4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d8jgIAAK0FAAAOAAAAZHJzL2Uyb0RvYy54bWysVFFPGzEMfp+0/xDlfdxdVQZUXFEF6jQJ&#10;AaJMPKe5pBcpibMk7bX79XNy14MNtAe0PqR2bH+xv7N9ebU3muyEDwpsTauTkhJhOTTKbmr642n5&#10;5ZySEJltmAYranoQgV7NP3+67NxMTKAF3QhPEMSGWedq2sboZkUReCsMCyfghEWjBG9YRNVvisaz&#10;DtGNLiZl+bXowDfOAxch4O1Nb6TzjC+l4PFeyiAi0TXF3GI+fT7X6Szml2y28cy1ig9psA9kYZiy&#10;+OgIdcMiI1uv3kAZxT0EkPGEgylASsVFrgGrqcq/qlm1zIlcC5IT3EhT+H+w/G734IlqajrBL2WZ&#10;wW90v2OaoIrcdC7M0GXlHvygBRRToXvpTfrHEsg+83kY+RT7SDheTk7PL8opJRxNk7OzsqoSZvES&#10;7HyI3wQYkoSaCq2VC6liNmO72xB776NXug6gVbNUWmfFb9bX2hPMt6bL5c10fOAPN20/FomJptAi&#10;kdCXnaV40CIBavsoJFKXCs0p56YVY0KMc2Fj1Zta1og+z9MSfwMPY0RmJQMmZIn1jdgDQBqIt9g9&#10;QYN/ChW558fg8l+J9cFjRH4ZbByDjbLg3wPQWNXwcu9/JKmnJrG0huaAjeWhn7jg+FLhN75lIT4w&#10;jyOGw4hrI97jITV0NYVBoqQF/+u9++SPnY9WSjoc2ZqGn1vmBSX6u8WZuKim0zTjWZmenk1Q8a8t&#10;69cWuzXXgH1T4YJyPIvJP+qjKD2YZ9wui/Qqmpjl+HZNefRH5Tr2qwT3ExeLRXbDuXYs3tqV4wk8&#10;sZoa+Gn/zLwbGj3ihNzBcbzfNHvvmyItLLYRpMqT8MLrwDfuhNw4w/5KS+e1nr1etuz8NwAAAP//&#10;AwBQSwMEFAAGAAgAAAAhALS6M+PfAAAACAEAAA8AAABkcnMvZG93bnJldi54bWxMj0FPg0AQhe8m&#10;/ofNmHghdrGpFJClMSY9ebHVGL1t2SmQsrPILi36652e7PHLe3nzTbGabCeOOPjWkYL7WQwCqXKm&#10;pVrB+9v6LgXhgyajO0eo4Ac9rMrrq0Lnxp1og8dtqAWPkM+1giaEPpfSVw1a7WeuR+Js7warA+NQ&#10;SzPoE4/bTs7jOJFWt8QXGt3jc4PVYTtaBeMy23yso9d2ejhEn9+/X/ol2idK3d5MT48gAk7hvwxn&#10;fVaHkp12biTjRcc8TzOuKlgsQJzzJFuC2DGnMciykJcPlH8AAAD//wMAUEsBAi0AFAAGAAgAAAAh&#10;ALaDOJL+AAAA4QEAABMAAAAAAAAAAAAAAAAAAAAAAFtDb250ZW50X1R5cGVzXS54bWxQSwECLQAU&#10;AAYACAAAACEAOP0h/9YAAACUAQAACwAAAAAAAAAAAAAAAAAvAQAAX3JlbHMvLnJlbHNQSwECLQAU&#10;AAYACAAAACEAegNnfI4CAACtBQAADgAAAAAAAAAAAAAAAAAuAgAAZHJzL2Uyb0RvYy54bWxQSwEC&#10;LQAUAAYACAAAACEAtLoz498AAAAIAQAADwAAAAAAAAAAAAAAAADoBAAAZHJzL2Rvd25yZXYueG1s&#10;UEsFBgAAAAAEAAQA8wAAAPQFAAAAAA==&#10;" fillcolor="#ffd411" strokecolor="#ffd411" strokeweight="2pt"/>
                  </w:pict>
                </mc:Fallback>
              </mc:AlternateContent>
            </w:r>
            <w:r w:rsidRPr="004147C8">
              <w:rPr>
                <w:rFonts w:ascii="Cambria" w:hAnsi="Cambria"/>
                <w:b/>
                <w:sz w:val="20"/>
                <w:szCs w:val="20"/>
              </w:rPr>
              <w:t>TOO SOON</w:t>
            </w:r>
            <w:r w:rsidRPr="004147C8">
              <w:rPr>
                <w:rFonts w:ascii="Cambria" w:hAnsi="Cambria"/>
                <w:b/>
                <w:color w:val="FFFF00"/>
                <w:sz w:val="20"/>
                <w:szCs w:val="20"/>
              </w:rPr>
              <w:t xml:space="preserve">  </w:t>
            </w:r>
          </w:p>
          <w:p w14:paraId="23BB3457"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It is too soon for the majority of activities to demonstrate any contribution toward this EOFO. However, one is demonstrating trend (#013 Support to MoRA’s CPD).  </w:t>
            </w:r>
          </w:p>
        </w:tc>
      </w:tr>
      <w:tr w:rsidR="00A93502" w:rsidRPr="005E182B" w14:paraId="52345D60"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tcPr>
          <w:p w14:paraId="592742A3" w14:textId="77777777" w:rsidR="00A93502" w:rsidRPr="004147C8" w:rsidRDefault="00A93502" w:rsidP="002234FB">
            <w:pPr>
              <w:spacing w:before="120" w:after="120"/>
              <w:rPr>
                <w:rFonts w:ascii="Cambria" w:hAnsi="Cambria"/>
                <w:color w:val="002060"/>
                <w:sz w:val="20"/>
                <w:szCs w:val="20"/>
              </w:rPr>
            </w:pPr>
            <w:r w:rsidRPr="004147C8">
              <w:rPr>
                <w:rFonts w:ascii="Cambria" w:hAnsi="Cambria"/>
                <w:color w:val="002060"/>
                <w:sz w:val="20"/>
                <w:szCs w:val="20"/>
              </w:rPr>
              <w:t>Intermediate Outcomes</w:t>
            </w:r>
          </w:p>
        </w:tc>
      </w:tr>
      <w:tr w:rsidR="00A93502" w:rsidRPr="005E182B" w14:paraId="31F3AFE7"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auto"/>
              <w:bottom w:val="single" w:sz="4" w:space="0" w:color="auto"/>
              <w:right w:val="single" w:sz="8" w:space="0" w:color="FFFFFF" w:themeColor="background1"/>
            </w:tcBorders>
          </w:tcPr>
          <w:p w14:paraId="3DEF16E0" w14:textId="77777777" w:rsidR="00A93502" w:rsidRPr="004147C8" w:rsidRDefault="00A93502" w:rsidP="002234FB">
            <w:pPr>
              <w:spacing w:before="120" w:after="120"/>
              <w:rPr>
                <w:rFonts w:ascii="Cambria" w:hAnsi="Cambria"/>
                <w:b w:val="0"/>
                <w:bCs w:val="0"/>
                <w:color w:val="002060"/>
                <w:sz w:val="20"/>
                <w:szCs w:val="20"/>
              </w:rPr>
            </w:pPr>
            <w:r w:rsidRPr="004147C8">
              <w:rPr>
                <w:rFonts w:ascii="Cambria" w:hAnsi="Cambria"/>
                <w:color w:val="002060"/>
                <w:sz w:val="20"/>
                <w:szCs w:val="20"/>
              </w:rPr>
              <w:t>Conceptual Use</w:t>
            </w:r>
          </w:p>
          <w:p w14:paraId="184D518A" w14:textId="77777777" w:rsidR="00A93502" w:rsidRPr="004147C8" w:rsidRDefault="00A93502" w:rsidP="002234FB">
            <w:pPr>
              <w:spacing w:before="120" w:after="120"/>
              <w:rPr>
                <w:rFonts w:ascii="Cambria" w:hAnsi="Cambria"/>
                <w:b w:val="0"/>
                <w:color w:val="002060"/>
                <w:sz w:val="20"/>
                <w:szCs w:val="20"/>
              </w:rPr>
            </w:pPr>
            <w:r w:rsidRPr="004147C8">
              <w:rPr>
                <w:rFonts w:ascii="Cambria" w:hAnsi="Cambria"/>
                <w:b w:val="0"/>
                <w:color w:val="002060"/>
                <w:sz w:val="20"/>
                <w:szCs w:val="20"/>
              </w:rPr>
              <w:t>Participating decision</w:t>
            </w:r>
            <w:r>
              <w:rPr>
                <w:rFonts w:ascii="Cambria" w:hAnsi="Cambria"/>
                <w:b w:val="0"/>
                <w:color w:val="002060"/>
                <w:sz w:val="20"/>
                <w:szCs w:val="20"/>
              </w:rPr>
              <w:t xml:space="preserve"> </w:t>
            </w:r>
            <w:r w:rsidRPr="004147C8">
              <w:rPr>
                <w:rFonts w:ascii="Cambria" w:hAnsi="Cambria"/>
                <w:b w:val="0"/>
                <w:color w:val="002060"/>
                <w:sz w:val="20"/>
                <w:szCs w:val="20"/>
              </w:rPr>
              <w:t>makers use TASS-facilitated products and services to inform decision-making about changes needed to the education system</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693DDD84"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Indicator: Changes to knowledge, understanding, technical capacity, views, attitudes, intentions, issues and concepts on policy agenda, rhetoric and language, participation in policy dialogues </w:t>
            </w:r>
          </w:p>
          <w:p w14:paraId="05680E9D"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Target: Majority of expected changes demonstrated each year (70%)</w:t>
            </w:r>
          </w:p>
        </w:tc>
        <w:tc>
          <w:tcPr>
            <w:tcW w:w="2015" w:type="pct"/>
            <w:tcBorders>
              <w:top w:val="single" w:sz="4" w:space="0" w:color="auto"/>
              <w:left w:val="single" w:sz="8" w:space="0" w:color="FFFFFF" w:themeColor="background1"/>
              <w:bottom w:val="single" w:sz="4" w:space="0" w:color="auto"/>
            </w:tcBorders>
          </w:tcPr>
          <w:p w14:paraId="0405419B"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b/>
                <w:color w:val="4F6228" w:themeColor="accent3" w:themeShade="80"/>
                <w:sz w:val="20"/>
                <w:szCs w:val="20"/>
              </w:rPr>
            </w:pPr>
            <w:r w:rsidRPr="004147C8">
              <w:rPr>
                <w:rFonts w:ascii="Cambria" w:hAnsi="Cambria"/>
                <w:b/>
                <w:noProof/>
                <w:color w:val="4F6228" w:themeColor="accent3" w:themeShade="80"/>
                <w:sz w:val="20"/>
                <w:szCs w:val="20"/>
                <w:lang w:val="en-AU" w:eastAsia="en-AU" w:bidi="ar-SA"/>
              </w:rPr>
              <mc:AlternateContent>
                <mc:Choice Requires="wps">
                  <w:drawing>
                    <wp:anchor distT="0" distB="0" distL="114300" distR="114300" simplePos="0" relativeHeight="251660800" behindDoc="0" locked="0" layoutInCell="1" allowOverlap="1" wp14:anchorId="279C768F" wp14:editId="5CE0C900">
                      <wp:simplePos x="0" y="0"/>
                      <wp:positionH relativeFrom="column">
                        <wp:posOffset>845795</wp:posOffset>
                      </wp:positionH>
                      <wp:positionV relativeFrom="paragraph">
                        <wp:posOffset>34931</wp:posOffset>
                      </wp:positionV>
                      <wp:extent cx="277011" cy="286065"/>
                      <wp:effectExtent l="12700" t="12700" r="15240" b="19050"/>
                      <wp:wrapNone/>
                      <wp:docPr id="29" name="Smiley Face 29"/>
                      <wp:cNvGraphicFramePr/>
                      <a:graphic xmlns:a="http://schemas.openxmlformats.org/drawingml/2006/main">
                        <a:graphicData uri="http://schemas.microsoft.com/office/word/2010/wordprocessingShape">
                          <wps:wsp>
                            <wps:cNvSpPr/>
                            <wps:spPr>
                              <a:xfrm>
                                <a:off x="0" y="0"/>
                                <a:ext cx="277011" cy="286065"/>
                              </a:xfrm>
                              <a:prstGeom prst="smileyFace">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4DF33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9" o:spid="_x0000_s1026" type="#_x0000_t96" style="position:absolute;margin-left:66.6pt;margin-top:2.75pt;width:21.8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ZTnwIAAAUGAAAOAAAAZHJzL2Uyb0RvYy54bWy0VMFu2zAMvQ/YPwi6r3aytmmDOkXQIsOA&#10;rg2WDj2rslQLkERNUuJkXz9KdtysC3YYtostiuQj+UTy6nprNNkIHxTYio5OSkqE5VAr+1LRb4+L&#10;DxeUhMhszTRYUdGdCPR69v7dVeumYgwN6Fp4giA2TFtX0SZGNy2KwBthWDgBJywqJXjDIor+pag9&#10;axHd6GJcludFC752HrgIAW9vOyWdZXwpBY8PUgYRia4o5hbz1+fvc/oWsys2ffHMNYr3abC/yMIw&#10;ZTHoAHXLIiNrr36DMop7CCDjCQdTgJSKi1wDVjMq31SzapgTuRYkJ7iBpvDvYPn9ZumJqis6vqTE&#10;MoNvtDJKix1ZMC4I3iJFrQtTtFy5pe+lgMdU71Z6k/5YCdlmWncDrWIbCcfL8WRSjkaUcFSNL87L&#10;87OEWbw6Ox/iJwGGpENFQ46fwmdK2eYuxM5hb5giBtCqXiits5D6RdxoTzYMX5pxLmz8mN312nyB&#10;urufnJVlfnMMnlssueRUfkHT9r8GwOApQpFY7XjMp7jTIsXV9quQ+CSJuVzBkOlhcaNO1bBadNep&#10;tOO1ZcCELJGtAbsHOEbcqH+f3j65ijxLg3P5p8S6txo8cmSwcXA2yoI/BqDjELmz35PUUZNYeoZ6&#10;hw3roZvk4PhCYdPcsRCXzOPo4pDjOooP+JEa2opCf6KkAf/j2H2yx4lCLSUtrgLswO9r5gUl+rPF&#10;WbscnZ6m3ZGF07PJGAV/qHk+1Ni1uQHsQWx4zC4fk33U+6P0YJ5wa81TVFQxyzF2RXn0e+EmdisK&#10;9x4X83k2w33hWLyzK8cTeGI1jcPj9ol5109OxJG7h/3aYNM3o9PZJk8L83UEqfJcvfLa8427Jg9F&#10;vxfTMjuUs9Xr9p79BAAA//8DAFBLAwQUAAYACAAAACEA/xX7HtsAAAAIAQAADwAAAGRycy9kb3du&#10;cmV2LnhtbEyPzU7DMBCE70i8g7VI3KhDqhga4lQVogcOqKK0dzdekgh7HWK3DW/P9gTHTzOan2o5&#10;eSdOOMY+kIb7WQYCqQm2p1bD7mN99wgiJkPWuECo4QcjLOvrq8qUNpzpHU/b1AoOoVgaDV1KQyll&#10;bDr0Js7CgMTaZxi9SYxjK+1ozhzuncyzTElveuKGzgz43GHztT16DSp/W+xelRk23/FFrUKx3si9&#10;0/r2Zlo9gUg4pT8zXObzdKh50yEcyUbhmOfznK0aigLERX9QfOXAnBUg60r+P1D/AgAA//8DAFBL&#10;AQItABQABgAIAAAAIQC2gziS/gAAAOEBAAATAAAAAAAAAAAAAAAAAAAAAABbQ29udGVudF9UeXBl&#10;c10ueG1sUEsBAi0AFAAGAAgAAAAhADj9If/WAAAAlAEAAAsAAAAAAAAAAAAAAAAALwEAAF9yZWxz&#10;Ly5yZWxzUEsBAi0AFAAGAAgAAAAhAC3t5lOfAgAABQYAAA4AAAAAAAAAAAAAAAAALgIAAGRycy9l&#10;Mm9Eb2MueG1sUEsBAi0AFAAGAAgAAAAhAP8V+x7bAAAACAEAAA8AAAAAAAAAAAAAAAAA+QQAAGRy&#10;cy9kb3ducmV2LnhtbFBLBQYAAAAABAAEAPMAAAABBgAAAAA=&#10;" fillcolor="#76923c [2406]" strokecolor="#76923c [2406]" strokeweight="2pt"/>
                  </w:pict>
                </mc:Fallback>
              </mc:AlternateContent>
            </w:r>
            <w:r w:rsidRPr="004147C8">
              <w:rPr>
                <w:rFonts w:ascii="Cambria" w:hAnsi="Cambria"/>
                <w:b/>
                <w:color w:val="4F6228" w:themeColor="accent3" w:themeShade="80"/>
                <w:sz w:val="20"/>
                <w:szCs w:val="20"/>
              </w:rPr>
              <w:t>ON TARGET</w:t>
            </w:r>
          </w:p>
          <w:p w14:paraId="58B27CFF"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75% of the activities (6 of 8) achieved, partly achieved or progressing the outcomes as expected. </w:t>
            </w:r>
          </w:p>
          <w:p w14:paraId="52722A7D"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One activity is lagging</w:t>
            </w:r>
            <w:r>
              <w:rPr>
                <w:rFonts w:ascii="Cambria" w:hAnsi="Cambria"/>
                <w:color w:val="002060"/>
                <w:sz w:val="20"/>
                <w:szCs w:val="20"/>
              </w:rPr>
              <w:t xml:space="preserve"> – specifically in relation to changes to knowledge, understanding, attitudes and intentions in relation to gender and disability inclusion</w:t>
            </w:r>
            <w:r w:rsidRPr="004147C8">
              <w:rPr>
                <w:rFonts w:ascii="Cambria" w:hAnsi="Cambria"/>
                <w:color w:val="002060"/>
                <w:sz w:val="20"/>
                <w:szCs w:val="20"/>
              </w:rPr>
              <w:t xml:space="preserve"> (#013 Support to MoRA’s CPD).  </w:t>
            </w:r>
          </w:p>
          <w:p w14:paraId="00D4CDD0"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One activity is at risk (#014 – Support to MoEC planning processes).  </w:t>
            </w:r>
          </w:p>
          <w:p w14:paraId="7EE85437" w14:textId="43F13184" w:rsidR="00A93502" w:rsidRPr="004147C8" w:rsidRDefault="00A93502" w:rsidP="00586D21">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Two of the activities had unexpected positive outcomes (#008 QA and #010 AKSI Descriptors)</w:t>
            </w:r>
            <w:r>
              <w:rPr>
                <w:rFonts w:ascii="Cambria" w:hAnsi="Cambria"/>
                <w:color w:val="002060"/>
                <w:sz w:val="20"/>
                <w:szCs w:val="20"/>
              </w:rPr>
              <w:t xml:space="preserve"> – see detailed reporting in</w:t>
            </w:r>
            <w:r w:rsidR="00586D21">
              <w:rPr>
                <w:rFonts w:ascii="Cambria" w:hAnsi="Cambria"/>
                <w:color w:val="002060"/>
                <w:sz w:val="20"/>
                <w:szCs w:val="20"/>
              </w:rPr>
              <w:t xml:space="preserve"> 2018</w:t>
            </w:r>
            <w:r>
              <w:rPr>
                <w:rFonts w:ascii="Cambria" w:hAnsi="Cambria"/>
                <w:color w:val="002060"/>
                <w:sz w:val="20"/>
                <w:szCs w:val="20"/>
              </w:rPr>
              <w:t xml:space="preserve"> </w:t>
            </w:r>
            <w:r w:rsidR="00586D21">
              <w:rPr>
                <w:rFonts w:ascii="Cambria" w:hAnsi="Cambria"/>
                <w:color w:val="002060"/>
                <w:sz w:val="20"/>
                <w:szCs w:val="20"/>
              </w:rPr>
              <w:t>Monitoring Report.</w:t>
            </w:r>
            <w:r w:rsidRPr="004147C8">
              <w:rPr>
                <w:rFonts w:ascii="Cambria" w:hAnsi="Cambria"/>
                <w:color w:val="002060"/>
                <w:sz w:val="20"/>
                <w:szCs w:val="20"/>
              </w:rPr>
              <w:t xml:space="preserve"> </w:t>
            </w:r>
          </w:p>
        </w:tc>
      </w:tr>
      <w:tr w:rsidR="00A93502" w:rsidRPr="005E182B" w14:paraId="55C19C7D"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auto"/>
              <w:bottom w:val="single" w:sz="4" w:space="0" w:color="auto"/>
              <w:right w:val="single" w:sz="8" w:space="0" w:color="FFFFFF" w:themeColor="background1"/>
            </w:tcBorders>
          </w:tcPr>
          <w:p w14:paraId="6CB001EA" w14:textId="77777777" w:rsidR="00A93502" w:rsidRPr="004147C8" w:rsidRDefault="00A93502" w:rsidP="002234FB">
            <w:pPr>
              <w:spacing w:before="120" w:after="120"/>
              <w:rPr>
                <w:rFonts w:ascii="Cambria" w:hAnsi="Cambria"/>
                <w:b w:val="0"/>
                <w:bCs w:val="0"/>
                <w:color w:val="002060"/>
                <w:sz w:val="20"/>
                <w:szCs w:val="20"/>
              </w:rPr>
            </w:pPr>
            <w:r w:rsidRPr="004147C8">
              <w:rPr>
                <w:rFonts w:ascii="Cambria" w:hAnsi="Cambria"/>
                <w:color w:val="002060"/>
                <w:sz w:val="20"/>
                <w:szCs w:val="20"/>
              </w:rPr>
              <w:t>Instrumental</w:t>
            </w:r>
          </w:p>
          <w:p w14:paraId="37465569" w14:textId="77777777" w:rsidR="00A93502" w:rsidRPr="004147C8" w:rsidRDefault="00A93502" w:rsidP="002234FB">
            <w:pPr>
              <w:spacing w:before="120" w:after="120"/>
              <w:rPr>
                <w:rFonts w:ascii="Cambria" w:hAnsi="Cambria"/>
                <w:b w:val="0"/>
                <w:color w:val="002060"/>
                <w:sz w:val="20"/>
                <w:szCs w:val="20"/>
              </w:rPr>
            </w:pPr>
            <w:r w:rsidRPr="004147C8">
              <w:rPr>
                <w:rFonts w:ascii="Cambria" w:hAnsi="Cambria"/>
                <w:b w:val="0"/>
                <w:color w:val="002060"/>
                <w:sz w:val="20"/>
                <w:szCs w:val="20"/>
              </w:rPr>
              <w:t>Participating decision</w:t>
            </w:r>
            <w:r>
              <w:rPr>
                <w:rFonts w:ascii="Cambria" w:hAnsi="Cambria"/>
                <w:b w:val="0"/>
                <w:color w:val="002060"/>
                <w:sz w:val="20"/>
                <w:szCs w:val="20"/>
              </w:rPr>
              <w:t xml:space="preserve"> </w:t>
            </w:r>
            <w:r w:rsidRPr="004147C8">
              <w:rPr>
                <w:rFonts w:ascii="Cambria" w:hAnsi="Cambria"/>
                <w:b w:val="0"/>
                <w:color w:val="002060"/>
                <w:sz w:val="20"/>
                <w:szCs w:val="20"/>
              </w:rPr>
              <w:t>makers make changes to policies, plans, budgets, financing, systems, practices</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20476A19"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Changes to (such as) guidelines, manuals, programs, policies, regulations, budget allocations, transfers, expenditures, communication</w:t>
            </w:r>
            <w:r>
              <w:rPr>
                <w:rFonts w:ascii="Cambria" w:hAnsi="Cambria"/>
                <w:color w:val="002060"/>
                <w:sz w:val="20"/>
                <w:szCs w:val="20"/>
              </w:rPr>
              <w:t>s</w:t>
            </w:r>
            <w:r w:rsidRPr="004147C8">
              <w:rPr>
                <w:rFonts w:ascii="Cambria" w:hAnsi="Cambria"/>
                <w:color w:val="002060"/>
                <w:sz w:val="20"/>
                <w:szCs w:val="20"/>
              </w:rPr>
              <w:t xml:space="preserve"> and information systems, professional development systems, QA systems</w:t>
            </w:r>
          </w:p>
          <w:p w14:paraId="6EBE0976"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Target: Majority of expected changes demonstrated each year (70%)</w:t>
            </w:r>
          </w:p>
        </w:tc>
        <w:tc>
          <w:tcPr>
            <w:tcW w:w="2015" w:type="pct"/>
            <w:tcBorders>
              <w:top w:val="single" w:sz="4" w:space="0" w:color="auto"/>
              <w:left w:val="single" w:sz="8" w:space="0" w:color="FFFFFF" w:themeColor="background1"/>
              <w:bottom w:val="single" w:sz="4" w:space="0" w:color="auto"/>
            </w:tcBorders>
          </w:tcPr>
          <w:p w14:paraId="0B7DDF8B" w14:textId="77777777" w:rsidR="00A93502" w:rsidRPr="00A15F27"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70C0"/>
                <w:sz w:val="20"/>
                <w:szCs w:val="20"/>
              </w:rPr>
            </w:pPr>
            <w:r w:rsidRPr="004147C8">
              <w:rPr>
                <w:rFonts w:ascii="Cambria" w:hAnsi="Cambria"/>
                <w:b/>
                <w:noProof/>
                <w:color w:val="0070C0"/>
                <w:sz w:val="20"/>
                <w:szCs w:val="20"/>
                <w:lang w:val="en-AU" w:eastAsia="en-AU" w:bidi="ar-SA"/>
              </w:rPr>
              <mc:AlternateContent>
                <mc:Choice Requires="wps">
                  <w:drawing>
                    <wp:anchor distT="0" distB="0" distL="114300" distR="114300" simplePos="0" relativeHeight="251663872" behindDoc="0" locked="0" layoutInCell="1" allowOverlap="1" wp14:anchorId="31176AF9" wp14:editId="368BDC71">
                      <wp:simplePos x="0" y="0"/>
                      <wp:positionH relativeFrom="column">
                        <wp:posOffset>1578880</wp:posOffset>
                      </wp:positionH>
                      <wp:positionV relativeFrom="paragraph">
                        <wp:posOffset>24583</wp:posOffset>
                      </wp:positionV>
                      <wp:extent cx="277011" cy="286064"/>
                      <wp:effectExtent l="12700" t="12700" r="15240" b="19050"/>
                      <wp:wrapNone/>
                      <wp:docPr id="241" name="Oval 241"/>
                      <wp:cNvGraphicFramePr/>
                      <a:graphic xmlns:a="http://schemas.openxmlformats.org/drawingml/2006/main">
                        <a:graphicData uri="http://schemas.microsoft.com/office/word/2010/wordprocessingShape">
                          <wps:wsp>
                            <wps:cNvSpPr/>
                            <wps:spPr>
                              <a:xfrm>
                                <a:off x="0" y="0"/>
                                <a:ext cx="277011" cy="286064"/>
                              </a:xfrm>
                              <a:prstGeom prst="ellipse">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A059D9" id="Oval 241" o:spid="_x0000_s1026" style="position:absolute;margin-left:124.3pt;margin-top:1.95pt;width:21.8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vrogIAAOwFAAAOAAAAZHJzL2Uyb0RvYy54bWysVFFPGzEMfp+0/xDlfdz1VAqruKIKxDSJ&#10;QTWYeA65hEbKxVmS9tr9+jnJ3ZUNNqRpfUhjx/5sf2f77HzXarIVziswNZ0clZQIw6FR5qmm3+6v&#10;PpxS4gMzDdNgRE33wtPzxft3Z52diwrWoBvhCIIYP+9sTdch2HlReL4WLfNHYIXBRwmuZQFF91Q0&#10;jnWI3uqiKstZ0YFrrAMuvEftZX6ki4QvpeDhVkovAtE1xdxCOl06H+NZLM7Y/Mkxu1a8T4P9QxYt&#10;UwaDjlCXLDCyceoFVKu4Aw8yHHFoC5BScZFqwGom5W/V3K2ZFakWJMfbkSb//2D5zXbliGpqWk0n&#10;lBjW4ke63TJNoozsdNbP0ejOrlwvebzGUnfStfEfiyC7xOh+ZFTsAuGorE5OygnicnyqTmflbBox&#10;i4OzdT58EtCSeKmp0FpZH2tmc7a99iFbD1ZR7UGr5kppnYTYJ+JCO4Ip1zTsquSqN+0XaLJuVuIv&#10;f2dUYzdk9XRQYzKp2yJKSu2XANq8FZNxLkxIXEWoQ3YoRe8iMpg5S7ew1yJiavNVSGQ+spSSHrPI&#10;CQ64Kf6aNSKrj/+YdwKM1hLJGbEnf8PO7Pb20VWkkRmdy7edR48UGUwYnVtlwL0GoEe2ZLYfSMrU&#10;RJYeodljXzrIA+stv1LYINfMhxVzOKE4y7h1wi0eUkNXU+hvlKzB/XhNH+1xcPCVkg4nvqb++4Y5&#10;QYn+bHCkPk6m07gikjA9PqlQcM9fHp+/mE17Adhy2NyYXbpG+6CHq3TQPuByWsao+MQMx9g15cEN&#10;wkXImwjXGxfLZTLDtWBZuDZ3lkfwyGrs/vvdA3O2n5KA43UDw3Z4MSnZNnoaWG4CSJXG6MBrzzeu&#10;lNTw/fqLO+u5nKwOS3rxEwAA//8DAFBLAwQUAAYACAAAACEA6rUX9t4AAAAIAQAADwAAAGRycy9k&#10;b3ducmV2LnhtbEyPPU/DMBiEdyT+g/UisbUOTlQlIU4VIbEx0AYh2N7GJo7wR2S7beivx0xlPN3p&#10;7rlmuxhNTtKHyVkOD+sMiLSDE5MdObz1z6sSSIhoBWpnJYcfGWDb3t40WAt3tjt52seRpBIbauSg&#10;YpxrSsOgpMGwdrO0yfty3mBM0o9UeDyncqMpy7INNTjZtKBwlk9KDt/7o+Hgu4/i0ucvOyU+F/1+&#10;yV97gx3n93dL9wgkyiVew/CHn9ChTUwHd7QiEM2BFeUmRTnkFZDks4oxIAcORVkBbRv6/0D7CwAA&#10;//8DAFBLAQItABQABgAIAAAAIQC2gziS/gAAAOEBAAATAAAAAAAAAAAAAAAAAAAAAABbQ29udGVu&#10;dF9UeXBlc10ueG1sUEsBAi0AFAAGAAgAAAAhADj9If/WAAAAlAEAAAsAAAAAAAAAAAAAAAAALwEA&#10;AF9yZWxzLy5yZWxzUEsBAi0AFAAGAAgAAAAhAPV0e+uiAgAA7AUAAA4AAAAAAAAAAAAAAAAALgIA&#10;AGRycy9lMm9Eb2MueG1sUEsBAi0AFAAGAAgAAAAhAOq1F/beAAAACAEAAA8AAAAAAAAAAAAAAAAA&#10;/AQAAGRycy9kb3ducmV2LnhtbFBLBQYAAAAABAAEAPMAAAAHBgAAAAA=&#10;" fillcolor="#548dd4 [1951]" strokecolor="#4f81bd [3204]" strokeweight="2pt"/>
                  </w:pict>
                </mc:Fallback>
              </mc:AlternateContent>
            </w:r>
            <w:r w:rsidRPr="004147C8">
              <w:rPr>
                <w:rFonts w:ascii="Cambria" w:hAnsi="Cambria"/>
                <w:b/>
                <w:color w:val="0070C0"/>
                <w:sz w:val="20"/>
                <w:szCs w:val="20"/>
              </w:rPr>
              <w:t xml:space="preserve">BETTER THAN EXPECTED </w:t>
            </w:r>
          </w:p>
          <w:p w14:paraId="76F58BB8"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86% of activities (6 of 7</w:t>
            </w:r>
            <w:r w:rsidRPr="004147C8">
              <w:rPr>
                <w:rStyle w:val="FootnoteReference"/>
                <w:rFonts w:ascii="Cambria" w:hAnsi="Cambria"/>
                <w:color w:val="002060"/>
                <w:sz w:val="20"/>
                <w:szCs w:val="20"/>
              </w:rPr>
              <w:footnoteReference w:id="13"/>
            </w:r>
            <w:r w:rsidRPr="004147C8">
              <w:rPr>
                <w:rFonts w:ascii="Cambria" w:hAnsi="Cambria"/>
                <w:color w:val="002060"/>
                <w:sz w:val="20"/>
                <w:szCs w:val="20"/>
              </w:rPr>
              <w:t xml:space="preserve">) achieved or are progressing outcomes as expected. </w:t>
            </w:r>
          </w:p>
          <w:p w14:paraId="44FE02D6"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One activity is at risk (#014 Support to MoEC planning processes). </w:t>
            </w:r>
          </w:p>
          <w:p w14:paraId="5FBFA248" w14:textId="7619F588"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One activity has an unexpected positive outcome (#003 Data mapping phase 2)</w:t>
            </w:r>
            <w:r>
              <w:rPr>
                <w:rFonts w:ascii="Cambria" w:hAnsi="Cambria"/>
                <w:color w:val="002060"/>
                <w:sz w:val="20"/>
                <w:szCs w:val="20"/>
              </w:rPr>
              <w:t xml:space="preserve"> – </w:t>
            </w:r>
            <w:r w:rsidR="00586D21">
              <w:rPr>
                <w:rFonts w:ascii="Cambria" w:hAnsi="Cambria"/>
                <w:color w:val="002060"/>
                <w:sz w:val="20"/>
                <w:szCs w:val="20"/>
              </w:rPr>
              <w:t>see detailed reporting in 2018 Monitoring Report.</w:t>
            </w:r>
          </w:p>
        </w:tc>
      </w:tr>
      <w:tr w:rsidR="00A93502" w:rsidRPr="005E182B" w14:paraId="3EE758D1"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auto"/>
              <w:bottom w:val="single" w:sz="4" w:space="0" w:color="auto"/>
              <w:right w:val="single" w:sz="8" w:space="0" w:color="FFFFFF" w:themeColor="background1"/>
            </w:tcBorders>
          </w:tcPr>
          <w:p w14:paraId="7F9D5CAB" w14:textId="77777777" w:rsidR="00A93502" w:rsidRPr="004147C8" w:rsidRDefault="00A93502" w:rsidP="002234FB">
            <w:pPr>
              <w:spacing w:before="120" w:after="120"/>
              <w:rPr>
                <w:rFonts w:ascii="Cambria" w:hAnsi="Cambria"/>
                <w:b w:val="0"/>
                <w:bCs w:val="0"/>
                <w:color w:val="002060"/>
                <w:sz w:val="20"/>
                <w:szCs w:val="20"/>
              </w:rPr>
            </w:pPr>
            <w:r w:rsidRPr="004147C8">
              <w:rPr>
                <w:rFonts w:ascii="Cambria" w:hAnsi="Cambria"/>
                <w:color w:val="002060"/>
                <w:sz w:val="20"/>
                <w:szCs w:val="20"/>
              </w:rPr>
              <w:t>Improved policy processes</w:t>
            </w:r>
          </w:p>
          <w:p w14:paraId="52F91696" w14:textId="77777777" w:rsidR="00A93502" w:rsidRPr="004147C8" w:rsidRDefault="00A93502" w:rsidP="002234FB">
            <w:pPr>
              <w:spacing w:before="120" w:after="120"/>
              <w:rPr>
                <w:rFonts w:ascii="Cambria" w:hAnsi="Cambria"/>
                <w:b w:val="0"/>
                <w:color w:val="002060"/>
                <w:sz w:val="20"/>
                <w:szCs w:val="20"/>
              </w:rPr>
            </w:pPr>
            <w:r w:rsidRPr="004147C8">
              <w:rPr>
                <w:rFonts w:ascii="Cambria" w:hAnsi="Cambria"/>
                <w:b w:val="0"/>
                <w:color w:val="002060"/>
                <w:sz w:val="20"/>
                <w:szCs w:val="20"/>
              </w:rPr>
              <w:t>Participating decision</w:t>
            </w:r>
            <w:r>
              <w:rPr>
                <w:rFonts w:ascii="Cambria" w:hAnsi="Cambria"/>
                <w:b w:val="0"/>
                <w:color w:val="002060"/>
                <w:sz w:val="20"/>
                <w:szCs w:val="20"/>
              </w:rPr>
              <w:t xml:space="preserve"> </w:t>
            </w:r>
            <w:r w:rsidRPr="004147C8">
              <w:rPr>
                <w:rFonts w:ascii="Cambria" w:hAnsi="Cambria"/>
                <w:b w:val="0"/>
                <w:color w:val="002060"/>
                <w:sz w:val="20"/>
                <w:szCs w:val="20"/>
              </w:rPr>
              <w:t xml:space="preserve">makers draw on TASS supports to improve the feasibility of policy implementation </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38E46C1B"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Indicator: </w:t>
            </w:r>
          </w:p>
          <w:p w14:paraId="2E142C10"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Policy deliberations incorporate perspectives of all relevant stakeholders with interest and influence</w:t>
            </w:r>
          </w:p>
          <w:p w14:paraId="56EB3D00"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Decision</w:t>
            </w:r>
            <w:r>
              <w:rPr>
                <w:rFonts w:ascii="Cambria" w:hAnsi="Cambria"/>
                <w:color w:val="002060"/>
                <w:sz w:val="20"/>
                <w:szCs w:val="20"/>
              </w:rPr>
              <w:t xml:space="preserve"> </w:t>
            </w:r>
            <w:r w:rsidRPr="004147C8">
              <w:rPr>
                <w:rFonts w:ascii="Cambria" w:hAnsi="Cambria"/>
                <w:color w:val="002060"/>
                <w:sz w:val="20"/>
                <w:szCs w:val="20"/>
              </w:rPr>
              <w:t>makers and relevant stakeholders have access, and consider, credible and reliable evidence</w:t>
            </w:r>
          </w:p>
          <w:p w14:paraId="19900504"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Consideration is given to how policy issue will be affected by Indonesia’s decentralised model of governance</w:t>
            </w:r>
          </w:p>
          <w:p w14:paraId="451D2007"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Target: Improvements demonstrated in a majority of activities (70%)</w:t>
            </w:r>
          </w:p>
        </w:tc>
        <w:tc>
          <w:tcPr>
            <w:tcW w:w="2015" w:type="pct"/>
            <w:tcBorders>
              <w:top w:val="single" w:sz="4" w:space="0" w:color="auto"/>
              <w:left w:val="single" w:sz="8" w:space="0" w:color="FFFFFF" w:themeColor="background1"/>
              <w:bottom w:val="single" w:sz="4" w:space="0" w:color="auto"/>
            </w:tcBorders>
          </w:tcPr>
          <w:p w14:paraId="09628184"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b/>
                <w:color w:val="0070C0"/>
                <w:sz w:val="20"/>
                <w:szCs w:val="20"/>
              </w:rPr>
            </w:pPr>
            <w:r w:rsidRPr="004147C8">
              <w:rPr>
                <w:rFonts w:ascii="Cambria" w:hAnsi="Cambria"/>
                <w:b/>
                <w:noProof/>
                <w:color w:val="0070C0"/>
                <w:sz w:val="20"/>
                <w:szCs w:val="20"/>
                <w:lang w:val="en-AU" w:eastAsia="en-AU" w:bidi="ar-SA"/>
              </w:rPr>
              <mc:AlternateContent>
                <mc:Choice Requires="wps">
                  <w:drawing>
                    <wp:anchor distT="0" distB="0" distL="114300" distR="114300" simplePos="0" relativeHeight="251664896" behindDoc="0" locked="0" layoutInCell="1" allowOverlap="1" wp14:anchorId="592631CC" wp14:editId="2E94B3EB">
                      <wp:simplePos x="0" y="0"/>
                      <wp:positionH relativeFrom="column">
                        <wp:posOffset>1589405</wp:posOffset>
                      </wp:positionH>
                      <wp:positionV relativeFrom="paragraph">
                        <wp:posOffset>55427</wp:posOffset>
                      </wp:positionV>
                      <wp:extent cx="249851" cy="249851"/>
                      <wp:effectExtent l="12700" t="12700" r="17145" b="17145"/>
                      <wp:wrapNone/>
                      <wp:docPr id="242" name="Oval 242"/>
                      <wp:cNvGraphicFramePr/>
                      <a:graphic xmlns:a="http://schemas.openxmlformats.org/drawingml/2006/main">
                        <a:graphicData uri="http://schemas.microsoft.com/office/word/2010/wordprocessingShape">
                          <wps:wsp>
                            <wps:cNvSpPr/>
                            <wps:spPr>
                              <a:xfrm>
                                <a:off x="0" y="0"/>
                                <a:ext cx="249851" cy="249851"/>
                              </a:xfrm>
                              <a:prstGeom prst="ellipse">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B52C66" id="Oval 242" o:spid="_x0000_s1026" style="position:absolute;margin-left:125.15pt;margin-top:4.35pt;width:19.65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rCnwIAAOwFAAAOAAAAZHJzL2Uyb0RvYy54bWysVFFPGzEMfp+0/xDlfVx7KgwqrqgCMU1i&#10;gAYTzyGX0EhJnCVpr92vn5PcXdlgQ5rWh9R27M/Od7ZPz7ZGk43wQYFt6PRgQomwHFplnxr67f7y&#10;wzElITLbMg1WNHQnAj1bvH932rm5qGEFuhWeIIgN8841dBWjm1dV4CthWDgAJyxeSvCGRVT9U9V6&#10;1iG60VU9mRxVHfjWeeAiBLRelEu6yPhSCh5vpAwiEt1QrC3m0+fzMZ3V4pTNnzxzK8X7Mtg/VGGY&#10;sph0hLpgkZG1Vy+gjOIeAsh4wMFUIKXiIr8BXzOd/PaauxVzIr8FyQlupCn8P1h+vbn1RLUNrWc1&#10;JZYZ/Eg3G6ZJ0pGdzoU5Ot25W99rAcX01K30Jv3jI8g2M7obGRXbSDga69nJ8eGUEo5XvYwo1T7Y&#10;+RA/CTAkCQ0VWisX0pvZnG2uQizeg1cyB9CqvVRaZyX1iTjXnmDJDY3bOofqtfkCbbEdTfBXvjOa&#10;sRuKeTaYsZjcbQkll/ZLAm3fysk4FzZOU4YEta8OtRRdJQYLZ1mKOy0SprZfhUTmE0u56LGKUuCA&#10;m/OvWCuK+fCPdWfA5C2RnBF7+jfsUnPvn0JFHpkxePJ28BiRM4ONY7BRFvxrAHpkSxb/gaRCTWLp&#10;Edod9qWHMrDB8UuFDXLFQrxlHicUZxm3TrzBQ2roGgq9RMkK/I/X7MkfBwdvKelw4hsavq+ZF5To&#10;zxZH6mQ6m6UVkZXZ4ccaFf/85vH5jV2bc8CWw+bG6rKY/KMeROnBPOByWqaseMUsx9wN5dEPynks&#10;mwjXGxfLZXbDteBYvLJ3jifwxGrq/vvtA/Oun5KI43UNw3Z4MSnFN0VaWK4jSJXHaM9rzzeulNyz&#10;/fpLO+u5nr32S3rxEwAA//8DAFBLAwQUAAYACAAAACEAHmdPs94AAAAIAQAADwAAAGRycy9kb3du&#10;cmV2LnhtbEyPMU/DMBSEdyT+g/WQ2KhNUkoIeakiJDYG2iAEmxs/4ojYjmy3Df31mKmMpzvdfVet&#10;ZzOyA/kwOItwuxDAyHZODbZHeGufbwpgIUqr5OgsIfxQgHV9eVHJUrmj3dBhG3uWSmwoJYKOcSo5&#10;D50mI8PCTWST9+W8kTFJ33Pl5TGVm5FnQqy4kYNNC1pO9KSp+97uDYJvPpanNn/ZaPU5j++n/LU1&#10;skG8vpqbR2CR5ngOwx9+Qoc6Me3c3qrARoTsTuQpilDcA0t+VjysgO0QloUAXlf8/4H6FwAA//8D&#10;AFBLAQItABQABgAIAAAAIQC2gziS/gAAAOEBAAATAAAAAAAAAAAAAAAAAAAAAABbQ29udGVudF9U&#10;eXBlc10ueG1sUEsBAi0AFAAGAAgAAAAhADj9If/WAAAAlAEAAAsAAAAAAAAAAAAAAAAALwEAAF9y&#10;ZWxzLy5yZWxzUEsBAi0AFAAGAAgAAAAhAIHL2sKfAgAA7AUAAA4AAAAAAAAAAAAAAAAALgIAAGRy&#10;cy9lMm9Eb2MueG1sUEsBAi0AFAAGAAgAAAAhAB5nT7PeAAAACAEAAA8AAAAAAAAAAAAAAAAA+QQA&#10;AGRycy9kb3ducmV2LnhtbFBLBQYAAAAABAAEAPMAAAAEBgAAAAA=&#10;" fillcolor="#548dd4 [1951]" strokecolor="#4f81bd [3204]" strokeweight="2pt"/>
                  </w:pict>
                </mc:Fallback>
              </mc:AlternateContent>
            </w:r>
            <w:r w:rsidRPr="004147C8">
              <w:rPr>
                <w:rFonts w:ascii="Cambria" w:hAnsi="Cambria"/>
                <w:b/>
                <w:color w:val="0070C0"/>
                <w:sz w:val="20"/>
                <w:szCs w:val="20"/>
              </w:rPr>
              <w:t xml:space="preserve">BETTER THAN EXPECTED </w:t>
            </w:r>
          </w:p>
          <w:p w14:paraId="230F57AF"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87.5% (7 of 8) achieved or are progressing outcomes as expected. </w:t>
            </w:r>
          </w:p>
          <w:p w14:paraId="1EA386EE"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One activity is at risk (#014 Support to MoEC planning processes). </w:t>
            </w:r>
          </w:p>
          <w:p w14:paraId="027C0E57" w14:textId="572CA6EE"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One activity has an unexpe</w:t>
            </w:r>
            <w:r>
              <w:rPr>
                <w:rFonts w:ascii="Cambria" w:hAnsi="Cambria"/>
                <w:color w:val="002060"/>
                <w:sz w:val="20"/>
                <w:szCs w:val="20"/>
              </w:rPr>
              <w:t xml:space="preserve">cted positive outcome (#008 QA) – </w:t>
            </w:r>
            <w:r w:rsidR="00586D21">
              <w:rPr>
                <w:rFonts w:ascii="Cambria" w:hAnsi="Cambria"/>
                <w:color w:val="002060"/>
                <w:sz w:val="20"/>
                <w:szCs w:val="20"/>
              </w:rPr>
              <w:t>see detailed reporting in 2018 Monitoring Report.</w:t>
            </w:r>
          </w:p>
          <w:p w14:paraId="6C3EC3B8"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p>
        </w:tc>
      </w:tr>
      <w:tr w:rsidR="00A93502" w:rsidRPr="005E182B" w14:paraId="5DF501BD"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tcPr>
          <w:p w14:paraId="4C4714C7" w14:textId="77777777" w:rsidR="00A93502" w:rsidRPr="004147C8" w:rsidRDefault="00A93502" w:rsidP="002234FB">
            <w:pPr>
              <w:spacing w:before="120" w:after="120"/>
              <w:rPr>
                <w:rFonts w:ascii="Cambria" w:hAnsi="Cambria"/>
                <w:color w:val="002060"/>
                <w:sz w:val="20"/>
                <w:szCs w:val="20"/>
              </w:rPr>
            </w:pPr>
            <w:r w:rsidRPr="004147C8">
              <w:rPr>
                <w:rFonts w:ascii="Cambria" w:hAnsi="Cambria"/>
                <w:color w:val="002060"/>
                <w:sz w:val="20"/>
                <w:szCs w:val="20"/>
              </w:rPr>
              <w:t xml:space="preserve">Outputs </w:t>
            </w:r>
          </w:p>
        </w:tc>
      </w:tr>
      <w:tr w:rsidR="00A93502" w:rsidRPr="005E182B" w14:paraId="2D6CBBE8"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0" w:type="pct"/>
            <w:vMerge w:val="restart"/>
            <w:tcBorders>
              <w:top w:val="single" w:sz="4" w:space="0" w:color="auto"/>
              <w:bottom w:val="single" w:sz="4" w:space="0" w:color="auto"/>
              <w:right w:val="single" w:sz="8" w:space="0" w:color="FFFFFF" w:themeColor="background1"/>
            </w:tcBorders>
          </w:tcPr>
          <w:p w14:paraId="1B509BA2" w14:textId="77777777" w:rsidR="00A93502" w:rsidRPr="00E7783B" w:rsidRDefault="00A93502" w:rsidP="002234FB">
            <w:pPr>
              <w:spacing w:before="120" w:after="120"/>
              <w:rPr>
                <w:rFonts w:ascii="Cambria" w:hAnsi="Cambria"/>
                <w:b w:val="0"/>
                <w:color w:val="002060"/>
                <w:sz w:val="20"/>
                <w:szCs w:val="20"/>
              </w:rPr>
            </w:pPr>
            <w:r w:rsidRPr="00E7783B">
              <w:rPr>
                <w:rFonts w:ascii="Cambria" w:hAnsi="Cambria"/>
                <w:b w:val="0"/>
                <w:color w:val="002060"/>
                <w:sz w:val="20"/>
                <w:szCs w:val="20"/>
              </w:rPr>
              <w:t>Counterparts are provided with context-specific products and services that help them apply a systems-strengthening perspective to address the two key constraints</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7E6F65DF"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Indicator: Proportion of outputs that: align with needs, are strategic choice, timely and useful, adaptive and responsive, perceived as relevant by stakeholders, incorporated options that enhance gender and disability inclusion outcomes</w:t>
            </w:r>
          </w:p>
          <w:p w14:paraId="12A41BEB"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Target: Three-quarters of outputs rated at the mid-point and above across more than half of the rubric variables</w:t>
            </w:r>
          </w:p>
        </w:tc>
        <w:tc>
          <w:tcPr>
            <w:tcW w:w="2015" w:type="pct"/>
            <w:tcBorders>
              <w:top w:val="single" w:sz="4" w:space="0" w:color="auto"/>
              <w:left w:val="single" w:sz="8" w:space="0" w:color="FFFFFF" w:themeColor="background1"/>
              <w:bottom w:val="single" w:sz="4" w:space="0" w:color="auto"/>
            </w:tcBorders>
          </w:tcPr>
          <w:p w14:paraId="3CCFBC3F"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b/>
                <w:color w:val="0070C0"/>
                <w:sz w:val="20"/>
                <w:szCs w:val="20"/>
              </w:rPr>
            </w:pPr>
            <w:r w:rsidRPr="004147C8">
              <w:rPr>
                <w:rFonts w:ascii="Cambria" w:hAnsi="Cambria"/>
                <w:b/>
                <w:noProof/>
                <w:color w:val="0070C0"/>
                <w:sz w:val="20"/>
                <w:szCs w:val="20"/>
                <w:lang w:val="en-AU" w:eastAsia="en-AU" w:bidi="ar-SA"/>
              </w:rPr>
              <mc:AlternateContent>
                <mc:Choice Requires="wps">
                  <w:drawing>
                    <wp:anchor distT="0" distB="0" distL="114300" distR="114300" simplePos="0" relativeHeight="251665920" behindDoc="0" locked="0" layoutInCell="1" allowOverlap="1" wp14:anchorId="2E69B846" wp14:editId="19C7022F">
                      <wp:simplePos x="0" y="0"/>
                      <wp:positionH relativeFrom="column">
                        <wp:posOffset>1625757</wp:posOffset>
                      </wp:positionH>
                      <wp:positionV relativeFrom="paragraph">
                        <wp:posOffset>39532</wp:posOffset>
                      </wp:positionV>
                      <wp:extent cx="267957" cy="253347"/>
                      <wp:effectExtent l="12700" t="12700" r="12065" b="13970"/>
                      <wp:wrapNone/>
                      <wp:docPr id="243" name="Oval 243"/>
                      <wp:cNvGraphicFramePr/>
                      <a:graphic xmlns:a="http://schemas.openxmlformats.org/drawingml/2006/main">
                        <a:graphicData uri="http://schemas.microsoft.com/office/word/2010/wordprocessingShape">
                          <wps:wsp>
                            <wps:cNvSpPr/>
                            <wps:spPr>
                              <a:xfrm>
                                <a:off x="0" y="0"/>
                                <a:ext cx="267957" cy="253347"/>
                              </a:xfrm>
                              <a:prstGeom prst="ellipse">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1547E0" id="Oval 243" o:spid="_x0000_s1026" style="position:absolute;margin-left:128pt;margin-top:3.1pt;width:21.1pt;height:1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frpAIAAOwFAAAOAAAAZHJzL2Uyb0RvYy54bWysVFFPGzEMfp+0/xDlfVxbWjoqrqgCMU1i&#10;FA0mnkMu4SLl4ixJe+1+/Zzk7ugGG9K0PqSxY3+2v7N9dr5rNNkK5xWYko6PRpQIw6FS5qmk3+6v&#10;PnykxAdmKqbBiJLuhafny/fvzlq7EBOoQVfCEQQxftHaktYh2EVReF6LhvkjsMLgowTXsICieyoq&#10;x1pEb3QxGY1OihZcZR1w4T1qL/MjXSZ8KQUPaym9CESXFHML6XTpfIxnsTxjiyfHbK14lwb7hywa&#10;pgwGHaAuWWBk49QLqEZxBx5kOOLQFCCl4iLVgNWMR79Vc1czK1ItSI63A03+/8Hym+2tI6oq6WR6&#10;TIlhDX6k9ZZpEmVkp7V+gUZ39tZ1ksdrLHUnXRP/sQiyS4zuB0bFLhCOysnJ/HQ2p4Tj02R2fDyd&#10;R8zi2dk6Hz4JaEi8lFRorayPNbMF2177kK17q6j2oFV1pbROQuwTcaEdwZRLGnaT5Ko3zReosu5k&#10;hL/8nVGN3ZDV016NyaRuiygptV8CaPNWTMa5MGHc1XXgjMDRu4gMZs7SLey1iJjafBUSmY8spaSH&#10;LHKCPW6KX7NKZPXsj3knwGgtkZwBe/w37MxuZx9dRRqZwXn0tvPgkSKDCYNzowy41wD0wJbM9j1J&#10;mZrI0iNUe+xLB3lgveVXChvkmvlwyxxOKM4ybp2wxkNqaEsK3Y2SGtyP1/TRHgcHXylpceJL6r9v&#10;mBOU6M8GR+p0PJ3GFZGE6Ww+QcEdvjwevphNcwHYcmPcb5ana7QPur9KB80DLqdVjIpPzHCMXVIe&#10;XC9chLyJcL1xsVolM1wLloVrc2d5BI+sxu6/3z0wZ7spCTheN9BvhxeTkm2jp4HVJoBUaYyeee34&#10;xpWSGr5bf3FnHcrJ6nlJL38CAAD//wMAUEsDBBQABgAIAAAAIQCgNiaO3wAAAAgBAAAPAAAAZHJz&#10;L2Rvd25yZXYueG1sTI/BTsMwEETvSPyDtUjcqNO0RG2aTRUhceNAG4Tg5sYmjrDXke22oV+POdHb&#10;rGY186baTtawk/JhcIQwn2XAFHVODtQjvLXPDytgIQqSwjhSCD8qwLa+valEKd2Zduq0jz1LIRRK&#10;gaBjHEvOQ6eVFWHmRkXJ+3LeiphO33PpxTmFW8PzLCu4FQOlBi1G9aRV970/WgTffCwv7eJlp+Xn&#10;ZN4vi9fWigbx/m5qNsCimuL/M/zhJ3SoE9PBHUkGZhDyxyJtiQhFDiz5+XqVxAFhWcyB1xW/HlD/&#10;AgAA//8DAFBLAQItABQABgAIAAAAIQC2gziS/gAAAOEBAAATAAAAAAAAAAAAAAAAAAAAAABbQ29u&#10;dGVudF9UeXBlc10ueG1sUEsBAi0AFAAGAAgAAAAhADj9If/WAAAAlAEAAAsAAAAAAAAAAAAAAAAA&#10;LwEAAF9yZWxzLy5yZWxzUEsBAi0AFAAGAAgAAAAhAFy9N+ukAgAA7AUAAA4AAAAAAAAAAAAAAAAA&#10;LgIAAGRycy9lMm9Eb2MueG1sUEsBAi0AFAAGAAgAAAAhAKA2Jo7fAAAACAEAAA8AAAAAAAAAAAAA&#10;AAAA/gQAAGRycy9kb3ducmV2LnhtbFBLBQYAAAAABAAEAPMAAAAKBgAAAAA=&#10;" fillcolor="#548dd4 [1951]" strokecolor="#4f81bd [3204]" strokeweight="2pt"/>
                  </w:pict>
                </mc:Fallback>
              </mc:AlternateContent>
            </w:r>
            <w:r w:rsidRPr="004147C8">
              <w:rPr>
                <w:rFonts w:ascii="Cambria" w:hAnsi="Cambria"/>
                <w:b/>
                <w:color w:val="0070C0"/>
                <w:sz w:val="20"/>
                <w:szCs w:val="20"/>
              </w:rPr>
              <w:t xml:space="preserve">BETTER THAN EXPECTED </w:t>
            </w:r>
          </w:p>
          <w:p w14:paraId="0875875F"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87.5% of activities (7 of 8) were rated ‘good to excellent’ across more than one-half of the variables. </w:t>
            </w:r>
          </w:p>
          <w:p w14:paraId="1FD6E9C2"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One activity was rated only ‘fair’ (#014 Support to MoEC planning processes). </w:t>
            </w:r>
          </w:p>
          <w:p w14:paraId="12D26B54"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p>
          <w:p w14:paraId="2D6C43AB" w14:textId="77777777" w:rsidR="00A93502" w:rsidRPr="004147C8"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p>
        </w:tc>
      </w:tr>
      <w:tr w:rsidR="00A93502" w:rsidRPr="005E182B" w14:paraId="04FA3115"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1210" w:type="pct"/>
            <w:vMerge/>
            <w:tcBorders>
              <w:top w:val="single" w:sz="4" w:space="0" w:color="auto"/>
              <w:bottom w:val="single" w:sz="4" w:space="0" w:color="auto"/>
              <w:right w:val="single" w:sz="8" w:space="0" w:color="FFFFFF" w:themeColor="background1"/>
            </w:tcBorders>
          </w:tcPr>
          <w:p w14:paraId="3F718361" w14:textId="77777777" w:rsidR="00A93502" w:rsidRPr="00DF347B" w:rsidRDefault="00A93502" w:rsidP="002234FB">
            <w:pPr>
              <w:spacing w:before="120" w:after="120"/>
              <w:rPr>
                <w:rFonts w:ascii="Cambria" w:hAnsi="Cambria"/>
                <w:color w:val="002060"/>
                <w:sz w:val="18"/>
                <w:szCs w:val="18"/>
              </w:rPr>
            </w:pP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00CA00C0"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Indicator: Proportion of activities reported in which TASS core team and STA rated as effective </w:t>
            </w:r>
          </w:p>
          <w:p w14:paraId="608B776D"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Target: Majority of TASS core team and STA are assessed as high quality </w:t>
            </w:r>
          </w:p>
        </w:tc>
        <w:tc>
          <w:tcPr>
            <w:tcW w:w="2015" w:type="pct"/>
            <w:tcBorders>
              <w:top w:val="single" w:sz="4" w:space="0" w:color="auto"/>
              <w:left w:val="single" w:sz="8" w:space="0" w:color="FFFFFF" w:themeColor="background1"/>
              <w:bottom w:val="single" w:sz="4" w:space="0" w:color="auto"/>
            </w:tcBorders>
          </w:tcPr>
          <w:p w14:paraId="61717AD8"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4F6228" w:themeColor="accent3" w:themeShade="80"/>
                <w:sz w:val="20"/>
                <w:szCs w:val="20"/>
              </w:rPr>
            </w:pPr>
            <w:r w:rsidRPr="004147C8">
              <w:rPr>
                <w:rFonts w:ascii="Cambria" w:hAnsi="Cambria"/>
                <w:b/>
                <w:noProof/>
                <w:color w:val="4F6228" w:themeColor="accent3" w:themeShade="80"/>
                <w:sz w:val="20"/>
                <w:szCs w:val="20"/>
                <w:lang w:val="en-AU" w:eastAsia="en-AU" w:bidi="ar-SA"/>
              </w:rPr>
              <mc:AlternateContent>
                <mc:Choice Requires="wps">
                  <w:drawing>
                    <wp:anchor distT="0" distB="0" distL="114300" distR="114300" simplePos="0" relativeHeight="251661824" behindDoc="0" locked="0" layoutInCell="1" allowOverlap="1" wp14:anchorId="2F553BBD" wp14:editId="02AB8751">
                      <wp:simplePos x="0" y="0"/>
                      <wp:positionH relativeFrom="column">
                        <wp:posOffset>829052</wp:posOffset>
                      </wp:positionH>
                      <wp:positionV relativeFrom="paragraph">
                        <wp:posOffset>40898</wp:posOffset>
                      </wp:positionV>
                      <wp:extent cx="286065" cy="271453"/>
                      <wp:effectExtent l="12700" t="12700" r="19050" b="8255"/>
                      <wp:wrapNone/>
                      <wp:docPr id="244" name="Smiley Face 244"/>
                      <wp:cNvGraphicFramePr/>
                      <a:graphic xmlns:a="http://schemas.openxmlformats.org/drawingml/2006/main">
                        <a:graphicData uri="http://schemas.microsoft.com/office/word/2010/wordprocessingShape">
                          <wps:wsp>
                            <wps:cNvSpPr/>
                            <wps:spPr>
                              <a:xfrm>
                                <a:off x="0" y="0"/>
                                <a:ext cx="286065" cy="271453"/>
                              </a:xfrm>
                              <a:prstGeom prst="smileyFace">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B4BBE" id="Smiley Face 244" o:spid="_x0000_s1026" type="#_x0000_t96" style="position:absolute;margin-left:65.3pt;margin-top:3.2pt;width:22.5pt;height:2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2oQIAAAcGAAAOAAAAZHJzL2Uyb0RvYy54bWy0VN9v2yAQfp+0/wHxvtpJk7aL6lRRq0yT&#10;urZaOvWZYqiRgGNA4mR//Q7suFkX7WHaXmzu13d3H9xdXm2NJhvhgwJb0dFJSYmwHGplXyr67XH5&#10;4YKSEJmtmQYrKroTgV7N37+7bN1MjKEBXQtPEMSGWesq2sToZkUReCMMCyfghEWjBG9YRNG/FLVn&#10;LaIbXYzL8qxowdfOAxchoPamM9J5xpdS8HgvZRCR6IpibTF/ff4+p28xv2SzF89co3hfBvuLKgxT&#10;FpMOUDcsMrL26jcoo7iHADKecDAFSKm4yD1gN6PyTTerhjmRe0FyghtoCv8Olt9tHjxRdUXHkwkl&#10;lhm8pJVRWuzIknFBkhpJal2Yoe/KPfheCnhMHW+lN+mPvZBtJnY3ECu2kXBUji/OyrMpJRxN4/PR&#10;ZHqaMIvXYOdD/CTAkHSoaMgFpPyZVLa5DbEL2DumjAG0qpdK6yykFyOutScbhnfNOBc2nuZwvTZf&#10;oO7059OyzLeOyfMjSyG5lF/QtP2vCTB5ylAkVjse8ynutEh5tf0qJF5KYi53MFR62NyoMzWsFp06&#10;tXa8twyYkCWyNWD3AMeIG/X30/unUJGnaQgu/1RYd1dDRM4MNg7BRlnwxwB0HDJ3/nuSOmoSS89Q&#10;7/DJeuhmOTi+VPhoblmID8zj8OKY40KK9/iRGtqKQn+ipAH/45g++eNMoZWSFpcBvsDva+YFJfqz&#10;xWn7OJpM0vbIwmR6PkbBH1qeDy12ba4B3+AIV5/j+Zj8o94fpQfzhHtrkbKiiVmOuSvKo98L17Fb&#10;Urj5uFgsshtuDMfirV05nsATq2kcHrdPzLt+ciKO3B3sFwebvRmdzjdFWlisI0iV5+qV155v3DZ5&#10;KPrNmNbZoZy9Xvf3/CcAAAD//wMAUEsDBBQABgAIAAAAIQDjhKea3AAAAAgBAAAPAAAAZHJzL2Rv&#10;d25yZXYueG1sTI9BTwIxEIXvJv6HZky8SReECut2CTFy8GCICPdhW3c3ttN1W2D99w4nPL68l2++&#10;KZaDd+Jk+9gG0jAeZSAsVcG0VGvYfa4f5iBiQjLoAlkNvzbCsry9KTA34Uwf9rRNtWAIxRw1NCl1&#10;uZSxaqzHOAqdJe6+Qu8xcexraXo8M9w7OckyJT22xBca7OxLY6vv7dFrUJP3xe5NYbf5ia9qFWbr&#10;jdw7re/vhtUziGSHdB3DRZ/VoWSnQziSicJxfswUTxk2BXHpn2acDxqmizHIspD/Hyj/AAAA//8D&#10;AFBLAQItABQABgAIAAAAIQC2gziS/gAAAOEBAAATAAAAAAAAAAAAAAAAAAAAAABbQ29udGVudF9U&#10;eXBlc10ueG1sUEsBAi0AFAAGAAgAAAAhADj9If/WAAAAlAEAAAsAAAAAAAAAAAAAAAAALwEAAF9y&#10;ZWxzLy5yZWxzUEsBAi0AFAAGAAgAAAAhAH5+jXahAgAABwYAAA4AAAAAAAAAAAAAAAAALgIAAGRy&#10;cy9lMm9Eb2MueG1sUEsBAi0AFAAGAAgAAAAhAOOEp5rcAAAACAEAAA8AAAAAAAAAAAAAAAAA+wQA&#10;AGRycy9kb3ducmV2LnhtbFBLBQYAAAAABAAEAPMAAAAEBgAAAAA=&#10;" fillcolor="#76923c [2406]" strokecolor="#76923c [2406]" strokeweight="2pt"/>
                  </w:pict>
                </mc:Fallback>
              </mc:AlternateContent>
            </w:r>
            <w:r w:rsidRPr="004147C8">
              <w:rPr>
                <w:rFonts w:ascii="Cambria" w:hAnsi="Cambria"/>
                <w:b/>
                <w:color w:val="4F6228" w:themeColor="accent3" w:themeShade="80"/>
                <w:sz w:val="20"/>
                <w:szCs w:val="20"/>
              </w:rPr>
              <w:t>ON TARGET</w:t>
            </w:r>
          </w:p>
          <w:p w14:paraId="5982AB80"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TASS core team and STA were consistently assessed as high quality by all respondents</w:t>
            </w:r>
            <w:r>
              <w:rPr>
                <w:rFonts w:ascii="Cambria" w:hAnsi="Cambria"/>
                <w:color w:val="002060"/>
                <w:sz w:val="20"/>
                <w:szCs w:val="20"/>
              </w:rPr>
              <w:t xml:space="preserve"> across all 8 activities</w:t>
            </w:r>
            <w:r w:rsidRPr="004147C8">
              <w:rPr>
                <w:rFonts w:ascii="Cambria" w:hAnsi="Cambria"/>
                <w:color w:val="002060"/>
                <w:sz w:val="20"/>
                <w:szCs w:val="20"/>
              </w:rPr>
              <w:t>, with one exception – the STA for #014, Support to MoEC planning processes.</w:t>
            </w:r>
          </w:p>
        </w:tc>
      </w:tr>
      <w:tr w:rsidR="00A93502" w:rsidRPr="005E182B" w14:paraId="79F370F7"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tcPr>
          <w:p w14:paraId="0D39B578" w14:textId="77777777" w:rsidR="00A93502" w:rsidRPr="004147C8" w:rsidRDefault="00A93502" w:rsidP="002234FB">
            <w:pPr>
              <w:spacing w:before="120" w:after="120"/>
              <w:rPr>
                <w:rFonts w:ascii="Cambria" w:hAnsi="Cambria"/>
                <w:color w:val="002060"/>
                <w:sz w:val="20"/>
                <w:szCs w:val="20"/>
              </w:rPr>
            </w:pPr>
            <w:r w:rsidRPr="004147C8">
              <w:rPr>
                <w:rFonts w:ascii="Cambria" w:hAnsi="Cambria"/>
                <w:color w:val="002060"/>
                <w:sz w:val="20"/>
                <w:szCs w:val="20"/>
              </w:rPr>
              <w:t>Activities</w:t>
            </w:r>
          </w:p>
        </w:tc>
      </w:tr>
      <w:tr w:rsidR="00A93502" w:rsidRPr="005E182B" w14:paraId="019F2E2F"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auto"/>
              <w:bottom w:val="single" w:sz="4" w:space="0" w:color="auto"/>
              <w:right w:val="single" w:sz="8" w:space="0" w:color="FFFFFF" w:themeColor="background1"/>
            </w:tcBorders>
          </w:tcPr>
          <w:p w14:paraId="0B41B2AA" w14:textId="77777777" w:rsidR="00A93502" w:rsidRPr="00E7783B" w:rsidRDefault="00A93502" w:rsidP="002234FB">
            <w:pPr>
              <w:spacing w:before="120" w:after="120"/>
              <w:rPr>
                <w:rFonts w:ascii="Cambria" w:hAnsi="Cambria"/>
                <w:b w:val="0"/>
                <w:color w:val="002060"/>
                <w:sz w:val="20"/>
                <w:szCs w:val="20"/>
              </w:rPr>
            </w:pPr>
            <w:r w:rsidRPr="00E7783B">
              <w:rPr>
                <w:rFonts w:ascii="Cambria" w:hAnsi="Cambria"/>
                <w:b w:val="0"/>
                <w:color w:val="002060"/>
                <w:sz w:val="20"/>
                <w:szCs w:val="20"/>
              </w:rPr>
              <w:t>Provision of tailored, short-term activities focused on progressing an aspect of reform to address the two key constraints</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726FCBD7"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Indicator: Proportion of activities</w:t>
            </w:r>
            <w:r>
              <w:rPr>
                <w:rFonts w:ascii="Cambria" w:hAnsi="Cambria"/>
                <w:color w:val="002060"/>
                <w:sz w:val="20"/>
                <w:szCs w:val="20"/>
              </w:rPr>
              <w:t xml:space="preserve">: </w:t>
            </w:r>
            <w:r w:rsidRPr="004147C8">
              <w:rPr>
                <w:rFonts w:ascii="Cambria" w:hAnsi="Cambria"/>
                <w:color w:val="002060"/>
                <w:sz w:val="20"/>
                <w:szCs w:val="20"/>
              </w:rPr>
              <w:t xml:space="preserve">strong line-of-sight to EOFO, contextually-informed, best-fit, support local problems and solutions, committed counterparts, methodology likely to enhance gender and disability inclusion outcomes </w:t>
            </w:r>
          </w:p>
          <w:p w14:paraId="45EBFE20"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Target: 90% of activities </w:t>
            </w:r>
          </w:p>
        </w:tc>
        <w:tc>
          <w:tcPr>
            <w:tcW w:w="2015" w:type="pct"/>
            <w:tcBorders>
              <w:top w:val="single" w:sz="4" w:space="0" w:color="auto"/>
              <w:left w:val="single" w:sz="8" w:space="0" w:color="FFFFFF" w:themeColor="background1"/>
              <w:bottom w:val="single" w:sz="4" w:space="0" w:color="auto"/>
            </w:tcBorders>
          </w:tcPr>
          <w:p w14:paraId="0980F7C2"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70C0"/>
                <w:sz w:val="20"/>
                <w:szCs w:val="20"/>
              </w:rPr>
            </w:pPr>
            <w:r w:rsidRPr="004147C8">
              <w:rPr>
                <w:rFonts w:ascii="Cambria" w:hAnsi="Cambria"/>
                <w:b/>
                <w:noProof/>
                <w:color w:val="0070C0"/>
                <w:sz w:val="20"/>
                <w:szCs w:val="20"/>
                <w:lang w:val="en-AU" w:eastAsia="en-AU" w:bidi="ar-SA"/>
              </w:rPr>
              <mc:AlternateContent>
                <mc:Choice Requires="wps">
                  <w:drawing>
                    <wp:anchor distT="0" distB="0" distL="114300" distR="114300" simplePos="0" relativeHeight="251666944" behindDoc="0" locked="0" layoutInCell="1" allowOverlap="1" wp14:anchorId="31060FF3" wp14:editId="0972D16C">
                      <wp:simplePos x="0" y="0"/>
                      <wp:positionH relativeFrom="column">
                        <wp:posOffset>1616704</wp:posOffset>
                      </wp:positionH>
                      <wp:positionV relativeFrom="paragraph">
                        <wp:posOffset>62771</wp:posOffset>
                      </wp:positionV>
                      <wp:extent cx="304171" cy="322278"/>
                      <wp:effectExtent l="12700" t="12700" r="13335" b="8255"/>
                      <wp:wrapNone/>
                      <wp:docPr id="251" name="Oval 251"/>
                      <wp:cNvGraphicFramePr/>
                      <a:graphic xmlns:a="http://schemas.openxmlformats.org/drawingml/2006/main">
                        <a:graphicData uri="http://schemas.microsoft.com/office/word/2010/wordprocessingShape">
                          <wps:wsp>
                            <wps:cNvSpPr/>
                            <wps:spPr>
                              <a:xfrm>
                                <a:off x="0" y="0"/>
                                <a:ext cx="304171" cy="322278"/>
                              </a:xfrm>
                              <a:prstGeom prst="ellipse">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E05E16" id="Oval 251" o:spid="_x0000_s1026" style="position:absolute;margin-left:127.3pt;margin-top:4.95pt;width:23.95pt;height:2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DXpQIAAOwFAAAOAAAAZHJzL2Uyb0RvYy54bWysVN9PGzEMfp+0/yHK+7jrUX6s4ooqENMk&#10;RtFg4jnkEnpSEmdJ2mv3189J7q5sgJCm9SGNHfuz/Z3ts/OtVmQjnG/B1HRyUFIiDIemNU81/XF/&#10;9emUEh+YaZgCI2q6E56ezz9+OOvsTFSwAtUIRxDE+Flna7oKwc6KwvOV0MwfgBUGHyU4zQKK7qlo&#10;HOsQXauiKsvjogPXWAdceI/ay/xI5wlfSsHDUkovAlE1xdxCOl06H+NZzM/Y7Mkxu2p5nwb7hyw0&#10;aw0GHaEuWWBk7doXULrlDjzIcMBBFyBly0WqAauZlH9Vc7diVqRakBxvR5r8/4PlN5tbR9qmptXR&#10;hBLDNH6k5YYpEmVkp7N+hkZ39tb1ksdrLHUrnY7/WATZJkZ3I6NiGwhH5WE5nZwgLsenw6qqTk4j&#10;ZrF3ts6HLwI0iZeaCqVa62PNbMY21z5k68Eqqj2otrlqlUpC7BNxoRzBlGsatlVyVWv9DZqsOy7x&#10;l78zqrEbsno6qDGZ1G0RJaX2RwBl3ovJOBcmJK4i1D47lKJ3ERnMnKVb2CkRMZX5LiQyjyzlpMcs&#10;coIDboq/Yo3I6qM3806A0VoiOSP2JBHyBnZmt7ePriKNzOhcvu88eqTIYMLorFsD7jUANbIls/1A&#10;UqYmsvQIzQ770kEeWG/5VYsNcs18uGUOJxRnGbdOWOIhFXQ1hf5GyQrcr9f00R4HB18p6XDia+p/&#10;rpkTlKivBkfq82Q6jSsiCdOjkwoF9/zl8fmLWesLwJbD5sbs0jXaBzVcpQP9gMtpEaPiEzMcY9eU&#10;BzcIFyFvIlxvXCwWyQzXgmXh2txZHsEjq7H777cPzNl+SgKO1w0M2+HFpGTb6GlgsQ4g2zRGe157&#10;vnGlpIbv11/cWc/lZLVf0vPfAAAA//8DAFBLAwQUAAYACAAAACEAL0Qqv98AAAAIAQAADwAAAGRy&#10;cy9kb3ducmV2LnhtbEyPMU/DMBSEdyT+g/WQ2KhN0gYa8lJFSGwMtEEINjc2cUT8HNluG/rrMROM&#10;pzvdfVdtZjuyo/ZhcIRwuxDANHVODdQjvLZPN/fAQpSk5OhII3zrAJv68qKSpXIn2urjLvYslVAo&#10;JYKJcSo5D53RVoaFmzQl79N5K2OSvufKy1MqtyPPhCi4lQOlBSMn/Wh097U7WATfvC/Pbf68Nepj&#10;Ht/O+UtrZYN4fTU3D8CinuNfGH7xEzrUiWnvDqQCGxGy1bJIUYT1Gljyc5GtgO0RCnEHvK74/wP1&#10;DwAAAP//AwBQSwECLQAUAAYACAAAACEAtoM4kv4AAADhAQAAEwAAAAAAAAAAAAAAAAAAAAAAW0Nv&#10;bnRlbnRfVHlwZXNdLnhtbFBLAQItABQABgAIAAAAIQA4/SH/1gAAAJQBAAALAAAAAAAAAAAAAAAA&#10;AC8BAABfcmVscy8ucmVsc1BLAQItABQABgAIAAAAIQCgbzDXpQIAAOwFAAAOAAAAAAAAAAAAAAAA&#10;AC4CAABkcnMvZTJvRG9jLnhtbFBLAQItABQABgAIAAAAIQAvRCq/3wAAAAgBAAAPAAAAAAAAAAAA&#10;AAAAAP8EAABkcnMvZG93bnJldi54bWxQSwUGAAAAAAQABADzAAAACwYAAAAA&#10;" fillcolor="#548dd4 [1951]" strokecolor="#4f81bd [3204]" strokeweight="2pt"/>
                  </w:pict>
                </mc:Fallback>
              </mc:AlternateContent>
            </w:r>
            <w:r w:rsidRPr="004147C8">
              <w:rPr>
                <w:rFonts w:ascii="Cambria" w:hAnsi="Cambria"/>
                <w:b/>
                <w:color w:val="0070C0"/>
                <w:sz w:val="20"/>
                <w:szCs w:val="20"/>
              </w:rPr>
              <w:t xml:space="preserve">BETTER THAN EXPECTED </w:t>
            </w:r>
          </w:p>
          <w:p w14:paraId="33AD70B2"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p>
          <w:p w14:paraId="1FC91E61"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All eight activities met the required variables. </w:t>
            </w:r>
          </w:p>
        </w:tc>
      </w:tr>
      <w:tr w:rsidR="00A93502" w:rsidRPr="005E182B" w14:paraId="7A0632D4"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tcPr>
          <w:p w14:paraId="52BB645D" w14:textId="77777777" w:rsidR="00A93502" w:rsidRPr="004147C8" w:rsidRDefault="00A93502" w:rsidP="002234FB">
            <w:pPr>
              <w:spacing w:before="120" w:after="120"/>
              <w:rPr>
                <w:rFonts w:ascii="Cambria" w:hAnsi="Cambria"/>
                <w:color w:val="002060"/>
                <w:sz w:val="20"/>
                <w:szCs w:val="20"/>
              </w:rPr>
            </w:pPr>
            <w:r w:rsidRPr="004147C8">
              <w:rPr>
                <w:rFonts w:ascii="Cambria" w:hAnsi="Cambria"/>
                <w:color w:val="002060"/>
                <w:sz w:val="20"/>
                <w:szCs w:val="20"/>
              </w:rPr>
              <w:t>Approaches</w:t>
            </w:r>
          </w:p>
        </w:tc>
      </w:tr>
      <w:tr w:rsidR="00A93502" w:rsidRPr="005E182B" w14:paraId="3862EC1B"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1210" w:type="pct"/>
            <w:vMerge w:val="restart"/>
            <w:tcBorders>
              <w:top w:val="single" w:sz="4" w:space="0" w:color="auto"/>
              <w:bottom w:val="single" w:sz="4" w:space="0" w:color="auto"/>
              <w:right w:val="single" w:sz="8" w:space="0" w:color="FFFFFF" w:themeColor="background1"/>
            </w:tcBorders>
          </w:tcPr>
          <w:p w14:paraId="5AD8DBA9" w14:textId="77777777" w:rsidR="00A93502" w:rsidRPr="00E7783B" w:rsidRDefault="00A93502" w:rsidP="002234FB">
            <w:pPr>
              <w:spacing w:before="120" w:after="120"/>
              <w:rPr>
                <w:rFonts w:ascii="Cambria" w:hAnsi="Cambria"/>
                <w:b w:val="0"/>
                <w:color w:val="002060"/>
                <w:sz w:val="20"/>
                <w:szCs w:val="20"/>
              </w:rPr>
            </w:pPr>
            <w:r w:rsidRPr="00E7783B">
              <w:rPr>
                <w:rFonts w:ascii="Cambria" w:hAnsi="Cambria"/>
                <w:b w:val="0"/>
                <w:color w:val="002060"/>
                <w:sz w:val="20"/>
                <w:szCs w:val="20"/>
              </w:rPr>
              <w:t>TWP and K2P applied at all stages</w:t>
            </w: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4C6FCAEB"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Indicator: Evidence that TWP and K2P are incorporated in everyday practice and are making a difference to uptake and use</w:t>
            </w:r>
          </w:p>
          <w:p w14:paraId="77C8821E"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Target: Approaches demonstrated to make a difference in majority of activities (70%)</w:t>
            </w:r>
          </w:p>
        </w:tc>
        <w:tc>
          <w:tcPr>
            <w:tcW w:w="2015" w:type="pct"/>
            <w:tcBorders>
              <w:top w:val="single" w:sz="4" w:space="0" w:color="auto"/>
              <w:left w:val="single" w:sz="8" w:space="0" w:color="FFFFFF" w:themeColor="background1"/>
              <w:bottom w:val="single" w:sz="4" w:space="0" w:color="auto"/>
            </w:tcBorders>
          </w:tcPr>
          <w:p w14:paraId="6234B68D"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70C0"/>
                <w:sz w:val="20"/>
                <w:szCs w:val="20"/>
              </w:rPr>
            </w:pPr>
            <w:r w:rsidRPr="004147C8">
              <w:rPr>
                <w:rFonts w:ascii="Cambria" w:hAnsi="Cambria"/>
                <w:b/>
                <w:noProof/>
                <w:color w:val="0070C0"/>
                <w:sz w:val="20"/>
                <w:szCs w:val="20"/>
                <w:lang w:val="en-AU" w:eastAsia="en-AU" w:bidi="ar-SA"/>
              </w:rPr>
              <mc:AlternateContent>
                <mc:Choice Requires="wps">
                  <w:drawing>
                    <wp:anchor distT="0" distB="0" distL="114300" distR="114300" simplePos="0" relativeHeight="251668992" behindDoc="0" locked="0" layoutInCell="1" allowOverlap="1" wp14:anchorId="71C763E1" wp14:editId="14D8C90C">
                      <wp:simplePos x="0" y="0"/>
                      <wp:positionH relativeFrom="column">
                        <wp:posOffset>1624394</wp:posOffset>
                      </wp:positionH>
                      <wp:positionV relativeFrom="paragraph">
                        <wp:posOffset>73622</wp:posOffset>
                      </wp:positionV>
                      <wp:extent cx="286064" cy="267958"/>
                      <wp:effectExtent l="12700" t="12700" r="19050" b="12065"/>
                      <wp:wrapNone/>
                      <wp:docPr id="252" name="Oval 252"/>
                      <wp:cNvGraphicFramePr/>
                      <a:graphic xmlns:a="http://schemas.openxmlformats.org/drawingml/2006/main">
                        <a:graphicData uri="http://schemas.microsoft.com/office/word/2010/wordprocessingShape">
                          <wps:wsp>
                            <wps:cNvSpPr/>
                            <wps:spPr>
                              <a:xfrm>
                                <a:off x="0" y="0"/>
                                <a:ext cx="286064" cy="267958"/>
                              </a:xfrm>
                              <a:prstGeom prst="ellipse">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70AED0" id="Oval 252" o:spid="_x0000_s1026" style="position:absolute;margin-left:127.9pt;margin-top:5.8pt;width:22.5pt;height:2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IwowIAAOwFAAAOAAAAZHJzL2Uyb0RvYy54bWysVFFPGzEMfp+0/xDlfdz11BaouKIKxDSJ&#10;DTSYeA65hEbKxVmS9tr9+jnJ3dENNqRpfUhjx/5sf2f77HzXarIVziswNZ0clZQIw6FR5qmm3+6v&#10;PpxQ4gMzDdNgRE33wtPz5ft3Z51diArWoBvhCIIYv+hsTdch2EVReL4WLfNHYIXBRwmuZQFF91Q0&#10;jnWI3uqiKst50YFrrAMuvEftZX6ky4QvpeDhRkovAtE1xdxCOl06H+NZLM/Y4skxu1a8T4P9QxYt&#10;UwaDjlCXLDCyceoFVKu4Aw8yHHFoC5BScZFqwGom5W/V3K2ZFakWJMfbkSb//2D5l+2tI6qpaTWr&#10;KDGsxY90s2WaRBnZ6axfoNGdvXW95PEaS91J18Z/LILsEqP7kVGxC4SjsjqZl/MpJRyfqvnx6ewk&#10;YhbPztb58FFAS+KlpkJrZX2smS3Y9tqHbD1YRbUHrZorpXUSYp+IC+0IplzTsKuSq960n6HJunmJ&#10;v/ydUY3dkNXTQY3JpG6LKCm1XwJo81ZMxrkwYdLXdeCMwNG7iAxmztIt7LWImNp8FRKZjyylpMcs&#10;coIDboq/Zo3I6tkf806A0VoiOSP25G/Ymd3ePrqKNDKjc/m28+iRIoMJo3OrDLjXAPTIlsz2A0mZ&#10;msjSIzR77EsHeWC95VcKG+Sa+XDLHE4ozjJunXCDh9TQ1RT6GyVrcD9e00d7HBx8paTDia+p/75h&#10;TlCiPxkcqdPJdBpXRBKms+MKBXf48nj4YjbtBWDLTXC/WZ6u0T7o4SodtA+4nFYxKj4xwzF2TXlw&#10;g3AR8ibC9cbFapXMcC1YFq7NneURPLIau/9+98Cc7ack4Hh9gWE7vJiUbBs9Daw2AaRKY/TMa883&#10;rpTU8P36izvrUE5Wz0t6+RMAAP//AwBQSwMEFAAGAAgAAAAhAE4E6/neAAAACQEAAA8AAABkcnMv&#10;ZG93bnJldi54bWxMj8FOwzAQRO9I/IO1SNyo3YZUVYhTRUjcONAGIbi5sYkj7HVku23o17Oc4Dg7&#10;o5m39Xb2jp1MTGNACcuFAGawD3rEQcJr93S3AZayQq1cQCPh2yTYNtdXtap0OOPOnPZ5YFSCqVIS&#10;bM5TxXnqrfEqLcJkkLzPEL3KJOPAdVRnKveOr4RYc69GpAWrJvNoTf+1P3oJsX2/v3TF887qj9m9&#10;XYqXzqtWytubuX0Als2c/8Lwi0/o0BDTIRxRJ+YkrMqS0DMZyzUwChRC0OEgoSw2wJua//+g+QEA&#10;AP//AwBQSwECLQAUAAYACAAAACEAtoM4kv4AAADhAQAAEwAAAAAAAAAAAAAAAAAAAAAAW0NvbnRl&#10;bnRfVHlwZXNdLnhtbFBLAQItABQABgAIAAAAIQA4/SH/1gAAAJQBAAALAAAAAAAAAAAAAAAAAC8B&#10;AABfcmVscy8ucmVsc1BLAQItABQABgAIAAAAIQDqAWIwowIAAOwFAAAOAAAAAAAAAAAAAAAAAC4C&#10;AABkcnMvZTJvRG9jLnhtbFBLAQItABQABgAIAAAAIQBOBOv53gAAAAkBAAAPAAAAAAAAAAAAAAAA&#10;AP0EAABkcnMvZG93bnJldi54bWxQSwUGAAAAAAQABADzAAAACAYAAAAA&#10;" fillcolor="#548dd4 [1951]" strokecolor="#4f81bd [3204]" strokeweight="2pt"/>
                  </w:pict>
                </mc:Fallback>
              </mc:AlternateContent>
            </w:r>
            <w:r w:rsidRPr="004147C8">
              <w:rPr>
                <w:rFonts w:ascii="Cambria" w:hAnsi="Cambria"/>
                <w:b/>
                <w:color w:val="0070C0"/>
                <w:sz w:val="20"/>
                <w:szCs w:val="20"/>
              </w:rPr>
              <w:t xml:space="preserve">BETTER THAN EXPECTED </w:t>
            </w:r>
          </w:p>
          <w:p w14:paraId="1B4C3097"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75% of activities (6 of 8) fully demonstrated effective TWP and K2P and one other demonstrated partial effectiveness. </w:t>
            </w:r>
          </w:p>
          <w:p w14:paraId="54F0E3E0" w14:textId="77777777" w:rsidR="00A93502" w:rsidRPr="004147C8"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4147C8">
              <w:rPr>
                <w:rFonts w:ascii="Cambria" w:hAnsi="Cambria"/>
                <w:color w:val="002060"/>
                <w:sz w:val="20"/>
                <w:szCs w:val="20"/>
              </w:rPr>
              <w:t xml:space="preserve">One activity demonstrated poor TWP and K2P (#014 Support to MoEC planning processes). </w:t>
            </w:r>
          </w:p>
        </w:tc>
      </w:tr>
      <w:tr w:rsidR="00A93502" w:rsidRPr="005E182B" w14:paraId="0AB748A9" w14:textId="77777777" w:rsidTr="00223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0" w:type="pct"/>
            <w:vMerge/>
            <w:tcBorders>
              <w:top w:val="single" w:sz="4" w:space="0" w:color="auto"/>
              <w:bottom w:val="single" w:sz="4" w:space="0" w:color="auto"/>
              <w:right w:val="single" w:sz="8" w:space="0" w:color="FFFFFF" w:themeColor="background1"/>
            </w:tcBorders>
          </w:tcPr>
          <w:p w14:paraId="46089895" w14:textId="77777777" w:rsidR="00A93502" w:rsidRPr="00643C11" w:rsidRDefault="00A93502" w:rsidP="002234FB">
            <w:pPr>
              <w:spacing w:before="120" w:after="120"/>
              <w:rPr>
                <w:rFonts w:ascii="Cambria" w:hAnsi="Cambria"/>
                <w:b w:val="0"/>
                <w:color w:val="002060"/>
                <w:sz w:val="18"/>
                <w:szCs w:val="18"/>
              </w:rPr>
            </w:pP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52D25EA0" w14:textId="77777777" w:rsidR="00A93502" w:rsidRPr="00836453"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836453">
              <w:rPr>
                <w:rFonts w:ascii="Cambria" w:hAnsi="Cambria"/>
                <w:color w:val="002060"/>
                <w:sz w:val="20"/>
                <w:szCs w:val="20"/>
              </w:rPr>
              <w:t xml:space="preserve">Indicator: TASS demonstrates a culture of reflective learning and adaptation </w:t>
            </w:r>
          </w:p>
          <w:p w14:paraId="6B84F970" w14:textId="77777777" w:rsidR="00A93502" w:rsidRPr="00836453"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836453">
              <w:rPr>
                <w:rFonts w:ascii="Cambria" w:hAnsi="Cambria"/>
                <w:color w:val="002060"/>
                <w:sz w:val="20"/>
                <w:szCs w:val="20"/>
              </w:rPr>
              <w:t>Target: Lessons are used to improve the Facility and to input to broader knowledge base</w:t>
            </w:r>
          </w:p>
        </w:tc>
        <w:tc>
          <w:tcPr>
            <w:tcW w:w="2015" w:type="pct"/>
            <w:tcBorders>
              <w:top w:val="single" w:sz="4" w:space="0" w:color="auto"/>
              <w:left w:val="single" w:sz="8" w:space="0" w:color="FFFFFF" w:themeColor="background1"/>
              <w:bottom w:val="single" w:sz="4" w:space="0" w:color="auto"/>
            </w:tcBorders>
          </w:tcPr>
          <w:p w14:paraId="67622B4E" w14:textId="77777777" w:rsidR="00A93502" w:rsidRPr="00836453"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b/>
                <w:color w:val="4F6228" w:themeColor="accent3" w:themeShade="80"/>
                <w:sz w:val="20"/>
                <w:szCs w:val="20"/>
              </w:rPr>
            </w:pPr>
            <w:r w:rsidRPr="00836453">
              <w:rPr>
                <w:rFonts w:ascii="Cambria" w:hAnsi="Cambria"/>
                <w:b/>
                <w:noProof/>
                <w:color w:val="4F6228" w:themeColor="accent3" w:themeShade="80"/>
                <w:sz w:val="20"/>
                <w:szCs w:val="20"/>
                <w:lang w:val="en-AU" w:eastAsia="en-AU" w:bidi="ar-SA"/>
              </w:rPr>
              <mc:AlternateContent>
                <mc:Choice Requires="wps">
                  <w:drawing>
                    <wp:anchor distT="0" distB="0" distL="114300" distR="114300" simplePos="0" relativeHeight="251667968" behindDoc="0" locked="0" layoutInCell="1" allowOverlap="1" wp14:anchorId="52055924" wp14:editId="5BA58D4B">
                      <wp:simplePos x="0" y="0"/>
                      <wp:positionH relativeFrom="column">
                        <wp:posOffset>1334135</wp:posOffset>
                      </wp:positionH>
                      <wp:positionV relativeFrom="paragraph">
                        <wp:posOffset>37282</wp:posOffset>
                      </wp:positionV>
                      <wp:extent cx="304171" cy="258904"/>
                      <wp:effectExtent l="12700" t="12700" r="13335" b="8255"/>
                      <wp:wrapNone/>
                      <wp:docPr id="253" name="Smiley Face 253"/>
                      <wp:cNvGraphicFramePr/>
                      <a:graphic xmlns:a="http://schemas.openxmlformats.org/drawingml/2006/main">
                        <a:graphicData uri="http://schemas.microsoft.com/office/word/2010/wordprocessingShape">
                          <wps:wsp>
                            <wps:cNvSpPr/>
                            <wps:spPr>
                              <a:xfrm>
                                <a:off x="0" y="0"/>
                                <a:ext cx="304171" cy="258904"/>
                              </a:xfrm>
                              <a:prstGeom prst="smileyFace">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8BA25" id="Smiley Face 253" o:spid="_x0000_s1026" type="#_x0000_t96" style="position:absolute;margin-left:105.05pt;margin-top:2.95pt;width:23.95pt;height:2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NEoQIAAAcGAAAOAAAAZHJzL2Uyb0RvYy54bWy0VMFu2zAMvQ/YPwi6r3bSZG2DOkXQIsOA&#10;ri2WDj2rslQLkERNUuJkXz9KdtysC3YYtostiuQj+UTy8mprNNkIHxTYio5OSkqE5VAr+1LRb4/L&#10;D+eUhMhszTRYUdGdCPRq/v7dZetmYgwN6Fp4giA2zFpX0SZGNyuKwBthWDgBJywqJXjDIor+pag9&#10;axHd6GJclh+LFnztPHARAt7edEo6z/hSCh7vpQwiEl1RzC3mr8/f5/Qt5pds9uKZaxTv02B/kYVh&#10;ymLQAeqGRUbWXv0GZRT3EEDGEw6mACkVF7kGrGZUvqlm1TAnci1ITnADTeHfwfK7zYMnqq7oeHpK&#10;iWUGH2lllBY7smRckHSNJLUuzNB25R58LwU8poq30pv0x1rINhO7G4gV20g4Xp6Wk9HZiBKOqvH0&#10;/KKcJMzi1dn5ED8JMCQdKhpyAil+JpVtbkPsHPaGKWIAreql0joLqWPEtfZkw/CtGefCxtPsrtfm&#10;C9Td/dm0LPOrY/DcZMklp/ILmrb/NQAGTxGKxGrHYz7FnRYprrZfhcRHQebGuYIh08PiRp2qYbXo&#10;rlNpx2vLgAlZIlsDdg9wjLhR/z69fXIVeZoG5/JPiXVvNXjkyGDj4GyUBX8MQMchcme/J6mjJrH0&#10;DPUOW9ZDN8vB8aXCprllIT4wj8OLY44LKd7jR2poKwr9iZIG/I9j98keZwq1lLS4DLADv6+ZF5To&#10;zxan7WI0maTtkYXJ9GyMgj/UPB9q7NpcA/YgNjxml4/JPur9UXowT7i3FikqqpjlGLuiPPq9cB27&#10;JYWbj4vFIpvhxnAs3tqV4wk8sZrG4XH7xLzrJyfiyN3BfnGw2ZvR6WyTp4XFOoJUea5eee35xm2T&#10;h6LfjGmdHcrZ6nV/z38CAAD//wMAUEsDBBQABgAIAAAAIQBH6jLa3gAAAAgBAAAPAAAAZHJzL2Rv&#10;d25yZXYueG1sTI9PT8JAFMTvJn6HzTPxJts2tkLtKyFGDh4MAfH+6C5tw/6p3QXqt/d50uNkJjO/&#10;qZaTNeKix9B7h5DOEhDaNV71rkXYf6wf5iBCJKfIeKcRvnWAZX17U1Gp/NVt9WUXW8ElLpSE0MU4&#10;lFKGptOWwswP2rF39KOlyHJspRrpyuXWyCxJCmmpd7zQ0aBfOt2cdmeLUGTvi/1bQcPmK7wWK5+v&#10;N/LTIN7fTatnEFFP8S8Mv/iMDjUzHfzZqSAMQpYmKUcR8gUI9rN8zt8OCI/FE8i6kv8P1D8AAAD/&#10;/wMAUEsBAi0AFAAGAAgAAAAhALaDOJL+AAAA4QEAABMAAAAAAAAAAAAAAAAAAAAAAFtDb250ZW50&#10;X1R5cGVzXS54bWxQSwECLQAUAAYACAAAACEAOP0h/9YAAACUAQAACwAAAAAAAAAAAAAAAAAvAQAA&#10;X3JlbHMvLnJlbHNQSwECLQAUAAYACAAAACEAIuIzRKECAAAHBgAADgAAAAAAAAAAAAAAAAAuAgAA&#10;ZHJzL2Uyb0RvYy54bWxQSwECLQAUAAYACAAAACEAR+oy2t4AAAAIAQAADwAAAAAAAAAAAAAAAAD7&#10;BAAAZHJzL2Rvd25yZXYueG1sUEsFBgAAAAAEAAQA8wAAAAYGAAAAAA==&#10;" fillcolor="#76923c [2406]" strokecolor="#76923c [2406]" strokeweight="2pt"/>
                  </w:pict>
                </mc:Fallback>
              </mc:AlternateContent>
            </w:r>
            <w:r>
              <w:rPr>
                <w:rFonts w:ascii="Cambria" w:hAnsi="Cambria"/>
                <w:b/>
                <w:color w:val="4F6228" w:themeColor="accent3" w:themeShade="80"/>
                <w:sz w:val="20"/>
                <w:szCs w:val="20"/>
              </w:rPr>
              <w:t xml:space="preserve">PARTLY </w:t>
            </w:r>
            <w:r w:rsidRPr="00836453">
              <w:rPr>
                <w:rFonts w:ascii="Cambria" w:hAnsi="Cambria"/>
                <w:b/>
                <w:color w:val="4F6228" w:themeColor="accent3" w:themeShade="80"/>
                <w:sz w:val="20"/>
                <w:szCs w:val="20"/>
              </w:rPr>
              <w:t>ON TARGET</w:t>
            </w:r>
          </w:p>
          <w:p w14:paraId="3C2445A6" w14:textId="77777777" w:rsidR="00A93502"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836453">
              <w:rPr>
                <w:rFonts w:ascii="Cambria" w:hAnsi="Cambria"/>
                <w:color w:val="002060"/>
                <w:sz w:val="20"/>
                <w:szCs w:val="20"/>
              </w:rPr>
              <w:t xml:space="preserve">Learning and adaptation were demonstrated fully or partly in all eight activities. TASS also </w:t>
            </w:r>
            <w:r>
              <w:rPr>
                <w:rFonts w:ascii="Cambria" w:hAnsi="Cambria"/>
                <w:color w:val="002060"/>
                <w:sz w:val="20"/>
                <w:szCs w:val="20"/>
              </w:rPr>
              <w:t>held</w:t>
            </w:r>
            <w:r w:rsidRPr="00836453">
              <w:rPr>
                <w:rFonts w:ascii="Cambria" w:hAnsi="Cambria"/>
                <w:color w:val="002060"/>
                <w:sz w:val="20"/>
                <w:szCs w:val="20"/>
              </w:rPr>
              <w:t xml:space="preserve"> two retreats and two reflective workshops where lessons were identified, and adaptations explored. </w:t>
            </w:r>
          </w:p>
          <w:p w14:paraId="5690C3E0" w14:textId="77777777" w:rsidR="00A93502" w:rsidRPr="00836453"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Evidence, findings and key messages at an individual activity level are being shared relatively well with key stakeholders via such as, the TASS newsletter, activity-specific infographics or fact sheets, presentations by STA at GoI conferences. However, TASS is not yet sharing experiences with the broader development and knowledge sectors.</w:t>
            </w:r>
          </w:p>
        </w:tc>
      </w:tr>
      <w:tr w:rsidR="00A93502" w:rsidRPr="005E182B" w14:paraId="31139CC6" w14:textId="77777777" w:rsidTr="002234FB">
        <w:trPr>
          <w:trHeight w:val="283"/>
        </w:trPr>
        <w:tc>
          <w:tcPr>
            <w:cnfStyle w:val="001000000000" w:firstRow="0" w:lastRow="0" w:firstColumn="1" w:lastColumn="0" w:oddVBand="0" w:evenVBand="0" w:oddHBand="0" w:evenHBand="0" w:firstRowFirstColumn="0" w:firstRowLastColumn="0" w:lastRowFirstColumn="0" w:lastRowLastColumn="0"/>
            <w:tcW w:w="1210" w:type="pct"/>
            <w:vMerge/>
            <w:tcBorders>
              <w:bottom w:val="single" w:sz="4" w:space="0" w:color="auto"/>
              <w:right w:val="single" w:sz="8" w:space="0" w:color="FFFFFF" w:themeColor="background1"/>
            </w:tcBorders>
          </w:tcPr>
          <w:p w14:paraId="346B3E88" w14:textId="77777777" w:rsidR="00A93502" w:rsidRPr="00643C11" w:rsidRDefault="00A93502" w:rsidP="002234FB">
            <w:pPr>
              <w:spacing w:before="120" w:after="120"/>
              <w:rPr>
                <w:rFonts w:ascii="Cambria" w:hAnsi="Cambria"/>
                <w:b w:val="0"/>
                <w:color w:val="002060"/>
                <w:sz w:val="18"/>
                <w:szCs w:val="18"/>
              </w:rPr>
            </w:pPr>
          </w:p>
        </w:tc>
        <w:tc>
          <w:tcPr>
            <w:tcW w:w="1775" w:type="pct"/>
            <w:tcBorders>
              <w:top w:val="single" w:sz="4" w:space="0" w:color="auto"/>
              <w:left w:val="single" w:sz="8" w:space="0" w:color="FFFFFF" w:themeColor="background1"/>
              <w:bottom w:val="single" w:sz="4" w:space="0" w:color="auto"/>
              <w:right w:val="single" w:sz="8" w:space="0" w:color="FFFFFF" w:themeColor="background1"/>
            </w:tcBorders>
          </w:tcPr>
          <w:p w14:paraId="114AB7A8" w14:textId="77777777" w:rsidR="00A93502" w:rsidRPr="00836453"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36453">
              <w:rPr>
                <w:rFonts w:ascii="Cambria" w:hAnsi="Cambria"/>
                <w:color w:val="002060"/>
                <w:sz w:val="20"/>
                <w:szCs w:val="20"/>
              </w:rPr>
              <w:t>Indicator: Strong working relationships between TASS and counterparts</w:t>
            </w:r>
          </w:p>
          <w:p w14:paraId="7A74701C" w14:textId="77777777" w:rsidR="00A93502" w:rsidRPr="00836453"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36453">
              <w:rPr>
                <w:rFonts w:ascii="Cambria" w:hAnsi="Cambria"/>
                <w:color w:val="002060"/>
                <w:sz w:val="20"/>
                <w:szCs w:val="20"/>
              </w:rPr>
              <w:t xml:space="preserve">Target: Relationships with each counterpart reported as strong – and making a difference – by majority of respondents (70%) </w:t>
            </w:r>
          </w:p>
        </w:tc>
        <w:tc>
          <w:tcPr>
            <w:tcW w:w="2015" w:type="pct"/>
            <w:tcBorders>
              <w:top w:val="single" w:sz="4" w:space="0" w:color="auto"/>
              <w:left w:val="single" w:sz="8" w:space="0" w:color="FFFFFF" w:themeColor="background1"/>
              <w:bottom w:val="single" w:sz="4" w:space="0" w:color="auto"/>
            </w:tcBorders>
          </w:tcPr>
          <w:p w14:paraId="5FFDD855" w14:textId="77777777" w:rsidR="00A93502" w:rsidRPr="00836453"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70C0"/>
                <w:sz w:val="20"/>
                <w:szCs w:val="20"/>
              </w:rPr>
            </w:pPr>
            <w:r w:rsidRPr="00836453">
              <w:rPr>
                <w:rFonts w:ascii="Cambria" w:hAnsi="Cambria"/>
                <w:b/>
                <w:noProof/>
                <w:color w:val="0070C0"/>
                <w:sz w:val="20"/>
                <w:szCs w:val="20"/>
                <w:lang w:val="en-AU" w:eastAsia="en-AU" w:bidi="ar-SA"/>
              </w:rPr>
              <mc:AlternateContent>
                <mc:Choice Requires="wps">
                  <w:drawing>
                    <wp:anchor distT="0" distB="0" distL="114300" distR="114300" simplePos="0" relativeHeight="251670016" behindDoc="0" locked="0" layoutInCell="1" allowOverlap="1" wp14:anchorId="6656CB42" wp14:editId="792A4CD3">
                      <wp:simplePos x="0" y="0"/>
                      <wp:positionH relativeFrom="column">
                        <wp:posOffset>1606286</wp:posOffset>
                      </wp:positionH>
                      <wp:positionV relativeFrom="paragraph">
                        <wp:posOffset>75565</wp:posOffset>
                      </wp:positionV>
                      <wp:extent cx="277011" cy="258904"/>
                      <wp:effectExtent l="12700" t="12700" r="15240" b="8255"/>
                      <wp:wrapNone/>
                      <wp:docPr id="37" name="Oval 37"/>
                      <wp:cNvGraphicFramePr/>
                      <a:graphic xmlns:a="http://schemas.openxmlformats.org/drawingml/2006/main">
                        <a:graphicData uri="http://schemas.microsoft.com/office/word/2010/wordprocessingShape">
                          <wps:wsp>
                            <wps:cNvSpPr/>
                            <wps:spPr>
                              <a:xfrm>
                                <a:off x="0" y="0"/>
                                <a:ext cx="277011" cy="258904"/>
                              </a:xfrm>
                              <a:prstGeom prst="ellipse">
                                <a:avLst/>
                              </a:prstGeom>
                              <a:solidFill>
                                <a:schemeClr val="tx2">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5FB27" id="Oval 37" o:spid="_x0000_s1026" style="position:absolute;margin-left:126.5pt;margin-top:5.95pt;width:21.8pt;height:2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EIogIAAOoFAAAOAAAAZHJzL2Uyb0RvYy54bWysVFFPGzEMfp+0/xDlfdxdVyhUXFEFYprE&#10;AA0mnkMuoSclcZakvXa/fk5yd3SDDWlaH9LYsT/b39k+PdtqRTbC+RZMTauDkhJhODStearpt/vL&#10;D8eU+MBMwxQYUdOd8PRs8f7daWfnYgIrUI1wBEGMn3e2pqsQ7LwoPF8JzfwBWGHwUYLTLKDonorG&#10;sQ7RtSomZXlUdOAa64AL71F7kR/pIuFLKXi4kdKLQFRNMbeQTpfOx3gWi1M2f3LMrlrep8H+IQvN&#10;WoNBR6gLFhhZu/YFlG65Aw8yHHDQBUjZcpFqwGqq8rdq7lbMilQLkuPtSJP/f7D8enPrSNvU9OOM&#10;EsM0fqObDVMEReSms36OJnf21vWSx2ssdCudjv9YAtkmPncjn2IbCEflZDYrq4oSjk+Tw+OTchox&#10;i2dn63z4JECTeKmpUKq1PlbM5mxz5UO2Hqyi2oNqm8tWqSTELhHnyhHMuKZhO0muaq2/QJN1RyX+&#10;8ldGNfZCVk8HNSaTei2ipNR+CaDMWzEZ58KEqq9rzxmBo3cRGcycpVvYKRExlfkqJPIeWUpJj1nk&#10;BAfcFH/FGpHVh3/MOwFGa4nkjNjV37Azu719dBVpYEbn8m3n0SNFBhNGZ90acK8BqJEtme0HkjI1&#10;kaVHaHbYlQ7yuHrLL1tskCvmwy1zOJ84ybhzwg0eUkFXU+hvlKzA/XhNH+1xbPCVkg7nvab++5o5&#10;QYn6bHCgTqrpNC6IJEwPZxMU3P7L4/6LWetzwJbD5sbs0jXaBzVcpQP9gKtpGaPiEzMcY9eUBzcI&#10;5yHvIVxuXCyXyQyXgmXhytxZHsEjq7H777cPzNl+SgKO1zUMu+HFpGTb6GlguQ4g2zRGz7z2fONC&#10;SQ3fL7+4sfblZPW8ohc/AQAA//8DAFBLAwQUAAYACAAAACEAd3l5jN8AAAAJAQAADwAAAGRycy9k&#10;b3ducmV2LnhtbEyPMU/DMBSEdyT+g/WQ2KjThAYa4lQREhsDbRCCzY1NHGE/R7bbhv56HhOMpzvd&#10;fVdvZmfZUYc4ehSwXGTANPZejTgIeO2ebu6BxSRRSetRC/jWETbN5UUtK+VPuNXHXRoYlWCspACT&#10;0lRxHnujnYwLP2kk79MHJxPJMHAV5InKneV5lpXcyRFpwchJPxrdf+0OTkBo32/PXfG8Nepjtm/n&#10;4qVzshXi+mpuH4AlPae/MPziEzo0xLT3B1SRWQH5qqAviYzlGhgF8nVZAtsLWOV3wJua/3/Q/AAA&#10;AP//AwBQSwECLQAUAAYACAAAACEAtoM4kv4AAADhAQAAEwAAAAAAAAAAAAAAAAAAAAAAW0NvbnRl&#10;bnRfVHlwZXNdLnhtbFBLAQItABQABgAIAAAAIQA4/SH/1gAAAJQBAAALAAAAAAAAAAAAAAAAAC8B&#10;AABfcmVscy8ucmVsc1BLAQItABQABgAIAAAAIQA8t2EIogIAAOoFAAAOAAAAAAAAAAAAAAAAAC4C&#10;AABkcnMvZTJvRG9jLnhtbFBLAQItABQABgAIAAAAIQB3eXmM3wAAAAkBAAAPAAAAAAAAAAAAAAAA&#10;APwEAABkcnMvZG93bnJldi54bWxQSwUGAAAAAAQABADzAAAACAYAAAAA&#10;" fillcolor="#548dd4 [1951]" strokecolor="#4f81bd [3204]" strokeweight="2pt"/>
                  </w:pict>
                </mc:Fallback>
              </mc:AlternateContent>
            </w:r>
            <w:r w:rsidRPr="00836453">
              <w:rPr>
                <w:rFonts w:ascii="Cambria" w:hAnsi="Cambria"/>
                <w:b/>
                <w:color w:val="0070C0"/>
                <w:sz w:val="20"/>
                <w:szCs w:val="20"/>
              </w:rPr>
              <w:t xml:space="preserve">BETTER THAN EXPECTED </w:t>
            </w:r>
          </w:p>
          <w:p w14:paraId="28611FF4" w14:textId="77777777" w:rsidR="00A93502" w:rsidRPr="00836453"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36453">
              <w:rPr>
                <w:rFonts w:ascii="Cambria" w:hAnsi="Cambria"/>
                <w:color w:val="002060"/>
                <w:sz w:val="20"/>
                <w:szCs w:val="20"/>
              </w:rPr>
              <w:t xml:space="preserve">87.5% of activities (7 of 8) demonstrated strong working relationships that were helping to make a difference to the quality of the activity, outputs and outcomes. </w:t>
            </w:r>
          </w:p>
        </w:tc>
      </w:tr>
    </w:tbl>
    <w:p w14:paraId="2BCA53D5" w14:textId="77777777" w:rsidR="00A93502" w:rsidRDefault="00A93502" w:rsidP="00C252C1">
      <w:pPr>
        <w:pStyle w:val="Head2"/>
      </w:pPr>
      <w:bookmarkStart w:id="68" w:name="_Toc19006726"/>
      <w:r>
        <w:t>Contribution analysis</w:t>
      </w:r>
      <w:bookmarkEnd w:id="68"/>
    </w:p>
    <w:p w14:paraId="0BFED9CA" w14:textId="77777777" w:rsidR="00A93502" w:rsidRDefault="00A93502" w:rsidP="00A93502">
      <w:pPr>
        <w:pStyle w:val="Body"/>
      </w:pPr>
      <w:r>
        <w:t>The TASS Monitoring and Evaluation framework also measures the extent to which TASS contributed to results achieved (as opposed to the results occurring as a result of other factors). Results were rated against four criteria</w:t>
      </w:r>
      <w:r>
        <w:rPr>
          <w:rStyle w:val="FootnoteReference"/>
        </w:rPr>
        <w:footnoteReference w:id="14"/>
      </w:r>
      <w:r>
        <w:t xml:space="preserve"> using a scale of 0-4, where </w:t>
      </w:r>
      <w:r w:rsidRPr="009347B9">
        <w:t xml:space="preserve">4=significant contribution; 3=important contribution; 2=moderate contribution; 1=small contribution; </w:t>
      </w:r>
      <w:r>
        <w:t xml:space="preserve">and </w:t>
      </w:r>
      <w:r w:rsidRPr="009347B9">
        <w:t>0=limited or no contribution</w:t>
      </w:r>
      <w:r>
        <w:t>.</w:t>
      </w:r>
    </w:p>
    <w:p w14:paraId="4AF5D1D4" w14:textId="78D80D5F" w:rsidR="00A93502" w:rsidRDefault="00A93502" w:rsidP="00A93502">
      <w:pPr>
        <w:pStyle w:val="Body"/>
      </w:pPr>
      <w:r>
        <w:t xml:space="preserve">Application of the criteria resulted in an overall score of 3.5, which represents an important to significant contribution </w:t>
      </w:r>
      <w:r w:rsidRPr="0048151E">
        <w:t xml:space="preserve">to results. Please see Table </w:t>
      </w:r>
      <w:r w:rsidR="000D5CC7" w:rsidRPr="0048151E">
        <w:t xml:space="preserve">6 </w:t>
      </w:r>
      <w:r w:rsidRPr="0048151E">
        <w:t>below.</w:t>
      </w:r>
    </w:p>
    <w:p w14:paraId="537F9BBD" w14:textId="148D7B11" w:rsidR="00A93502" w:rsidRDefault="000D5CC7" w:rsidP="00586D21">
      <w:pPr>
        <w:pStyle w:val="Caption"/>
        <w:keepNext/>
      </w:pPr>
      <w:bookmarkStart w:id="69" w:name="_Toc19006753"/>
      <w:r>
        <w:t xml:space="preserve">Table </w:t>
      </w:r>
      <w:r>
        <w:fldChar w:fldCharType="begin"/>
      </w:r>
      <w:r>
        <w:instrText xml:space="preserve"> SEQ Table \* ARABIC </w:instrText>
      </w:r>
      <w:r>
        <w:fldChar w:fldCharType="separate"/>
      </w:r>
      <w:r w:rsidR="00505CCA">
        <w:rPr>
          <w:noProof/>
        </w:rPr>
        <w:t>7</w:t>
      </w:r>
      <w:r>
        <w:fldChar w:fldCharType="end"/>
      </w:r>
      <w:r>
        <w:t>: TASS' contribution to results</w:t>
      </w:r>
      <w:bookmarkEnd w:id="69"/>
    </w:p>
    <w:tbl>
      <w:tblPr>
        <w:tblStyle w:val="ColorfulList1"/>
        <w:tblW w:w="9639" w:type="dxa"/>
        <w:tblLook w:val="04A0" w:firstRow="1" w:lastRow="0" w:firstColumn="1" w:lastColumn="0" w:noHBand="0" w:noVBand="1"/>
      </w:tblPr>
      <w:tblGrid>
        <w:gridCol w:w="2001"/>
        <w:gridCol w:w="5932"/>
        <w:gridCol w:w="1706"/>
      </w:tblGrid>
      <w:tr w:rsidR="00A93502" w:rsidRPr="00EF185E" w14:paraId="0ACCF3B9" w14:textId="77777777" w:rsidTr="00115C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1" w:type="dxa"/>
            <w:shd w:val="clear" w:color="auto" w:fill="002060"/>
          </w:tcPr>
          <w:p w14:paraId="618686D0" w14:textId="77777777" w:rsidR="00A93502" w:rsidRPr="00EF185E" w:rsidRDefault="00A93502" w:rsidP="002234FB">
            <w:pPr>
              <w:spacing w:before="120" w:after="120"/>
              <w:jc w:val="center"/>
              <w:rPr>
                <w:rFonts w:ascii="Cambria" w:hAnsi="Cambria"/>
                <w:b w:val="0"/>
                <w:sz w:val="20"/>
                <w:szCs w:val="20"/>
              </w:rPr>
            </w:pPr>
            <w:r w:rsidRPr="00EF185E">
              <w:rPr>
                <w:rFonts w:ascii="Cambria" w:hAnsi="Cambria"/>
                <w:b w:val="0"/>
                <w:sz w:val="20"/>
                <w:szCs w:val="20"/>
              </w:rPr>
              <w:t xml:space="preserve">Criteria </w:t>
            </w:r>
          </w:p>
        </w:tc>
        <w:tc>
          <w:tcPr>
            <w:tcW w:w="5932" w:type="dxa"/>
            <w:shd w:val="clear" w:color="auto" w:fill="002060"/>
          </w:tcPr>
          <w:p w14:paraId="00EEBBA6" w14:textId="77777777" w:rsidR="00A93502" w:rsidRPr="0069474F" w:rsidRDefault="00A93502" w:rsidP="002234FB">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0"/>
                <w:szCs w:val="20"/>
              </w:rPr>
            </w:pPr>
            <w:r w:rsidRPr="0069474F">
              <w:rPr>
                <w:rFonts w:ascii="Cambria" w:hAnsi="Cambria"/>
                <w:b w:val="0"/>
                <w:sz w:val="20"/>
                <w:szCs w:val="20"/>
              </w:rPr>
              <w:t xml:space="preserve">Assessment </w:t>
            </w:r>
          </w:p>
        </w:tc>
        <w:tc>
          <w:tcPr>
            <w:tcW w:w="1706" w:type="dxa"/>
            <w:shd w:val="clear" w:color="auto" w:fill="002060"/>
          </w:tcPr>
          <w:p w14:paraId="61A179DD" w14:textId="77777777" w:rsidR="00A93502" w:rsidRPr="0069474F" w:rsidRDefault="00A93502" w:rsidP="002234FB">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0"/>
                <w:szCs w:val="20"/>
              </w:rPr>
            </w:pPr>
            <w:r w:rsidRPr="0069474F">
              <w:rPr>
                <w:rFonts w:ascii="Cambria" w:hAnsi="Cambria"/>
                <w:b w:val="0"/>
                <w:sz w:val="20"/>
                <w:szCs w:val="20"/>
              </w:rPr>
              <w:t xml:space="preserve">Rating </w:t>
            </w:r>
          </w:p>
        </w:tc>
      </w:tr>
      <w:tr w:rsidR="00A93502" w14:paraId="58F57D0F" w14:textId="77777777" w:rsidTr="00115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tcPr>
          <w:p w14:paraId="73AEB661" w14:textId="77777777" w:rsidR="00A93502" w:rsidRPr="00820745" w:rsidRDefault="00A93502" w:rsidP="002234FB">
            <w:pPr>
              <w:spacing w:before="120" w:after="120"/>
              <w:rPr>
                <w:rFonts w:ascii="Cambria" w:hAnsi="Cambria"/>
                <w:color w:val="002060"/>
                <w:sz w:val="20"/>
                <w:szCs w:val="20"/>
              </w:rPr>
            </w:pPr>
            <w:r w:rsidRPr="00820745">
              <w:rPr>
                <w:rFonts w:ascii="Cambria" w:hAnsi="Cambria"/>
                <w:color w:val="002060"/>
                <w:sz w:val="20"/>
                <w:szCs w:val="20"/>
              </w:rPr>
              <w:t>Extent of outcomes</w:t>
            </w:r>
          </w:p>
        </w:tc>
        <w:tc>
          <w:tcPr>
            <w:tcW w:w="5932" w:type="dxa"/>
          </w:tcPr>
          <w:p w14:paraId="10978D98" w14:textId="6E96EB8C" w:rsidR="00A93502" w:rsidRPr="00820745"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TASS continues to perform to an expected or better-than-expected level. All 2018 activities, except for one</w:t>
            </w:r>
            <w:r>
              <w:rPr>
                <w:rFonts w:ascii="Cambria" w:hAnsi="Cambria"/>
                <w:color w:val="002060"/>
                <w:sz w:val="20"/>
                <w:szCs w:val="20"/>
              </w:rPr>
              <w:t xml:space="preserve"> (IDTAS-G014)</w:t>
            </w:r>
            <w:r w:rsidRPr="00820745">
              <w:rPr>
                <w:rFonts w:ascii="Cambria" w:hAnsi="Cambria"/>
                <w:color w:val="002060"/>
                <w:sz w:val="20"/>
                <w:szCs w:val="20"/>
              </w:rPr>
              <w:t xml:space="preserve">, demonstrated achievement of intermediate outcomes and early trends towards the instrumental EOFO. </w:t>
            </w:r>
          </w:p>
        </w:tc>
        <w:tc>
          <w:tcPr>
            <w:tcW w:w="1706" w:type="dxa"/>
            <w:vAlign w:val="center"/>
          </w:tcPr>
          <w:p w14:paraId="211FB87E" w14:textId="77777777" w:rsidR="00A93502" w:rsidRPr="00820745" w:rsidRDefault="00A93502" w:rsidP="002234FB">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3.5</w:t>
            </w:r>
          </w:p>
        </w:tc>
      </w:tr>
      <w:tr w:rsidR="00A93502" w14:paraId="78E91415" w14:textId="77777777" w:rsidTr="00115C8C">
        <w:tc>
          <w:tcPr>
            <w:cnfStyle w:val="001000000000" w:firstRow="0" w:lastRow="0" w:firstColumn="1" w:lastColumn="0" w:oddVBand="0" w:evenVBand="0" w:oddHBand="0" w:evenHBand="0" w:firstRowFirstColumn="0" w:firstRowLastColumn="0" w:lastRowFirstColumn="0" w:lastRowLastColumn="0"/>
            <w:tcW w:w="2001" w:type="dxa"/>
          </w:tcPr>
          <w:p w14:paraId="5CCB86A2" w14:textId="77777777" w:rsidR="00A93502" w:rsidRPr="00820745" w:rsidRDefault="00A93502" w:rsidP="002234FB">
            <w:pPr>
              <w:spacing w:before="120" w:after="120"/>
              <w:rPr>
                <w:rFonts w:ascii="Cambria" w:hAnsi="Cambria"/>
                <w:color w:val="002060"/>
                <w:sz w:val="20"/>
                <w:szCs w:val="20"/>
              </w:rPr>
            </w:pPr>
            <w:r w:rsidRPr="00820745">
              <w:rPr>
                <w:rFonts w:ascii="Cambria" w:hAnsi="Cambria"/>
                <w:color w:val="002060"/>
                <w:sz w:val="20"/>
                <w:szCs w:val="20"/>
              </w:rPr>
              <w:t xml:space="preserve">Strength of other influencing factors </w:t>
            </w:r>
          </w:p>
        </w:tc>
        <w:tc>
          <w:tcPr>
            <w:tcW w:w="5932" w:type="dxa"/>
          </w:tcPr>
          <w:p w14:paraId="06F8DB0F"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 xml:space="preserve">TASS’ context is one in which there are, generally, other strong influencing factors, which counterbalance TASS’ contribution. TASS activities deliberately build on previous or ongoing work undertaken by GoI. Each of the 2018 activities were part of clear GoI reforms, which are strategically directed by the relevant counterparts, for example: </w:t>
            </w:r>
          </w:p>
          <w:p w14:paraId="13F878A3"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i/>
                <w:color w:val="002060"/>
                <w:sz w:val="20"/>
                <w:szCs w:val="20"/>
              </w:rPr>
            </w:pPr>
            <w:r w:rsidRPr="00820745">
              <w:rPr>
                <w:rFonts w:ascii="Cambria" w:hAnsi="Cambria"/>
                <w:i/>
                <w:color w:val="002060"/>
                <w:sz w:val="20"/>
                <w:szCs w:val="20"/>
              </w:rPr>
              <w:t xml:space="preserve">TASS </w:t>
            </w:r>
            <w:r>
              <w:rPr>
                <w:rFonts w:ascii="Cambria" w:hAnsi="Cambria"/>
                <w:i/>
                <w:color w:val="002060"/>
                <w:sz w:val="20"/>
                <w:szCs w:val="20"/>
              </w:rPr>
              <w:t>…</w:t>
            </w:r>
            <w:r w:rsidRPr="00820745">
              <w:rPr>
                <w:rFonts w:ascii="Cambria" w:hAnsi="Cambria"/>
                <w:i/>
                <w:color w:val="002060"/>
                <w:sz w:val="20"/>
                <w:szCs w:val="20"/>
              </w:rPr>
              <w:t>are willing to continue with existing programs; to chip-in to government projects – not create their own.</w:t>
            </w:r>
            <w:r w:rsidRPr="00820745">
              <w:rPr>
                <w:rStyle w:val="FootnoteReference"/>
                <w:rFonts w:ascii="Cambria" w:hAnsi="Cambria"/>
                <w:i/>
                <w:color w:val="002060"/>
                <w:sz w:val="20"/>
                <w:szCs w:val="20"/>
              </w:rPr>
              <w:footnoteReference w:id="15"/>
            </w:r>
            <w:r w:rsidRPr="00820745">
              <w:rPr>
                <w:rFonts w:ascii="Cambria" w:hAnsi="Cambria"/>
                <w:i/>
                <w:color w:val="002060"/>
                <w:sz w:val="20"/>
                <w:szCs w:val="20"/>
              </w:rPr>
              <w:t xml:space="preserve"> </w:t>
            </w:r>
          </w:p>
          <w:p w14:paraId="3E38C2CE"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 xml:space="preserve">However, while strategic direction by GoI was evident, TASS’ contribution has been particularly strong in three areas: the level of technical expertise; trusted relationships; and ongoing policy engagement. </w:t>
            </w:r>
          </w:p>
        </w:tc>
        <w:tc>
          <w:tcPr>
            <w:tcW w:w="1706" w:type="dxa"/>
            <w:vAlign w:val="center"/>
          </w:tcPr>
          <w:p w14:paraId="22963E84" w14:textId="77777777" w:rsidR="00A93502" w:rsidRPr="00820745" w:rsidRDefault="00A93502" w:rsidP="002234FB">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3.5</w:t>
            </w:r>
          </w:p>
        </w:tc>
      </w:tr>
      <w:tr w:rsidR="00A93502" w14:paraId="6FB349D0" w14:textId="77777777" w:rsidTr="00115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tcPr>
          <w:p w14:paraId="20B46A6F" w14:textId="77777777" w:rsidR="00A93502" w:rsidRPr="00820745" w:rsidRDefault="00A93502" w:rsidP="002234FB">
            <w:pPr>
              <w:spacing w:before="120" w:after="120"/>
              <w:rPr>
                <w:rFonts w:ascii="Cambria" w:hAnsi="Cambria"/>
                <w:color w:val="002060"/>
                <w:sz w:val="20"/>
                <w:szCs w:val="20"/>
              </w:rPr>
            </w:pPr>
            <w:r w:rsidRPr="00820745">
              <w:rPr>
                <w:rFonts w:ascii="Cambria" w:hAnsi="Cambria"/>
                <w:color w:val="002060"/>
                <w:sz w:val="20"/>
                <w:szCs w:val="20"/>
              </w:rPr>
              <w:t xml:space="preserve">Presence of strong or weak counterfactual </w:t>
            </w:r>
          </w:p>
        </w:tc>
        <w:tc>
          <w:tcPr>
            <w:tcW w:w="5932" w:type="dxa"/>
          </w:tcPr>
          <w:p w14:paraId="4463E117" w14:textId="77777777" w:rsidR="00A93502" w:rsidRPr="00820745"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 xml:space="preserve">While some of the counterparts would likely have progressed the activities without TASS’ inputs, it is apparent that achievements would have been much more limited in scale, scope, and quality. For example: </w:t>
            </w:r>
          </w:p>
          <w:p w14:paraId="46BF151C" w14:textId="77777777" w:rsidR="00A93502" w:rsidRPr="00820745"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i/>
                <w:color w:val="002060"/>
                <w:sz w:val="20"/>
                <w:szCs w:val="20"/>
              </w:rPr>
            </w:pPr>
            <w:r w:rsidRPr="00820745">
              <w:rPr>
                <w:rFonts w:ascii="Cambria" w:hAnsi="Cambria"/>
                <w:i/>
                <w:color w:val="002060"/>
                <w:sz w:val="20"/>
                <w:szCs w:val="20"/>
              </w:rPr>
              <w:t xml:space="preserve">It </w:t>
            </w:r>
            <w:r>
              <w:rPr>
                <w:rFonts w:ascii="Cambria" w:hAnsi="Cambria"/>
                <w:i/>
                <w:color w:val="002060"/>
                <w:sz w:val="20"/>
                <w:szCs w:val="20"/>
              </w:rPr>
              <w:t>[TASS support] br</w:t>
            </w:r>
            <w:r w:rsidRPr="00820745">
              <w:rPr>
                <w:rFonts w:ascii="Cambria" w:hAnsi="Cambria"/>
                <w:i/>
                <w:color w:val="002060"/>
                <w:sz w:val="20"/>
                <w:szCs w:val="20"/>
              </w:rPr>
              <w:t>ought us to the next level. It really helped us to develop better quality policy analysis.</w:t>
            </w:r>
            <w:r w:rsidRPr="00820745">
              <w:rPr>
                <w:rStyle w:val="FootnoteReference"/>
                <w:rFonts w:ascii="Cambria" w:hAnsi="Cambria"/>
                <w:i/>
                <w:color w:val="002060"/>
                <w:sz w:val="20"/>
                <w:szCs w:val="20"/>
              </w:rPr>
              <w:footnoteReference w:id="16"/>
            </w:r>
          </w:p>
          <w:p w14:paraId="2B99A046" w14:textId="77777777" w:rsidR="00A93502" w:rsidRPr="00820745" w:rsidRDefault="00A93502" w:rsidP="002234FB">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i/>
                <w:color w:val="002060"/>
                <w:sz w:val="20"/>
                <w:szCs w:val="20"/>
              </w:rPr>
            </w:pPr>
            <w:r w:rsidRPr="00820745">
              <w:rPr>
                <w:rFonts w:ascii="Cambria" w:hAnsi="Cambria"/>
                <w:i/>
                <w:color w:val="002060"/>
                <w:sz w:val="20"/>
                <w:szCs w:val="20"/>
              </w:rPr>
              <w:t>We have been struggling to have a well-structured CPD system, but we don’t know where to start. The TASS came with the knowledge and skills…the hands-on experience…an understanding of madrasah education and the culture. This is a perfect combination for MoRA CPD development…TASS helped this to happen faster and to bring about systemic change.</w:t>
            </w:r>
            <w:r w:rsidRPr="00820745">
              <w:rPr>
                <w:rStyle w:val="FootnoteReference"/>
                <w:rFonts w:ascii="Cambria" w:hAnsi="Cambria"/>
                <w:i/>
                <w:color w:val="002060"/>
                <w:sz w:val="20"/>
                <w:szCs w:val="20"/>
              </w:rPr>
              <w:footnoteReference w:id="17"/>
            </w:r>
            <w:r w:rsidRPr="00820745">
              <w:rPr>
                <w:rFonts w:ascii="Cambria" w:hAnsi="Cambria"/>
                <w:i/>
                <w:color w:val="002060"/>
                <w:sz w:val="20"/>
                <w:szCs w:val="20"/>
              </w:rPr>
              <w:t xml:space="preserve"> </w:t>
            </w:r>
          </w:p>
        </w:tc>
        <w:tc>
          <w:tcPr>
            <w:tcW w:w="1706" w:type="dxa"/>
            <w:vAlign w:val="center"/>
          </w:tcPr>
          <w:p w14:paraId="3FA673BF" w14:textId="77777777" w:rsidR="00A93502" w:rsidRPr="00820745" w:rsidRDefault="00A93502" w:rsidP="002234FB">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3.5</w:t>
            </w:r>
          </w:p>
        </w:tc>
      </w:tr>
      <w:tr w:rsidR="00A93502" w14:paraId="1139FFCB" w14:textId="77777777" w:rsidTr="00115C8C">
        <w:tc>
          <w:tcPr>
            <w:cnfStyle w:val="001000000000" w:firstRow="0" w:lastRow="0" w:firstColumn="1" w:lastColumn="0" w:oddVBand="0" w:evenVBand="0" w:oddHBand="0" w:evenHBand="0" w:firstRowFirstColumn="0" w:firstRowLastColumn="0" w:lastRowFirstColumn="0" w:lastRowLastColumn="0"/>
            <w:tcW w:w="2001" w:type="dxa"/>
          </w:tcPr>
          <w:p w14:paraId="4C23B230" w14:textId="77777777" w:rsidR="00A93502" w:rsidRPr="00820745" w:rsidRDefault="00A93502" w:rsidP="002234FB">
            <w:pPr>
              <w:spacing w:before="120" w:after="120"/>
              <w:rPr>
                <w:rFonts w:ascii="Cambria" w:hAnsi="Cambria"/>
                <w:color w:val="002060"/>
                <w:sz w:val="20"/>
                <w:szCs w:val="20"/>
              </w:rPr>
            </w:pPr>
            <w:r w:rsidRPr="00820745">
              <w:rPr>
                <w:rFonts w:ascii="Cambria" w:hAnsi="Cambria"/>
                <w:color w:val="002060"/>
                <w:sz w:val="20"/>
                <w:szCs w:val="20"/>
              </w:rPr>
              <w:t xml:space="preserve">Demonstrated additionality </w:t>
            </w:r>
          </w:p>
        </w:tc>
        <w:tc>
          <w:tcPr>
            <w:tcW w:w="5932" w:type="dxa"/>
          </w:tcPr>
          <w:p w14:paraId="1077BE92"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b/>
                <w:color w:val="002060"/>
                <w:sz w:val="20"/>
                <w:szCs w:val="20"/>
              </w:rPr>
              <w:t>Inputs</w:t>
            </w:r>
            <w:r w:rsidRPr="00820745">
              <w:rPr>
                <w:rFonts w:ascii="Cambria" w:hAnsi="Cambria"/>
                <w:color w:val="002060"/>
                <w:sz w:val="20"/>
                <w:szCs w:val="20"/>
              </w:rPr>
              <w:t xml:space="preserve">: </w:t>
            </w:r>
          </w:p>
          <w:p w14:paraId="5CD6A66D"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 xml:space="preserve">A consistent message across all activities was that TASS was providing the capacity not available to the counterparts, for example: </w:t>
            </w:r>
          </w:p>
          <w:p w14:paraId="31BB9710"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i/>
                <w:color w:val="002060"/>
                <w:sz w:val="20"/>
                <w:szCs w:val="20"/>
              </w:rPr>
            </w:pPr>
            <w:r w:rsidRPr="00820745">
              <w:rPr>
                <w:rFonts w:ascii="Cambria" w:hAnsi="Cambria"/>
                <w:i/>
                <w:color w:val="002060"/>
                <w:sz w:val="20"/>
                <w:szCs w:val="20"/>
              </w:rPr>
              <w:t>We have no capability to do it by ourselves.</w:t>
            </w:r>
            <w:r w:rsidRPr="00820745">
              <w:rPr>
                <w:rStyle w:val="FootnoteReference"/>
                <w:rFonts w:ascii="Cambria" w:hAnsi="Cambria"/>
                <w:i/>
                <w:color w:val="002060"/>
                <w:sz w:val="20"/>
                <w:szCs w:val="20"/>
              </w:rPr>
              <w:footnoteReference w:id="18"/>
            </w:r>
          </w:p>
          <w:p w14:paraId="049F1722"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i/>
                <w:color w:val="002060"/>
                <w:sz w:val="20"/>
                <w:szCs w:val="20"/>
              </w:rPr>
              <w:t>From the beginning I understand that the amount of the grant is not big but in terms of usefulness TASS is very much needed because they fund the portion we cannot finance.</w:t>
            </w:r>
            <w:r w:rsidRPr="00820745">
              <w:rPr>
                <w:rStyle w:val="FootnoteReference"/>
                <w:rFonts w:ascii="Cambria" w:hAnsi="Cambria"/>
                <w:i/>
                <w:color w:val="002060"/>
                <w:sz w:val="20"/>
                <w:szCs w:val="20"/>
              </w:rPr>
              <w:footnoteReference w:id="19"/>
            </w:r>
            <w:r w:rsidRPr="00820745">
              <w:rPr>
                <w:rFonts w:ascii="Cambria" w:hAnsi="Cambria"/>
                <w:i/>
                <w:color w:val="002060"/>
                <w:sz w:val="20"/>
                <w:szCs w:val="20"/>
              </w:rPr>
              <w:t xml:space="preserve"> </w:t>
            </w:r>
          </w:p>
          <w:p w14:paraId="6647306B"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2060"/>
                <w:sz w:val="20"/>
                <w:szCs w:val="20"/>
              </w:rPr>
            </w:pPr>
            <w:r w:rsidRPr="00820745">
              <w:rPr>
                <w:rFonts w:ascii="Cambria" w:hAnsi="Cambria"/>
                <w:b/>
                <w:color w:val="002060"/>
                <w:sz w:val="20"/>
                <w:szCs w:val="20"/>
              </w:rPr>
              <w:t xml:space="preserve">Leverage: </w:t>
            </w:r>
          </w:p>
          <w:p w14:paraId="54195422"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 xml:space="preserve">There were several instances of leverage in 2018 activities. In IDTAS-G003 (Data Mapping Phase 2) </w:t>
            </w:r>
            <w:r w:rsidRPr="00820745">
              <w:rPr>
                <w:rFonts w:ascii="Cambria" w:hAnsi="Cambria"/>
                <w:color w:val="002060"/>
                <w:sz w:val="20"/>
                <w:szCs w:val="20"/>
              </w:rPr>
              <w:t xml:space="preserve">the analyses helped </w:t>
            </w:r>
            <w:r>
              <w:rPr>
                <w:rFonts w:ascii="Cambria" w:hAnsi="Cambria"/>
                <w:color w:val="002060"/>
                <w:sz w:val="20"/>
                <w:szCs w:val="20"/>
              </w:rPr>
              <w:t>MoEC’s</w:t>
            </w:r>
            <w:r w:rsidRPr="00820745">
              <w:rPr>
                <w:rFonts w:ascii="Cambria" w:hAnsi="Cambria"/>
                <w:color w:val="002060"/>
                <w:sz w:val="20"/>
                <w:szCs w:val="20"/>
              </w:rPr>
              <w:t xml:space="preserve"> Bureau of Pl</w:t>
            </w:r>
            <w:r>
              <w:rPr>
                <w:rFonts w:ascii="Cambria" w:hAnsi="Cambria"/>
                <w:color w:val="002060"/>
                <w:sz w:val="20"/>
                <w:szCs w:val="20"/>
              </w:rPr>
              <w:t>anning and Foreign Cooperation</w:t>
            </w:r>
            <w:r w:rsidRPr="00820745">
              <w:rPr>
                <w:rFonts w:ascii="Cambria" w:hAnsi="Cambria"/>
                <w:color w:val="002060"/>
                <w:sz w:val="20"/>
                <w:szCs w:val="20"/>
              </w:rPr>
              <w:t xml:space="preserve"> to argue successfully for (a) an additional 100,000 teachers; and (b) </w:t>
            </w:r>
            <w:r>
              <w:rPr>
                <w:rFonts w:ascii="Cambria" w:hAnsi="Cambria"/>
                <w:color w:val="002060"/>
                <w:sz w:val="20"/>
                <w:szCs w:val="20"/>
              </w:rPr>
              <w:t xml:space="preserve">the amount of funding to be allocated </w:t>
            </w:r>
            <w:r w:rsidRPr="00820745">
              <w:rPr>
                <w:rFonts w:ascii="Cambria" w:hAnsi="Cambria"/>
                <w:color w:val="002060"/>
                <w:sz w:val="20"/>
                <w:szCs w:val="20"/>
              </w:rPr>
              <w:t xml:space="preserve">a new performance-based BOS (School Operational Grants). </w:t>
            </w:r>
          </w:p>
          <w:p w14:paraId="6ABD7F54"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In IDTAS-G</w:t>
            </w:r>
            <w:r w:rsidRPr="00820745">
              <w:rPr>
                <w:rFonts w:ascii="Cambria" w:hAnsi="Cambria"/>
                <w:color w:val="002060"/>
                <w:sz w:val="20"/>
                <w:szCs w:val="20"/>
              </w:rPr>
              <w:t xml:space="preserve">013 </w:t>
            </w:r>
            <w:r>
              <w:rPr>
                <w:rFonts w:ascii="Cambria" w:hAnsi="Cambria"/>
                <w:color w:val="002060"/>
                <w:sz w:val="20"/>
                <w:szCs w:val="20"/>
              </w:rPr>
              <w:t>(</w:t>
            </w:r>
            <w:r w:rsidRPr="00820745">
              <w:rPr>
                <w:rFonts w:ascii="Cambria" w:hAnsi="Cambria"/>
                <w:color w:val="002060"/>
                <w:sz w:val="20"/>
                <w:szCs w:val="20"/>
              </w:rPr>
              <w:t>Support to MoRA’s CPD</w:t>
            </w:r>
            <w:r>
              <w:rPr>
                <w:rFonts w:ascii="Cambria" w:hAnsi="Cambria"/>
                <w:color w:val="002060"/>
                <w:sz w:val="20"/>
                <w:szCs w:val="20"/>
              </w:rPr>
              <w:t>)</w:t>
            </w:r>
            <w:r w:rsidRPr="00820745">
              <w:rPr>
                <w:rFonts w:ascii="Cambria" w:hAnsi="Cambria"/>
                <w:color w:val="002060"/>
                <w:sz w:val="20"/>
                <w:szCs w:val="20"/>
              </w:rPr>
              <w:t xml:space="preserve"> the activity successfully leveraged resources from Al Maarif (a large CSO</w:t>
            </w:r>
            <w:r>
              <w:rPr>
                <w:rFonts w:ascii="Cambria" w:hAnsi="Cambria"/>
                <w:color w:val="002060"/>
                <w:sz w:val="20"/>
                <w:szCs w:val="20"/>
              </w:rPr>
              <w:t xml:space="preserve"> provider of madrasah education services</w:t>
            </w:r>
            <w:r w:rsidRPr="00820745">
              <w:rPr>
                <w:rFonts w:ascii="Cambria" w:hAnsi="Cambria"/>
                <w:color w:val="002060"/>
                <w:sz w:val="20"/>
                <w:szCs w:val="20"/>
              </w:rPr>
              <w:t xml:space="preserve">) and East Java province, enabling </w:t>
            </w:r>
            <w:r>
              <w:rPr>
                <w:rFonts w:ascii="Cambria" w:hAnsi="Cambria"/>
                <w:color w:val="002060"/>
                <w:sz w:val="20"/>
                <w:szCs w:val="20"/>
              </w:rPr>
              <w:t xml:space="preserve">an </w:t>
            </w:r>
            <w:r w:rsidRPr="00820745">
              <w:rPr>
                <w:rFonts w:ascii="Cambria" w:hAnsi="Cambria"/>
                <w:color w:val="002060"/>
                <w:sz w:val="20"/>
                <w:szCs w:val="20"/>
              </w:rPr>
              <w:t xml:space="preserve">unexpected expansion of the CPD. </w:t>
            </w:r>
          </w:p>
          <w:p w14:paraId="02CAB7B3"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2060"/>
                <w:sz w:val="20"/>
                <w:szCs w:val="20"/>
              </w:rPr>
            </w:pPr>
            <w:r w:rsidRPr="00820745">
              <w:rPr>
                <w:rFonts w:ascii="Cambria" w:hAnsi="Cambria"/>
                <w:b/>
                <w:color w:val="002060"/>
                <w:sz w:val="20"/>
                <w:szCs w:val="20"/>
              </w:rPr>
              <w:t xml:space="preserve">Behavioural: </w:t>
            </w:r>
          </w:p>
          <w:p w14:paraId="35F5FD02"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In IDTAS-G0</w:t>
            </w:r>
            <w:r w:rsidRPr="00820745">
              <w:rPr>
                <w:rFonts w:ascii="Cambria" w:hAnsi="Cambria"/>
                <w:color w:val="002060"/>
                <w:sz w:val="20"/>
                <w:szCs w:val="20"/>
              </w:rPr>
              <w:t xml:space="preserve">13 </w:t>
            </w:r>
            <w:r>
              <w:rPr>
                <w:rFonts w:ascii="Cambria" w:hAnsi="Cambria"/>
                <w:color w:val="002060"/>
                <w:sz w:val="20"/>
                <w:szCs w:val="20"/>
              </w:rPr>
              <w:t>(</w:t>
            </w:r>
            <w:r w:rsidRPr="00820745">
              <w:rPr>
                <w:rFonts w:ascii="Cambria" w:hAnsi="Cambria"/>
                <w:color w:val="002060"/>
                <w:sz w:val="20"/>
                <w:szCs w:val="20"/>
              </w:rPr>
              <w:t xml:space="preserve">Support to MoRA’s CPD </w:t>
            </w:r>
            <w:r>
              <w:rPr>
                <w:rFonts w:ascii="Cambria" w:hAnsi="Cambria"/>
                <w:color w:val="002060"/>
                <w:sz w:val="20"/>
                <w:szCs w:val="20"/>
              </w:rPr>
              <w:t xml:space="preserve">) </w:t>
            </w:r>
            <w:r w:rsidRPr="00820745">
              <w:rPr>
                <w:rFonts w:ascii="Cambria" w:hAnsi="Cambria"/>
                <w:color w:val="002060"/>
                <w:sz w:val="20"/>
                <w:szCs w:val="20"/>
              </w:rPr>
              <w:t xml:space="preserve">– (1) Based on lessons from the trials, MoRA made changes to how it allocates CPD budgets to teacher associations for CPD; (2) MoRA invited Al Maarif to join </w:t>
            </w:r>
            <w:r>
              <w:rPr>
                <w:rFonts w:ascii="Cambria" w:hAnsi="Cambria"/>
                <w:color w:val="002060"/>
                <w:sz w:val="20"/>
                <w:szCs w:val="20"/>
              </w:rPr>
              <w:t>its</w:t>
            </w:r>
            <w:r w:rsidRPr="00820745">
              <w:rPr>
                <w:rFonts w:ascii="Cambria" w:hAnsi="Cambria"/>
                <w:color w:val="002060"/>
                <w:sz w:val="20"/>
                <w:szCs w:val="20"/>
              </w:rPr>
              <w:t xml:space="preserve"> CPD Development Team – the first time </w:t>
            </w:r>
            <w:r>
              <w:rPr>
                <w:rFonts w:ascii="Cambria" w:hAnsi="Cambria"/>
                <w:color w:val="002060"/>
                <w:sz w:val="20"/>
                <w:szCs w:val="20"/>
              </w:rPr>
              <w:t>such a role</w:t>
            </w:r>
            <w:r w:rsidRPr="00820745">
              <w:rPr>
                <w:rFonts w:ascii="Cambria" w:hAnsi="Cambria"/>
                <w:color w:val="002060"/>
                <w:sz w:val="20"/>
                <w:szCs w:val="20"/>
              </w:rPr>
              <w:t xml:space="preserve"> has been extended to a CSO. </w:t>
            </w:r>
          </w:p>
          <w:p w14:paraId="38F80B4C"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2060"/>
                <w:sz w:val="20"/>
                <w:szCs w:val="20"/>
              </w:rPr>
            </w:pPr>
            <w:r w:rsidRPr="00820745">
              <w:rPr>
                <w:rFonts w:ascii="Cambria" w:hAnsi="Cambria"/>
                <w:b/>
                <w:color w:val="002060"/>
                <w:sz w:val="20"/>
                <w:szCs w:val="20"/>
              </w:rPr>
              <w:t xml:space="preserve">Spill-over: </w:t>
            </w:r>
          </w:p>
          <w:p w14:paraId="1ED63DB9"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IDTAS-G003</w:t>
            </w:r>
            <w:r w:rsidRPr="00820745">
              <w:rPr>
                <w:rFonts w:ascii="Cambria" w:hAnsi="Cambria"/>
                <w:color w:val="002060"/>
                <w:sz w:val="20"/>
                <w:szCs w:val="20"/>
              </w:rPr>
              <w:t xml:space="preserve"> </w:t>
            </w:r>
            <w:r>
              <w:rPr>
                <w:rFonts w:ascii="Cambria" w:hAnsi="Cambria"/>
                <w:color w:val="002060"/>
                <w:sz w:val="20"/>
                <w:szCs w:val="20"/>
              </w:rPr>
              <w:t>(</w:t>
            </w:r>
            <w:r w:rsidRPr="00820745">
              <w:rPr>
                <w:rFonts w:ascii="Cambria" w:hAnsi="Cambria"/>
                <w:color w:val="002060"/>
                <w:sz w:val="20"/>
                <w:szCs w:val="20"/>
              </w:rPr>
              <w:t>Data Mapping Phase 2</w:t>
            </w:r>
            <w:r>
              <w:rPr>
                <w:rFonts w:ascii="Cambria" w:hAnsi="Cambria"/>
                <w:color w:val="002060"/>
                <w:sz w:val="20"/>
                <w:szCs w:val="20"/>
              </w:rPr>
              <w:t>)</w:t>
            </w:r>
            <w:r w:rsidRPr="00820745">
              <w:rPr>
                <w:rFonts w:ascii="Cambria" w:hAnsi="Cambria"/>
                <w:color w:val="002060"/>
                <w:sz w:val="20"/>
                <w:szCs w:val="20"/>
              </w:rPr>
              <w:t xml:space="preserve"> was the catalyst for INOVASI’s work in piloting and testing multi-grade teaching, which in turn will feed-in to TASS’s ongoing work with the Directorate General for Teachers and Education Personnel</w:t>
            </w:r>
            <w:r>
              <w:rPr>
                <w:rFonts w:ascii="Cambria" w:hAnsi="Cambria"/>
                <w:color w:val="002060"/>
                <w:sz w:val="20"/>
                <w:szCs w:val="20"/>
              </w:rPr>
              <w:t>– and be fed back to the counterpart for IDTAS-G003 who continues to advocate for policy change in this space</w:t>
            </w:r>
            <w:r w:rsidRPr="00820745">
              <w:rPr>
                <w:rFonts w:ascii="Cambria" w:hAnsi="Cambria"/>
                <w:color w:val="002060"/>
                <w:sz w:val="20"/>
                <w:szCs w:val="20"/>
              </w:rPr>
              <w:t xml:space="preserve">. </w:t>
            </w:r>
          </w:p>
          <w:p w14:paraId="1C0AB741"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In IDTAS-G011 and IDTAS-G</w:t>
            </w:r>
            <w:r w:rsidRPr="00820745">
              <w:rPr>
                <w:rFonts w:ascii="Cambria" w:hAnsi="Cambria"/>
                <w:color w:val="002060"/>
                <w:sz w:val="20"/>
                <w:szCs w:val="20"/>
              </w:rPr>
              <w:t xml:space="preserve">018 </w:t>
            </w:r>
            <w:r>
              <w:rPr>
                <w:rFonts w:ascii="Cambria" w:hAnsi="Cambria"/>
                <w:color w:val="002060"/>
                <w:sz w:val="20"/>
                <w:szCs w:val="20"/>
              </w:rPr>
              <w:t>(</w:t>
            </w:r>
            <w:r w:rsidRPr="00820745">
              <w:rPr>
                <w:rFonts w:ascii="Cambria" w:hAnsi="Cambria"/>
                <w:color w:val="002060"/>
                <w:sz w:val="20"/>
                <w:szCs w:val="20"/>
              </w:rPr>
              <w:t>ESR Phases 1 and 2</w:t>
            </w:r>
            <w:r>
              <w:rPr>
                <w:rFonts w:ascii="Cambria" w:hAnsi="Cambria"/>
                <w:color w:val="002060"/>
                <w:sz w:val="20"/>
                <w:szCs w:val="20"/>
              </w:rPr>
              <w:t>) an opportunity to support Indonesia’s</w:t>
            </w:r>
            <w:r w:rsidRPr="00820745">
              <w:rPr>
                <w:rFonts w:ascii="Cambria" w:hAnsi="Cambria"/>
                <w:color w:val="002060"/>
                <w:sz w:val="20"/>
                <w:szCs w:val="20"/>
              </w:rPr>
              <w:t xml:space="preserve"> SDG (Sustainable Development Goals) </w:t>
            </w:r>
            <w:r>
              <w:rPr>
                <w:rFonts w:ascii="Cambria" w:hAnsi="Cambria"/>
                <w:color w:val="002060"/>
                <w:sz w:val="20"/>
                <w:szCs w:val="20"/>
              </w:rPr>
              <w:t xml:space="preserve">secretariat determine data sources and develop milestones for key learning </w:t>
            </w:r>
            <w:r w:rsidRPr="00820745">
              <w:rPr>
                <w:rFonts w:ascii="Cambria" w:hAnsi="Cambria"/>
                <w:color w:val="002060"/>
                <w:sz w:val="20"/>
                <w:szCs w:val="20"/>
              </w:rPr>
              <w:t xml:space="preserve">indicators </w:t>
            </w:r>
            <w:r>
              <w:rPr>
                <w:rFonts w:ascii="Cambria" w:hAnsi="Cambria"/>
                <w:color w:val="002060"/>
                <w:sz w:val="20"/>
                <w:szCs w:val="20"/>
              </w:rPr>
              <w:t>supported the inclusion and alignment of the SDGs with the (draft) RPJMN.</w:t>
            </w:r>
          </w:p>
          <w:p w14:paraId="6224F24E"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color w:val="002060"/>
                <w:sz w:val="20"/>
                <w:szCs w:val="20"/>
              </w:rPr>
            </w:pPr>
            <w:r w:rsidRPr="00820745">
              <w:rPr>
                <w:rFonts w:ascii="Cambria" w:hAnsi="Cambria"/>
                <w:b/>
                <w:color w:val="002060"/>
                <w:sz w:val="20"/>
                <w:szCs w:val="20"/>
              </w:rPr>
              <w:t xml:space="preserve">Scale, scope, acceleration: </w:t>
            </w:r>
          </w:p>
          <w:p w14:paraId="3E70954B"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In IDTAS-G011 and IDTAS-G</w:t>
            </w:r>
            <w:r w:rsidRPr="00820745">
              <w:rPr>
                <w:rFonts w:ascii="Cambria" w:hAnsi="Cambria"/>
                <w:color w:val="002060"/>
                <w:sz w:val="20"/>
                <w:szCs w:val="20"/>
              </w:rPr>
              <w:t xml:space="preserve">018 </w:t>
            </w:r>
            <w:r>
              <w:rPr>
                <w:rFonts w:ascii="Cambria" w:hAnsi="Cambria"/>
                <w:color w:val="002060"/>
                <w:sz w:val="20"/>
                <w:szCs w:val="20"/>
              </w:rPr>
              <w:t>(</w:t>
            </w:r>
            <w:r w:rsidRPr="00820745">
              <w:rPr>
                <w:rFonts w:ascii="Cambria" w:hAnsi="Cambria"/>
                <w:color w:val="002060"/>
                <w:sz w:val="20"/>
                <w:szCs w:val="20"/>
              </w:rPr>
              <w:t>ESR Phases 1 and 2</w:t>
            </w:r>
            <w:r>
              <w:rPr>
                <w:rFonts w:ascii="Cambria" w:hAnsi="Cambria"/>
                <w:color w:val="002060"/>
                <w:sz w:val="20"/>
                <w:szCs w:val="20"/>
              </w:rPr>
              <w:t>)</w:t>
            </w:r>
            <w:r w:rsidRPr="00820745">
              <w:rPr>
                <w:rFonts w:ascii="Cambria" w:hAnsi="Cambria"/>
                <w:color w:val="002060"/>
                <w:sz w:val="20"/>
                <w:szCs w:val="20"/>
              </w:rPr>
              <w:t xml:space="preserve"> TASS </w:t>
            </w:r>
            <w:r>
              <w:rPr>
                <w:rFonts w:ascii="Cambria" w:hAnsi="Cambria"/>
                <w:color w:val="002060"/>
                <w:sz w:val="20"/>
                <w:szCs w:val="20"/>
              </w:rPr>
              <w:t xml:space="preserve">brought </w:t>
            </w:r>
            <w:r w:rsidRPr="00820745">
              <w:rPr>
                <w:rFonts w:ascii="Cambria" w:hAnsi="Cambria"/>
                <w:color w:val="002060"/>
                <w:sz w:val="20"/>
                <w:szCs w:val="20"/>
              </w:rPr>
              <w:t xml:space="preserve">critical findings from other activities to </w:t>
            </w:r>
            <w:r>
              <w:rPr>
                <w:rFonts w:ascii="Cambria" w:hAnsi="Cambria"/>
                <w:color w:val="002060"/>
                <w:sz w:val="20"/>
                <w:szCs w:val="20"/>
              </w:rPr>
              <w:t>the ESR</w:t>
            </w:r>
            <w:r w:rsidRPr="00820745">
              <w:rPr>
                <w:rFonts w:ascii="Cambria" w:hAnsi="Cambria"/>
                <w:color w:val="002060"/>
                <w:sz w:val="20"/>
                <w:szCs w:val="20"/>
              </w:rPr>
              <w:t xml:space="preserve"> process that might otherwise not progress for want of a pathway. </w:t>
            </w:r>
          </w:p>
          <w:p w14:paraId="001C3ADD"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b/>
                <w:color w:val="002060"/>
                <w:sz w:val="20"/>
                <w:szCs w:val="20"/>
              </w:rPr>
              <w:t>Knowledge and expertise</w:t>
            </w:r>
            <w:r w:rsidRPr="00820745">
              <w:rPr>
                <w:rFonts w:ascii="Cambria" w:hAnsi="Cambria"/>
                <w:color w:val="002060"/>
                <w:sz w:val="20"/>
                <w:szCs w:val="20"/>
              </w:rPr>
              <w:t xml:space="preserve">: </w:t>
            </w:r>
          </w:p>
          <w:p w14:paraId="560AD0E1"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 xml:space="preserve">A consistent message across all activities was that TASS provided a level of knowledge and technical expertise not readily available to the counterparts. </w:t>
            </w:r>
          </w:p>
          <w:p w14:paraId="77FC221A"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b/>
                <w:color w:val="002060"/>
                <w:sz w:val="20"/>
                <w:szCs w:val="20"/>
              </w:rPr>
              <w:t>Policy additionality</w:t>
            </w:r>
            <w:r w:rsidRPr="00820745">
              <w:rPr>
                <w:rFonts w:ascii="Cambria" w:hAnsi="Cambria"/>
                <w:color w:val="002060"/>
                <w:sz w:val="20"/>
                <w:szCs w:val="20"/>
              </w:rPr>
              <w:t xml:space="preserve">: </w:t>
            </w:r>
          </w:p>
          <w:p w14:paraId="1EB529EC" w14:textId="77777777" w:rsidR="00A93502" w:rsidRPr="00820745" w:rsidRDefault="00A93502" w:rsidP="002234FB">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Pr>
                <w:rFonts w:ascii="Cambria" w:hAnsi="Cambria"/>
                <w:color w:val="002060"/>
                <w:sz w:val="20"/>
                <w:szCs w:val="20"/>
              </w:rPr>
              <w:t>IDTAS-G</w:t>
            </w:r>
            <w:r w:rsidRPr="00820745">
              <w:rPr>
                <w:rFonts w:ascii="Cambria" w:hAnsi="Cambria"/>
                <w:color w:val="002060"/>
                <w:sz w:val="20"/>
                <w:szCs w:val="20"/>
              </w:rPr>
              <w:t xml:space="preserve">003 </w:t>
            </w:r>
            <w:r>
              <w:rPr>
                <w:rFonts w:ascii="Cambria" w:hAnsi="Cambria"/>
                <w:color w:val="002060"/>
                <w:sz w:val="20"/>
                <w:szCs w:val="20"/>
              </w:rPr>
              <w:t>(</w:t>
            </w:r>
            <w:r w:rsidRPr="00820745">
              <w:rPr>
                <w:rFonts w:ascii="Cambria" w:hAnsi="Cambria"/>
                <w:color w:val="002060"/>
                <w:sz w:val="20"/>
                <w:szCs w:val="20"/>
              </w:rPr>
              <w:t>D</w:t>
            </w:r>
            <w:r>
              <w:rPr>
                <w:rFonts w:ascii="Cambria" w:hAnsi="Cambria"/>
                <w:color w:val="002060"/>
                <w:sz w:val="20"/>
                <w:szCs w:val="20"/>
              </w:rPr>
              <w:t xml:space="preserve">ata Mapping Phase 2) </w:t>
            </w:r>
            <w:r w:rsidRPr="00820745">
              <w:rPr>
                <w:rFonts w:ascii="Cambria" w:hAnsi="Cambria"/>
                <w:color w:val="002060"/>
                <w:sz w:val="20"/>
                <w:szCs w:val="20"/>
              </w:rPr>
              <w:t>provided a level of data integration and organisation as well as data analys</w:t>
            </w:r>
            <w:r>
              <w:rPr>
                <w:rFonts w:ascii="Cambria" w:hAnsi="Cambria"/>
                <w:color w:val="002060"/>
                <w:sz w:val="20"/>
                <w:szCs w:val="20"/>
              </w:rPr>
              <w:t>e</w:t>
            </w:r>
            <w:r w:rsidRPr="00820745">
              <w:rPr>
                <w:rFonts w:ascii="Cambria" w:hAnsi="Cambria"/>
                <w:color w:val="002060"/>
                <w:sz w:val="20"/>
                <w:szCs w:val="20"/>
              </w:rPr>
              <w:t xml:space="preserve">s that enabled a much more sophisticated level of policy analysis than would have been otherwise possible. </w:t>
            </w:r>
          </w:p>
        </w:tc>
        <w:tc>
          <w:tcPr>
            <w:tcW w:w="1706" w:type="dxa"/>
            <w:vAlign w:val="center"/>
          </w:tcPr>
          <w:p w14:paraId="2715FA8F" w14:textId="77777777" w:rsidR="00A93502" w:rsidRPr="00820745" w:rsidRDefault="00A93502" w:rsidP="002234FB">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color w:val="002060"/>
                <w:sz w:val="20"/>
                <w:szCs w:val="20"/>
              </w:rPr>
            </w:pPr>
            <w:r w:rsidRPr="00820745">
              <w:rPr>
                <w:rFonts w:ascii="Cambria" w:hAnsi="Cambria"/>
                <w:color w:val="002060"/>
                <w:sz w:val="20"/>
                <w:szCs w:val="20"/>
              </w:rPr>
              <w:t xml:space="preserve">3.5 </w:t>
            </w:r>
          </w:p>
        </w:tc>
      </w:tr>
      <w:tr w:rsidR="00A93502" w14:paraId="5182D656" w14:textId="77777777" w:rsidTr="00115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gridSpan w:val="2"/>
          </w:tcPr>
          <w:p w14:paraId="7916B8ED" w14:textId="77777777" w:rsidR="00A93502" w:rsidRPr="00820745" w:rsidRDefault="00A93502" w:rsidP="002234FB">
            <w:pPr>
              <w:spacing w:before="120" w:after="120"/>
              <w:rPr>
                <w:rFonts w:ascii="Cambria" w:hAnsi="Cambria"/>
                <w:b w:val="0"/>
                <w:sz w:val="20"/>
                <w:szCs w:val="20"/>
              </w:rPr>
            </w:pPr>
            <w:r w:rsidRPr="00820745">
              <w:rPr>
                <w:rFonts w:ascii="Cambria" w:hAnsi="Cambria"/>
                <w:sz w:val="20"/>
                <w:szCs w:val="20"/>
              </w:rPr>
              <w:t xml:space="preserve">Rating: Important to Significant contribution </w:t>
            </w:r>
          </w:p>
        </w:tc>
        <w:tc>
          <w:tcPr>
            <w:tcW w:w="1706" w:type="dxa"/>
            <w:vAlign w:val="center"/>
          </w:tcPr>
          <w:p w14:paraId="77C1666A" w14:textId="77777777" w:rsidR="00A93502" w:rsidRPr="00820745" w:rsidRDefault="00A93502" w:rsidP="002234FB">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20745">
              <w:rPr>
                <w:rFonts w:ascii="Cambria" w:hAnsi="Cambria"/>
                <w:b/>
                <w:sz w:val="20"/>
                <w:szCs w:val="20"/>
              </w:rPr>
              <w:t>Average of 3.5</w:t>
            </w:r>
          </w:p>
        </w:tc>
      </w:tr>
    </w:tbl>
    <w:p w14:paraId="028E2E14" w14:textId="33B559C2" w:rsidR="00B416A6" w:rsidRDefault="00B416A6" w:rsidP="00B416A6">
      <w:pPr>
        <w:pStyle w:val="Head1"/>
      </w:pPr>
      <w:bookmarkStart w:id="70" w:name="_Toc19006727"/>
      <w:r>
        <w:t>TASS management</w:t>
      </w:r>
      <w:bookmarkEnd w:id="39"/>
      <w:bookmarkEnd w:id="40"/>
      <w:bookmarkEnd w:id="41"/>
      <w:bookmarkEnd w:id="42"/>
      <w:bookmarkEnd w:id="70"/>
    </w:p>
    <w:p w14:paraId="238A776E" w14:textId="77777777" w:rsidR="00B416A6" w:rsidRPr="00DD3D77" w:rsidRDefault="00B416A6" w:rsidP="00B416A6">
      <w:pPr>
        <w:pStyle w:val="Contenttext"/>
      </w:pPr>
      <w:r>
        <w:rPr>
          <w:rFonts w:eastAsia="Calibri"/>
          <w:lang w:eastAsia="en-AU"/>
        </w:rPr>
        <w:t>This section of the Work Plan describes the</w:t>
      </w:r>
      <w:r w:rsidRPr="00D55602">
        <w:rPr>
          <w:rFonts w:eastAsia="Calibri"/>
          <w:lang w:eastAsia="en-AU"/>
        </w:rPr>
        <w:t xml:space="preserve"> </w:t>
      </w:r>
      <w:r>
        <w:rPr>
          <w:rFonts w:eastAsia="Calibri"/>
          <w:lang w:eastAsia="en-AU"/>
        </w:rPr>
        <w:t xml:space="preserve">management </w:t>
      </w:r>
      <w:r w:rsidRPr="00D55602">
        <w:rPr>
          <w:rFonts w:eastAsia="Calibri"/>
          <w:lang w:eastAsia="en-AU"/>
        </w:rPr>
        <w:t xml:space="preserve">activities </w:t>
      </w:r>
      <w:r>
        <w:rPr>
          <w:rFonts w:eastAsia="Calibri"/>
          <w:lang w:eastAsia="en-AU"/>
        </w:rPr>
        <w:t>undertaken in 201</w:t>
      </w:r>
      <w:r w:rsidR="003C0B84">
        <w:rPr>
          <w:rFonts w:eastAsia="Calibri"/>
          <w:lang w:eastAsia="en-AU"/>
        </w:rPr>
        <w:t>8</w:t>
      </w:r>
      <w:r>
        <w:rPr>
          <w:rFonts w:eastAsia="Calibri"/>
          <w:lang w:eastAsia="en-AU"/>
        </w:rPr>
        <w:t xml:space="preserve"> that support activity implementation and overall program management and oversight.</w:t>
      </w:r>
    </w:p>
    <w:p w14:paraId="226ECE3A" w14:textId="77777777" w:rsidR="00B416A6" w:rsidRPr="004014EA" w:rsidRDefault="00B416A6" w:rsidP="00B416A6">
      <w:pPr>
        <w:pStyle w:val="Head2"/>
      </w:pPr>
      <w:bookmarkStart w:id="71" w:name="_Toc513467444"/>
      <w:bookmarkStart w:id="72" w:name="_Toc513467775"/>
      <w:bookmarkStart w:id="73" w:name="_Toc513470399"/>
      <w:bookmarkStart w:id="74" w:name="_Toc513471053"/>
      <w:bookmarkStart w:id="75" w:name="_Toc19006730"/>
      <w:r w:rsidRPr="00B416A6">
        <w:t>Communications</w:t>
      </w:r>
      <w:bookmarkEnd w:id="71"/>
      <w:bookmarkEnd w:id="72"/>
      <w:bookmarkEnd w:id="73"/>
      <w:bookmarkEnd w:id="74"/>
      <w:bookmarkEnd w:id="75"/>
    </w:p>
    <w:p w14:paraId="0FEA54B3" w14:textId="77777777" w:rsidR="00B416A6" w:rsidRPr="00C44009" w:rsidRDefault="00B416A6" w:rsidP="00B416A6">
      <w:pPr>
        <w:pStyle w:val="Contenttext"/>
      </w:pPr>
      <w:r w:rsidRPr="00F4209A">
        <w:rPr>
          <w:b/>
        </w:rPr>
        <w:t>Scope:</w:t>
      </w:r>
      <w:r>
        <w:t xml:space="preserve"> </w:t>
      </w:r>
      <w:r w:rsidRPr="001175AA">
        <w:t xml:space="preserve">TASS </w:t>
      </w:r>
      <w:r>
        <w:t>and DFAT recognise that end-to-end e</w:t>
      </w:r>
      <w:r w:rsidRPr="001175AA">
        <w:t xml:space="preserve">ngagement and communications will be critical to the success of each TASS activity and thus the overall </w:t>
      </w:r>
      <w:r>
        <w:t>p</w:t>
      </w:r>
      <w:r w:rsidRPr="001175AA">
        <w:t xml:space="preserve">rogram. </w:t>
      </w:r>
      <w:r>
        <w:t xml:space="preserve">A Communications </w:t>
      </w:r>
      <w:r w:rsidR="00B76EE5">
        <w:t>Strategy</w:t>
      </w:r>
      <w:r>
        <w:t xml:space="preserve"> guides </w:t>
      </w:r>
      <w:r w:rsidRPr="001175AA">
        <w:t xml:space="preserve">the overall approach to TASS’ communications as well as the development of communications plans for individual </w:t>
      </w:r>
      <w:r w:rsidRPr="00C44009">
        <w:t xml:space="preserve">activities. </w:t>
      </w:r>
    </w:p>
    <w:p w14:paraId="2BC01166" w14:textId="260709C1" w:rsidR="00E4296E" w:rsidRDefault="00B416A6" w:rsidP="002A3549">
      <w:pPr>
        <w:pStyle w:val="Body"/>
        <w:rPr>
          <w:lang w:eastAsia="en-AU"/>
        </w:rPr>
      </w:pPr>
      <w:r w:rsidRPr="00C44009">
        <w:rPr>
          <w:b/>
          <w:lang w:eastAsia="en-AU"/>
        </w:rPr>
        <w:t>Progress:</w:t>
      </w:r>
      <w:r w:rsidRPr="00C44009">
        <w:rPr>
          <w:lang w:eastAsia="en-AU"/>
        </w:rPr>
        <w:t xml:space="preserve"> </w:t>
      </w:r>
      <w:r w:rsidR="00E4296E">
        <w:t xml:space="preserve">In 2018, </w:t>
      </w:r>
      <w:r w:rsidR="00A24261">
        <w:t>the TASS</w:t>
      </w:r>
      <w:r w:rsidR="00B76EE5">
        <w:t xml:space="preserve"> Communications Officer was recruited (initially 0.6 FTE then increased to 1.0</w:t>
      </w:r>
      <w:r w:rsidR="000F74BF">
        <w:t xml:space="preserve"> </w:t>
      </w:r>
      <w:r w:rsidR="00B76EE5">
        <w:t>FTE) to support the implementation of the guiding Communications Strategy and activity level Communications Plan</w:t>
      </w:r>
      <w:r w:rsidR="00672E2A">
        <w:t>s</w:t>
      </w:r>
      <w:r w:rsidR="00B76EE5">
        <w:t>. T</w:t>
      </w:r>
      <w:r w:rsidR="00E4296E">
        <w:rPr>
          <w:lang w:eastAsia="en-AU"/>
        </w:rPr>
        <w:t xml:space="preserve">he Communications Specialist </w:t>
      </w:r>
      <w:r w:rsidR="00B76EE5">
        <w:rPr>
          <w:lang w:eastAsia="en-AU"/>
        </w:rPr>
        <w:t xml:space="preserve">and Communications Officer have continued to </w:t>
      </w:r>
      <w:r w:rsidR="00672E2A">
        <w:rPr>
          <w:lang w:eastAsia="en-AU"/>
        </w:rPr>
        <w:t>develop regular and bespoke</w:t>
      </w:r>
      <w:r w:rsidR="00164077">
        <w:rPr>
          <w:lang w:eastAsia="en-AU"/>
        </w:rPr>
        <w:t xml:space="preserve"> </w:t>
      </w:r>
      <w:r w:rsidR="00A73774">
        <w:rPr>
          <w:lang w:eastAsia="en-AU"/>
        </w:rPr>
        <w:t>products</w:t>
      </w:r>
      <w:r w:rsidR="00164077">
        <w:rPr>
          <w:lang w:eastAsia="en-AU"/>
        </w:rPr>
        <w:t>, such as a first program newsletter, program and activity fact sheets, and report briefs and summaries</w:t>
      </w:r>
      <w:r w:rsidR="00A73774">
        <w:rPr>
          <w:lang w:eastAsia="en-AU"/>
        </w:rPr>
        <w:t xml:space="preserve">. </w:t>
      </w:r>
      <w:r w:rsidR="00164077">
        <w:rPr>
          <w:lang w:eastAsia="en-AU"/>
        </w:rPr>
        <w:t>Significant effort was devoted in the second half of 2018 on developing products to increase visibility of TASS within the Australian Embassy in Jakarta.</w:t>
      </w:r>
      <w:r w:rsidR="00672E2A">
        <w:rPr>
          <w:lang w:eastAsia="en-AU"/>
        </w:rPr>
        <w:t xml:space="preserve"> </w:t>
      </w:r>
      <w:r w:rsidR="00E4296E">
        <w:rPr>
          <w:lang w:eastAsia="en-AU"/>
        </w:rPr>
        <w:t>The Communications Plan was reviewed and updated in Quarter 3 of 2018</w:t>
      </w:r>
      <w:r w:rsidR="00FB3DB1">
        <w:rPr>
          <w:lang w:eastAsia="en-AU"/>
        </w:rPr>
        <w:t xml:space="preserve"> after the TASS Mid Term Evaluation</w:t>
      </w:r>
      <w:r w:rsidR="00164077">
        <w:rPr>
          <w:lang w:eastAsia="en-AU"/>
        </w:rPr>
        <w:t xml:space="preserve">; </w:t>
      </w:r>
      <w:r w:rsidR="00F43D42">
        <w:rPr>
          <w:lang w:eastAsia="en-AU"/>
        </w:rPr>
        <w:t xml:space="preserve">however </w:t>
      </w:r>
      <w:r w:rsidR="00164077">
        <w:rPr>
          <w:lang w:eastAsia="en-AU"/>
        </w:rPr>
        <w:t>its implementation was constrained by the 2018-19 budget adjustment</w:t>
      </w:r>
      <w:r w:rsidR="00E4296E">
        <w:rPr>
          <w:lang w:eastAsia="en-AU"/>
        </w:rPr>
        <w:t>.</w:t>
      </w:r>
    </w:p>
    <w:p w14:paraId="02683CA4" w14:textId="7C427E70" w:rsidR="0084556A" w:rsidRPr="0084556A" w:rsidRDefault="00B416A6" w:rsidP="00E4296E">
      <w:pPr>
        <w:jc w:val="both"/>
        <w:rPr>
          <w:rFonts w:ascii="Cambria" w:hAnsi="Cambria"/>
          <w:szCs w:val="24"/>
        </w:rPr>
      </w:pPr>
      <w:r w:rsidRPr="00C44009">
        <w:rPr>
          <w:rFonts w:eastAsia="Calibri"/>
          <w:b/>
          <w:lang w:eastAsia="en-AU"/>
        </w:rPr>
        <w:t>Action:</w:t>
      </w:r>
      <w:r w:rsidR="0084556A" w:rsidRPr="0084556A">
        <w:rPr>
          <w:rFonts w:eastAsia="Calibri"/>
          <w:lang w:eastAsia="en-AU"/>
        </w:rPr>
        <w:t xml:space="preserve"> </w:t>
      </w:r>
      <w:r w:rsidR="0084556A" w:rsidRPr="0084556A">
        <w:rPr>
          <w:rFonts w:ascii="Cambria" w:hAnsi="Cambria"/>
          <w:szCs w:val="24"/>
        </w:rPr>
        <w:t xml:space="preserve">In 2019, TASS </w:t>
      </w:r>
      <w:r w:rsidR="00F43D42">
        <w:rPr>
          <w:rFonts w:ascii="Cambria" w:hAnsi="Cambria"/>
          <w:szCs w:val="24"/>
        </w:rPr>
        <w:t xml:space="preserve">formally submit an </w:t>
      </w:r>
      <w:r w:rsidR="0084556A" w:rsidRPr="0084556A">
        <w:rPr>
          <w:rFonts w:ascii="Cambria" w:hAnsi="Cambria"/>
          <w:szCs w:val="24"/>
        </w:rPr>
        <w:t xml:space="preserve">updated Communications Plan. This includes regular communications products, such as </w:t>
      </w:r>
      <w:r w:rsidR="00164077">
        <w:rPr>
          <w:rFonts w:ascii="Cambria" w:hAnsi="Cambria"/>
          <w:szCs w:val="24"/>
        </w:rPr>
        <w:t xml:space="preserve">program fact/information sheets and </w:t>
      </w:r>
      <w:r w:rsidR="0084556A" w:rsidRPr="0084556A">
        <w:rPr>
          <w:rFonts w:ascii="Cambria" w:hAnsi="Cambria"/>
          <w:szCs w:val="24"/>
        </w:rPr>
        <w:t xml:space="preserve">six monthly newsletters, developed with targeted messaging and content for English and Bahasa-speaking audiences, as well as bespoke products that support the uptake and use of TASS outputs and raise the visibility of TASS within the Embassy and DFAT more broadly. TASS will continue to work with INOVASI on use of shared messaging that supports DFAT to communicate the importance of investment in basic education in Indonesia. </w:t>
      </w:r>
    </w:p>
    <w:p w14:paraId="73EB1719" w14:textId="77777777" w:rsidR="0084556A" w:rsidRPr="0084556A" w:rsidRDefault="0084556A" w:rsidP="0084556A">
      <w:pPr>
        <w:rPr>
          <w:rFonts w:ascii="Cambria" w:hAnsi="Cambria"/>
          <w:szCs w:val="24"/>
        </w:rPr>
      </w:pPr>
      <w:r w:rsidRPr="0084556A">
        <w:rPr>
          <w:rFonts w:ascii="Cambria" w:hAnsi="Cambria"/>
          <w:szCs w:val="24"/>
        </w:rPr>
        <w:t xml:space="preserve">TASS is also in the process of securing space on the MoEC and MoRA websites to host content online. </w:t>
      </w:r>
    </w:p>
    <w:p w14:paraId="26C4460B" w14:textId="77777777" w:rsidR="00B416A6" w:rsidRPr="00763FD0" w:rsidRDefault="00B416A6" w:rsidP="00B416A6">
      <w:pPr>
        <w:pStyle w:val="Head2"/>
      </w:pPr>
      <w:bookmarkStart w:id="76" w:name="_Toc513467445"/>
      <w:bookmarkStart w:id="77" w:name="_Toc513467776"/>
      <w:bookmarkStart w:id="78" w:name="_Toc513470400"/>
      <w:bookmarkStart w:id="79" w:name="_Toc513471054"/>
      <w:bookmarkStart w:id="80" w:name="_Toc19006731"/>
      <w:r>
        <w:t>Monitoring and Evaluation</w:t>
      </w:r>
      <w:bookmarkEnd w:id="76"/>
      <w:bookmarkEnd w:id="77"/>
      <w:bookmarkEnd w:id="78"/>
      <w:bookmarkEnd w:id="79"/>
      <w:bookmarkEnd w:id="80"/>
    </w:p>
    <w:p w14:paraId="52BFCDFD" w14:textId="77777777" w:rsidR="00B416A6" w:rsidRDefault="00B416A6" w:rsidP="00B416A6">
      <w:pPr>
        <w:pStyle w:val="Contenttext"/>
      </w:pPr>
      <w:r w:rsidRPr="00F4209A">
        <w:rPr>
          <w:b/>
        </w:rPr>
        <w:t>Scope:</w:t>
      </w:r>
      <w:r>
        <w:t xml:space="preserve"> TASS M&amp;E serves three purposes: internal and external accountability for resources used and results obtained; learning from implementation to improve practices and activities in the future; and taking informed decisions about the program. </w:t>
      </w:r>
    </w:p>
    <w:p w14:paraId="234E5361" w14:textId="77777777" w:rsidR="00DF4306" w:rsidRDefault="00B416A6" w:rsidP="002A3549">
      <w:pPr>
        <w:pStyle w:val="Body"/>
        <w:rPr>
          <w:lang w:eastAsia="en-AU"/>
        </w:rPr>
      </w:pPr>
      <w:r>
        <w:rPr>
          <w:b/>
          <w:lang w:eastAsia="en-AU"/>
        </w:rPr>
        <w:t>Progress</w:t>
      </w:r>
      <w:r w:rsidRPr="00F4209A">
        <w:rPr>
          <w:b/>
          <w:lang w:eastAsia="en-AU"/>
        </w:rPr>
        <w:t>:</w:t>
      </w:r>
      <w:r>
        <w:rPr>
          <w:lang w:eastAsia="en-AU"/>
        </w:rPr>
        <w:t xml:space="preserve"> </w:t>
      </w:r>
      <w:r w:rsidR="00DF4306">
        <w:rPr>
          <w:lang w:eastAsia="en-AU"/>
        </w:rPr>
        <w:t xml:space="preserve">The TASS program logic was updated in the third quarter of 2018, and a revised Monitoring and Evaluation Plan was submitted to DFAT </w:t>
      </w:r>
      <w:r w:rsidR="00DF4306" w:rsidRPr="00DF4306">
        <w:rPr>
          <w:lang w:eastAsia="en-AU"/>
        </w:rPr>
        <w:t>in December 2018.</w:t>
      </w:r>
    </w:p>
    <w:p w14:paraId="0EE17C5E" w14:textId="77777777" w:rsidR="00F026A0" w:rsidRPr="00672E2A" w:rsidRDefault="00F026A0" w:rsidP="002A3549">
      <w:pPr>
        <w:pStyle w:val="Body"/>
        <w:rPr>
          <w:lang w:eastAsia="en-AU"/>
        </w:rPr>
      </w:pPr>
      <w:r w:rsidRPr="00672E2A">
        <w:rPr>
          <w:lang w:eastAsia="en-AU"/>
        </w:rPr>
        <w:t>T</w:t>
      </w:r>
      <w:r>
        <w:rPr>
          <w:lang w:eastAsia="en-AU"/>
        </w:rPr>
        <w:t xml:space="preserve">he National M&amp;E Specialist </w:t>
      </w:r>
      <w:r w:rsidRPr="00672E2A">
        <w:rPr>
          <w:lang w:eastAsia="en-AU"/>
        </w:rPr>
        <w:t>support</w:t>
      </w:r>
      <w:r>
        <w:rPr>
          <w:lang w:eastAsia="en-AU"/>
        </w:rPr>
        <w:t>ed</w:t>
      </w:r>
      <w:r w:rsidRPr="00672E2A">
        <w:rPr>
          <w:lang w:eastAsia="en-AU"/>
        </w:rPr>
        <w:t xml:space="preserve"> ongoing data collection as guided by the International M&amp;E Specialist</w:t>
      </w:r>
      <w:r>
        <w:rPr>
          <w:lang w:eastAsia="en-AU"/>
        </w:rPr>
        <w:t>, in May and November 2018</w:t>
      </w:r>
      <w:r w:rsidRPr="00672E2A">
        <w:rPr>
          <w:lang w:eastAsia="en-AU"/>
        </w:rPr>
        <w:t>. The annual reflective review w</w:t>
      </w:r>
      <w:r>
        <w:rPr>
          <w:lang w:eastAsia="en-AU"/>
        </w:rPr>
        <w:t xml:space="preserve">as </w:t>
      </w:r>
      <w:r w:rsidRPr="00672E2A">
        <w:rPr>
          <w:lang w:eastAsia="en-AU"/>
        </w:rPr>
        <w:t xml:space="preserve">conducted </w:t>
      </w:r>
      <w:r>
        <w:rPr>
          <w:lang w:eastAsia="en-AU"/>
        </w:rPr>
        <w:t>in late November/early December 2018, feeding into an annual monitoring report</w:t>
      </w:r>
      <w:r>
        <w:rPr>
          <w:rStyle w:val="FootnoteReference"/>
          <w:lang w:eastAsia="en-AU"/>
        </w:rPr>
        <w:footnoteReference w:id="20"/>
      </w:r>
      <w:r>
        <w:rPr>
          <w:lang w:eastAsia="en-AU"/>
        </w:rPr>
        <w:t>.</w:t>
      </w:r>
    </w:p>
    <w:p w14:paraId="7B6CEA9A" w14:textId="77777777" w:rsidR="00672E2A" w:rsidRDefault="00672E2A" w:rsidP="002A3549">
      <w:pPr>
        <w:pStyle w:val="Body"/>
        <w:rPr>
          <w:lang w:eastAsia="en-AU"/>
        </w:rPr>
      </w:pPr>
      <w:r>
        <w:rPr>
          <w:lang w:eastAsia="en-AU"/>
        </w:rPr>
        <w:t>Th</w:t>
      </w:r>
      <w:r w:rsidRPr="00672E2A">
        <w:rPr>
          <w:lang w:eastAsia="en-AU"/>
        </w:rPr>
        <w:t xml:space="preserve">e TASS International </w:t>
      </w:r>
      <w:r w:rsidR="00A24261">
        <w:rPr>
          <w:lang w:eastAsia="en-AU"/>
        </w:rPr>
        <w:t>and National M&amp;E Specialists le</w:t>
      </w:r>
      <w:r w:rsidRPr="00672E2A">
        <w:rPr>
          <w:lang w:eastAsia="en-AU"/>
        </w:rPr>
        <w:t xml:space="preserve">d a mid-term evaluation </w:t>
      </w:r>
      <w:r w:rsidR="00F026A0">
        <w:rPr>
          <w:lang w:eastAsia="en-AU"/>
        </w:rPr>
        <w:t>in August 2018 in which the specialists</w:t>
      </w:r>
      <w:r w:rsidRPr="00672E2A">
        <w:rPr>
          <w:lang w:eastAsia="en-AU"/>
        </w:rPr>
        <w:t xml:space="preserve"> review</w:t>
      </w:r>
      <w:r>
        <w:rPr>
          <w:lang w:eastAsia="en-AU"/>
        </w:rPr>
        <w:t>ed</w:t>
      </w:r>
      <w:r w:rsidR="00F026A0">
        <w:rPr>
          <w:lang w:eastAsia="en-AU"/>
        </w:rPr>
        <w:t xml:space="preserve"> existing M&amp;E data, conducted</w:t>
      </w:r>
      <w:r w:rsidRPr="00672E2A">
        <w:rPr>
          <w:lang w:eastAsia="en-AU"/>
        </w:rPr>
        <w:t xml:space="preserve"> in-depth, case study examinations of selected activities</w:t>
      </w:r>
      <w:r w:rsidR="00F026A0">
        <w:rPr>
          <w:lang w:eastAsia="en-AU"/>
        </w:rPr>
        <w:t>,</w:t>
      </w:r>
      <w:r w:rsidR="00A24261">
        <w:rPr>
          <w:lang w:eastAsia="en-AU"/>
        </w:rPr>
        <w:t xml:space="preserve"> and </w:t>
      </w:r>
      <w:r w:rsidR="00F026A0">
        <w:rPr>
          <w:lang w:eastAsia="en-AU"/>
        </w:rPr>
        <w:t xml:space="preserve">held </w:t>
      </w:r>
      <w:r w:rsidR="00A24261">
        <w:rPr>
          <w:lang w:eastAsia="en-AU"/>
        </w:rPr>
        <w:t xml:space="preserve">interviews with TASS core team, STA and </w:t>
      </w:r>
      <w:r w:rsidR="00F026A0">
        <w:rPr>
          <w:lang w:eastAsia="en-AU"/>
        </w:rPr>
        <w:t xml:space="preserve">DFAT and GoI </w:t>
      </w:r>
      <w:r w:rsidR="00A24261">
        <w:rPr>
          <w:lang w:eastAsia="en-AU"/>
        </w:rPr>
        <w:t>counterparts</w:t>
      </w:r>
      <w:r w:rsidRPr="00672E2A">
        <w:rPr>
          <w:lang w:eastAsia="en-AU"/>
        </w:rPr>
        <w:t xml:space="preserve">. </w:t>
      </w:r>
      <w:r>
        <w:rPr>
          <w:lang w:eastAsia="en-AU"/>
        </w:rPr>
        <w:t>The review found that TASS is achieving better than expected against the intermediate and end of facility outcomes</w:t>
      </w:r>
      <w:r w:rsidR="00F026A0">
        <w:rPr>
          <w:lang w:eastAsia="en-AU"/>
        </w:rPr>
        <w:t>; that investments are being well targeted to support GoI reform and leverage and complement other work; and that key implementation approaches embedded in activities are key to outcomes achieved.</w:t>
      </w:r>
    </w:p>
    <w:p w14:paraId="1C710897" w14:textId="77777777" w:rsidR="0084556A" w:rsidRPr="0084556A" w:rsidRDefault="00B416A6" w:rsidP="002A3549">
      <w:pPr>
        <w:pStyle w:val="Body"/>
        <w:rPr>
          <w:lang w:eastAsia="en-AU"/>
        </w:rPr>
      </w:pPr>
      <w:r w:rsidRPr="008978AB">
        <w:rPr>
          <w:b/>
          <w:lang w:eastAsia="en-AU"/>
        </w:rPr>
        <w:t xml:space="preserve">Action: </w:t>
      </w:r>
      <w:bookmarkStart w:id="81" w:name="_Toc513467446"/>
      <w:bookmarkStart w:id="82" w:name="_Toc513467777"/>
      <w:bookmarkStart w:id="83" w:name="_Toc513470401"/>
      <w:bookmarkStart w:id="84" w:name="_Toc513471055"/>
      <w:r w:rsidR="00672E2A">
        <w:rPr>
          <w:lang w:eastAsia="en-AU"/>
        </w:rPr>
        <w:t>In 2019</w:t>
      </w:r>
      <w:r w:rsidR="0084556A" w:rsidRPr="0084556A">
        <w:rPr>
          <w:lang w:eastAsia="en-AU"/>
        </w:rPr>
        <w:t xml:space="preserve">, the focus of monitoring and evaluation activities will be monitoring TASS activities and policy engagement; evaluating achievement </w:t>
      </w:r>
      <w:r w:rsidR="00F026A0">
        <w:rPr>
          <w:lang w:eastAsia="en-AU"/>
        </w:rPr>
        <w:t>against</w:t>
      </w:r>
      <w:r w:rsidR="0084556A" w:rsidRPr="0084556A">
        <w:rPr>
          <w:lang w:eastAsia="en-AU"/>
        </w:rPr>
        <w:t xml:space="preserve"> intermediate</w:t>
      </w:r>
      <w:r w:rsidR="00F026A0">
        <w:rPr>
          <w:lang w:eastAsia="en-AU"/>
        </w:rPr>
        <w:t xml:space="preserve"> outcomes</w:t>
      </w:r>
      <w:r w:rsidR="0084556A" w:rsidRPr="0084556A">
        <w:rPr>
          <w:lang w:eastAsia="en-AU"/>
        </w:rPr>
        <w:t xml:space="preserve"> and </w:t>
      </w:r>
      <w:r w:rsidR="00F026A0">
        <w:rPr>
          <w:lang w:eastAsia="en-AU"/>
        </w:rPr>
        <w:t xml:space="preserve">trend towards </w:t>
      </w:r>
      <w:r w:rsidR="0084556A" w:rsidRPr="0084556A">
        <w:rPr>
          <w:lang w:eastAsia="en-AU"/>
        </w:rPr>
        <w:t>end of facility outcomes; and reviewing the implementation of recommendations presented in the mid-term evaluation,</w:t>
      </w:r>
      <w:r w:rsidR="00F026A0">
        <w:rPr>
          <w:lang w:eastAsia="en-AU"/>
        </w:rPr>
        <w:t xml:space="preserve"> the</w:t>
      </w:r>
      <w:r w:rsidR="0084556A" w:rsidRPr="0084556A">
        <w:rPr>
          <w:lang w:eastAsia="en-AU"/>
        </w:rPr>
        <w:t xml:space="preserve"> </w:t>
      </w:r>
      <w:r w:rsidR="00F026A0">
        <w:rPr>
          <w:lang w:eastAsia="en-AU"/>
        </w:rPr>
        <w:t xml:space="preserve">2018 annual monitoring report and </w:t>
      </w:r>
      <w:r w:rsidR="0084556A" w:rsidRPr="0084556A">
        <w:rPr>
          <w:lang w:eastAsia="en-AU"/>
        </w:rPr>
        <w:t>DFAT</w:t>
      </w:r>
      <w:r w:rsidR="00F026A0">
        <w:rPr>
          <w:lang w:eastAsia="en-AU"/>
        </w:rPr>
        <w:t>’s strategic review</w:t>
      </w:r>
      <w:r w:rsidR="0084556A" w:rsidRPr="0084556A">
        <w:rPr>
          <w:lang w:eastAsia="en-AU"/>
        </w:rPr>
        <w:t>.</w:t>
      </w:r>
    </w:p>
    <w:p w14:paraId="37633909" w14:textId="77777777" w:rsidR="0084556A" w:rsidRPr="0084556A" w:rsidRDefault="0084556A" w:rsidP="002A3549">
      <w:pPr>
        <w:pStyle w:val="Body"/>
        <w:rPr>
          <w:lang w:eastAsia="en-AU"/>
        </w:rPr>
      </w:pPr>
      <w:r w:rsidRPr="0084556A">
        <w:rPr>
          <w:lang w:eastAsia="en-AU"/>
        </w:rPr>
        <w:t>The annual reflective review will be conducted in November</w:t>
      </w:r>
      <w:r>
        <w:rPr>
          <w:lang w:eastAsia="en-AU"/>
        </w:rPr>
        <w:t xml:space="preserve"> </w:t>
      </w:r>
      <w:r w:rsidRPr="0084556A">
        <w:rPr>
          <w:lang w:eastAsia="en-AU"/>
        </w:rPr>
        <w:t>2019</w:t>
      </w:r>
      <w:r w:rsidR="00672E2A">
        <w:rPr>
          <w:lang w:eastAsia="en-AU"/>
        </w:rPr>
        <w:t>.</w:t>
      </w:r>
    </w:p>
    <w:p w14:paraId="748FE03D" w14:textId="77777777" w:rsidR="00B416A6" w:rsidRPr="00763FD0" w:rsidRDefault="00B416A6" w:rsidP="0084556A">
      <w:pPr>
        <w:pStyle w:val="Head2"/>
      </w:pPr>
      <w:bookmarkStart w:id="85" w:name="_Toc19006732"/>
      <w:r>
        <w:t>Cross-program coordination</w:t>
      </w:r>
      <w:bookmarkEnd w:id="81"/>
      <w:bookmarkEnd w:id="82"/>
      <w:bookmarkEnd w:id="83"/>
      <w:bookmarkEnd w:id="84"/>
      <w:bookmarkEnd w:id="85"/>
    </w:p>
    <w:p w14:paraId="4E9A796C" w14:textId="77777777" w:rsidR="00B416A6" w:rsidRPr="00DF4306" w:rsidRDefault="00B416A6" w:rsidP="00B416A6">
      <w:pPr>
        <w:jc w:val="both"/>
        <w:rPr>
          <w:rFonts w:ascii="Cambria" w:hAnsi="Cambria"/>
        </w:rPr>
      </w:pPr>
      <w:r w:rsidRPr="00DF4306">
        <w:rPr>
          <w:rFonts w:ascii="Cambria" w:hAnsi="Cambria"/>
          <w:b/>
        </w:rPr>
        <w:t>Scope:</w:t>
      </w:r>
      <w:r w:rsidRPr="00DF4306">
        <w:rPr>
          <w:rFonts w:ascii="Cambria" w:hAnsi="Cambria"/>
        </w:rPr>
        <w:t xml:space="preserve"> As a program that can feed into and leverage from other DFAT investments, it will be critical for TASS to be aware of the priorities and activities of relevant DFAT programs, and seek opportunities for collaboration. TASS also plays a role in supporting DFAT to coordinate its education investments through coordinating a quarterly meeting of DFAT education programs. </w:t>
      </w:r>
    </w:p>
    <w:p w14:paraId="1731086B" w14:textId="77777777" w:rsidR="00B416A6" w:rsidRPr="00DF4306" w:rsidRDefault="00B416A6" w:rsidP="00B416A6">
      <w:pPr>
        <w:jc w:val="both"/>
        <w:rPr>
          <w:rFonts w:ascii="Cambria" w:hAnsi="Cambria"/>
        </w:rPr>
      </w:pPr>
      <w:r w:rsidRPr="00DF4306">
        <w:rPr>
          <w:rFonts w:ascii="Cambria" w:eastAsia="Calibri" w:hAnsi="Cambria"/>
          <w:b/>
          <w:lang w:eastAsia="en-AU"/>
        </w:rPr>
        <w:t>Progress:</w:t>
      </w:r>
      <w:r w:rsidRPr="00DF4306">
        <w:rPr>
          <w:rFonts w:ascii="Cambria" w:eastAsia="Calibri" w:hAnsi="Cambria"/>
          <w:lang w:eastAsia="en-AU"/>
        </w:rPr>
        <w:t xml:space="preserve"> </w:t>
      </w:r>
      <w:r w:rsidRPr="00DF4306">
        <w:rPr>
          <w:rFonts w:ascii="Cambria" w:hAnsi="Cambria"/>
        </w:rPr>
        <w:t xml:space="preserve">Through </w:t>
      </w:r>
      <w:r w:rsidR="00DF4306">
        <w:rPr>
          <w:rFonts w:ascii="Cambria" w:hAnsi="Cambria"/>
        </w:rPr>
        <w:t xml:space="preserve">leadership of </w:t>
      </w:r>
      <w:r w:rsidRPr="00DF4306">
        <w:rPr>
          <w:rFonts w:ascii="Cambria" w:hAnsi="Cambria"/>
        </w:rPr>
        <w:t>the Edu</w:t>
      </w:r>
      <w:r w:rsidR="00DF4306">
        <w:rPr>
          <w:rFonts w:ascii="Cambria" w:hAnsi="Cambria"/>
        </w:rPr>
        <w:t>cation Sector Review (IDTAS-</w:t>
      </w:r>
      <w:r w:rsidRPr="00DF4306">
        <w:rPr>
          <w:rFonts w:ascii="Cambria" w:hAnsi="Cambria"/>
        </w:rPr>
        <w:t>G011</w:t>
      </w:r>
      <w:r w:rsidR="00DF4306">
        <w:rPr>
          <w:rFonts w:ascii="Cambria" w:hAnsi="Cambria"/>
        </w:rPr>
        <w:t>; IDTAS-G018; IDTAS-G021</w:t>
      </w:r>
      <w:r w:rsidRPr="00DF4306">
        <w:rPr>
          <w:rFonts w:ascii="Cambria" w:hAnsi="Cambria"/>
        </w:rPr>
        <w:t xml:space="preserve">) TASS </w:t>
      </w:r>
      <w:r w:rsidR="00DF4306">
        <w:rPr>
          <w:rFonts w:ascii="Cambria" w:hAnsi="Cambria"/>
        </w:rPr>
        <w:t>worked in partnership with</w:t>
      </w:r>
      <w:r w:rsidRPr="00DF4306">
        <w:rPr>
          <w:rFonts w:ascii="Cambria" w:hAnsi="Cambria"/>
        </w:rPr>
        <w:t xml:space="preserve"> development partners</w:t>
      </w:r>
      <w:r w:rsidR="00DF4306">
        <w:rPr>
          <w:rFonts w:ascii="Cambria" w:hAnsi="Cambria"/>
        </w:rPr>
        <w:t xml:space="preserve"> (World Bank, ADB, UNICEF)</w:t>
      </w:r>
      <w:r w:rsidRPr="00DF4306">
        <w:rPr>
          <w:rFonts w:ascii="Cambria" w:hAnsi="Cambria"/>
        </w:rPr>
        <w:t>, programs</w:t>
      </w:r>
      <w:r w:rsidR="00DF4306">
        <w:rPr>
          <w:rFonts w:ascii="Cambria" w:hAnsi="Cambria"/>
        </w:rPr>
        <w:t xml:space="preserve"> (INOVASI, IDTEMAN, KOMPAK)</w:t>
      </w:r>
      <w:r w:rsidRPr="00DF4306">
        <w:rPr>
          <w:rFonts w:ascii="Cambria" w:hAnsi="Cambria"/>
        </w:rPr>
        <w:t xml:space="preserve">, and research organisations </w:t>
      </w:r>
      <w:r w:rsidR="00DF4306">
        <w:rPr>
          <w:rFonts w:ascii="Cambria" w:hAnsi="Cambria"/>
        </w:rPr>
        <w:t xml:space="preserve">(SMERU, PSPK) </w:t>
      </w:r>
      <w:r w:rsidRPr="00DF4306">
        <w:rPr>
          <w:rFonts w:ascii="Cambria" w:hAnsi="Cambria"/>
        </w:rPr>
        <w:t xml:space="preserve">and took a leading role in coordinating their inputs into the ESR. This strengthened the quality of the analysis provided and lessened transaction costs for </w:t>
      </w:r>
      <w:r w:rsidRPr="00DE0F5C">
        <w:rPr>
          <w:rFonts w:ascii="Cambria" w:hAnsi="Cambria"/>
          <w:i/>
        </w:rPr>
        <w:t>Bappenas</w:t>
      </w:r>
      <w:r w:rsidRPr="00DF4306">
        <w:rPr>
          <w:rFonts w:ascii="Cambria" w:hAnsi="Cambria"/>
        </w:rPr>
        <w:t>.</w:t>
      </w:r>
      <w:r w:rsidR="006F0769">
        <w:rPr>
          <w:rFonts w:ascii="Cambria" w:hAnsi="Cambria"/>
        </w:rPr>
        <w:t xml:space="preserve"> </w:t>
      </w:r>
    </w:p>
    <w:p w14:paraId="4F1C9EBA" w14:textId="37FB37F5" w:rsidR="00B416A6" w:rsidRDefault="00DF4306" w:rsidP="00B416A6">
      <w:pPr>
        <w:jc w:val="both"/>
        <w:rPr>
          <w:rFonts w:ascii="Cambria" w:hAnsi="Cambria"/>
        </w:rPr>
      </w:pPr>
      <w:r>
        <w:rPr>
          <w:rFonts w:ascii="Cambria" w:hAnsi="Cambria"/>
        </w:rPr>
        <w:t>TASS support to MoEC on teacher workforce planning resulted in an INOVASI pilot on multigrade teaching in East Java, which is intended to inform revision and/or development of related regulations and guidelines. TASS and INOVASI also initiated collaboration on a pilot of a data collection tool within its</w:t>
      </w:r>
      <w:r w:rsidR="00502D28">
        <w:rPr>
          <w:rFonts w:ascii="Cambria" w:hAnsi="Cambria"/>
        </w:rPr>
        <w:t xml:space="preserve"> inclusive education pilot</w:t>
      </w:r>
      <w:r>
        <w:rPr>
          <w:rFonts w:ascii="Cambria" w:hAnsi="Cambria"/>
        </w:rPr>
        <w:t xml:space="preserve">; with strong relationships between TASS and MoEC and MoRA EMIS teams it was agreed that TASS will facilitate bringing of evidence from this pilot to the ministries in 2019. TASS </w:t>
      </w:r>
      <w:r w:rsidR="006F0769">
        <w:rPr>
          <w:rFonts w:ascii="Cambria" w:hAnsi="Cambria"/>
        </w:rPr>
        <w:t>drew on an INOVASI emerging evidence paper in formulating</w:t>
      </w:r>
      <w:r>
        <w:rPr>
          <w:rFonts w:ascii="Cambria" w:hAnsi="Cambria"/>
        </w:rPr>
        <w:t xml:space="preserve"> </w:t>
      </w:r>
      <w:r w:rsidR="006F0769">
        <w:rPr>
          <w:rFonts w:ascii="Cambria" w:hAnsi="Cambria"/>
        </w:rPr>
        <w:t xml:space="preserve">proposed key directions and strategies for the RPJMN and </w:t>
      </w:r>
      <w:r w:rsidR="006F0769" w:rsidRPr="00F83902">
        <w:rPr>
          <w:rFonts w:ascii="Cambria" w:hAnsi="Cambria"/>
          <w:i/>
        </w:rPr>
        <w:t>Renstras</w:t>
      </w:r>
      <w:r w:rsidR="006F0769">
        <w:rPr>
          <w:rFonts w:ascii="Cambria" w:hAnsi="Cambria"/>
        </w:rPr>
        <w:t>; this has also been used to inform other areas of work such as emerging support for MoEC teacher professional development systems. Finally, TASS-INOVASI cooperation on MoRA CPD supported an agreement with MoRA on inclusion of INOVASI literacy and numeracy modules in CPD. A number of coordination meetings were also held with the World Bank on their intended support to MoRA to minimize duplication and seek areas of collaboration.</w:t>
      </w:r>
    </w:p>
    <w:p w14:paraId="180225B5" w14:textId="77777777" w:rsidR="006F0769" w:rsidRPr="00DF4306" w:rsidRDefault="006F0769" w:rsidP="00B416A6">
      <w:pPr>
        <w:jc w:val="both"/>
        <w:rPr>
          <w:rFonts w:ascii="Cambria" w:hAnsi="Cambria"/>
        </w:rPr>
      </w:pPr>
      <w:r>
        <w:rPr>
          <w:rFonts w:ascii="Cambria" w:hAnsi="Cambria"/>
        </w:rPr>
        <w:t xml:space="preserve">TASS also liaised with KOMPAK to inform its strategy for education under its second phase of implementation, sharing Education Sector Review papers and analyses. </w:t>
      </w:r>
    </w:p>
    <w:p w14:paraId="256D45F4" w14:textId="77777777" w:rsidR="0084556A" w:rsidRDefault="00B416A6" w:rsidP="0084556A">
      <w:pPr>
        <w:pStyle w:val="Contenttext"/>
      </w:pPr>
      <w:r w:rsidRPr="008978AB">
        <w:rPr>
          <w:b/>
        </w:rPr>
        <w:t>Action:</w:t>
      </w:r>
      <w:r>
        <w:t xml:space="preserve"> </w:t>
      </w:r>
      <w:r w:rsidR="0084556A" w:rsidRPr="0084556A">
        <w:t xml:space="preserve">TASS will continue its ongoing work with INOVASI, ADB and the World Bank to support </w:t>
      </w:r>
      <w:r w:rsidR="0084556A" w:rsidRPr="00DE0F5C">
        <w:rPr>
          <w:i/>
        </w:rPr>
        <w:t>Bappenas</w:t>
      </w:r>
      <w:r w:rsidR="0084556A" w:rsidRPr="0084556A">
        <w:t xml:space="preserve"> to develop the RPJMN 2020-24 (Education Chapter). TASS engagement with MoEC on systems that support education quality (assessment, school accreditation, teacher professional development, teacher standards and quality assurance) and potentially a national roadmap for education quality (at all levels of government) will include close collaboration with INOVASI, KOMPAK and ID-TEMAN. TASS will </w:t>
      </w:r>
      <w:r w:rsidR="006F0769">
        <w:t xml:space="preserve">continue to </w:t>
      </w:r>
      <w:r w:rsidR="0084556A" w:rsidRPr="0084556A">
        <w:t>seek opportunities to bring e</w:t>
      </w:r>
      <w:r w:rsidR="006F0769">
        <w:t xml:space="preserve">vidence from these and other programs/stakeholders, such as SMERU/RISE, Tanoto, UNICEF and PSPK </w:t>
      </w:r>
      <w:r w:rsidR="0084556A" w:rsidRPr="0084556A">
        <w:t xml:space="preserve">to bear on TASS activities, so that national policy and decision making can be informed by sub-national realities. </w:t>
      </w:r>
    </w:p>
    <w:p w14:paraId="750B3C56" w14:textId="2170C3FF" w:rsidR="0001753F" w:rsidRPr="0084556A" w:rsidRDefault="0001753F" w:rsidP="0084556A">
      <w:pPr>
        <w:pStyle w:val="Contenttext"/>
      </w:pPr>
      <w:r>
        <w:t xml:space="preserve">TASS and INOVASI will finalise a framework for cross-program policy engagement in </w:t>
      </w:r>
      <w:r w:rsidR="00F43D42">
        <w:t>the first quarter of 2019</w:t>
      </w:r>
      <w:r>
        <w:t xml:space="preserve">. </w:t>
      </w:r>
    </w:p>
    <w:p w14:paraId="6C217A21" w14:textId="77777777" w:rsidR="00B416A6" w:rsidRPr="00443C85" w:rsidRDefault="00B416A6" w:rsidP="00B416A6">
      <w:pPr>
        <w:pStyle w:val="Head2"/>
      </w:pPr>
      <w:bookmarkStart w:id="86" w:name="_Toc513467447"/>
      <w:bookmarkStart w:id="87" w:name="_Toc513467778"/>
      <w:bookmarkStart w:id="88" w:name="_Toc513470402"/>
      <w:bookmarkStart w:id="89" w:name="_Toc513471056"/>
      <w:bookmarkStart w:id="90" w:name="_Toc19006733"/>
      <w:r>
        <w:t>Cross cutting issues</w:t>
      </w:r>
      <w:bookmarkEnd w:id="86"/>
      <w:bookmarkEnd w:id="87"/>
      <w:bookmarkEnd w:id="88"/>
      <w:bookmarkEnd w:id="89"/>
      <w:bookmarkEnd w:id="90"/>
    </w:p>
    <w:p w14:paraId="5B5731AF" w14:textId="77777777" w:rsidR="00B416A6" w:rsidRPr="0045143B" w:rsidRDefault="00B416A6" w:rsidP="00B416A6">
      <w:pPr>
        <w:pStyle w:val="Head3"/>
      </w:pPr>
      <w:bookmarkStart w:id="91" w:name="_Toc497463394"/>
      <w:bookmarkStart w:id="92" w:name="_Toc503519108"/>
      <w:bookmarkStart w:id="93" w:name="_Toc505877069"/>
      <w:bookmarkStart w:id="94" w:name="_Toc505877179"/>
      <w:bookmarkStart w:id="95" w:name="_Toc506147183"/>
      <w:bookmarkStart w:id="96" w:name="_Toc506361132"/>
      <w:bookmarkStart w:id="97" w:name="_Toc506369938"/>
      <w:bookmarkStart w:id="98" w:name="_Toc513467448"/>
      <w:bookmarkStart w:id="99" w:name="_Toc513467779"/>
      <w:bookmarkStart w:id="100" w:name="_Toc513470403"/>
      <w:bookmarkStart w:id="101" w:name="_Toc19006734"/>
      <w:r w:rsidRPr="0045143B">
        <w:t>Gender and Disability Inclusion</w:t>
      </w:r>
      <w:bookmarkEnd w:id="91"/>
      <w:bookmarkEnd w:id="92"/>
      <w:bookmarkEnd w:id="93"/>
      <w:bookmarkEnd w:id="94"/>
      <w:bookmarkEnd w:id="95"/>
      <w:bookmarkEnd w:id="96"/>
      <w:bookmarkEnd w:id="97"/>
      <w:bookmarkEnd w:id="98"/>
      <w:bookmarkEnd w:id="99"/>
      <w:bookmarkEnd w:id="100"/>
      <w:bookmarkEnd w:id="101"/>
    </w:p>
    <w:p w14:paraId="3B19DD6B" w14:textId="77777777" w:rsidR="00B416A6" w:rsidRPr="00443C85" w:rsidRDefault="00B416A6" w:rsidP="00125299">
      <w:pPr>
        <w:jc w:val="both"/>
      </w:pPr>
      <w:r w:rsidRPr="00125299">
        <w:rPr>
          <w:rFonts w:ascii="Cambria" w:hAnsi="Cambria"/>
          <w:b/>
        </w:rPr>
        <w:t>Scope:</w:t>
      </w:r>
      <w:r w:rsidRPr="00125299">
        <w:rPr>
          <w:rFonts w:ascii="Cambria" w:hAnsi="Cambria"/>
        </w:rPr>
        <w:t xml:space="preserve"> </w:t>
      </w:r>
      <w:r w:rsidRPr="00125299">
        <w:rPr>
          <w:rStyle w:val="BodyChar"/>
        </w:rPr>
        <w:t>As</w:t>
      </w:r>
      <w:r w:rsidRPr="0084556A">
        <w:rPr>
          <w:rStyle w:val="BodyChar"/>
        </w:rPr>
        <w:t xml:space="preserve"> two issues that underpin inequality in education, </w:t>
      </w:r>
      <w:r w:rsidR="00125299">
        <w:rPr>
          <w:rStyle w:val="BodyChar"/>
        </w:rPr>
        <w:t xml:space="preserve">TASS will seek </w:t>
      </w:r>
      <w:r w:rsidRPr="0084556A">
        <w:rPr>
          <w:rStyle w:val="BodyChar"/>
        </w:rPr>
        <w:t xml:space="preserve">to include lines of enquiry in all tasks that support better understanding of how thematic issues affect women and men and boys and girls, as well as people and children with disability. </w:t>
      </w:r>
      <w:r w:rsidR="00125299" w:rsidRPr="0084556A">
        <w:rPr>
          <w:rStyle w:val="BodyChar"/>
        </w:rPr>
        <w:t>TASS outputs will include gender and disability-related recommendations as appropriate.</w:t>
      </w:r>
      <w:r w:rsidR="00125299">
        <w:rPr>
          <w:rStyle w:val="BodyChar"/>
        </w:rPr>
        <w:t xml:space="preserve"> Where feasible, </w:t>
      </w:r>
      <w:r w:rsidR="00125299" w:rsidRPr="0084556A">
        <w:rPr>
          <w:rStyle w:val="BodyChar"/>
        </w:rPr>
        <w:t>TASS will</w:t>
      </w:r>
      <w:r w:rsidR="00125299">
        <w:rPr>
          <w:rStyle w:val="BodyChar"/>
        </w:rPr>
        <w:t xml:space="preserve"> undertake</w:t>
      </w:r>
      <w:r w:rsidR="00125299" w:rsidRPr="0084556A">
        <w:rPr>
          <w:rStyle w:val="BodyChar"/>
        </w:rPr>
        <w:t xml:space="preserve"> specific studies that address issues related to gender and disability in education</w:t>
      </w:r>
      <w:r w:rsidR="001C42FF">
        <w:rPr>
          <w:rStyle w:val="BodyChar"/>
        </w:rPr>
        <w:t>.</w:t>
      </w:r>
    </w:p>
    <w:p w14:paraId="1DE9767A" w14:textId="13D25D76" w:rsidR="00CA3C92" w:rsidRDefault="00B416A6" w:rsidP="002A3549">
      <w:pPr>
        <w:pStyle w:val="Body"/>
        <w:rPr>
          <w:lang w:eastAsia="en-AU"/>
        </w:rPr>
      </w:pPr>
      <w:r w:rsidRPr="00945EE2">
        <w:rPr>
          <w:b/>
        </w:rPr>
        <w:t>Progress:</w:t>
      </w:r>
      <w:r w:rsidRPr="00E263B1">
        <w:rPr>
          <w:lang w:eastAsia="en-AU"/>
        </w:rPr>
        <w:t xml:space="preserve"> </w:t>
      </w:r>
      <w:r w:rsidR="001B6BD7">
        <w:rPr>
          <w:lang w:eastAsia="en-AU"/>
        </w:rPr>
        <w:t>New activity designs in 2018 initially included scope for specific gender and disability specialist positions within each activity. The adjustment to the TASS budget in mid-2018, however, meant this could not be pursued in the majority of activities.</w:t>
      </w:r>
      <w:r w:rsidR="00CA3C92">
        <w:rPr>
          <w:lang w:eastAsia="en-AU"/>
        </w:rPr>
        <w:t xml:space="preserve"> The exception to this was activities IDTAS-G013 (Support to MoRA’s CPD) and IDTAS-G014 (Support to MoEC Strategic Planning)</w:t>
      </w:r>
      <w:r w:rsidR="00CA3C92">
        <w:rPr>
          <w:rStyle w:val="FootnoteReference"/>
          <w:lang w:eastAsia="en-AU"/>
        </w:rPr>
        <w:footnoteReference w:id="21"/>
      </w:r>
      <w:r w:rsidR="00CA3C92">
        <w:rPr>
          <w:lang w:eastAsia="en-AU"/>
        </w:rPr>
        <w:t xml:space="preserve">. The vacant (national) Disability Specialist position was not filled due to budget constraints; instead, key elements of the role were collapsed into the existing (international) Gender </w:t>
      </w:r>
      <w:r w:rsidR="00D7395A">
        <w:rPr>
          <w:lang w:eastAsia="en-AU"/>
        </w:rPr>
        <w:t xml:space="preserve">and Disability </w:t>
      </w:r>
      <w:r w:rsidR="00CA3C92">
        <w:rPr>
          <w:lang w:eastAsia="en-AU"/>
        </w:rPr>
        <w:t>Specialist’s role</w:t>
      </w:r>
      <w:r w:rsidR="00D7395A">
        <w:rPr>
          <w:rStyle w:val="FootnoteReference"/>
          <w:lang w:eastAsia="en-AU"/>
        </w:rPr>
        <w:footnoteReference w:id="22"/>
      </w:r>
      <w:r w:rsidR="00CA3C92">
        <w:rPr>
          <w:lang w:eastAsia="en-AU"/>
        </w:rPr>
        <w:t>. The emphasis of the Specialist’s work was on identify</w:t>
      </w:r>
      <w:r w:rsidR="00D425A5">
        <w:rPr>
          <w:lang w:eastAsia="en-AU"/>
        </w:rPr>
        <w:t>ing</w:t>
      </w:r>
      <w:r w:rsidR="00CA3C92">
        <w:rPr>
          <w:lang w:eastAsia="en-AU"/>
        </w:rPr>
        <w:t xml:space="preserve"> areas where G&amp;D could be highlighted in activity design, and to integrate the use of </w:t>
      </w:r>
      <w:r w:rsidR="00D425A5">
        <w:rPr>
          <w:lang w:eastAsia="en-AU"/>
        </w:rPr>
        <w:t>a</w:t>
      </w:r>
      <w:r w:rsidR="00CA3C92">
        <w:rPr>
          <w:lang w:eastAsia="en-AU"/>
        </w:rPr>
        <w:t xml:space="preserve"> gender and disability checklist into the activity package development process.  </w:t>
      </w:r>
    </w:p>
    <w:p w14:paraId="2072E590" w14:textId="77777777" w:rsidR="001B6BD7" w:rsidRDefault="00CA3C92" w:rsidP="002A3549">
      <w:pPr>
        <w:pStyle w:val="Body"/>
        <w:rPr>
          <w:lang w:eastAsia="en-AU"/>
        </w:rPr>
      </w:pPr>
      <w:r>
        <w:rPr>
          <w:lang w:eastAsia="en-AU"/>
        </w:rPr>
        <w:t>A</w:t>
      </w:r>
      <w:r w:rsidR="00125299">
        <w:rPr>
          <w:lang w:eastAsia="en-AU"/>
        </w:rPr>
        <w:t xml:space="preserve"> </w:t>
      </w:r>
      <w:r>
        <w:rPr>
          <w:lang w:eastAsia="en-AU"/>
        </w:rPr>
        <w:t xml:space="preserve">key achievement in GESI was the development of a </w:t>
      </w:r>
      <w:r w:rsidR="00125299">
        <w:rPr>
          <w:lang w:eastAsia="en-AU"/>
        </w:rPr>
        <w:t>Gender and Disability policy/program analysis tool</w:t>
      </w:r>
      <w:r w:rsidR="0084556A" w:rsidRPr="0084556A">
        <w:rPr>
          <w:lang w:eastAsia="en-AU"/>
        </w:rPr>
        <w:t xml:space="preserve"> for STA to use in implementation of GoI and DFAT-driven activities</w:t>
      </w:r>
      <w:r w:rsidR="00125299">
        <w:rPr>
          <w:lang w:eastAsia="en-AU"/>
        </w:rPr>
        <w:t xml:space="preserve">. </w:t>
      </w:r>
      <w:r w:rsidR="00E263B1">
        <w:rPr>
          <w:lang w:eastAsia="en-AU"/>
        </w:rPr>
        <w:t>T</w:t>
      </w:r>
      <w:r w:rsidR="0084556A" w:rsidRPr="0084556A">
        <w:rPr>
          <w:lang w:eastAsia="en-AU"/>
        </w:rPr>
        <w:t xml:space="preserve">raining of TASS ‘core team’ </w:t>
      </w:r>
      <w:r w:rsidR="00E263B1">
        <w:rPr>
          <w:lang w:eastAsia="en-AU"/>
        </w:rPr>
        <w:t>and some</w:t>
      </w:r>
      <w:r w:rsidR="0084556A" w:rsidRPr="0084556A">
        <w:rPr>
          <w:lang w:eastAsia="en-AU"/>
        </w:rPr>
        <w:t xml:space="preserve"> GoI personnel </w:t>
      </w:r>
      <w:r w:rsidR="00E263B1">
        <w:rPr>
          <w:lang w:eastAsia="en-AU"/>
        </w:rPr>
        <w:t xml:space="preserve">in this tool was undertaken in </w:t>
      </w:r>
      <w:r w:rsidR="00125299">
        <w:rPr>
          <w:lang w:eastAsia="en-AU"/>
        </w:rPr>
        <w:t>the last quarter of the year</w:t>
      </w:r>
      <w:r>
        <w:rPr>
          <w:lang w:eastAsia="en-AU"/>
        </w:rPr>
        <w:t>; the tool has been shared with GESI advisers in activities IDTAS-G013 (Support to MoRA’s CPD) and IDTAS-G014 (Support to MoEC Strategic Planning).</w:t>
      </w:r>
    </w:p>
    <w:p w14:paraId="72DD8479" w14:textId="77777777" w:rsidR="00B416A6" w:rsidRDefault="00B416A6" w:rsidP="002A3549">
      <w:pPr>
        <w:pStyle w:val="Body"/>
        <w:rPr>
          <w:lang w:eastAsia="en-AU"/>
        </w:rPr>
      </w:pPr>
      <w:r>
        <w:rPr>
          <w:lang w:eastAsia="en-AU"/>
        </w:rPr>
        <w:t xml:space="preserve">TASS undertook a </w:t>
      </w:r>
      <w:r w:rsidRPr="00A26E10">
        <w:rPr>
          <w:lang w:eastAsia="en-AU"/>
        </w:rPr>
        <w:t>Gender and Disability Inclusion Health Check in December 201</w:t>
      </w:r>
      <w:r w:rsidR="00E263B1">
        <w:rPr>
          <w:lang w:eastAsia="en-AU"/>
        </w:rPr>
        <w:t>8</w:t>
      </w:r>
      <w:r w:rsidRPr="00A26E10">
        <w:rPr>
          <w:lang w:eastAsia="en-AU"/>
        </w:rPr>
        <w:t xml:space="preserve"> </w:t>
      </w:r>
      <w:r>
        <w:rPr>
          <w:lang w:eastAsia="en-AU"/>
        </w:rPr>
        <w:t>that</w:t>
      </w:r>
      <w:r w:rsidRPr="00A26E10">
        <w:rPr>
          <w:lang w:eastAsia="en-AU"/>
        </w:rPr>
        <w:t xml:space="preserve"> assessed </w:t>
      </w:r>
      <w:r>
        <w:t xml:space="preserve">the status of gender and disability inclusion in TASS work, and considered whether activities were sufficiently responsive to gender equality and disability inclusion objectives. </w:t>
      </w:r>
      <w:r w:rsidRPr="005F795B">
        <w:rPr>
          <w:lang w:eastAsia="en-AU"/>
        </w:rPr>
        <w:t>The Health Check reported that</w:t>
      </w:r>
      <w:r>
        <w:rPr>
          <w:lang w:eastAsia="en-AU"/>
        </w:rPr>
        <w:t>:</w:t>
      </w:r>
    </w:p>
    <w:p w14:paraId="37301AE1" w14:textId="3BC3433E" w:rsidR="00CF4C18" w:rsidRDefault="00CF4C18" w:rsidP="00F43D42">
      <w:pPr>
        <w:pStyle w:val="Bullet1"/>
        <w:jc w:val="both"/>
        <w:rPr>
          <w:rFonts w:eastAsiaTheme="minorHAnsi"/>
          <w:lang w:val="en-GB" w:bidi="ar-SA"/>
        </w:rPr>
      </w:pPr>
      <w:r>
        <w:t xml:space="preserve">Many government counterparts do not </w:t>
      </w:r>
      <w:r w:rsidR="000F74BF">
        <w:t>priorit</w:t>
      </w:r>
      <w:r w:rsidR="00077BFB">
        <w:t>i</w:t>
      </w:r>
      <w:r w:rsidR="000F74BF">
        <w:t>se</w:t>
      </w:r>
      <w:r>
        <w:t xml:space="preserve"> GESI issues, making it difficult for GESI to be included as a focus in activities.  As many government counterparts see girls accessing education, they do not consider gender to be important. This could be due a limited understanding of gender (</w:t>
      </w:r>
      <w:r w:rsidR="00077BFB">
        <w:t>i.e.</w:t>
      </w:r>
      <w:r>
        <w:t xml:space="preserve"> gender = boys and girls), as well as looking at national data rather than regional and/or province data where there are variances. </w:t>
      </w:r>
    </w:p>
    <w:p w14:paraId="4B840C91" w14:textId="4D830D36" w:rsidR="00B416A6" w:rsidRDefault="00CF4C18" w:rsidP="00F43D42">
      <w:pPr>
        <w:pStyle w:val="Bullet1"/>
        <w:jc w:val="both"/>
      </w:pPr>
      <w:r>
        <w:t xml:space="preserve">There has been an improvement in the inclusion of GESI in activity documents, such as Scope of Work, Terms of Reference </w:t>
      </w:r>
      <w:r w:rsidR="00077BFB">
        <w:t>etc.</w:t>
      </w:r>
      <w:r>
        <w:t xml:space="preserve">, as a result of the tools developed to assist the TASS team to include GESI. However, the team’s expertise is still limited in being able to support technical advisers to include GESI in activities. This is evident in many </w:t>
      </w:r>
      <w:r w:rsidR="00F43D42">
        <w:t xml:space="preserve">activity </w:t>
      </w:r>
      <w:r>
        <w:t xml:space="preserve">output documents where GESI has not been </w:t>
      </w:r>
      <w:r w:rsidR="00F43D42">
        <w:t xml:space="preserve">consistently </w:t>
      </w:r>
      <w:r>
        <w:t>included.</w:t>
      </w:r>
    </w:p>
    <w:p w14:paraId="23E306EC" w14:textId="119C8740" w:rsidR="00CF4C18" w:rsidRPr="000A2F4C" w:rsidRDefault="00B31AE5" w:rsidP="00F43D42">
      <w:pPr>
        <w:pStyle w:val="Bullet1"/>
        <w:jc w:val="both"/>
        <w:rPr>
          <w:rFonts w:eastAsiaTheme="minorHAnsi"/>
          <w:lang w:val="en-GB" w:bidi="ar-SA"/>
        </w:rPr>
      </w:pPr>
      <w:r>
        <w:t xml:space="preserve">The </w:t>
      </w:r>
      <w:r w:rsidR="00CF4C18">
        <w:t xml:space="preserve">inclusion of GESI </w:t>
      </w:r>
      <w:r>
        <w:t xml:space="preserve">may </w:t>
      </w:r>
      <w:r w:rsidR="00CF4C18">
        <w:t xml:space="preserve">be difficult to improve </w:t>
      </w:r>
      <w:r>
        <w:t xml:space="preserve">where budgets </w:t>
      </w:r>
      <w:r w:rsidR="003E0882">
        <w:t>restrict ability</w:t>
      </w:r>
      <w:r w:rsidR="00CF4C18">
        <w:t xml:space="preserve"> to recruit GESI Specialists for activities.</w:t>
      </w:r>
    </w:p>
    <w:p w14:paraId="578D42F5" w14:textId="77777777" w:rsidR="000A2F4C" w:rsidRDefault="000A2F4C" w:rsidP="000A2F4C">
      <w:pPr>
        <w:pStyle w:val="Bullet1"/>
        <w:numPr>
          <w:ilvl w:val="0"/>
          <w:numId w:val="0"/>
        </w:numPr>
        <w:rPr>
          <w:b/>
          <w:lang w:eastAsia="en-AU"/>
        </w:rPr>
      </w:pPr>
    </w:p>
    <w:p w14:paraId="614E85D2" w14:textId="77777777" w:rsidR="000A2F4C" w:rsidRDefault="00B416A6" w:rsidP="00F43D42">
      <w:pPr>
        <w:pStyle w:val="Bullet1"/>
        <w:numPr>
          <w:ilvl w:val="0"/>
          <w:numId w:val="0"/>
        </w:numPr>
        <w:jc w:val="both"/>
      </w:pPr>
      <w:r w:rsidRPr="00720662">
        <w:rPr>
          <w:b/>
          <w:lang w:eastAsia="en-AU"/>
        </w:rPr>
        <w:t>Action:</w:t>
      </w:r>
      <w:r w:rsidRPr="00720662">
        <w:rPr>
          <w:lang w:eastAsia="en-AU"/>
        </w:rPr>
        <w:t xml:space="preserve"> </w:t>
      </w:r>
      <w:bookmarkStart w:id="102" w:name="_Toc513467449"/>
      <w:bookmarkStart w:id="103" w:name="_Toc513467780"/>
      <w:bookmarkStart w:id="104" w:name="_Toc513470404"/>
      <w:bookmarkStart w:id="105" w:name="_Toc513471057"/>
      <w:r w:rsidR="0084556A">
        <w:rPr>
          <w:lang w:eastAsia="en-AU"/>
        </w:rPr>
        <w:t>The TASS Gender and Disability Specialist will continue to provide input in activity development and implementation. Adviser TORs will continue to contain requirements to consider gender and inclusion in activity implementation and a</w:t>
      </w:r>
      <w:r w:rsidR="0084556A">
        <w:t>ctivity</w:t>
      </w:r>
      <w:r w:rsidR="0084556A" w:rsidRPr="00443C85">
        <w:t xml:space="preserve"> outputs will include gender and disability-related </w:t>
      </w:r>
      <w:r w:rsidR="00D7395A">
        <w:t>recommendations as appropriate and feasible within activity budgets.</w:t>
      </w:r>
      <w:r w:rsidR="000A2F4C" w:rsidRPr="000A2F4C">
        <w:t xml:space="preserve"> </w:t>
      </w:r>
    </w:p>
    <w:p w14:paraId="1C70BACF" w14:textId="77777777" w:rsidR="000A2F4C" w:rsidRDefault="000A2F4C" w:rsidP="00F43D42">
      <w:pPr>
        <w:pStyle w:val="Bullet1"/>
        <w:numPr>
          <w:ilvl w:val="0"/>
          <w:numId w:val="0"/>
        </w:numPr>
        <w:jc w:val="both"/>
      </w:pPr>
    </w:p>
    <w:p w14:paraId="2BBB51CB" w14:textId="77777777" w:rsidR="000A2F4C" w:rsidRDefault="000A2F4C" w:rsidP="00F43D42">
      <w:pPr>
        <w:pStyle w:val="Bullet1"/>
        <w:numPr>
          <w:ilvl w:val="0"/>
          <w:numId w:val="0"/>
        </w:numPr>
        <w:jc w:val="both"/>
        <w:rPr>
          <w:rFonts w:eastAsiaTheme="minorHAnsi"/>
          <w:lang w:val="en-GB" w:bidi="ar-SA"/>
        </w:rPr>
      </w:pPr>
      <w:r>
        <w:t xml:space="preserve">Possible ways to increase the inclusion of GESI in Technical Adviser reporting is to strengthen the focus of GESI in the Adviser Reporting Checklist and to provide Technical Advisers with the Adviser Performance Review document before the commencement of the activity so they can understand the importance of GESI in their work. In addition, working with more government female staff at higher levels may increase interest in GESI; working with a more diverse group contributes to providing different opinions, thus resulting in better decision making. </w:t>
      </w:r>
    </w:p>
    <w:p w14:paraId="4C3DB43C" w14:textId="77777777" w:rsidR="0084556A" w:rsidRDefault="0084556A" w:rsidP="00F43D42">
      <w:pPr>
        <w:pStyle w:val="Body"/>
      </w:pPr>
      <w:r>
        <w:rPr>
          <w:lang w:eastAsia="en-AU"/>
        </w:rPr>
        <w:t xml:space="preserve">The annual gender and disability health check will be undertaken in November 2019 as part of the annual M&amp;E review. </w:t>
      </w:r>
      <w:r>
        <w:t>Tools and resources will be regularly reviewed to ensure they contribute to the integration of gender and disability and to address gaps and challenges that may be experienced by advisers.</w:t>
      </w:r>
    </w:p>
    <w:p w14:paraId="65159C3D" w14:textId="77777777" w:rsidR="00B416A6" w:rsidRDefault="00B416A6" w:rsidP="00290F5B">
      <w:pPr>
        <w:pStyle w:val="Head2"/>
      </w:pPr>
      <w:bookmarkStart w:id="106" w:name="_Toc19006735"/>
      <w:r>
        <w:t>Risk management</w:t>
      </w:r>
      <w:bookmarkEnd w:id="102"/>
      <w:bookmarkEnd w:id="103"/>
      <w:bookmarkEnd w:id="104"/>
      <w:bookmarkEnd w:id="105"/>
      <w:bookmarkEnd w:id="106"/>
    </w:p>
    <w:p w14:paraId="0917CD12" w14:textId="77777777" w:rsidR="00B416A6" w:rsidRPr="0045143B" w:rsidRDefault="00B416A6" w:rsidP="00B416A6">
      <w:pPr>
        <w:pStyle w:val="Head3"/>
      </w:pPr>
      <w:bookmarkStart w:id="107" w:name="_Toc19006736"/>
      <w:bookmarkStart w:id="108" w:name="_Toc503519110"/>
      <w:bookmarkStart w:id="109" w:name="_Toc505877071"/>
      <w:bookmarkStart w:id="110" w:name="_Toc505877181"/>
      <w:bookmarkStart w:id="111" w:name="_Toc506147185"/>
      <w:bookmarkStart w:id="112" w:name="_Toc506361134"/>
      <w:bookmarkStart w:id="113" w:name="_Toc506369940"/>
      <w:bookmarkStart w:id="114" w:name="_Toc513467450"/>
      <w:bookmarkStart w:id="115" w:name="_Toc513467781"/>
      <w:bookmarkStart w:id="116" w:name="_Toc513470405"/>
      <w:r>
        <w:t>Risk management</w:t>
      </w:r>
      <w:bookmarkEnd w:id="107"/>
      <w:r>
        <w:t xml:space="preserve"> </w:t>
      </w:r>
      <w:bookmarkEnd w:id="108"/>
      <w:bookmarkEnd w:id="109"/>
      <w:bookmarkEnd w:id="110"/>
      <w:bookmarkEnd w:id="111"/>
      <w:bookmarkEnd w:id="112"/>
      <w:bookmarkEnd w:id="113"/>
      <w:bookmarkEnd w:id="114"/>
      <w:bookmarkEnd w:id="115"/>
      <w:bookmarkEnd w:id="116"/>
    </w:p>
    <w:p w14:paraId="7122D725" w14:textId="77777777" w:rsidR="00B416A6" w:rsidRPr="00D7395A" w:rsidRDefault="00B416A6" w:rsidP="00B416A6">
      <w:pPr>
        <w:jc w:val="both"/>
        <w:rPr>
          <w:rFonts w:ascii="Cambria" w:eastAsia="Calibri" w:hAnsi="Cambria"/>
          <w:b/>
          <w:lang w:eastAsia="en-AU"/>
        </w:rPr>
      </w:pPr>
      <w:r w:rsidRPr="00D7395A">
        <w:rPr>
          <w:rFonts w:ascii="Cambria" w:eastAsia="Calibri" w:hAnsi="Cambria"/>
          <w:b/>
          <w:lang w:eastAsia="en-AU"/>
        </w:rPr>
        <w:t xml:space="preserve">Scope: </w:t>
      </w:r>
      <w:r w:rsidRPr="00D7395A">
        <w:rPr>
          <w:rFonts w:ascii="Cambria" w:eastAsia="Calibri" w:hAnsi="Cambria"/>
          <w:lang w:eastAsia="en-AU"/>
        </w:rPr>
        <w:t xml:space="preserve">The TASS risk management plan </w:t>
      </w:r>
      <w:r w:rsidRPr="00D7395A">
        <w:rPr>
          <w:rFonts w:ascii="Cambria" w:hAnsi="Cambria"/>
          <w:lang w:val="en-AU"/>
        </w:rPr>
        <w:t>presents a register of risks related to the implementation of TASS and a plan for how risks will be actively managed during program implementation</w:t>
      </w:r>
      <w:r w:rsidRPr="00D7395A">
        <w:rPr>
          <w:rFonts w:ascii="Cambria" w:eastAsia="Calibri" w:hAnsi="Cambria"/>
          <w:lang w:eastAsia="en-AU"/>
        </w:rPr>
        <w:t>. The plan is updated at least annually.</w:t>
      </w:r>
    </w:p>
    <w:p w14:paraId="60A49BB4" w14:textId="77777777" w:rsidR="00E361BE" w:rsidRPr="00D7395A" w:rsidRDefault="00B416A6" w:rsidP="00E361BE">
      <w:pPr>
        <w:jc w:val="both"/>
        <w:rPr>
          <w:rFonts w:ascii="Cambria" w:eastAsia="Calibri" w:hAnsi="Cambria"/>
          <w:lang w:eastAsia="en-AU"/>
        </w:rPr>
      </w:pPr>
      <w:r w:rsidRPr="00D7395A">
        <w:rPr>
          <w:rFonts w:ascii="Cambria" w:eastAsia="Calibri" w:hAnsi="Cambria"/>
          <w:b/>
          <w:lang w:eastAsia="en-AU"/>
        </w:rPr>
        <w:t>Progress</w:t>
      </w:r>
      <w:r w:rsidRPr="00D7395A">
        <w:rPr>
          <w:rFonts w:ascii="Cambria" w:eastAsia="Calibri" w:hAnsi="Cambria"/>
          <w:lang w:eastAsia="en-AU"/>
        </w:rPr>
        <w:t xml:space="preserve">: The Risk Register was updated </w:t>
      </w:r>
      <w:r w:rsidRPr="00E361BE">
        <w:rPr>
          <w:rFonts w:ascii="Cambria" w:eastAsia="Calibri" w:hAnsi="Cambria"/>
          <w:lang w:eastAsia="en-AU"/>
        </w:rPr>
        <w:t>quarterly, and submitted with each Quarterly Milestone Report (i.e. in April, July, and October 201</w:t>
      </w:r>
      <w:r w:rsidR="00802E67" w:rsidRPr="00E361BE">
        <w:rPr>
          <w:rFonts w:ascii="Cambria" w:eastAsia="Calibri" w:hAnsi="Cambria"/>
          <w:lang w:eastAsia="en-AU"/>
        </w:rPr>
        <w:t>8</w:t>
      </w:r>
      <w:r w:rsidRPr="00E361BE">
        <w:rPr>
          <w:rFonts w:ascii="Cambria" w:eastAsia="Calibri" w:hAnsi="Cambria"/>
          <w:lang w:eastAsia="en-AU"/>
        </w:rPr>
        <w:t xml:space="preserve">). </w:t>
      </w:r>
      <w:r w:rsidR="00D7395A" w:rsidRPr="00E361BE">
        <w:rPr>
          <w:rFonts w:ascii="Cambria" w:eastAsia="Calibri" w:hAnsi="Cambria"/>
          <w:lang w:eastAsia="en-AU"/>
        </w:rPr>
        <w:t xml:space="preserve">A large focus of risk management in 2018 </w:t>
      </w:r>
      <w:r w:rsidR="00E361BE" w:rsidRPr="00E361BE">
        <w:rPr>
          <w:rFonts w:ascii="Cambria" w:eastAsia="Calibri" w:hAnsi="Cambria"/>
          <w:lang w:eastAsia="en-AU"/>
        </w:rPr>
        <w:t xml:space="preserve">related to program expenditure, including that TASS FY2018-19 allocation has significant implications for the quality </w:t>
      </w:r>
      <w:r w:rsidR="00E361BE">
        <w:rPr>
          <w:rFonts w:ascii="Cambria" w:eastAsia="Calibri" w:hAnsi="Cambria"/>
          <w:lang w:eastAsia="en-AU"/>
        </w:rPr>
        <w:t>and quantity of TASS activities, o</w:t>
      </w:r>
      <w:r w:rsidR="00E361BE" w:rsidRPr="00E361BE">
        <w:rPr>
          <w:rFonts w:ascii="Cambria" w:eastAsia="Calibri" w:hAnsi="Cambria"/>
          <w:lang w:eastAsia="en-AU"/>
        </w:rPr>
        <w:t>pportunities to support key policy or system reforms are missed due to budget limitations</w:t>
      </w:r>
      <w:r w:rsidR="00E361BE">
        <w:rPr>
          <w:rFonts w:ascii="Cambria" w:eastAsia="Calibri" w:hAnsi="Cambria"/>
          <w:lang w:eastAsia="en-AU"/>
        </w:rPr>
        <w:t>,</w:t>
      </w:r>
      <w:r w:rsidR="00E361BE" w:rsidRPr="00E361BE">
        <w:rPr>
          <w:rFonts w:ascii="Cambria" w:eastAsia="Calibri" w:hAnsi="Cambria"/>
          <w:lang w:eastAsia="en-AU"/>
        </w:rPr>
        <w:t xml:space="preserve"> </w:t>
      </w:r>
      <w:r w:rsidR="00E361BE">
        <w:rPr>
          <w:rFonts w:ascii="Cambria" w:eastAsia="Calibri" w:hAnsi="Cambria"/>
          <w:lang w:eastAsia="en-AU"/>
        </w:rPr>
        <w:t xml:space="preserve">and as such the need for close review and flexibility of program budget to enable some flexibility in responding to program requirements. </w:t>
      </w:r>
    </w:p>
    <w:p w14:paraId="25F62C92" w14:textId="77777777" w:rsidR="00802E67" w:rsidRPr="00D7395A" w:rsidRDefault="00802E67" w:rsidP="00B416A6">
      <w:pPr>
        <w:jc w:val="both"/>
        <w:rPr>
          <w:rFonts w:ascii="Cambria" w:eastAsia="Calibri" w:hAnsi="Cambria"/>
          <w:lang w:eastAsia="en-AU"/>
        </w:rPr>
      </w:pPr>
      <w:r w:rsidRPr="00D7395A">
        <w:rPr>
          <w:rFonts w:ascii="Cambria" w:eastAsia="Calibri" w:hAnsi="Cambria"/>
          <w:lang w:eastAsia="en-AU"/>
        </w:rPr>
        <w:t xml:space="preserve">TASS reported and managed one fraud case in 2018. </w:t>
      </w:r>
    </w:p>
    <w:p w14:paraId="7018B141" w14:textId="0DF4049B" w:rsidR="00B416A6" w:rsidRPr="00D7395A" w:rsidRDefault="00B416A6" w:rsidP="00B416A6">
      <w:pPr>
        <w:jc w:val="both"/>
        <w:rPr>
          <w:rFonts w:ascii="Cambria" w:hAnsi="Cambria"/>
          <w:b/>
        </w:rPr>
      </w:pPr>
      <w:r w:rsidRPr="00D7395A">
        <w:rPr>
          <w:rFonts w:ascii="Cambria" w:hAnsi="Cambria"/>
          <w:b/>
        </w:rPr>
        <w:t xml:space="preserve">Action: </w:t>
      </w:r>
      <w:r w:rsidRPr="00D7395A">
        <w:rPr>
          <w:rFonts w:ascii="Cambria" w:hAnsi="Cambria"/>
        </w:rPr>
        <w:t>TASS will continue to monitor and actively manage risks in 20</w:t>
      </w:r>
      <w:r w:rsidR="00802E67" w:rsidRPr="00D7395A">
        <w:rPr>
          <w:rFonts w:ascii="Cambria" w:hAnsi="Cambria"/>
        </w:rPr>
        <w:t>19</w:t>
      </w:r>
      <w:r w:rsidRPr="00D7395A">
        <w:rPr>
          <w:rFonts w:ascii="Cambria" w:hAnsi="Cambria"/>
        </w:rPr>
        <w:t>, and formally report risk to DFAT through quarterly and ad-hoc/exception reporting</w:t>
      </w:r>
      <w:r w:rsidR="00802E67" w:rsidRPr="00D7395A">
        <w:rPr>
          <w:rFonts w:ascii="Cambria" w:hAnsi="Cambria"/>
        </w:rPr>
        <w:t xml:space="preserve"> and through the Fortnightly Management Meeting</w:t>
      </w:r>
      <w:r w:rsidRPr="00D7395A">
        <w:rPr>
          <w:rFonts w:ascii="Cambria" w:hAnsi="Cambria"/>
        </w:rPr>
        <w:t xml:space="preserve">. </w:t>
      </w:r>
      <w:r w:rsidR="00E361BE">
        <w:rPr>
          <w:rFonts w:ascii="Cambria" w:hAnsi="Cambria"/>
        </w:rPr>
        <w:t xml:space="preserve">An updated risk register is </w:t>
      </w:r>
      <w:r w:rsidR="00E361BE" w:rsidRPr="00DE0F5C">
        <w:rPr>
          <w:rFonts w:ascii="Cambria" w:hAnsi="Cambria"/>
        </w:rPr>
        <w:t xml:space="preserve">included in Annex </w:t>
      </w:r>
      <w:r w:rsidR="001303F8">
        <w:rPr>
          <w:rFonts w:ascii="Cambria" w:hAnsi="Cambria"/>
        </w:rPr>
        <w:t>5</w:t>
      </w:r>
      <w:r w:rsidR="00E361BE" w:rsidRPr="00DE0F5C">
        <w:rPr>
          <w:rFonts w:ascii="Cambria" w:hAnsi="Cambria"/>
        </w:rPr>
        <w:t>.</w:t>
      </w:r>
    </w:p>
    <w:p w14:paraId="7E55111B" w14:textId="77777777" w:rsidR="00B416A6" w:rsidRPr="0045143B" w:rsidRDefault="00B416A6" w:rsidP="00B416A6">
      <w:pPr>
        <w:pStyle w:val="Head3"/>
      </w:pPr>
      <w:bookmarkStart w:id="117" w:name="_Toc497463395"/>
      <w:bookmarkStart w:id="118" w:name="_Toc503519111"/>
      <w:bookmarkStart w:id="119" w:name="_Toc505877072"/>
      <w:bookmarkStart w:id="120" w:name="_Toc505877182"/>
      <w:bookmarkStart w:id="121" w:name="_Toc506147186"/>
      <w:bookmarkStart w:id="122" w:name="_Toc506361135"/>
      <w:bookmarkStart w:id="123" w:name="_Toc506369941"/>
      <w:bookmarkStart w:id="124" w:name="_Toc513467451"/>
      <w:bookmarkStart w:id="125" w:name="_Toc513467782"/>
      <w:bookmarkStart w:id="126" w:name="_Toc513470406"/>
      <w:bookmarkStart w:id="127" w:name="_Toc19006737"/>
      <w:r w:rsidRPr="0045143B">
        <w:t>Child protection</w:t>
      </w:r>
      <w:bookmarkEnd w:id="117"/>
      <w:bookmarkEnd w:id="118"/>
      <w:bookmarkEnd w:id="119"/>
      <w:bookmarkEnd w:id="120"/>
      <w:bookmarkEnd w:id="121"/>
      <w:bookmarkEnd w:id="122"/>
      <w:bookmarkEnd w:id="123"/>
      <w:bookmarkEnd w:id="124"/>
      <w:bookmarkEnd w:id="125"/>
      <w:bookmarkEnd w:id="126"/>
      <w:bookmarkEnd w:id="127"/>
    </w:p>
    <w:p w14:paraId="207E3AD0" w14:textId="77777777" w:rsidR="00B416A6" w:rsidRPr="00D7395A" w:rsidRDefault="00B416A6" w:rsidP="00B416A6">
      <w:pPr>
        <w:jc w:val="both"/>
        <w:rPr>
          <w:rFonts w:ascii="Cambria" w:eastAsia="Calibri" w:hAnsi="Cambria"/>
          <w:b/>
          <w:lang w:eastAsia="en-AU"/>
        </w:rPr>
      </w:pPr>
      <w:r w:rsidRPr="00443C85">
        <w:rPr>
          <w:rFonts w:eastAsia="Calibri"/>
          <w:b/>
          <w:lang w:eastAsia="en-AU"/>
        </w:rPr>
        <w:t xml:space="preserve">Scope: </w:t>
      </w:r>
      <w:r w:rsidRPr="00D7395A">
        <w:rPr>
          <w:rFonts w:ascii="Cambria" w:eastAsia="Calibri" w:hAnsi="Cambria"/>
          <w:lang w:eastAsia="en-AU"/>
        </w:rPr>
        <w:t>TASS activities may involve potential contact with children, impact on children, and working with children. TASS is required under DFAT’s policy to conduct an assessment of child protection risk for the overall Program, and, where relevant, activity level child protection risk assessments. Where child protection risks are deemed to exist activity assessments will also outline the mitigation measures that will be applied.</w:t>
      </w:r>
    </w:p>
    <w:p w14:paraId="25A2F6BC" w14:textId="77777777" w:rsidR="00C86C38" w:rsidRPr="00D7395A" w:rsidRDefault="00B416A6" w:rsidP="00C86C38">
      <w:pPr>
        <w:jc w:val="both"/>
        <w:rPr>
          <w:rFonts w:ascii="Cambria" w:eastAsia="Calibri" w:hAnsi="Cambria"/>
          <w:lang w:eastAsia="en-AU"/>
        </w:rPr>
      </w:pPr>
      <w:r w:rsidRPr="00D7395A">
        <w:rPr>
          <w:rFonts w:ascii="Cambria" w:eastAsia="Calibri" w:hAnsi="Cambria"/>
          <w:b/>
          <w:lang w:eastAsia="en-AU"/>
        </w:rPr>
        <w:t>Progress:</w:t>
      </w:r>
      <w:r w:rsidR="00C86C38">
        <w:rPr>
          <w:rFonts w:ascii="Cambria" w:eastAsia="Calibri" w:hAnsi="Cambria"/>
          <w:lang w:eastAsia="en-AU"/>
        </w:rPr>
        <w:t xml:space="preserve"> In 2018, TASS (and INOVASI and AIP-Rural) received the completed version of an external Child Protection review of Palladium’s DFAT Indonesia programs. In the review, there were recommended changes to TASS and Palladium operating documents, as well as a recommendation for an additional form to undertake activity level risk assessments. TASS has updated its internal operating documents to respond to these recommendations and completed risk assessments for all relevant (ongoing) activities. </w:t>
      </w:r>
    </w:p>
    <w:p w14:paraId="77E05479" w14:textId="77777777" w:rsidR="00B416A6" w:rsidRPr="00D7395A" w:rsidRDefault="00B416A6" w:rsidP="00B416A6">
      <w:pPr>
        <w:jc w:val="both"/>
        <w:rPr>
          <w:rFonts w:ascii="Cambria" w:eastAsia="Calibri" w:hAnsi="Cambria"/>
          <w:lang w:eastAsia="en-AU"/>
        </w:rPr>
      </w:pPr>
      <w:r w:rsidRPr="00D7395A">
        <w:rPr>
          <w:rFonts w:ascii="Cambria" w:eastAsia="Calibri" w:hAnsi="Cambria"/>
          <w:lang w:eastAsia="en-AU"/>
        </w:rPr>
        <w:t>TASS team members</w:t>
      </w:r>
      <w:r w:rsidR="00FB3D8C" w:rsidRPr="00D7395A">
        <w:rPr>
          <w:rFonts w:ascii="Cambria" w:eastAsia="Calibri" w:hAnsi="Cambria"/>
          <w:lang w:eastAsia="en-AU"/>
        </w:rPr>
        <w:t xml:space="preserve"> and STA</w:t>
      </w:r>
      <w:r w:rsidRPr="00D7395A">
        <w:rPr>
          <w:rFonts w:ascii="Cambria" w:eastAsia="Calibri" w:hAnsi="Cambria"/>
          <w:lang w:eastAsia="en-AU"/>
        </w:rPr>
        <w:t xml:space="preserve"> were trained on the </w:t>
      </w:r>
      <w:r w:rsidR="00290F5B" w:rsidRPr="00D7395A">
        <w:rPr>
          <w:rFonts w:ascii="Cambria" w:eastAsia="Calibri" w:hAnsi="Cambria"/>
          <w:lang w:eastAsia="en-AU"/>
        </w:rPr>
        <w:t xml:space="preserve">Palladium and </w:t>
      </w:r>
      <w:r w:rsidRPr="00D7395A">
        <w:rPr>
          <w:rFonts w:ascii="Cambria" w:eastAsia="Calibri" w:hAnsi="Cambria"/>
          <w:lang w:eastAsia="en-AU"/>
        </w:rPr>
        <w:t>DFAT child protection polic</w:t>
      </w:r>
      <w:r w:rsidR="00290F5B" w:rsidRPr="00D7395A">
        <w:rPr>
          <w:rFonts w:ascii="Cambria" w:eastAsia="Calibri" w:hAnsi="Cambria"/>
          <w:lang w:eastAsia="en-AU"/>
        </w:rPr>
        <w:t>ies</w:t>
      </w:r>
      <w:r w:rsidRPr="00D7395A">
        <w:rPr>
          <w:rFonts w:ascii="Cambria" w:eastAsia="Calibri" w:hAnsi="Cambria"/>
          <w:lang w:eastAsia="en-AU"/>
        </w:rPr>
        <w:t xml:space="preserve">. Each employee/contractor and sub-contractor signed the Palladium Child Protection code of conduct and was briefed on their CP obligations. </w:t>
      </w:r>
      <w:r w:rsidR="00D7395A">
        <w:rPr>
          <w:rFonts w:ascii="Cambria" w:eastAsia="Calibri" w:hAnsi="Cambria"/>
          <w:lang w:eastAsia="en-AU"/>
        </w:rPr>
        <w:t>Child Protection risk assessments were conducted for each new activity.</w:t>
      </w:r>
    </w:p>
    <w:p w14:paraId="74159F6A" w14:textId="77777777" w:rsidR="00B416A6" w:rsidRPr="00D7395A" w:rsidRDefault="00B416A6" w:rsidP="00B416A6">
      <w:pPr>
        <w:spacing w:after="120"/>
        <w:jc w:val="both"/>
        <w:rPr>
          <w:rFonts w:ascii="Cambria" w:eastAsia="Calibri" w:hAnsi="Cambria"/>
          <w:lang w:eastAsia="en-AU"/>
        </w:rPr>
      </w:pPr>
      <w:r w:rsidRPr="00D7395A">
        <w:rPr>
          <w:rFonts w:ascii="Cambria" w:eastAsia="Calibri" w:hAnsi="Cambria"/>
          <w:b/>
          <w:lang w:eastAsia="en-AU"/>
        </w:rPr>
        <w:t xml:space="preserve">Action: </w:t>
      </w:r>
      <w:r w:rsidR="00802E67" w:rsidRPr="00D7395A">
        <w:rPr>
          <w:rFonts w:ascii="Cambria" w:eastAsia="Calibri" w:hAnsi="Cambria"/>
          <w:lang w:eastAsia="en-AU"/>
        </w:rPr>
        <w:t>TASS will continue to actively</w:t>
      </w:r>
      <w:r w:rsidRPr="00D7395A">
        <w:rPr>
          <w:rFonts w:ascii="Cambria" w:eastAsia="Calibri" w:hAnsi="Cambria"/>
          <w:lang w:eastAsia="en-AU"/>
        </w:rPr>
        <w:t xml:space="preserve"> mitigate program and activity</w:t>
      </w:r>
      <w:r w:rsidR="00EB4D76">
        <w:rPr>
          <w:rFonts w:ascii="Cambria" w:eastAsia="Calibri" w:hAnsi="Cambria"/>
          <w:lang w:eastAsia="en-AU"/>
        </w:rPr>
        <w:t>-specific child protection</w:t>
      </w:r>
      <w:r w:rsidRPr="00D7395A">
        <w:rPr>
          <w:rFonts w:ascii="Cambria" w:eastAsia="Calibri" w:hAnsi="Cambria"/>
          <w:lang w:eastAsia="en-AU"/>
        </w:rPr>
        <w:t xml:space="preserve"> risks and ensure that upcoming activities are compliant with DFAT child protection policy. </w:t>
      </w:r>
    </w:p>
    <w:p w14:paraId="7758EDD9" w14:textId="77777777" w:rsidR="00B416A6" w:rsidRDefault="00B416A6" w:rsidP="00B416A6">
      <w:pPr>
        <w:pStyle w:val="Head1"/>
      </w:pPr>
      <w:bookmarkStart w:id="128" w:name="_Toc513467452"/>
      <w:bookmarkStart w:id="129" w:name="_Toc513467783"/>
      <w:bookmarkStart w:id="130" w:name="_Toc513470407"/>
      <w:bookmarkStart w:id="131" w:name="_Toc513471058"/>
      <w:bookmarkStart w:id="132" w:name="_Toc19006738"/>
      <w:r>
        <w:t>Governance</w:t>
      </w:r>
      <w:bookmarkEnd w:id="128"/>
      <w:bookmarkEnd w:id="129"/>
      <w:bookmarkEnd w:id="130"/>
      <w:bookmarkEnd w:id="131"/>
      <w:bookmarkEnd w:id="132"/>
    </w:p>
    <w:p w14:paraId="29A999FD" w14:textId="77777777" w:rsidR="00B416A6" w:rsidRPr="00713402" w:rsidRDefault="00B416A6" w:rsidP="00713402">
      <w:pPr>
        <w:pStyle w:val="Bullet1"/>
        <w:numPr>
          <w:ilvl w:val="0"/>
          <w:numId w:val="0"/>
        </w:numPr>
        <w:jc w:val="both"/>
        <w:rPr>
          <w:u w:color="000000" w:themeColor="text1"/>
        </w:rPr>
      </w:pPr>
      <w:r w:rsidRPr="00713402">
        <w:rPr>
          <w:rFonts w:eastAsia="Calibri" w:cstheme="minorBidi"/>
          <w:b/>
          <w:color w:val="auto"/>
          <w:lang w:eastAsia="en-AU"/>
        </w:rPr>
        <w:t>Scope</w:t>
      </w:r>
      <w:r w:rsidRPr="00713402">
        <w:rPr>
          <w:rFonts w:eastAsia="Calibri"/>
          <w:b/>
          <w:lang w:eastAsia="en-AU"/>
        </w:rPr>
        <w:t xml:space="preserve">: </w:t>
      </w:r>
      <w:r w:rsidRPr="00713402">
        <w:rPr>
          <w:u w:color="000000" w:themeColor="text1"/>
        </w:rPr>
        <w:t xml:space="preserve">Governance will be a joint responsibility of DFAT and GoI through a formal Steering Committee (SC) that meets twice annually, chaired by MoEC. </w:t>
      </w:r>
      <w:r w:rsidRPr="00713402">
        <w:t xml:space="preserve">The primary functions of the SC are to: (i) approve the Annual Work Plan; (ii) review progress of implementation; and (iii) endorse any major decisions concerning future directions for the Program. In recognition of the synergies between the INOVASI and TASS work plans and government stakeholders, TASS and INOVASI are governed by the same Steering Committee. </w:t>
      </w:r>
    </w:p>
    <w:p w14:paraId="6A8557FF" w14:textId="77777777" w:rsidR="00B416A6" w:rsidRPr="00713402" w:rsidRDefault="00B416A6" w:rsidP="00B416A6">
      <w:pPr>
        <w:jc w:val="both"/>
        <w:rPr>
          <w:rFonts w:ascii="Cambria" w:eastAsia="Calibri" w:hAnsi="Cambria"/>
          <w:lang w:eastAsia="en-AU"/>
        </w:rPr>
      </w:pPr>
      <w:r w:rsidRPr="00713402">
        <w:rPr>
          <w:rFonts w:ascii="Cambria" w:eastAsia="Calibri" w:hAnsi="Cambria"/>
          <w:b/>
          <w:lang w:eastAsia="en-AU"/>
        </w:rPr>
        <w:t xml:space="preserve">Progress: </w:t>
      </w:r>
      <w:r w:rsidR="00713402">
        <w:rPr>
          <w:rFonts w:ascii="Cambria" w:eastAsia="Calibri" w:hAnsi="Cambria"/>
          <w:lang w:eastAsia="en-AU"/>
        </w:rPr>
        <w:t xml:space="preserve">Two </w:t>
      </w:r>
      <w:r w:rsidRPr="00713402">
        <w:rPr>
          <w:rFonts w:ascii="Cambria" w:eastAsia="Calibri" w:hAnsi="Cambria"/>
          <w:lang w:eastAsia="en-AU"/>
        </w:rPr>
        <w:t xml:space="preserve">governance meeting </w:t>
      </w:r>
      <w:r w:rsidR="00713402">
        <w:rPr>
          <w:rFonts w:ascii="Cambria" w:eastAsia="Calibri" w:hAnsi="Cambria"/>
          <w:lang w:eastAsia="en-AU"/>
        </w:rPr>
        <w:t>were</w:t>
      </w:r>
      <w:r w:rsidRPr="00713402">
        <w:rPr>
          <w:rFonts w:ascii="Cambria" w:eastAsia="Calibri" w:hAnsi="Cambria"/>
          <w:lang w:eastAsia="en-AU"/>
        </w:rPr>
        <w:t xml:space="preserve"> held in </w:t>
      </w:r>
      <w:r w:rsidR="00713402">
        <w:rPr>
          <w:rFonts w:ascii="Cambria" w:eastAsia="Calibri" w:hAnsi="Cambria"/>
          <w:lang w:eastAsia="en-AU"/>
        </w:rPr>
        <w:t>January and August 2018</w:t>
      </w:r>
      <w:r w:rsidRPr="00713402">
        <w:rPr>
          <w:rFonts w:ascii="Cambria" w:eastAsia="Calibri" w:hAnsi="Cambria"/>
          <w:b/>
          <w:lang w:eastAsia="en-AU"/>
        </w:rPr>
        <w:t xml:space="preserve"> </w:t>
      </w:r>
      <w:r w:rsidRPr="00713402">
        <w:rPr>
          <w:rFonts w:ascii="Cambria" w:eastAsia="Calibri" w:hAnsi="Cambria"/>
          <w:lang w:eastAsia="en-AU"/>
        </w:rPr>
        <w:t>at which</w:t>
      </w:r>
      <w:r w:rsidRPr="00713402">
        <w:rPr>
          <w:rFonts w:ascii="Cambria" w:eastAsia="Calibri" w:hAnsi="Cambria"/>
          <w:b/>
          <w:lang w:eastAsia="en-AU"/>
        </w:rPr>
        <w:t xml:space="preserve"> </w:t>
      </w:r>
      <w:r w:rsidRPr="00713402">
        <w:rPr>
          <w:rFonts w:ascii="Cambria" w:eastAsia="Calibri" w:hAnsi="Cambria"/>
          <w:lang w:eastAsia="en-AU"/>
        </w:rPr>
        <w:t xml:space="preserve">TASS presented an overview of the program, </w:t>
      </w:r>
      <w:r w:rsidR="00713402">
        <w:rPr>
          <w:rFonts w:ascii="Cambria" w:eastAsia="Calibri" w:hAnsi="Cambria"/>
          <w:lang w:eastAsia="en-AU"/>
        </w:rPr>
        <w:t>rolling</w:t>
      </w:r>
      <w:r w:rsidRPr="00713402">
        <w:rPr>
          <w:rFonts w:ascii="Cambria" w:eastAsia="Calibri" w:hAnsi="Cambria"/>
          <w:lang w:eastAsia="en-AU"/>
        </w:rPr>
        <w:t xml:space="preserve"> work plan</w:t>
      </w:r>
      <w:r w:rsidR="00713402">
        <w:rPr>
          <w:rFonts w:ascii="Cambria" w:eastAsia="Calibri" w:hAnsi="Cambria"/>
          <w:lang w:eastAsia="en-AU"/>
        </w:rPr>
        <w:t>s</w:t>
      </w:r>
      <w:r w:rsidRPr="00713402">
        <w:rPr>
          <w:rFonts w:ascii="Cambria" w:eastAsia="Calibri" w:hAnsi="Cambria"/>
          <w:lang w:eastAsia="en-AU"/>
        </w:rPr>
        <w:t>, and report</w:t>
      </w:r>
      <w:r w:rsidR="00713402">
        <w:rPr>
          <w:rFonts w:ascii="Cambria" w:eastAsia="Calibri" w:hAnsi="Cambria"/>
          <w:lang w:eastAsia="en-AU"/>
        </w:rPr>
        <w:t>ing</w:t>
      </w:r>
      <w:r w:rsidRPr="00713402">
        <w:rPr>
          <w:rFonts w:ascii="Cambria" w:eastAsia="Calibri" w:hAnsi="Cambria"/>
          <w:lang w:eastAsia="en-AU"/>
        </w:rPr>
        <w:t xml:space="preserve"> against activities under implementation. </w:t>
      </w:r>
      <w:r w:rsidR="00FD7193">
        <w:rPr>
          <w:rFonts w:ascii="Cambria" w:eastAsia="Calibri" w:hAnsi="Cambria"/>
          <w:lang w:eastAsia="en-AU"/>
        </w:rPr>
        <w:t>At the time of writing a revision of the SC decree is in train to formally incorporate TASS</w:t>
      </w:r>
      <w:r w:rsidR="00FD7193">
        <w:rPr>
          <w:rStyle w:val="FootnoteReference"/>
          <w:rFonts w:ascii="Cambria" w:eastAsia="Calibri" w:hAnsi="Cambria"/>
          <w:lang w:eastAsia="en-AU"/>
        </w:rPr>
        <w:footnoteReference w:id="23"/>
      </w:r>
      <w:r w:rsidR="00FD7193">
        <w:rPr>
          <w:rFonts w:ascii="Cambria" w:eastAsia="Calibri" w:hAnsi="Cambria"/>
          <w:lang w:eastAsia="en-AU"/>
        </w:rPr>
        <w:t xml:space="preserve"> and include MoRA as a member. </w:t>
      </w:r>
      <w:r w:rsidR="005B0112">
        <w:rPr>
          <w:rFonts w:ascii="Cambria" w:eastAsia="Calibri" w:hAnsi="Cambria"/>
          <w:lang w:eastAsia="en-AU"/>
        </w:rPr>
        <w:t>Routine coordination with the TASS Echelon 2 counterpart was achieved through engagement on activities involving the counterpart, and updates throughout the year on other activities.</w:t>
      </w:r>
    </w:p>
    <w:p w14:paraId="188DD0B8" w14:textId="77777777" w:rsidR="005B0112" w:rsidRPr="005B0112" w:rsidRDefault="00B416A6" w:rsidP="005B0112">
      <w:pPr>
        <w:jc w:val="both"/>
        <w:rPr>
          <w:rFonts w:ascii="Cambria" w:eastAsia="Calibri" w:hAnsi="Cambria"/>
          <w:lang w:eastAsia="en-AU"/>
        </w:rPr>
      </w:pPr>
      <w:r w:rsidRPr="005B0112">
        <w:rPr>
          <w:rFonts w:ascii="Cambria" w:eastAsia="Calibri" w:hAnsi="Cambria"/>
          <w:b/>
          <w:lang w:eastAsia="en-AU"/>
        </w:rPr>
        <w:t>Action:</w:t>
      </w:r>
      <w:r w:rsidRPr="005B0112">
        <w:rPr>
          <w:rFonts w:ascii="Cambria" w:eastAsia="Calibri" w:hAnsi="Cambria"/>
          <w:lang w:eastAsia="en-AU"/>
        </w:rPr>
        <w:t xml:space="preserve"> </w:t>
      </w:r>
      <w:r w:rsidR="005B0112" w:rsidRPr="005B0112">
        <w:rPr>
          <w:rFonts w:ascii="Cambria" w:eastAsia="Calibri" w:hAnsi="Cambria"/>
          <w:lang w:eastAsia="en-AU"/>
        </w:rPr>
        <w:t xml:space="preserve">It is expected that two Steering Committee meetings will be held in 2019.  As TASS does not have a set work plan of activities that can be approved by the SC, at each meeting TASS will report on progress and achievements, major highlights/findings and present an updated list of activities, both planned and under implementation, for comment and feedback by GoI. </w:t>
      </w:r>
    </w:p>
    <w:p w14:paraId="138CD8B8" w14:textId="77777777" w:rsidR="005B0112" w:rsidRPr="005B0112" w:rsidRDefault="005B0112" w:rsidP="005B0112">
      <w:pPr>
        <w:jc w:val="both"/>
        <w:rPr>
          <w:rFonts w:ascii="Cambria" w:eastAsia="Calibri" w:hAnsi="Cambria"/>
          <w:lang w:eastAsia="en-AU"/>
        </w:rPr>
      </w:pPr>
      <w:r w:rsidRPr="005B0112">
        <w:rPr>
          <w:rFonts w:ascii="Cambria" w:eastAsia="Calibri" w:hAnsi="Cambria"/>
          <w:lang w:eastAsia="en-AU"/>
        </w:rPr>
        <w:t>As per the 2019 Annual Work Plan, coordination will continue with the TASS Echelon 2 counterpart, where TASS will report progress against activities under implementation, and seek input and advice on new activities as part of activity selection processes.</w:t>
      </w:r>
    </w:p>
    <w:p w14:paraId="1D62D553" w14:textId="77777777" w:rsidR="005B0112" w:rsidRPr="005B0112" w:rsidRDefault="005B0112" w:rsidP="005B0112">
      <w:pPr>
        <w:jc w:val="both"/>
        <w:rPr>
          <w:rFonts w:ascii="Cambria" w:eastAsia="Calibri" w:hAnsi="Cambria"/>
          <w:lang w:eastAsia="en-AU"/>
        </w:rPr>
      </w:pPr>
      <w:r w:rsidRPr="005B0112">
        <w:rPr>
          <w:rFonts w:ascii="Cambria" w:eastAsia="Calibri" w:hAnsi="Cambria"/>
          <w:lang w:eastAsia="en-AU"/>
        </w:rPr>
        <w:t>Updates to the Ways of Working for the program between DFAT and TASS (governing effective decision making and approvals processes in a flexible and responsive program) will be completed in the first quarter on 2019, and further revised/ updated as required during the year.</w:t>
      </w:r>
    </w:p>
    <w:p w14:paraId="739E99C1" w14:textId="77777777" w:rsidR="00B416A6" w:rsidRDefault="00B416A6" w:rsidP="00B416A6">
      <w:pPr>
        <w:jc w:val="both"/>
        <w:rPr>
          <w:rFonts w:eastAsia="Calibri"/>
          <w:lang w:eastAsia="en-AU"/>
        </w:rPr>
      </w:pPr>
    </w:p>
    <w:p w14:paraId="267D81B1" w14:textId="77777777" w:rsidR="00B416A6" w:rsidRDefault="00B416A6" w:rsidP="00B416A6">
      <w:pPr>
        <w:jc w:val="both"/>
        <w:rPr>
          <w:rFonts w:eastAsia="Calibri"/>
          <w:lang w:eastAsia="en-AU"/>
        </w:rPr>
      </w:pPr>
      <w:r>
        <w:rPr>
          <w:rFonts w:eastAsia="Calibri"/>
          <w:lang w:eastAsia="en-AU"/>
        </w:rPr>
        <w:br w:type="page"/>
      </w:r>
    </w:p>
    <w:p w14:paraId="37E53174" w14:textId="77777777" w:rsidR="00B416A6" w:rsidRPr="00765CEC" w:rsidRDefault="00B416A6" w:rsidP="00B416A6">
      <w:pPr>
        <w:pStyle w:val="Head1"/>
        <w:rPr>
          <w:rFonts w:eastAsia="Calibri"/>
          <w:lang w:eastAsia="en-AU"/>
        </w:rPr>
      </w:pPr>
      <w:bookmarkStart w:id="133" w:name="_Toc513467453"/>
      <w:bookmarkStart w:id="134" w:name="_Toc513467784"/>
      <w:bookmarkStart w:id="135" w:name="_Toc513470408"/>
      <w:bookmarkStart w:id="136" w:name="_Toc513471059"/>
      <w:bookmarkStart w:id="137" w:name="_Toc19006739"/>
      <w:r w:rsidRPr="00765CEC">
        <w:rPr>
          <w:rFonts w:eastAsia="Calibri"/>
          <w:lang w:eastAsia="en-AU"/>
        </w:rPr>
        <w:t>Key Lessons and Actions</w:t>
      </w:r>
      <w:bookmarkEnd w:id="133"/>
      <w:bookmarkEnd w:id="134"/>
      <w:bookmarkEnd w:id="135"/>
      <w:bookmarkEnd w:id="136"/>
      <w:bookmarkEnd w:id="137"/>
    </w:p>
    <w:p w14:paraId="3135451F" w14:textId="51BEFC59" w:rsidR="007F7A40" w:rsidRDefault="005237E1" w:rsidP="00CF605F">
      <w:pPr>
        <w:pStyle w:val="Head2"/>
      </w:pPr>
      <w:bookmarkStart w:id="138" w:name="_Toc19006740"/>
      <w:r>
        <w:t>Implementation approaches are effective and should be continued</w:t>
      </w:r>
      <w:bookmarkEnd w:id="138"/>
      <w:r>
        <w:t xml:space="preserve"> </w:t>
      </w:r>
    </w:p>
    <w:p w14:paraId="3BDC4D3A" w14:textId="77777777" w:rsidR="004044A6" w:rsidRDefault="005237E1" w:rsidP="005237E1">
      <w:pPr>
        <w:pStyle w:val="Body"/>
      </w:pPr>
      <w:r>
        <w:t>TASS’ application of Thinking and Working Politically and Knowledge-to-Policy is making a difference. A mid-term evaluation conducted by TASS in mid-2018 demonstrated that the approaches made an important contribution to achievement of outcomes in the vast majority (86%) of activities evaluated.</w:t>
      </w:r>
      <w:r>
        <w:rPr>
          <w:rStyle w:val="FootnoteReference"/>
        </w:rPr>
        <w:footnoteReference w:id="24"/>
      </w:r>
      <w:r>
        <w:t xml:space="preserve"> The approaches, embedded in TASS activities, are adding value by helping Government achieve outcomes that are more likely to lead to policy implementation because they are targeted towards longer-term reforms, have engaged relevant stakeholders, are timely, and are feasible. </w:t>
      </w:r>
    </w:p>
    <w:p w14:paraId="7EC1D063" w14:textId="7137D60E" w:rsidR="00D402A3" w:rsidRDefault="004044A6" w:rsidP="002A3549">
      <w:pPr>
        <w:pStyle w:val="Body"/>
      </w:pPr>
      <w:r>
        <w:t>T</w:t>
      </w:r>
      <w:r w:rsidR="00D402A3">
        <w:t>ASS’ activity screening process looks closely at the political context, including the level of Government commitment, the alignment with Government reform, and external enabling and constraining factors. This process is helping TASS target its investment to activities that are politically and technically feasible and more likely to contribute to longer-term outcomes.</w:t>
      </w:r>
      <w:r w:rsidR="00D402A3">
        <w:rPr>
          <w:rStyle w:val="FootnoteReference"/>
        </w:rPr>
        <w:footnoteReference w:id="25"/>
      </w:r>
      <w:r w:rsidR="00D402A3">
        <w:t xml:space="preserve"> </w:t>
      </w:r>
      <w:r w:rsidR="000367F9">
        <w:t xml:space="preserve"> </w:t>
      </w:r>
    </w:p>
    <w:p w14:paraId="6C6463D8" w14:textId="1CBEB41B" w:rsidR="00D402A3" w:rsidRDefault="004044A6" w:rsidP="002A3549">
      <w:pPr>
        <w:pStyle w:val="Body"/>
      </w:pPr>
      <w:r>
        <w:t xml:space="preserve">Wise investment, however, is not the only reason for the excellent level of uptake and use of TASS outputs. The mid-term evaluation found evidence 1) that TASS continues to engage high quality STA who have the expertise needed by GoI and who have the trust and confidence of their counterparts and 2) </w:t>
      </w:r>
      <w:r w:rsidR="00D402A3">
        <w:t>TASS has built strong day-to-day working relationships with counterparts. They have an almost daily presence in two Ministries, with activity managers or STA based there for significant periods of time</w:t>
      </w:r>
      <w:r>
        <w:t>, allowing planned and opportunistic engagement on emerging priorities</w:t>
      </w:r>
      <w:r w:rsidR="00D402A3">
        <w:t xml:space="preserve">. </w:t>
      </w:r>
      <w:r>
        <w:t>R</w:t>
      </w:r>
      <w:r w:rsidR="00D402A3">
        <w:t xml:space="preserve">egular contact with senior staff </w:t>
      </w:r>
      <w:r>
        <w:t xml:space="preserve">ensures TASS support is responsive to context and </w:t>
      </w:r>
      <w:r w:rsidR="00D402A3">
        <w:t xml:space="preserve">needs, as illustrated in the following comments: </w:t>
      </w:r>
      <w:r w:rsidR="00D402A3" w:rsidRPr="00B62C95">
        <w:rPr>
          <w:i/>
        </w:rPr>
        <w:t>“They understand our needs.”</w:t>
      </w:r>
      <w:r w:rsidR="00D402A3">
        <w:rPr>
          <w:rStyle w:val="FootnoteReference"/>
          <w:i/>
        </w:rPr>
        <w:footnoteReference w:id="26"/>
      </w:r>
      <w:r w:rsidR="005237E1">
        <w:rPr>
          <w:i/>
        </w:rPr>
        <w:t xml:space="preserve"> “Our relationship is flu</w:t>
      </w:r>
      <w:r w:rsidR="00D402A3" w:rsidRPr="00B62C95">
        <w:rPr>
          <w:i/>
        </w:rPr>
        <w:t>id. I can just call him and talk or knock on his door, and vice versa.”</w:t>
      </w:r>
      <w:r w:rsidR="00D402A3">
        <w:rPr>
          <w:rStyle w:val="FootnoteReference"/>
          <w:i/>
        </w:rPr>
        <w:footnoteReference w:id="27"/>
      </w:r>
      <w:r w:rsidR="00D402A3">
        <w:rPr>
          <w:i/>
        </w:rPr>
        <w:t xml:space="preserve"> </w:t>
      </w:r>
      <w:r>
        <w:t xml:space="preserve"> </w:t>
      </w:r>
    </w:p>
    <w:p w14:paraId="778D9D43" w14:textId="25BA0D3A" w:rsidR="00474DFB" w:rsidRPr="00C66909" w:rsidRDefault="00716467" w:rsidP="00474DFB">
      <w:pPr>
        <w:pStyle w:val="Body"/>
      </w:pPr>
      <w:r>
        <w:t xml:space="preserve">TASS </w:t>
      </w:r>
      <w:r w:rsidR="004044A6">
        <w:t>is now going beyond</w:t>
      </w:r>
      <w:r>
        <w:t xml:space="preserve"> relationship building and management of these approaches </w:t>
      </w:r>
      <w:r w:rsidR="004044A6">
        <w:t xml:space="preserve">and </w:t>
      </w:r>
      <w:r>
        <w:t xml:space="preserve">has begun </w:t>
      </w:r>
      <w:r w:rsidR="004044A6">
        <w:t>engaging</w:t>
      </w:r>
      <w:r>
        <w:t xml:space="preserve"> in long term policy </w:t>
      </w:r>
      <w:r w:rsidR="004044A6">
        <w:t>dialogue</w:t>
      </w:r>
      <w:r w:rsidR="002854D3">
        <w:t xml:space="preserve"> with counterparts to </w:t>
      </w:r>
      <w:r w:rsidR="004044A6">
        <w:t>support</w:t>
      </w:r>
      <w:r w:rsidR="002854D3">
        <w:t xml:space="preserve"> the instrumental use of TASS technical </w:t>
      </w:r>
      <w:r w:rsidR="004044A6">
        <w:t>and</w:t>
      </w:r>
      <w:r w:rsidR="002854D3">
        <w:t xml:space="preserve"> </w:t>
      </w:r>
      <w:r w:rsidR="00C70B36">
        <w:t>policy advice</w:t>
      </w:r>
      <w:r w:rsidR="002854D3">
        <w:t>.</w:t>
      </w:r>
      <w:r w:rsidR="00474DFB">
        <w:t xml:space="preserve"> The TASS core team and the STAs</w:t>
      </w:r>
      <w:r w:rsidR="00474DFB" w:rsidRPr="00717617">
        <w:t xml:space="preserve"> have helped their counterparts reach broader sets of stakeholders and consider implications for policy implementation beyond what would otherwise have occurred. This support is helping to bridge the policy-implementation divide.</w:t>
      </w:r>
      <w:r w:rsidR="00474DFB" w:rsidRPr="00C66909">
        <w:t xml:space="preserve"> </w:t>
      </w:r>
    </w:p>
    <w:p w14:paraId="684FB8B2" w14:textId="77777777" w:rsidR="00474DFB" w:rsidRDefault="00474DFB" w:rsidP="00474DFB">
      <w:pPr>
        <w:pStyle w:val="Body"/>
      </w:pPr>
      <w:r>
        <w:t xml:space="preserve">The lower than anticipated budget allocation for TASS for the 2018-19 year meant that with fewer input days available for STA, much policy engagement was handled by the TASS team itself – the Facility Director, core Education Specialists, and Activity Managers. This made a positive contribution to achievements in 2018, as the continuous presence of these personnel mean that policy engagement could occur on an ongoing basis as doors opened and windows of opportunity arose to engage in dialogue on activity findings and analysis.  </w:t>
      </w:r>
    </w:p>
    <w:p w14:paraId="5DE4B211" w14:textId="49256B0B" w:rsidR="002567EF" w:rsidRDefault="004C6DD8" w:rsidP="002A3549">
      <w:pPr>
        <w:pStyle w:val="Body"/>
      </w:pPr>
      <w:r w:rsidRPr="004C6DD8">
        <w:rPr>
          <w:b/>
        </w:rPr>
        <w:t>Action:</w:t>
      </w:r>
      <w:r>
        <w:t xml:space="preserve"> </w:t>
      </w:r>
      <w:r w:rsidR="002854D3">
        <w:t xml:space="preserve">The key lesson from this that will inform 2019 implementation is the importance of giving the core team the </w:t>
      </w:r>
      <w:r w:rsidR="002854D3">
        <w:rPr>
          <w:i/>
        </w:rPr>
        <w:t>space</w:t>
      </w:r>
      <w:r w:rsidR="002854D3">
        <w:t xml:space="preserve">, both in their terms of reference and also in work load, to be able to build these relationships and have time to work with counterparts on </w:t>
      </w:r>
      <w:r w:rsidR="002A3549">
        <w:t>implementing</w:t>
      </w:r>
      <w:r w:rsidR="002854D3">
        <w:t xml:space="preserve"> </w:t>
      </w:r>
      <w:r w:rsidR="00C70B36">
        <w:t xml:space="preserve">policy </w:t>
      </w:r>
      <w:r w:rsidR="002854D3">
        <w:t xml:space="preserve">reform. </w:t>
      </w:r>
      <w:r w:rsidR="002A3549">
        <w:t xml:space="preserve">This occurs, and will continue to be promoted, through dedicated time </w:t>
      </w:r>
      <w:r>
        <w:t xml:space="preserve">for staff in the Ministries for non-activity specific engagement and </w:t>
      </w:r>
      <w:r w:rsidR="002A3549">
        <w:t xml:space="preserve">active inclusion of </w:t>
      </w:r>
      <w:r>
        <w:t>core TASS team members</w:t>
      </w:r>
      <w:r w:rsidR="002A3549">
        <w:t xml:space="preserve"> </w:t>
      </w:r>
      <w:r>
        <w:t>in direct activity implementation.</w:t>
      </w:r>
    </w:p>
    <w:p w14:paraId="635F3197" w14:textId="77777777" w:rsidR="002854D3" w:rsidRDefault="002854D3" w:rsidP="00716467"/>
    <w:p w14:paraId="21FEABBE" w14:textId="52DA7D35" w:rsidR="001303DF" w:rsidRDefault="001303DF" w:rsidP="002854D3">
      <w:pPr>
        <w:pStyle w:val="Head2"/>
      </w:pPr>
      <w:bookmarkStart w:id="139" w:name="_Toc19006741"/>
      <w:r>
        <w:t>The whole is greater than the sum of its parts</w:t>
      </w:r>
      <w:bookmarkEnd w:id="139"/>
    </w:p>
    <w:p w14:paraId="6E15ADDB" w14:textId="1920436E" w:rsidR="003F57AA" w:rsidRDefault="001303DF" w:rsidP="003F57AA">
      <w:pPr>
        <w:pStyle w:val="Body"/>
      </w:pPr>
      <w:r>
        <w:t xml:space="preserve">As the program shifted in 2018, it became apparent that TASS has a significant value add that was achieved outside of direct activity engagement. Drawing on activity generated findings, advice and recommendations, the core team </w:t>
      </w:r>
      <w:r w:rsidR="003F57AA">
        <w:t xml:space="preserve">built on initial momentum on reform to engage with key counterparts on the evidence and help to identify and put in place the necessary ‘next-steps’ to maximise uptake and use. </w:t>
      </w:r>
    </w:p>
    <w:p w14:paraId="05C795E0" w14:textId="6E7BDFAA" w:rsidR="003F57AA" w:rsidRDefault="003F57AA" w:rsidP="003F57AA">
      <w:pPr>
        <w:pStyle w:val="Body"/>
      </w:pPr>
      <w:r>
        <w:t xml:space="preserve">Being this trusted, yet critical friend has </w:t>
      </w:r>
      <w:r w:rsidR="0012724D">
        <w:t>allow</w:t>
      </w:r>
      <w:r>
        <w:t>ed TASS to build a reputation for quality advice based on:</w:t>
      </w:r>
    </w:p>
    <w:p w14:paraId="157EC6A0" w14:textId="0BF1F060" w:rsidR="001303DF" w:rsidRDefault="001303DF" w:rsidP="003F57AA">
      <w:pPr>
        <w:pStyle w:val="Bullet1"/>
        <w:rPr>
          <w:rFonts w:ascii="Calibri" w:eastAsia="Times New Roman" w:hAnsi="Calibri" w:cs="Times New Roman"/>
          <w:lang w:val="en-AU" w:eastAsia="en-AU" w:bidi="ar-SA"/>
        </w:rPr>
      </w:pPr>
      <w:r>
        <w:t> building and nurturing relationships with counterparts; </w:t>
      </w:r>
    </w:p>
    <w:p w14:paraId="3B9696E1" w14:textId="2D90A378" w:rsidR="001303DF" w:rsidRDefault="001303DF" w:rsidP="001303DF">
      <w:pPr>
        <w:pStyle w:val="Bullet1"/>
      </w:pPr>
      <w:r>
        <w:t>developing an in-depth knowledge of the context and staying abreast of changes; </w:t>
      </w:r>
    </w:p>
    <w:p w14:paraId="1B271CC4" w14:textId="3576C8C1" w:rsidR="001303DF" w:rsidRDefault="001303DF" w:rsidP="001303DF">
      <w:pPr>
        <w:pStyle w:val="Bullet1"/>
      </w:pPr>
      <w:r>
        <w:t>understanding a counterpart’s needs and helping them to place these within a systems-strengthening framework; </w:t>
      </w:r>
    </w:p>
    <w:p w14:paraId="2DBF7262" w14:textId="7D0D25DC" w:rsidR="00AF4B75" w:rsidRDefault="00AF4B75" w:rsidP="00AF4B75">
      <w:pPr>
        <w:pStyle w:val="Bullet1"/>
      </w:pPr>
      <w:r>
        <w:t xml:space="preserve">working intentionally to strengthen and add value to GoI’s own efforts; </w:t>
      </w:r>
    </w:p>
    <w:p w14:paraId="3B7AED29" w14:textId="2BA7F705" w:rsidR="00AF4B75" w:rsidRPr="00AF4B75" w:rsidRDefault="00AF4B75" w:rsidP="00AF4B75">
      <w:pPr>
        <w:pStyle w:val="Bullet1"/>
      </w:pPr>
      <w:r>
        <w:t>identifying programs of work that are complementary, and not substitutional</w:t>
      </w:r>
      <w:r>
        <w:rPr>
          <w:rStyle w:val="FootnoteReference"/>
        </w:rPr>
        <w:footnoteReference w:id="28"/>
      </w:r>
      <w:r>
        <w:t xml:space="preserve">, in nature; </w:t>
      </w:r>
    </w:p>
    <w:p w14:paraId="46875BAD" w14:textId="6A7711B0" w:rsidR="001303DF" w:rsidRDefault="001303DF" w:rsidP="001303DF">
      <w:pPr>
        <w:pStyle w:val="Bullet1"/>
      </w:pPr>
      <w:r>
        <w:t>identifying entry points to support reform; </w:t>
      </w:r>
      <w:r w:rsidR="003F57AA">
        <w:t>and</w:t>
      </w:r>
    </w:p>
    <w:p w14:paraId="51D4D8D5" w14:textId="51A5BB5D" w:rsidR="001303DF" w:rsidRDefault="001303DF" w:rsidP="001303DF">
      <w:pPr>
        <w:pStyle w:val="Bullet1"/>
      </w:pPr>
      <w:r>
        <w:t>linking counterparts with other policy actors and resources so they can approach an issue from different perspectives</w:t>
      </w:r>
      <w:r w:rsidR="003F57AA">
        <w:t>.</w:t>
      </w:r>
      <w:r>
        <w:t> </w:t>
      </w:r>
    </w:p>
    <w:p w14:paraId="3BBB8574" w14:textId="7F2E4950" w:rsidR="001303DF" w:rsidRDefault="003F57AA" w:rsidP="001303DF">
      <w:pPr>
        <w:pStyle w:val="Body"/>
      </w:pPr>
      <w:r>
        <w:t xml:space="preserve">This enabled TASS to find synergies between and within activities, and leverage its core technical body of work to build a consolidated program that supports GoI to tackle some of the critical, longstanding constraints to improving quality and equity in education. </w:t>
      </w:r>
      <w:r w:rsidR="0012724D">
        <w:t>This contrasted with</w:t>
      </w:r>
      <w:r>
        <w:t xml:space="preserve"> the </w:t>
      </w:r>
      <w:r w:rsidR="0012724D">
        <w:t>first year of the program where some requests were of a less strategic nature and early engagements focused on communicating TASS’ potential value for government. As 2018 progressed, demand from GoI was increasingly aligned with the areas of investment that DFAT and TASS considered key to improving learning outcomes for Indonesian children</w:t>
      </w:r>
      <w:r w:rsidR="00705D1A">
        <w:t>:</w:t>
      </w:r>
      <w:r w:rsidR="00AF4B75">
        <w:t xml:space="preserve"> an important </w:t>
      </w:r>
      <w:r w:rsidR="00705D1A">
        <w:t>turning point for the program</w:t>
      </w:r>
      <w:r w:rsidR="00AF4B75">
        <w:t xml:space="preserve"> that led to enhanced results</w:t>
      </w:r>
      <w:r w:rsidR="0012724D">
        <w:t xml:space="preserve">.  </w:t>
      </w:r>
      <w:r>
        <w:t xml:space="preserve"> </w:t>
      </w:r>
    </w:p>
    <w:p w14:paraId="1396119C" w14:textId="1DE7643C" w:rsidR="00AF4B75" w:rsidRPr="00AF4B75" w:rsidRDefault="00AF4B75" w:rsidP="001303DF">
      <w:pPr>
        <w:pStyle w:val="Body"/>
      </w:pPr>
      <w:r>
        <w:rPr>
          <w:b/>
        </w:rPr>
        <w:t xml:space="preserve">Action: </w:t>
      </w:r>
      <w:r>
        <w:t xml:space="preserve">In 2019, TASS will continue to identify opportunities within and between activities to engage with GoI. </w:t>
      </w:r>
      <w:r w:rsidR="00DA76FA">
        <w:t xml:space="preserve">Anticipating similar budget allocations in 2019, the core team will continue to play an active role in managing and implementing activities, and a very strong role in post-activity engagement. Guidance will be developed to support existing and new personnel in 2019 to embed these ways of working. </w:t>
      </w:r>
      <w:r>
        <w:t xml:space="preserve"> </w:t>
      </w:r>
    </w:p>
    <w:p w14:paraId="0E53C563" w14:textId="46018BB8" w:rsidR="001F71FB" w:rsidRDefault="00717B5F" w:rsidP="002854D3">
      <w:pPr>
        <w:pStyle w:val="Head2"/>
      </w:pPr>
      <w:bookmarkStart w:id="140" w:name="_Toc19006742"/>
      <w:r>
        <w:t xml:space="preserve">TASS activity value-add </w:t>
      </w:r>
      <w:r w:rsidR="004949AA">
        <w:t xml:space="preserve">comes from being responsive </w:t>
      </w:r>
      <w:r w:rsidR="004949AA">
        <w:rPr>
          <w:i/>
        </w:rPr>
        <w:t>and</w:t>
      </w:r>
      <w:r w:rsidR="004949AA">
        <w:t xml:space="preserve"> strategic</w:t>
      </w:r>
      <w:bookmarkEnd w:id="140"/>
    </w:p>
    <w:p w14:paraId="78A30D36" w14:textId="18E062D1" w:rsidR="004C6DD8" w:rsidRDefault="00F16B65" w:rsidP="002A3549">
      <w:pPr>
        <w:pStyle w:val="Body"/>
      </w:pPr>
      <w:r>
        <w:t>In 2018,</w:t>
      </w:r>
      <w:r w:rsidR="002A3549">
        <w:t xml:space="preserve"> the program was able to leverage trust and relationships built in the first year and begin to implement larger and / or more strategic activities to support GoI. </w:t>
      </w:r>
      <w:r w:rsidR="0021329E">
        <w:t xml:space="preserve">In some instances, the program received direct requests </w:t>
      </w:r>
      <w:r w:rsidR="0021329E" w:rsidRPr="00502D28">
        <w:t>from GoI articulating a program of work that was required to support government-led initiatives</w:t>
      </w:r>
      <w:r w:rsidR="008D202D" w:rsidRPr="00502D28">
        <w:t xml:space="preserve"> </w:t>
      </w:r>
      <w:r w:rsidR="00502D28" w:rsidRPr="00502D28">
        <w:t>(e.g. IDTAS-G014 Support for MoEC Strategic Planning Processes; IDTAS-G017 Data Analysis for Policy and Planning Phase 3), and in other instances the activity was co-designed with government to meet a specific intended outcome (IDTAS-G013 Technical assistance to support development and piloting of a Continuous Professional Development System for Madrasah Teachers – Phase 3; IDTAS-G016 Organisational Review: Ministry of Education and Culture)</w:t>
      </w:r>
      <w:r w:rsidR="0021329E" w:rsidRPr="00502D28">
        <w:t xml:space="preserve">. </w:t>
      </w:r>
      <w:r w:rsidR="004C6DD8" w:rsidRPr="00502D28">
        <w:t>TASS designed its activities to</w:t>
      </w:r>
      <w:r w:rsidR="0021329E" w:rsidRPr="00502D28">
        <w:t xml:space="preserve"> not only respond to the immediate / </w:t>
      </w:r>
      <w:r w:rsidR="004C6DD8" w:rsidRPr="00502D28">
        <w:t>articulat</w:t>
      </w:r>
      <w:r w:rsidR="0021329E" w:rsidRPr="00502D28">
        <w:t>ed needs of the government, but also</w:t>
      </w:r>
      <w:r w:rsidR="0027748D" w:rsidRPr="00502D28">
        <w:t xml:space="preserve"> to </w:t>
      </w:r>
      <w:r w:rsidR="004C6DD8" w:rsidRPr="00502D28">
        <w:t>support the</w:t>
      </w:r>
      <w:r w:rsidR="0027748D" w:rsidRPr="00502D28">
        <w:t xml:space="preserve"> intended activity </w:t>
      </w:r>
      <w:r w:rsidR="004C6DD8" w:rsidRPr="00502D28">
        <w:t>to link with</w:t>
      </w:r>
      <w:r w:rsidR="0027748D" w:rsidRPr="00502D28">
        <w:t xml:space="preserve"> the broader policy environment and </w:t>
      </w:r>
      <w:r w:rsidR="00660927" w:rsidRPr="00502D28">
        <w:t xml:space="preserve">possibilities for </w:t>
      </w:r>
      <w:r w:rsidR="004C6DD8" w:rsidRPr="00502D28">
        <w:t>systems-level improvement (e.g. quality assurance linking to standards</w:t>
      </w:r>
      <w:r w:rsidR="004C6DD8">
        <w:t>)</w:t>
      </w:r>
      <w:r w:rsidR="0027748D">
        <w:t xml:space="preserve">. </w:t>
      </w:r>
    </w:p>
    <w:p w14:paraId="7BA35AB7" w14:textId="63AA4697" w:rsidR="0021329E" w:rsidRDefault="0027748D" w:rsidP="0075483B">
      <w:pPr>
        <w:pStyle w:val="Body"/>
      </w:pPr>
      <w:r>
        <w:t>Where possib</w:t>
      </w:r>
      <w:r w:rsidR="00660927">
        <w:t xml:space="preserve">le, activities were shaped to support the national Ministries to </w:t>
      </w:r>
      <w:r w:rsidR="0075483B">
        <w:t xml:space="preserve">carry out </w:t>
      </w:r>
      <w:r w:rsidR="00660927">
        <w:t xml:space="preserve">their responsibilities </w:t>
      </w:r>
      <w:r w:rsidR="0075483B">
        <w:t xml:space="preserve">for </w:t>
      </w:r>
      <w:r w:rsidR="00660927">
        <w:t>“</w:t>
      </w:r>
      <w:r w:rsidR="00660927" w:rsidRPr="00660927">
        <w:rPr>
          <w:i/>
        </w:rPr>
        <w:t xml:space="preserve">NSPK” </w:t>
      </w:r>
      <w:r w:rsidR="00660927">
        <w:rPr>
          <w:i/>
        </w:rPr>
        <w:t xml:space="preserve">(Norma, standar, prosedur, dan kriteria - </w:t>
      </w:r>
      <w:r w:rsidR="00660927" w:rsidRPr="00660927">
        <w:t>Norms, standards, procedures and criteria)</w:t>
      </w:r>
      <w:r w:rsidR="00660927">
        <w:t>.</w:t>
      </w:r>
      <w:r w:rsidR="0075483B">
        <w:t xml:space="preserve"> Activities sought to focus improvements</w:t>
      </w:r>
      <w:r w:rsidR="008D202D">
        <w:t xml:space="preserve"> o</w:t>
      </w:r>
      <w:r w:rsidR="0075483B">
        <w:t xml:space="preserve">n </w:t>
      </w:r>
      <w:r w:rsidR="008D202D" w:rsidRPr="008D202D">
        <w:t>quality</w:t>
      </w:r>
      <w:r w:rsidR="00660927">
        <w:t xml:space="preserve"> and equity for improved learning outcomes</w:t>
      </w:r>
      <w:r w:rsidR="008D202D" w:rsidRPr="008D202D">
        <w:t>, and</w:t>
      </w:r>
      <w:r w:rsidRPr="008D202D">
        <w:t xml:space="preserve"> arm reform minded counterparts with key information </w:t>
      </w:r>
      <w:r w:rsidR="0075483B">
        <w:t xml:space="preserve">and evidence </w:t>
      </w:r>
      <w:r w:rsidRPr="008D202D">
        <w:t xml:space="preserve">to lead change from within. </w:t>
      </w:r>
      <w:r w:rsidR="00474DFB" w:rsidRPr="008D202D">
        <w:t xml:space="preserve">This was different to activities undertaken in the first year of the program that </w:t>
      </w:r>
      <w:r w:rsidR="0075483B">
        <w:t xml:space="preserve">were necessarily driven by </w:t>
      </w:r>
      <w:r w:rsidR="00474DFB" w:rsidRPr="008D202D">
        <w:t>relationship building</w:t>
      </w:r>
      <w:r w:rsidR="0075483B">
        <w:t xml:space="preserve"> objectives (i.e. to demonstrate TASS’ capabilities). TASS also worked with key partners to ensure that where evidence and trends were being identified</w:t>
      </w:r>
      <w:r w:rsidR="00F14C11">
        <w:t xml:space="preserve"> in one ministry this was shared with related Ministries.   </w:t>
      </w:r>
    </w:p>
    <w:p w14:paraId="161D4C5B" w14:textId="194D4B71" w:rsidR="00474DFB" w:rsidRDefault="00F14C11" w:rsidP="000367F9">
      <w:pPr>
        <w:pStyle w:val="Body"/>
      </w:pPr>
      <w:r>
        <w:rPr>
          <w:b/>
        </w:rPr>
        <w:t xml:space="preserve">Action: </w:t>
      </w:r>
      <w:r w:rsidR="0027748D">
        <w:t>In 2019, TASS will</w:t>
      </w:r>
      <w:r w:rsidR="008D202D">
        <w:t xml:space="preserve"> take a more planned approach to activities where there is an enabling environment for strategic reform, </w:t>
      </w:r>
      <w:r>
        <w:t>though through being</w:t>
      </w:r>
      <w:r w:rsidR="000367F9">
        <w:t xml:space="preserve"> a trusted partner of the government</w:t>
      </w:r>
      <w:r>
        <w:t>, be opportunistic</w:t>
      </w:r>
      <w:r w:rsidR="000367F9">
        <w:t xml:space="preserve"> to capitalise on ongoing government-led initiativ</w:t>
      </w:r>
      <w:r w:rsidR="001604D9">
        <w:t>es during a key political year.</w:t>
      </w:r>
      <w:r>
        <w:t xml:space="preserve"> This will include efforts to have a more deliberate approach to </w:t>
      </w:r>
      <w:r w:rsidR="001604D9">
        <w:t xml:space="preserve">seeking </w:t>
      </w:r>
      <w:r>
        <w:t xml:space="preserve">opportunities for strategic engagement, through stronger involvement of the core team in, and outside, of activities with the Ministry. </w:t>
      </w:r>
    </w:p>
    <w:p w14:paraId="180B5E16" w14:textId="49E4C6C3" w:rsidR="002854D3" w:rsidRDefault="0050235E" w:rsidP="002854D3">
      <w:pPr>
        <w:pStyle w:val="Head2"/>
      </w:pPr>
      <w:bookmarkStart w:id="141" w:name="_Toc19006743"/>
      <w:r>
        <w:t>Size does matter</w:t>
      </w:r>
      <w:bookmarkEnd w:id="141"/>
    </w:p>
    <w:p w14:paraId="57DBF30A" w14:textId="2D04DDF6" w:rsidR="0050235E" w:rsidRDefault="0050235E" w:rsidP="0050235E">
      <w:pPr>
        <w:pStyle w:val="Body"/>
      </w:pPr>
      <w:r>
        <w:t>The TASS experience shows that technical assistance can be a cost effective aid modality. The midterm evaluation found that while TASS is small in terms of budget and activity size, it is being highly effective.</w:t>
      </w:r>
    </w:p>
    <w:p w14:paraId="5D927D40" w14:textId="2E8E45FB" w:rsidR="0050235E" w:rsidRPr="0050235E" w:rsidRDefault="0050235E" w:rsidP="0050235E">
      <w:pPr>
        <w:pStyle w:val="Body"/>
      </w:pPr>
      <w:r>
        <w:t xml:space="preserve">A key lesson that eventuated in </w:t>
      </w:r>
      <w:r w:rsidR="00B813D9">
        <w:t>redesigning activities to fit within the FY18-19 budget allocation</w:t>
      </w:r>
      <w:r>
        <w:t xml:space="preserve"> was that while TASS </w:t>
      </w:r>
      <w:r w:rsidR="00B813D9">
        <w:t>operates in a cost effective manner</w:t>
      </w:r>
      <w:r>
        <w:t>, activities still require a critical level of resourcing</w:t>
      </w:r>
      <w:r w:rsidR="0003402C">
        <w:t xml:space="preserve"> to ensure that the activity </w:t>
      </w:r>
      <w:r w:rsidR="00B813D9">
        <w:t>adds value</w:t>
      </w:r>
      <w:r>
        <w:t xml:space="preserve"> to GoI and DFAT.</w:t>
      </w:r>
    </w:p>
    <w:p w14:paraId="694D412D" w14:textId="02051FC5" w:rsidR="007C1F47" w:rsidRDefault="00F43D42" w:rsidP="00CB1575">
      <w:pPr>
        <w:pStyle w:val="Body"/>
      </w:pPr>
      <w:r>
        <w:t>T</w:t>
      </w:r>
      <w:r w:rsidR="00D402A3">
        <w:t xml:space="preserve">he budget adjustment in August </w:t>
      </w:r>
      <w:r>
        <w:t xml:space="preserve">2018 </w:t>
      </w:r>
      <w:r w:rsidR="00D402A3">
        <w:t xml:space="preserve">required that the scale of activities implemented in the second half of the year be reduced so that </w:t>
      </w:r>
      <w:r w:rsidR="0003402C">
        <w:t xml:space="preserve">existing </w:t>
      </w:r>
      <w:r w:rsidR="00D402A3">
        <w:t xml:space="preserve">commitments could be fulfilled within the </w:t>
      </w:r>
      <w:r w:rsidR="0003402C">
        <w:t>program’s allocated budget.</w:t>
      </w:r>
      <w:r w:rsidR="00D402A3">
        <w:t xml:space="preserve"> </w:t>
      </w:r>
      <w:r w:rsidR="0003402C">
        <w:t xml:space="preserve"> </w:t>
      </w:r>
      <w:r w:rsidR="00CB1575">
        <w:t xml:space="preserve">This impacted on the volume of STA inputs that could be provided in each activity and the level of in-country engagement that was possible within activity budgets. </w:t>
      </w:r>
      <w:r w:rsidR="0003402C">
        <w:t>This caused a level of frustration in</w:t>
      </w:r>
      <w:r w:rsidR="000367F9">
        <w:t xml:space="preserve"> GoI, DFAT, </w:t>
      </w:r>
      <w:r w:rsidR="0003402C">
        <w:t xml:space="preserve">and </w:t>
      </w:r>
      <w:r w:rsidR="000367F9">
        <w:t xml:space="preserve">TASS for what is achievable. </w:t>
      </w:r>
      <w:r w:rsidR="007C1F47">
        <w:t xml:space="preserve">A persistent message from GoI respondents in 2018 </w:t>
      </w:r>
      <w:r w:rsidR="0003402C">
        <w:t>monitoring and evaluation</w:t>
      </w:r>
      <w:r w:rsidR="007C1F47">
        <w:t xml:space="preserve"> </w:t>
      </w:r>
      <w:r w:rsidR="0003402C">
        <w:t xml:space="preserve">activities </w:t>
      </w:r>
      <w:r w:rsidR="007C1F47">
        <w:t>was the frustration felt with having to scale-down what they perceive as a</w:t>
      </w:r>
      <w:r w:rsidR="00CB1575">
        <w:t>lready small-budget activities</w:t>
      </w:r>
      <w:r w:rsidR="007C1F47">
        <w:t xml:space="preserve">. </w:t>
      </w:r>
    </w:p>
    <w:p w14:paraId="03A0BD39" w14:textId="49503855" w:rsidR="007C1F47" w:rsidRDefault="007C1F47" w:rsidP="007C1F47">
      <w:pPr>
        <w:pStyle w:val="Body"/>
      </w:pPr>
      <w:r>
        <w:t xml:space="preserve">While relationships and trust between TASS and counterparts have not yet been affected by these frustrations, there is a risk this might eventuate if budget </w:t>
      </w:r>
      <w:r w:rsidR="00F43D42">
        <w:t xml:space="preserve">and staffing </w:t>
      </w:r>
      <w:r>
        <w:t xml:space="preserve">pressures continue. </w:t>
      </w:r>
    </w:p>
    <w:p w14:paraId="5A27A087" w14:textId="46A478AA" w:rsidR="00AB686B" w:rsidRDefault="00CB1575" w:rsidP="00AB686B">
      <w:pPr>
        <w:pStyle w:val="Body"/>
      </w:pPr>
      <w:r w:rsidRPr="00CB1575">
        <w:rPr>
          <w:b/>
        </w:rPr>
        <w:t>Actions:</w:t>
      </w:r>
      <w:r>
        <w:t xml:space="preserve"> </w:t>
      </w:r>
      <w:r w:rsidR="00AB686B">
        <w:t xml:space="preserve"> The 2019 annual work plan consolidates TASS’ activities to achieve efficiencies in activity design and implementation, for example, through bringing together requests from agencies that are working to achieve similar goals under one activity.  This is expected to support a minimum level of resourcing of activities. Planned investments are </w:t>
      </w:r>
      <w:r w:rsidR="00F43D42">
        <w:t xml:space="preserve">consolidated </w:t>
      </w:r>
      <w:r w:rsidR="00AB686B">
        <w:t xml:space="preserve">in areas of highest expected return for greatest utilisation of team efforts. </w:t>
      </w:r>
    </w:p>
    <w:p w14:paraId="3D4D3CF9" w14:textId="78DDAD5B" w:rsidR="00AB686B" w:rsidRDefault="00AB686B" w:rsidP="00AB686B">
      <w:pPr>
        <w:pStyle w:val="Body"/>
      </w:pPr>
      <w:r>
        <w:t>TASS will increase its activity management capacity in 2019 through engaging a second full time activity manager</w:t>
      </w:r>
      <w:r>
        <w:rPr>
          <w:rStyle w:val="FootnoteReference"/>
        </w:rPr>
        <w:footnoteReference w:id="29"/>
      </w:r>
      <w:r>
        <w:t xml:space="preserve">.  This will support a structure that enables both a stronger role in activity design, implementation and follow up, as described above, but also a greater ability to oversight activities to mitigate the risk of activities not being delivered </w:t>
      </w:r>
      <w:r w:rsidR="00F43D42">
        <w:t>to expected quality standards.</w:t>
      </w:r>
      <w:r>
        <w:t xml:space="preserve"> </w:t>
      </w:r>
    </w:p>
    <w:p w14:paraId="2332BBFE" w14:textId="77777777" w:rsidR="00FA6F83" w:rsidRDefault="00FA6F83" w:rsidP="00FA6F83">
      <w:pPr>
        <w:pStyle w:val="Head2"/>
      </w:pPr>
      <w:bookmarkStart w:id="142" w:name="_Toc19006744"/>
      <w:r>
        <w:t>Gender and social inclusion efforts improved, but desired outcomes still to be achieved</w:t>
      </w:r>
      <w:bookmarkEnd w:id="142"/>
    </w:p>
    <w:p w14:paraId="31716164" w14:textId="5F679C65" w:rsidR="00BD50AB" w:rsidRDefault="00BD50AB" w:rsidP="00FA6F83">
      <w:pPr>
        <w:pStyle w:val="Body"/>
      </w:pPr>
      <w:r>
        <w:t>In 2018, TASS enacted many of the agreed actions of the 2017 Gender and Disability Health Check to better integrate GESI considerations into activity design, and include</w:t>
      </w:r>
      <w:r w:rsidR="00EF206C">
        <w:t xml:space="preserve"> dedicated GESI</w:t>
      </w:r>
      <w:r>
        <w:t xml:space="preserve"> specialists </w:t>
      </w:r>
      <w:r w:rsidR="00EF206C">
        <w:t>within</w:t>
      </w:r>
      <w:r>
        <w:t xml:space="preserve"> activities.</w:t>
      </w:r>
      <w:r w:rsidR="00FA6F83">
        <w:t xml:space="preserve"> </w:t>
      </w:r>
      <w:r>
        <w:t>Positive improvements included:</w:t>
      </w:r>
    </w:p>
    <w:p w14:paraId="5040C1CD" w14:textId="77777777" w:rsidR="00EF206C" w:rsidRDefault="00EF206C" w:rsidP="00435CCD">
      <w:pPr>
        <w:pStyle w:val="ListParagraph"/>
        <w:numPr>
          <w:ilvl w:val="0"/>
          <w:numId w:val="22"/>
        </w:numPr>
        <w:rPr>
          <w:rFonts w:ascii="Cambria" w:hAnsi="Cambria"/>
        </w:rPr>
      </w:pPr>
      <w:r w:rsidRPr="00037D68">
        <w:rPr>
          <w:rFonts w:ascii="Cambria" w:hAnsi="Cambria"/>
        </w:rPr>
        <w:t xml:space="preserve">provision for GESI advisers in </w:t>
      </w:r>
      <w:r>
        <w:rPr>
          <w:rFonts w:ascii="Cambria" w:hAnsi="Cambria"/>
        </w:rPr>
        <w:t xml:space="preserve">the </w:t>
      </w:r>
      <w:r w:rsidRPr="00037D68">
        <w:rPr>
          <w:rFonts w:ascii="Cambria" w:hAnsi="Cambria"/>
        </w:rPr>
        <w:t xml:space="preserve">original scope of 2018 activities; </w:t>
      </w:r>
    </w:p>
    <w:p w14:paraId="1A122A8F" w14:textId="77777777" w:rsidR="00EF206C" w:rsidRDefault="00EF206C" w:rsidP="00435CCD">
      <w:pPr>
        <w:pStyle w:val="ListParagraph"/>
        <w:numPr>
          <w:ilvl w:val="0"/>
          <w:numId w:val="22"/>
        </w:numPr>
        <w:rPr>
          <w:rFonts w:ascii="Cambria" w:hAnsi="Cambria"/>
        </w:rPr>
      </w:pPr>
      <w:r w:rsidRPr="00037D68">
        <w:rPr>
          <w:rFonts w:ascii="Cambria" w:hAnsi="Cambria"/>
        </w:rPr>
        <w:t xml:space="preserve">the use of a GESI checklist when scoping new activities; </w:t>
      </w:r>
    </w:p>
    <w:p w14:paraId="3EEDBB08" w14:textId="77777777" w:rsidR="00EF206C" w:rsidRDefault="00BD50AB" w:rsidP="00435CCD">
      <w:pPr>
        <w:pStyle w:val="ListParagraph"/>
        <w:numPr>
          <w:ilvl w:val="0"/>
          <w:numId w:val="22"/>
        </w:numPr>
        <w:rPr>
          <w:rFonts w:ascii="Cambria" w:hAnsi="Cambria"/>
        </w:rPr>
      </w:pPr>
      <w:r w:rsidRPr="00EF206C">
        <w:rPr>
          <w:rFonts w:ascii="Cambria" w:hAnsi="Cambria"/>
        </w:rPr>
        <w:t>development of a GESI policy analysis tool, and training of the team and select GoI counterparts in use of the tool;</w:t>
      </w:r>
      <w:r w:rsidR="00EF206C">
        <w:rPr>
          <w:rFonts w:ascii="Cambria" w:hAnsi="Cambria"/>
        </w:rPr>
        <w:t xml:space="preserve"> </w:t>
      </w:r>
    </w:p>
    <w:p w14:paraId="0E18A0EC" w14:textId="67C75F84" w:rsidR="00BD50AB" w:rsidRPr="00EF206C" w:rsidRDefault="00EF206C" w:rsidP="00435CCD">
      <w:pPr>
        <w:pStyle w:val="ListParagraph"/>
        <w:numPr>
          <w:ilvl w:val="0"/>
          <w:numId w:val="22"/>
        </w:numPr>
        <w:rPr>
          <w:rFonts w:ascii="Cambria" w:hAnsi="Cambria"/>
        </w:rPr>
      </w:pPr>
      <w:r w:rsidRPr="00037D68">
        <w:rPr>
          <w:rFonts w:ascii="Cambria" w:hAnsi="Cambria"/>
        </w:rPr>
        <w:t xml:space="preserve">attention to GESI issues in the situational analyses undertaken for the ESR; </w:t>
      </w:r>
      <w:r w:rsidR="00BD50AB" w:rsidRPr="00EF206C">
        <w:rPr>
          <w:rFonts w:ascii="Cambria" w:hAnsi="Cambria"/>
        </w:rPr>
        <w:t xml:space="preserve">and </w:t>
      </w:r>
    </w:p>
    <w:p w14:paraId="61E22572" w14:textId="68B215E0" w:rsidR="00BD50AB" w:rsidRPr="00037D68" w:rsidRDefault="00BD50AB" w:rsidP="00435CCD">
      <w:pPr>
        <w:pStyle w:val="ListParagraph"/>
        <w:numPr>
          <w:ilvl w:val="0"/>
          <w:numId w:val="22"/>
        </w:numPr>
        <w:rPr>
          <w:rFonts w:ascii="Cambria" w:hAnsi="Cambria"/>
        </w:rPr>
      </w:pPr>
      <w:r w:rsidRPr="00037D68">
        <w:rPr>
          <w:rFonts w:ascii="Cambria" w:hAnsi="Cambria"/>
        </w:rPr>
        <w:t xml:space="preserve">the engagement of two Indonesian-based GESI STA, who </w:t>
      </w:r>
      <w:r w:rsidR="00EF206C">
        <w:rPr>
          <w:rFonts w:ascii="Cambria" w:hAnsi="Cambria"/>
        </w:rPr>
        <w:t xml:space="preserve">are working across a </w:t>
      </w:r>
      <w:r w:rsidRPr="00037D68">
        <w:rPr>
          <w:rFonts w:ascii="Cambria" w:hAnsi="Cambria"/>
        </w:rPr>
        <w:t xml:space="preserve">limited number of activities. </w:t>
      </w:r>
    </w:p>
    <w:p w14:paraId="3BC36A98" w14:textId="5A957882" w:rsidR="00BD50AB" w:rsidRDefault="00FA6F83" w:rsidP="00FA6F83">
      <w:pPr>
        <w:pStyle w:val="Body"/>
      </w:pPr>
      <w:r>
        <w:t>R</w:t>
      </w:r>
      <w:r w:rsidR="00BD50AB" w:rsidRPr="00037D68">
        <w:t xml:space="preserve">evision of activity scopes in mid-2018 </w:t>
      </w:r>
      <w:r w:rsidR="00CE2287">
        <w:t>t</w:t>
      </w:r>
      <w:r w:rsidR="00BD50AB" w:rsidRPr="00037D68">
        <w:t>o</w:t>
      </w:r>
      <w:r w:rsidR="00CE2287">
        <w:t xml:space="preserve"> fit in revised</w:t>
      </w:r>
      <w:r w:rsidR="00BD50AB" w:rsidRPr="00037D68">
        <w:t xml:space="preserve"> budget</w:t>
      </w:r>
      <w:r w:rsidR="00CE2287">
        <w:t xml:space="preserve"> allocation</w:t>
      </w:r>
      <w:r w:rsidR="00BD50AB" w:rsidRPr="00037D68">
        <w:t xml:space="preserve"> meant a reduction in </w:t>
      </w:r>
      <w:r w:rsidR="00BD50AB">
        <w:t xml:space="preserve">the number of input </w:t>
      </w:r>
      <w:r w:rsidR="00BD50AB" w:rsidRPr="00037D68">
        <w:t xml:space="preserve">days </w:t>
      </w:r>
      <w:r w:rsidR="00BD50AB">
        <w:t xml:space="preserve">for dedicated GESI advisors within activities. In </w:t>
      </w:r>
      <w:r w:rsidR="00BD50AB" w:rsidRPr="00037D68">
        <w:t xml:space="preserve">some activities, </w:t>
      </w:r>
      <w:r w:rsidR="00BD50AB">
        <w:t>it was not possible to retain</w:t>
      </w:r>
      <w:r w:rsidR="00CE2287">
        <w:t xml:space="preserve"> meaningful levels of</w:t>
      </w:r>
      <w:r w:rsidR="00BD50AB">
        <w:t xml:space="preserve"> </w:t>
      </w:r>
      <w:r w:rsidR="00BD50AB" w:rsidRPr="00037D68">
        <w:t>GESI advisor inputs</w:t>
      </w:r>
      <w:r w:rsidR="00BD50AB">
        <w:t xml:space="preserve"> within the available budget envelope</w:t>
      </w:r>
      <w:r w:rsidR="00BD50AB" w:rsidRPr="00037D68">
        <w:t xml:space="preserve">. </w:t>
      </w:r>
      <w:r w:rsidR="00BD50AB">
        <w:t>While the</w:t>
      </w:r>
      <w:r w:rsidR="00CE2287">
        <w:t xml:space="preserve"> TASS core team still endeavours</w:t>
      </w:r>
      <w:r w:rsidR="00BD50AB">
        <w:t xml:space="preserve"> to ensure that each activity considers related GESI issues, </w:t>
      </w:r>
      <w:r>
        <w:t>there are some recognised limitations in the team to provide</w:t>
      </w:r>
      <w:r w:rsidR="00CE2287">
        <w:t xml:space="preserve"> direction on GESI issues </w:t>
      </w:r>
      <w:r>
        <w:t>to</w:t>
      </w:r>
      <w:r w:rsidR="00CE2287">
        <w:t xml:space="preserve"> STA.</w:t>
      </w:r>
    </w:p>
    <w:p w14:paraId="400E249D" w14:textId="77777777" w:rsidR="00B416A6" w:rsidRDefault="00CE2287" w:rsidP="002C396A">
      <w:pPr>
        <w:pStyle w:val="Body"/>
        <w:rPr>
          <w:u w:color="000000" w:themeColor="text1"/>
        </w:rPr>
      </w:pPr>
      <w:r w:rsidRPr="00CE2287">
        <w:rPr>
          <w:b/>
        </w:rPr>
        <w:t>Action:</w:t>
      </w:r>
      <w:r>
        <w:t xml:space="preserve"> P</w:t>
      </w:r>
      <w:r>
        <w:rPr>
          <w:u w:color="000000" w:themeColor="text1"/>
        </w:rPr>
        <w:t xml:space="preserve">reviously TASS’ GDIP implementation strategy aligned with </w:t>
      </w:r>
      <w:r w:rsidRPr="00F701FE">
        <w:rPr>
          <w:u w:color="000000" w:themeColor="text1"/>
        </w:rPr>
        <w:t>DFAT</w:t>
      </w:r>
      <w:r>
        <w:rPr>
          <w:u w:color="000000" w:themeColor="text1"/>
        </w:rPr>
        <w:t>’s twin track approach – in that it envisaged delivery of gender and/or disability inclusion specific activities, as well as the mainstreaming of gender and disability inclusion in all activities. With current and anticipated future budget allocations,</w:t>
      </w:r>
      <w:r w:rsidRPr="00F701FE">
        <w:rPr>
          <w:u w:color="000000" w:themeColor="text1"/>
        </w:rPr>
        <w:t xml:space="preserve"> TASS will </w:t>
      </w:r>
      <w:r w:rsidR="001604D9">
        <w:rPr>
          <w:u w:color="000000" w:themeColor="text1"/>
        </w:rPr>
        <w:t xml:space="preserve">maintain the priority afforded to GESI, though takes a realistic approach to where it’s efforts are best placed and as such will </w:t>
      </w:r>
      <w:r>
        <w:rPr>
          <w:u w:color="000000" w:themeColor="text1"/>
        </w:rPr>
        <w:t>focus on mainstreaming gender and disability inclusion in each activity</w:t>
      </w:r>
      <w:r w:rsidR="00F8762B">
        <w:rPr>
          <w:u w:color="000000" w:themeColor="text1"/>
        </w:rPr>
        <w:t>. See also Section 6.6.1.</w:t>
      </w:r>
    </w:p>
    <w:p w14:paraId="08745FC4" w14:textId="38460351" w:rsidR="00B416A6" w:rsidRDefault="00B416A6" w:rsidP="002C396A">
      <w:pPr>
        <w:spacing w:after="0" w:line="259" w:lineRule="auto"/>
        <w:jc w:val="both"/>
        <w:rPr>
          <w:rFonts w:ascii="Arial" w:eastAsia="Arial" w:hAnsi="Arial" w:cs="Arial"/>
          <w:b/>
          <w:color w:val="002060"/>
          <w:sz w:val="36"/>
          <w:szCs w:val="20"/>
          <w:lang w:val="en-GB" w:eastAsia="en-GB" w:bidi="ar-SA"/>
        </w:rPr>
      </w:pPr>
    </w:p>
    <w:sectPr w:rsidR="00B416A6" w:rsidSect="002C396A">
      <w:footerReference w:type="even" r:id="rId18"/>
      <w:footerReference w:type="first" r:id="rId19"/>
      <w:pgSz w:w="11906" w:h="16838"/>
      <w:pgMar w:top="1134" w:right="1134" w:bottom="1276" w:left="1134" w:header="709"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220D" w14:textId="77777777" w:rsidR="00033040" w:rsidRDefault="00033040" w:rsidP="00AD0C8A">
      <w:pPr>
        <w:spacing w:after="0" w:line="240" w:lineRule="auto"/>
      </w:pPr>
      <w:r>
        <w:separator/>
      </w:r>
    </w:p>
    <w:p w14:paraId="3A553699" w14:textId="77777777" w:rsidR="00033040" w:rsidRDefault="00033040"/>
  </w:endnote>
  <w:endnote w:type="continuationSeparator" w:id="0">
    <w:p w14:paraId="4474A88A" w14:textId="77777777" w:rsidR="00033040" w:rsidRDefault="00033040" w:rsidP="00AD0C8A">
      <w:pPr>
        <w:spacing w:after="0" w:line="240" w:lineRule="auto"/>
      </w:pPr>
      <w:r>
        <w:continuationSeparator/>
      </w:r>
    </w:p>
    <w:p w14:paraId="4A7287E1" w14:textId="77777777" w:rsidR="00033040" w:rsidRDefault="00033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tka Heading">
    <w:altName w:val="Times New Roman"/>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tka Subheading">
    <w:altName w:val="Aria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FE74" w14:textId="77777777" w:rsidR="00993E6F" w:rsidRDefault="0099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39788"/>
      <w:docPartObj>
        <w:docPartGallery w:val="Page Numbers (Bottom of Page)"/>
        <w:docPartUnique/>
      </w:docPartObj>
    </w:sdtPr>
    <w:sdtEndPr>
      <w:rPr>
        <w:rFonts w:ascii="Cambria" w:hAnsi="Cambria"/>
        <w:noProof/>
        <w:sz w:val="20"/>
      </w:rPr>
    </w:sdtEndPr>
    <w:sdtContent>
      <w:p w14:paraId="639BA62F" w14:textId="1D1B755D" w:rsidR="00033040" w:rsidRPr="003D53CE" w:rsidRDefault="00033040">
        <w:pPr>
          <w:pStyle w:val="Footer"/>
          <w:jc w:val="right"/>
          <w:rPr>
            <w:rFonts w:ascii="Cambria" w:hAnsi="Cambria"/>
            <w:sz w:val="20"/>
          </w:rPr>
        </w:pPr>
        <w:r w:rsidRPr="003D53CE">
          <w:rPr>
            <w:rFonts w:ascii="Cambria" w:hAnsi="Cambria"/>
            <w:sz w:val="20"/>
          </w:rPr>
          <w:fldChar w:fldCharType="begin"/>
        </w:r>
        <w:r w:rsidRPr="003D53CE">
          <w:rPr>
            <w:rFonts w:ascii="Cambria" w:hAnsi="Cambria"/>
            <w:sz w:val="20"/>
          </w:rPr>
          <w:instrText xml:space="preserve"> PAGE   \* MERGEFORMAT </w:instrText>
        </w:r>
        <w:r w:rsidRPr="003D53CE">
          <w:rPr>
            <w:rFonts w:ascii="Cambria" w:hAnsi="Cambria"/>
            <w:sz w:val="20"/>
          </w:rPr>
          <w:fldChar w:fldCharType="separate"/>
        </w:r>
        <w:r w:rsidR="00993E6F">
          <w:rPr>
            <w:rFonts w:ascii="Cambria" w:hAnsi="Cambria"/>
            <w:noProof/>
            <w:sz w:val="20"/>
          </w:rPr>
          <w:t>iii</w:t>
        </w:r>
        <w:r w:rsidRPr="003D53CE">
          <w:rPr>
            <w:rFonts w:ascii="Cambria" w:hAnsi="Cambria"/>
            <w:noProof/>
            <w:sz w:val="20"/>
          </w:rPr>
          <w:fldChar w:fldCharType="end"/>
        </w:r>
      </w:p>
    </w:sdtContent>
  </w:sdt>
  <w:p w14:paraId="65434E09" w14:textId="77777777" w:rsidR="00033040" w:rsidRDefault="00033040" w:rsidP="00833B8B">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29B94" w14:textId="77777777" w:rsidR="00993E6F" w:rsidRDefault="00993E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892508"/>
      <w:docPartObj>
        <w:docPartGallery w:val="Page Numbers (Bottom of Page)"/>
        <w:docPartUnique/>
      </w:docPartObj>
    </w:sdtPr>
    <w:sdtEndPr/>
    <w:sdtContent>
      <w:p w14:paraId="775D9176" w14:textId="332ED39D" w:rsidR="00033040" w:rsidRDefault="00033040" w:rsidP="00737C89">
        <w:pPr>
          <w:pStyle w:val="Footer"/>
          <w:jc w:val="right"/>
        </w:pPr>
        <w:r>
          <w:rPr>
            <w:noProof/>
          </w:rPr>
          <w:fldChar w:fldCharType="begin"/>
        </w:r>
        <w:r>
          <w:rPr>
            <w:noProof/>
          </w:rPr>
          <w:instrText xml:space="preserve"> PAGE   \* MERGEFORMAT </w:instrText>
        </w:r>
        <w:r>
          <w:rPr>
            <w:noProof/>
          </w:rPr>
          <w:fldChar w:fldCharType="separate"/>
        </w:r>
        <w:r w:rsidR="00993E6F">
          <w:rPr>
            <w:noProof/>
          </w:rPr>
          <w:t>7</w:t>
        </w:r>
        <w:r>
          <w:rPr>
            <w:noProof/>
          </w:rPr>
          <w:fldChar w:fldCharType="end"/>
        </w:r>
      </w:p>
    </w:sdtContent>
  </w:sdt>
  <w:p w14:paraId="5BA24B82" w14:textId="77777777" w:rsidR="00033040" w:rsidRDefault="000330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27948"/>
      <w:docPartObj>
        <w:docPartGallery w:val="Page Numbers (Bottom of Page)"/>
        <w:docPartUnique/>
      </w:docPartObj>
    </w:sdtPr>
    <w:sdtEndPr/>
    <w:sdtContent>
      <w:p w14:paraId="7EF276E8" w14:textId="089D0AD1" w:rsidR="00033040" w:rsidRDefault="00033040" w:rsidP="0096046F">
        <w:pPr>
          <w:pStyle w:val="Footer"/>
          <w:jc w:val="right"/>
        </w:pPr>
        <w:r>
          <w:rPr>
            <w:noProof/>
          </w:rPr>
          <w:fldChar w:fldCharType="begin"/>
        </w:r>
        <w:r>
          <w:rPr>
            <w:noProof/>
          </w:rPr>
          <w:instrText xml:space="preserve"> PAGE   \* MERGEFORMAT </w:instrText>
        </w:r>
        <w:r>
          <w:rPr>
            <w:noProof/>
          </w:rPr>
          <w:fldChar w:fldCharType="separate"/>
        </w:r>
        <w:r w:rsidR="00993E6F">
          <w:rPr>
            <w:noProof/>
          </w:rPr>
          <w:t>39</w:t>
        </w:r>
        <w:r>
          <w:rPr>
            <w:noProof/>
          </w:rPr>
          <w:fldChar w:fldCharType="end"/>
        </w:r>
      </w:p>
    </w:sdtContent>
  </w:sdt>
  <w:p w14:paraId="36C8AF13" w14:textId="77777777" w:rsidR="00033040" w:rsidRDefault="000330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172011"/>
      <w:docPartObj>
        <w:docPartGallery w:val="Page Numbers (Bottom of Page)"/>
        <w:docPartUnique/>
      </w:docPartObj>
    </w:sdtPr>
    <w:sdtEndPr>
      <w:rPr>
        <w:noProof/>
      </w:rPr>
    </w:sdtEndPr>
    <w:sdtContent>
      <w:p w14:paraId="7E0E09BB" w14:textId="77777777" w:rsidR="00033040" w:rsidRDefault="00033040" w:rsidP="0032704B">
        <w:pPr>
          <w:pStyle w:val="Footer"/>
        </w:pPr>
        <w:r>
          <w:fldChar w:fldCharType="begin"/>
        </w:r>
        <w:r>
          <w:instrText xml:space="preserve"> PAGE   \* MERGEFORMAT </w:instrText>
        </w:r>
        <w:r>
          <w:fldChar w:fldCharType="separate"/>
        </w:r>
        <w:r>
          <w:rPr>
            <w:noProof/>
          </w:rPr>
          <w:t>vi</w:t>
        </w:r>
        <w:r>
          <w:rPr>
            <w:noProof/>
          </w:rPr>
          <w:fldChar w:fldCharType="end"/>
        </w:r>
      </w:p>
    </w:sdtContent>
  </w:sdt>
  <w:p w14:paraId="7B9853F9" w14:textId="77777777" w:rsidR="00033040" w:rsidRDefault="00033040" w:rsidP="0032704B"/>
  <w:p w14:paraId="1DDA8034" w14:textId="77777777" w:rsidR="00033040" w:rsidRDefault="00033040"/>
  <w:p w14:paraId="62751165" w14:textId="77777777" w:rsidR="00033040" w:rsidRDefault="0003304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481164"/>
      <w:docPartObj>
        <w:docPartGallery w:val="Page Numbers (Bottom of Page)"/>
        <w:docPartUnique/>
      </w:docPartObj>
    </w:sdtPr>
    <w:sdtEndPr/>
    <w:sdtContent>
      <w:p w14:paraId="2CDEE959" w14:textId="77777777" w:rsidR="00033040" w:rsidRPr="009920D3" w:rsidRDefault="00033040" w:rsidP="0032704B">
        <w:pPr>
          <w:pStyle w:val="Footer"/>
        </w:pPr>
        <w:r w:rsidRPr="009920D3">
          <w:fldChar w:fldCharType="begin"/>
        </w:r>
        <w:r w:rsidRPr="009920D3">
          <w:instrText xml:space="preserve"> PAGE   \* MERGEFORMAT </w:instrText>
        </w:r>
        <w:r w:rsidRPr="009920D3">
          <w:fldChar w:fldCharType="separate"/>
        </w:r>
        <w:r>
          <w:rPr>
            <w:noProof/>
          </w:rPr>
          <w:t>i</w:t>
        </w:r>
        <w:r w:rsidRPr="009920D3">
          <w:fldChar w:fldCharType="end"/>
        </w:r>
      </w:p>
    </w:sdtContent>
  </w:sdt>
  <w:p w14:paraId="7EAAC848" w14:textId="77777777" w:rsidR="00033040" w:rsidRDefault="00033040" w:rsidP="0032704B">
    <w:pPr>
      <w:pStyle w:val="Footer"/>
    </w:pPr>
  </w:p>
  <w:p w14:paraId="78D260E6" w14:textId="77777777" w:rsidR="00033040" w:rsidRDefault="00033040"/>
  <w:p w14:paraId="39DC4361" w14:textId="77777777" w:rsidR="00033040" w:rsidRDefault="000330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C05A" w14:textId="77777777" w:rsidR="00033040" w:rsidRDefault="00033040" w:rsidP="00AD0C8A">
      <w:pPr>
        <w:spacing w:after="0" w:line="240" w:lineRule="auto"/>
      </w:pPr>
      <w:r>
        <w:separator/>
      </w:r>
    </w:p>
  </w:footnote>
  <w:footnote w:type="continuationSeparator" w:id="0">
    <w:p w14:paraId="70DD7689" w14:textId="77777777" w:rsidR="00033040" w:rsidRDefault="00033040" w:rsidP="00AD0C8A">
      <w:pPr>
        <w:spacing w:after="0" w:line="240" w:lineRule="auto"/>
      </w:pPr>
      <w:r>
        <w:continuationSeparator/>
      </w:r>
    </w:p>
  </w:footnote>
  <w:footnote w:type="continuationNotice" w:id="1">
    <w:p w14:paraId="1405E5B3" w14:textId="77777777" w:rsidR="00033040" w:rsidRDefault="00033040">
      <w:pPr>
        <w:spacing w:after="0" w:line="240" w:lineRule="auto"/>
      </w:pPr>
    </w:p>
  </w:footnote>
  <w:footnote w:id="2">
    <w:p w14:paraId="3C427B46" w14:textId="77777777" w:rsidR="00033040" w:rsidRPr="005237E1" w:rsidRDefault="00033040" w:rsidP="00016249">
      <w:pPr>
        <w:pStyle w:val="FootnoteText"/>
        <w:rPr>
          <w:lang w:val="en-AU"/>
        </w:rPr>
      </w:pPr>
      <w:r>
        <w:rPr>
          <w:rStyle w:val="FootnoteReference"/>
        </w:rPr>
        <w:footnoteRef/>
      </w:r>
      <w:r>
        <w:t xml:space="preserve"> </w:t>
      </w:r>
      <w:r w:rsidRPr="00C31433">
        <w:rPr>
          <w:sz w:val="18"/>
          <w:szCs w:val="18"/>
        </w:rPr>
        <w:t>The mid-term evaluation included nine activities that had been subject to TASS’ M&amp;E assessment at the time of the evaluation (August 2018).</w:t>
      </w:r>
      <w:r>
        <w:rPr>
          <w:lang w:val="en-AU"/>
        </w:rPr>
        <w:t xml:space="preserve"> </w:t>
      </w:r>
    </w:p>
  </w:footnote>
  <w:footnote w:id="3">
    <w:p w14:paraId="5D800F1C" w14:textId="77777777" w:rsidR="00033040" w:rsidRPr="004C4B56" w:rsidRDefault="00033040" w:rsidP="00016249">
      <w:pPr>
        <w:pStyle w:val="FootnoteText"/>
        <w:rPr>
          <w:lang w:val="en-AU"/>
        </w:rPr>
      </w:pPr>
      <w:r>
        <w:rPr>
          <w:rStyle w:val="FootnoteReference"/>
        </w:rPr>
        <w:footnoteRef/>
      </w:r>
      <w:r>
        <w:t xml:space="preserve"> </w:t>
      </w:r>
      <w:r w:rsidRPr="000C107E">
        <w:rPr>
          <w:sz w:val="18"/>
          <w:szCs w:val="18"/>
          <w:lang w:val="en-AU"/>
        </w:rPr>
        <w:t>Intermediate and End of Facility Outcomes as per the TASS program logic</w:t>
      </w:r>
    </w:p>
  </w:footnote>
  <w:footnote w:id="4">
    <w:p w14:paraId="7621B520" w14:textId="096FD0DB" w:rsidR="00033040" w:rsidRPr="004F401E" w:rsidRDefault="00033040">
      <w:pPr>
        <w:pStyle w:val="FootnoteText"/>
        <w:rPr>
          <w:lang w:val="en-AU"/>
        </w:rPr>
      </w:pPr>
      <w:r>
        <w:rPr>
          <w:rStyle w:val="FootnoteReference"/>
        </w:rPr>
        <w:footnoteRef/>
      </w:r>
      <w:r>
        <w:t xml:space="preserve"> </w:t>
      </w:r>
      <w:r w:rsidRPr="004F401E">
        <w:rPr>
          <w:sz w:val="18"/>
          <w:szCs w:val="18"/>
          <w:lang w:val="en-AU"/>
        </w:rPr>
        <w:t>As the Annual Progress Report also fulfils TASS quarterly reporting obligations, the Annual Progress Report necessarily covers 13 months’ implementation (i.e. January to December 2018, and January 2019 which is when quarterly reporting would next fall due).</w:t>
      </w:r>
    </w:p>
  </w:footnote>
  <w:footnote w:id="5">
    <w:p w14:paraId="062E7DEC" w14:textId="77777777" w:rsidR="00033040" w:rsidRPr="00BA2997" w:rsidRDefault="00033040">
      <w:pPr>
        <w:pStyle w:val="FootnoteText"/>
        <w:rPr>
          <w:lang w:val="en-AU"/>
        </w:rPr>
      </w:pPr>
      <w:r>
        <w:rPr>
          <w:rStyle w:val="FootnoteReference"/>
        </w:rPr>
        <w:footnoteRef/>
      </w:r>
      <w:r>
        <w:t xml:space="preserve"> </w:t>
      </w:r>
      <w:r>
        <w:rPr>
          <w:lang w:val="en-AU"/>
        </w:rPr>
        <w:t>To be implemented in 2019</w:t>
      </w:r>
    </w:p>
  </w:footnote>
  <w:footnote w:id="6">
    <w:p w14:paraId="40A16C6C" w14:textId="77777777" w:rsidR="00033040" w:rsidRPr="00BA2997" w:rsidRDefault="00033040">
      <w:pPr>
        <w:pStyle w:val="FootnoteText"/>
        <w:rPr>
          <w:lang w:val="en-AU"/>
        </w:rPr>
      </w:pPr>
      <w:r>
        <w:rPr>
          <w:rStyle w:val="FootnoteReference"/>
        </w:rPr>
        <w:footnoteRef/>
      </w:r>
      <w:r>
        <w:t xml:space="preserve"> </w:t>
      </w:r>
      <w:r>
        <w:rPr>
          <w:lang w:val="en-AU"/>
        </w:rPr>
        <w:t>With the term of the current Board expiring in April 2019, it was agreed with MoEC that TASS would initiate support to a revision of National Education Standards in the second half of 2019.</w:t>
      </w:r>
    </w:p>
  </w:footnote>
  <w:footnote w:id="7">
    <w:p w14:paraId="1C827BB9" w14:textId="401D6F4D" w:rsidR="00033040" w:rsidRPr="00534131" w:rsidRDefault="00033040" w:rsidP="00534131">
      <w:pPr>
        <w:pStyle w:val="Body"/>
        <w:spacing w:before="0" w:after="0"/>
        <w:rPr>
          <w:sz w:val="18"/>
          <w:szCs w:val="18"/>
        </w:rPr>
      </w:pPr>
      <w:r>
        <w:rPr>
          <w:rStyle w:val="FootnoteReference"/>
        </w:rPr>
        <w:footnoteRef/>
      </w:r>
      <w:r>
        <w:t xml:space="preserve"> </w:t>
      </w:r>
      <w:r w:rsidRPr="00534131">
        <w:rPr>
          <w:sz w:val="18"/>
          <w:szCs w:val="18"/>
        </w:rPr>
        <w:t>The two indicators are average PISA scores, and the proportion of students meeting minimum performance benchmarks at grade 2/3, end of primary, and end of lower secondary.</w:t>
      </w:r>
    </w:p>
    <w:p w14:paraId="205D1057" w14:textId="549B21D1" w:rsidR="00033040" w:rsidRPr="00534131" w:rsidRDefault="00033040">
      <w:pPr>
        <w:pStyle w:val="FootnoteText"/>
        <w:rPr>
          <w:lang w:val="en-AU"/>
        </w:rPr>
      </w:pPr>
    </w:p>
  </w:footnote>
  <w:footnote w:id="8">
    <w:p w14:paraId="4E197132" w14:textId="77777777" w:rsidR="00033040" w:rsidRPr="00C41FF4" w:rsidRDefault="00033040" w:rsidP="00FE6F3E">
      <w:pPr>
        <w:pStyle w:val="FootnoteText"/>
        <w:rPr>
          <w:lang w:val="en-AU"/>
        </w:rPr>
      </w:pPr>
      <w:r>
        <w:rPr>
          <w:rStyle w:val="FootnoteReference"/>
        </w:rPr>
        <w:footnoteRef/>
      </w:r>
      <w:r>
        <w:t xml:space="preserve"> </w:t>
      </w:r>
      <w:r w:rsidRPr="00E77259">
        <w:rPr>
          <w:sz w:val="18"/>
          <w:szCs w:val="18"/>
          <w:lang w:val="en-AU"/>
        </w:rPr>
        <w:t>Approximately 40% of Indonesia’s madrasah are located in East Java; as such, it is critical that CPD can be implemented successfully in this province.</w:t>
      </w:r>
    </w:p>
  </w:footnote>
  <w:footnote w:id="9">
    <w:p w14:paraId="465E1991" w14:textId="312A1D3A" w:rsidR="00033040" w:rsidRPr="007131FA" w:rsidRDefault="00033040" w:rsidP="00B07BE7">
      <w:pPr>
        <w:pStyle w:val="FootnoteText"/>
        <w:rPr>
          <w:sz w:val="18"/>
          <w:szCs w:val="18"/>
          <w:lang w:val="en-AU"/>
        </w:rPr>
      </w:pPr>
      <w:r>
        <w:rPr>
          <w:rStyle w:val="FootnoteReference"/>
        </w:rPr>
        <w:footnoteRef/>
      </w:r>
      <w:r>
        <w:t xml:space="preserve"> </w:t>
      </w:r>
      <w:r w:rsidRPr="007131FA">
        <w:rPr>
          <w:sz w:val="18"/>
          <w:szCs w:val="18"/>
          <w:lang w:bidi="en-US"/>
        </w:rPr>
        <w:t xml:space="preserve">This report does not </w:t>
      </w:r>
      <w:r w:rsidRPr="007131FA">
        <w:rPr>
          <w:sz w:val="18"/>
          <w:szCs w:val="18"/>
          <w:lang w:val="en-AU"/>
        </w:rPr>
        <w:t>include reporting against the DFAT Education Sector Investment Plan (ESIP) Performance Assessment Framework (PAF). At the time of writing data was being collected to report against the January 2019 issued ESIP PAF. Results will be reported in May 2019 through the ESIP PAF results workbook process.</w:t>
      </w:r>
    </w:p>
  </w:footnote>
  <w:footnote w:id="10">
    <w:p w14:paraId="7EF8EEDE" w14:textId="529C74FB" w:rsidR="00033040" w:rsidRPr="00502C5D" w:rsidRDefault="00033040">
      <w:pPr>
        <w:pStyle w:val="FootnoteText"/>
        <w:rPr>
          <w:lang w:val="en-AU"/>
        </w:rPr>
      </w:pPr>
      <w:r>
        <w:rPr>
          <w:rStyle w:val="FootnoteReference"/>
        </w:rPr>
        <w:footnoteRef/>
      </w:r>
      <w:r>
        <w:t xml:space="preserve"> </w:t>
      </w:r>
      <w:r w:rsidRPr="007131FA">
        <w:rPr>
          <w:sz w:val="18"/>
          <w:szCs w:val="18"/>
          <w:lang w:val="en-AU"/>
        </w:rPr>
        <w:t>Additional information and context regarding the TASS EOFOs and IOs is available in the 14 December version of the Monitoring and Evaluation Plan.</w:t>
      </w:r>
      <w:r>
        <w:rPr>
          <w:lang w:val="en-AU"/>
        </w:rPr>
        <w:t xml:space="preserve"> </w:t>
      </w:r>
    </w:p>
  </w:footnote>
  <w:footnote w:id="11">
    <w:p w14:paraId="040CDE73" w14:textId="3A808260" w:rsidR="00033040" w:rsidRPr="00AE2B97" w:rsidRDefault="00033040" w:rsidP="00502D28">
      <w:pPr>
        <w:pStyle w:val="FootnoteText"/>
        <w:rPr>
          <w:sz w:val="18"/>
          <w:szCs w:val="18"/>
          <w:lang w:val="en-AU"/>
        </w:rPr>
      </w:pPr>
      <w:r w:rsidRPr="00502D28">
        <w:rPr>
          <w:rStyle w:val="FootnoteReference"/>
        </w:rPr>
        <w:footnoteRef/>
      </w:r>
      <w:r w:rsidRPr="00502D28">
        <w:t xml:space="preserve"> </w:t>
      </w:r>
      <w:r w:rsidRPr="00AE2B97">
        <w:rPr>
          <w:sz w:val="18"/>
          <w:szCs w:val="18"/>
          <w:lang w:val="en-AU"/>
        </w:rPr>
        <w:t>Of 16 GoI activities managed or under development in 2018, three were monitored in 2017 (as they were carried over from 2017); nine were monitored in 2018, and three were not sufficiently progressed for monitoring but will be monitored in 2019, and one was not monitored due to the small scale of the activity.</w:t>
      </w:r>
    </w:p>
  </w:footnote>
  <w:footnote w:id="12">
    <w:p w14:paraId="3BAB8B3C" w14:textId="77777777" w:rsidR="00033040" w:rsidRDefault="00033040" w:rsidP="00513028">
      <w:pPr>
        <w:keepNext/>
        <w:keepLines/>
        <w:jc w:val="both"/>
        <w:rPr>
          <w:rFonts w:ascii="Cambria" w:hAnsi="Cambria"/>
        </w:rPr>
      </w:pPr>
      <w:r>
        <w:rPr>
          <w:rStyle w:val="FootnoteReference"/>
        </w:rPr>
        <w:footnoteRef/>
      </w:r>
      <w:r>
        <w:t xml:space="preserve"> </w:t>
      </w:r>
      <w:r w:rsidRPr="00C252C1">
        <w:rPr>
          <w:rFonts w:ascii="Cambria" w:hAnsi="Cambria"/>
          <w:sz w:val="18"/>
          <w:szCs w:val="18"/>
        </w:rPr>
        <w:t>Assessment against the EOFO is more circumspect than assessment at the lower levels of the results framework because they are much longer-term and subject to many other factors outside TASS’ sphere of control or influence. Monitoring seeks to identify early trends only, so EOFO assessments are indicative rather than definitive.</w:t>
      </w:r>
      <w:r w:rsidRPr="006C04C6">
        <w:rPr>
          <w:rFonts w:ascii="Cambria" w:hAnsi="Cambria"/>
        </w:rPr>
        <w:t xml:space="preserve"> </w:t>
      </w:r>
    </w:p>
    <w:p w14:paraId="69D5FFF2" w14:textId="20B0DA18" w:rsidR="00033040" w:rsidRPr="00C252C1" w:rsidRDefault="00033040">
      <w:pPr>
        <w:pStyle w:val="FootnoteText"/>
        <w:rPr>
          <w:lang w:val="en-AU"/>
        </w:rPr>
      </w:pPr>
    </w:p>
  </w:footnote>
  <w:footnote w:id="13">
    <w:p w14:paraId="35954EB1" w14:textId="77777777" w:rsidR="00033040" w:rsidRPr="005726F7" w:rsidRDefault="00033040" w:rsidP="00A93502">
      <w:pPr>
        <w:pStyle w:val="FootnoteText"/>
      </w:pPr>
      <w:r>
        <w:rPr>
          <w:rStyle w:val="FootnoteReference"/>
        </w:rPr>
        <w:footnoteRef/>
      </w:r>
      <w:r>
        <w:t xml:space="preserve"> It is too soon for one of the </w:t>
      </w:r>
      <w:r w:rsidRPr="00502D28">
        <w:t>activities (IDTAS</w:t>
      </w:r>
      <w:r>
        <w:t xml:space="preserve">-G011, G018, G021 Education Sector Review and Preparation for RPJMN 2020-2024 Phases 1, 2 and 3) to have achieved its instrumental use outcome, so this assessment is made against only seven activities. </w:t>
      </w:r>
    </w:p>
  </w:footnote>
  <w:footnote w:id="14">
    <w:p w14:paraId="3BF8BF35" w14:textId="77777777" w:rsidR="00033040" w:rsidRPr="00A368CC" w:rsidRDefault="00033040" w:rsidP="00A93502">
      <w:pPr>
        <w:pStyle w:val="FootnoteText"/>
        <w:rPr>
          <w:lang w:val="en-AU"/>
        </w:rPr>
      </w:pPr>
      <w:r w:rsidRPr="00502D28">
        <w:rPr>
          <w:rStyle w:val="FootnoteReference"/>
        </w:rPr>
        <w:footnoteRef/>
      </w:r>
      <w:r w:rsidRPr="00502D28">
        <w:t xml:space="preserve"> The four criteria are: the extent of outcomes; strength of other influencing factors; presence of strong or weak counterfactual; and demonstrated additionality.</w:t>
      </w:r>
    </w:p>
  </w:footnote>
  <w:footnote w:id="15">
    <w:p w14:paraId="50CC251A" w14:textId="77777777" w:rsidR="00033040" w:rsidRPr="006B1034" w:rsidRDefault="00033040" w:rsidP="00A93502">
      <w:pPr>
        <w:pStyle w:val="FootnoteText"/>
        <w:rPr>
          <w:sz w:val="18"/>
          <w:szCs w:val="18"/>
        </w:rPr>
      </w:pPr>
      <w:r>
        <w:rPr>
          <w:rStyle w:val="FootnoteReference"/>
        </w:rPr>
        <w:footnoteRef/>
      </w:r>
      <w:r>
        <w:t xml:space="preserve"> </w:t>
      </w:r>
      <w:r w:rsidRPr="006B1034">
        <w:rPr>
          <w:sz w:val="18"/>
          <w:szCs w:val="18"/>
        </w:rPr>
        <w:t xml:space="preserve">TASS 2018 Monitoring and Evaluation Report, GoI respondent #1. </w:t>
      </w:r>
    </w:p>
  </w:footnote>
  <w:footnote w:id="16">
    <w:p w14:paraId="42B82FE9" w14:textId="77777777" w:rsidR="00033040" w:rsidRPr="006B1034" w:rsidRDefault="00033040" w:rsidP="00A93502">
      <w:pPr>
        <w:pStyle w:val="FootnoteText"/>
        <w:rPr>
          <w:sz w:val="18"/>
          <w:szCs w:val="18"/>
        </w:rPr>
      </w:pPr>
      <w:r>
        <w:rPr>
          <w:rStyle w:val="FootnoteReference"/>
        </w:rPr>
        <w:footnoteRef/>
      </w:r>
      <w:r>
        <w:t xml:space="preserve"> </w:t>
      </w:r>
      <w:r w:rsidRPr="006B1034">
        <w:rPr>
          <w:sz w:val="18"/>
          <w:szCs w:val="18"/>
        </w:rPr>
        <w:t xml:space="preserve">GoI respondent #2. </w:t>
      </w:r>
    </w:p>
  </w:footnote>
  <w:footnote w:id="17">
    <w:p w14:paraId="2F12D2D7" w14:textId="77777777" w:rsidR="00033040" w:rsidRDefault="00033040" w:rsidP="00A93502">
      <w:pPr>
        <w:pStyle w:val="FootnoteText"/>
      </w:pPr>
      <w:r>
        <w:rPr>
          <w:rStyle w:val="FootnoteReference"/>
        </w:rPr>
        <w:footnoteRef/>
      </w:r>
      <w:r>
        <w:t xml:space="preserve"> </w:t>
      </w:r>
      <w:r w:rsidRPr="006B1034">
        <w:rPr>
          <w:sz w:val="18"/>
          <w:szCs w:val="18"/>
        </w:rPr>
        <w:t>GoI respondent #4.</w:t>
      </w:r>
      <w:r>
        <w:t xml:space="preserve"> </w:t>
      </w:r>
    </w:p>
  </w:footnote>
  <w:footnote w:id="18">
    <w:p w14:paraId="002F49BE" w14:textId="77777777" w:rsidR="00033040" w:rsidRPr="006B1034" w:rsidRDefault="00033040" w:rsidP="00A93502">
      <w:pPr>
        <w:pStyle w:val="FootnoteText"/>
        <w:rPr>
          <w:sz w:val="18"/>
          <w:szCs w:val="18"/>
        </w:rPr>
      </w:pPr>
      <w:r>
        <w:rPr>
          <w:rStyle w:val="FootnoteReference"/>
        </w:rPr>
        <w:footnoteRef/>
      </w:r>
      <w:r>
        <w:t xml:space="preserve"> </w:t>
      </w:r>
      <w:r w:rsidRPr="006B1034">
        <w:rPr>
          <w:sz w:val="18"/>
          <w:szCs w:val="18"/>
        </w:rPr>
        <w:t xml:space="preserve">GoI respondent #12. </w:t>
      </w:r>
    </w:p>
  </w:footnote>
  <w:footnote w:id="19">
    <w:p w14:paraId="312CA403" w14:textId="77777777" w:rsidR="00033040" w:rsidRDefault="00033040" w:rsidP="00A93502">
      <w:pPr>
        <w:pStyle w:val="FootnoteText"/>
      </w:pPr>
      <w:r>
        <w:rPr>
          <w:rStyle w:val="FootnoteReference"/>
        </w:rPr>
        <w:footnoteRef/>
      </w:r>
      <w:r>
        <w:t xml:space="preserve"> </w:t>
      </w:r>
      <w:r w:rsidRPr="006B1034">
        <w:rPr>
          <w:sz w:val="18"/>
          <w:szCs w:val="18"/>
        </w:rPr>
        <w:t>GoI respondent #1.</w:t>
      </w:r>
      <w:r>
        <w:t xml:space="preserve"> </w:t>
      </w:r>
    </w:p>
  </w:footnote>
  <w:footnote w:id="20">
    <w:p w14:paraId="6D4A3DD9" w14:textId="77777777" w:rsidR="00033040" w:rsidRPr="00F026A0" w:rsidRDefault="00033040">
      <w:pPr>
        <w:pStyle w:val="FootnoteText"/>
        <w:rPr>
          <w:lang w:val="en-AU"/>
        </w:rPr>
      </w:pPr>
      <w:r>
        <w:rPr>
          <w:rStyle w:val="FootnoteReference"/>
        </w:rPr>
        <w:footnoteRef/>
      </w:r>
      <w:r>
        <w:t xml:space="preserve"> </w:t>
      </w:r>
      <w:r w:rsidRPr="006B1034">
        <w:rPr>
          <w:sz w:val="18"/>
          <w:szCs w:val="18"/>
          <w:lang w:val="en-AU"/>
        </w:rPr>
        <w:t>Submitted in January 2019</w:t>
      </w:r>
    </w:p>
  </w:footnote>
  <w:footnote w:id="21">
    <w:p w14:paraId="543391B6" w14:textId="77777777" w:rsidR="00033040" w:rsidRPr="00CA3C92" w:rsidRDefault="00033040">
      <w:pPr>
        <w:pStyle w:val="FootnoteText"/>
        <w:rPr>
          <w:lang w:val="en-AU"/>
        </w:rPr>
      </w:pPr>
      <w:r>
        <w:rPr>
          <w:rStyle w:val="FootnoteReference"/>
        </w:rPr>
        <w:footnoteRef/>
      </w:r>
      <w:r>
        <w:t xml:space="preserve"> </w:t>
      </w:r>
      <w:r w:rsidRPr="006B1034">
        <w:rPr>
          <w:sz w:val="18"/>
          <w:szCs w:val="18"/>
          <w:lang w:val="en-AU"/>
        </w:rPr>
        <w:t>Challenges in implementation of the activity resulted in a postponement of the GESI advisor’s inputs to this activity; this will be a focus in completion of the activity in early 2019.</w:t>
      </w:r>
    </w:p>
  </w:footnote>
  <w:footnote w:id="22">
    <w:p w14:paraId="5969D1E6" w14:textId="77777777" w:rsidR="00033040" w:rsidRPr="00D7395A" w:rsidRDefault="00033040">
      <w:pPr>
        <w:pStyle w:val="FootnoteText"/>
        <w:rPr>
          <w:lang w:val="en-AU"/>
        </w:rPr>
      </w:pPr>
      <w:r>
        <w:rPr>
          <w:rStyle w:val="FootnoteReference"/>
        </w:rPr>
        <w:footnoteRef/>
      </w:r>
      <w:r>
        <w:t xml:space="preserve"> </w:t>
      </w:r>
      <w:r w:rsidRPr="006B1034">
        <w:rPr>
          <w:sz w:val="18"/>
          <w:szCs w:val="18"/>
          <w:lang w:val="en-AU"/>
        </w:rPr>
        <w:t>The role of the (international) Gender and Disability specialist had included disability from the first appointment in 2017; this had been a minor element of the specialist’s work and was largely focused on supporting the analytical capacity of the (national) disability specialist.</w:t>
      </w:r>
    </w:p>
  </w:footnote>
  <w:footnote w:id="23">
    <w:p w14:paraId="4BA65C24" w14:textId="77777777" w:rsidR="00033040" w:rsidRPr="00FD7193" w:rsidRDefault="00033040">
      <w:pPr>
        <w:pStyle w:val="FootnoteText"/>
        <w:rPr>
          <w:lang w:val="en-AU"/>
        </w:rPr>
      </w:pPr>
      <w:r>
        <w:rPr>
          <w:rStyle w:val="FootnoteReference"/>
        </w:rPr>
        <w:footnoteRef/>
      </w:r>
      <w:r>
        <w:t xml:space="preserve"> </w:t>
      </w:r>
      <w:r w:rsidRPr="006B1034">
        <w:rPr>
          <w:sz w:val="18"/>
          <w:szCs w:val="18"/>
          <w:lang w:val="en-AU"/>
        </w:rPr>
        <w:t>The INOVASI Subsidiary Arrangement was amended to include TASS; as it is not technically a legal document, the Steering Committee decree has taken longer to amend as it has a lesser sense of urgency than the Subsidiary Arrangement.</w:t>
      </w:r>
      <w:r>
        <w:rPr>
          <w:lang w:val="en-AU"/>
        </w:rPr>
        <w:t xml:space="preserve"> </w:t>
      </w:r>
    </w:p>
  </w:footnote>
  <w:footnote w:id="24">
    <w:p w14:paraId="60D16978" w14:textId="31CF5799" w:rsidR="00033040" w:rsidRPr="005A6321" w:rsidRDefault="00033040" w:rsidP="005237E1">
      <w:pPr>
        <w:pStyle w:val="FootnoteText"/>
        <w:rPr>
          <w:sz w:val="18"/>
          <w:szCs w:val="18"/>
          <w:lang w:val="en-AU"/>
        </w:rPr>
      </w:pPr>
      <w:r>
        <w:rPr>
          <w:rStyle w:val="FootnoteReference"/>
        </w:rPr>
        <w:footnoteRef/>
      </w:r>
      <w:r>
        <w:t xml:space="preserve"> </w:t>
      </w:r>
      <w:r w:rsidRPr="005A6321">
        <w:rPr>
          <w:sz w:val="18"/>
          <w:szCs w:val="18"/>
        </w:rPr>
        <w:t>The mid-term evaluation included nine activities that had been subject to TASS’ M&amp;E assessment at the time of the evaluation (August 2018).</w:t>
      </w:r>
      <w:r w:rsidRPr="005A6321">
        <w:rPr>
          <w:sz w:val="18"/>
          <w:szCs w:val="18"/>
          <w:lang w:val="en-AU"/>
        </w:rPr>
        <w:t xml:space="preserve"> </w:t>
      </w:r>
    </w:p>
  </w:footnote>
  <w:footnote w:id="25">
    <w:p w14:paraId="6257354D" w14:textId="77777777" w:rsidR="00033040" w:rsidRPr="000E1A4A" w:rsidRDefault="00033040" w:rsidP="00D402A3">
      <w:pPr>
        <w:pStyle w:val="FootnoteText"/>
      </w:pPr>
      <w:r>
        <w:rPr>
          <w:rStyle w:val="FootnoteReference"/>
        </w:rPr>
        <w:footnoteRef/>
      </w:r>
      <w:r>
        <w:t xml:space="preserve"> </w:t>
      </w:r>
      <w:r w:rsidRPr="005A6321">
        <w:rPr>
          <w:sz w:val="18"/>
          <w:szCs w:val="18"/>
        </w:rPr>
        <w:t>Interview with Facility Director, review of screening tool reports, and comment made by DFAT consultant to the Aid Quality assessment review.</w:t>
      </w:r>
      <w:r>
        <w:t xml:space="preserve"> </w:t>
      </w:r>
    </w:p>
  </w:footnote>
  <w:footnote w:id="26">
    <w:p w14:paraId="46A4B11A" w14:textId="77777777" w:rsidR="00033040" w:rsidRPr="005A6321" w:rsidRDefault="00033040" w:rsidP="00D402A3">
      <w:pPr>
        <w:pStyle w:val="FootnoteText"/>
        <w:rPr>
          <w:sz w:val="18"/>
          <w:szCs w:val="18"/>
        </w:rPr>
      </w:pPr>
      <w:r>
        <w:rPr>
          <w:rStyle w:val="FootnoteReference"/>
        </w:rPr>
        <w:footnoteRef/>
      </w:r>
      <w:r>
        <w:t xml:space="preserve"> </w:t>
      </w:r>
      <w:r w:rsidRPr="005A6321">
        <w:rPr>
          <w:sz w:val="18"/>
          <w:szCs w:val="18"/>
        </w:rPr>
        <w:t xml:space="preserve">GoI respondent #2. </w:t>
      </w:r>
    </w:p>
  </w:footnote>
  <w:footnote w:id="27">
    <w:p w14:paraId="372AFC07" w14:textId="77777777" w:rsidR="00033040" w:rsidRPr="00A644A2" w:rsidRDefault="00033040" w:rsidP="00D402A3">
      <w:pPr>
        <w:pStyle w:val="FootnoteText"/>
      </w:pPr>
      <w:r>
        <w:rPr>
          <w:rStyle w:val="FootnoteReference"/>
        </w:rPr>
        <w:footnoteRef/>
      </w:r>
      <w:r>
        <w:t xml:space="preserve"> </w:t>
      </w:r>
      <w:r w:rsidRPr="005A6321">
        <w:rPr>
          <w:sz w:val="18"/>
          <w:szCs w:val="18"/>
        </w:rPr>
        <w:t xml:space="preserve">GoI respondent #4. </w:t>
      </w:r>
    </w:p>
  </w:footnote>
  <w:footnote w:id="28">
    <w:p w14:paraId="65BC49F0" w14:textId="49977CD3" w:rsidR="00033040" w:rsidRPr="00AF4B75" w:rsidRDefault="00033040">
      <w:pPr>
        <w:pStyle w:val="FootnoteText"/>
        <w:rPr>
          <w:lang w:val="en-AU"/>
        </w:rPr>
      </w:pPr>
      <w:r>
        <w:rPr>
          <w:rStyle w:val="FootnoteReference"/>
        </w:rPr>
        <w:footnoteRef/>
      </w:r>
      <w:r>
        <w:t xml:space="preserve"> </w:t>
      </w:r>
      <w:r>
        <w:rPr>
          <w:lang w:val="en-AU"/>
        </w:rPr>
        <w:t xml:space="preserve">An example of this approach was in TASS support to MoRA’s CPD system, where an opportunity to influence that appointment of a key counterpart resulted in the selection of a strong partner with similar objectives to the STA team. That is, commitment to TA support being provided in ways that build the capacity of MoRA to lead and manage their own program, and not be reliant on external technical assistance. </w:t>
      </w:r>
    </w:p>
  </w:footnote>
  <w:footnote w:id="29">
    <w:p w14:paraId="6F6604A3" w14:textId="77777777" w:rsidR="00033040" w:rsidRPr="00AB686B" w:rsidRDefault="00033040" w:rsidP="00AB686B">
      <w:pPr>
        <w:pStyle w:val="FootnoteText"/>
        <w:rPr>
          <w:lang w:val="en-AU"/>
        </w:rPr>
      </w:pPr>
      <w:r>
        <w:rPr>
          <w:rStyle w:val="FootnoteReference"/>
        </w:rPr>
        <w:footnoteRef/>
      </w:r>
      <w:r>
        <w:t xml:space="preserve"> </w:t>
      </w:r>
      <w:r w:rsidRPr="005A6321">
        <w:rPr>
          <w:sz w:val="18"/>
          <w:szCs w:val="18"/>
          <w:lang w:val="en-AU"/>
        </w:rPr>
        <w:t>The budget for this second activity manager becomes available in the 2019-20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83C3" w14:textId="77777777" w:rsidR="00993E6F" w:rsidRDefault="00993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DE1C" w14:textId="77777777" w:rsidR="00993E6F" w:rsidRDefault="00993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0505" w14:textId="77777777" w:rsidR="00033040" w:rsidRDefault="00033040"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67886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ullet four[1]"/>
      </v:shape>
    </w:pict>
  </w:numPicBullet>
  <w:abstractNum w:abstractNumId="0" w15:restartNumberingAfterBreak="0">
    <w:nsid w:val="FFFFFF89"/>
    <w:multiLevelType w:val="singleLevel"/>
    <w:tmpl w:val="374E3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B5B33"/>
    <w:multiLevelType w:val="hybridMultilevel"/>
    <w:tmpl w:val="2A0A2DA0"/>
    <w:lvl w:ilvl="0" w:tplc="9DDECF24">
      <w:start w:val="1"/>
      <w:numFmt w:val="decimal"/>
      <w:lvlText w:val="%1."/>
      <w:lvlJc w:val="left"/>
      <w:pPr>
        <w:tabs>
          <w:tab w:val="num" w:pos="720"/>
        </w:tabs>
        <w:ind w:left="720" w:hanging="360"/>
      </w:pPr>
    </w:lvl>
    <w:lvl w:ilvl="1" w:tplc="2B2CC68A" w:tentative="1">
      <w:start w:val="1"/>
      <w:numFmt w:val="decimal"/>
      <w:lvlText w:val="%2."/>
      <w:lvlJc w:val="left"/>
      <w:pPr>
        <w:tabs>
          <w:tab w:val="num" w:pos="1440"/>
        </w:tabs>
        <w:ind w:left="1440" w:hanging="360"/>
      </w:pPr>
    </w:lvl>
    <w:lvl w:ilvl="2" w:tplc="2E8AF1AE" w:tentative="1">
      <w:start w:val="1"/>
      <w:numFmt w:val="decimal"/>
      <w:lvlText w:val="%3."/>
      <w:lvlJc w:val="left"/>
      <w:pPr>
        <w:tabs>
          <w:tab w:val="num" w:pos="2160"/>
        </w:tabs>
        <w:ind w:left="2160" w:hanging="360"/>
      </w:pPr>
    </w:lvl>
    <w:lvl w:ilvl="3" w:tplc="66FEB788" w:tentative="1">
      <w:start w:val="1"/>
      <w:numFmt w:val="decimal"/>
      <w:lvlText w:val="%4."/>
      <w:lvlJc w:val="left"/>
      <w:pPr>
        <w:tabs>
          <w:tab w:val="num" w:pos="2880"/>
        </w:tabs>
        <w:ind w:left="2880" w:hanging="360"/>
      </w:pPr>
    </w:lvl>
    <w:lvl w:ilvl="4" w:tplc="7648075E" w:tentative="1">
      <w:start w:val="1"/>
      <w:numFmt w:val="decimal"/>
      <w:lvlText w:val="%5."/>
      <w:lvlJc w:val="left"/>
      <w:pPr>
        <w:tabs>
          <w:tab w:val="num" w:pos="3600"/>
        </w:tabs>
        <w:ind w:left="3600" w:hanging="360"/>
      </w:pPr>
    </w:lvl>
    <w:lvl w:ilvl="5" w:tplc="E0FA7CAA" w:tentative="1">
      <w:start w:val="1"/>
      <w:numFmt w:val="decimal"/>
      <w:lvlText w:val="%6."/>
      <w:lvlJc w:val="left"/>
      <w:pPr>
        <w:tabs>
          <w:tab w:val="num" w:pos="4320"/>
        </w:tabs>
        <w:ind w:left="4320" w:hanging="360"/>
      </w:pPr>
    </w:lvl>
    <w:lvl w:ilvl="6" w:tplc="1102EC2C" w:tentative="1">
      <w:start w:val="1"/>
      <w:numFmt w:val="decimal"/>
      <w:lvlText w:val="%7."/>
      <w:lvlJc w:val="left"/>
      <w:pPr>
        <w:tabs>
          <w:tab w:val="num" w:pos="5040"/>
        </w:tabs>
        <w:ind w:left="5040" w:hanging="360"/>
      </w:pPr>
    </w:lvl>
    <w:lvl w:ilvl="7" w:tplc="E0F4827A" w:tentative="1">
      <w:start w:val="1"/>
      <w:numFmt w:val="decimal"/>
      <w:lvlText w:val="%8."/>
      <w:lvlJc w:val="left"/>
      <w:pPr>
        <w:tabs>
          <w:tab w:val="num" w:pos="5760"/>
        </w:tabs>
        <w:ind w:left="5760" w:hanging="360"/>
      </w:pPr>
    </w:lvl>
    <w:lvl w:ilvl="8" w:tplc="283E18CA" w:tentative="1">
      <w:start w:val="1"/>
      <w:numFmt w:val="decimal"/>
      <w:lvlText w:val="%9."/>
      <w:lvlJc w:val="left"/>
      <w:pPr>
        <w:tabs>
          <w:tab w:val="num" w:pos="6480"/>
        </w:tabs>
        <w:ind w:left="6480" w:hanging="360"/>
      </w:pPr>
    </w:lvl>
  </w:abstractNum>
  <w:abstractNum w:abstractNumId="2"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4F81BD"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3" w15:restartNumberingAfterBreak="0">
    <w:nsid w:val="13D629BB"/>
    <w:multiLevelType w:val="hybridMultilevel"/>
    <w:tmpl w:val="F1B2E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6" w15:restartNumberingAfterBreak="0">
    <w:nsid w:val="21B02507"/>
    <w:multiLevelType w:val="hybridMultilevel"/>
    <w:tmpl w:val="8374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46BB4"/>
    <w:multiLevelType w:val="multilevel"/>
    <w:tmpl w:val="D9088196"/>
    <w:numStyleLink w:val="HeadList1"/>
  </w:abstractNum>
  <w:abstractNum w:abstractNumId="8" w15:restartNumberingAfterBreak="0">
    <w:nsid w:val="29CA5BF8"/>
    <w:multiLevelType w:val="multilevel"/>
    <w:tmpl w:val="AEB25142"/>
    <w:styleLink w:val="HeadList21"/>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9" w15:restartNumberingAfterBreak="0">
    <w:nsid w:val="2A9302B2"/>
    <w:multiLevelType w:val="hybridMultilevel"/>
    <w:tmpl w:val="6246977A"/>
    <w:lvl w:ilvl="0" w:tplc="BC5232DE">
      <w:start w:val="1"/>
      <w:numFmt w:val="decimal"/>
      <w:pStyle w:val="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1B5165"/>
    <w:multiLevelType w:val="hybridMultilevel"/>
    <w:tmpl w:val="A5402BAE"/>
    <w:lvl w:ilvl="0" w:tplc="2E34EA28">
      <w:start w:val="1"/>
      <w:numFmt w:val="bullet"/>
      <w:pStyle w:val="Bullet1"/>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3464997"/>
    <w:multiLevelType w:val="hybridMultilevel"/>
    <w:tmpl w:val="D3B42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67067"/>
    <w:multiLevelType w:val="hybridMultilevel"/>
    <w:tmpl w:val="ECD6504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A1B6A3A"/>
    <w:multiLevelType w:val="hybridMultilevel"/>
    <w:tmpl w:val="161A3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A568B8"/>
    <w:multiLevelType w:val="hybridMultilevel"/>
    <w:tmpl w:val="5EE6F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A7AD7"/>
    <w:multiLevelType w:val="hybridMultilevel"/>
    <w:tmpl w:val="C7A0E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87566D"/>
    <w:multiLevelType w:val="hybridMultilevel"/>
    <w:tmpl w:val="9B6A9C84"/>
    <w:lvl w:ilvl="0" w:tplc="B96CEE54">
      <w:start w:val="1"/>
      <w:numFmt w:val="bullet"/>
      <w:pStyle w:val="BulletedList"/>
      <w:lvlText w:val=""/>
      <w:lvlPicBulletId w:val="0"/>
      <w:lvlJc w:val="left"/>
      <w:pPr>
        <w:ind w:left="360" w:hanging="360"/>
      </w:pPr>
      <w:rPr>
        <w:rFonts w:ascii="Symbol" w:hAnsi="Symbol" w:hint="default"/>
        <w:color w:val="auto"/>
      </w:rPr>
    </w:lvl>
    <w:lvl w:ilvl="1" w:tplc="9B5A4944">
      <w:start w:val="1"/>
      <w:numFmt w:val="bullet"/>
      <w:lvlText w:val="o"/>
      <w:lvlJc w:val="left"/>
      <w:pPr>
        <w:ind w:left="1440" w:hanging="360"/>
      </w:pPr>
      <w:rPr>
        <w:rFonts w:ascii="Courier New" w:hAnsi="Courier New" w:cs="Courier New" w:hint="default"/>
      </w:rPr>
    </w:lvl>
    <w:lvl w:ilvl="2" w:tplc="27D8E48C">
      <w:start w:val="1"/>
      <w:numFmt w:val="bullet"/>
      <w:lvlText w:val=""/>
      <w:lvlJc w:val="left"/>
      <w:pPr>
        <w:ind w:left="2160" w:hanging="360"/>
      </w:pPr>
      <w:rPr>
        <w:rFonts w:ascii="Wingdings" w:hAnsi="Wingdings" w:hint="default"/>
      </w:rPr>
    </w:lvl>
    <w:lvl w:ilvl="3" w:tplc="656417CE">
      <w:start w:val="1"/>
      <w:numFmt w:val="bullet"/>
      <w:lvlText w:val=""/>
      <w:lvlJc w:val="left"/>
      <w:pPr>
        <w:ind w:left="2880" w:hanging="360"/>
      </w:pPr>
      <w:rPr>
        <w:rFonts w:ascii="Symbol" w:hAnsi="Symbol" w:hint="default"/>
      </w:rPr>
    </w:lvl>
    <w:lvl w:ilvl="4" w:tplc="BAB6500C" w:tentative="1">
      <w:start w:val="1"/>
      <w:numFmt w:val="bullet"/>
      <w:lvlText w:val="o"/>
      <w:lvlJc w:val="left"/>
      <w:pPr>
        <w:ind w:left="3600" w:hanging="360"/>
      </w:pPr>
      <w:rPr>
        <w:rFonts w:ascii="Courier New" w:hAnsi="Courier New" w:cs="Courier New" w:hint="default"/>
      </w:rPr>
    </w:lvl>
    <w:lvl w:ilvl="5" w:tplc="72CC7BCA" w:tentative="1">
      <w:start w:val="1"/>
      <w:numFmt w:val="bullet"/>
      <w:lvlText w:val=""/>
      <w:lvlJc w:val="left"/>
      <w:pPr>
        <w:ind w:left="4320" w:hanging="360"/>
      </w:pPr>
      <w:rPr>
        <w:rFonts w:ascii="Wingdings" w:hAnsi="Wingdings" w:hint="default"/>
      </w:rPr>
    </w:lvl>
    <w:lvl w:ilvl="6" w:tplc="7DACA44E" w:tentative="1">
      <w:start w:val="1"/>
      <w:numFmt w:val="bullet"/>
      <w:lvlText w:val=""/>
      <w:lvlJc w:val="left"/>
      <w:pPr>
        <w:ind w:left="5040" w:hanging="360"/>
      </w:pPr>
      <w:rPr>
        <w:rFonts w:ascii="Symbol" w:hAnsi="Symbol" w:hint="default"/>
      </w:rPr>
    </w:lvl>
    <w:lvl w:ilvl="7" w:tplc="C1B0FD6A" w:tentative="1">
      <w:start w:val="1"/>
      <w:numFmt w:val="bullet"/>
      <w:lvlText w:val="o"/>
      <w:lvlJc w:val="left"/>
      <w:pPr>
        <w:ind w:left="5760" w:hanging="360"/>
      </w:pPr>
      <w:rPr>
        <w:rFonts w:ascii="Courier New" w:hAnsi="Courier New" w:cs="Courier New" w:hint="default"/>
      </w:rPr>
    </w:lvl>
    <w:lvl w:ilvl="8" w:tplc="86E46652" w:tentative="1">
      <w:start w:val="1"/>
      <w:numFmt w:val="bullet"/>
      <w:lvlText w:val=""/>
      <w:lvlJc w:val="left"/>
      <w:pPr>
        <w:ind w:left="6480" w:hanging="360"/>
      </w:pPr>
      <w:rPr>
        <w:rFonts w:ascii="Wingdings" w:hAnsi="Wingdings" w:hint="default"/>
      </w:rPr>
    </w:lvl>
  </w:abstractNum>
  <w:abstractNum w:abstractNumId="17" w15:restartNumberingAfterBreak="0">
    <w:nsid w:val="48B7638C"/>
    <w:multiLevelType w:val="hybridMultilevel"/>
    <w:tmpl w:val="78CEE65A"/>
    <w:lvl w:ilvl="0" w:tplc="EEE44D58">
      <w:start w:val="1"/>
      <w:numFmt w:val="decimal"/>
      <w:lvlText w:val="%1."/>
      <w:lvlJc w:val="left"/>
      <w:pPr>
        <w:ind w:left="393" w:hanging="360"/>
      </w:pPr>
      <w:rPr>
        <w:rFonts w:hint="default"/>
        <w:b w:val="0"/>
        <w:i w:val="0"/>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8" w15:restartNumberingAfterBreak="0">
    <w:nsid w:val="4DE8122D"/>
    <w:multiLevelType w:val="hybridMultilevel"/>
    <w:tmpl w:val="01F0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12840"/>
    <w:multiLevelType w:val="hybridMultilevel"/>
    <w:tmpl w:val="D43A60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3157B2"/>
    <w:multiLevelType w:val="multilevel"/>
    <w:tmpl w:val="D8C2485A"/>
    <w:lvl w:ilvl="0">
      <w:start w:val="1"/>
      <w:numFmt w:val="decimal"/>
      <w:pStyle w:val="Head1"/>
      <w:lvlText w:val="%1."/>
      <w:lvlJc w:val="left"/>
      <w:pPr>
        <w:tabs>
          <w:tab w:val="num" w:pos="0"/>
        </w:tabs>
        <w:ind w:left="0" w:firstLine="0"/>
      </w:pPr>
      <w:rPr>
        <w:rFonts w:ascii="Arial" w:hAnsi="Arial" w:hint="default"/>
        <w:b/>
        <w:i w:val="0"/>
        <w:color w:val="002060"/>
        <w:sz w:val="40"/>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1" w15:restartNumberingAfterBreak="0">
    <w:nsid w:val="57995AAF"/>
    <w:multiLevelType w:val="multilevel"/>
    <w:tmpl w:val="D9088196"/>
    <w:styleLink w:val="HeadList1"/>
    <w:lvl w:ilvl="0">
      <w:start w:val="1"/>
      <w:numFmt w:val="decimal"/>
      <w:pStyle w:val="CHAPTERTITLE"/>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2"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D8740E"/>
    <w:multiLevelType w:val="hybridMultilevel"/>
    <w:tmpl w:val="17DA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541AFA"/>
    <w:multiLevelType w:val="hybridMultilevel"/>
    <w:tmpl w:val="0324C9C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6" w15:restartNumberingAfterBreak="0">
    <w:nsid w:val="67957B33"/>
    <w:multiLevelType w:val="hybridMultilevel"/>
    <w:tmpl w:val="86CE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C8465E"/>
    <w:multiLevelType w:val="hybridMultilevel"/>
    <w:tmpl w:val="78CEE65A"/>
    <w:lvl w:ilvl="0" w:tplc="EEE44D58">
      <w:start w:val="1"/>
      <w:numFmt w:val="decimal"/>
      <w:lvlText w:val="%1."/>
      <w:lvlJc w:val="left"/>
      <w:pPr>
        <w:ind w:left="393" w:hanging="360"/>
      </w:pPr>
      <w:rPr>
        <w:rFonts w:hint="default"/>
        <w:b w:val="0"/>
        <w:i w:val="0"/>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8" w15:restartNumberingAfterBreak="0">
    <w:nsid w:val="73B420A1"/>
    <w:multiLevelType w:val="hybridMultilevel"/>
    <w:tmpl w:val="993C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C40EA6"/>
    <w:multiLevelType w:val="multilevel"/>
    <w:tmpl w:val="520AC7B8"/>
    <w:lvl w:ilvl="0">
      <w:start w:val="1"/>
      <w:numFmt w:val="decimal"/>
      <w:lvlText w:val="%1."/>
      <w:lvlJc w:val="left"/>
      <w:pPr>
        <w:tabs>
          <w:tab w:val="num" w:pos="720"/>
        </w:tabs>
        <w:ind w:left="720" w:hanging="720"/>
      </w:pPr>
    </w:lvl>
    <w:lvl w:ilvl="1">
      <w:start w:val="1"/>
      <w:numFmt w:val="decimal"/>
      <w:pStyle w:val="Styl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7E20E3"/>
    <w:multiLevelType w:val="multilevel"/>
    <w:tmpl w:val="E996DDA6"/>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pStyle w:val="SubChapterTitle"/>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31" w15:restartNumberingAfterBreak="0">
    <w:nsid w:val="79E77612"/>
    <w:multiLevelType w:val="hybridMultilevel"/>
    <w:tmpl w:val="BF56DA2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180B28"/>
    <w:multiLevelType w:val="hybridMultilevel"/>
    <w:tmpl w:val="353EDEE6"/>
    <w:lvl w:ilvl="0" w:tplc="B532BC3C">
      <w:start w:val="1"/>
      <w:numFmt w:val="decimal"/>
      <w:pStyle w:val="Numberedbulle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3"/>
  </w:num>
  <w:num w:numId="3">
    <w:abstractNumId w:val="2"/>
  </w:num>
  <w:num w:numId="4">
    <w:abstractNumId w:val="8"/>
  </w:num>
  <w:num w:numId="5">
    <w:abstractNumId w:val="21"/>
  </w:num>
  <w:num w:numId="6">
    <w:abstractNumId w:val="20"/>
  </w:num>
  <w:num w:numId="7">
    <w:abstractNumId w:val="25"/>
  </w:num>
  <w:num w:numId="8">
    <w:abstractNumId w:val="5"/>
  </w:num>
  <w:num w:numId="9">
    <w:abstractNumId w:val="4"/>
  </w:num>
  <w:num w:numId="10">
    <w:abstractNumId w:val="0"/>
  </w:num>
  <w:num w:numId="11">
    <w:abstractNumId w:val="10"/>
  </w:num>
  <w:num w:numId="12">
    <w:abstractNumId w:val="9"/>
  </w:num>
  <w:num w:numId="13">
    <w:abstractNumId w:val="7"/>
    <w:lvlOverride w:ilvl="0">
      <w:lvl w:ilvl="0">
        <w:start w:val="1"/>
        <w:numFmt w:val="decimal"/>
        <w:pStyle w:val="CHAPTERTITLE"/>
        <w:lvlText w:val="%1."/>
        <w:lvlJc w:val="left"/>
        <w:pPr>
          <w:tabs>
            <w:tab w:val="num" w:pos="1418"/>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abstractNumId w:val="30"/>
  </w:num>
  <w:num w:numId="15">
    <w:abstractNumId w:val="32"/>
  </w:num>
  <w:num w:numId="16">
    <w:abstractNumId w:val="16"/>
  </w:num>
  <w:num w:numId="17">
    <w:abstractNumId w:val="29"/>
  </w:num>
  <w:num w:numId="18">
    <w:abstractNumId w:val="26"/>
  </w:num>
  <w:num w:numId="19">
    <w:abstractNumId w:val="1"/>
  </w:num>
  <w:num w:numId="20">
    <w:abstractNumId w:val="17"/>
  </w:num>
  <w:num w:numId="21">
    <w:abstractNumId w:val="27"/>
  </w:num>
  <w:num w:numId="22">
    <w:abstractNumId w:val="18"/>
  </w:num>
  <w:num w:numId="23">
    <w:abstractNumId w:val="19"/>
  </w:num>
  <w:num w:numId="24">
    <w:abstractNumId w:val="6"/>
  </w:num>
  <w:num w:numId="25">
    <w:abstractNumId w:val="31"/>
  </w:num>
  <w:num w:numId="26">
    <w:abstractNumId w:val="28"/>
  </w:num>
  <w:num w:numId="27">
    <w:abstractNumId w:val="24"/>
  </w:num>
  <w:num w:numId="28">
    <w:abstractNumId w:val="11"/>
  </w:num>
  <w:num w:numId="29">
    <w:abstractNumId w:val="14"/>
  </w:num>
  <w:num w:numId="30">
    <w:abstractNumId w:val="3"/>
  </w:num>
  <w:num w:numId="31">
    <w:abstractNumId w:val="13"/>
  </w:num>
  <w:num w:numId="32">
    <w:abstractNumId w:val="23"/>
  </w:num>
  <w:num w:numId="33">
    <w:abstractNumId w:val="12"/>
  </w:num>
  <w:num w:numId="34">
    <w:abstractNumId w:val="15"/>
  </w:num>
  <w:num w:numId="35">
    <w:abstractNumId w:val="20"/>
  </w:num>
  <w:num w:numId="36">
    <w:abstractNumId w:val="20"/>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Style1"/>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A5"/>
    <w:rsid w:val="00001D3B"/>
    <w:rsid w:val="00002671"/>
    <w:rsid w:val="00004250"/>
    <w:rsid w:val="0000567C"/>
    <w:rsid w:val="000064C5"/>
    <w:rsid w:val="00006A7A"/>
    <w:rsid w:val="00007C00"/>
    <w:rsid w:val="00012712"/>
    <w:rsid w:val="00012917"/>
    <w:rsid w:val="00016249"/>
    <w:rsid w:val="0001753F"/>
    <w:rsid w:val="0002016C"/>
    <w:rsid w:val="000239CF"/>
    <w:rsid w:val="000244A6"/>
    <w:rsid w:val="00024AC1"/>
    <w:rsid w:val="000273CB"/>
    <w:rsid w:val="00033040"/>
    <w:rsid w:val="0003402C"/>
    <w:rsid w:val="000367F9"/>
    <w:rsid w:val="00037D68"/>
    <w:rsid w:val="00042C73"/>
    <w:rsid w:val="00043FAA"/>
    <w:rsid w:val="00044279"/>
    <w:rsid w:val="00047536"/>
    <w:rsid w:val="000525DF"/>
    <w:rsid w:val="00052BEF"/>
    <w:rsid w:val="00052D31"/>
    <w:rsid w:val="00054963"/>
    <w:rsid w:val="00054CF3"/>
    <w:rsid w:val="00056D3D"/>
    <w:rsid w:val="0006416B"/>
    <w:rsid w:val="00073174"/>
    <w:rsid w:val="00077BFB"/>
    <w:rsid w:val="0008014C"/>
    <w:rsid w:val="000804DE"/>
    <w:rsid w:val="000968A5"/>
    <w:rsid w:val="00097C17"/>
    <w:rsid w:val="00097D7F"/>
    <w:rsid w:val="000A2F4C"/>
    <w:rsid w:val="000B255D"/>
    <w:rsid w:val="000B37BF"/>
    <w:rsid w:val="000B67AC"/>
    <w:rsid w:val="000B70F6"/>
    <w:rsid w:val="000C04F4"/>
    <w:rsid w:val="000C5CD7"/>
    <w:rsid w:val="000D0500"/>
    <w:rsid w:val="000D5CC7"/>
    <w:rsid w:val="000E6B1F"/>
    <w:rsid w:val="000F1B0C"/>
    <w:rsid w:val="000F1DB1"/>
    <w:rsid w:val="000F3A54"/>
    <w:rsid w:val="000F74BF"/>
    <w:rsid w:val="00104225"/>
    <w:rsid w:val="00106529"/>
    <w:rsid w:val="00106BE4"/>
    <w:rsid w:val="001076BC"/>
    <w:rsid w:val="0010775B"/>
    <w:rsid w:val="00112349"/>
    <w:rsid w:val="00115C8C"/>
    <w:rsid w:val="00120C69"/>
    <w:rsid w:val="00122C19"/>
    <w:rsid w:val="00125299"/>
    <w:rsid w:val="0012724D"/>
    <w:rsid w:val="001303DF"/>
    <w:rsid w:val="001303F8"/>
    <w:rsid w:val="00131375"/>
    <w:rsid w:val="00132E0E"/>
    <w:rsid w:val="00133D4B"/>
    <w:rsid w:val="001346F6"/>
    <w:rsid w:val="00142AAF"/>
    <w:rsid w:val="00142DF6"/>
    <w:rsid w:val="001434C1"/>
    <w:rsid w:val="00146A50"/>
    <w:rsid w:val="00147288"/>
    <w:rsid w:val="001476B9"/>
    <w:rsid w:val="0015140B"/>
    <w:rsid w:val="00152286"/>
    <w:rsid w:val="00155011"/>
    <w:rsid w:val="001604D9"/>
    <w:rsid w:val="00164077"/>
    <w:rsid w:val="001656B0"/>
    <w:rsid w:val="00165E7E"/>
    <w:rsid w:val="00167F93"/>
    <w:rsid w:val="0018026A"/>
    <w:rsid w:val="00180A7D"/>
    <w:rsid w:val="001814B8"/>
    <w:rsid w:val="00183117"/>
    <w:rsid w:val="00186FED"/>
    <w:rsid w:val="00190227"/>
    <w:rsid w:val="00190AD9"/>
    <w:rsid w:val="00191974"/>
    <w:rsid w:val="001921DB"/>
    <w:rsid w:val="00194667"/>
    <w:rsid w:val="00195125"/>
    <w:rsid w:val="0019655D"/>
    <w:rsid w:val="00196A76"/>
    <w:rsid w:val="001A1449"/>
    <w:rsid w:val="001A7F84"/>
    <w:rsid w:val="001B1396"/>
    <w:rsid w:val="001B2FAB"/>
    <w:rsid w:val="001B3BA4"/>
    <w:rsid w:val="001B6BD7"/>
    <w:rsid w:val="001B7C52"/>
    <w:rsid w:val="001C42FF"/>
    <w:rsid w:val="001C5A03"/>
    <w:rsid w:val="001C78CA"/>
    <w:rsid w:val="001D00D0"/>
    <w:rsid w:val="001D4592"/>
    <w:rsid w:val="001D4D45"/>
    <w:rsid w:val="001D638A"/>
    <w:rsid w:val="001E3043"/>
    <w:rsid w:val="001E4C46"/>
    <w:rsid w:val="001E69C0"/>
    <w:rsid w:val="001E71F4"/>
    <w:rsid w:val="001F71AE"/>
    <w:rsid w:val="001F71FB"/>
    <w:rsid w:val="0020019F"/>
    <w:rsid w:val="00200EF5"/>
    <w:rsid w:val="00203D57"/>
    <w:rsid w:val="00210752"/>
    <w:rsid w:val="0021262D"/>
    <w:rsid w:val="0021329E"/>
    <w:rsid w:val="00214EBE"/>
    <w:rsid w:val="00216D15"/>
    <w:rsid w:val="002234FB"/>
    <w:rsid w:val="00224B2E"/>
    <w:rsid w:val="00227222"/>
    <w:rsid w:val="00233D41"/>
    <w:rsid w:val="002437A5"/>
    <w:rsid w:val="00246A9E"/>
    <w:rsid w:val="00251A3D"/>
    <w:rsid w:val="002567EF"/>
    <w:rsid w:val="00264F67"/>
    <w:rsid w:val="002703DB"/>
    <w:rsid w:val="00275BE0"/>
    <w:rsid w:val="00276714"/>
    <w:rsid w:val="002769E2"/>
    <w:rsid w:val="0027748D"/>
    <w:rsid w:val="00281910"/>
    <w:rsid w:val="00283377"/>
    <w:rsid w:val="00285133"/>
    <w:rsid w:val="002854D3"/>
    <w:rsid w:val="00290F5B"/>
    <w:rsid w:val="002915AE"/>
    <w:rsid w:val="002A3549"/>
    <w:rsid w:val="002B594D"/>
    <w:rsid w:val="002B5F23"/>
    <w:rsid w:val="002B6885"/>
    <w:rsid w:val="002B7920"/>
    <w:rsid w:val="002C05DB"/>
    <w:rsid w:val="002C1C7E"/>
    <w:rsid w:val="002C396A"/>
    <w:rsid w:val="002D0959"/>
    <w:rsid w:val="002D2056"/>
    <w:rsid w:val="002D2CBF"/>
    <w:rsid w:val="002D3342"/>
    <w:rsid w:val="002D7A0C"/>
    <w:rsid w:val="002E1E06"/>
    <w:rsid w:val="002E4151"/>
    <w:rsid w:val="002E5399"/>
    <w:rsid w:val="002E7D10"/>
    <w:rsid w:val="00306A0D"/>
    <w:rsid w:val="003106BE"/>
    <w:rsid w:val="00311602"/>
    <w:rsid w:val="00312897"/>
    <w:rsid w:val="00317FC9"/>
    <w:rsid w:val="00323B5E"/>
    <w:rsid w:val="00325F30"/>
    <w:rsid w:val="00326200"/>
    <w:rsid w:val="0032704B"/>
    <w:rsid w:val="003314B4"/>
    <w:rsid w:val="00333BB0"/>
    <w:rsid w:val="00335106"/>
    <w:rsid w:val="003373C8"/>
    <w:rsid w:val="003434F7"/>
    <w:rsid w:val="00345784"/>
    <w:rsid w:val="00353B22"/>
    <w:rsid w:val="00353BB3"/>
    <w:rsid w:val="00371430"/>
    <w:rsid w:val="00374051"/>
    <w:rsid w:val="003767F4"/>
    <w:rsid w:val="003832C3"/>
    <w:rsid w:val="00385785"/>
    <w:rsid w:val="003866BF"/>
    <w:rsid w:val="00393463"/>
    <w:rsid w:val="00395057"/>
    <w:rsid w:val="00397801"/>
    <w:rsid w:val="003A02F7"/>
    <w:rsid w:val="003A0DA0"/>
    <w:rsid w:val="003A18E2"/>
    <w:rsid w:val="003A2937"/>
    <w:rsid w:val="003A3C9A"/>
    <w:rsid w:val="003A7D89"/>
    <w:rsid w:val="003B165C"/>
    <w:rsid w:val="003B1DB0"/>
    <w:rsid w:val="003B7FE3"/>
    <w:rsid w:val="003C0B84"/>
    <w:rsid w:val="003C1B1E"/>
    <w:rsid w:val="003D054E"/>
    <w:rsid w:val="003D3D50"/>
    <w:rsid w:val="003D53CE"/>
    <w:rsid w:val="003E0882"/>
    <w:rsid w:val="003E4CF0"/>
    <w:rsid w:val="003E620D"/>
    <w:rsid w:val="003E6228"/>
    <w:rsid w:val="003E7C10"/>
    <w:rsid w:val="003E7C4C"/>
    <w:rsid w:val="003F207B"/>
    <w:rsid w:val="003F5178"/>
    <w:rsid w:val="003F57AA"/>
    <w:rsid w:val="004044A6"/>
    <w:rsid w:val="00410A4E"/>
    <w:rsid w:val="00411082"/>
    <w:rsid w:val="00413968"/>
    <w:rsid w:val="00413C1B"/>
    <w:rsid w:val="00414A01"/>
    <w:rsid w:val="004165F0"/>
    <w:rsid w:val="004216E6"/>
    <w:rsid w:val="00423192"/>
    <w:rsid w:val="00423D45"/>
    <w:rsid w:val="004320B1"/>
    <w:rsid w:val="00433154"/>
    <w:rsid w:val="00434183"/>
    <w:rsid w:val="00435CCD"/>
    <w:rsid w:val="00440DDA"/>
    <w:rsid w:val="0044124A"/>
    <w:rsid w:val="00441954"/>
    <w:rsid w:val="00447C9C"/>
    <w:rsid w:val="00452E28"/>
    <w:rsid w:val="004537E9"/>
    <w:rsid w:val="00457159"/>
    <w:rsid w:val="004572CA"/>
    <w:rsid w:val="00457D27"/>
    <w:rsid w:val="00462FC7"/>
    <w:rsid w:val="004639B7"/>
    <w:rsid w:val="00464AB2"/>
    <w:rsid w:val="00471742"/>
    <w:rsid w:val="00474DFB"/>
    <w:rsid w:val="00481227"/>
    <w:rsid w:val="0048151E"/>
    <w:rsid w:val="00490934"/>
    <w:rsid w:val="00491082"/>
    <w:rsid w:val="00492E01"/>
    <w:rsid w:val="004949AA"/>
    <w:rsid w:val="004A090E"/>
    <w:rsid w:val="004A1B7B"/>
    <w:rsid w:val="004A4B44"/>
    <w:rsid w:val="004B277A"/>
    <w:rsid w:val="004B2904"/>
    <w:rsid w:val="004B5992"/>
    <w:rsid w:val="004C305F"/>
    <w:rsid w:val="004C6DD8"/>
    <w:rsid w:val="004C70F0"/>
    <w:rsid w:val="004D210A"/>
    <w:rsid w:val="004D21D1"/>
    <w:rsid w:val="004D3667"/>
    <w:rsid w:val="004D422D"/>
    <w:rsid w:val="004E21C5"/>
    <w:rsid w:val="004E7355"/>
    <w:rsid w:val="004E7823"/>
    <w:rsid w:val="004F0BDA"/>
    <w:rsid w:val="004F401E"/>
    <w:rsid w:val="004F61A8"/>
    <w:rsid w:val="0050235E"/>
    <w:rsid w:val="00502C5D"/>
    <w:rsid w:val="00502D28"/>
    <w:rsid w:val="005048E2"/>
    <w:rsid w:val="00505CCA"/>
    <w:rsid w:val="005069C3"/>
    <w:rsid w:val="00512511"/>
    <w:rsid w:val="00513028"/>
    <w:rsid w:val="00515549"/>
    <w:rsid w:val="00515553"/>
    <w:rsid w:val="0051655B"/>
    <w:rsid w:val="00517B77"/>
    <w:rsid w:val="00520445"/>
    <w:rsid w:val="005224DC"/>
    <w:rsid w:val="005237E1"/>
    <w:rsid w:val="00524149"/>
    <w:rsid w:val="0052788C"/>
    <w:rsid w:val="00530A49"/>
    <w:rsid w:val="005331E7"/>
    <w:rsid w:val="00534131"/>
    <w:rsid w:val="005353E8"/>
    <w:rsid w:val="00543C91"/>
    <w:rsid w:val="00546AE7"/>
    <w:rsid w:val="00547D86"/>
    <w:rsid w:val="00551DC1"/>
    <w:rsid w:val="0055562D"/>
    <w:rsid w:val="00557352"/>
    <w:rsid w:val="00560D76"/>
    <w:rsid w:val="00565075"/>
    <w:rsid w:val="00566593"/>
    <w:rsid w:val="0057335C"/>
    <w:rsid w:val="00573F64"/>
    <w:rsid w:val="005777F8"/>
    <w:rsid w:val="00577F3D"/>
    <w:rsid w:val="00580BAA"/>
    <w:rsid w:val="005814A7"/>
    <w:rsid w:val="00582920"/>
    <w:rsid w:val="005857A7"/>
    <w:rsid w:val="00585E9E"/>
    <w:rsid w:val="00586D21"/>
    <w:rsid w:val="00590005"/>
    <w:rsid w:val="005907FD"/>
    <w:rsid w:val="00591281"/>
    <w:rsid w:val="005A1EE4"/>
    <w:rsid w:val="005A5E49"/>
    <w:rsid w:val="005A6321"/>
    <w:rsid w:val="005A71B1"/>
    <w:rsid w:val="005B0112"/>
    <w:rsid w:val="005B0870"/>
    <w:rsid w:val="005B715F"/>
    <w:rsid w:val="005C084B"/>
    <w:rsid w:val="005C0F30"/>
    <w:rsid w:val="005C364A"/>
    <w:rsid w:val="005D0ED7"/>
    <w:rsid w:val="005D253B"/>
    <w:rsid w:val="005D4118"/>
    <w:rsid w:val="005D55F5"/>
    <w:rsid w:val="005E09D0"/>
    <w:rsid w:val="005E1774"/>
    <w:rsid w:val="005E5949"/>
    <w:rsid w:val="005E74AC"/>
    <w:rsid w:val="005E76BA"/>
    <w:rsid w:val="005E7D15"/>
    <w:rsid w:val="005E7F8E"/>
    <w:rsid w:val="005F046C"/>
    <w:rsid w:val="005F0AAA"/>
    <w:rsid w:val="005F2FC2"/>
    <w:rsid w:val="005F33B5"/>
    <w:rsid w:val="005F6E52"/>
    <w:rsid w:val="005F749A"/>
    <w:rsid w:val="005F7B9B"/>
    <w:rsid w:val="00600974"/>
    <w:rsid w:val="00603504"/>
    <w:rsid w:val="00606EE0"/>
    <w:rsid w:val="006077C3"/>
    <w:rsid w:val="00610A16"/>
    <w:rsid w:val="00610C63"/>
    <w:rsid w:val="00611264"/>
    <w:rsid w:val="006129B5"/>
    <w:rsid w:val="00616330"/>
    <w:rsid w:val="00621C6B"/>
    <w:rsid w:val="00623F99"/>
    <w:rsid w:val="00630B6B"/>
    <w:rsid w:val="00635F7D"/>
    <w:rsid w:val="0064224C"/>
    <w:rsid w:val="00644F70"/>
    <w:rsid w:val="00645D94"/>
    <w:rsid w:val="0065290A"/>
    <w:rsid w:val="0065730C"/>
    <w:rsid w:val="00660927"/>
    <w:rsid w:val="00661BE5"/>
    <w:rsid w:val="00664FB3"/>
    <w:rsid w:val="006660E5"/>
    <w:rsid w:val="006710BC"/>
    <w:rsid w:val="00671588"/>
    <w:rsid w:val="0067229C"/>
    <w:rsid w:val="00672317"/>
    <w:rsid w:val="00672E2A"/>
    <w:rsid w:val="00676DCE"/>
    <w:rsid w:val="00681997"/>
    <w:rsid w:val="0068587F"/>
    <w:rsid w:val="00690273"/>
    <w:rsid w:val="0069464E"/>
    <w:rsid w:val="0069474F"/>
    <w:rsid w:val="006956B7"/>
    <w:rsid w:val="006A49C8"/>
    <w:rsid w:val="006A5789"/>
    <w:rsid w:val="006A6607"/>
    <w:rsid w:val="006A7A4C"/>
    <w:rsid w:val="006B1034"/>
    <w:rsid w:val="006B293B"/>
    <w:rsid w:val="006B3D30"/>
    <w:rsid w:val="006B48C5"/>
    <w:rsid w:val="006B6617"/>
    <w:rsid w:val="006B7761"/>
    <w:rsid w:val="006C37DF"/>
    <w:rsid w:val="006C44FF"/>
    <w:rsid w:val="006C4CE4"/>
    <w:rsid w:val="006C4D0C"/>
    <w:rsid w:val="006C5B53"/>
    <w:rsid w:val="006D3BD8"/>
    <w:rsid w:val="006D6759"/>
    <w:rsid w:val="006D6788"/>
    <w:rsid w:val="006E14BE"/>
    <w:rsid w:val="006E4E9D"/>
    <w:rsid w:val="006E6C29"/>
    <w:rsid w:val="006E7401"/>
    <w:rsid w:val="006F0769"/>
    <w:rsid w:val="006F2DC1"/>
    <w:rsid w:val="006F48B6"/>
    <w:rsid w:val="006F4FAA"/>
    <w:rsid w:val="007003DA"/>
    <w:rsid w:val="00704385"/>
    <w:rsid w:val="00705D1A"/>
    <w:rsid w:val="00707C02"/>
    <w:rsid w:val="00711DEB"/>
    <w:rsid w:val="00712481"/>
    <w:rsid w:val="007131FA"/>
    <w:rsid w:val="00713402"/>
    <w:rsid w:val="00716467"/>
    <w:rsid w:val="007179A1"/>
    <w:rsid w:val="00717B5F"/>
    <w:rsid w:val="00720230"/>
    <w:rsid w:val="007205F3"/>
    <w:rsid w:val="00721446"/>
    <w:rsid w:val="00722205"/>
    <w:rsid w:val="00732812"/>
    <w:rsid w:val="00734E3D"/>
    <w:rsid w:val="00735101"/>
    <w:rsid w:val="00736434"/>
    <w:rsid w:val="00737C89"/>
    <w:rsid w:val="00737D2E"/>
    <w:rsid w:val="00740303"/>
    <w:rsid w:val="00746605"/>
    <w:rsid w:val="00751EC9"/>
    <w:rsid w:val="0075483B"/>
    <w:rsid w:val="00756072"/>
    <w:rsid w:val="00760075"/>
    <w:rsid w:val="0076036A"/>
    <w:rsid w:val="0076468E"/>
    <w:rsid w:val="00765CEC"/>
    <w:rsid w:val="00771EE8"/>
    <w:rsid w:val="007723AC"/>
    <w:rsid w:val="00781D80"/>
    <w:rsid w:val="00782044"/>
    <w:rsid w:val="007861F9"/>
    <w:rsid w:val="00790F3D"/>
    <w:rsid w:val="007A55D2"/>
    <w:rsid w:val="007A60C9"/>
    <w:rsid w:val="007B1092"/>
    <w:rsid w:val="007B3012"/>
    <w:rsid w:val="007B31A9"/>
    <w:rsid w:val="007B564B"/>
    <w:rsid w:val="007C1F47"/>
    <w:rsid w:val="007C26E0"/>
    <w:rsid w:val="007C5722"/>
    <w:rsid w:val="007C6836"/>
    <w:rsid w:val="007C6CDD"/>
    <w:rsid w:val="007C7C08"/>
    <w:rsid w:val="007D13ED"/>
    <w:rsid w:val="007D2BEB"/>
    <w:rsid w:val="007D610B"/>
    <w:rsid w:val="007F65BE"/>
    <w:rsid w:val="007F7120"/>
    <w:rsid w:val="007F7A40"/>
    <w:rsid w:val="00802E67"/>
    <w:rsid w:val="00803681"/>
    <w:rsid w:val="008037FA"/>
    <w:rsid w:val="0080414A"/>
    <w:rsid w:val="00805AD4"/>
    <w:rsid w:val="008075BE"/>
    <w:rsid w:val="008205D5"/>
    <w:rsid w:val="00820745"/>
    <w:rsid w:val="00821207"/>
    <w:rsid w:val="008230AB"/>
    <w:rsid w:val="008276F2"/>
    <w:rsid w:val="00833B8B"/>
    <w:rsid w:val="00837062"/>
    <w:rsid w:val="00844656"/>
    <w:rsid w:val="0084556A"/>
    <w:rsid w:val="00846C56"/>
    <w:rsid w:val="00847B8E"/>
    <w:rsid w:val="008516B2"/>
    <w:rsid w:val="00851B93"/>
    <w:rsid w:val="00864C74"/>
    <w:rsid w:val="00865F06"/>
    <w:rsid w:val="00875BB6"/>
    <w:rsid w:val="008761D3"/>
    <w:rsid w:val="00877F90"/>
    <w:rsid w:val="008802BA"/>
    <w:rsid w:val="0088266A"/>
    <w:rsid w:val="00884CA3"/>
    <w:rsid w:val="00884F57"/>
    <w:rsid w:val="00886124"/>
    <w:rsid w:val="0088658C"/>
    <w:rsid w:val="00886CB9"/>
    <w:rsid w:val="00890D6D"/>
    <w:rsid w:val="00893D8F"/>
    <w:rsid w:val="008A55B2"/>
    <w:rsid w:val="008A601D"/>
    <w:rsid w:val="008B009F"/>
    <w:rsid w:val="008B0CB9"/>
    <w:rsid w:val="008B398D"/>
    <w:rsid w:val="008B4B05"/>
    <w:rsid w:val="008C01FB"/>
    <w:rsid w:val="008C03EE"/>
    <w:rsid w:val="008C198A"/>
    <w:rsid w:val="008C28F8"/>
    <w:rsid w:val="008C2F05"/>
    <w:rsid w:val="008C3D56"/>
    <w:rsid w:val="008C4F64"/>
    <w:rsid w:val="008D1C44"/>
    <w:rsid w:val="008D202D"/>
    <w:rsid w:val="008E1005"/>
    <w:rsid w:val="008E297B"/>
    <w:rsid w:val="008E34DC"/>
    <w:rsid w:val="008E56EB"/>
    <w:rsid w:val="008E7195"/>
    <w:rsid w:val="008F17A3"/>
    <w:rsid w:val="008F41E9"/>
    <w:rsid w:val="008F4A17"/>
    <w:rsid w:val="00900DA0"/>
    <w:rsid w:val="0090104A"/>
    <w:rsid w:val="00901ED8"/>
    <w:rsid w:val="00904F16"/>
    <w:rsid w:val="00905C35"/>
    <w:rsid w:val="00906C50"/>
    <w:rsid w:val="00912A7F"/>
    <w:rsid w:val="00920ADA"/>
    <w:rsid w:val="00922107"/>
    <w:rsid w:val="00927BC0"/>
    <w:rsid w:val="0093023A"/>
    <w:rsid w:val="00930642"/>
    <w:rsid w:val="00931A0B"/>
    <w:rsid w:val="00931A69"/>
    <w:rsid w:val="00933684"/>
    <w:rsid w:val="009347B9"/>
    <w:rsid w:val="00935BF6"/>
    <w:rsid w:val="009437A3"/>
    <w:rsid w:val="009439EE"/>
    <w:rsid w:val="009443BF"/>
    <w:rsid w:val="009512AB"/>
    <w:rsid w:val="0095451E"/>
    <w:rsid w:val="00956F3E"/>
    <w:rsid w:val="0095730E"/>
    <w:rsid w:val="0096046F"/>
    <w:rsid w:val="00965B37"/>
    <w:rsid w:val="00972216"/>
    <w:rsid w:val="0097285D"/>
    <w:rsid w:val="00972F4A"/>
    <w:rsid w:val="00973610"/>
    <w:rsid w:val="009822E9"/>
    <w:rsid w:val="00982B20"/>
    <w:rsid w:val="00985AC1"/>
    <w:rsid w:val="00987070"/>
    <w:rsid w:val="00992FE5"/>
    <w:rsid w:val="00993E6F"/>
    <w:rsid w:val="00994965"/>
    <w:rsid w:val="00997484"/>
    <w:rsid w:val="009A4C94"/>
    <w:rsid w:val="009A61BC"/>
    <w:rsid w:val="009A6FF4"/>
    <w:rsid w:val="009A7C49"/>
    <w:rsid w:val="009B0D3F"/>
    <w:rsid w:val="009B0D96"/>
    <w:rsid w:val="009B1AB8"/>
    <w:rsid w:val="009B2A94"/>
    <w:rsid w:val="009B4385"/>
    <w:rsid w:val="009B458D"/>
    <w:rsid w:val="009C2F5D"/>
    <w:rsid w:val="009C472F"/>
    <w:rsid w:val="009D39A7"/>
    <w:rsid w:val="009E5070"/>
    <w:rsid w:val="009E5E7D"/>
    <w:rsid w:val="009F0EF3"/>
    <w:rsid w:val="009F6460"/>
    <w:rsid w:val="009F7DB2"/>
    <w:rsid w:val="00A00899"/>
    <w:rsid w:val="00A01179"/>
    <w:rsid w:val="00A03656"/>
    <w:rsid w:val="00A068D5"/>
    <w:rsid w:val="00A072F4"/>
    <w:rsid w:val="00A12062"/>
    <w:rsid w:val="00A13226"/>
    <w:rsid w:val="00A15EF3"/>
    <w:rsid w:val="00A16174"/>
    <w:rsid w:val="00A174D9"/>
    <w:rsid w:val="00A20EAA"/>
    <w:rsid w:val="00A21DB1"/>
    <w:rsid w:val="00A24261"/>
    <w:rsid w:val="00A26673"/>
    <w:rsid w:val="00A364C4"/>
    <w:rsid w:val="00A4554A"/>
    <w:rsid w:val="00A500B1"/>
    <w:rsid w:val="00A51509"/>
    <w:rsid w:val="00A515C6"/>
    <w:rsid w:val="00A53E9A"/>
    <w:rsid w:val="00A551F7"/>
    <w:rsid w:val="00A64374"/>
    <w:rsid w:val="00A64F05"/>
    <w:rsid w:val="00A66CC2"/>
    <w:rsid w:val="00A7369B"/>
    <w:rsid w:val="00A73774"/>
    <w:rsid w:val="00A74EE7"/>
    <w:rsid w:val="00A751BB"/>
    <w:rsid w:val="00A7595C"/>
    <w:rsid w:val="00A825B4"/>
    <w:rsid w:val="00A86A25"/>
    <w:rsid w:val="00A90DE2"/>
    <w:rsid w:val="00A93502"/>
    <w:rsid w:val="00A96E62"/>
    <w:rsid w:val="00AA3108"/>
    <w:rsid w:val="00AA4A41"/>
    <w:rsid w:val="00AB366D"/>
    <w:rsid w:val="00AB5FCE"/>
    <w:rsid w:val="00AB686B"/>
    <w:rsid w:val="00AB6AD4"/>
    <w:rsid w:val="00AD0C8A"/>
    <w:rsid w:val="00AD3DA3"/>
    <w:rsid w:val="00AD4296"/>
    <w:rsid w:val="00AE2B97"/>
    <w:rsid w:val="00AE6444"/>
    <w:rsid w:val="00AF341D"/>
    <w:rsid w:val="00AF4B75"/>
    <w:rsid w:val="00AF5AA7"/>
    <w:rsid w:val="00B07BE7"/>
    <w:rsid w:val="00B138DD"/>
    <w:rsid w:val="00B17CDF"/>
    <w:rsid w:val="00B21242"/>
    <w:rsid w:val="00B22FA6"/>
    <w:rsid w:val="00B232FD"/>
    <w:rsid w:val="00B27358"/>
    <w:rsid w:val="00B27626"/>
    <w:rsid w:val="00B27971"/>
    <w:rsid w:val="00B31AE5"/>
    <w:rsid w:val="00B35B64"/>
    <w:rsid w:val="00B37AAD"/>
    <w:rsid w:val="00B41655"/>
    <w:rsid w:val="00B416A6"/>
    <w:rsid w:val="00B418FC"/>
    <w:rsid w:val="00B42A60"/>
    <w:rsid w:val="00B43174"/>
    <w:rsid w:val="00B43812"/>
    <w:rsid w:val="00B44180"/>
    <w:rsid w:val="00B569DA"/>
    <w:rsid w:val="00B6059C"/>
    <w:rsid w:val="00B624DD"/>
    <w:rsid w:val="00B62A9A"/>
    <w:rsid w:val="00B76EE5"/>
    <w:rsid w:val="00B813D9"/>
    <w:rsid w:val="00B823F5"/>
    <w:rsid w:val="00B826F7"/>
    <w:rsid w:val="00B8490B"/>
    <w:rsid w:val="00B8546D"/>
    <w:rsid w:val="00B858DE"/>
    <w:rsid w:val="00B86803"/>
    <w:rsid w:val="00B8789D"/>
    <w:rsid w:val="00B922B4"/>
    <w:rsid w:val="00B97D73"/>
    <w:rsid w:val="00BA2997"/>
    <w:rsid w:val="00BA398E"/>
    <w:rsid w:val="00BA5AC2"/>
    <w:rsid w:val="00BA600C"/>
    <w:rsid w:val="00BA79E9"/>
    <w:rsid w:val="00BB15E5"/>
    <w:rsid w:val="00BB2788"/>
    <w:rsid w:val="00BB5B2F"/>
    <w:rsid w:val="00BB60D2"/>
    <w:rsid w:val="00BB6983"/>
    <w:rsid w:val="00BB7C6A"/>
    <w:rsid w:val="00BC2C29"/>
    <w:rsid w:val="00BC2E41"/>
    <w:rsid w:val="00BC4355"/>
    <w:rsid w:val="00BD2FC9"/>
    <w:rsid w:val="00BD3B3E"/>
    <w:rsid w:val="00BD50AB"/>
    <w:rsid w:val="00BD596D"/>
    <w:rsid w:val="00BF63A7"/>
    <w:rsid w:val="00C00EAE"/>
    <w:rsid w:val="00C04CD8"/>
    <w:rsid w:val="00C0713E"/>
    <w:rsid w:val="00C0764C"/>
    <w:rsid w:val="00C07A40"/>
    <w:rsid w:val="00C15693"/>
    <w:rsid w:val="00C2445C"/>
    <w:rsid w:val="00C252C1"/>
    <w:rsid w:val="00C252EE"/>
    <w:rsid w:val="00C25BE7"/>
    <w:rsid w:val="00C33EF8"/>
    <w:rsid w:val="00C41FF4"/>
    <w:rsid w:val="00C5279C"/>
    <w:rsid w:val="00C54096"/>
    <w:rsid w:val="00C64034"/>
    <w:rsid w:val="00C66909"/>
    <w:rsid w:val="00C67EE3"/>
    <w:rsid w:val="00C70B36"/>
    <w:rsid w:val="00C71CC7"/>
    <w:rsid w:val="00C71D32"/>
    <w:rsid w:val="00C7589C"/>
    <w:rsid w:val="00C8034C"/>
    <w:rsid w:val="00C848A3"/>
    <w:rsid w:val="00C86C38"/>
    <w:rsid w:val="00C9074F"/>
    <w:rsid w:val="00C9646E"/>
    <w:rsid w:val="00C96B3C"/>
    <w:rsid w:val="00C97B2A"/>
    <w:rsid w:val="00CA012B"/>
    <w:rsid w:val="00CA0B60"/>
    <w:rsid w:val="00CA33C7"/>
    <w:rsid w:val="00CA3C92"/>
    <w:rsid w:val="00CB1575"/>
    <w:rsid w:val="00CB5165"/>
    <w:rsid w:val="00CC07BE"/>
    <w:rsid w:val="00CC359C"/>
    <w:rsid w:val="00CD2109"/>
    <w:rsid w:val="00CD2207"/>
    <w:rsid w:val="00CD3852"/>
    <w:rsid w:val="00CE1603"/>
    <w:rsid w:val="00CE2287"/>
    <w:rsid w:val="00CE3D61"/>
    <w:rsid w:val="00CE50CB"/>
    <w:rsid w:val="00CE5DC6"/>
    <w:rsid w:val="00CE6935"/>
    <w:rsid w:val="00CE6C96"/>
    <w:rsid w:val="00CE7040"/>
    <w:rsid w:val="00CE7F97"/>
    <w:rsid w:val="00CF02F5"/>
    <w:rsid w:val="00CF2B46"/>
    <w:rsid w:val="00CF3449"/>
    <w:rsid w:val="00CF4C18"/>
    <w:rsid w:val="00CF4CE9"/>
    <w:rsid w:val="00CF605F"/>
    <w:rsid w:val="00D01796"/>
    <w:rsid w:val="00D03D45"/>
    <w:rsid w:val="00D03DA8"/>
    <w:rsid w:val="00D04848"/>
    <w:rsid w:val="00D05D7C"/>
    <w:rsid w:val="00D07298"/>
    <w:rsid w:val="00D1367C"/>
    <w:rsid w:val="00D2192E"/>
    <w:rsid w:val="00D253AD"/>
    <w:rsid w:val="00D27774"/>
    <w:rsid w:val="00D357E9"/>
    <w:rsid w:val="00D36E6D"/>
    <w:rsid w:val="00D3703B"/>
    <w:rsid w:val="00D402A3"/>
    <w:rsid w:val="00D4198D"/>
    <w:rsid w:val="00D425A5"/>
    <w:rsid w:val="00D42664"/>
    <w:rsid w:val="00D428A5"/>
    <w:rsid w:val="00D4353E"/>
    <w:rsid w:val="00D515E7"/>
    <w:rsid w:val="00D57DE0"/>
    <w:rsid w:val="00D67902"/>
    <w:rsid w:val="00D71205"/>
    <w:rsid w:val="00D71786"/>
    <w:rsid w:val="00D7395A"/>
    <w:rsid w:val="00D762B5"/>
    <w:rsid w:val="00D8204A"/>
    <w:rsid w:val="00D915AB"/>
    <w:rsid w:val="00D93248"/>
    <w:rsid w:val="00DA0FA8"/>
    <w:rsid w:val="00DA2C6A"/>
    <w:rsid w:val="00DA76FA"/>
    <w:rsid w:val="00DB129A"/>
    <w:rsid w:val="00DC3A0B"/>
    <w:rsid w:val="00DC4845"/>
    <w:rsid w:val="00DC5D43"/>
    <w:rsid w:val="00DD7E0C"/>
    <w:rsid w:val="00DE0F5C"/>
    <w:rsid w:val="00DE1857"/>
    <w:rsid w:val="00DE2301"/>
    <w:rsid w:val="00DE4EF4"/>
    <w:rsid w:val="00DE6ACC"/>
    <w:rsid w:val="00DF2946"/>
    <w:rsid w:val="00DF3907"/>
    <w:rsid w:val="00DF4306"/>
    <w:rsid w:val="00DF5453"/>
    <w:rsid w:val="00DF6A86"/>
    <w:rsid w:val="00E00D24"/>
    <w:rsid w:val="00E04271"/>
    <w:rsid w:val="00E06C3D"/>
    <w:rsid w:val="00E070A8"/>
    <w:rsid w:val="00E1198E"/>
    <w:rsid w:val="00E12325"/>
    <w:rsid w:val="00E1252C"/>
    <w:rsid w:val="00E159AD"/>
    <w:rsid w:val="00E21EF8"/>
    <w:rsid w:val="00E229A1"/>
    <w:rsid w:val="00E22D4C"/>
    <w:rsid w:val="00E263B1"/>
    <w:rsid w:val="00E30E00"/>
    <w:rsid w:val="00E318A7"/>
    <w:rsid w:val="00E361BE"/>
    <w:rsid w:val="00E36295"/>
    <w:rsid w:val="00E41B96"/>
    <w:rsid w:val="00E4296E"/>
    <w:rsid w:val="00E439C2"/>
    <w:rsid w:val="00E43B7A"/>
    <w:rsid w:val="00E43B8F"/>
    <w:rsid w:val="00E46EA3"/>
    <w:rsid w:val="00E52886"/>
    <w:rsid w:val="00E5675A"/>
    <w:rsid w:val="00E6033B"/>
    <w:rsid w:val="00E61425"/>
    <w:rsid w:val="00E64162"/>
    <w:rsid w:val="00E67F64"/>
    <w:rsid w:val="00E72976"/>
    <w:rsid w:val="00E73167"/>
    <w:rsid w:val="00E73D03"/>
    <w:rsid w:val="00E7422D"/>
    <w:rsid w:val="00E74860"/>
    <w:rsid w:val="00E7653B"/>
    <w:rsid w:val="00E77259"/>
    <w:rsid w:val="00E813C0"/>
    <w:rsid w:val="00E87C20"/>
    <w:rsid w:val="00E90D7B"/>
    <w:rsid w:val="00E947A3"/>
    <w:rsid w:val="00E97AC8"/>
    <w:rsid w:val="00EA19E9"/>
    <w:rsid w:val="00EA5490"/>
    <w:rsid w:val="00EA5CE8"/>
    <w:rsid w:val="00EA5D8A"/>
    <w:rsid w:val="00EB19C4"/>
    <w:rsid w:val="00EB2122"/>
    <w:rsid w:val="00EB22E8"/>
    <w:rsid w:val="00EB25E4"/>
    <w:rsid w:val="00EB282A"/>
    <w:rsid w:val="00EB4D76"/>
    <w:rsid w:val="00EB58AC"/>
    <w:rsid w:val="00EC16FB"/>
    <w:rsid w:val="00EC4E53"/>
    <w:rsid w:val="00EC4EA3"/>
    <w:rsid w:val="00ED296D"/>
    <w:rsid w:val="00ED4A4F"/>
    <w:rsid w:val="00ED64B5"/>
    <w:rsid w:val="00ED783D"/>
    <w:rsid w:val="00EE0870"/>
    <w:rsid w:val="00EE3F12"/>
    <w:rsid w:val="00EE502F"/>
    <w:rsid w:val="00EF185E"/>
    <w:rsid w:val="00EF206C"/>
    <w:rsid w:val="00EF402C"/>
    <w:rsid w:val="00F018BC"/>
    <w:rsid w:val="00F026A0"/>
    <w:rsid w:val="00F1065F"/>
    <w:rsid w:val="00F128BC"/>
    <w:rsid w:val="00F14C11"/>
    <w:rsid w:val="00F16B65"/>
    <w:rsid w:val="00F1739A"/>
    <w:rsid w:val="00F216C6"/>
    <w:rsid w:val="00F25783"/>
    <w:rsid w:val="00F26291"/>
    <w:rsid w:val="00F30285"/>
    <w:rsid w:val="00F30A63"/>
    <w:rsid w:val="00F30B3E"/>
    <w:rsid w:val="00F316E9"/>
    <w:rsid w:val="00F3435E"/>
    <w:rsid w:val="00F3438D"/>
    <w:rsid w:val="00F35E0F"/>
    <w:rsid w:val="00F36F78"/>
    <w:rsid w:val="00F37350"/>
    <w:rsid w:val="00F437B4"/>
    <w:rsid w:val="00F43D42"/>
    <w:rsid w:val="00F44699"/>
    <w:rsid w:val="00F47B75"/>
    <w:rsid w:val="00F572C9"/>
    <w:rsid w:val="00F62712"/>
    <w:rsid w:val="00F66495"/>
    <w:rsid w:val="00F672E2"/>
    <w:rsid w:val="00F703C5"/>
    <w:rsid w:val="00F71594"/>
    <w:rsid w:val="00F7275A"/>
    <w:rsid w:val="00F73FD5"/>
    <w:rsid w:val="00F77923"/>
    <w:rsid w:val="00F77CE7"/>
    <w:rsid w:val="00F812B1"/>
    <w:rsid w:val="00F83902"/>
    <w:rsid w:val="00F86B8E"/>
    <w:rsid w:val="00F8762B"/>
    <w:rsid w:val="00F94825"/>
    <w:rsid w:val="00F96311"/>
    <w:rsid w:val="00FA4EC8"/>
    <w:rsid w:val="00FA6F83"/>
    <w:rsid w:val="00FB382E"/>
    <w:rsid w:val="00FB3D8C"/>
    <w:rsid w:val="00FB3DB1"/>
    <w:rsid w:val="00FB5A3B"/>
    <w:rsid w:val="00FB7C45"/>
    <w:rsid w:val="00FC01B1"/>
    <w:rsid w:val="00FC16A4"/>
    <w:rsid w:val="00FC37B4"/>
    <w:rsid w:val="00FC3F98"/>
    <w:rsid w:val="00FC41FD"/>
    <w:rsid w:val="00FC4258"/>
    <w:rsid w:val="00FC48EA"/>
    <w:rsid w:val="00FC65DD"/>
    <w:rsid w:val="00FC705D"/>
    <w:rsid w:val="00FC7EEB"/>
    <w:rsid w:val="00FD07A2"/>
    <w:rsid w:val="00FD4F1B"/>
    <w:rsid w:val="00FD7193"/>
    <w:rsid w:val="00FE6F3E"/>
    <w:rsid w:val="00FE718D"/>
    <w:rsid w:val="00FE771E"/>
    <w:rsid w:val="00FF018E"/>
    <w:rsid w:val="00FF1B9C"/>
    <w:rsid w:val="00FF43EB"/>
    <w:rsid w:val="00FF61C3"/>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9F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CF0"/>
    <w:pPr>
      <w:spacing w:before="0" w:line="276" w:lineRule="auto"/>
    </w:pPr>
    <w:rPr>
      <w:rFonts w:asciiTheme="minorHAnsi" w:eastAsiaTheme="minorEastAsia" w:hAnsiTheme="minorHAnsi" w:cstheme="minorBidi"/>
      <w:sz w:val="22"/>
      <w:szCs w:val="22"/>
      <w:lang w:val="en-US" w:eastAsia="en-US" w:bidi="en-US"/>
    </w:rPr>
  </w:style>
  <w:style w:type="paragraph" w:styleId="Heading1">
    <w:name w:val="heading 1"/>
    <w:basedOn w:val="Normal"/>
    <w:next w:val="Normal"/>
    <w:link w:val="Heading1Char"/>
    <w:uiPriority w:val="9"/>
    <w:qFormat/>
    <w:locked/>
    <w:rsid w:val="004A4B44"/>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locked/>
    <w:rsid w:val="00931A0B"/>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locked/>
    <w:rsid w:val="00931A0B"/>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locked/>
    <w:rsid w:val="00931A0B"/>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FF" w:themeColor="hyperlink"/>
      <w:u w:val="single"/>
    </w:rPr>
  </w:style>
  <w:style w:type="paragraph" w:styleId="Header">
    <w:name w:val="header"/>
    <w:basedOn w:val="Normal"/>
    <w:link w:val="HeaderChar"/>
    <w:uiPriority w:val="99"/>
    <w:unhideWhenUsed/>
    <w:rsid w:val="006F48B6"/>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SubChapterTitle">
    <w:name w:val="Sub Chapter Title"/>
    <w:link w:val="SubChapterTitleChar"/>
    <w:qFormat/>
    <w:rsid w:val="002703DB"/>
    <w:pPr>
      <w:numPr>
        <w:ilvl w:val="1"/>
        <w:numId w:val="14"/>
      </w:numPr>
      <w:tabs>
        <w:tab w:val="clear" w:pos="1418"/>
        <w:tab w:val="num" w:pos="851"/>
      </w:tabs>
      <w:suppressAutoHyphens/>
      <w:outlineLvl w:val="1"/>
    </w:pPr>
    <w:rPr>
      <w:rFonts w:cs="Arial"/>
      <w:b/>
      <w:bCs/>
      <w:color w:val="002060"/>
      <w:sz w:val="24"/>
      <w:szCs w:val="26"/>
      <w:lang w:eastAsia="en-US"/>
    </w:rPr>
  </w:style>
  <w:style w:type="paragraph" w:customStyle="1" w:styleId="Head6">
    <w:name w:val="Head6"/>
    <w:link w:val="Head6Char"/>
    <w:rsid w:val="004E7355"/>
    <w:pPr>
      <w:suppressAutoHyphens/>
      <w:outlineLvl w:val="1"/>
    </w:pPr>
    <w:rPr>
      <w:rFonts w:cs="Arial"/>
      <w:b/>
      <w:bCs/>
      <w:i/>
      <w:color w:val="000000"/>
      <w:szCs w:val="22"/>
      <w:lang w:eastAsia="en-US"/>
    </w:rPr>
  </w:style>
  <w:style w:type="character" w:customStyle="1" w:styleId="SubChapterTitleChar">
    <w:name w:val="Sub Chapter Title Char"/>
    <w:link w:val="SubChapterTitle"/>
    <w:rsid w:val="002703DB"/>
    <w:rPr>
      <w:rFonts w:cs="Arial"/>
      <w:b/>
      <w:bCs/>
      <w:color w:val="002060"/>
      <w:sz w:val="24"/>
      <w:szCs w:val="26"/>
      <w:lang w:eastAsia="en-US"/>
    </w:rPr>
  </w:style>
  <w:style w:type="paragraph" w:customStyle="1" w:styleId="Summary">
    <w:name w:val="Summary"/>
    <w:link w:val="SummaryChar"/>
    <w:rsid w:val="00413968"/>
    <w:pPr>
      <w:suppressAutoHyphens/>
      <w:spacing w:before="240" w:after="240"/>
    </w:pPr>
    <w:rPr>
      <w:rFonts w:cs="Arial"/>
      <w:color w:val="4F81BD"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2A3549"/>
    <w:pPr>
      <w:suppressAutoHyphens/>
      <w:jc w:val="both"/>
    </w:pPr>
    <w:rPr>
      <w:rFonts w:ascii="Cambria" w:hAnsi="Cambria" w:cs="Arial"/>
      <w:color w:val="000000"/>
      <w:sz w:val="22"/>
      <w:szCs w:val="22"/>
      <w:lang w:eastAsia="en-US"/>
    </w:rPr>
  </w:style>
  <w:style w:type="character" w:customStyle="1" w:styleId="SummaryChar">
    <w:name w:val="Summary Char"/>
    <w:link w:val="Summary"/>
    <w:rsid w:val="00413968"/>
    <w:rPr>
      <w:rFonts w:cs="Arial"/>
      <w:color w:val="4F81BD" w:themeColor="accent1"/>
      <w:sz w:val="26"/>
      <w:szCs w:val="26"/>
      <w:lang w:eastAsia="en-US"/>
    </w:rPr>
  </w:style>
  <w:style w:type="paragraph" w:customStyle="1" w:styleId="Bullet1">
    <w:name w:val="Bullet 1"/>
    <w:basedOn w:val="ListBullet"/>
    <w:next w:val="ListBullet"/>
    <w:link w:val="Bullet1Char"/>
    <w:qFormat/>
    <w:rsid w:val="006B293B"/>
    <w:pPr>
      <w:numPr>
        <w:numId w:val="11"/>
      </w:numPr>
      <w:suppressAutoHyphens/>
    </w:pPr>
    <w:rPr>
      <w:rFonts w:ascii="Cambria" w:hAnsi="Cambria" w:cs="Arial"/>
      <w:color w:val="000000"/>
    </w:rPr>
  </w:style>
  <w:style w:type="character" w:customStyle="1" w:styleId="BodyChar">
    <w:name w:val="Body Char"/>
    <w:link w:val="Body"/>
    <w:rsid w:val="002A3549"/>
    <w:rPr>
      <w:rFonts w:ascii="Cambria" w:hAnsi="Cambria" w:cs="Arial"/>
      <w:color w:val="000000"/>
      <w:sz w:val="22"/>
      <w:szCs w:val="22"/>
      <w:lang w:eastAsia="en-US"/>
    </w:rPr>
  </w:style>
  <w:style w:type="paragraph" w:customStyle="1" w:styleId="Callouttext1">
    <w:name w:val="Call out text 1"/>
    <w:link w:val="Callouttext1Char"/>
    <w:qFormat/>
    <w:rsid w:val="00E06C3D"/>
    <w:pPr>
      <w:suppressAutoHyphens/>
    </w:pPr>
    <w:rPr>
      <w:rFonts w:cs="Arial"/>
      <w:color w:val="FFFFFF" w:themeColor="background1"/>
    </w:rPr>
  </w:style>
  <w:style w:type="character" w:customStyle="1" w:styleId="Bullet1Char">
    <w:name w:val="Bullet 1 Char"/>
    <w:link w:val="Bullet1"/>
    <w:rsid w:val="006B293B"/>
    <w:rPr>
      <w:rFonts w:ascii="Cambria" w:eastAsiaTheme="minorEastAsia" w:hAnsi="Cambria" w:cs="Arial"/>
      <w:color w:val="000000"/>
      <w:sz w:val="22"/>
      <w:szCs w:val="22"/>
      <w:lang w:val="en-US" w:eastAsia="en-US" w:bidi="en-US"/>
    </w:rPr>
  </w:style>
  <w:style w:type="paragraph" w:customStyle="1" w:styleId="Callouttext1withrule">
    <w:name w:val="Call out text 1 with rule"/>
    <w:link w:val="Callouttext1withruleChar"/>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E06C3D"/>
    <w:rPr>
      <w:rFonts w:cs="Arial"/>
      <w:color w:val="FFFFFF" w:themeColor="background1"/>
    </w:rPr>
  </w:style>
  <w:style w:type="paragraph" w:customStyle="1" w:styleId="CHAPTERTITLE">
    <w:name w:val="CHAPTER TITLE"/>
    <w:basedOn w:val="CHAPTERNUMBER"/>
    <w:link w:val="CHAPTERTITLEChar"/>
    <w:rsid w:val="002703DB"/>
    <w:pPr>
      <w:numPr>
        <w:numId w:val="13"/>
      </w:numPr>
      <w:tabs>
        <w:tab w:val="clear" w:pos="1418"/>
        <w:tab w:val="num" w:pos="851"/>
      </w:tabs>
    </w:pPr>
    <w:rPr>
      <w:rFonts w:asciiTheme="majorHAnsi" w:hAnsiTheme="majorHAnsi"/>
      <w:sz w:val="40"/>
      <w:szCs w:val="40"/>
    </w:rPr>
  </w:style>
  <w:style w:type="character" w:customStyle="1" w:styleId="Callouttext1withruleChar">
    <w:name w:val="Call out text 1 with rule Char"/>
    <w:link w:val="Callouttext1withrule"/>
    <w:rsid w:val="004E7355"/>
    <w:rPr>
      <w:rFonts w:cs="Arial"/>
      <w:color w:val="808080"/>
    </w:rPr>
  </w:style>
  <w:style w:type="paragraph" w:customStyle="1" w:styleId="CHAPTERNUMBER">
    <w:name w:val="CHAPTER NUMBER"/>
    <w:link w:val="CHAPTERNUMBERChar"/>
    <w:qFormat/>
    <w:rsid w:val="003E4CF0"/>
    <w:pPr>
      <w:suppressAutoHyphens/>
      <w:outlineLvl w:val="0"/>
    </w:pPr>
    <w:rPr>
      <w:rFonts w:cs="Arial"/>
      <w:b/>
      <w:color w:val="002060"/>
      <w:sz w:val="36"/>
    </w:rPr>
  </w:style>
  <w:style w:type="character" w:customStyle="1" w:styleId="CHAPTERTITLEChar">
    <w:name w:val="CHAPTER TITLE Char"/>
    <w:link w:val="CHAPTERTITLE"/>
    <w:rsid w:val="002703DB"/>
    <w:rPr>
      <w:rFonts w:asciiTheme="majorHAnsi" w:hAnsiTheme="majorHAnsi" w:cs="Arial"/>
      <w:b/>
      <w:color w:val="002060"/>
      <w:sz w:val="40"/>
      <w:szCs w:val="40"/>
    </w:rPr>
  </w:style>
  <w:style w:type="character" w:customStyle="1" w:styleId="CHAPTERNUMBERChar">
    <w:name w:val="CHAPTER NUMBER Char"/>
    <w:link w:val="CHAPTERNUMBER"/>
    <w:rsid w:val="003E4CF0"/>
    <w:rPr>
      <w:rFonts w:cs="Arial"/>
      <w:b/>
      <w:color w:val="002060"/>
      <w:sz w:val="36"/>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4F81BD" w:themeColor="accent1"/>
      <w:sz w:val="22"/>
      <w:szCs w:val="24"/>
    </w:rPr>
  </w:style>
  <w:style w:type="character" w:customStyle="1" w:styleId="TableheadingChar">
    <w:name w:val="Table heading Char"/>
    <w:link w:val="Tableheading"/>
    <w:rsid w:val="00413968"/>
    <w:rPr>
      <w:rFonts w:cs="Arial"/>
      <w:color w:val="4F81BD" w:themeColor="accent1"/>
      <w:sz w:val="22"/>
      <w:szCs w:val="24"/>
    </w:rPr>
  </w:style>
  <w:style w:type="paragraph" w:customStyle="1" w:styleId="Numbering">
    <w:name w:val="Numbering"/>
    <w:basedOn w:val="Body"/>
    <w:link w:val="NumberingChar"/>
    <w:qFormat/>
    <w:rsid w:val="003E4CF0"/>
    <w:pPr>
      <w:numPr>
        <w:numId w:val="12"/>
      </w:numPr>
    </w:pPr>
  </w:style>
  <w:style w:type="character" w:customStyle="1" w:styleId="NumberingChar">
    <w:name w:val="Numbering Char"/>
    <w:basedOn w:val="DefaultParagraphFont"/>
    <w:link w:val="Numbering"/>
    <w:rsid w:val="003E4CF0"/>
    <w:rPr>
      <w:rFonts w:ascii="Cambria" w:hAnsi="Cambria" w:cs="Arial"/>
      <w:color w:val="000000"/>
      <w:sz w:val="22"/>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1"/>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2"/>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rsid w:val="00560D76"/>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3"/>
      </w:numPr>
    </w:pPr>
  </w:style>
  <w:style w:type="paragraph" w:customStyle="1" w:styleId="Head1">
    <w:name w:val="Head1"/>
    <w:basedOn w:val="Heading1"/>
    <w:link w:val="Head1Char"/>
    <w:qFormat/>
    <w:rsid w:val="002703DB"/>
    <w:pPr>
      <w:numPr>
        <w:numId w:val="6"/>
      </w:numPr>
      <w:suppressAutoHyphens/>
      <w:spacing w:before="320" w:after="240"/>
    </w:pPr>
    <w:rPr>
      <w:rFonts w:ascii="Arial" w:hAnsi="Arial"/>
      <w:color w:val="002060"/>
      <w:sz w:val="40"/>
    </w:rPr>
  </w:style>
  <w:style w:type="paragraph" w:customStyle="1" w:styleId="Head2">
    <w:name w:val="Head2"/>
    <w:basedOn w:val="Heading2"/>
    <w:link w:val="Head2Char"/>
    <w:qFormat/>
    <w:rsid w:val="008B009F"/>
    <w:pPr>
      <w:numPr>
        <w:numId w:val="6"/>
      </w:numPr>
      <w:suppressAutoHyphens/>
      <w:spacing w:before="280" w:after="240"/>
    </w:pPr>
    <w:rPr>
      <w:color w:val="002060"/>
      <w:sz w:val="28"/>
    </w:rPr>
  </w:style>
  <w:style w:type="character" w:customStyle="1" w:styleId="Head1Char">
    <w:name w:val="Head1 Char"/>
    <w:basedOn w:val="DefaultParagraphFont"/>
    <w:link w:val="Head1"/>
    <w:rsid w:val="002703DB"/>
    <w:rPr>
      <w:rFonts w:eastAsiaTheme="majorEastAsia" w:cstheme="majorBidi"/>
      <w:b/>
      <w:bCs/>
      <w:color w:val="002060"/>
      <w:sz w:val="40"/>
      <w:szCs w:val="28"/>
      <w:lang w:val="en-US" w:eastAsia="en-US" w:bidi="en-US"/>
    </w:rPr>
  </w:style>
  <w:style w:type="paragraph" w:customStyle="1" w:styleId="Head3">
    <w:name w:val="Head3"/>
    <w:basedOn w:val="Head2"/>
    <w:link w:val="Head3Char"/>
    <w:qFormat/>
    <w:rsid w:val="00D4198D"/>
    <w:pPr>
      <w:numPr>
        <w:ilvl w:val="2"/>
      </w:numPr>
      <w:spacing w:before="240"/>
      <w:outlineLvl w:val="2"/>
    </w:pPr>
    <w:rPr>
      <w:color w:val="1F497D" w:themeColor="text2"/>
      <w:sz w:val="24"/>
      <w:szCs w:val="48"/>
    </w:rPr>
  </w:style>
  <w:style w:type="character" w:customStyle="1" w:styleId="Head2Char">
    <w:name w:val="Head2 Char"/>
    <w:basedOn w:val="Head1Char"/>
    <w:link w:val="Head2"/>
    <w:rsid w:val="008B009F"/>
    <w:rPr>
      <w:rFonts w:asciiTheme="majorHAnsi" w:eastAsiaTheme="majorEastAsia" w:hAnsiTheme="majorHAnsi" w:cstheme="majorBidi"/>
      <w:b w:val="0"/>
      <w:bCs w:val="0"/>
      <w:color w:val="002060"/>
      <w:sz w:val="28"/>
      <w:szCs w:val="26"/>
      <w:lang w:val="en-US" w:eastAsia="en-US" w:bidi="en-US"/>
    </w:rPr>
  </w:style>
  <w:style w:type="character" w:customStyle="1" w:styleId="Head3Char">
    <w:name w:val="Head3 Char"/>
    <w:basedOn w:val="Head2Char"/>
    <w:link w:val="Head3"/>
    <w:rsid w:val="00D4198D"/>
    <w:rPr>
      <w:rFonts w:asciiTheme="majorHAnsi" w:eastAsiaTheme="majorEastAsia" w:hAnsiTheme="majorHAnsi" w:cstheme="majorBidi"/>
      <w:b w:val="0"/>
      <w:bCs w:val="0"/>
      <w:color w:val="1F497D" w:themeColor="text2"/>
      <w:sz w:val="24"/>
      <w:szCs w:val="48"/>
      <w:lang w:val="en-US" w:eastAsia="en-US" w:bidi="en-US"/>
    </w:rPr>
  </w:style>
  <w:style w:type="numbering" w:customStyle="1" w:styleId="Style2">
    <w:name w:val="Style2"/>
    <w:uiPriority w:val="99"/>
    <w:locked/>
    <w:rsid w:val="001C78CA"/>
  </w:style>
  <w:style w:type="paragraph" w:customStyle="1" w:styleId="Head4">
    <w:name w:val="Head4"/>
    <w:basedOn w:val="Normal"/>
    <w:link w:val="Head4Char"/>
    <w:qFormat/>
    <w:rsid w:val="00D4198D"/>
    <w:pPr>
      <w:keepNext/>
      <w:keepLines/>
      <w:numPr>
        <w:ilvl w:val="3"/>
        <w:numId w:val="6"/>
      </w:numPr>
      <w:suppressAutoHyphens/>
      <w:spacing w:before="220" w:after="220"/>
      <w:outlineLvl w:val="3"/>
    </w:pPr>
    <w:rPr>
      <w:rFonts w:cs="Arial"/>
      <w:bCs/>
      <w:color w:val="000000"/>
      <w:szCs w:val="30"/>
    </w:rPr>
  </w:style>
  <w:style w:type="character" w:customStyle="1" w:styleId="Head4Char">
    <w:name w:val="Head4 Char"/>
    <w:basedOn w:val="DefaultParagraphFont"/>
    <w:link w:val="Head4"/>
    <w:rsid w:val="00D4198D"/>
    <w:rPr>
      <w:rFonts w:asciiTheme="minorHAnsi" w:eastAsiaTheme="minorEastAsia" w:hAnsiTheme="minorHAnsi" w:cs="Arial"/>
      <w:bCs/>
      <w:color w:val="000000"/>
      <w:sz w:val="22"/>
      <w:szCs w:val="30"/>
      <w:lang w:val="en-US" w:eastAsia="en-US" w:bidi="en-US"/>
    </w:rPr>
  </w:style>
  <w:style w:type="numbering" w:customStyle="1" w:styleId="HeadList1">
    <w:name w:val="Head List 1"/>
    <w:uiPriority w:val="99"/>
    <w:rsid w:val="001076BC"/>
    <w:pPr>
      <w:numPr>
        <w:numId w:val="5"/>
      </w:numPr>
    </w:pPr>
  </w:style>
  <w:style w:type="numbering" w:customStyle="1" w:styleId="HeadList3">
    <w:name w:val="Head List 3"/>
    <w:uiPriority w:val="99"/>
    <w:rsid w:val="00FC4258"/>
    <w:pPr>
      <w:numPr>
        <w:numId w:val="7"/>
      </w:numPr>
    </w:pPr>
  </w:style>
  <w:style w:type="numbering" w:customStyle="1" w:styleId="HeadList4">
    <w:name w:val="Head List 4"/>
    <w:uiPriority w:val="99"/>
    <w:rsid w:val="00DD7E0C"/>
    <w:pPr>
      <w:numPr>
        <w:numId w:val="8"/>
      </w:numPr>
    </w:pPr>
  </w:style>
  <w:style w:type="paragraph" w:styleId="Footer">
    <w:name w:val="footer"/>
    <w:basedOn w:val="Normal"/>
    <w:link w:val="FooterChar"/>
    <w:uiPriority w:val="99"/>
    <w:unhideWhenUsed/>
    <w:rsid w:val="006F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rsid w:val="00560D76"/>
    <w:rPr>
      <w:rFonts w:asciiTheme="majorHAnsi" w:eastAsiaTheme="majorEastAsia" w:hAnsiTheme="majorHAnsi" w:cstheme="majorBidi"/>
      <w:color w:val="365F91" w:themeColor="accent1" w:themeShade="BF"/>
      <w:sz w:val="26"/>
      <w:szCs w:val="26"/>
      <w:lang w:val="en-US" w:eastAsia="en-US" w:bidi="en-US"/>
    </w:rPr>
  </w:style>
  <w:style w:type="character" w:customStyle="1" w:styleId="Heading3Char">
    <w:name w:val="Heading 3 Char"/>
    <w:basedOn w:val="DefaultParagraphFont"/>
    <w:link w:val="Heading3"/>
    <w:uiPriority w:val="9"/>
    <w:rsid w:val="00560D76"/>
    <w:rPr>
      <w:rFonts w:asciiTheme="majorHAnsi" w:eastAsiaTheme="majorEastAsia" w:hAnsiTheme="majorHAnsi" w:cstheme="majorBidi"/>
      <w:color w:val="243F60" w:themeColor="accent1" w:themeShade="7F"/>
      <w:sz w:val="24"/>
      <w:szCs w:val="24"/>
      <w:lang w:val="en-US" w:eastAsia="en-US" w:bidi="en-US"/>
    </w:rPr>
  </w:style>
  <w:style w:type="character" w:customStyle="1" w:styleId="Heading4Char">
    <w:name w:val="Heading 4 Char"/>
    <w:basedOn w:val="DefaultParagraphFont"/>
    <w:link w:val="Heading4"/>
    <w:uiPriority w:val="9"/>
    <w:rsid w:val="00560D76"/>
    <w:rPr>
      <w:rFonts w:asciiTheme="majorHAnsi" w:eastAsiaTheme="majorEastAsia" w:hAnsiTheme="majorHAnsi" w:cstheme="majorBidi"/>
      <w:i/>
      <w:iCs/>
      <w:color w:val="365F91" w:themeColor="accent1" w:themeShade="BF"/>
      <w:sz w:val="22"/>
      <w:szCs w:val="22"/>
      <w:lang w:val="en-US" w:eastAsia="en-US" w:bidi="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365F91" w:themeColor="accent1" w:themeShade="BF"/>
      <w:sz w:val="22"/>
      <w:szCs w:val="22"/>
      <w:lang w:val="en-US" w:eastAsia="en-US" w:bidi="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243F60" w:themeColor="accent1" w:themeShade="7F"/>
      <w:sz w:val="22"/>
      <w:szCs w:val="22"/>
      <w:lang w:val="en-US" w:eastAsia="en-US" w:bidi="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val="en-US" w:eastAsia="en-US" w:bidi="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val="en-US" w:eastAsia="en-US" w:bidi="en-US"/>
    </w:rPr>
  </w:style>
  <w:style w:type="paragraph" w:customStyle="1" w:styleId="TitleHeader">
    <w:name w:val="Title Header"/>
    <w:basedOn w:val="Title"/>
    <w:link w:val="TitleHeaderChar"/>
    <w:rsid w:val="00433154"/>
    <w:pPr>
      <w:pBdr>
        <w:bottom w:val="single" w:sz="4" w:space="1" w:color="4F81BD" w:themeColor="accent1"/>
      </w:pBdr>
      <w:tabs>
        <w:tab w:val="left" w:pos="6396"/>
      </w:tabs>
      <w:spacing w:before="600" w:after="600"/>
      <w:ind w:left="2268"/>
    </w:pPr>
    <w:rPr>
      <w:color w:val="4F81BD"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4F81BD"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800080" w:themeColor="followedHyperlink"/>
      <w:u w:val="single"/>
    </w:rPr>
  </w:style>
  <w:style w:type="paragraph" w:customStyle="1" w:styleId="FiguresTitle">
    <w:name w:val="Figures Title"/>
    <w:basedOn w:val="Contenttext"/>
    <w:link w:val="FiguresTitleChar"/>
    <w:qFormat/>
    <w:rsid w:val="003D53CE"/>
    <w:pPr>
      <w:spacing w:after="0" w:line="240" w:lineRule="auto"/>
      <w:jc w:val="left"/>
    </w:pPr>
    <w:rPr>
      <w:b/>
    </w:rPr>
  </w:style>
  <w:style w:type="paragraph" w:styleId="NoSpacing">
    <w:name w:val="No Spacing"/>
    <w:aliases w:val="Front page title"/>
    <w:uiPriority w:val="1"/>
    <w:qFormat/>
    <w:rsid w:val="004320B1"/>
    <w:pPr>
      <w:spacing w:before="0" w:after="0" w:line="240" w:lineRule="auto"/>
    </w:pPr>
    <w:rPr>
      <w:rFonts w:eastAsiaTheme="minorHAnsi" w:cstheme="minorBidi"/>
      <w:color w:val="002060"/>
      <w:sz w:val="72"/>
      <w:szCs w:val="22"/>
      <w:lang w:val="en-US" w:eastAsia="en-US"/>
    </w:rPr>
  </w:style>
  <w:style w:type="paragraph" w:styleId="Title">
    <w:name w:val="Title"/>
    <w:basedOn w:val="Normal"/>
    <w:next w:val="Normal"/>
    <w:link w:val="TitleChar"/>
    <w:uiPriority w:val="10"/>
    <w:qFormat/>
    <w:rsid w:val="00433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3E4CF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Bullet">
    <w:name w:val="List Bullet"/>
    <w:basedOn w:val="Normal"/>
    <w:uiPriority w:val="99"/>
    <w:unhideWhenUsed/>
    <w:rsid w:val="006B293B"/>
    <w:pPr>
      <w:numPr>
        <w:numId w:val="10"/>
      </w:numPr>
      <w:contextualSpacing/>
    </w:pPr>
  </w:style>
  <w:style w:type="paragraph" w:customStyle="1" w:styleId="Contenttext">
    <w:name w:val="Content text"/>
    <w:basedOn w:val="Normal"/>
    <w:link w:val="ContenttextChar"/>
    <w:qFormat/>
    <w:rsid w:val="003E4CF0"/>
    <w:pPr>
      <w:jc w:val="both"/>
    </w:pPr>
    <w:rPr>
      <w:rFonts w:ascii="Cambria" w:hAnsi="Cambria"/>
      <w:szCs w:val="24"/>
    </w:rPr>
  </w:style>
  <w:style w:type="character" w:customStyle="1" w:styleId="ContenttextChar">
    <w:name w:val="Content text Char"/>
    <w:basedOn w:val="DefaultParagraphFont"/>
    <w:link w:val="Contenttext"/>
    <w:rsid w:val="003E4CF0"/>
    <w:rPr>
      <w:rFonts w:ascii="Cambria" w:eastAsiaTheme="minorEastAsia" w:hAnsi="Cambria" w:cstheme="minorBidi"/>
      <w:sz w:val="22"/>
      <w:szCs w:val="24"/>
      <w:lang w:val="en-US" w:eastAsia="en-US" w:bidi="en-US"/>
    </w:rPr>
  </w:style>
  <w:style w:type="table" w:customStyle="1" w:styleId="ColorfulList1">
    <w:name w:val="Colorful List1"/>
    <w:basedOn w:val="TableNormal"/>
    <w:uiPriority w:val="72"/>
    <w:rsid w:val="00E06C3D"/>
    <w:pPr>
      <w:spacing w:before="0" w:after="0" w:line="240" w:lineRule="auto"/>
    </w:pPr>
    <w:rPr>
      <w:rFonts w:ascii="Cambria" w:eastAsiaTheme="minorEastAsia" w:hAnsi="Cambria" w:cstheme="minorBidi"/>
      <w:color w:val="000000" w:themeColor="text1"/>
      <w:szCs w:val="22"/>
      <w:lang w:val="en-US" w:eastAsia="en-US"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tyle1">
    <w:name w:val="Style1"/>
    <w:basedOn w:val="TableGrid4"/>
    <w:uiPriority w:val="99"/>
    <w:rsid w:val="002D2CBF"/>
    <w:pPr>
      <w:spacing w:after="0" w:line="240" w:lineRule="auto"/>
    </w:pPr>
    <w:rPr>
      <w:rFonts w:ascii="Cambria" w:hAnsi="Cambria"/>
      <w:color w:val="FFFFFF" w:themeColor="background1"/>
      <w:lang w:val="en-AU" w:eastAsia="en-AU"/>
    </w:rPr>
    <w:tblPr>
      <w:tblStyleRowBandSize w:val="1"/>
      <w:tblBorders>
        <w:left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pPr>
        <w:wordWrap/>
        <w:jc w:val="left"/>
        <w:outlineLvl w:val="9"/>
      </w:pPr>
      <w:rPr>
        <w:rFonts w:ascii="Cambria" w:hAnsi="Cambria"/>
        <w:color w:val="FFFFFF" w:themeColor="background1"/>
        <w:sz w:val="22"/>
      </w:rPr>
      <w:tblPr/>
      <w:tcPr>
        <w:tcBorders>
          <w:top w:val="nil"/>
          <w:left w:val="nil"/>
          <w:bottom w:val="nil"/>
          <w:right w:val="nil"/>
          <w:insideH w:val="nil"/>
          <w:insideV w:val="nil"/>
          <w:tl2br w:val="none" w:sz="0" w:space="0" w:color="auto"/>
          <w:tr2bl w:val="none" w:sz="0" w:space="0" w:color="auto"/>
        </w:tcBorders>
        <w:shd w:val="clear" w:color="auto" w:fill="1F497D" w:themeFill="text2"/>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tblStylePr w:type="band1Horz">
      <w:rPr>
        <w:rFonts w:ascii="Cambria" w:hAnsi="Cambria"/>
        <w:color w:val="auto"/>
        <w:sz w:val="20"/>
      </w:rPr>
      <w:tblPr/>
      <w:tcPr>
        <w:shd w:val="clear" w:color="auto" w:fill="BFBFBF" w:themeFill="background1" w:themeFillShade="BF"/>
      </w:tcPr>
    </w:tblStylePr>
    <w:tblStylePr w:type="band2Horz">
      <w:rPr>
        <w:rFonts w:ascii="Cambria" w:hAnsi="Cambria"/>
        <w:color w:val="000000" w:themeColor="text1"/>
        <w:sz w:val="20"/>
      </w:rPr>
      <w:tblPr/>
      <w:tcPr>
        <w:shd w:val="clear" w:color="auto" w:fill="D9D9D9" w:themeFill="background1" w:themeFillShade="D9"/>
      </w:tcPr>
    </w:tblStylePr>
  </w:style>
  <w:style w:type="paragraph" w:customStyle="1" w:styleId="ChapterTitle0">
    <w:name w:val="Chapter Title"/>
    <w:basedOn w:val="Normal"/>
    <w:link w:val="ChapterTitleChar0"/>
    <w:autoRedefine/>
    <w:qFormat/>
    <w:rsid w:val="003D53CE"/>
    <w:rPr>
      <w:rFonts w:ascii="Sitka Heading" w:hAnsi="Sitka Heading"/>
      <w:b/>
      <w:color w:val="002060"/>
      <w:sz w:val="48"/>
      <w:szCs w:val="36"/>
    </w:rPr>
  </w:style>
  <w:style w:type="table" w:styleId="TableGrid4">
    <w:name w:val="Table Grid 4"/>
    <w:basedOn w:val="TableNormal"/>
    <w:uiPriority w:val="99"/>
    <w:semiHidden/>
    <w:unhideWhenUsed/>
    <w:rsid w:val="003E4CF0"/>
    <w:pPr>
      <w:spacing w:before="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ChapterTitleChar0">
    <w:name w:val="Chapter Title Char"/>
    <w:basedOn w:val="DefaultParagraphFont"/>
    <w:link w:val="ChapterTitle0"/>
    <w:rsid w:val="003D53CE"/>
    <w:rPr>
      <w:rFonts w:ascii="Sitka Heading" w:eastAsiaTheme="minorEastAsia" w:hAnsi="Sitka Heading" w:cstheme="minorBidi"/>
      <w:b/>
      <w:color w:val="002060"/>
      <w:sz w:val="48"/>
      <w:szCs w:val="36"/>
      <w:lang w:val="en-US" w:eastAsia="en-US" w:bidi="en-US"/>
    </w:rPr>
  </w:style>
  <w:style w:type="table" w:customStyle="1" w:styleId="TableGrid1">
    <w:name w:val="Table Grid1"/>
    <w:basedOn w:val="TableNormal"/>
    <w:next w:val="TableGrid"/>
    <w:uiPriority w:val="39"/>
    <w:rsid w:val="003D53CE"/>
    <w:pPr>
      <w:spacing w:before="0" w:after="0" w:line="240" w:lineRule="auto"/>
    </w:pPr>
    <w:rPr>
      <w:rFonts w:ascii="Cambria" w:eastAsia="Times New Roman" w:hAnsi="Cambria"/>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
    <w:name w:val="numbered"/>
    <w:basedOn w:val="Contenttext"/>
    <w:link w:val="numberedChar"/>
    <w:qFormat/>
    <w:rsid w:val="003D53CE"/>
    <w:pPr>
      <w:spacing w:before="180" w:after="0" w:line="180" w:lineRule="exact"/>
    </w:pPr>
  </w:style>
  <w:style w:type="character" w:customStyle="1" w:styleId="numberedChar">
    <w:name w:val="numbered Char"/>
    <w:basedOn w:val="ContenttextChar"/>
    <w:link w:val="numbered"/>
    <w:rsid w:val="003D53CE"/>
    <w:rPr>
      <w:rFonts w:ascii="Cambria" w:eastAsiaTheme="minorEastAsia" w:hAnsi="Cambria" w:cstheme="minorBidi"/>
      <w:sz w:val="22"/>
      <w:szCs w:val="24"/>
      <w:lang w:val="en-US" w:eastAsia="en-US" w:bidi="en-US"/>
    </w:rPr>
  </w:style>
  <w:style w:type="paragraph" w:customStyle="1" w:styleId="Sub-subchaptertitle">
    <w:name w:val="Sub-sub chapter title"/>
    <w:basedOn w:val="Contenttext"/>
    <w:link w:val="Sub-subchaptertitleChar"/>
    <w:qFormat/>
    <w:rsid w:val="004D21D1"/>
    <w:rPr>
      <w:rFonts w:ascii="Arial" w:hAnsi="Arial"/>
      <w:b/>
      <w:color w:val="002060"/>
      <w:shd w:val="clear" w:color="auto" w:fill="FFFFFF"/>
    </w:rPr>
  </w:style>
  <w:style w:type="character" w:customStyle="1" w:styleId="Sub-subchaptertitleChar">
    <w:name w:val="Sub-sub chapter title Char"/>
    <w:basedOn w:val="ContenttextChar"/>
    <w:link w:val="Sub-subchaptertitle"/>
    <w:rsid w:val="004D21D1"/>
    <w:rPr>
      <w:rFonts w:ascii="Cambria" w:eastAsiaTheme="minorEastAsia" w:hAnsi="Cambria" w:cstheme="minorBidi"/>
      <w:b/>
      <w:color w:val="002060"/>
      <w:sz w:val="22"/>
      <w:szCs w:val="24"/>
      <w:lang w:val="en-US" w:eastAsia="en-US" w:bidi="en-US"/>
    </w:rPr>
  </w:style>
  <w:style w:type="paragraph" w:styleId="Caption">
    <w:name w:val="caption"/>
    <w:basedOn w:val="Normal"/>
    <w:next w:val="Normal"/>
    <w:uiPriority w:val="35"/>
    <w:unhideWhenUsed/>
    <w:qFormat/>
    <w:rsid w:val="00452E28"/>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452E28"/>
    <w:pPr>
      <w:spacing w:after="0"/>
    </w:pPr>
  </w:style>
  <w:style w:type="paragraph" w:customStyle="1" w:styleId="Whitetextfortable">
    <w:name w:val="White text for table"/>
    <w:basedOn w:val="Body"/>
    <w:link w:val="WhitetextfortableChar"/>
    <w:qFormat/>
    <w:rsid w:val="00167F93"/>
    <w:pPr>
      <w:spacing w:before="0" w:after="0" w:line="240" w:lineRule="auto"/>
    </w:pPr>
    <w:rPr>
      <w:color w:val="FFFFFF" w:themeColor="background1"/>
    </w:rPr>
  </w:style>
  <w:style w:type="character" w:customStyle="1" w:styleId="WhitetextfortableChar">
    <w:name w:val="White text for table Char"/>
    <w:basedOn w:val="BodyChar"/>
    <w:link w:val="Whitetextfortable"/>
    <w:rsid w:val="00167F93"/>
    <w:rPr>
      <w:rFonts w:ascii="Cambria" w:hAnsi="Cambria" w:cs="Arial"/>
      <w:color w:val="FFFFFF" w:themeColor="background1"/>
      <w:sz w:val="22"/>
      <w:szCs w:val="22"/>
      <w:lang w:eastAsia="en-US"/>
    </w:rPr>
  </w:style>
  <w:style w:type="paragraph" w:styleId="FootnoteText">
    <w:name w:val="footnote text"/>
    <w:aliases w:val="FOOTNOTES,fn,single space,footnote text,Footnote Text Char2,Footnote Text Char1 Char,Footnote Text Char Char Char1,Footnote Text Char1 Char Char Char1,Footnote Text Char1 Char1 Char,Footnote Text Char Char Char Char,ft,Testo_note"/>
    <w:basedOn w:val="Normal"/>
    <w:link w:val="FootnoteTextChar"/>
    <w:uiPriority w:val="99"/>
    <w:unhideWhenUsed/>
    <w:qFormat/>
    <w:rsid w:val="0032704B"/>
    <w:pPr>
      <w:spacing w:after="0" w:line="240" w:lineRule="auto"/>
      <w:ind w:left="33"/>
      <w:jc w:val="both"/>
    </w:pPr>
    <w:rPr>
      <w:rFonts w:ascii="Cambria" w:eastAsiaTheme="minorHAnsi" w:hAnsi="Cambria"/>
      <w:sz w:val="20"/>
      <w:szCs w:val="20"/>
      <w:lang w:bidi="ar-SA"/>
    </w:rPr>
  </w:style>
  <w:style w:type="character" w:customStyle="1" w:styleId="FootnoteTextChar">
    <w:name w:val="Footnote Text Char"/>
    <w:aliases w:val="FOOTNOTES Char,fn Char,single space Char,footnote text Char,Footnote Text Char2 Char,Footnote Text Char1 Char Char,Footnote Text Char Char Char1 Char,Footnote Text Char1 Char Char Char1 Char,Footnote Text Char1 Char1 Char Char,ft Char"/>
    <w:basedOn w:val="DefaultParagraphFont"/>
    <w:link w:val="FootnoteText"/>
    <w:uiPriority w:val="99"/>
    <w:rsid w:val="0032704B"/>
    <w:rPr>
      <w:rFonts w:ascii="Cambria" w:eastAsiaTheme="minorHAnsi" w:hAnsi="Cambria" w:cstheme="minorBidi"/>
      <w:lang w:val="en-US" w:eastAsia="en-US"/>
    </w:rPr>
  </w:style>
  <w:style w:type="character" w:styleId="FootnoteReference">
    <w:name w:val="footnote reference"/>
    <w:aliases w:val=" BVI fnr,BVI fnr,ftref,referencia nota al pie,footnote ref,16 Point,Superscript 6 Point,fr,(NECG) Footnote Reference,Ref,de nota al pie,Footnote Reference Number,Footnote Reference_LVL6,Footnote Reference_LVL61"/>
    <w:basedOn w:val="DefaultParagraphFont"/>
    <w:uiPriority w:val="99"/>
    <w:unhideWhenUsed/>
    <w:rsid w:val="0032704B"/>
    <w:rPr>
      <w:vertAlign w:val="superscript"/>
    </w:rPr>
  </w:style>
  <w:style w:type="paragraph" w:customStyle="1" w:styleId="Numberedbullet">
    <w:name w:val="Numbered bullet"/>
    <w:basedOn w:val="ListParagraph"/>
    <w:link w:val="NumberedbulletChar"/>
    <w:qFormat/>
    <w:rsid w:val="0032704B"/>
    <w:pPr>
      <w:numPr>
        <w:numId w:val="15"/>
      </w:numPr>
      <w:tabs>
        <w:tab w:val="num" w:pos="1418"/>
      </w:tabs>
      <w:spacing w:before="120" w:after="120" w:line="259" w:lineRule="auto"/>
      <w:ind w:left="0" w:firstLine="0"/>
      <w:jc w:val="both"/>
    </w:pPr>
    <w:rPr>
      <w:rFonts w:ascii="Cambria" w:eastAsiaTheme="minorHAnsi" w:hAnsi="Cambria"/>
      <w:sz w:val="20"/>
      <w:lang w:val="en-GB" w:bidi="ar-SA"/>
    </w:rPr>
  </w:style>
  <w:style w:type="paragraph" w:styleId="ListParagraph">
    <w:name w:val="List Paragraph"/>
    <w:aliases w:val="Bullet Points,Bullets,List Paragraph1,Recommendation,List Paragraph11,L,CV text,Table text"/>
    <w:basedOn w:val="Normal"/>
    <w:link w:val="ListParagraphChar"/>
    <w:uiPriority w:val="34"/>
    <w:qFormat/>
    <w:rsid w:val="0032704B"/>
    <w:pPr>
      <w:ind w:left="720"/>
      <w:contextualSpacing/>
    </w:pPr>
  </w:style>
  <w:style w:type="character" w:customStyle="1" w:styleId="ListParagraphChar">
    <w:name w:val="List Paragraph Char"/>
    <w:aliases w:val="Bullet Points Char,Bullets Char,List Paragraph1 Char,Recommendation Char,List Paragraph11 Char,L Char,CV text Char,Table text Char"/>
    <w:link w:val="ListParagraph"/>
    <w:uiPriority w:val="34"/>
    <w:rsid w:val="0032704B"/>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BB2788"/>
  </w:style>
  <w:style w:type="paragraph" w:customStyle="1" w:styleId="Subtitle1">
    <w:name w:val="Subtitle1"/>
    <w:basedOn w:val="Normal"/>
    <w:next w:val="Normal"/>
    <w:uiPriority w:val="11"/>
    <w:qFormat/>
    <w:rsid w:val="00BB2788"/>
    <w:pPr>
      <w:spacing w:after="600" w:line="259" w:lineRule="auto"/>
      <w:ind w:left="33"/>
      <w:jc w:val="both"/>
    </w:pPr>
    <w:rPr>
      <w:rFonts w:ascii="Calibri" w:eastAsia="Times New Roman" w:hAnsi="Calibri" w:cs="Times New Roman"/>
      <w:i/>
      <w:iCs/>
      <w:spacing w:val="13"/>
      <w:sz w:val="24"/>
      <w:szCs w:val="24"/>
    </w:rPr>
  </w:style>
  <w:style w:type="character" w:customStyle="1" w:styleId="SubtitleChar">
    <w:name w:val="Subtitle Char"/>
    <w:basedOn w:val="DefaultParagraphFont"/>
    <w:link w:val="Subtitle"/>
    <w:uiPriority w:val="11"/>
    <w:rsid w:val="00C252C1"/>
    <w:rPr>
      <w:rFonts w:ascii="Cambria" w:eastAsiaTheme="minorEastAsia" w:hAnsi="Cambria" w:cstheme="minorBidi"/>
      <w:b/>
      <w:color w:val="000000"/>
      <w:sz w:val="22"/>
      <w:szCs w:val="22"/>
      <w:lang w:val="en-US" w:eastAsia="en-US" w:bidi="en-US"/>
    </w:rPr>
  </w:style>
  <w:style w:type="character" w:styleId="Strong">
    <w:name w:val="Strong"/>
    <w:uiPriority w:val="22"/>
    <w:qFormat/>
    <w:rsid w:val="00BB2788"/>
    <w:rPr>
      <w:b/>
      <w:bCs/>
    </w:rPr>
  </w:style>
  <w:style w:type="character" w:styleId="Emphasis">
    <w:name w:val="Emphasis"/>
    <w:uiPriority w:val="20"/>
    <w:qFormat/>
    <w:rsid w:val="00BB2788"/>
    <w:rPr>
      <w:b/>
      <w:bCs/>
      <w:i/>
      <w:iCs/>
      <w:spacing w:val="10"/>
      <w:bdr w:val="none" w:sz="0" w:space="0" w:color="auto"/>
      <w:shd w:val="clear" w:color="auto" w:fill="auto"/>
    </w:rPr>
  </w:style>
  <w:style w:type="paragraph" w:styleId="Quote">
    <w:name w:val="Quote"/>
    <w:basedOn w:val="Normal"/>
    <w:next w:val="Normal"/>
    <w:link w:val="QuoteChar"/>
    <w:uiPriority w:val="29"/>
    <w:qFormat/>
    <w:rsid w:val="00BB2788"/>
    <w:pPr>
      <w:spacing w:before="200" w:after="0" w:line="259" w:lineRule="auto"/>
      <w:ind w:left="360" w:right="360"/>
      <w:jc w:val="both"/>
    </w:pPr>
    <w:rPr>
      <w:rFonts w:ascii="Cambria" w:hAnsi="Cambria"/>
      <w:i/>
      <w:iCs/>
      <w:sz w:val="20"/>
    </w:rPr>
  </w:style>
  <w:style w:type="character" w:customStyle="1" w:styleId="QuoteChar">
    <w:name w:val="Quote Char"/>
    <w:basedOn w:val="DefaultParagraphFont"/>
    <w:link w:val="Quote"/>
    <w:uiPriority w:val="29"/>
    <w:rsid w:val="00BB2788"/>
    <w:rPr>
      <w:rFonts w:ascii="Cambria" w:eastAsiaTheme="minorEastAsia" w:hAnsi="Cambria" w:cstheme="minorBidi"/>
      <w:i/>
      <w:iCs/>
      <w:szCs w:val="22"/>
      <w:lang w:val="en-US" w:eastAsia="en-US" w:bidi="en-US"/>
    </w:rPr>
  </w:style>
  <w:style w:type="paragraph" w:styleId="IntenseQuote">
    <w:name w:val="Intense Quote"/>
    <w:basedOn w:val="Normal"/>
    <w:next w:val="Normal"/>
    <w:link w:val="IntenseQuoteChar"/>
    <w:uiPriority w:val="30"/>
    <w:qFormat/>
    <w:rsid w:val="00BB2788"/>
    <w:pPr>
      <w:pBdr>
        <w:bottom w:val="single" w:sz="4" w:space="1" w:color="auto"/>
      </w:pBdr>
      <w:spacing w:before="200" w:after="280" w:line="259" w:lineRule="auto"/>
      <w:ind w:left="1008" w:right="1152"/>
      <w:jc w:val="both"/>
    </w:pPr>
    <w:rPr>
      <w:rFonts w:ascii="Cambria" w:hAnsi="Cambria"/>
      <w:b/>
      <w:bCs/>
      <w:i/>
      <w:iCs/>
      <w:sz w:val="20"/>
    </w:rPr>
  </w:style>
  <w:style w:type="character" w:customStyle="1" w:styleId="IntenseQuoteChar">
    <w:name w:val="Intense Quote Char"/>
    <w:basedOn w:val="DefaultParagraphFont"/>
    <w:link w:val="IntenseQuote"/>
    <w:uiPriority w:val="30"/>
    <w:rsid w:val="00BB2788"/>
    <w:rPr>
      <w:rFonts w:ascii="Cambria" w:eastAsiaTheme="minorEastAsia" w:hAnsi="Cambria" w:cstheme="minorBidi"/>
      <w:b/>
      <w:bCs/>
      <w:i/>
      <w:iCs/>
      <w:szCs w:val="22"/>
      <w:lang w:val="en-US" w:eastAsia="en-US" w:bidi="en-US"/>
    </w:rPr>
  </w:style>
  <w:style w:type="character" w:styleId="SubtleEmphasis">
    <w:name w:val="Subtle Emphasis"/>
    <w:uiPriority w:val="19"/>
    <w:qFormat/>
    <w:rsid w:val="00BB2788"/>
    <w:rPr>
      <w:i/>
      <w:iCs/>
    </w:rPr>
  </w:style>
  <w:style w:type="character" w:styleId="IntenseEmphasis">
    <w:name w:val="Intense Emphasis"/>
    <w:uiPriority w:val="21"/>
    <w:qFormat/>
    <w:rsid w:val="00BB2788"/>
    <w:rPr>
      <w:b/>
      <w:bCs/>
    </w:rPr>
  </w:style>
  <w:style w:type="character" w:styleId="SubtleReference">
    <w:name w:val="Subtle Reference"/>
    <w:uiPriority w:val="31"/>
    <w:qFormat/>
    <w:rsid w:val="00BB2788"/>
    <w:rPr>
      <w:smallCaps/>
    </w:rPr>
  </w:style>
  <w:style w:type="character" w:styleId="IntenseReference">
    <w:name w:val="Intense Reference"/>
    <w:uiPriority w:val="32"/>
    <w:qFormat/>
    <w:rsid w:val="00BB2788"/>
    <w:rPr>
      <w:smallCaps/>
      <w:spacing w:val="5"/>
      <w:u w:val="single"/>
    </w:rPr>
  </w:style>
  <w:style w:type="character" w:styleId="BookTitle">
    <w:name w:val="Book Title"/>
    <w:uiPriority w:val="33"/>
    <w:qFormat/>
    <w:rsid w:val="00BB2788"/>
    <w:rPr>
      <w:i/>
      <w:iCs/>
      <w:smallCaps/>
      <w:spacing w:val="5"/>
    </w:rPr>
  </w:style>
  <w:style w:type="paragraph" w:customStyle="1" w:styleId="SubChaptertitle0">
    <w:name w:val="Sub Chapter title"/>
    <w:basedOn w:val="ChapterTitle0"/>
    <w:link w:val="SubChaptertitleChar0"/>
    <w:qFormat/>
    <w:rsid w:val="00BB2788"/>
    <w:pPr>
      <w:spacing w:before="120" w:after="120" w:line="240" w:lineRule="auto"/>
      <w:ind w:left="851" w:right="207" w:hanging="851"/>
      <w:jc w:val="both"/>
    </w:pPr>
    <w:rPr>
      <w:sz w:val="22"/>
      <w:szCs w:val="28"/>
    </w:rPr>
  </w:style>
  <w:style w:type="character" w:customStyle="1" w:styleId="SubChaptertitleChar0">
    <w:name w:val="Sub Chapter title Char"/>
    <w:basedOn w:val="ChapterTitleChar0"/>
    <w:link w:val="SubChaptertitle0"/>
    <w:rsid w:val="00BB2788"/>
    <w:rPr>
      <w:rFonts w:ascii="Sitka Heading" w:eastAsiaTheme="minorEastAsia" w:hAnsi="Sitka Heading" w:cstheme="minorBidi"/>
      <w:b/>
      <w:color w:val="002060"/>
      <w:sz w:val="22"/>
      <w:szCs w:val="28"/>
      <w:lang w:val="en-US" w:eastAsia="en-US" w:bidi="en-US"/>
    </w:rPr>
  </w:style>
  <w:style w:type="paragraph" w:customStyle="1" w:styleId="numberofchapter">
    <w:name w:val="number of chapter"/>
    <w:basedOn w:val="CHAPTERNUMBER"/>
    <w:link w:val="numberofchapterChar"/>
    <w:qFormat/>
    <w:rsid w:val="00BB2788"/>
    <w:pPr>
      <w:suppressAutoHyphens w:val="0"/>
      <w:spacing w:before="0" w:after="0" w:line="240" w:lineRule="auto"/>
      <w:outlineLvl w:val="9"/>
    </w:pPr>
    <w:rPr>
      <w:rFonts w:ascii="Cambria" w:eastAsia="Times New Roman" w:hAnsi="Cambria"/>
      <w:caps/>
      <w:szCs w:val="36"/>
      <w:lang w:val="en-US" w:eastAsia="en-US" w:bidi="en-US"/>
    </w:rPr>
  </w:style>
  <w:style w:type="character" w:customStyle="1" w:styleId="numberofchapterChar">
    <w:name w:val="number of chapter Char"/>
    <w:basedOn w:val="CHAPTERNUMBERChar"/>
    <w:link w:val="numberofchapter"/>
    <w:rsid w:val="00BB2788"/>
    <w:rPr>
      <w:rFonts w:ascii="Cambria" w:eastAsia="Times New Roman" w:hAnsi="Cambria" w:cs="Arial"/>
      <w:b/>
      <w:caps/>
      <w:color w:val="002060"/>
      <w:sz w:val="36"/>
      <w:szCs w:val="36"/>
      <w:lang w:val="en-US" w:eastAsia="en-US" w:bidi="en-US"/>
    </w:rPr>
  </w:style>
  <w:style w:type="table" w:customStyle="1" w:styleId="TableGrid2">
    <w:name w:val="Table Grid2"/>
    <w:basedOn w:val="TableNormal"/>
    <w:next w:val="TableGrid"/>
    <w:uiPriority w:val="39"/>
    <w:rsid w:val="00BB2788"/>
    <w:pPr>
      <w:spacing w:before="0" w:after="0" w:line="240" w:lineRule="auto"/>
    </w:pPr>
    <w:rPr>
      <w:rFonts w:ascii="Cambria" w:eastAsia="Times New Roman" w:hAnsi="Cambria"/>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BB2788"/>
    <w:pPr>
      <w:spacing w:before="0" w:after="0" w:line="240" w:lineRule="auto"/>
    </w:pPr>
    <w:rPr>
      <w:rFonts w:ascii="Cambria" w:eastAsia="Times New Roman" w:hAnsi="Cambria"/>
      <w:color w:val="000000"/>
      <w:sz w:val="22"/>
      <w:szCs w:val="22"/>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B2788"/>
    <w:pPr>
      <w:spacing w:before="0" w:after="0" w:line="240" w:lineRule="auto"/>
    </w:pPr>
    <w:rPr>
      <w:rFonts w:ascii="Cambria" w:eastAsia="Times New Roman" w:hAnsi="Cambria"/>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1">
    <w:name w:val="Colorful List11"/>
    <w:basedOn w:val="TableNormal"/>
    <w:uiPriority w:val="72"/>
    <w:rsid w:val="00BB2788"/>
    <w:pPr>
      <w:spacing w:before="0" w:after="0" w:line="240" w:lineRule="auto"/>
    </w:pPr>
    <w:rPr>
      <w:rFonts w:ascii="Cambria" w:eastAsia="Times New Roman" w:hAnsi="Cambria"/>
      <w:color w:val="000000"/>
      <w:sz w:val="22"/>
      <w:szCs w:val="22"/>
      <w:lang w:val="en-US" w:eastAsia="en-US"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ntenttable">
    <w:name w:val="content table"/>
    <w:basedOn w:val="TableNormal"/>
    <w:uiPriority w:val="99"/>
    <w:rsid w:val="00BB2788"/>
    <w:pPr>
      <w:spacing w:before="0" w:after="0" w:line="240" w:lineRule="auto"/>
      <w:jc w:val="center"/>
    </w:pPr>
    <w:rPr>
      <w:rFonts w:ascii="Cambria" w:eastAsia="Times New Roman" w:hAnsi="Cambria"/>
      <w:sz w:val="16"/>
      <w:szCs w:val="22"/>
      <w:lang w:val="en-US" w:eastAsia="en-US" w:bidi="en-US"/>
    </w:rPr>
    <w:tblPr/>
    <w:tcPr>
      <w:vAlign w:val="center"/>
    </w:tcPr>
    <w:tblStylePr w:type="lastRow">
      <w:rPr>
        <w:rFonts w:ascii="Cambria" w:hAnsi="Cambria"/>
      </w:rPr>
    </w:tblStylePr>
  </w:style>
  <w:style w:type="paragraph" w:customStyle="1" w:styleId="TableTitle">
    <w:name w:val="Table Title"/>
    <w:basedOn w:val="Contenttext"/>
    <w:link w:val="TableTitleChar"/>
    <w:qFormat/>
    <w:rsid w:val="00BB2788"/>
    <w:pPr>
      <w:spacing w:after="0" w:line="259" w:lineRule="auto"/>
      <w:ind w:left="33"/>
    </w:pPr>
    <w:rPr>
      <w:b/>
      <w:shd w:val="clear" w:color="auto" w:fill="FFFFFF"/>
    </w:rPr>
  </w:style>
  <w:style w:type="paragraph" w:customStyle="1" w:styleId="Source">
    <w:name w:val="Source"/>
    <w:basedOn w:val="Contenttext"/>
    <w:link w:val="SourceChar"/>
    <w:qFormat/>
    <w:rsid w:val="00BB2788"/>
    <w:pPr>
      <w:spacing w:before="120" w:after="0" w:line="259" w:lineRule="auto"/>
      <w:ind w:left="33"/>
      <w:jc w:val="right"/>
    </w:pPr>
    <w:rPr>
      <w:i/>
      <w:sz w:val="18"/>
      <w:szCs w:val="18"/>
      <w:shd w:val="clear" w:color="auto" w:fill="FFFFFF"/>
    </w:rPr>
  </w:style>
  <w:style w:type="character" w:customStyle="1" w:styleId="TableTitleChar">
    <w:name w:val="Table Title Char"/>
    <w:basedOn w:val="ContenttextChar"/>
    <w:link w:val="TableTitle"/>
    <w:rsid w:val="00BB2788"/>
    <w:rPr>
      <w:rFonts w:ascii="Cambria" w:eastAsiaTheme="minorEastAsia" w:hAnsi="Cambria" w:cstheme="minorBidi"/>
      <w:b/>
      <w:sz w:val="22"/>
      <w:szCs w:val="24"/>
      <w:lang w:val="en-US" w:eastAsia="en-US" w:bidi="en-US"/>
    </w:rPr>
  </w:style>
  <w:style w:type="character" w:customStyle="1" w:styleId="SourceChar">
    <w:name w:val="Source Char"/>
    <w:basedOn w:val="ContenttextChar"/>
    <w:link w:val="Source"/>
    <w:rsid w:val="00BB2788"/>
    <w:rPr>
      <w:rFonts w:ascii="Cambria" w:eastAsiaTheme="minorEastAsia" w:hAnsi="Cambria" w:cstheme="minorBidi"/>
      <w:i/>
      <w:sz w:val="18"/>
      <w:szCs w:val="18"/>
      <w:lang w:val="en-US" w:eastAsia="en-US" w:bidi="en-US"/>
    </w:rPr>
  </w:style>
  <w:style w:type="paragraph" w:styleId="TOC4">
    <w:name w:val="toc 4"/>
    <w:basedOn w:val="Normal"/>
    <w:next w:val="Normal"/>
    <w:autoRedefine/>
    <w:uiPriority w:val="39"/>
    <w:unhideWhenUsed/>
    <w:rsid w:val="00BB2788"/>
    <w:pPr>
      <w:spacing w:after="0" w:line="259" w:lineRule="auto"/>
      <w:ind w:left="440"/>
      <w:jc w:val="both"/>
    </w:pPr>
    <w:rPr>
      <w:rFonts w:ascii="Cambria" w:hAnsi="Cambria"/>
      <w:sz w:val="20"/>
      <w:szCs w:val="20"/>
    </w:rPr>
  </w:style>
  <w:style w:type="paragraph" w:styleId="TOC5">
    <w:name w:val="toc 5"/>
    <w:basedOn w:val="Normal"/>
    <w:next w:val="Normal"/>
    <w:autoRedefine/>
    <w:uiPriority w:val="39"/>
    <w:unhideWhenUsed/>
    <w:rsid w:val="00BB2788"/>
    <w:pPr>
      <w:spacing w:after="0" w:line="259" w:lineRule="auto"/>
      <w:ind w:left="660"/>
      <w:jc w:val="both"/>
    </w:pPr>
    <w:rPr>
      <w:rFonts w:ascii="Cambria" w:hAnsi="Cambria"/>
      <w:sz w:val="20"/>
      <w:szCs w:val="20"/>
    </w:rPr>
  </w:style>
  <w:style w:type="paragraph" w:styleId="TOC6">
    <w:name w:val="toc 6"/>
    <w:basedOn w:val="Normal"/>
    <w:next w:val="Normal"/>
    <w:autoRedefine/>
    <w:uiPriority w:val="39"/>
    <w:unhideWhenUsed/>
    <w:rsid w:val="00BB2788"/>
    <w:pPr>
      <w:spacing w:after="0" w:line="259" w:lineRule="auto"/>
      <w:ind w:left="880"/>
      <w:jc w:val="both"/>
    </w:pPr>
    <w:rPr>
      <w:rFonts w:ascii="Cambria" w:hAnsi="Cambria"/>
      <w:sz w:val="20"/>
      <w:szCs w:val="20"/>
    </w:rPr>
  </w:style>
  <w:style w:type="paragraph" w:styleId="TOC7">
    <w:name w:val="toc 7"/>
    <w:basedOn w:val="Normal"/>
    <w:next w:val="Normal"/>
    <w:autoRedefine/>
    <w:uiPriority w:val="39"/>
    <w:unhideWhenUsed/>
    <w:rsid w:val="00BB2788"/>
    <w:pPr>
      <w:spacing w:after="0" w:line="259" w:lineRule="auto"/>
      <w:ind w:left="1100"/>
      <w:jc w:val="both"/>
    </w:pPr>
    <w:rPr>
      <w:rFonts w:ascii="Cambria" w:hAnsi="Cambria"/>
      <w:sz w:val="20"/>
      <w:szCs w:val="20"/>
    </w:rPr>
  </w:style>
  <w:style w:type="paragraph" w:styleId="TOC8">
    <w:name w:val="toc 8"/>
    <w:basedOn w:val="Normal"/>
    <w:next w:val="Normal"/>
    <w:autoRedefine/>
    <w:uiPriority w:val="39"/>
    <w:unhideWhenUsed/>
    <w:rsid w:val="00BB2788"/>
    <w:pPr>
      <w:spacing w:after="0" w:line="259" w:lineRule="auto"/>
      <w:ind w:left="1320"/>
      <w:jc w:val="both"/>
    </w:pPr>
    <w:rPr>
      <w:rFonts w:ascii="Cambria" w:hAnsi="Cambria"/>
      <w:sz w:val="20"/>
      <w:szCs w:val="20"/>
    </w:rPr>
  </w:style>
  <w:style w:type="paragraph" w:styleId="TOC9">
    <w:name w:val="toc 9"/>
    <w:basedOn w:val="Normal"/>
    <w:next w:val="Normal"/>
    <w:autoRedefine/>
    <w:uiPriority w:val="39"/>
    <w:unhideWhenUsed/>
    <w:rsid w:val="00BB2788"/>
    <w:pPr>
      <w:spacing w:after="0" w:line="259" w:lineRule="auto"/>
      <w:ind w:left="1540"/>
      <w:jc w:val="both"/>
    </w:pPr>
    <w:rPr>
      <w:rFonts w:ascii="Cambria" w:hAnsi="Cambria"/>
      <w:sz w:val="20"/>
      <w:szCs w:val="20"/>
    </w:rPr>
  </w:style>
  <w:style w:type="character" w:customStyle="1" w:styleId="FiguresTitleChar">
    <w:name w:val="Figures Title Char"/>
    <w:basedOn w:val="ContenttextChar"/>
    <w:link w:val="FiguresTitle"/>
    <w:rsid w:val="00BB2788"/>
    <w:rPr>
      <w:rFonts w:ascii="Cambria" w:eastAsiaTheme="minorEastAsia" w:hAnsi="Cambria" w:cstheme="minorBidi"/>
      <w:b/>
      <w:sz w:val="22"/>
      <w:szCs w:val="24"/>
      <w:lang w:val="en-US" w:eastAsia="en-US" w:bidi="en-US"/>
    </w:rPr>
  </w:style>
  <w:style w:type="paragraph" w:styleId="NormalWeb">
    <w:name w:val="Normal (Web)"/>
    <w:basedOn w:val="Normal"/>
    <w:uiPriority w:val="99"/>
    <w:unhideWhenUsed/>
    <w:rsid w:val="00BB2788"/>
    <w:pPr>
      <w:spacing w:before="100" w:beforeAutospacing="1" w:after="100" w:afterAutospacing="1" w:line="240" w:lineRule="auto"/>
      <w:ind w:left="33"/>
      <w:jc w:val="both"/>
    </w:pPr>
    <w:rPr>
      <w:rFonts w:ascii="Times New Roman" w:eastAsia="Times New Roman" w:hAnsi="Times New Roman" w:cs="Times New Roman"/>
      <w:sz w:val="24"/>
      <w:szCs w:val="24"/>
      <w:lang w:bidi="ar-SA"/>
    </w:rPr>
  </w:style>
  <w:style w:type="table" w:customStyle="1" w:styleId="GRMTable1">
    <w:name w:val="GRM Table1"/>
    <w:basedOn w:val="TableNormal"/>
    <w:next w:val="TableGrid"/>
    <w:uiPriority w:val="39"/>
    <w:rsid w:val="00BB2788"/>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Callouttext2">
    <w:name w:val="Call out text 2"/>
    <w:link w:val="Callouttext2Char"/>
    <w:qFormat/>
    <w:rsid w:val="00BB2788"/>
    <w:pPr>
      <w:suppressAutoHyphens/>
    </w:pPr>
    <w:rPr>
      <w:rFonts w:cs="Arial"/>
      <w:color w:val="64A70B"/>
    </w:rPr>
  </w:style>
  <w:style w:type="character" w:customStyle="1" w:styleId="Callouttext2Char">
    <w:name w:val="Call out text 2 Char"/>
    <w:link w:val="Callouttext2"/>
    <w:rsid w:val="00BB2788"/>
    <w:rPr>
      <w:rFonts w:cs="Arial"/>
      <w:color w:val="64A70B"/>
    </w:rPr>
  </w:style>
  <w:style w:type="table" w:customStyle="1" w:styleId="TableGridLight11">
    <w:name w:val="Table Grid Light11"/>
    <w:aliases w:val="Palladium Basic"/>
    <w:basedOn w:val="TableNormal"/>
    <w:uiPriority w:val="40"/>
    <w:rsid w:val="00BB278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BB2788"/>
    <w:rPr>
      <w:sz w:val="16"/>
      <w:szCs w:val="16"/>
    </w:rPr>
  </w:style>
  <w:style w:type="paragraph" w:styleId="CommentText">
    <w:name w:val="annotation text"/>
    <w:basedOn w:val="Normal"/>
    <w:link w:val="CommentTextChar"/>
    <w:uiPriority w:val="99"/>
    <w:unhideWhenUsed/>
    <w:rsid w:val="00BB2788"/>
    <w:pPr>
      <w:spacing w:after="0" w:line="240" w:lineRule="auto"/>
      <w:ind w:left="33"/>
      <w:jc w:val="both"/>
    </w:pPr>
    <w:rPr>
      <w:rFonts w:ascii="Cambria" w:hAnsi="Cambria"/>
      <w:sz w:val="20"/>
      <w:szCs w:val="20"/>
    </w:rPr>
  </w:style>
  <w:style w:type="character" w:customStyle="1" w:styleId="CommentTextChar">
    <w:name w:val="Comment Text Char"/>
    <w:basedOn w:val="DefaultParagraphFont"/>
    <w:link w:val="CommentText"/>
    <w:uiPriority w:val="99"/>
    <w:rsid w:val="00BB2788"/>
    <w:rPr>
      <w:rFonts w:ascii="Cambria" w:eastAsiaTheme="minorEastAsia" w:hAnsi="Cambria" w:cstheme="minorBidi"/>
      <w:lang w:val="en-US" w:eastAsia="en-US" w:bidi="en-US"/>
    </w:rPr>
  </w:style>
  <w:style w:type="paragraph" w:styleId="CommentSubject">
    <w:name w:val="annotation subject"/>
    <w:basedOn w:val="CommentText"/>
    <w:next w:val="CommentText"/>
    <w:link w:val="CommentSubjectChar"/>
    <w:uiPriority w:val="99"/>
    <w:semiHidden/>
    <w:unhideWhenUsed/>
    <w:rsid w:val="00BB2788"/>
    <w:rPr>
      <w:b/>
      <w:bCs/>
    </w:rPr>
  </w:style>
  <w:style w:type="character" w:customStyle="1" w:styleId="CommentSubjectChar">
    <w:name w:val="Comment Subject Char"/>
    <w:basedOn w:val="CommentTextChar"/>
    <w:link w:val="CommentSubject"/>
    <w:uiPriority w:val="99"/>
    <w:semiHidden/>
    <w:rsid w:val="00BB2788"/>
    <w:rPr>
      <w:rFonts w:ascii="Cambria" w:eastAsiaTheme="minorEastAsia" w:hAnsi="Cambria" w:cstheme="minorBidi"/>
      <w:b/>
      <w:bCs/>
      <w:lang w:val="en-US" w:eastAsia="en-US" w:bidi="en-US"/>
    </w:rPr>
  </w:style>
  <w:style w:type="paragraph" w:customStyle="1" w:styleId="Bullet2">
    <w:name w:val="Bullet 2"/>
    <w:link w:val="Bullet2Char"/>
    <w:qFormat/>
    <w:rsid w:val="00BB2788"/>
    <w:pPr>
      <w:suppressAutoHyphens/>
    </w:pPr>
    <w:rPr>
      <w:rFonts w:cs="Arial"/>
      <w:color w:val="000000"/>
      <w:szCs w:val="22"/>
      <w:lang w:eastAsia="en-US"/>
    </w:rPr>
  </w:style>
  <w:style w:type="character" w:customStyle="1" w:styleId="Bullet2Char">
    <w:name w:val="Bullet 2 Char"/>
    <w:basedOn w:val="DefaultParagraphFont"/>
    <w:link w:val="Bullet2"/>
    <w:rsid w:val="00BB2788"/>
    <w:rPr>
      <w:rFonts w:cs="Arial"/>
      <w:color w:val="000000"/>
      <w:szCs w:val="22"/>
      <w:lang w:eastAsia="en-US"/>
    </w:rPr>
  </w:style>
  <w:style w:type="table" w:customStyle="1" w:styleId="GridTable1Light-Accent21">
    <w:name w:val="Grid Table 1 Light - Accent 21"/>
    <w:basedOn w:val="TableNormal"/>
    <w:uiPriority w:val="46"/>
    <w:rsid w:val="00BB278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ColorfulList12">
    <w:name w:val="Colorful List12"/>
    <w:basedOn w:val="TableNormal"/>
    <w:uiPriority w:val="72"/>
    <w:rsid w:val="00BB2788"/>
    <w:pPr>
      <w:spacing w:before="0" w:after="0" w:line="240" w:lineRule="auto"/>
    </w:pPr>
    <w:rPr>
      <w:rFonts w:ascii="Cambria" w:eastAsia="Times New Roman" w:hAnsi="Cambria"/>
      <w:color w:val="000000"/>
      <w:sz w:val="22"/>
      <w:szCs w:val="22"/>
      <w:lang w:val="en-US" w:eastAsia="en-US"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13">
    <w:name w:val="Colorful List13"/>
    <w:basedOn w:val="TableNormal"/>
    <w:uiPriority w:val="72"/>
    <w:rsid w:val="00BB2788"/>
    <w:pPr>
      <w:spacing w:before="0" w:after="0" w:line="240" w:lineRule="auto"/>
    </w:pPr>
    <w:rPr>
      <w:rFonts w:ascii="Cambria" w:eastAsia="Times New Roman" w:hAnsi="Cambria"/>
      <w:color w:val="000000"/>
      <w:sz w:val="22"/>
      <w:szCs w:val="22"/>
      <w:lang w:val="en-US" w:eastAsia="en-US"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14">
    <w:name w:val="Colorful List14"/>
    <w:basedOn w:val="TableNormal"/>
    <w:uiPriority w:val="72"/>
    <w:rsid w:val="00BB2788"/>
    <w:pPr>
      <w:spacing w:before="0" w:after="0" w:line="240" w:lineRule="auto"/>
    </w:pPr>
    <w:rPr>
      <w:rFonts w:ascii="Cambria" w:eastAsia="Times New Roman" w:hAnsi="Cambria"/>
      <w:color w:val="000000"/>
      <w:sz w:val="22"/>
      <w:szCs w:val="22"/>
      <w:lang w:val="en-US" w:eastAsia="en-US"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15">
    <w:name w:val="Colorful List15"/>
    <w:basedOn w:val="TableNormal"/>
    <w:uiPriority w:val="72"/>
    <w:rsid w:val="00BB2788"/>
    <w:pPr>
      <w:spacing w:before="0" w:after="0" w:line="240" w:lineRule="auto"/>
    </w:pPr>
    <w:rPr>
      <w:rFonts w:ascii="Cambria" w:eastAsia="Times New Roman" w:hAnsi="Cambria"/>
      <w:color w:val="000000"/>
      <w:sz w:val="22"/>
      <w:szCs w:val="22"/>
      <w:lang w:val="en-US" w:eastAsia="en-US"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BulletedList">
    <w:name w:val="Bulleted List"/>
    <w:basedOn w:val="Normal"/>
    <w:uiPriority w:val="10"/>
    <w:qFormat/>
    <w:rsid w:val="00BB2788"/>
    <w:pPr>
      <w:numPr>
        <w:numId w:val="16"/>
      </w:numPr>
      <w:spacing w:before="120" w:after="240" w:line="259" w:lineRule="auto"/>
      <w:ind w:left="2421"/>
      <w:jc w:val="both"/>
    </w:pPr>
    <w:rPr>
      <w:rFonts w:ascii="Arial" w:eastAsia="Cambria" w:hAnsi="Arial"/>
      <w:sz w:val="20"/>
      <w:lang w:val="en-GB" w:bidi="ar-SA"/>
    </w:rPr>
  </w:style>
  <w:style w:type="character" w:customStyle="1" w:styleId="apple-converted-space">
    <w:name w:val="apple-converted-space"/>
    <w:basedOn w:val="DefaultParagraphFont"/>
    <w:rsid w:val="00BB2788"/>
  </w:style>
  <w:style w:type="numbering" w:customStyle="1" w:styleId="HeadList21">
    <w:name w:val="Head List 21"/>
    <w:uiPriority w:val="99"/>
    <w:rsid w:val="00BB2788"/>
    <w:pPr>
      <w:numPr>
        <w:numId w:val="4"/>
      </w:numPr>
    </w:pPr>
  </w:style>
  <w:style w:type="character" w:customStyle="1" w:styleId="NumberedbulletChar">
    <w:name w:val="Numbered bullet Char"/>
    <w:basedOn w:val="ListParagraphChar"/>
    <w:link w:val="Numberedbullet"/>
    <w:rsid w:val="00BB2788"/>
    <w:rPr>
      <w:rFonts w:ascii="Cambria" w:eastAsiaTheme="minorHAnsi" w:hAnsi="Cambria" w:cstheme="minorBidi"/>
      <w:sz w:val="22"/>
      <w:szCs w:val="22"/>
      <w:lang w:val="en-US" w:eastAsia="en-US" w:bidi="en-US"/>
    </w:rPr>
  </w:style>
  <w:style w:type="table" w:customStyle="1" w:styleId="PlainTable11">
    <w:name w:val="Plain Table 11"/>
    <w:basedOn w:val="TableNormal"/>
    <w:uiPriority w:val="41"/>
    <w:rsid w:val="00BB2788"/>
    <w:pPr>
      <w:spacing w:before="0" w:after="0" w:line="240" w:lineRule="auto"/>
    </w:pPr>
    <w:rPr>
      <w:rFonts w:ascii="Cambria" w:eastAsia="Cambria" w:hAnsi="Cambria"/>
      <w:sz w:val="22"/>
      <w:szCs w:val="22"/>
      <w:lang w:val="en-AU"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BB2788"/>
    <w:pPr>
      <w:spacing w:before="0" w:after="0" w:line="240" w:lineRule="auto"/>
    </w:pPr>
    <w:rPr>
      <w:rFonts w:ascii="Cambria" w:eastAsia="Times New Roman" w:hAnsi="Cambria"/>
      <w:sz w:val="22"/>
      <w:szCs w:val="22"/>
      <w:lang w:val="en-US" w:eastAsia="en-US" w:bidi="en-US"/>
    </w:rPr>
  </w:style>
  <w:style w:type="paragraph" w:customStyle="1" w:styleId="Style3">
    <w:name w:val="Style3"/>
    <w:basedOn w:val="Heading2"/>
    <w:autoRedefine/>
    <w:qFormat/>
    <w:rsid w:val="00BB2788"/>
    <w:pPr>
      <w:numPr>
        <w:numId w:val="17"/>
      </w:numPr>
      <w:tabs>
        <w:tab w:val="clear" w:pos="1440"/>
        <w:tab w:val="num" w:pos="850"/>
      </w:tabs>
      <w:spacing w:after="200" w:line="260" w:lineRule="atLeast"/>
      <w:ind w:left="0" w:right="207" w:firstLine="0"/>
      <w:jc w:val="both"/>
    </w:pPr>
    <w:rPr>
      <w:color w:val="000000"/>
      <w:sz w:val="28"/>
      <w:lang w:val="en-GB" w:eastAsia="en-AU" w:bidi="ar-SA"/>
    </w:rPr>
  </w:style>
  <w:style w:type="paragraph" w:customStyle="1" w:styleId="ChapterTitleNumber">
    <w:name w:val="Chapter Title Number"/>
    <w:basedOn w:val="ChapterTitle0"/>
    <w:qFormat/>
    <w:rsid w:val="00227222"/>
    <w:pPr>
      <w:spacing w:after="0" w:line="240" w:lineRule="auto"/>
      <w:ind w:left="33" w:right="207"/>
      <w:jc w:val="both"/>
    </w:pPr>
    <w:rPr>
      <w:rFonts w:asciiTheme="majorHAnsi" w:hAnsiTheme="majorHAnsi"/>
      <w:sz w:val="28"/>
      <w:szCs w:val="28"/>
    </w:rPr>
  </w:style>
  <w:style w:type="table" w:customStyle="1" w:styleId="TableGrid3">
    <w:name w:val="Table Grid3"/>
    <w:basedOn w:val="TableNormal"/>
    <w:next w:val="TableGrid"/>
    <w:uiPriority w:val="39"/>
    <w:rsid w:val="00BB2788"/>
    <w:pPr>
      <w:spacing w:before="0" w:after="0" w:line="240" w:lineRule="auto"/>
    </w:pPr>
    <w:rPr>
      <w:rFonts w:ascii="Cambria" w:eastAsia="Times New Roman" w:hAnsi="Cambria"/>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List16">
    <w:name w:val="Colorful List16"/>
    <w:basedOn w:val="TableNormal"/>
    <w:uiPriority w:val="72"/>
    <w:rsid w:val="00BB2788"/>
    <w:pPr>
      <w:spacing w:before="0" w:after="0" w:line="240" w:lineRule="auto"/>
    </w:pPr>
    <w:rPr>
      <w:rFonts w:ascii="Cambria" w:eastAsia="Times New Roman" w:hAnsi="Cambria"/>
      <w:color w:val="000000"/>
      <w:sz w:val="22"/>
      <w:szCs w:val="22"/>
      <w:lang w:val="en-US" w:eastAsia="en-US"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Subtitle">
    <w:name w:val="Subtitle"/>
    <w:basedOn w:val="Normal"/>
    <w:next w:val="Normal"/>
    <w:link w:val="SubtitleChar"/>
    <w:uiPriority w:val="11"/>
    <w:qFormat/>
    <w:rsid w:val="00C252C1"/>
    <w:pPr>
      <w:spacing w:before="120" w:after="120" w:line="257" w:lineRule="auto"/>
      <w:ind w:right="96"/>
      <w:contextualSpacing/>
      <w:jc w:val="both"/>
    </w:pPr>
    <w:rPr>
      <w:rFonts w:ascii="Cambria" w:hAnsi="Cambria"/>
      <w:b/>
      <w:color w:val="000000"/>
    </w:rPr>
  </w:style>
  <w:style w:type="character" w:customStyle="1" w:styleId="SubtitleChar1">
    <w:name w:val="Subtitle Char1"/>
    <w:basedOn w:val="DefaultParagraphFont"/>
    <w:uiPriority w:val="11"/>
    <w:rsid w:val="00BB2788"/>
    <w:rPr>
      <w:rFonts w:asciiTheme="minorHAnsi" w:eastAsiaTheme="minorEastAsia" w:hAnsiTheme="minorHAnsi" w:cstheme="minorBidi"/>
      <w:color w:val="5A5A5A" w:themeColor="text1" w:themeTint="A5"/>
      <w:spacing w:val="15"/>
      <w:sz w:val="22"/>
      <w:szCs w:val="22"/>
      <w:lang w:val="en-US" w:eastAsia="en-US" w:bidi="en-US"/>
    </w:rPr>
  </w:style>
  <w:style w:type="table" w:customStyle="1" w:styleId="ColorfulList17">
    <w:name w:val="Colorful List17"/>
    <w:basedOn w:val="TableNormal"/>
    <w:uiPriority w:val="72"/>
    <w:rsid w:val="00B07BE7"/>
    <w:pPr>
      <w:spacing w:before="0" w:after="0" w:line="240" w:lineRule="auto"/>
    </w:pPr>
    <w:rPr>
      <w:rFonts w:ascii="Cambria" w:eastAsia="Times New Roman" w:hAnsi="Cambria"/>
      <w:color w:val="000000"/>
      <w:sz w:val="22"/>
      <w:szCs w:val="22"/>
      <w:lang w:val="en-US" w:eastAsia="en-US"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EndnoteText">
    <w:name w:val="endnote text"/>
    <w:basedOn w:val="Normal"/>
    <w:link w:val="EndnoteTextChar"/>
    <w:uiPriority w:val="99"/>
    <w:semiHidden/>
    <w:unhideWhenUsed/>
    <w:rsid w:val="00737C89"/>
    <w:pPr>
      <w:spacing w:after="0" w:line="240" w:lineRule="auto"/>
    </w:pPr>
    <w:rPr>
      <w:rFonts w:eastAsiaTheme="minorHAnsi"/>
      <w:sz w:val="20"/>
      <w:szCs w:val="20"/>
      <w:lang w:val="en-AU" w:bidi="ar-SA"/>
    </w:rPr>
  </w:style>
  <w:style w:type="character" w:customStyle="1" w:styleId="EndnoteTextChar">
    <w:name w:val="Endnote Text Char"/>
    <w:basedOn w:val="DefaultParagraphFont"/>
    <w:link w:val="EndnoteText"/>
    <w:uiPriority w:val="99"/>
    <w:semiHidden/>
    <w:rsid w:val="00737C89"/>
    <w:rPr>
      <w:rFonts w:asciiTheme="minorHAnsi" w:eastAsiaTheme="minorHAnsi" w:hAnsiTheme="minorHAnsi" w:cstheme="minorBidi"/>
      <w:lang w:val="en-AU" w:eastAsia="en-US"/>
    </w:rPr>
  </w:style>
  <w:style w:type="character" w:styleId="EndnoteReference">
    <w:name w:val="endnote reference"/>
    <w:basedOn w:val="DefaultParagraphFont"/>
    <w:uiPriority w:val="99"/>
    <w:semiHidden/>
    <w:unhideWhenUsed/>
    <w:rsid w:val="00737C89"/>
    <w:rPr>
      <w:vertAlign w:val="superscript"/>
    </w:rPr>
  </w:style>
  <w:style w:type="table" w:customStyle="1" w:styleId="Style11">
    <w:name w:val="Style11"/>
    <w:basedOn w:val="TableGrid4"/>
    <w:uiPriority w:val="99"/>
    <w:rsid w:val="00052BEF"/>
    <w:pPr>
      <w:spacing w:after="0" w:line="240" w:lineRule="auto"/>
    </w:pPr>
    <w:rPr>
      <w:rFonts w:ascii="Cambria" w:hAnsi="Cambria"/>
      <w:color w:val="FFFFFF"/>
      <w:lang w:val="en-AU" w:eastAsia="en-AU"/>
    </w:rPr>
    <w:tblPr>
      <w:tblStyleRowBandSize w:val="1"/>
      <w:tblBorders>
        <w:left w:val="single" w:sz="6" w:space="0" w:color="FFFFFF"/>
        <w:right w:val="single" w:sz="6" w:space="0" w:color="FFFFFF"/>
        <w:insideH w:val="single" w:sz="6" w:space="0" w:color="FFFFFF"/>
        <w:insideV w:val="single" w:sz="6" w:space="0" w:color="FFFFFF"/>
      </w:tblBorders>
    </w:tblPr>
    <w:tcPr>
      <w:shd w:val="clear" w:color="auto" w:fill="FFFFFF"/>
    </w:tcPr>
    <w:tblStylePr w:type="firstRow">
      <w:pPr>
        <w:wordWrap/>
        <w:jc w:val="left"/>
        <w:outlineLvl w:val="9"/>
      </w:pPr>
      <w:rPr>
        <w:rFonts w:ascii="Cambria" w:hAnsi="Cambria"/>
        <w:color w:val="FFFFFF"/>
        <w:sz w:val="22"/>
      </w:rPr>
      <w:tblPr/>
      <w:tcPr>
        <w:tcBorders>
          <w:top w:val="nil"/>
          <w:left w:val="nil"/>
          <w:bottom w:val="nil"/>
          <w:right w:val="nil"/>
          <w:insideH w:val="nil"/>
          <w:insideV w:val="nil"/>
          <w:tl2br w:val="none" w:sz="0" w:space="0" w:color="auto"/>
          <w:tr2bl w:val="none" w:sz="0" w:space="0" w:color="auto"/>
        </w:tcBorders>
        <w:shd w:val="clear" w:color="auto" w:fill="44546A"/>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tblStylePr w:type="band1Horz">
      <w:rPr>
        <w:rFonts w:ascii="Cambria" w:hAnsi="Cambria"/>
        <w:color w:val="auto"/>
        <w:sz w:val="20"/>
      </w:rPr>
      <w:tblPr/>
      <w:tcPr>
        <w:shd w:val="clear" w:color="auto" w:fill="BFBFBF"/>
      </w:tcPr>
    </w:tblStylePr>
    <w:tblStylePr w:type="band2Horz">
      <w:rPr>
        <w:rFonts w:ascii="Cambria" w:hAnsi="Cambria"/>
        <w:color w:val="000000"/>
        <w:sz w:val="20"/>
      </w:rPr>
      <w:tblPr/>
      <w:tcPr>
        <w:shd w:val="clear" w:color="auto" w:fill="D9D9D9"/>
      </w:tcPr>
    </w:tblStylePr>
  </w:style>
  <w:style w:type="table" w:customStyle="1" w:styleId="Style12">
    <w:name w:val="Style12"/>
    <w:basedOn w:val="TableGrid4"/>
    <w:uiPriority w:val="99"/>
    <w:rsid w:val="00052BEF"/>
    <w:pPr>
      <w:spacing w:after="0" w:line="240" w:lineRule="auto"/>
    </w:pPr>
    <w:rPr>
      <w:rFonts w:ascii="Cambria" w:hAnsi="Cambria"/>
      <w:color w:val="FFFFFF"/>
      <w:lang w:val="en-AU" w:eastAsia="en-AU"/>
    </w:rPr>
    <w:tblPr>
      <w:tblStyleRowBandSize w:val="1"/>
      <w:tblBorders>
        <w:left w:val="single" w:sz="6" w:space="0" w:color="FFFFFF"/>
        <w:right w:val="single" w:sz="6" w:space="0" w:color="FFFFFF"/>
        <w:insideH w:val="single" w:sz="6" w:space="0" w:color="FFFFFF"/>
        <w:insideV w:val="single" w:sz="6" w:space="0" w:color="FFFFFF"/>
      </w:tblBorders>
    </w:tblPr>
    <w:tcPr>
      <w:shd w:val="clear" w:color="auto" w:fill="FFFFFF"/>
    </w:tcPr>
    <w:tblStylePr w:type="firstRow">
      <w:pPr>
        <w:wordWrap/>
        <w:jc w:val="left"/>
        <w:outlineLvl w:val="9"/>
      </w:pPr>
      <w:rPr>
        <w:rFonts w:ascii="Cambria" w:hAnsi="Cambria"/>
        <w:color w:val="FFFFFF"/>
        <w:sz w:val="22"/>
      </w:rPr>
      <w:tblPr/>
      <w:tcPr>
        <w:tcBorders>
          <w:top w:val="nil"/>
          <w:left w:val="nil"/>
          <w:bottom w:val="nil"/>
          <w:right w:val="nil"/>
          <w:insideH w:val="nil"/>
          <w:insideV w:val="nil"/>
          <w:tl2br w:val="none" w:sz="0" w:space="0" w:color="auto"/>
          <w:tr2bl w:val="none" w:sz="0" w:space="0" w:color="auto"/>
        </w:tcBorders>
        <w:shd w:val="clear" w:color="auto" w:fill="44546A"/>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tblStylePr w:type="band1Horz">
      <w:rPr>
        <w:rFonts w:ascii="Cambria" w:hAnsi="Cambria"/>
        <w:color w:val="auto"/>
        <w:sz w:val="20"/>
      </w:rPr>
      <w:tblPr/>
      <w:tcPr>
        <w:shd w:val="clear" w:color="auto" w:fill="BFBFBF"/>
      </w:tcPr>
    </w:tblStylePr>
    <w:tblStylePr w:type="band2Horz">
      <w:rPr>
        <w:rFonts w:ascii="Cambria" w:hAnsi="Cambria"/>
        <w:color w:val="000000"/>
        <w:sz w:val="20"/>
      </w:rPr>
      <w:tblPr/>
      <w:tcPr>
        <w:shd w:val="clear" w:color="auto" w:fill="D9D9D9"/>
      </w:tcPr>
    </w:tblStylePr>
  </w:style>
  <w:style w:type="paragraph" w:styleId="PlainText">
    <w:name w:val="Plain Text"/>
    <w:basedOn w:val="Normal"/>
    <w:link w:val="PlainTextChar"/>
    <w:uiPriority w:val="99"/>
    <w:unhideWhenUsed/>
    <w:rsid w:val="003D05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D054E"/>
    <w:rPr>
      <w:rFonts w:ascii="Consolas" w:eastAsiaTheme="minorEastAsia" w:hAnsi="Consolas" w:cs="Consolas"/>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6105">
      <w:bodyDiv w:val="1"/>
      <w:marLeft w:val="0"/>
      <w:marRight w:val="0"/>
      <w:marTop w:val="0"/>
      <w:marBottom w:val="0"/>
      <w:divBdr>
        <w:top w:val="none" w:sz="0" w:space="0" w:color="auto"/>
        <w:left w:val="none" w:sz="0" w:space="0" w:color="auto"/>
        <w:bottom w:val="none" w:sz="0" w:space="0" w:color="auto"/>
        <w:right w:val="none" w:sz="0" w:space="0" w:color="auto"/>
      </w:divBdr>
    </w:div>
    <w:div w:id="264967837">
      <w:bodyDiv w:val="1"/>
      <w:marLeft w:val="0"/>
      <w:marRight w:val="0"/>
      <w:marTop w:val="0"/>
      <w:marBottom w:val="0"/>
      <w:divBdr>
        <w:top w:val="none" w:sz="0" w:space="0" w:color="auto"/>
        <w:left w:val="none" w:sz="0" w:space="0" w:color="auto"/>
        <w:bottom w:val="none" w:sz="0" w:space="0" w:color="auto"/>
        <w:right w:val="none" w:sz="0" w:space="0" w:color="auto"/>
      </w:divBdr>
    </w:div>
    <w:div w:id="269093149">
      <w:bodyDiv w:val="1"/>
      <w:marLeft w:val="0"/>
      <w:marRight w:val="0"/>
      <w:marTop w:val="0"/>
      <w:marBottom w:val="0"/>
      <w:divBdr>
        <w:top w:val="none" w:sz="0" w:space="0" w:color="auto"/>
        <w:left w:val="none" w:sz="0" w:space="0" w:color="auto"/>
        <w:bottom w:val="none" w:sz="0" w:space="0" w:color="auto"/>
        <w:right w:val="none" w:sz="0" w:space="0" w:color="auto"/>
      </w:divBdr>
    </w:div>
    <w:div w:id="391387941">
      <w:bodyDiv w:val="1"/>
      <w:marLeft w:val="0"/>
      <w:marRight w:val="0"/>
      <w:marTop w:val="0"/>
      <w:marBottom w:val="0"/>
      <w:divBdr>
        <w:top w:val="none" w:sz="0" w:space="0" w:color="auto"/>
        <w:left w:val="none" w:sz="0" w:space="0" w:color="auto"/>
        <w:bottom w:val="none" w:sz="0" w:space="0" w:color="auto"/>
        <w:right w:val="none" w:sz="0" w:space="0" w:color="auto"/>
      </w:divBdr>
    </w:div>
    <w:div w:id="501970112">
      <w:bodyDiv w:val="1"/>
      <w:marLeft w:val="0"/>
      <w:marRight w:val="0"/>
      <w:marTop w:val="0"/>
      <w:marBottom w:val="0"/>
      <w:divBdr>
        <w:top w:val="none" w:sz="0" w:space="0" w:color="auto"/>
        <w:left w:val="none" w:sz="0" w:space="0" w:color="auto"/>
        <w:bottom w:val="none" w:sz="0" w:space="0" w:color="auto"/>
        <w:right w:val="none" w:sz="0" w:space="0" w:color="auto"/>
      </w:divBdr>
    </w:div>
    <w:div w:id="519319116">
      <w:bodyDiv w:val="1"/>
      <w:marLeft w:val="0"/>
      <w:marRight w:val="0"/>
      <w:marTop w:val="0"/>
      <w:marBottom w:val="0"/>
      <w:divBdr>
        <w:top w:val="none" w:sz="0" w:space="0" w:color="auto"/>
        <w:left w:val="none" w:sz="0" w:space="0" w:color="auto"/>
        <w:bottom w:val="none" w:sz="0" w:space="0" w:color="auto"/>
        <w:right w:val="none" w:sz="0" w:space="0" w:color="auto"/>
      </w:divBdr>
    </w:div>
    <w:div w:id="556429191">
      <w:bodyDiv w:val="1"/>
      <w:marLeft w:val="0"/>
      <w:marRight w:val="0"/>
      <w:marTop w:val="0"/>
      <w:marBottom w:val="0"/>
      <w:divBdr>
        <w:top w:val="none" w:sz="0" w:space="0" w:color="auto"/>
        <w:left w:val="none" w:sz="0" w:space="0" w:color="auto"/>
        <w:bottom w:val="none" w:sz="0" w:space="0" w:color="auto"/>
        <w:right w:val="none" w:sz="0" w:space="0" w:color="auto"/>
      </w:divBdr>
    </w:div>
    <w:div w:id="718095208">
      <w:bodyDiv w:val="1"/>
      <w:marLeft w:val="0"/>
      <w:marRight w:val="0"/>
      <w:marTop w:val="0"/>
      <w:marBottom w:val="0"/>
      <w:divBdr>
        <w:top w:val="none" w:sz="0" w:space="0" w:color="auto"/>
        <w:left w:val="none" w:sz="0" w:space="0" w:color="auto"/>
        <w:bottom w:val="none" w:sz="0" w:space="0" w:color="auto"/>
        <w:right w:val="none" w:sz="0" w:space="0" w:color="auto"/>
      </w:divBdr>
    </w:div>
    <w:div w:id="848561416">
      <w:bodyDiv w:val="1"/>
      <w:marLeft w:val="0"/>
      <w:marRight w:val="0"/>
      <w:marTop w:val="0"/>
      <w:marBottom w:val="0"/>
      <w:divBdr>
        <w:top w:val="none" w:sz="0" w:space="0" w:color="auto"/>
        <w:left w:val="none" w:sz="0" w:space="0" w:color="auto"/>
        <w:bottom w:val="none" w:sz="0" w:space="0" w:color="auto"/>
        <w:right w:val="none" w:sz="0" w:space="0" w:color="auto"/>
      </w:divBdr>
    </w:div>
    <w:div w:id="871963148">
      <w:bodyDiv w:val="1"/>
      <w:marLeft w:val="0"/>
      <w:marRight w:val="0"/>
      <w:marTop w:val="0"/>
      <w:marBottom w:val="0"/>
      <w:divBdr>
        <w:top w:val="none" w:sz="0" w:space="0" w:color="auto"/>
        <w:left w:val="none" w:sz="0" w:space="0" w:color="auto"/>
        <w:bottom w:val="none" w:sz="0" w:space="0" w:color="auto"/>
        <w:right w:val="none" w:sz="0" w:space="0" w:color="auto"/>
      </w:divBdr>
    </w:div>
    <w:div w:id="1049694055">
      <w:bodyDiv w:val="1"/>
      <w:marLeft w:val="0"/>
      <w:marRight w:val="0"/>
      <w:marTop w:val="0"/>
      <w:marBottom w:val="0"/>
      <w:divBdr>
        <w:top w:val="none" w:sz="0" w:space="0" w:color="auto"/>
        <w:left w:val="none" w:sz="0" w:space="0" w:color="auto"/>
        <w:bottom w:val="none" w:sz="0" w:space="0" w:color="auto"/>
        <w:right w:val="none" w:sz="0" w:space="0" w:color="auto"/>
      </w:divBdr>
    </w:div>
    <w:div w:id="1264612448">
      <w:bodyDiv w:val="1"/>
      <w:marLeft w:val="0"/>
      <w:marRight w:val="0"/>
      <w:marTop w:val="0"/>
      <w:marBottom w:val="0"/>
      <w:divBdr>
        <w:top w:val="none" w:sz="0" w:space="0" w:color="auto"/>
        <w:left w:val="none" w:sz="0" w:space="0" w:color="auto"/>
        <w:bottom w:val="none" w:sz="0" w:space="0" w:color="auto"/>
        <w:right w:val="none" w:sz="0" w:space="0" w:color="auto"/>
      </w:divBdr>
    </w:div>
    <w:div w:id="1312248855">
      <w:bodyDiv w:val="1"/>
      <w:marLeft w:val="0"/>
      <w:marRight w:val="0"/>
      <w:marTop w:val="0"/>
      <w:marBottom w:val="0"/>
      <w:divBdr>
        <w:top w:val="none" w:sz="0" w:space="0" w:color="auto"/>
        <w:left w:val="none" w:sz="0" w:space="0" w:color="auto"/>
        <w:bottom w:val="none" w:sz="0" w:space="0" w:color="auto"/>
        <w:right w:val="none" w:sz="0" w:space="0" w:color="auto"/>
      </w:divBdr>
    </w:div>
    <w:div w:id="1337803703">
      <w:bodyDiv w:val="1"/>
      <w:marLeft w:val="0"/>
      <w:marRight w:val="0"/>
      <w:marTop w:val="0"/>
      <w:marBottom w:val="0"/>
      <w:divBdr>
        <w:top w:val="none" w:sz="0" w:space="0" w:color="auto"/>
        <w:left w:val="none" w:sz="0" w:space="0" w:color="auto"/>
        <w:bottom w:val="none" w:sz="0" w:space="0" w:color="auto"/>
        <w:right w:val="none" w:sz="0" w:space="0" w:color="auto"/>
      </w:divBdr>
    </w:div>
    <w:div w:id="1392464931">
      <w:bodyDiv w:val="1"/>
      <w:marLeft w:val="0"/>
      <w:marRight w:val="0"/>
      <w:marTop w:val="0"/>
      <w:marBottom w:val="0"/>
      <w:divBdr>
        <w:top w:val="none" w:sz="0" w:space="0" w:color="auto"/>
        <w:left w:val="none" w:sz="0" w:space="0" w:color="auto"/>
        <w:bottom w:val="none" w:sz="0" w:space="0" w:color="auto"/>
        <w:right w:val="none" w:sz="0" w:space="0" w:color="auto"/>
      </w:divBdr>
    </w:div>
    <w:div w:id="1518956723">
      <w:bodyDiv w:val="1"/>
      <w:marLeft w:val="0"/>
      <w:marRight w:val="0"/>
      <w:marTop w:val="0"/>
      <w:marBottom w:val="0"/>
      <w:divBdr>
        <w:top w:val="none" w:sz="0" w:space="0" w:color="auto"/>
        <w:left w:val="none" w:sz="0" w:space="0" w:color="auto"/>
        <w:bottom w:val="none" w:sz="0" w:space="0" w:color="auto"/>
        <w:right w:val="none" w:sz="0" w:space="0" w:color="auto"/>
      </w:divBdr>
    </w:div>
    <w:div w:id="1548881064">
      <w:bodyDiv w:val="1"/>
      <w:marLeft w:val="0"/>
      <w:marRight w:val="0"/>
      <w:marTop w:val="0"/>
      <w:marBottom w:val="0"/>
      <w:divBdr>
        <w:top w:val="none" w:sz="0" w:space="0" w:color="auto"/>
        <w:left w:val="none" w:sz="0" w:space="0" w:color="auto"/>
        <w:bottom w:val="none" w:sz="0" w:space="0" w:color="auto"/>
        <w:right w:val="none" w:sz="0" w:space="0" w:color="auto"/>
      </w:divBdr>
    </w:div>
    <w:div w:id="1725056567">
      <w:bodyDiv w:val="1"/>
      <w:marLeft w:val="0"/>
      <w:marRight w:val="0"/>
      <w:marTop w:val="0"/>
      <w:marBottom w:val="0"/>
      <w:divBdr>
        <w:top w:val="none" w:sz="0" w:space="0" w:color="auto"/>
        <w:left w:val="none" w:sz="0" w:space="0" w:color="auto"/>
        <w:bottom w:val="none" w:sz="0" w:space="0" w:color="auto"/>
        <w:right w:val="none" w:sz="0" w:space="0" w:color="auto"/>
      </w:divBdr>
    </w:div>
    <w:div w:id="1730376836">
      <w:bodyDiv w:val="1"/>
      <w:marLeft w:val="0"/>
      <w:marRight w:val="0"/>
      <w:marTop w:val="0"/>
      <w:marBottom w:val="0"/>
      <w:divBdr>
        <w:top w:val="none" w:sz="0" w:space="0" w:color="auto"/>
        <w:left w:val="none" w:sz="0" w:space="0" w:color="auto"/>
        <w:bottom w:val="none" w:sz="0" w:space="0" w:color="auto"/>
        <w:right w:val="none" w:sz="0" w:space="0" w:color="auto"/>
      </w:divBdr>
    </w:div>
    <w:div w:id="1917351774">
      <w:bodyDiv w:val="1"/>
      <w:marLeft w:val="0"/>
      <w:marRight w:val="0"/>
      <w:marTop w:val="0"/>
      <w:marBottom w:val="0"/>
      <w:divBdr>
        <w:top w:val="none" w:sz="0" w:space="0" w:color="auto"/>
        <w:left w:val="none" w:sz="0" w:space="0" w:color="auto"/>
        <w:bottom w:val="none" w:sz="0" w:space="0" w:color="auto"/>
        <w:right w:val="none" w:sz="0" w:space="0" w:color="auto"/>
      </w:divBdr>
    </w:div>
    <w:div w:id="1917471943">
      <w:bodyDiv w:val="1"/>
      <w:marLeft w:val="0"/>
      <w:marRight w:val="0"/>
      <w:marTop w:val="0"/>
      <w:marBottom w:val="0"/>
      <w:divBdr>
        <w:top w:val="none" w:sz="0" w:space="0" w:color="auto"/>
        <w:left w:val="none" w:sz="0" w:space="0" w:color="auto"/>
        <w:bottom w:val="none" w:sz="0" w:space="0" w:color="auto"/>
        <w:right w:val="none" w:sz="0" w:space="0" w:color="auto"/>
      </w:divBdr>
    </w:div>
    <w:div w:id="1966932632">
      <w:bodyDiv w:val="1"/>
      <w:marLeft w:val="0"/>
      <w:marRight w:val="0"/>
      <w:marTop w:val="0"/>
      <w:marBottom w:val="0"/>
      <w:divBdr>
        <w:top w:val="none" w:sz="0" w:space="0" w:color="auto"/>
        <w:left w:val="none" w:sz="0" w:space="0" w:color="auto"/>
        <w:bottom w:val="none" w:sz="0" w:space="0" w:color="auto"/>
        <w:right w:val="none" w:sz="0" w:space="0" w:color="auto"/>
      </w:divBdr>
    </w:div>
    <w:div w:id="2005814730">
      <w:bodyDiv w:val="1"/>
      <w:marLeft w:val="0"/>
      <w:marRight w:val="0"/>
      <w:marTop w:val="0"/>
      <w:marBottom w:val="0"/>
      <w:divBdr>
        <w:top w:val="none" w:sz="0" w:space="0" w:color="auto"/>
        <w:left w:val="none" w:sz="0" w:space="0" w:color="auto"/>
        <w:bottom w:val="none" w:sz="0" w:space="0" w:color="auto"/>
        <w:right w:val="none" w:sz="0" w:space="0" w:color="auto"/>
      </w:divBdr>
    </w:div>
    <w:div w:id="20357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B1122-5689-426E-941F-A103F0A7D8E7}"/>
</file>

<file path=customXml/itemProps2.xml><?xml version="1.0" encoding="utf-8"?>
<ds:datastoreItem xmlns:ds="http://schemas.openxmlformats.org/officeDocument/2006/customXml" ds:itemID="{7C1270A1-50A0-4C43-A679-04E606A856A7}"/>
</file>

<file path=customXml/itemProps3.xml><?xml version="1.0" encoding="utf-8"?>
<ds:datastoreItem xmlns:ds="http://schemas.openxmlformats.org/officeDocument/2006/customXml" ds:itemID="{6F57C149-FDBF-4639-8559-8A0F2F1C21BB}"/>
</file>

<file path=customXml/itemProps4.xml><?xml version="1.0" encoding="utf-8"?>
<ds:datastoreItem xmlns:ds="http://schemas.openxmlformats.org/officeDocument/2006/customXml" ds:itemID="{7184E819-9E31-4B10-878B-A9F9430BD889}"/>
</file>

<file path=docProps/app.xml><?xml version="1.0" encoding="utf-8"?>
<Properties xmlns="http://schemas.openxmlformats.org/officeDocument/2006/extended-properties" xmlns:vt="http://schemas.openxmlformats.org/officeDocument/2006/docPropsVTypes">
  <Template>Normal.dotm</Template>
  <TotalTime>0</TotalTime>
  <Pages>45</Pages>
  <Words>15721</Words>
  <Characters>89612</Characters>
  <Application>Microsoft Office Word</Application>
  <DocSecurity>0</DocSecurity>
  <Lines>746</Lines>
  <Paragraphs>210</Paragraphs>
  <ScaleCrop>false</ScaleCrop>
  <Company/>
  <LinksUpToDate>false</LinksUpToDate>
  <CharactersWithSpaces>105123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2019-10-31T05:40:00Z</dcterms:created>
  <dcterms:modified xsi:type="dcterms:W3CDTF">2019-10-31T05:40:00Z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9f581116-6e5c-4950-a1a2-1614400f68ce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1277400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