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5.xml" ContentType="application/vnd.openxmlformats-officedocument.wordprocessingml.header+xml"/>
  <Override PartName="/word/charts/colors1.xml" ContentType="application/vnd.ms-office.chartcolorstyle+xml"/>
  <Override PartName="/word/theme/themeOverride2.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theme/themeOverride1.xml" ContentType="application/vnd.openxmlformats-officedocument.themeOverride+xml"/>
  <Override PartName="/word/charts/style2.xml" ContentType="application/vnd.ms-office.chartstyle+xml"/>
  <Override PartName="/word/theme/theme1.xml" ContentType="application/vnd.openxmlformats-officedocument.theme+xml"/>
  <Override PartName="/word/theme/themeOverride3.xml" ContentType="application/vnd.openxmlformats-officedocument.themeOverride+xml"/>
  <Override PartName="/word/charts/colors2.xml" ContentType="application/vnd.ms-office.chartcolorstyle+xml"/>
  <Override PartName="/word/charts/chart3.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2B21D6B" w14:textId="157F2165" w:rsidR="0077405A" w:rsidRPr="009D2D1D" w:rsidRDefault="00332B8D" w:rsidP="00BE60F3">
      <w:pPr>
        <w:pStyle w:val="Title"/>
        <w:tabs>
          <w:tab w:val="left" w:pos="7635"/>
          <w:tab w:val="right" w:pos="9020"/>
        </w:tabs>
        <w:ind w:left="-720"/>
      </w:pPr>
      <w:r>
        <w:rPr>
          <w:noProof/>
          <w:lang w:eastAsia="en-AU"/>
        </w:rPr>
        <mc:AlternateContent>
          <mc:Choice Requires="wps">
            <w:drawing>
              <wp:anchor distT="0" distB="0" distL="114300" distR="114300" simplePos="0" relativeHeight="251681792" behindDoc="1" locked="0" layoutInCell="1" allowOverlap="1" wp14:anchorId="27DBEC38" wp14:editId="4E46A876">
                <wp:simplePos x="0" y="0"/>
                <wp:positionH relativeFrom="column">
                  <wp:posOffset>-998855</wp:posOffset>
                </wp:positionH>
                <wp:positionV relativeFrom="paragraph">
                  <wp:posOffset>4829810</wp:posOffset>
                </wp:positionV>
                <wp:extent cx="7642800" cy="154800"/>
                <wp:effectExtent l="0" t="0" r="3175" b="0"/>
                <wp:wrapNone/>
                <wp:docPr id="4" name="Rectangle 4"/>
                <wp:cNvGraphicFramePr/>
                <a:graphic xmlns:a="http://schemas.openxmlformats.org/drawingml/2006/main">
                  <a:graphicData uri="http://schemas.microsoft.com/office/word/2010/wordprocessingShape">
                    <wps:wsp>
                      <wps:cNvSpPr/>
                      <wps:spPr>
                        <a:xfrm>
                          <a:off x="0" y="0"/>
                          <a:ext cx="7642800" cy="1548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509C89" id="Rectangle 4" o:spid="_x0000_s1026" style="position:absolute;margin-left:-78.65pt;margin-top:380.3pt;width:601.8pt;height:12.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" fillcolor="#fc3 [3208]" stroked="f" strokeweight="1pt"/>
            </w:pict>
          </mc:Fallback>
        </mc:AlternateContent>
      </w:r>
      <w:r w:rsidR="005C1811" w:rsidRPr="007568DE">
        <w:rPr>
          <w:noProof/>
          <w:lang w:eastAsia="en-AU"/>
        </w:rPr>
        <w:drawing>
          <wp:anchor distT="0" distB="0" distL="114300" distR="114300" simplePos="0" relativeHeight="251682816" behindDoc="1" locked="0" layoutInCell="1" allowOverlap="1" wp14:anchorId="433675BE" wp14:editId="1916DCB7">
            <wp:simplePos x="0" y="0"/>
            <wp:positionH relativeFrom="column">
              <wp:posOffset>-139065</wp:posOffset>
            </wp:positionH>
            <wp:positionV relativeFrom="paragraph">
              <wp:posOffset>-614680</wp:posOffset>
            </wp:positionV>
            <wp:extent cx="2088515" cy="581025"/>
            <wp:effectExtent l="0" t="0" r="6985" b="952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8515" cy="581025"/>
                    </a:xfrm>
                    <a:prstGeom prst="rect">
                      <a:avLst/>
                    </a:prstGeom>
                  </pic:spPr>
                </pic:pic>
              </a:graphicData>
            </a:graphic>
            <wp14:sizeRelH relativeFrom="page">
              <wp14:pctWidth>0</wp14:pctWidth>
            </wp14:sizeRelH>
            <wp14:sizeRelV relativeFrom="page">
              <wp14:pctHeight>0</wp14:pctHeight>
            </wp14:sizeRelV>
          </wp:anchor>
        </w:drawing>
      </w:r>
      <w:r w:rsidR="005C1811" w:rsidRPr="007568DE">
        <w:rPr>
          <w:noProof/>
          <w:lang w:eastAsia="en-AU"/>
        </w:rPr>
        <mc:AlternateContent>
          <mc:Choice Requires="wps">
            <w:drawing>
              <wp:anchor distT="0" distB="0" distL="114300" distR="114300" simplePos="0" relativeHeight="251675648" behindDoc="1" locked="0" layoutInCell="1" allowOverlap="1" wp14:anchorId="625B1580" wp14:editId="730B62F0">
                <wp:simplePos x="0" y="0"/>
                <wp:positionH relativeFrom="column">
                  <wp:posOffset>-965200</wp:posOffset>
                </wp:positionH>
                <wp:positionV relativeFrom="paragraph">
                  <wp:posOffset>4946015</wp:posOffset>
                </wp:positionV>
                <wp:extent cx="7693025" cy="4855845"/>
                <wp:effectExtent l="0" t="0" r="3175" b="0"/>
                <wp:wrapNone/>
                <wp:docPr id="3" name="Rectangle 3"/>
                <wp:cNvGraphicFramePr/>
                <a:graphic xmlns:a="http://schemas.openxmlformats.org/drawingml/2006/main">
                  <a:graphicData uri="http://schemas.microsoft.com/office/word/2010/wordprocessingShape">
                    <wps:wsp>
                      <wps:cNvSpPr/>
                      <wps:spPr>
                        <a:xfrm>
                          <a:off x="0" y="0"/>
                          <a:ext cx="7693025" cy="4855845"/>
                        </a:xfrm>
                        <a:prstGeom prst="rect">
                          <a:avLst/>
                        </a:prstGeom>
                        <a:solidFill>
                          <a:srgbClr val="1FAB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926FF2" id="Rectangle 3" o:spid="_x0000_s1026" style="position:absolute;margin-left:-76pt;margin-top:389.45pt;width:605.75pt;height:382.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" fillcolor="#1fabc9" stroked="f" strokeweight="1pt"/>
            </w:pict>
          </mc:Fallback>
        </mc:AlternateContent>
      </w:r>
      <w:r w:rsidR="00236AC8" w:rsidRPr="007568DE">
        <w:rPr>
          <w:noProof/>
          <w:lang w:eastAsia="en-AU"/>
        </w:rPr>
        <w:drawing>
          <wp:anchor distT="0" distB="0" distL="114300" distR="114300" simplePos="0" relativeHeight="251670526" behindDoc="1" locked="0" layoutInCell="1" allowOverlap="1" wp14:anchorId="5A477C65" wp14:editId="27EA11F7">
            <wp:simplePos x="0" y="0"/>
            <wp:positionH relativeFrom="page">
              <wp:posOffset>-30480</wp:posOffset>
            </wp:positionH>
            <wp:positionV relativeFrom="page">
              <wp:posOffset>1097915</wp:posOffset>
            </wp:positionV>
            <wp:extent cx="8404225" cy="56013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ramadu_Bridge_5.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404225" cy="5601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556AFB" w14:textId="64F7AAC3" w:rsidR="005C1811" w:rsidRPr="005C1811" w:rsidRDefault="005C1811" w:rsidP="005C1811">
      <w:pPr>
        <w:pStyle w:val="Subtitle"/>
        <w:spacing w:before="360"/>
        <w:rPr>
          <w:b/>
        </w:rPr>
      </w:pPr>
      <w:r w:rsidRPr="005C1811">
        <w:rPr>
          <w:b/>
        </w:rPr>
        <w:t xml:space="preserve">Prospera Knowledge, </w:t>
      </w:r>
      <w:r w:rsidR="00E361F1" w:rsidRPr="005C1811">
        <w:rPr>
          <w:b/>
        </w:rPr>
        <w:t>Performance</w:t>
      </w:r>
      <w:r w:rsidRPr="005C1811">
        <w:rPr>
          <w:b/>
        </w:rPr>
        <w:t>, and Learning Framework</w:t>
      </w:r>
    </w:p>
    <w:p w14:paraId="368418E1" w14:textId="4A3A36CE" w:rsidR="009D2D1D" w:rsidRDefault="00544E4E" w:rsidP="005C1811">
      <w:pPr>
        <w:pStyle w:val="Subtitle"/>
        <w:spacing w:before="360"/>
      </w:pPr>
      <w:r>
        <w:t>Component 1: Core Framework</w:t>
      </w:r>
    </w:p>
    <w:p w14:paraId="5C9562C7" w14:textId="281D1490" w:rsidR="009D2D1D" w:rsidRPr="009D2D1D" w:rsidRDefault="003911F8" w:rsidP="005C1811">
      <w:pPr>
        <w:pStyle w:val="YOURDATE"/>
      </w:pPr>
      <w:r w:rsidRPr="003911F8">
        <w:t>December 2018</w:t>
      </w:r>
      <w:r w:rsidR="009D2D1D" w:rsidRPr="009D2D1D">
        <w:br w:type="page"/>
      </w:r>
    </w:p>
    <w:p w14:paraId="09435381" w14:textId="71F983E2" w:rsidR="00E604AA" w:rsidRPr="001E7AC6" w:rsidRDefault="00E604AA" w:rsidP="00BE60F3">
      <w:pPr>
        <w:pStyle w:val="BodyText"/>
        <w:ind w:left="1985" w:right="1133" w:hanging="1985"/>
        <w:rPr>
          <w:lang w:val="id-ID"/>
        </w:rPr>
      </w:pPr>
      <w:r w:rsidRPr="00E00186">
        <w:lastRenderedPageBreak/>
        <w:t xml:space="preserve">Preferred citation: </w:t>
      </w:r>
      <w:r w:rsidRPr="00E00186">
        <w:tab/>
      </w:r>
      <w:r w:rsidR="001E7AC6">
        <w:rPr>
          <w:noProof/>
          <w:lang w:val="id-ID"/>
        </w:rPr>
        <w:t>Prosepra Knowledge, Performance and Learning Framework</w:t>
      </w:r>
      <w:r w:rsidR="00A0703D">
        <w:rPr>
          <w:noProof/>
          <w:lang w:val="id-ID"/>
        </w:rPr>
        <w:t xml:space="preserve"> – Component 1</w:t>
      </w:r>
    </w:p>
    <w:p w14:paraId="76E72752" w14:textId="77777777" w:rsidR="00E604AA" w:rsidRPr="00E00186" w:rsidRDefault="00E604AA" w:rsidP="00BE60F3">
      <w:pPr>
        <w:pStyle w:val="BodyText"/>
        <w:spacing w:before="100" w:beforeAutospacing="1"/>
      </w:pPr>
      <w:r w:rsidRPr="00E00186">
        <w:t>For further information, please contact:</w:t>
      </w:r>
    </w:p>
    <w:p w14:paraId="1CDC69C6" w14:textId="45077905" w:rsidR="00E604AA" w:rsidRPr="00E00186" w:rsidRDefault="00E604AA" w:rsidP="00BE60F3">
      <w:pPr>
        <w:pStyle w:val="BodyText"/>
        <w:spacing w:after="0"/>
        <w:ind w:left="720"/>
      </w:pPr>
      <w:r>
        <w:t>Sam Spurrett</w:t>
      </w:r>
    </w:p>
    <w:p w14:paraId="4ED29171" w14:textId="77777777" w:rsidR="00E604AA" w:rsidRPr="00E00186" w:rsidRDefault="00E604AA" w:rsidP="00BE60F3">
      <w:pPr>
        <w:pStyle w:val="BodyText"/>
        <w:spacing w:after="0"/>
        <w:ind w:left="720"/>
      </w:pPr>
      <w:r w:rsidRPr="00E00186">
        <w:t>Contractor Representative</w:t>
      </w:r>
    </w:p>
    <w:p w14:paraId="7F2284F2" w14:textId="77777777" w:rsidR="00E604AA" w:rsidRPr="00E00186" w:rsidRDefault="00E604AA" w:rsidP="00BE60F3">
      <w:pPr>
        <w:pStyle w:val="BodyText"/>
        <w:spacing w:after="0"/>
        <w:ind w:left="720"/>
      </w:pPr>
      <w:r w:rsidRPr="00E00186">
        <w:t>Cardno Emerging Markets (Australia) Pty Ltd</w:t>
      </w:r>
    </w:p>
    <w:p w14:paraId="6A534381" w14:textId="29DF630D" w:rsidR="00E604AA" w:rsidRPr="00E00186" w:rsidRDefault="00E604AA" w:rsidP="00BE60F3">
      <w:pPr>
        <w:pStyle w:val="BodyText"/>
        <w:spacing w:after="0"/>
        <w:ind w:left="720"/>
      </w:pPr>
      <w:r>
        <w:t>sam.spurrett</w:t>
      </w:r>
      <w:r w:rsidRPr="00E00186">
        <w:t>@cardno.com</w:t>
      </w:r>
    </w:p>
    <w:p w14:paraId="2EE86EEC" w14:textId="77777777" w:rsidR="00E604AA" w:rsidRDefault="00E604AA" w:rsidP="00BE60F3">
      <w:pPr>
        <w:pStyle w:val="BodyText"/>
        <w:spacing w:after="0"/>
        <w:ind w:left="720"/>
      </w:pPr>
      <w:r w:rsidRPr="00E604AA">
        <w:t xml:space="preserve">+62 21 8086 9800  </w:t>
      </w:r>
    </w:p>
    <w:p w14:paraId="2FCD81AE" w14:textId="38EEA5A2" w:rsidR="00E604AA" w:rsidRPr="00E00186" w:rsidRDefault="00B65285" w:rsidP="00BE60F3">
      <w:pPr>
        <w:pStyle w:val="BodyText"/>
        <w:spacing w:before="600" w:line="240" w:lineRule="auto"/>
      </w:pPr>
      <w:r>
        <w:t>Prospera</w:t>
      </w:r>
      <w:r w:rsidR="00E604AA" w:rsidRPr="00E00186">
        <w:t xml:space="preserve"> is supported by the Australian Government and implemented by Cardno</w:t>
      </w:r>
    </w:p>
    <w:p w14:paraId="79F4CCE5" w14:textId="20455B27" w:rsidR="00E604AA" w:rsidRPr="00E00186" w:rsidRDefault="002003B5" w:rsidP="00BE60F3">
      <w:pPr>
        <w:pStyle w:val="BodyText"/>
        <w:spacing w:line="240" w:lineRule="auto"/>
      </w:pPr>
      <w:hyperlink r:id="rId10" w:history="1">
        <w:r w:rsidR="00E604AA" w:rsidRPr="00E00186">
          <w:rPr>
            <w:rStyle w:val="Hyperlink"/>
          </w:rPr>
          <w:t>www.cardno.com/internationaldevelopment</w:t>
        </w:r>
      </w:hyperlink>
      <w:r w:rsidR="00E604AA" w:rsidRPr="00E00186">
        <w:t xml:space="preserve"> </w:t>
      </w:r>
    </w:p>
    <w:p w14:paraId="12F5CFB3" w14:textId="39DE4153" w:rsidR="00E604AA" w:rsidRDefault="00E604AA" w:rsidP="00BE60F3">
      <w:pPr>
        <w:spacing w:before="720"/>
      </w:pPr>
      <w:r w:rsidRPr="00E00186">
        <w:t xml:space="preserve">Cover photos: </w:t>
      </w:r>
      <w:r w:rsidR="00332B8D">
        <w:t xml:space="preserve">Open source </w:t>
      </w:r>
    </w:p>
    <w:p w14:paraId="099B2763" w14:textId="77777777" w:rsidR="00E604AA" w:rsidRDefault="00E604AA" w:rsidP="00BE60F3"/>
    <w:p w14:paraId="34636778" w14:textId="67CB9EE2" w:rsidR="00E604AA" w:rsidRPr="00E604AA" w:rsidRDefault="00E604AA" w:rsidP="00BE60F3">
      <w:pPr>
        <w:rPr>
          <w:rFonts w:eastAsia="Times New Roman" w:cs="Arial"/>
          <w:color w:val="363D4C"/>
          <w:sz w:val="20"/>
          <w:szCs w:val="20"/>
        </w:rPr>
      </w:pPr>
      <w:r w:rsidRPr="00E604AA">
        <w:rPr>
          <w:rFonts w:eastAsia="Times New Roman" w:cs="Arial"/>
          <w:color w:val="363D4C"/>
          <w:sz w:val="20"/>
          <w:szCs w:val="20"/>
        </w:rPr>
        <w:t>This publication has been funded by the Australian Government through the Department of Foreign Affairs and Trade. The views expressed in this publication are the author’s alone and are not necessarily the views of the Australian Government. The Australian Government neither endorses the views in this publication, nor vouches for the accuracy or completeness of the information contained within the publication. The Australian Government, its officers, employees and agents, accept no liability for any loss, damage or expense arising out of, or in connection with, any reliance on any omissions or inaccuracies in the material contained in this publication.</w:t>
      </w:r>
    </w:p>
    <w:p w14:paraId="1DC0E03B" w14:textId="0630570C" w:rsidR="009D2D1D" w:rsidRDefault="00E604AA" w:rsidP="00BE60F3">
      <w:pPr>
        <w:rPr>
          <w:rFonts w:eastAsia="Times New Roman" w:cs="Arial"/>
          <w:color w:val="363D4C"/>
          <w:sz w:val="20"/>
          <w:szCs w:val="20"/>
        </w:rPr>
      </w:pPr>
      <w:r w:rsidRPr="00E604AA">
        <w:rPr>
          <w:rFonts w:eastAsia="Times New Roman" w:cs="Arial"/>
          <w:color w:val="363D4C"/>
          <w:sz w:val="20"/>
          <w:szCs w:val="20"/>
        </w:rPr>
        <w:t>This publication is intended to provide general information only and before entering into any particular transaction users should: rely on their own enquiries, skill and care in using the information; check with primary sources; and seek independent advice.</w:t>
      </w:r>
    </w:p>
    <w:p w14:paraId="07882AF3" w14:textId="77777777" w:rsidR="003305D6" w:rsidRDefault="003305D6" w:rsidP="00BE60F3">
      <w:pPr>
        <w:rPr>
          <w:rFonts w:eastAsia="Times New Roman" w:cs="Arial"/>
          <w:color w:val="363D4C"/>
          <w:sz w:val="20"/>
          <w:szCs w:val="20"/>
        </w:rPr>
      </w:pPr>
    </w:p>
    <w:p w14:paraId="3C7E9438" w14:textId="77777777" w:rsidR="007523A5" w:rsidRDefault="007523A5">
      <w:pPr>
        <w:spacing w:after="0" w:line="240" w:lineRule="auto"/>
        <w:rPr>
          <w:rFonts w:eastAsia="Times New Roman" w:cstheme="majorBidi"/>
          <w:color w:val="20ABCA" w:themeColor="accent6"/>
          <w:sz w:val="28"/>
          <w:szCs w:val="32"/>
        </w:rPr>
      </w:pPr>
      <w:r>
        <w:rPr>
          <w:rFonts w:eastAsia="Times New Roman"/>
        </w:rPr>
        <w:br w:type="page"/>
      </w:r>
    </w:p>
    <w:p w14:paraId="050AD10C" w14:textId="763DD0C2" w:rsidR="009D2D1D" w:rsidRDefault="009D2D1D" w:rsidP="00BE60F3">
      <w:pPr>
        <w:pStyle w:val="TOCHeading"/>
        <w:rPr>
          <w:rFonts w:eastAsia="Times New Roman"/>
        </w:rPr>
      </w:pPr>
      <w:r>
        <w:rPr>
          <w:rFonts w:eastAsia="Times New Roman"/>
        </w:rPr>
        <w:lastRenderedPageBreak/>
        <w:t>Contents</w:t>
      </w:r>
    </w:p>
    <w:p w14:paraId="33F0CDC2" w14:textId="5D2FDB87" w:rsidR="00B30435" w:rsidRDefault="00CD0398">
      <w:pPr>
        <w:pStyle w:val="TOC1"/>
        <w:rPr>
          <w:rFonts w:asciiTheme="minorHAnsi" w:eastAsiaTheme="minorEastAsia" w:hAnsiTheme="minorHAnsi"/>
          <w:b w:val="0"/>
          <w:sz w:val="22"/>
          <w:lang w:val="en-GB" w:eastAsia="en-GB"/>
        </w:rPr>
      </w:pPr>
      <w:r>
        <w:rPr>
          <w:rFonts w:eastAsia="Times New Roman" w:cs="Arial"/>
          <w:b w:val="0"/>
          <w:szCs w:val="20"/>
        </w:rPr>
        <w:fldChar w:fldCharType="begin"/>
      </w:r>
      <w:r>
        <w:rPr>
          <w:rFonts w:eastAsia="Times New Roman" w:cs="Arial"/>
          <w:b w:val="0"/>
          <w:szCs w:val="20"/>
        </w:rPr>
        <w:instrText xml:space="preserve"> TOC \o "1-2" \h \z \u </w:instrText>
      </w:r>
      <w:r>
        <w:rPr>
          <w:rFonts w:eastAsia="Times New Roman" w:cs="Arial"/>
          <w:b w:val="0"/>
          <w:szCs w:val="20"/>
        </w:rPr>
        <w:fldChar w:fldCharType="separate"/>
      </w:r>
      <w:hyperlink w:anchor="_Toc532991040" w:history="1">
        <w:r w:rsidR="00B30435" w:rsidRPr="005F5A5D">
          <w:rPr>
            <w:rStyle w:val="Hyperlink"/>
          </w:rPr>
          <w:t>Executive Summary</w:t>
        </w:r>
        <w:r w:rsidR="00B30435">
          <w:rPr>
            <w:webHidden/>
          </w:rPr>
          <w:tab/>
        </w:r>
        <w:r w:rsidR="00B30435">
          <w:rPr>
            <w:webHidden/>
          </w:rPr>
          <w:fldChar w:fldCharType="begin"/>
        </w:r>
        <w:r w:rsidR="00B30435">
          <w:rPr>
            <w:webHidden/>
          </w:rPr>
          <w:instrText xml:space="preserve"> PAGEREF _Toc532991040 \h </w:instrText>
        </w:r>
        <w:r w:rsidR="00B30435">
          <w:rPr>
            <w:webHidden/>
          </w:rPr>
        </w:r>
        <w:r w:rsidR="00B30435">
          <w:rPr>
            <w:webHidden/>
          </w:rPr>
          <w:fldChar w:fldCharType="separate"/>
        </w:r>
        <w:r w:rsidR="00B30435">
          <w:rPr>
            <w:webHidden/>
          </w:rPr>
          <w:t>1</w:t>
        </w:r>
        <w:r w:rsidR="00B30435">
          <w:rPr>
            <w:webHidden/>
          </w:rPr>
          <w:fldChar w:fldCharType="end"/>
        </w:r>
      </w:hyperlink>
    </w:p>
    <w:p w14:paraId="38125DF9" w14:textId="1532F93D" w:rsidR="00B30435" w:rsidRDefault="002003B5">
      <w:pPr>
        <w:pStyle w:val="TOC1"/>
        <w:rPr>
          <w:rFonts w:asciiTheme="minorHAnsi" w:eastAsiaTheme="minorEastAsia" w:hAnsiTheme="minorHAnsi"/>
          <w:b w:val="0"/>
          <w:sz w:val="22"/>
          <w:lang w:val="en-GB" w:eastAsia="en-GB"/>
        </w:rPr>
      </w:pPr>
      <w:hyperlink w:anchor="_Toc532991041" w:history="1">
        <w:r w:rsidR="00B30435" w:rsidRPr="005F5A5D">
          <w:rPr>
            <w:rStyle w:val="Hyperlink"/>
          </w:rPr>
          <w:t>1</w:t>
        </w:r>
        <w:r w:rsidR="00B30435">
          <w:rPr>
            <w:rFonts w:asciiTheme="minorHAnsi" w:eastAsiaTheme="minorEastAsia" w:hAnsiTheme="minorHAnsi"/>
            <w:b w:val="0"/>
            <w:sz w:val="22"/>
            <w:lang w:val="en-GB" w:eastAsia="en-GB"/>
          </w:rPr>
          <w:tab/>
        </w:r>
        <w:r w:rsidR="00B30435" w:rsidRPr="005F5A5D">
          <w:rPr>
            <w:rStyle w:val="Hyperlink"/>
            <w:shd w:val="clear" w:color="auto" w:fill="FFFFFF"/>
          </w:rPr>
          <w:t>Navigating this framework</w:t>
        </w:r>
        <w:r w:rsidR="00B30435">
          <w:rPr>
            <w:webHidden/>
          </w:rPr>
          <w:tab/>
        </w:r>
        <w:r w:rsidR="00B30435">
          <w:rPr>
            <w:webHidden/>
          </w:rPr>
          <w:fldChar w:fldCharType="begin"/>
        </w:r>
        <w:r w:rsidR="00B30435">
          <w:rPr>
            <w:webHidden/>
          </w:rPr>
          <w:instrText xml:space="preserve"> PAGEREF _Toc532991041 \h </w:instrText>
        </w:r>
        <w:r w:rsidR="00B30435">
          <w:rPr>
            <w:webHidden/>
          </w:rPr>
        </w:r>
        <w:r w:rsidR="00B30435">
          <w:rPr>
            <w:webHidden/>
          </w:rPr>
          <w:fldChar w:fldCharType="separate"/>
        </w:r>
        <w:r w:rsidR="00B30435">
          <w:rPr>
            <w:webHidden/>
          </w:rPr>
          <w:t>3</w:t>
        </w:r>
        <w:r w:rsidR="00B30435">
          <w:rPr>
            <w:webHidden/>
          </w:rPr>
          <w:fldChar w:fldCharType="end"/>
        </w:r>
      </w:hyperlink>
    </w:p>
    <w:p w14:paraId="33ABF2C6" w14:textId="18A25D55" w:rsidR="00B30435" w:rsidRDefault="002003B5">
      <w:pPr>
        <w:pStyle w:val="TOC2"/>
        <w:rPr>
          <w:rFonts w:asciiTheme="minorHAnsi" w:eastAsiaTheme="minorEastAsia" w:hAnsiTheme="minorHAnsi"/>
          <w:sz w:val="22"/>
          <w:lang w:val="en-GB" w:eastAsia="en-GB"/>
        </w:rPr>
      </w:pPr>
      <w:hyperlink w:anchor="_Toc532991042" w:history="1">
        <w:r w:rsidR="00B30435" w:rsidRPr="005F5A5D">
          <w:rPr>
            <w:rStyle w:val="Hyperlink"/>
            <w14:scene3d>
              <w14:camera w14:prst="orthographicFront"/>
              <w14:lightRig w14:rig="threePt" w14:dir="t">
                <w14:rot w14:lat="0" w14:lon="0" w14:rev="0"/>
              </w14:lightRig>
            </w14:scene3d>
          </w:rPr>
          <w:t>1.1</w:t>
        </w:r>
        <w:r w:rsidR="00B30435">
          <w:rPr>
            <w:rFonts w:asciiTheme="minorHAnsi" w:eastAsiaTheme="minorEastAsia" w:hAnsiTheme="minorHAnsi"/>
            <w:sz w:val="22"/>
            <w:lang w:val="en-GB" w:eastAsia="en-GB"/>
          </w:rPr>
          <w:tab/>
        </w:r>
        <w:r w:rsidR="00B30435" w:rsidRPr="005F5A5D">
          <w:rPr>
            <w:rStyle w:val="Hyperlink"/>
          </w:rPr>
          <w:t>Quick reference</w:t>
        </w:r>
        <w:r w:rsidR="00B30435">
          <w:rPr>
            <w:webHidden/>
          </w:rPr>
          <w:tab/>
        </w:r>
        <w:r w:rsidR="00B30435">
          <w:rPr>
            <w:webHidden/>
          </w:rPr>
          <w:fldChar w:fldCharType="begin"/>
        </w:r>
        <w:r w:rsidR="00B30435">
          <w:rPr>
            <w:webHidden/>
          </w:rPr>
          <w:instrText xml:space="preserve"> PAGEREF _Toc532991042 \h </w:instrText>
        </w:r>
        <w:r w:rsidR="00B30435">
          <w:rPr>
            <w:webHidden/>
          </w:rPr>
        </w:r>
        <w:r w:rsidR="00B30435">
          <w:rPr>
            <w:webHidden/>
          </w:rPr>
          <w:fldChar w:fldCharType="separate"/>
        </w:r>
        <w:r w:rsidR="00B30435">
          <w:rPr>
            <w:webHidden/>
          </w:rPr>
          <w:t>3</w:t>
        </w:r>
        <w:r w:rsidR="00B30435">
          <w:rPr>
            <w:webHidden/>
          </w:rPr>
          <w:fldChar w:fldCharType="end"/>
        </w:r>
      </w:hyperlink>
    </w:p>
    <w:p w14:paraId="668D5D2F" w14:textId="33653A5E" w:rsidR="00B30435" w:rsidRDefault="002003B5">
      <w:pPr>
        <w:pStyle w:val="TOC2"/>
        <w:rPr>
          <w:rFonts w:asciiTheme="minorHAnsi" w:eastAsiaTheme="minorEastAsia" w:hAnsiTheme="minorHAnsi"/>
          <w:sz w:val="22"/>
          <w:lang w:val="en-GB" w:eastAsia="en-GB"/>
        </w:rPr>
      </w:pPr>
      <w:hyperlink w:anchor="_Toc532991043" w:history="1">
        <w:r w:rsidR="00B30435" w:rsidRPr="005F5A5D">
          <w:rPr>
            <w:rStyle w:val="Hyperlink"/>
            <w14:scene3d>
              <w14:camera w14:prst="orthographicFront"/>
              <w14:lightRig w14:rig="threePt" w14:dir="t">
                <w14:rot w14:lat="0" w14:lon="0" w14:rev="0"/>
              </w14:lightRig>
            </w14:scene3d>
          </w:rPr>
          <w:t>1.2</w:t>
        </w:r>
        <w:r w:rsidR="00B30435">
          <w:rPr>
            <w:rFonts w:asciiTheme="minorHAnsi" w:eastAsiaTheme="minorEastAsia" w:hAnsiTheme="minorHAnsi"/>
            <w:sz w:val="22"/>
            <w:lang w:val="en-GB" w:eastAsia="en-GB"/>
          </w:rPr>
          <w:tab/>
        </w:r>
        <w:r w:rsidR="00B30435" w:rsidRPr="005F5A5D">
          <w:rPr>
            <w:rStyle w:val="Hyperlink"/>
          </w:rPr>
          <w:t>System snapshot</w:t>
        </w:r>
        <w:r w:rsidR="00B30435">
          <w:rPr>
            <w:webHidden/>
          </w:rPr>
          <w:tab/>
        </w:r>
        <w:r w:rsidR="00B30435">
          <w:rPr>
            <w:webHidden/>
          </w:rPr>
          <w:fldChar w:fldCharType="begin"/>
        </w:r>
        <w:r w:rsidR="00B30435">
          <w:rPr>
            <w:webHidden/>
          </w:rPr>
          <w:instrText xml:space="preserve"> PAGEREF _Toc532991043 \h </w:instrText>
        </w:r>
        <w:r w:rsidR="00B30435">
          <w:rPr>
            <w:webHidden/>
          </w:rPr>
        </w:r>
        <w:r w:rsidR="00B30435">
          <w:rPr>
            <w:webHidden/>
          </w:rPr>
          <w:fldChar w:fldCharType="separate"/>
        </w:r>
        <w:r w:rsidR="00B30435">
          <w:rPr>
            <w:webHidden/>
          </w:rPr>
          <w:t>4</w:t>
        </w:r>
        <w:r w:rsidR="00B30435">
          <w:rPr>
            <w:webHidden/>
          </w:rPr>
          <w:fldChar w:fldCharType="end"/>
        </w:r>
      </w:hyperlink>
    </w:p>
    <w:p w14:paraId="583CCA4F" w14:textId="5A5FC6A4" w:rsidR="00B30435" w:rsidRDefault="002003B5">
      <w:pPr>
        <w:pStyle w:val="TOC1"/>
        <w:rPr>
          <w:rFonts w:asciiTheme="minorHAnsi" w:eastAsiaTheme="minorEastAsia" w:hAnsiTheme="minorHAnsi"/>
          <w:b w:val="0"/>
          <w:sz w:val="22"/>
          <w:lang w:val="en-GB" w:eastAsia="en-GB"/>
        </w:rPr>
      </w:pPr>
      <w:hyperlink w:anchor="_Toc532991044" w:history="1">
        <w:r w:rsidR="00B30435" w:rsidRPr="005F5A5D">
          <w:rPr>
            <w:rStyle w:val="Hyperlink"/>
          </w:rPr>
          <w:t>2</w:t>
        </w:r>
        <w:r w:rsidR="00B30435">
          <w:rPr>
            <w:rFonts w:asciiTheme="minorHAnsi" w:eastAsiaTheme="minorEastAsia" w:hAnsiTheme="minorHAnsi"/>
            <w:b w:val="0"/>
            <w:sz w:val="22"/>
            <w:lang w:val="en-GB" w:eastAsia="en-GB"/>
          </w:rPr>
          <w:tab/>
        </w:r>
        <w:r w:rsidR="00B30435" w:rsidRPr="005F5A5D">
          <w:rPr>
            <w:rStyle w:val="Hyperlink"/>
            <w:shd w:val="clear" w:color="auto" w:fill="FFFFFF"/>
          </w:rPr>
          <w:t>Introduction</w:t>
        </w:r>
        <w:r w:rsidR="00B30435">
          <w:rPr>
            <w:webHidden/>
          </w:rPr>
          <w:tab/>
        </w:r>
        <w:r w:rsidR="00B30435">
          <w:rPr>
            <w:webHidden/>
          </w:rPr>
          <w:fldChar w:fldCharType="begin"/>
        </w:r>
        <w:r w:rsidR="00B30435">
          <w:rPr>
            <w:webHidden/>
          </w:rPr>
          <w:instrText xml:space="preserve"> PAGEREF _Toc532991044 \h </w:instrText>
        </w:r>
        <w:r w:rsidR="00B30435">
          <w:rPr>
            <w:webHidden/>
          </w:rPr>
        </w:r>
        <w:r w:rsidR="00B30435">
          <w:rPr>
            <w:webHidden/>
          </w:rPr>
          <w:fldChar w:fldCharType="separate"/>
        </w:r>
        <w:r w:rsidR="00B30435">
          <w:rPr>
            <w:webHidden/>
          </w:rPr>
          <w:t>1</w:t>
        </w:r>
        <w:r w:rsidR="00B30435">
          <w:rPr>
            <w:webHidden/>
          </w:rPr>
          <w:fldChar w:fldCharType="end"/>
        </w:r>
      </w:hyperlink>
    </w:p>
    <w:p w14:paraId="2F2A2AAB" w14:textId="5D6EA54D" w:rsidR="00B30435" w:rsidRDefault="002003B5">
      <w:pPr>
        <w:pStyle w:val="TOC2"/>
        <w:rPr>
          <w:rFonts w:asciiTheme="minorHAnsi" w:eastAsiaTheme="minorEastAsia" w:hAnsiTheme="minorHAnsi"/>
          <w:sz w:val="22"/>
          <w:lang w:val="en-GB" w:eastAsia="en-GB"/>
        </w:rPr>
      </w:pPr>
      <w:hyperlink w:anchor="_Toc532991045" w:history="1">
        <w:r w:rsidR="00B30435" w:rsidRPr="005F5A5D">
          <w:rPr>
            <w:rStyle w:val="Hyperlink"/>
            <w14:scene3d>
              <w14:camera w14:prst="orthographicFront"/>
              <w14:lightRig w14:rig="threePt" w14:dir="t">
                <w14:rot w14:lat="0" w14:lon="0" w14:rev="0"/>
              </w14:lightRig>
            </w14:scene3d>
          </w:rPr>
          <w:t>2.1</w:t>
        </w:r>
        <w:r w:rsidR="00B30435">
          <w:rPr>
            <w:rFonts w:asciiTheme="minorHAnsi" w:eastAsiaTheme="minorEastAsia" w:hAnsiTheme="minorHAnsi"/>
            <w:sz w:val="22"/>
            <w:lang w:val="en-GB" w:eastAsia="en-GB"/>
          </w:rPr>
          <w:tab/>
        </w:r>
        <w:r w:rsidR="00B30435" w:rsidRPr="005F5A5D">
          <w:rPr>
            <w:rStyle w:val="Hyperlink"/>
          </w:rPr>
          <w:t>Why is knowledge, performance and learning central to Prospera?</w:t>
        </w:r>
        <w:r w:rsidR="00B30435">
          <w:rPr>
            <w:webHidden/>
          </w:rPr>
          <w:tab/>
        </w:r>
        <w:r w:rsidR="00B30435">
          <w:rPr>
            <w:webHidden/>
          </w:rPr>
          <w:fldChar w:fldCharType="begin"/>
        </w:r>
        <w:r w:rsidR="00B30435">
          <w:rPr>
            <w:webHidden/>
          </w:rPr>
          <w:instrText xml:space="preserve"> PAGEREF _Toc532991045 \h </w:instrText>
        </w:r>
        <w:r w:rsidR="00B30435">
          <w:rPr>
            <w:webHidden/>
          </w:rPr>
        </w:r>
        <w:r w:rsidR="00B30435">
          <w:rPr>
            <w:webHidden/>
          </w:rPr>
          <w:fldChar w:fldCharType="separate"/>
        </w:r>
        <w:r w:rsidR="00B30435">
          <w:rPr>
            <w:webHidden/>
          </w:rPr>
          <w:t>1</w:t>
        </w:r>
        <w:r w:rsidR="00B30435">
          <w:rPr>
            <w:webHidden/>
          </w:rPr>
          <w:fldChar w:fldCharType="end"/>
        </w:r>
      </w:hyperlink>
    </w:p>
    <w:p w14:paraId="7FB3A028" w14:textId="4442AB6C" w:rsidR="00B30435" w:rsidRDefault="002003B5">
      <w:pPr>
        <w:pStyle w:val="TOC2"/>
        <w:rPr>
          <w:rFonts w:asciiTheme="minorHAnsi" w:eastAsiaTheme="minorEastAsia" w:hAnsiTheme="minorHAnsi"/>
          <w:sz w:val="22"/>
          <w:lang w:val="en-GB" w:eastAsia="en-GB"/>
        </w:rPr>
      </w:pPr>
      <w:hyperlink w:anchor="_Toc532991046" w:history="1">
        <w:r w:rsidR="00B30435" w:rsidRPr="005F5A5D">
          <w:rPr>
            <w:rStyle w:val="Hyperlink"/>
            <w14:scene3d>
              <w14:camera w14:prst="orthographicFront"/>
              <w14:lightRig w14:rig="threePt" w14:dir="t">
                <w14:rot w14:lat="0" w14:lon="0" w14:rev="0"/>
              </w14:lightRig>
            </w14:scene3d>
          </w:rPr>
          <w:t>2.2</w:t>
        </w:r>
        <w:r w:rsidR="00B30435">
          <w:rPr>
            <w:rFonts w:asciiTheme="minorHAnsi" w:eastAsiaTheme="minorEastAsia" w:hAnsiTheme="minorHAnsi"/>
            <w:sz w:val="22"/>
            <w:lang w:val="en-GB" w:eastAsia="en-GB"/>
          </w:rPr>
          <w:tab/>
        </w:r>
        <w:r w:rsidR="00B30435" w:rsidRPr="005F5A5D">
          <w:rPr>
            <w:rStyle w:val="Hyperlink"/>
          </w:rPr>
          <w:t>What have we learnt about success?</w:t>
        </w:r>
        <w:r w:rsidR="00B30435">
          <w:rPr>
            <w:webHidden/>
          </w:rPr>
          <w:tab/>
        </w:r>
        <w:r w:rsidR="00B30435">
          <w:rPr>
            <w:webHidden/>
          </w:rPr>
          <w:fldChar w:fldCharType="begin"/>
        </w:r>
        <w:r w:rsidR="00B30435">
          <w:rPr>
            <w:webHidden/>
          </w:rPr>
          <w:instrText xml:space="preserve"> PAGEREF _Toc532991046 \h </w:instrText>
        </w:r>
        <w:r w:rsidR="00B30435">
          <w:rPr>
            <w:webHidden/>
          </w:rPr>
        </w:r>
        <w:r w:rsidR="00B30435">
          <w:rPr>
            <w:webHidden/>
          </w:rPr>
          <w:fldChar w:fldCharType="separate"/>
        </w:r>
        <w:r w:rsidR="00B30435">
          <w:rPr>
            <w:webHidden/>
          </w:rPr>
          <w:t>1</w:t>
        </w:r>
        <w:r w:rsidR="00B30435">
          <w:rPr>
            <w:webHidden/>
          </w:rPr>
          <w:fldChar w:fldCharType="end"/>
        </w:r>
      </w:hyperlink>
    </w:p>
    <w:p w14:paraId="29142E05" w14:textId="07F5A7B8" w:rsidR="00B30435" w:rsidRDefault="002003B5">
      <w:pPr>
        <w:pStyle w:val="TOC2"/>
        <w:rPr>
          <w:rFonts w:asciiTheme="minorHAnsi" w:eastAsiaTheme="minorEastAsia" w:hAnsiTheme="minorHAnsi"/>
          <w:sz w:val="22"/>
          <w:lang w:val="en-GB" w:eastAsia="en-GB"/>
        </w:rPr>
      </w:pPr>
      <w:hyperlink w:anchor="_Toc532991047" w:history="1">
        <w:r w:rsidR="00B30435" w:rsidRPr="005F5A5D">
          <w:rPr>
            <w:rStyle w:val="Hyperlink"/>
            <w14:scene3d>
              <w14:camera w14:prst="orthographicFront"/>
              <w14:lightRig w14:rig="threePt" w14:dir="t">
                <w14:rot w14:lat="0" w14:lon="0" w14:rev="0"/>
              </w14:lightRig>
            </w14:scene3d>
          </w:rPr>
          <w:t>2.3</w:t>
        </w:r>
        <w:r w:rsidR="00B30435">
          <w:rPr>
            <w:rFonts w:asciiTheme="minorHAnsi" w:eastAsiaTheme="minorEastAsia" w:hAnsiTheme="minorHAnsi"/>
            <w:sz w:val="22"/>
            <w:lang w:val="en-GB" w:eastAsia="en-GB"/>
          </w:rPr>
          <w:tab/>
        </w:r>
        <w:r w:rsidR="00B30435" w:rsidRPr="005F5A5D">
          <w:rPr>
            <w:rStyle w:val="Hyperlink"/>
          </w:rPr>
          <w:t>Prospera’s context</w:t>
        </w:r>
        <w:r w:rsidR="00B30435">
          <w:rPr>
            <w:webHidden/>
          </w:rPr>
          <w:tab/>
        </w:r>
        <w:r w:rsidR="00B30435">
          <w:rPr>
            <w:webHidden/>
          </w:rPr>
          <w:fldChar w:fldCharType="begin"/>
        </w:r>
        <w:r w:rsidR="00B30435">
          <w:rPr>
            <w:webHidden/>
          </w:rPr>
          <w:instrText xml:space="preserve"> PAGEREF _Toc532991047 \h </w:instrText>
        </w:r>
        <w:r w:rsidR="00B30435">
          <w:rPr>
            <w:webHidden/>
          </w:rPr>
        </w:r>
        <w:r w:rsidR="00B30435">
          <w:rPr>
            <w:webHidden/>
          </w:rPr>
          <w:fldChar w:fldCharType="separate"/>
        </w:r>
        <w:r w:rsidR="00B30435">
          <w:rPr>
            <w:webHidden/>
          </w:rPr>
          <w:t>1</w:t>
        </w:r>
        <w:r w:rsidR="00B30435">
          <w:rPr>
            <w:webHidden/>
          </w:rPr>
          <w:fldChar w:fldCharType="end"/>
        </w:r>
      </w:hyperlink>
    </w:p>
    <w:p w14:paraId="063649AA" w14:textId="1174D2AC" w:rsidR="00B30435" w:rsidRDefault="002003B5">
      <w:pPr>
        <w:pStyle w:val="TOC1"/>
        <w:rPr>
          <w:rFonts w:asciiTheme="minorHAnsi" w:eastAsiaTheme="minorEastAsia" w:hAnsiTheme="minorHAnsi"/>
          <w:b w:val="0"/>
          <w:sz w:val="22"/>
          <w:lang w:val="en-GB" w:eastAsia="en-GB"/>
        </w:rPr>
      </w:pPr>
      <w:hyperlink w:anchor="_Toc532991048" w:history="1">
        <w:r w:rsidR="00B30435" w:rsidRPr="005F5A5D">
          <w:rPr>
            <w:rStyle w:val="Hyperlink"/>
          </w:rPr>
          <w:t>3</w:t>
        </w:r>
        <w:r w:rsidR="00B30435">
          <w:rPr>
            <w:rFonts w:asciiTheme="minorHAnsi" w:eastAsiaTheme="minorEastAsia" w:hAnsiTheme="minorHAnsi"/>
            <w:b w:val="0"/>
            <w:sz w:val="22"/>
            <w:lang w:val="en-GB" w:eastAsia="en-GB"/>
          </w:rPr>
          <w:tab/>
        </w:r>
        <w:r w:rsidR="00B30435" w:rsidRPr="005F5A5D">
          <w:rPr>
            <w:rStyle w:val="Hyperlink"/>
          </w:rPr>
          <w:t>Approach</w:t>
        </w:r>
        <w:r w:rsidR="00B30435">
          <w:rPr>
            <w:webHidden/>
          </w:rPr>
          <w:tab/>
        </w:r>
        <w:r w:rsidR="00B30435">
          <w:rPr>
            <w:webHidden/>
          </w:rPr>
          <w:fldChar w:fldCharType="begin"/>
        </w:r>
        <w:r w:rsidR="00B30435">
          <w:rPr>
            <w:webHidden/>
          </w:rPr>
          <w:instrText xml:space="preserve"> PAGEREF _Toc532991048 \h </w:instrText>
        </w:r>
        <w:r w:rsidR="00B30435">
          <w:rPr>
            <w:webHidden/>
          </w:rPr>
        </w:r>
        <w:r w:rsidR="00B30435">
          <w:rPr>
            <w:webHidden/>
          </w:rPr>
          <w:fldChar w:fldCharType="separate"/>
        </w:r>
        <w:r w:rsidR="00B30435">
          <w:rPr>
            <w:webHidden/>
          </w:rPr>
          <w:t>2</w:t>
        </w:r>
        <w:r w:rsidR="00B30435">
          <w:rPr>
            <w:webHidden/>
          </w:rPr>
          <w:fldChar w:fldCharType="end"/>
        </w:r>
      </w:hyperlink>
    </w:p>
    <w:p w14:paraId="6BB4BC0C" w14:textId="307E289D" w:rsidR="00B30435" w:rsidRDefault="002003B5">
      <w:pPr>
        <w:pStyle w:val="TOC2"/>
        <w:rPr>
          <w:rFonts w:asciiTheme="minorHAnsi" w:eastAsiaTheme="minorEastAsia" w:hAnsiTheme="minorHAnsi"/>
          <w:sz w:val="22"/>
          <w:lang w:val="en-GB" w:eastAsia="en-GB"/>
        </w:rPr>
      </w:pPr>
      <w:hyperlink w:anchor="_Toc532991049" w:history="1">
        <w:r w:rsidR="00B30435" w:rsidRPr="005F5A5D">
          <w:rPr>
            <w:rStyle w:val="Hyperlink"/>
            <w14:scene3d>
              <w14:camera w14:prst="orthographicFront"/>
              <w14:lightRig w14:rig="threePt" w14:dir="t">
                <w14:rot w14:lat="0" w14:lon="0" w14:rev="0"/>
              </w14:lightRig>
            </w14:scene3d>
          </w:rPr>
          <w:t>3.1</w:t>
        </w:r>
        <w:r w:rsidR="00B30435">
          <w:rPr>
            <w:rFonts w:asciiTheme="minorHAnsi" w:eastAsiaTheme="minorEastAsia" w:hAnsiTheme="minorHAnsi"/>
            <w:sz w:val="22"/>
            <w:lang w:val="en-GB" w:eastAsia="en-GB"/>
          </w:rPr>
          <w:tab/>
        </w:r>
        <w:r w:rsidR="00B30435" w:rsidRPr="005F5A5D">
          <w:rPr>
            <w:rStyle w:val="Hyperlink"/>
          </w:rPr>
          <w:t>Vision for knowledge, performance and learning</w:t>
        </w:r>
        <w:r w:rsidR="00B30435">
          <w:rPr>
            <w:webHidden/>
          </w:rPr>
          <w:tab/>
        </w:r>
        <w:r w:rsidR="00B30435">
          <w:rPr>
            <w:webHidden/>
          </w:rPr>
          <w:fldChar w:fldCharType="begin"/>
        </w:r>
        <w:r w:rsidR="00B30435">
          <w:rPr>
            <w:webHidden/>
          </w:rPr>
          <w:instrText xml:space="preserve"> PAGEREF _Toc532991049 \h </w:instrText>
        </w:r>
        <w:r w:rsidR="00B30435">
          <w:rPr>
            <w:webHidden/>
          </w:rPr>
        </w:r>
        <w:r w:rsidR="00B30435">
          <w:rPr>
            <w:webHidden/>
          </w:rPr>
          <w:fldChar w:fldCharType="separate"/>
        </w:r>
        <w:r w:rsidR="00B30435">
          <w:rPr>
            <w:webHidden/>
          </w:rPr>
          <w:t>2</w:t>
        </w:r>
        <w:r w:rsidR="00B30435">
          <w:rPr>
            <w:webHidden/>
          </w:rPr>
          <w:fldChar w:fldCharType="end"/>
        </w:r>
      </w:hyperlink>
    </w:p>
    <w:p w14:paraId="0F9F0888" w14:textId="7E6222CD" w:rsidR="00B30435" w:rsidRDefault="002003B5">
      <w:pPr>
        <w:pStyle w:val="TOC2"/>
        <w:rPr>
          <w:rFonts w:asciiTheme="minorHAnsi" w:eastAsiaTheme="minorEastAsia" w:hAnsiTheme="minorHAnsi"/>
          <w:sz w:val="22"/>
          <w:lang w:val="en-GB" w:eastAsia="en-GB"/>
        </w:rPr>
      </w:pPr>
      <w:hyperlink w:anchor="_Toc532991050" w:history="1">
        <w:r w:rsidR="00B30435" w:rsidRPr="005F5A5D">
          <w:rPr>
            <w:rStyle w:val="Hyperlink"/>
            <w14:scene3d>
              <w14:camera w14:prst="orthographicFront"/>
              <w14:lightRig w14:rig="threePt" w14:dir="t">
                <w14:rot w14:lat="0" w14:lon="0" w14:rev="0"/>
              </w14:lightRig>
            </w14:scene3d>
          </w:rPr>
          <w:t>3.2</w:t>
        </w:r>
        <w:r w:rsidR="00B30435">
          <w:rPr>
            <w:rFonts w:asciiTheme="minorHAnsi" w:eastAsiaTheme="minorEastAsia" w:hAnsiTheme="minorHAnsi"/>
            <w:sz w:val="22"/>
            <w:lang w:val="en-GB" w:eastAsia="en-GB"/>
          </w:rPr>
          <w:tab/>
        </w:r>
        <w:r w:rsidR="00B30435" w:rsidRPr="005F5A5D">
          <w:rPr>
            <w:rStyle w:val="Hyperlink"/>
          </w:rPr>
          <w:t>Users and uses</w:t>
        </w:r>
        <w:r w:rsidR="00B30435">
          <w:rPr>
            <w:webHidden/>
          </w:rPr>
          <w:tab/>
        </w:r>
        <w:r w:rsidR="00B30435">
          <w:rPr>
            <w:webHidden/>
          </w:rPr>
          <w:fldChar w:fldCharType="begin"/>
        </w:r>
        <w:r w:rsidR="00B30435">
          <w:rPr>
            <w:webHidden/>
          </w:rPr>
          <w:instrText xml:space="preserve"> PAGEREF _Toc532991050 \h </w:instrText>
        </w:r>
        <w:r w:rsidR="00B30435">
          <w:rPr>
            <w:webHidden/>
          </w:rPr>
        </w:r>
        <w:r w:rsidR="00B30435">
          <w:rPr>
            <w:webHidden/>
          </w:rPr>
          <w:fldChar w:fldCharType="separate"/>
        </w:r>
        <w:r w:rsidR="00B30435">
          <w:rPr>
            <w:webHidden/>
          </w:rPr>
          <w:t>3</w:t>
        </w:r>
        <w:r w:rsidR="00B30435">
          <w:rPr>
            <w:webHidden/>
          </w:rPr>
          <w:fldChar w:fldCharType="end"/>
        </w:r>
      </w:hyperlink>
    </w:p>
    <w:p w14:paraId="6316F9BC" w14:textId="0D8E98F0" w:rsidR="00B30435" w:rsidRDefault="002003B5">
      <w:pPr>
        <w:pStyle w:val="TOC2"/>
        <w:rPr>
          <w:rFonts w:asciiTheme="minorHAnsi" w:eastAsiaTheme="minorEastAsia" w:hAnsiTheme="minorHAnsi"/>
          <w:sz w:val="22"/>
          <w:lang w:val="en-GB" w:eastAsia="en-GB"/>
        </w:rPr>
      </w:pPr>
      <w:hyperlink w:anchor="_Toc532991051" w:history="1">
        <w:r w:rsidR="00B30435" w:rsidRPr="005F5A5D">
          <w:rPr>
            <w:rStyle w:val="Hyperlink"/>
            <w14:scene3d>
              <w14:camera w14:prst="orthographicFront"/>
              <w14:lightRig w14:rig="threePt" w14:dir="t">
                <w14:rot w14:lat="0" w14:lon="0" w14:rev="0"/>
              </w14:lightRig>
            </w14:scene3d>
          </w:rPr>
          <w:t>3.3</w:t>
        </w:r>
        <w:r w:rsidR="00B30435">
          <w:rPr>
            <w:rFonts w:asciiTheme="minorHAnsi" w:eastAsiaTheme="minorEastAsia" w:hAnsiTheme="minorHAnsi"/>
            <w:sz w:val="22"/>
            <w:lang w:val="en-GB" w:eastAsia="en-GB"/>
          </w:rPr>
          <w:tab/>
        </w:r>
        <w:r w:rsidR="00B30435" w:rsidRPr="005F5A5D">
          <w:rPr>
            <w:rStyle w:val="Hyperlink"/>
          </w:rPr>
          <w:t>Requirements for the framework</w:t>
        </w:r>
        <w:r w:rsidR="00B30435">
          <w:rPr>
            <w:webHidden/>
          </w:rPr>
          <w:tab/>
        </w:r>
        <w:r w:rsidR="00B30435">
          <w:rPr>
            <w:webHidden/>
          </w:rPr>
          <w:fldChar w:fldCharType="begin"/>
        </w:r>
        <w:r w:rsidR="00B30435">
          <w:rPr>
            <w:webHidden/>
          </w:rPr>
          <w:instrText xml:space="preserve"> PAGEREF _Toc532991051 \h </w:instrText>
        </w:r>
        <w:r w:rsidR="00B30435">
          <w:rPr>
            <w:webHidden/>
          </w:rPr>
        </w:r>
        <w:r w:rsidR="00B30435">
          <w:rPr>
            <w:webHidden/>
          </w:rPr>
          <w:fldChar w:fldCharType="separate"/>
        </w:r>
        <w:r w:rsidR="00B30435">
          <w:rPr>
            <w:webHidden/>
          </w:rPr>
          <w:t>4</w:t>
        </w:r>
        <w:r w:rsidR="00B30435">
          <w:rPr>
            <w:webHidden/>
          </w:rPr>
          <w:fldChar w:fldCharType="end"/>
        </w:r>
      </w:hyperlink>
    </w:p>
    <w:p w14:paraId="03778136" w14:textId="76A6F9D3" w:rsidR="00B30435" w:rsidRDefault="002003B5">
      <w:pPr>
        <w:pStyle w:val="TOC2"/>
        <w:rPr>
          <w:rFonts w:asciiTheme="minorHAnsi" w:eastAsiaTheme="minorEastAsia" w:hAnsiTheme="minorHAnsi"/>
          <w:sz w:val="22"/>
          <w:lang w:val="en-GB" w:eastAsia="en-GB"/>
        </w:rPr>
      </w:pPr>
      <w:hyperlink w:anchor="_Toc532991052" w:history="1">
        <w:r w:rsidR="00B30435" w:rsidRPr="005F5A5D">
          <w:rPr>
            <w:rStyle w:val="Hyperlink"/>
            <w14:scene3d>
              <w14:camera w14:prst="orthographicFront"/>
              <w14:lightRig w14:rig="threePt" w14:dir="t">
                <w14:rot w14:lat="0" w14:lon="0" w14:rev="0"/>
              </w14:lightRig>
            </w14:scene3d>
          </w:rPr>
          <w:t>3.4</w:t>
        </w:r>
        <w:r w:rsidR="00B30435">
          <w:rPr>
            <w:rFonts w:asciiTheme="minorHAnsi" w:eastAsiaTheme="minorEastAsia" w:hAnsiTheme="minorHAnsi"/>
            <w:sz w:val="22"/>
            <w:lang w:val="en-GB" w:eastAsia="en-GB"/>
          </w:rPr>
          <w:tab/>
        </w:r>
        <w:r w:rsidR="00B30435" w:rsidRPr="005F5A5D">
          <w:rPr>
            <w:rStyle w:val="Hyperlink"/>
          </w:rPr>
          <w:t>Consultation to build the framework</w:t>
        </w:r>
        <w:r w:rsidR="00B30435">
          <w:rPr>
            <w:webHidden/>
          </w:rPr>
          <w:tab/>
        </w:r>
        <w:r w:rsidR="00B30435">
          <w:rPr>
            <w:webHidden/>
          </w:rPr>
          <w:fldChar w:fldCharType="begin"/>
        </w:r>
        <w:r w:rsidR="00B30435">
          <w:rPr>
            <w:webHidden/>
          </w:rPr>
          <w:instrText xml:space="preserve"> PAGEREF _Toc532991052 \h </w:instrText>
        </w:r>
        <w:r w:rsidR="00B30435">
          <w:rPr>
            <w:webHidden/>
          </w:rPr>
        </w:r>
        <w:r w:rsidR="00B30435">
          <w:rPr>
            <w:webHidden/>
          </w:rPr>
          <w:fldChar w:fldCharType="separate"/>
        </w:r>
        <w:r w:rsidR="00B30435">
          <w:rPr>
            <w:webHidden/>
          </w:rPr>
          <w:t>5</w:t>
        </w:r>
        <w:r w:rsidR="00B30435">
          <w:rPr>
            <w:webHidden/>
          </w:rPr>
          <w:fldChar w:fldCharType="end"/>
        </w:r>
      </w:hyperlink>
    </w:p>
    <w:p w14:paraId="1AA494EA" w14:textId="0B74296D" w:rsidR="00B30435" w:rsidRDefault="002003B5">
      <w:pPr>
        <w:pStyle w:val="TOC1"/>
        <w:rPr>
          <w:rFonts w:asciiTheme="minorHAnsi" w:eastAsiaTheme="minorEastAsia" w:hAnsiTheme="minorHAnsi"/>
          <w:b w:val="0"/>
          <w:sz w:val="22"/>
          <w:lang w:val="en-GB" w:eastAsia="en-GB"/>
        </w:rPr>
      </w:pPr>
      <w:hyperlink w:anchor="_Toc532991053" w:history="1">
        <w:r w:rsidR="00B30435" w:rsidRPr="005F5A5D">
          <w:rPr>
            <w:rStyle w:val="Hyperlink"/>
          </w:rPr>
          <w:t>4</w:t>
        </w:r>
        <w:r w:rsidR="00B30435">
          <w:rPr>
            <w:rFonts w:asciiTheme="minorHAnsi" w:eastAsiaTheme="minorEastAsia" w:hAnsiTheme="minorHAnsi"/>
            <w:b w:val="0"/>
            <w:sz w:val="22"/>
            <w:lang w:val="en-GB" w:eastAsia="en-GB"/>
          </w:rPr>
          <w:tab/>
        </w:r>
        <w:r w:rsidR="00B30435" w:rsidRPr="005F5A5D">
          <w:rPr>
            <w:rStyle w:val="Hyperlink"/>
          </w:rPr>
          <w:t>Facility logic</w:t>
        </w:r>
        <w:r w:rsidR="00B30435">
          <w:rPr>
            <w:webHidden/>
          </w:rPr>
          <w:tab/>
        </w:r>
        <w:r w:rsidR="00B30435">
          <w:rPr>
            <w:webHidden/>
          </w:rPr>
          <w:fldChar w:fldCharType="begin"/>
        </w:r>
        <w:r w:rsidR="00B30435">
          <w:rPr>
            <w:webHidden/>
          </w:rPr>
          <w:instrText xml:space="preserve"> PAGEREF _Toc532991053 \h </w:instrText>
        </w:r>
        <w:r w:rsidR="00B30435">
          <w:rPr>
            <w:webHidden/>
          </w:rPr>
        </w:r>
        <w:r w:rsidR="00B30435">
          <w:rPr>
            <w:webHidden/>
          </w:rPr>
          <w:fldChar w:fldCharType="separate"/>
        </w:r>
        <w:r w:rsidR="00B30435">
          <w:rPr>
            <w:webHidden/>
          </w:rPr>
          <w:t>6</w:t>
        </w:r>
        <w:r w:rsidR="00B30435">
          <w:rPr>
            <w:webHidden/>
          </w:rPr>
          <w:fldChar w:fldCharType="end"/>
        </w:r>
      </w:hyperlink>
    </w:p>
    <w:p w14:paraId="36F19380" w14:textId="43FB1B04" w:rsidR="00B30435" w:rsidRDefault="002003B5">
      <w:pPr>
        <w:pStyle w:val="TOC2"/>
        <w:rPr>
          <w:rFonts w:asciiTheme="minorHAnsi" w:eastAsiaTheme="minorEastAsia" w:hAnsiTheme="minorHAnsi"/>
          <w:sz w:val="22"/>
          <w:lang w:val="en-GB" w:eastAsia="en-GB"/>
        </w:rPr>
      </w:pPr>
      <w:hyperlink w:anchor="_Toc532991054" w:history="1">
        <w:r w:rsidR="00B30435" w:rsidRPr="005F5A5D">
          <w:rPr>
            <w:rStyle w:val="Hyperlink"/>
            <w14:scene3d>
              <w14:camera w14:prst="orthographicFront"/>
              <w14:lightRig w14:rig="threePt" w14:dir="t">
                <w14:rot w14:lat="0" w14:lon="0" w14:rev="0"/>
              </w14:lightRig>
            </w14:scene3d>
          </w:rPr>
          <w:t>4.1</w:t>
        </w:r>
        <w:r w:rsidR="00B30435">
          <w:rPr>
            <w:rFonts w:asciiTheme="minorHAnsi" w:eastAsiaTheme="minorEastAsia" w:hAnsiTheme="minorHAnsi"/>
            <w:sz w:val="22"/>
            <w:lang w:val="en-GB" w:eastAsia="en-GB"/>
          </w:rPr>
          <w:tab/>
        </w:r>
        <w:r w:rsidR="00B30435" w:rsidRPr="005F5A5D">
          <w:rPr>
            <w:rStyle w:val="Hyperlink"/>
          </w:rPr>
          <w:t>Goal</w:t>
        </w:r>
        <w:r w:rsidR="00B30435">
          <w:rPr>
            <w:webHidden/>
          </w:rPr>
          <w:tab/>
        </w:r>
        <w:r w:rsidR="00B30435">
          <w:rPr>
            <w:webHidden/>
          </w:rPr>
          <w:fldChar w:fldCharType="begin"/>
        </w:r>
        <w:r w:rsidR="00B30435">
          <w:rPr>
            <w:webHidden/>
          </w:rPr>
          <w:instrText xml:space="preserve"> PAGEREF _Toc532991054 \h </w:instrText>
        </w:r>
        <w:r w:rsidR="00B30435">
          <w:rPr>
            <w:webHidden/>
          </w:rPr>
        </w:r>
        <w:r w:rsidR="00B30435">
          <w:rPr>
            <w:webHidden/>
          </w:rPr>
          <w:fldChar w:fldCharType="separate"/>
        </w:r>
        <w:r w:rsidR="00B30435">
          <w:rPr>
            <w:webHidden/>
          </w:rPr>
          <w:t>6</w:t>
        </w:r>
        <w:r w:rsidR="00B30435">
          <w:rPr>
            <w:webHidden/>
          </w:rPr>
          <w:fldChar w:fldCharType="end"/>
        </w:r>
      </w:hyperlink>
    </w:p>
    <w:p w14:paraId="6CB45BB5" w14:textId="0F32DBBE" w:rsidR="00B30435" w:rsidRDefault="002003B5">
      <w:pPr>
        <w:pStyle w:val="TOC2"/>
        <w:rPr>
          <w:rFonts w:asciiTheme="minorHAnsi" w:eastAsiaTheme="minorEastAsia" w:hAnsiTheme="minorHAnsi"/>
          <w:sz w:val="22"/>
          <w:lang w:val="en-GB" w:eastAsia="en-GB"/>
        </w:rPr>
      </w:pPr>
      <w:hyperlink w:anchor="_Toc532991055" w:history="1">
        <w:r w:rsidR="00B30435" w:rsidRPr="005F5A5D">
          <w:rPr>
            <w:rStyle w:val="Hyperlink"/>
            <w14:scene3d>
              <w14:camera w14:prst="orthographicFront"/>
              <w14:lightRig w14:rig="threePt" w14:dir="t">
                <w14:rot w14:lat="0" w14:lon="0" w14:rev="0"/>
              </w14:lightRig>
            </w14:scene3d>
          </w:rPr>
          <w:t>4.2</w:t>
        </w:r>
        <w:r w:rsidR="00B30435">
          <w:rPr>
            <w:rFonts w:asciiTheme="minorHAnsi" w:eastAsiaTheme="minorEastAsia" w:hAnsiTheme="minorHAnsi"/>
            <w:sz w:val="22"/>
            <w:lang w:val="en-GB" w:eastAsia="en-GB"/>
          </w:rPr>
          <w:tab/>
        </w:r>
        <w:r w:rsidR="00B30435" w:rsidRPr="005F5A5D">
          <w:rPr>
            <w:rStyle w:val="Hyperlink"/>
          </w:rPr>
          <w:t>Breakthrough outcomes</w:t>
        </w:r>
        <w:r w:rsidR="00B30435">
          <w:rPr>
            <w:webHidden/>
          </w:rPr>
          <w:tab/>
        </w:r>
        <w:r w:rsidR="00B30435">
          <w:rPr>
            <w:webHidden/>
          </w:rPr>
          <w:fldChar w:fldCharType="begin"/>
        </w:r>
        <w:r w:rsidR="00B30435">
          <w:rPr>
            <w:webHidden/>
          </w:rPr>
          <w:instrText xml:space="preserve"> PAGEREF _Toc532991055 \h </w:instrText>
        </w:r>
        <w:r w:rsidR="00B30435">
          <w:rPr>
            <w:webHidden/>
          </w:rPr>
        </w:r>
        <w:r w:rsidR="00B30435">
          <w:rPr>
            <w:webHidden/>
          </w:rPr>
          <w:fldChar w:fldCharType="separate"/>
        </w:r>
        <w:r w:rsidR="00B30435">
          <w:rPr>
            <w:webHidden/>
          </w:rPr>
          <w:t>7</w:t>
        </w:r>
        <w:r w:rsidR="00B30435">
          <w:rPr>
            <w:webHidden/>
          </w:rPr>
          <w:fldChar w:fldCharType="end"/>
        </w:r>
      </w:hyperlink>
    </w:p>
    <w:p w14:paraId="5E2F1029" w14:textId="7B96B292" w:rsidR="00B30435" w:rsidRDefault="002003B5">
      <w:pPr>
        <w:pStyle w:val="TOC2"/>
        <w:rPr>
          <w:rFonts w:asciiTheme="minorHAnsi" w:eastAsiaTheme="minorEastAsia" w:hAnsiTheme="minorHAnsi"/>
          <w:sz w:val="22"/>
          <w:lang w:val="en-GB" w:eastAsia="en-GB"/>
        </w:rPr>
      </w:pPr>
      <w:hyperlink w:anchor="_Toc532991056" w:history="1">
        <w:r w:rsidR="00B30435" w:rsidRPr="005F5A5D">
          <w:rPr>
            <w:rStyle w:val="Hyperlink"/>
            <w14:scene3d>
              <w14:camera w14:prst="orthographicFront"/>
              <w14:lightRig w14:rig="threePt" w14:dir="t">
                <w14:rot w14:lat="0" w14:lon="0" w14:rev="0"/>
              </w14:lightRig>
            </w14:scene3d>
          </w:rPr>
          <w:t>4.3</w:t>
        </w:r>
        <w:r w:rsidR="00B30435">
          <w:rPr>
            <w:rFonts w:asciiTheme="minorHAnsi" w:eastAsiaTheme="minorEastAsia" w:hAnsiTheme="minorHAnsi"/>
            <w:sz w:val="22"/>
            <w:lang w:val="en-GB" w:eastAsia="en-GB"/>
          </w:rPr>
          <w:tab/>
        </w:r>
        <w:r w:rsidR="00B30435" w:rsidRPr="005F5A5D">
          <w:rPr>
            <w:rStyle w:val="Hyperlink"/>
          </w:rPr>
          <w:t>Descriptive theory of change</w:t>
        </w:r>
        <w:r w:rsidR="00B30435">
          <w:rPr>
            <w:webHidden/>
          </w:rPr>
          <w:tab/>
        </w:r>
        <w:r w:rsidR="00B30435">
          <w:rPr>
            <w:webHidden/>
          </w:rPr>
          <w:fldChar w:fldCharType="begin"/>
        </w:r>
        <w:r w:rsidR="00B30435">
          <w:rPr>
            <w:webHidden/>
          </w:rPr>
          <w:instrText xml:space="preserve"> PAGEREF _Toc532991056 \h </w:instrText>
        </w:r>
        <w:r w:rsidR="00B30435">
          <w:rPr>
            <w:webHidden/>
          </w:rPr>
        </w:r>
        <w:r w:rsidR="00B30435">
          <w:rPr>
            <w:webHidden/>
          </w:rPr>
          <w:fldChar w:fldCharType="separate"/>
        </w:r>
        <w:r w:rsidR="00B30435">
          <w:rPr>
            <w:webHidden/>
          </w:rPr>
          <w:t>9</w:t>
        </w:r>
        <w:r w:rsidR="00B30435">
          <w:rPr>
            <w:webHidden/>
          </w:rPr>
          <w:fldChar w:fldCharType="end"/>
        </w:r>
      </w:hyperlink>
    </w:p>
    <w:p w14:paraId="4E8BD3D4" w14:textId="7D07A0CB" w:rsidR="00B30435" w:rsidRDefault="002003B5">
      <w:pPr>
        <w:pStyle w:val="TOC2"/>
        <w:rPr>
          <w:rFonts w:asciiTheme="minorHAnsi" w:eastAsiaTheme="minorEastAsia" w:hAnsiTheme="minorHAnsi"/>
          <w:sz w:val="22"/>
          <w:lang w:val="en-GB" w:eastAsia="en-GB"/>
        </w:rPr>
      </w:pPr>
      <w:hyperlink w:anchor="_Toc532991057" w:history="1">
        <w:r w:rsidR="00B30435" w:rsidRPr="005F5A5D">
          <w:rPr>
            <w:rStyle w:val="Hyperlink"/>
            <w14:scene3d>
              <w14:camera w14:prst="orthographicFront"/>
              <w14:lightRig w14:rig="threePt" w14:dir="t">
                <w14:rot w14:lat="0" w14:lon="0" w14:rev="0"/>
              </w14:lightRig>
            </w14:scene3d>
          </w:rPr>
          <w:t>4.4</w:t>
        </w:r>
        <w:r w:rsidR="00B30435">
          <w:rPr>
            <w:rFonts w:asciiTheme="minorHAnsi" w:eastAsiaTheme="minorEastAsia" w:hAnsiTheme="minorHAnsi"/>
            <w:sz w:val="22"/>
            <w:lang w:val="en-GB" w:eastAsia="en-GB"/>
          </w:rPr>
          <w:tab/>
        </w:r>
        <w:r w:rsidR="00B30435" w:rsidRPr="005F5A5D">
          <w:rPr>
            <w:rStyle w:val="Hyperlink"/>
          </w:rPr>
          <w:t>Linking facility logic to activity level logic</w:t>
        </w:r>
        <w:r w:rsidR="00B30435">
          <w:rPr>
            <w:webHidden/>
          </w:rPr>
          <w:tab/>
        </w:r>
        <w:r w:rsidR="00B30435">
          <w:rPr>
            <w:webHidden/>
          </w:rPr>
          <w:fldChar w:fldCharType="begin"/>
        </w:r>
        <w:r w:rsidR="00B30435">
          <w:rPr>
            <w:webHidden/>
          </w:rPr>
          <w:instrText xml:space="preserve"> PAGEREF _Toc532991057 \h </w:instrText>
        </w:r>
        <w:r w:rsidR="00B30435">
          <w:rPr>
            <w:webHidden/>
          </w:rPr>
        </w:r>
        <w:r w:rsidR="00B30435">
          <w:rPr>
            <w:webHidden/>
          </w:rPr>
          <w:fldChar w:fldCharType="separate"/>
        </w:r>
        <w:r w:rsidR="00B30435">
          <w:rPr>
            <w:webHidden/>
          </w:rPr>
          <w:t>9</w:t>
        </w:r>
        <w:r w:rsidR="00B30435">
          <w:rPr>
            <w:webHidden/>
          </w:rPr>
          <w:fldChar w:fldCharType="end"/>
        </w:r>
      </w:hyperlink>
    </w:p>
    <w:p w14:paraId="654A4B2C" w14:textId="4092E5C8" w:rsidR="00B30435" w:rsidRDefault="002003B5">
      <w:pPr>
        <w:pStyle w:val="TOC2"/>
        <w:rPr>
          <w:rFonts w:asciiTheme="minorHAnsi" w:eastAsiaTheme="minorEastAsia" w:hAnsiTheme="minorHAnsi"/>
          <w:sz w:val="22"/>
          <w:lang w:val="en-GB" w:eastAsia="en-GB"/>
        </w:rPr>
      </w:pPr>
      <w:hyperlink w:anchor="_Toc532991058" w:history="1">
        <w:r w:rsidR="00B30435" w:rsidRPr="005F5A5D">
          <w:rPr>
            <w:rStyle w:val="Hyperlink"/>
            <w14:scene3d>
              <w14:camera w14:prst="orthographicFront"/>
              <w14:lightRig w14:rig="threePt" w14:dir="t">
                <w14:rot w14:lat="0" w14:lon="0" w14:rev="0"/>
              </w14:lightRig>
            </w14:scene3d>
          </w:rPr>
          <w:t>4.5</w:t>
        </w:r>
        <w:r w:rsidR="00B30435">
          <w:rPr>
            <w:rFonts w:asciiTheme="minorHAnsi" w:eastAsiaTheme="minorEastAsia" w:hAnsiTheme="minorHAnsi"/>
            <w:sz w:val="22"/>
            <w:lang w:val="en-GB" w:eastAsia="en-GB"/>
          </w:rPr>
          <w:tab/>
        </w:r>
        <w:r w:rsidR="00B30435" w:rsidRPr="005F5A5D">
          <w:rPr>
            <w:rStyle w:val="Hyperlink"/>
          </w:rPr>
          <w:t>High-level assumptions</w:t>
        </w:r>
        <w:r w:rsidR="00B30435">
          <w:rPr>
            <w:webHidden/>
          </w:rPr>
          <w:tab/>
        </w:r>
        <w:r w:rsidR="00B30435">
          <w:rPr>
            <w:webHidden/>
          </w:rPr>
          <w:fldChar w:fldCharType="begin"/>
        </w:r>
        <w:r w:rsidR="00B30435">
          <w:rPr>
            <w:webHidden/>
          </w:rPr>
          <w:instrText xml:space="preserve"> PAGEREF _Toc532991058 \h </w:instrText>
        </w:r>
        <w:r w:rsidR="00B30435">
          <w:rPr>
            <w:webHidden/>
          </w:rPr>
        </w:r>
        <w:r w:rsidR="00B30435">
          <w:rPr>
            <w:webHidden/>
          </w:rPr>
          <w:fldChar w:fldCharType="separate"/>
        </w:r>
        <w:r w:rsidR="00B30435">
          <w:rPr>
            <w:webHidden/>
          </w:rPr>
          <w:t>10</w:t>
        </w:r>
        <w:r w:rsidR="00B30435">
          <w:rPr>
            <w:webHidden/>
          </w:rPr>
          <w:fldChar w:fldCharType="end"/>
        </w:r>
      </w:hyperlink>
    </w:p>
    <w:p w14:paraId="6E32CB0C" w14:textId="1D2DC402" w:rsidR="00B30435" w:rsidRDefault="002003B5">
      <w:pPr>
        <w:pStyle w:val="TOC2"/>
        <w:rPr>
          <w:rFonts w:asciiTheme="minorHAnsi" w:eastAsiaTheme="minorEastAsia" w:hAnsiTheme="minorHAnsi"/>
          <w:sz w:val="22"/>
          <w:lang w:val="en-GB" w:eastAsia="en-GB"/>
        </w:rPr>
      </w:pPr>
      <w:hyperlink w:anchor="_Toc532991059" w:history="1">
        <w:r w:rsidR="00B30435" w:rsidRPr="005F5A5D">
          <w:rPr>
            <w:rStyle w:val="Hyperlink"/>
            <w14:scene3d>
              <w14:camera w14:prst="orthographicFront"/>
              <w14:lightRig w14:rig="threePt" w14:dir="t">
                <w14:rot w14:lat="0" w14:lon="0" w14:rev="0"/>
              </w14:lightRig>
            </w14:scene3d>
          </w:rPr>
          <w:t>4.6</w:t>
        </w:r>
        <w:r w:rsidR="00B30435">
          <w:rPr>
            <w:rFonts w:asciiTheme="minorHAnsi" w:eastAsiaTheme="minorEastAsia" w:hAnsiTheme="minorHAnsi"/>
            <w:sz w:val="22"/>
            <w:lang w:val="en-GB" w:eastAsia="en-GB"/>
          </w:rPr>
          <w:tab/>
        </w:r>
        <w:r w:rsidR="00B30435" w:rsidRPr="005F5A5D">
          <w:rPr>
            <w:rStyle w:val="Hyperlink"/>
          </w:rPr>
          <w:t>Ways of working</w:t>
        </w:r>
        <w:r w:rsidR="00B30435">
          <w:rPr>
            <w:webHidden/>
          </w:rPr>
          <w:tab/>
        </w:r>
        <w:r w:rsidR="00B30435">
          <w:rPr>
            <w:webHidden/>
          </w:rPr>
          <w:fldChar w:fldCharType="begin"/>
        </w:r>
        <w:r w:rsidR="00B30435">
          <w:rPr>
            <w:webHidden/>
          </w:rPr>
          <w:instrText xml:space="preserve"> PAGEREF _Toc532991059 \h </w:instrText>
        </w:r>
        <w:r w:rsidR="00B30435">
          <w:rPr>
            <w:webHidden/>
          </w:rPr>
        </w:r>
        <w:r w:rsidR="00B30435">
          <w:rPr>
            <w:webHidden/>
          </w:rPr>
          <w:fldChar w:fldCharType="separate"/>
        </w:r>
        <w:r w:rsidR="00B30435">
          <w:rPr>
            <w:webHidden/>
          </w:rPr>
          <w:t>10</w:t>
        </w:r>
        <w:r w:rsidR="00B30435">
          <w:rPr>
            <w:webHidden/>
          </w:rPr>
          <w:fldChar w:fldCharType="end"/>
        </w:r>
      </w:hyperlink>
    </w:p>
    <w:p w14:paraId="2DA47310" w14:textId="5151CA23" w:rsidR="00B30435" w:rsidRDefault="002003B5">
      <w:pPr>
        <w:pStyle w:val="TOC1"/>
        <w:rPr>
          <w:rFonts w:asciiTheme="minorHAnsi" w:eastAsiaTheme="minorEastAsia" w:hAnsiTheme="minorHAnsi"/>
          <w:b w:val="0"/>
          <w:sz w:val="22"/>
          <w:lang w:val="en-GB" w:eastAsia="en-GB"/>
        </w:rPr>
      </w:pPr>
      <w:hyperlink w:anchor="_Toc532991060" w:history="1">
        <w:r w:rsidR="00B30435" w:rsidRPr="005F5A5D">
          <w:rPr>
            <w:rStyle w:val="Hyperlink"/>
          </w:rPr>
          <w:t>5</w:t>
        </w:r>
        <w:r w:rsidR="00B30435">
          <w:rPr>
            <w:rFonts w:asciiTheme="minorHAnsi" w:eastAsiaTheme="minorEastAsia" w:hAnsiTheme="minorHAnsi"/>
            <w:b w:val="0"/>
            <w:sz w:val="22"/>
            <w:lang w:val="en-GB" w:eastAsia="en-GB"/>
          </w:rPr>
          <w:tab/>
        </w:r>
        <w:r w:rsidR="00B30435" w:rsidRPr="005F5A5D">
          <w:rPr>
            <w:rStyle w:val="Hyperlink"/>
          </w:rPr>
          <w:t>Performance measurement</w:t>
        </w:r>
        <w:r w:rsidR="00B30435">
          <w:rPr>
            <w:webHidden/>
          </w:rPr>
          <w:tab/>
        </w:r>
        <w:r w:rsidR="00B30435">
          <w:rPr>
            <w:webHidden/>
          </w:rPr>
          <w:fldChar w:fldCharType="begin"/>
        </w:r>
        <w:r w:rsidR="00B30435">
          <w:rPr>
            <w:webHidden/>
          </w:rPr>
          <w:instrText xml:space="preserve"> PAGEREF _Toc532991060 \h </w:instrText>
        </w:r>
        <w:r w:rsidR="00B30435">
          <w:rPr>
            <w:webHidden/>
          </w:rPr>
        </w:r>
        <w:r w:rsidR="00B30435">
          <w:rPr>
            <w:webHidden/>
          </w:rPr>
          <w:fldChar w:fldCharType="separate"/>
        </w:r>
        <w:r w:rsidR="00B30435">
          <w:rPr>
            <w:webHidden/>
          </w:rPr>
          <w:t>11</w:t>
        </w:r>
        <w:r w:rsidR="00B30435">
          <w:rPr>
            <w:webHidden/>
          </w:rPr>
          <w:fldChar w:fldCharType="end"/>
        </w:r>
      </w:hyperlink>
    </w:p>
    <w:p w14:paraId="18DEEF47" w14:textId="24A40C39" w:rsidR="00B30435" w:rsidRDefault="002003B5">
      <w:pPr>
        <w:pStyle w:val="TOC2"/>
        <w:rPr>
          <w:rFonts w:asciiTheme="minorHAnsi" w:eastAsiaTheme="minorEastAsia" w:hAnsiTheme="minorHAnsi"/>
          <w:sz w:val="22"/>
          <w:lang w:val="en-GB" w:eastAsia="en-GB"/>
        </w:rPr>
      </w:pPr>
      <w:hyperlink w:anchor="_Toc532991061" w:history="1">
        <w:r w:rsidR="00B30435" w:rsidRPr="005F5A5D">
          <w:rPr>
            <w:rStyle w:val="Hyperlink"/>
            <w14:scene3d>
              <w14:camera w14:prst="orthographicFront"/>
              <w14:lightRig w14:rig="threePt" w14:dir="t">
                <w14:rot w14:lat="0" w14:lon="0" w14:rev="0"/>
              </w14:lightRig>
            </w14:scene3d>
          </w:rPr>
          <w:t>5.1</w:t>
        </w:r>
        <w:r w:rsidR="00B30435">
          <w:rPr>
            <w:rFonts w:asciiTheme="minorHAnsi" w:eastAsiaTheme="minorEastAsia" w:hAnsiTheme="minorHAnsi"/>
            <w:sz w:val="22"/>
            <w:lang w:val="en-GB" w:eastAsia="en-GB"/>
          </w:rPr>
          <w:tab/>
        </w:r>
        <w:r w:rsidR="00B30435" w:rsidRPr="005F5A5D">
          <w:rPr>
            <w:rStyle w:val="Hyperlink"/>
          </w:rPr>
          <w:t>Key performance questions – facility level</w:t>
        </w:r>
        <w:r w:rsidR="00B30435">
          <w:rPr>
            <w:webHidden/>
          </w:rPr>
          <w:tab/>
        </w:r>
        <w:r w:rsidR="00B30435">
          <w:rPr>
            <w:webHidden/>
          </w:rPr>
          <w:fldChar w:fldCharType="begin"/>
        </w:r>
        <w:r w:rsidR="00B30435">
          <w:rPr>
            <w:webHidden/>
          </w:rPr>
          <w:instrText xml:space="preserve"> PAGEREF _Toc532991061 \h </w:instrText>
        </w:r>
        <w:r w:rsidR="00B30435">
          <w:rPr>
            <w:webHidden/>
          </w:rPr>
        </w:r>
        <w:r w:rsidR="00B30435">
          <w:rPr>
            <w:webHidden/>
          </w:rPr>
          <w:fldChar w:fldCharType="separate"/>
        </w:r>
        <w:r w:rsidR="00B30435">
          <w:rPr>
            <w:webHidden/>
          </w:rPr>
          <w:t>11</w:t>
        </w:r>
        <w:r w:rsidR="00B30435">
          <w:rPr>
            <w:webHidden/>
          </w:rPr>
          <w:fldChar w:fldCharType="end"/>
        </w:r>
      </w:hyperlink>
    </w:p>
    <w:p w14:paraId="3B8E2EB1" w14:textId="1B33C358" w:rsidR="00B30435" w:rsidRDefault="002003B5">
      <w:pPr>
        <w:pStyle w:val="TOC2"/>
        <w:rPr>
          <w:rFonts w:asciiTheme="minorHAnsi" w:eastAsiaTheme="minorEastAsia" w:hAnsiTheme="minorHAnsi"/>
          <w:sz w:val="22"/>
          <w:lang w:val="en-GB" w:eastAsia="en-GB"/>
        </w:rPr>
      </w:pPr>
      <w:hyperlink w:anchor="_Toc532991062" w:history="1">
        <w:r w:rsidR="00B30435" w:rsidRPr="005F5A5D">
          <w:rPr>
            <w:rStyle w:val="Hyperlink"/>
            <w14:scene3d>
              <w14:camera w14:prst="orthographicFront"/>
              <w14:lightRig w14:rig="threePt" w14:dir="t">
                <w14:rot w14:lat="0" w14:lon="0" w14:rev="0"/>
              </w14:lightRig>
            </w14:scene3d>
          </w:rPr>
          <w:t>5.2</w:t>
        </w:r>
        <w:r w:rsidR="00B30435">
          <w:rPr>
            <w:rFonts w:asciiTheme="minorHAnsi" w:eastAsiaTheme="minorEastAsia" w:hAnsiTheme="minorHAnsi"/>
            <w:sz w:val="22"/>
            <w:lang w:val="en-GB" w:eastAsia="en-GB"/>
          </w:rPr>
          <w:tab/>
        </w:r>
        <w:r w:rsidR="00B30435" w:rsidRPr="005F5A5D">
          <w:rPr>
            <w:rStyle w:val="Hyperlink"/>
          </w:rPr>
          <w:t>Baseline narratives</w:t>
        </w:r>
        <w:r w:rsidR="00B30435">
          <w:rPr>
            <w:webHidden/>
          </w:rPr>
          <w:tab/>
        </w:r>
        <w:r w:rsidR="00B30435">
          <w:rPr>
            <w:webHidden/>
          </w:rPr>
          <w:fldChar w:fldCharType="begin"/>
        </w:r>
        <w:r w:rsidR="00B30435">
          <w:rPr>
            <w:webHidden/>
          </w:rPr>
          <w:instrText xml:space="preserve"> PAGEREF _Toc532991062 \h </w:instrText>
        </w:r>
        <w:r w:rsidR="00B30435">
          <w:rPr>
            <w:webHidden/>
          </w:rPr>
        </w:r>
        <w:r w:rsidR="00B30435">
          <w:rPr>
            <w:webHidden/>
          </w:rPr>
          <w:fldChar w:fldCharType="separate"/>
        </w:r>
        <w:r w:rsidR="00B30435">
          <w:rPr>
            <w:webHidden/>
          </w:rPr>
          <w:t>11</w:t>
        </w:r>
        <w:r w:rsidR="00B30435">
          <w:rPr>
            <w:webHidden/>
          </w:rPr>
          <w:fldChar w:fldCharType="end"/>
        </w:r>
      </w:hyperlink>
    </w:p>
    <w:p w14:paraId="58A2031B" w14:textId="443C995A" w:rsidR="00B30435" w:rsidRDefault="002003B5">
      <w:pPr>
        <w:pStyle w:val="TOC2"/>
        <w:rPr>
          <w:rFonts w:asciiTheme="minorHAnsi" w:eastAsiaTheme="minorEastAsia" w:hAnsiTheme="minorHAnsi"/>
          <w:sz w:val="22"/>
          <w:lang w:val="en-GB" w:eastAsia="en-GB"/>
        </w:rPr>
      </w:pPr>
      <w:hyperlink w:anchor="_Toc532991063" w:history="1">
        <w:r w:rsidR="00B30435" w:rsidRPr="005F5A5D">
          <w:rPr>
            <w:rStyle w:val="Hyperlink"/>
            <w14:scene3d>
              <w14:camera w14:prst="orthographicFront"/>
              <w14:lightRig w14:rig="threePt" w14:dir="t">
                <w14:rot w14:lat="0" w14:lon="0" w14:rev="0"/>
              </w14:lightRig>
            </w14:scene3d>
          </w:rPr>
          <w:t>5.3</w:t>
        </w:r>
        <w:r w:rsidR="00B30435">
          <w:rPr>
            <w:rFonts w:asciiTheme="minorHAnsi" w:eastAsiaTheme="minorEastAsia" w:hAnsiTheme="minorHAnsi"/>
            <w:sz w:val="22"/>
            <w:lang w:val="en-GB" w:eastAsia="en-GB"/>
          </w:rPr>
          <w:tab/>
        </w:r>
        <w:r w:rsidR="00B30435" w:rsidRPr="005F5A5D">
          <w:rPr>
            <w:rStyle w:val="Hyperlink"/>
          </w:rPr>
          <w:t>DFAT Indonesia Performance Assessment Framework</w:t>
        </w:r>
        <w:r w:rsidR="00B30435">
          <w:rPr>
            <w:webHidden/>
          </w:rPr>
          <w:tab/>
        </w:r>
        <w:r w:rsidR="00B30435">
          <w:rPr>
            <w:webHidden/>
          </w:rPr>
          <w:fldChar w:fldCharType="begin"/>
        </w:r>
        <w:r w:rsidR="00B30435">
          <w:rPr>
            <w:webHidden/>
          </w:rPr>
          <w:instrText xml:space="preserve"> PAGEREF _Toc532991063 \h </w:instrText>
        </w:r>
        <w:r w:rsidR="00B30435">
          <w:rPr>
            <w:webHidden/>
          </w:rPr>
        </w:r>
        <w:r w:rsidR="00B30435">
          <w:rPr>
            <w:webHidden/>
          </w:rPr>
          <w:fldChar w:fldCharType="separate"/>
        </w:r>
        <w:r w:rsidR="00B30435">
          <w:rPr>
            <w:webHidden/>
          </w:rPr>
          <w:t>12</w:t>
        </w:r>
        <w:r w:rsidR="00B30435">
          <w:rPr>
            <w:webHidden/>
          </w:rPr>
          <w:fldChar w:fldCharType="end"/>
        </w:r>
      </w:hyperlink>
    </w:p>
    <w:p w14:paraId="5A5E1599" w14:textId="45190292" w:rsidR="00B30435" w:rsidRDefault="002003B5">
      <w:pPr>
        <w:pStyle w:val="TOC2"/>
        <w:rPr>
          <w:rFonts w:asciiTheme="minorHAnsi" w:eastAsiaTheme="minorEastAsia" w:hAnsiTheme="minorHAnsi"/>
          <w:sz w:val="22"/>
          <w:lang w:val="en-GB" w:eastAsia="en-GB"/>
        </w:rPr>
      </w:pPr>
      <w:hyperlink w:anchor="_Toc532991064" w:history="1">
        <w:r w:rsidR="00B30435" w:rsidRPr="005F5A5D">
          <w:rPr>
            <w:rStyle w:val="Hyperlink"/>
            <w14:scene3d>
              <w14:camera w14:prst="orthographicFront"/>
              <w14:lightRig w14:rig="threePt" w14:dir="t">
                <w14:rot w14:lat="0" w14:lon="0" w14:rev="0"/>
              </w14:lightRig>
            </w14:scene3d>
          </w:rPr>
          <w:t>5.4</w:t>
        </w:r>
        <w:r w:rsidR="00B30435">
          <w:rPr>
            <w:rFonts w:asciiTheme="minorHAnsi" w:eastAsiaTheme="minorEastAsia" w:hAnsiTheme="minorHAnsi"/>
            <w:sz w:val="22"/>
            <w:lang w:val="en-GB" w:eastAsia="en-GB"/>
          </w:rPr>
          <w:tab/>
        </w:r>
        <w:r w:rsidR="00B30435" w:rsidRPr="005F5A5D">
          <w:rPr>
            <w:rStyle w:val="Hyperlink"/>
          </w:rPr>
          <w:t>Methods for monitoring and evaluating performance</w:t>
        </w:r>
        <w:r w:rsidR="00B30435">
          <w:rPr>
            <w:webHidden/>
          </w:rPr>
          <w:tab/>
        </w:r>
        <w:r w:rsidR="00B30435">
          <w:rPr>
            <w:webHidden/>
          </w:rPr>
          <w:fldChar w:fldCharType="begin"/>
        </w:r>
        <w:r w:rsidR="00B30435">
          <w:rPr>
            <w:webHidden/>
          </w:rPr>
          <w:instrText xml:space="preserve"> PAGEREF _Toc532991064 \h </w:instrText>
        </w:r>
        <w:r w:rsidR="00B30435">
          <w:rPr>
            <w:webHidden/>
          </w:rPr>
        </w:r>
        <w:r w:rsidR="00B30435">
          <w:rPr>
            <w:webHidden/>
          </w:rPr>
          <w:fldChar w:fldCharType="separate"/>
        </w:r>
        <w:r w:rsidR="00B30435">
          <w:rPr>
            <w:webHidden/>
          </w:rPr>
          <w:t>12</w:t>
        </w:r>
        <w:r w:rsidR="00B30435">
          <w:rPr>
            <w:webHidden/>
          </w:rPr>
          <w:fldChar w:fldCharType="end"/>
        </w:r>
      </w:hyperlink>
    </w:p>
    <w:p w14:paraId="666F72E9" w14:textId="6071C02A" w:rsidR="00B30435" w:rsidRDefault="002003B5">
      <w:pPr>
        <w:pStyle w:val="TOC1"/>
        <w:rPr>
          <w:rFonts w:asciiTheme="minorHAnsi" w:eastAsiaTheme="minorEastAsia" w:hAnsiTheme="minorHAnsi"/>
          <w:b w:val="0"/>
          <w:sz w:val="22"/>
          <w:lang w:val="en-GB" w:eastAsia="en-GB"/>
        </w:rPr>
      </w:pPr>
      <w:hyperlink w:anchor="_Toc532991065" w:history="1">
        <w:r w:rsidR="00B30435" w:rsidRPr="005F5A5D">
          <w:rPr>
            <w:rStyle w:val="Hyperlink"/>
          </w:rPr>
          <w:t>6</w:t>
        </w:r>
        <w:r w:rsidR="00B30435">
          <w:rPr>
            <w:rFonts w:asciiTheme="minorHAnsi" w:eastAsiaTheme="minorEastAsia" w:hAnsiTheme="minorHAnsi"/>
            <w:b w:val="0"/>
            <w:sz w:val="22"/>
            <w:lang w:val="en-GB" w:eastAsia="en-GB"/>
          </w:rPr>
          <w:tab/>
        </w:r>
        <w:r w:rsidR="00B30435" w:rsidRPr="005F5A5D">
          <w:rPr>
            <w:rStyle w:val="Hyperlink"/>
          </w:rPr>
          <w:t>Evaluation</w:t>
        </w:r>
        <w:r w:rsidR="00B30435">
          <w:rPr>
            <w:webHidden/>
          </w:rPr>
          <w:tab/>
        </w:r>
        <w:r w:rsidR="00B30435">
          <w:rPr>
            <w:webHidden/>
          </w:rPr>
          <w:fldChar w:fldCharType="begin"/>
        </w:r>
        <w:r w:rsidR="00B30435">
          <w:rPr>
            <w:webHidden/>
          </w:rPr>
          <w:instrText xml:space="preserve"> PAGEREF _Toc532991065 \h </w:instrText>
        </w:r>
        <w:r w:rsidR="00B30435">
          <w:rPr>
            <w:webHidden/>
          </w:rPr>
        </w:r>
        <w:r w:rsidR="00B30435">
          <w:rPr>
            <w:webHidden/>
          </w:rPr>
          <w:fldChar w:fldCharType="separate"/>
        </w:r>
        <w:r w:rsidR="00B30435">
          <w:rPr>
            <w:webHidden/>
          </w:rPr>
          <w:t>14</w:t>
        </w:r>
        <w:r w:rsidR="00B30435">
          <w:rPr>
            <w:webHidden/>
          </w:rPr>
          <w:fldChar w:fldCharType="end"/>
        </w:r>
      </w:hyperlink>
    </w:p>
    <w:p w14:paraId="5C9836CD" w14:textId="74DA7051" w:rsidR="00B30435" w:rsidRDefault="002003B5">
      <w:pPr>
        <w:pStyle w:val="TOC1"/>
        <w:rPr>
          <w:rFonts w:asciiTheme="minorHAnsi" w:eastAsiaTheme="minorEastAsia" w:hAnsiTheme="minorHAnsi"/>
          <w:b w:val="0"/>
          <w:sz w:val="22"/>
          <w:lang w:val="en-GB" w:eastAsia="en-GB"/>
        </w:rPr>
      </w:pPr>
      <w:hyperlink w:anchor="_Toc532991066" w:history="1">
        <w:r w:rsidR="00B30435" w:rsidRPr="005F5A5D">
          <w:rPr>
            <w:rStyle w:val="Hyperlink"/>
            <w:bCs/>
          </w:rPr>
          <w:t>7</w:t>
        </w:r>
        <w:r w:rsidR="00B30435">
          <w:rPr>
            <w:rFonts w:asciiTheme="minorHAnsi" w:eastAsiaTheme="minorEastAsia" w:hAnsiTheme="minorHAnsi"/>
            <w:b w:val="0"/>
            <w:sz w:val="22"/>
            <w:lang w:val="en-GB" w:eastAsia="en-GB"/>
          </w:rPr>
          <w:tab/>
        </w:r>
        <w:r w:rsidR="00B30435" w:rsidRPr="005F5A5D">
          <w:rPr>
            <w:rStyle w:val="Hyperlink"/>
            <w:bCs/>
          </w:rPr>
          <w:t>Cross-cutting effort for facility results</w:t>
        </w:r>
        <w:r w:rsidR="00B30435">
          <w:rPr>
            <w:webHidden/>
          </w:rPr>
          <w:tab/>
        </w:r>
        <w:r w:rsidR="00B30435">
          <w:rPr>
            <w:webHidden/>
          </w:rPr>
          <w:fldChar w:fldCharType="begin"/>
        </w:r>
        <w:r w:rsidR="00B30435">
          <w:rPr>
            <w:webHidden/>
          </w:rPr>
          <w:instrText xml:space="preserve"> PAGEREF _Toc532991066 \h </w:instrText>
        </w:r>
        <w:r w:rsidR="00B30435">
          <w:rPr>
            <w:webHidden/>
          </w:rPr>
        </w:r>
        <w:r w:rsidR="00B30435">
          <w:rPr>
            <w:webHidden/>
          </w:rPr>
          <w:fldChar w:fldCharType="separate"/>
        </w:r>
        <w:r w:rsidR="00B30435">
          <w:rPr>
            <w:webHidden/>
          </w:rPr>
          <w:t>16</w:t>
        </w:r>
        <w:r w:rsidR="00B30435">
          <w:rPr>
            <w:webHidden/>
          </w:rPr>
          <w:fldChar w:fldCharType="end"/>
        </w:r>
      </w:hyperlink>
    </w:p>
    <w:p w14:paraId="567B2E5D" w14:textId="06A003AB" w:rsidR="00B30435" w:rsidRDefault="002003B5">
      <w:pPr>
        <w:pStyle w:val="TOC2"/>
        <w:rPr>
          <w:rFonts w:asciiTheme="minorHAnsi" w:eastAsiaTheme="minorEastAsia" w:hAnsiTheme="minorHAnsi"/>
          <w:sz w:val="22"/>
          <w:lang w:val="en-GB" w:eastAsia="en-GB"/>
        </w:rPr>
      </w:pPr>
      <w:hyperlink w:anchor="_Toc532991067" w:history="1">
        <w:r w:rsidR="00B30435" w:rsidRPr="005F5A5D">
          <w:rPr>
            <w:rStyle w:val="Hyperlink"/>
            <w14:scene3d>
              <w14:camera w14:prst="orthographicFront"/>
              <w14:lightRig w14:rig="threePt" w14:dir="t">
                <w14:rot w14:lat="0" w14:lon="0" w14:rev="0"/>
              </w14:lightRig>
            </w14:scene3d>
          </w:rPr>
          <w:t>7.1</w:t>
        </w:r>
        <w:r w:rsidR="00B30435">
          <w:rPr>
            <w:rFonts w:asciiTheme="minorHAnsi" w:eastAsiaTheme="minorEastAsia" w:hAnsiTheme="minorHAnsi"/>
            <w:sz w:val="22"/>
            <w:lang w:val="en-GB" w:eastAsia="en-GB"/>
          </w:rPr>
          <w:tab/>
        </w:r>
        <w:r w:rsidR="00B30435" w:rsidRPr="005F5A5D">
          <w:rPr>
            <w:rStyle w:val="Hyperlink"/>
          </w:rPr>
          <w:t>Gender equality and social inclusion</w:t>
        </w:r>
        <w:r w:rsidR="00B30435">
          <w:rPr>
            <w:webHidden/>
          </w:rPr>
          <w:tab/>
        </w:r>
        <w:r w:rsidR="00B30435">
          <w:rPr>
            <w:webHidden/>
          </w:rPr>
          <w:fldChar w:fldCharType="begin"/>
        </w:r>
        <w:r w:rsidR="00B30435">
          <w:rPr>
            <w:webHidden/>
          </w:rPr>
          <w:instrText xml:space="preserve"> PAGEREF _Toc532991067 \h </w:instrText>
        </w:r>
        <w:r w:rsidR="00B30435">
          <w:rPr>
            <w:webHidden/>
          </w:rPr>
        </w:r>
        <w:r w:rsidR="00B30435">
          <w:rPr>
            <w:webHidden/>
          </w:rPr>
          <w:fldChar w:fldCharType="separate"/>
        </w:r>
        <w:r w:rsidR="00B30435">
          <w:rPr>
            <w:webHidden/>
          </w:rPr>
          <w:t>16</w:t>
        </w:r>
        <w:r w:rsidR="00B30435">
          <w:rPr>
            <w:webHidden/>
          </w:rPr>
          <w:fldChar w:fldCharType="end"/>
        </w:r>
      </w:hyperlink>
    </w:p>
    <w:p w14:paraId="4EAE8219" w14:textId="03BA52C9" w:rsidR="00B30435" w:rsidRDefault="002003B5">
      <w:pPr>
        <w:pStyle w:val="TOC2"/>
        <w:rPr>
          <w:rFonts w:asciiTheme="minorHAnsi" w:eastAsiaTheme="minorEastAsia" w:hAnsiTheme="minorHAnsi"/>
          <w:sz w:val="22"/>
          <w:lang w:val="en-GB" w:eastAsia="en-GB"/>
        </w:rPr>
      </w:pPr>
      <w:hyperlink w:anchor="_Toc532991068" w:history="1">
        <w:r w:rsidR="00B30435" w:rsidRPr="005F5A5D">
          <w:rPr>
            <w:rStyle w:val="Hyperlink"/>
            <w14:scene3d>
              <w14:camera w14:prst="orthographicFront"/>
              <w14:lightRig w14:rig="threePt" w14:dir="t">
                <w14:rot w14:lat="0" w14:lon="0" w14:rev="0"/>
              </w14:lightRig>
            </w14:scene3d>
          </w:rPr>
          <w:t>7.2</w:t>
        </w:r>
        <w:r w:rsidR="00B30435">
          <w:rPr>
            <w:rFonts w:asciiTheme="minorHAnsi" w:eastAsiaTheme="minorEastAsia" w:hAnsiTheme="minorHAnsi"/>
            <w:sz w:val="22"/>
            <w:lang w:val="en-GB" w:eastAsia="en-GB"/>
          </w:rPr>
          <w:tab/>
        </w:r>
        <w:r w:rsidR="00B30435" w:rsidRPr="005F5A5D">
          <w:rPr>
            <w:rStyle w:val="Hyperlink"/>
          </w:rPr>
          <w:t>Capability development</w:t>
        </w:r>
        <w:r w:rsidR="00B30435">
          <w:rPr>
            <w:webHidden/>
          </w:rPr>
          <w:tab/>
        </w:r>
        <w:r w:rsidR="00B30435">
          <w:rPr>
            <w:webHidden/>
          </w:rPr>
          <w:fldChar w:fldCharType="begin"/>
        </w:r>
        <w:r w:rsidR="00B30435">
          <w:rPr>
            <w:webHidden/>
          </w:rPr>
          <w:instrText xml:space="preserve"> PAGEREF _Toc532991068 \h </w:instrText>
        </w:r>
        <w:r w:rsidR="00B30435">
          <w:rPr>
            <w:webHidden/>
          </w:rPr>
        </w:r>
        <w:r w:rsidR="00B30435">
          <w:rPr>
            <w:webHidden/>
          </w:rPr>
          <w:fldChar w:fldCharType="separate"/>
        </w:r>
        <w:r w:rsidR="00B30435">
          <w:rPr>
            <w:webHidden/>
          </w:rPr>
          <w:t>17</w:t>
        </w:r>
        <w:r w:rsidR="00B30435">
          <w:rPr>
            <w:webHidden/>
          </w:rPr>
          <w:fldChar w:fldCharType="end"/>
        </w:r>
      </w:hyperlink>
    </w:p>
    <w:p w14:paraId="17C1CA88" w14:textId="52BC8CE0" w:rsidR="00B30435" w:rsidRDefault="002003B5">
      <w:pPr>
        <w:pStyle w:val="TOC2"/>
        <w:rPr>
          <w:rFonts w:asciiTheme="minorHAnsi" w:eastAsiaTheme="minorEastAsia" w:hAnsiTheme="minorHAnsi"/>
          <w:sz w:val="22"/>
          <w:lang w:val="en-GB" w:eastAsia="en-GB"/>
        </w:rPr>
      </w:pPr>
      <w:hyperlink w:anchor="_Toc532991069" w:history="1">
        <w:r w:rsidR="00B30435" w:rsidRPr="005F5A5D">
          <w:rPr>
            <w:rStyle w:val="Hyperlink"/>
            <w:rFonts w:eastAsia="Times New Roman"/>
            <w14:scene3d>
              <w14:camera w14:prst="orthographicFront"/>
              <w14:lightRig w14:rig="threePt" w14:dir="t">
                <w14:rot w14:lat="0" w14:lon="0" w14:rev="0"/>
              </w14:lightRig>
            </w14:scene3d>
          </w:rPr>
          <w:t>7.3</w:t>
        </w:r>
        <w:r w:rsidR="00B30435">
          <w:rPr>
            <w:rFonts w:asciiTheme="minorHAnsi" w:eastAsiaTheme="minorEastAsia" w:hAnsiTheme="minorHAnsi"/>
            <w:sz w:val="22"/>
            <w:lang w:val="en-GB" w:eastAsia="en-GB"/>
          </w:rPr>
          <w:tab/>
        </w:r>
        <w:r w:rsidR="00B30435" w:rsidRPr="005F5A5D">
          <w:rPr>
            <w:rStyle w:val="Hyperlink"/>
            <w:rFonts w:eastAsia="Times New Roman"/>
          </w:rPr>
          <w:t>Partnerships</w:t>
        </w:r>
        <w:r w:rsidR="00B30435">
          <w:rPr>
            <w:webHidden/>
          </w:rPr>
          <w:tab/>
        </w:r>
        <w:r w:rsidR="00B30435">
          <w:rPr>
            <w:webHidden/>
          </w:rPr>
          <w:fldChar w:fldCharType="begin"/>
        </w:r>
        <w:r w:rsidR="00B30435">
          <w:rPr>
            <w:webHidden/>
          </w:rPr>
          <w:instrText xml:space="preserve"> PAGEREF _Toc532991069 \h </w:instrText>
        </w:r>
        <w:r w:rsidR="00B30435">
          <w:rPr>
            <w:webHidden/>
          </w:rPr>
        </w:r>
        <w:r w:rsidR="00B30435">
          <w:rPr>
            <w:webHidden/>
          </w:rPr>
          <w:fldChar w:fldCharType="separate"/>
        </w:r>
        <w:r w:rsidR="00B30435">
          <w:rPr>
            <w:webHidden/>
          </w:rPr>
          <w:t>22</w:t>
        </w:r>
        <w:r w:rsidR="00B30435">
          <w:rPr>
            <w:webHidden/>
          </w:rPr>
          <w:fldChar w:fldCharType="end"/>
        </w:r>
      </w:hyperlink>
    </w:p>
    <w:p w14:paraId="008387E5" w14:textId="0DC5B559" w:rsidR="00B30435" w:rsidRDefault="002003B5">
      <w:pPr>
        <w:pStyle w:val="TOC1"/>
        <w:rPr>
          <w:rFonts w:asciiTheme="minorHAnsi" w:eastAsiaTheme="minorEastAsia" w:hAnsiTheme="minorHAnsi"/>
          <w:b w:val="0"/>
          <w:sz w:val="22"/>
          <w:lang w:val="en-GB" w:eastAsia="en-GB"/>
        </w:rPr>
      </w:pPr>
      <w:hyperlink w:anchor="_Toc532991070" w:history="1">
        <w:r w:rsidR="00B30435" w:rsidRPr="005F5A5D">
          <w:rPr>
            <w:rStyle w:val="Hyperlink"/>
            <w:rFonts w:eastAsia="Times New Roman"/>
          </w:rPr>
          <w:t>8</w:t>
        </w:r>
        <w:r w:rsidR="00B30435">
          <w:rPr>
            <w:rFonts w:asciiTheme="minorHAnsi" w:eastAsiaTheme="minorEastAsia" w:hAnsiTheme="minorHAnsi"/>
            <w:b w:val="0"/>
            <w:sz w:val="22"/>
            <w:lang w:val="en-GB" w:eastAsia="en-GB"/>
          </w:rPr>
          <w:tab/>
        </w:r>
        <w:r w:rsidR="00B30435" w:rsidRPr="005F5A5D">
          <w:rPr>
            <w:rStyle w:val="Hyperlink"/>
            <w:rFonts w:eastAsia="Times New Roman"/>
          </w:rPr>
          <w:t>Learning and improvement</w:t>
        </w:r>
        <w:r w:rsidR="00B30435">
          <w:rPr>
            <w:webHidden/>
          </w:rPr>
          <w:tab/>
        </w:r>
        <w:r w:rsidR="00B30435">
          <w:rPr>
            <w:webHidden/>
          </w:rPr>
          <w:fldChar w:fldCharType="begin"/>
        </w:r>
        <w:r w:rsidR="00B30435">
          <w:rPr>
            <w:webHidden/>
          </w:rPr>
          <w:instrText xml:space="preserve"> PAGEREF _Toc532991070 \h </w:instrText>
        </w:r>
        <w:r w:rsidR="00B30435">
          <w:rPr>
            <w:webHidden/>
          </w:rPr>
        </w:r>
        <w:r w:rsidR="00B30435">
          <w:rPr>
            <w:webHidden/>
          </w:rPr>
          <w:fldChar w:fldCharType="separate"/>
        </w:r>
        <w:r w:rsidR="00B30435">
          <w:rPr>
            <w:webHidden/>
          </w:rPr>
          <w:t>22</w:t>
        </w:r>
        <w:r w:rsidR="00B30435">
          <w:rPr>
            <w:webHidden/>
          </w:rPr>
          <w:fldChar w:fldCharType="end"/>
        </w:r>
      </w:hyperlink>
    </w:p>
    <w:p w14:paraId="5101106A" w14:textId="04C0EE92" w:rsidR="00B30435" w:rsidRDefault="002003B5">
      <w:pPr>
        <w:pStyle w:val="TOC2"/>
        <w:rPr>
          <w:rFonts w:asciiTheme="minorHAnsi" w:eastAsiaTheme="minorEastAsia" w:hAnsiTheme="minorHAnsi"/>
          <w:sz w:val="22"/>
          <w:lang w:val="en-GB" w:eastAsia="en-GB"/>
        </w:rPr>
      </w:pPr>
      <w:hyperlink w:anchor="_Toc532991071" w:history="1">
        <w:r w:rsidR="00B30435" w:rsidRPr="005F5A5D">
          <w:rPr>
            <w:rStyle w:val="Hyperlink"/>
            <w:rFonts w:eastAsia="Times New Roman"/>
            <w14:scene3d>
              <w14:camera w14:prst="orthographicFront"/>
              <w14:lightRig w14:rig="threePt" w14:dir="t">
                <w14:rot w14:lat="0" w14:lon="0" w14:rev="0"/>
              </w14:lightRig>
            </w14:scene3d>
          </w:rPr>
          <w:t>8.1</w:t>
        </w:r>
        <w:r w:rsidR="00B30435">
          <w:rPr>
            <w:rFonts w:asciiTheme="minorHAnsi" w:eastAsiaTheme="minorEastAsia" w:hAnsiTheme="minorHAnsi"/>
            <w:sz w:val="22"/>
            <w:lang w:val="en-GB" w:eastAsia="en-GB"/>
          </w:rPr>
          <w:tab/>
        </w:r>
        <w:r w:rsidR="00B30435" w:rsidRPr="005F5A5D">
          <w:rPr>
            <w:rStyle w:val="Hyperlink"/>
            <w:rFonts w:eastAsia="Times New Roman"/>
          </w:rPr>
          <w:t>Why does Prospera need learning?</w:t>
        </w:r>
        <w:r w:rsidR="00B30435">
          <w:rPr>
            <w:webHidden/>
          </w:rPr>
          <w:tab/>
        </w:r>
        <w:r w:rsidR="00B30435">
          <w:rPr>
            <w:webHidden/>
          </w:rPr>
          <w:fldChar w:fldCharType="begin"/>
        </w:r>
        <w:r w:rsidR="00B30435">
          <w:rPr>
            <w:webHidden/>
          </w:rPr>
          <w:instrText xml:space="preserve"> PAGEREF _Toc532991071 \h </w:instrText>
        </w:r>
        <w:r w:rsidR="00B30435">
          <w:rPr>
            <w:webHidden/>
          </w:rPr>
        </w:r>
        <w:r w:rsidR="00B30435">
          <w:rPr>
            <w:webHidden/>
          </w:rPr>
          <w:fldChar w:fldCharType="separate"/>
        </w:r>
        <w:r w:rsidR="00B30435">
          <w:rPr>
            <w:webHidden/>
          </w:rPr>
          <w:t>22</w:t>
        </w:r>
        <w:r w:rsidR="00B30435">
          <w:rPr>
            <w:webHidden/>
          </w:rPr>
          <w:fldChar w:fldCharType="end"/>
        </w:r>
      </w:hyperlink>
    </w:p>
    <w:p w14:paraId="30DFA381" w14:textId="1EF75D67" w:rsidR="00B30435" w:rsidRDefault="002003B5">
      <w:pPr>
        <w:pStyle w:val="TOC2"/>
        <w:rPr>
          <w:rFonts w:asciiTheme="minorHAnsi" w:eastAsiaTheme="minorEastAsia" w:hAnsiTheme="minorHAnsi"/>
          <w:sz w:val="22"/>
          <w:lang w:val="en-GB" w:eastAsia="en-GB"/>
        </w:rPr>
      </w:pPr>
      <w:hyperlink w:anchor="_Toc532991072" w:history="1">
        <w:r w:rsidR="00B30435" w:rsidRPr="005F5A5D">
          <w:rPr>
            <w:rStyle w:val="Hyperlink"/>
            <w:rFonts w:eastAsia="Times New Roman"/>
            <w14:scene3d>
              <w14:camera w14:prst="orthographicFront"/>
              <w14:lightRig w14:rig="threePt" w14:dir="t">
                <w14:rot w14:lat="0" w14:lon="0" w14:rev="0"/>
              </w14:lightRig>
            </w14:scene3d>
          </w:rPr>
          <w:t>8.2</w:t>
        </w:r>
        <w:r w:rsidR="00B30435">
          <w:rPr>
            <w:rFonts w:asciiTheme="minorHAnsi" w:eastAsiaTheme="minorEastAsia" w:hAnsiTheme="minorHAnsi"/>
            <w:sz w:val="22"/>
            <w:lang w:val="en-GB" w:eastAsia="en-GB"/>
          </w:rPr>
          <w:tab/>
        </w:r>
        <w:r w:rsidR="00B30435" w:rsidRPr="005F5A5D">
          <w:rPr>
            <w:rStyle w:val="Hyperlink"/>
            <w:rFonts w:eastAsia="Times New Roman"/>
          </w:rPr>
          <w:t>Supporting a learning culture in a new facility with dispersed teams</w:t>
        </w:r>
        <w:r w:rsidR="00B30435">
          <w:rPr>
            <w:webHidden/>
          </w:rPr>
          <w:tab/>
        </w:r>
        <w:r w:rsidR="00B30435">
          <w:rPr>
            <w:webHidden/>
          </w:rPr>
          <w:fldChar w:fldCharType="begin"/>
        </w:r>
        <w:r w:rsidR="00B30435">
          <w:rPr>
            <w:webHidden/>
          </w:rPr>
          <w:instrText xml:space="preserve"> PAGEREF _Toc532991072 \h </w:instrText>
        </w:r>
        <w:r w:rsidR="00B30435">
          <w:rPr>
            <w:webHidden/>
          </w:rPr>
        </w:r>
        <w:r w:rsidR="00B30435">
          <w:rPr>
            <w:webHidden/>
          </w:rPr>
          <w:fldChar w:fldCharType="separate"/>
        </w:r>
        <w:r w:rsidR="00B30435">
          <w:rPr>
            <w:webHidden/>
          </w:rPr>
          <w:t>23</w:t>
        </w:r>
        <w:r w:rsidR="00B30435">
          <w:rPr>
            <w:webHidden/>
          </w:rPr>
          <w:fldChar w:fldCharType="end"/>
        </w:r>
      </w:hyperlink>
    </w:p>
    <w:p w14:paraId="0E904782" w14:textId="7E8F8316" w:rsidR="00B30435" w:rsidRDefault="002003B5">
      <w:pPr>
        <w:pStyle w:val="TOC2"/>
        <w:rPr>
          <w:rFonts w:asciiTheme="minorHAnsi" w:eastAsiaTheme="minorEastAsia" w:hAnsiTheme="minorHAnsi"/>
          <w:sz w:val="22"/>
          <w:lang w:val="en-GB" w:eastAsia="en-GB"/>
        </w:rPr>
      </w:pPr>
      <w:hyperlink w:anchor="_Toc532991073" w:history="1">
        <w:r w:rsidR="00B30435" w:rsidRPr="005F5A5D">
          <w:rPr>
            <w:rStyle w:val="Hyperlink"/>
            <w14:scene3d>
              <w14:camera w14:prst="orthographicFront"/>
              <w14:lightRig w14:rig="threePt" w14:dir="t">
                <w14:rot w14:lat="0" w14:lon="0" w14:rev="0"/>
              </w14:lightRig>
            </w14:scene3d>
          </w:rPr>
          <w:t>8.3</w:t>
        </w:r>
        <w:r w:rsidR="00B30435">
          <w:rPr>
            <w:rFonts w:asciiTheme="minorHAnsi" w:eastAsiaTheme="minorEastAsia" w:hAnsiTheme="minorHAnsi"/>
            <w:sz w:val="22"/>
            <w:lang w:val="en-GB" w:eastAsia="en-GB"/>
          </w:rPr>
          <w:tab/>
        </w:r>
        <w:r w:rsidR="00B30435" w:rsidRPr="005F5A5D">
          <w:rPr>
            <w:rStyle w:val="Hyperlink"/>
          </w:rPr>
          <w:t>Digital system</w:t>
        </w:r>
        <w:r w:rsidR="00B30435">
          <w:rPr>
            <w:webHidden/>
          </w:rPr>
          <w:tab/>
        </w:r>
        <w:r w:rsidR="00B30435">
          <w:rPr>
            <w:webHidden/>
          </w:rPr>
          <w:fldChar w:fldCharType="begin"/>
        </w:r>
        <w:r w:rsidR="00B30435">
          <w:rPr>
            <w:webHidden/>
          </w:rPr>
          <w:instrText xml:space="preserve"> PAGEREF _Toc532991073 \h </w:instrText>
        </w:r>
        <w:r w:rsidR="00B30435">
          <w:rPr>
            <w:webHidden/>
          </w:rPr>
        </w:r>
        <w:r w:rsidR="00B30435">
          <w:rPr>
            <w:webHidden/>
          </w:rPr>
          <w:fldChar w:fldCharType="separate"/>
        </w:r>
        <w:r w:rsidR="00B30435">
          <w:rPr>
            <w:webHidden/>
          </w:rPr>
          <w:t>24</w:t>
        </w:r>
        <w:r w:rsidR="00B30435">
          <w:rPr>
            <w:webHidden/>
          </w:rPr>
          <w:fldChar w:fldCharType="end"/>
        </w:r>
      </w:hyperlink>
    </w:p>
    <w:p w14:paraId="5014102E" w14:textId="1280A5AA" w:rsidR="00B30435" w:rsidRDefault="002003B5">
      <w:pPr>
        <w:pStyle w:val="TOC1"/>
        <w:rPr>
          <w:rFonts w:asciiTheme="minorHAnsi" w:eastAsiaTheme="minorEastAsia" w:hAnsiTheme="minorHAnsi"/>
          <w:b w:val="0"/>
          <w:sz w:val="22"/>
          <w:lang w:val="en-GB" w:eastAsia="en-GB"/>
        </w:rPr>
      </w:pPr>
      <w:hyperlink w:anchor="_Toc532991074" w:history="1">
        <w:r w:rsidR="00B30435" w:rsidRPr="005F5A5D">
          <w:rPr>
            <w:rStyle w:val="Hyperlink"/>
          </w:rPr>
          <w:t>9</w:t>
        </w:r>
        <w:r w:rsidR="00B30435">
          <w:rPr>
            <w:rFonts w:asciiTheme="minorHAnsi" w:eastAsiaTheme="minorEastAsia" w:hAnsiTheme="minorHAnsi"/>
            <w:b w:val="0"/>
            <w:sz w:val="22"/>
            <w:lang w:val="en-GB" w:eastAsia="en-GB"/>
          </w:rPr>
          <w:tab/>
        </w:r>
        <w:r w:rsidR="00B30435" w:rsidRPr="005F5A5D">
          <w:rPr>
            <w:rStyle w:val="Hyperlink"/>
          </w:rPr>
          <w:t>Performance reporting</w:t>
        </w:r>
        <w:r w:rsidR="00B30435">
          <w:rPr>
            <w:webHidden/>
          </w:rPr>
          <w:tab/>
        </w:r>
        <w:r w:rsidR="00B30435">
          <w:rPr>
            <w:webHidden/>
          </w:rPr>
          <w:fldChar w:fldCharType="begin"/>
        </w:r>
        <w:r w:rsidR="00B30435">
          <w:rPr>
            <w:webHidden/>
          </w:rPr>
          <w:instrText xml:space="preserve"> PAGEREF _Toc532991074 \h </w:instrText>
        </w:r>
        <w:r w:rsidR="00B30435">
          <w:rPr>
            <w:webHidden/>
          </w:rPr>
        </w:r>
        <w:r w:rsidR="00B30435">
          <w:rPr>
            <w:webHidden/>
          </w:rPr>
          <w:fldChar w:fldCharType="separate"/>
        </w:r>
        <w:r w:rsidR="00B30435">
          <w:rPr>
            <w:webHidden/>
          </w:rPr>
          <w:t>25</w:t>
        </w:r>
        <w:r w:rsidR="00B30435">
          <w:rPr>
            <w:webHidden/>
          </w:rPr>
          <w:fldChar w:fldCharType="end"/>
        </w:r>
      </w:hyperlink>
    </w:p>
    <w:p w14:paraId="2CBD9944" w14:textId="6689B3C1" w:rsidR="00B30435" w:rsidRDefault="002003B5">
      <w:pPr>
        <w:pStyle w:val="TOC1"/>
        <w:rPr>
          <w:rFonts w:asciiTheme="minorHAnsi" w:eastAsiaTheme="minorEastAsia" w:hAnsiTheme="minorHAnsi"/>
          <w:b w:val="0"/>
          <w:sz w:val="22"/>
          <w:lang w:val="en-GB" w:eastAsia="en-GB"/>
        </w:rPr>
      </w:pPr>
      <w:hyperlink w:anchor="_Toc532991075" w:history="1">
        <w:r w:rsidR="00B30435" w:rsidRPr="005F5A5D">
          <w:rPr>
            <w:rStyle w:val="Hyperlink"/>
          </w:rPr>
          <w:t>10</w:t>
        </w:r>
        <w:r w:rsidR="00B30435">
          <w:rPr>
            <w:rFonts w:asciiTheme="minorHAnsi" w:eastAsiaTheme="minorEastAsia" w:hAnsiTheme="minorHAnsi"/>
            <w:b w:val="0"/>
            <w:sz w:val="22"/>
            <w:lang w:val="en-GB" w:eastAsia="en-GB"/>
          </w:rPr>
          <w:tab/>
        </w:r>
        <w:r w:rsidR="00B30435" w:rsidRPr="005F5A5D">
          <w:rPr>
            <w:rStyle w:val="Hyperlink"/>
          </w:rPr>
          <w:t>Resources</w:t>
        </w:r>
        <w:r w:rsidR="00B30435">
          <w:rPr>
            <w:webHidden/>
          </w:rPr>
          <w:tab/>
        </w:r>
        <w:r w:rsidR="00B30435">
          <w:rPr>
            <w:webHidden/>
          </w:rPr>
          <w:fldChar w:fldCharType="begin"/>
        </w:r>
        <w:r w:rsidR="00B30435">
          <w:rPr>
            <w:webHidden/>
          </w:rPr>
          <w:instrText xml:space="preserve"> PAGEREF _Toc532991075 \h </w:instrText>
        </w:r>
        <w:r w:rsidR="00B30435">
          <w:rPr>
            <w:webHidden/>
          </w:rPr>
        </w:r>
        <w:r w:rsidR="00B30435">
          <w:rPr>
            <w:webHidden/>
          </w:rPr>
          <w:fldChar w:fldCharType="separate"/>
        </w:r>
        <w:r w:rsidR="00B30435">
          <w:rPr>
            <w:webHidden/>
          </w:rPr>
          <w:t>26</w:t>
        </w:r>
        <w:r w:rsidR="00B30435">
          <w:rPr>
            <w:webHidden/>
          </w:rPr>
          <w:fldChar w:fldCharType="end"/>
        </w:r>
      </w:hyperlink>
    </w:p>
    <w:p w14:paraId="00AD9668" w14:textId="7037964C" w:rsidR="00B30435" w:rsidRDefault="002003B5">
      <w:pPr>
        <w:pStyle w:val="TOC1"/>
        <w:rPr>
          <w:rFonts w:asciiTheme="minorHAnsi" w:eastAsiaTheme="minorEastAsia" w:hAnsiTheme="minorHAnsi"/>
          <w:b w:val="0"/>
          <w:sz w:val="22"/>
          <w:lang w:val="en-GB" w:eastAsia="en-GB"/>
        </w:rPr>
      </w:pPr>
      <w:hyperlink w:anchor="_Toc532991076" w:history="1">
        <w:r w:rsidR="00B30435" w:rsidRPr="005F5A5D">
          <w:rPr>
            <w:rStyle w:val="Hyperlink"/>
          </w:rPr>
          <w:t>11</w:t>
        </w:r>
        <w:r w:rsidR="00B30435">
          <w:rPr>
            <w:rFonts w:asciiTheme="minorHAnsi" w:eastAsiaTheme="minorEastAsia" w:hAnsiTheme="minorHAnsi"/>
            <w:b w:val="0"/>
            <w:sz w:val="22"/>
            <w:lang w:val="en-GB" w:eastAsia="en-GB"/>
          </w:rPr>
          <w:tab/>
        </w:r>
        <w:r w:rsidR="00B30435" w:rsidRPr="005F5A5D">
          <w:rPr>
            <w:rStyle w:val="Hyperlink"/>
          </w:rPr>
          <w:t>Quality standards</w:t>
        </w:r>
        <w:r w:rsidR="00B30435">
          <w:rPr>
            <w:webHidden/>
          </w:rPr>
          <w:tab/>
        </w:r>
        <w:r w:rsidR="00B30435">
          <w:rPr>
            <w:webHidden/>
          </w:rPr>
          <w:fldChar w:fldCharType="begin"/>
        </w:r>
        <w:r w:rsidR="00B30435">
          <w:rPr>
            <w:webHidden/>
          </w:rPr>
          <w:instrText xml:space="preserve"> PAGEREF _Toc532991076 \h </w:instrText>
        </w:r>
        <w:r w:rsidR="00B30435">
          <w:rPr>
            <w:webHidden/>
          </w:rPr>
        </w:r>
        <w:r w:rsidR="00B30435">
          <w:rPr>
            <w:webHidden/>
          </w:rPr>
          <w:fldChar w:fldCharType="separate"/>
        </w:r>
        <w:r w:rsidR="00B30435">
          <w:rPr>
            <w:webHidden/>
          </w:rPr>
          <w:t>27</w:t>
        </w:r>
        <w:r w:rsidR="00B30435">
          <w:rPr>
            <w:webHidden/>
          </w:rPr>
          <w:fldChar w:fldCharType="end"/>
        </w:r>
      </w:hyperlink>
    </w:p>
    <w:p w14:paraId="1E6FB8F3" w14:textId="2FB2606E" w:rsidR="00B30435" w:rsidRDefault="002003B5">
      <w:pPr>
        <w:pStyle w:val="TOC1"/>
        <w:rPr>
          <w:rFonts w:asciiTheme="minorHAnsi" w:eastAsiaTheme="minorEastAsia" w:hAnsiTheme="minorHAnsi"/>
          <w:b w:val="0"/>
          <w:sz w:val="22"/>
          <w:lang w:val="en-GB" w:eastAsia="en-GB"/>
        </w:rPr>
      </w:pPr>
      <w:hyperlink w:anchor="_Toc532991077" w:history="1">
        <w:r w:rsidR="00B30435" w:rsidRPr="005F5A5D">
          <w:rPr>
            <w:rStyle w:val="Hyperlink"/>
          </w:rPr>
          <w:t>12</w:t>
        </w:r>
        <w:r w:rsidR="00B30435">
          <w:rPr>
            <w:rFonts w:asciiTheme="minorHAnsi" w:eastAsiaTheme="minorEastAsia" w:hAnsiTheme="minorHAnsi"/>
            <w:b w:val="0"/>
            <w:sz w:val="22"/>
            <w:lang w:val="en-GB" w:eastAsia="en-GB"/>
          </w:rPr>
          <w:tab/>
        </w:r>
        <w:r w:rsidR="00B30435" w:rsidRPr="005F5A5D">
          <w:rPr>
            <w:rStyle w:val="Hyperlink"/>
          </w:rPr>
          <w:t>Ethics</w:t>
        </w:r>
        <w:r w:rsidR="00B30435">
          <w:rPr>
            <w:webHidden/>
          </w:rPr>
          <w:tab/>
        </w:r>
        <w:r w:rsidR="00B30435">
          <w:rPr>
            <w:webHidden/>
          </w:rPr>
          <w:fldChar w:fldCharType="begin"/>
        </w:r>
        <w:r w:rsidR="00B30435">
          <w:rPr>
            <w:webHidden/>
          </w:rPr>
          <w:instrText xml:space="preserve"> PAGEREF _Toc532991077 \h </w:instrText>
        </w:r>
        <w:r w:rsidR="00B30435">
          <w:rPr>
            <w:webHidden/>
          </w:rPr>
        </w:r>
        <w:r w:rsidR="00B30435">
          <w:rPr>
            <w:webHidden/>
          </w:rPr>
          <w:fldChar w:fldCharType="separate"/>
        </w:r>
        <w:r w:rsidR="00B30435">
          <w:rPr>
            <w:webHidden/>
          </w:rPr>
          <w:t>27</w:t>
        </w:r>
        <w:r w:rsidR="00B30435">
          <w:rPr>
            <w:webHidden/>
          </w:rPr>
          <w:fldChar w:fldCharType="end"/>
        </w:r>
      </w:hyperlink>
    </w:p>
    <w:p w14:paraId="3F16F95A" w14:textId="41DD3BEC" w:rsidR="00B30435" w:rsidRDefault="002003B5">
      <w:pPr>
        <w:pStyle w:val="TOC1"/>
        <w:rPr>
          <w:rFonts w:asciiTheme="minorHAnsi" w:eastAsiaTheme="minorEastAsia" w:hAnsiTheme="minorHAnsi"/>
          <w:b w:val="0"/>
          <w:sz w:val="22"/>
          <w:lang w:val="en-GB" w:eastAsia="en-GB"/>
        </w:rPr>
      </w:pPr>
      <w:hyperlink w:anchor="_Toc532991078" w:history="1">
        <w:r w:rsidR="00B30435" w:rsidRPr="005F5A5D">
          <w:rPr>
            <w:rStyle w:val="Hyperlink"/>
          </w:rPr>
          <w:t>Annex 1</w:t>
        </w:r>
        <w:r w:rsidR="00B30435">
          <w:rPr>
            <w:rFonts w:asciiTheme="minorHAnsi" w:eastAsiaTheme="minorEastAsia" w:hAnsiTheme="minorHAnsi"/>
            <w:b w:val="0"/>
            <w:sz w:val="22"/>
            <w:lang w:val="en-GB" w:eastAsia="en-GB"/>
          </w:rPr>
          <w:tab/>
        </w:r>
        <w:r w:rsidR="00B30435" w:rsidRPr="005F5A5D">
          <w:rPr>
            <w:rStyle w:val="Hyperlink"/>
          </w:rPr>
          <w:t>Ways of working charter</w:t>
        </w:r>
        <w:r w:rsidR="00B30435">
          <w:rPr>
            <w:webHidden/>
          </w:rPr>
          <w:tab/>
        </w:r>
        <w:r w:rsidR="00B30435">
          <w:rPr>
            <w:webHidden/>
          </w:rPr>
          <w:fldChar w:fldCharType="begin"/>
        </w:r>
        <w:r w:rsidR="00B30435">
          <w:rPr>
            <w:webHidden/>
          </w:rPr>
          <w:instrText xml:space="preserve"> PAGEREF _Toc532991078 \h </w:instrText>
        </w:r>
        <w:r w:rsidR="00B30435">
          <w:rPr>
            <w:webHidden/>
          </w:rPr>
        </w:r>
        <w:r w:rsidR="00B30435">
          <w:rPr>
            <w:webHidden/>
          </w:rPr>
          <w:fldChar w:fldCharType="separate"/>
        </w:r>
        <w:r w:rsidR="00B30435">
          <w:rPr>
            <w:webHidden/>
          </w:rPr>
          <w:t>29</w:t>
        </w:r>
        <w:r w:rsidR="00B30435">
          <w:rPr>
            <w:webHidden/>
          </w:rPr>
          <w:fldChar w:fldCharType="end"/>
        </w:r>
      </w:hyperlink>
    </w:p>
    <w:p w14:paraId="6F68C414" w14:textId="7EB7653F" w:rsidR="00B30435" w:rsidRDefault="002003B5">
      <w:pPr>
        <w:pStyle w:val="TOC1"/>
        <w:rPr>
          <w:rFonts w:asciiTheme="minorHAnsi" w:eastAsiaTheme="minorEastAsia" w:hAnsiTheme="minorHAnsi"/>
          <w:b w:val="0"/>
          <w:sz w:val="22"/>
          <w:lang w:val="en-GB" w:eastAsia="en-GB"/>
        </w:rPr>
      </w:pPr>
      <w:hyperlink w:anchor="_Toc532991079" w:history="1">
        <w:r w:rsidR="00B30435" w:rsidRPr="005F5A5D">
          <w:rPr>
            <w:rStyle w:val="Hyperlink"/>
          </w:rPr>
          <w:t>Annex 2</w:t>
        </w:r>
        <w:r w:rsidR="00B30435">
          <w:rPr>
            <w:rFonts w:asciiTheme="minorHAnsi" w:eastAsiaTheme="minorEastAsia" w:hAnsiTheme="minorHAnsi"/>
            <w:b w:val="0"/>
            <w:sz w:val="22"/>
            <w:lang w:val="en-GB" w:eastAsia="en-GB"/>
          </w:rPr>
          <w:tab/>
        </w:r>
        <w:r w:rsidR="00B30435" w:rsidRPr="005F5A5D">
          <w:rPr>
            <w:rStyle w:val="Hyperlink"/>
          </w:rPr>
          <w:t>Contextual considerations</w:t>
        </w:r>
        <w:r w:rsidR="00B30435">
          <w:rPr>
            <w:webHidden/>
          </w:rPr>
          <w:tab/>
        </w:r>
        <w:r w:rsidR="00B30435">
          <w:rPr>
            <w:webHidden/>
          </w:rPr>
          <w:fldChar w:fldCharType="begin"/>
        </w:r>
        <w:r w:rsidR="00B30435">
          <w:rPr>
            <w:webHidden/>
          </w:rPr>
          <w:instrText xml:space="preserve"> PAGEREF _Toc532991079 \h </w:instrText>
        </w:r>
        <w:r w:rsidR="00B30435">
          <w:rPr>
            <w:webHidden/>
          </w:rPr>
        </w:r>
        <w:r w:rsidR="00B30435">
          <w:rPr>
            <w:webHidden/>
          </w:rPr>
          <w:fldChar w:fldCharType="separate"/>
        </w:r>
        <w:r w:rsidR="00B30435">
          <w:rPr>
            <w:webHidden/>
          </w:rPr>
          <w:t>31</w:t>
        </w:r>
        <w:r w:rsidR="00B30435">
          <w:rPr>
            <w:webHidden/>
          </w:rPr>
          <w:fldChar w:fldCharType="end"/>
        </w:r>
      </w:hyperlink>
    </w:p>
    <w:p w14:paraId="21371546" w14:textId="41EE6514" w:rsidR="00B30435" w:rsidRDefault="002003B5">
      <w:pPr>
        <w:pStyle w:val="TOC1"/>
        <w:rPr>
          <w:rFonts w:asciiTheme="minorHAnsi" w:eastAsiaTheme="minorEastAsia" w:hAnsiTheme="minorHAnsi"/>
          <w:b w:val="0"/>
          <w:sz w:val="22"/>
          <w:lang w:val="en-GB" w:eastAsia="en-GB"/>
        </w:rPr>
      </w:pPr>
      <w:hyperlink w:anchor="_Toc532991080" w:history="1">
        <w:r w:rsidR="00B30435" w:rsidRPr="005F5A5D">
          <w:rPr>
            <w:rStyle w:val="Hyperlink"/>
          </w:rPr>
          <w:t>Annex 3</w:t>
        </w:r>
        <w:r w:rsidR="00B30435">
          <w:rPr>
            <w:rFonts w:asciiTheme="minorHAnsi" w:eastAsiaTheme="minorEastAsia" w:hAnsiTheme="minorHAnsi"/>
            <w:b w:val="0"/>
            <w:sz w:val="22"/>
            <w:lang w:val="en-GB" w:eastAsia="en-GB"/>
          </w:rPr>
          <w:tab/>
        </w:r>
        <w:r w:rsidR="00B30435" w:rsidRPr="005F5A5D">
          <w:rPr>
            <w:rStyle w:val="Hyperlink"/>
          </w:rPr>
          <w:t>Detailed facility logic and assumptions</w:t>
        </w:r>
        <w:r w:rsidR="00B30435">
          <w:rPr>
            <w:webHidden/>
          </w:rPr>
          <w:tab/>
        </w:r>
        <w:r w:rsidR="00B30435">
          <w:rPr>
            <w:webHidden/>
          </w:rPr>
          <w:fldChar w:fldCharType="begin"/>
        </w:r>
        <w:r w:rsidR="00B30435">
          <w:rPr>
            <w:webHidden/>
          </w:rPr>
          <w:instrText xml:space="preserve"> PAGEREF _Toc532991080 \h </w:instrText>
        </w:r>
        <w:r w:rsidR="00B30435">
          <w:rPr>
            <w:webHidden/>
          </w:rPr>
        </w:r>
        <w:r w:rsidR="00B30435">
          <w:rPr>
            <w:webHidden/>
          </w:rPr>
          <w:fldChar w:fldCharType="separate"/>
        </w:r>
        <w:r w:rsidR="00B30435">
          <w:rPr>
            <w:webHidden/>
          </w:rPr>
          <w:t>36</w:t>
        </w:r>
        <w:r w:rsidR="00B30435">
          <w:rPr>
            <w:webHidden/>
          </w:rPr>
          <w:fldChar w:fldCharType="end"/>
        </w:r>
      </w:hyperlink>
    </w:p>
    <w:p w14:paraId="5937E862" w14:textId="18209724" w:rsidR="00B30435" w:rsidRDefault="002003B5">
      <w:pPr>
        <w:pStyle w:val="TOC1"/>
        <w:rPr>
          <w:rFonts w:asciiTheme="minorHAnsi" w:eastAsiaTheme="minorEastAsia" w:hAnsiTheme="minorHAnsi"/>
          <w:b w:val="0"/>
          <w:sz w:val="22"/>
          <w:lang w:val="en-GB" w:eastAsia="en-GB"/>
        </w:rPr>
      </w:pPr>
      <w:hyperlink w:anchor="_Toc532991081" w:history="1">
        <w:r w:rsidR="00B30435" w:rsidRPr="005F5A5D">
          <w:rPr>
            <w:rStyle w:val="Hyperlink"/>
          </w:rPr>
          <w:t>Annex 4</w:t>
        </w:r>
        <w:r w:rsidR="00B30435">
          <w:rPr>
            <w:rFonts w:asciiTheme="minorHAnsi" w:eastAsiaTheme="minorEastAsia" w:hAnsiTheme="minorHAnsi"/>
            <w:b w:val="0"/>
            <w:sz w:val="22"/>
            <w:lang w:val="en-GB" w:eastAsia="en-GB"/>
          </w:rPr>
          <w:tab/>
        </w:r>
        <w:r w:rsidR="00B30435" w:rsidRPr="005F5A5D">
          <w:rPr>
            <w:rStyle w:val="Hyperlink"/>
          </w:rPr>
          <w:t>Prospera investments 2018-19</w:t>
        </w:r>
        <w:r w:rsidR="00B30435">
          <w:rPr>
            <w:webHidden/>
          </w:rPr>
          <w:tab/>
        </w:r>
        <w:r w:rsidR="00B30435">
          <w:rPr>
            <w:webHidden/>
          </w:rPr>
          <w:fldChar w:fldCharType="begin"/>
        </w:r>
        <w:r w:rsidR="00B30435">
          <w:rPr>
            <w:webHidden/>
          </w:rPr>
          <w:instrText xml:space="preserve"> PAGEREF _Toc532991081 \h </w:instrText>
        </w:r>
        <w:r w:rsidR="00B30435">
          <w:rPr>
            <w:webHidden/>
          </w:rPr>
        </w:r>
        <w:r w:rsidR="00B30435">
          <w:rPr>
            <w:webHidden/>
          </w:rPr>
          <w:fldChar w:fldCharType="separate"/>
        </w:r>
        <w:r w:rsidR="00B30435">
          <w:rPr>
            <w:webHidden/>
          </w:rPr>
          <w:t>41</w:t>
        </w:r>
        <w:r w:rsidR="00B30435">
          <w:rPr>
            <w:webHidden/>
          </w:rPr>
          <w:fldChar w:fldCharType="end"/>
        </w:r>
      </w:hyperlink>
    </w:p>
    <w:p w14:paraId="50DADC28" w14:textId="52E54422" w:rsidR="00B30435" w:rsidRDefault="002003B5">
      <w:pPr>
        <w:pStyle w:val="TOC1"/>
        <w:rPr>
          <w:rFonts w:asciiTheme="minorHAnsi" w:eastAsiaTheme="minorEastAsia" w:hAnsiTheme="minorHAnsi"/>
          <w:b w:val="0"/>
          <w:sz w:val="22"/>
          <w:lang w:val="en-GB" w:eastAsia="en-GB"/>
        </w:rPr>
      </w:pPr>
      <w:hyperlink w:anchor="_Toc532991082" w:history="1">
        <w:r w:rsidR="00B30435" w:rsidRPr="005F5A5D">
          <w:rPr>
            <w:rStyle w:val="Hyperlink"/>
          </w:rPr>
          <w:t>Annex 5</w:t>
        </w:r>
        <w:r w:rsidR="00B30435">
          <w:rPr>
            <w:rFonts w:asciiTheme="minorHAnsi" w:eastAsiaTheme="minorEastAsia" w:hAnsiTheme="minorHAnsi"/>
            <w:b w:val="0"/>
            <w:sz w:val="22"/>
            <w:lang w:val="en-GB" w:eastAsia="en-GB"/>
          </w:rPr>
          <w:tab/>
        </w:r>
        <w:r w:rsidR="00B30435" w:rsidRPr="005F5A5D">
          <w:rPr>
            <w:rStyle w:val="Hyperlink"/>
          </w:rPr>
          <w:t>A selection of methods to support monitoring and evaluation</w:t>
        </w:r>
        <w:r w:rsidR="00B30435">
          <w:rPr>
            <w:webHidden/>
          </w:rPr>
          <w:tab/>
        </w:r>
        <w:r w:rsidR="00B30435">
          <w:rPr>
            <w:webHidden/>
          </w:rPr>
          <w:fldChar w:fldCharType="begin"/>
        </w:r>
        <w:r w:rsidR="00B30435">
          <w:rPr>
            <w:webHidden/>
          </w:rPr>
          <w:instrText xml:space="preserve"> PAGEREF _Toc532991082 \h </w:instrText>
        </w:r>
        <w:r w:rsidR="00B30435">
          <w:rPr>
            <w:webHidden/>
          </w:rPr>
        </w:r>
        <w:r w:rsidR="00B30435">
          <w:rPr>
            <w:webHidden/>
          </w:rPr>
          <w:fldChar w:fldCharType="separate"/>
        </w:r>
        <w:r w:rsidR="00B30435">
          <w:rPr>
            <w:webHidden/>
          </w:rPr>
          <w:t>44</w:t>
        </w:r>
        <w:r w:rsidR="00B30435">
          <w:rPr>
            <w:webHidden/>
          </w:rPr>
          <w:fldChar w:fldCharType="end"/>
        </w:r>
      </w:hyperlink>
    </w:p>
    <w:p w14:paraId="773CBB3A" w14:textId="075461F3" w:rsidR="00B30435" w:rsidRDefault="002003B5">
      <w:pPr>
        <w:pStyle w:val="TOC1"/>
        <w:rPr>
          <w:rFonts w:asciiTheme="minorHAnsi" w:eastAsiaTheme="minorEastAsia" w:hAnsiTheme="minorHAnsi"/>
          <w:b w:val="0"/>
          <w:sz w:val="22"/>
          <w:lang w:val="en-GB" w:eastAsia="en-GB"/>
        </w:rPr>
      </w:pPr>
      <w:hyperlink w:anchor="_Toc532991083" w:history="1">
        <w:r w:rsidR="00B30435" w:rsidRPr="005F5A5D">
          <w:rPr>
            <w:rStyle w:val="Hyperlink"/>
          </w:rPr>
          <w:t>Annex 6</w:t>
        </w:r>
        <w:r w:rsidR="00B30435">
          <w:rPr>
            <w:rFonts w:asciiTheme="minorHAnsi" w:eastAsiaTheme="minorEastAsia" w:hAnsiTheme="minorHAnsi"/>
            <w:b w:val="0"/>
            <w:sz w:val="22"/>
            <w:lang w:val="en-GB" w:eastAsia="en-GB"/>
          </w:rPr>
          <w:tab/>
        </w:r>
        <w:r w:rsidR="00B30435" w:rsidRPr="005F5A5D">
          <w:rPr>
            <w:rStyle w:val="Hyperlink"/>
          </w:rPr>
          <w:t>Facility-level data collection plans</w:t>
        </w:r>
        <w:r w:rsidR="00B30435">
          <w:rPr>
            <w:webHidden/>
          </w:rPr>
          <w:tab/>
        </w:r>
        <w:r w:rsidR="00B30435">
          <w:rPr>
            <w:webHidden/>
          </w:rPr>
          <w:fldChar w:fldCharType="begin"/>
        </w:r>
        <w:r w:rsidR="00B30435">
          <w:rPr>
            <w:webHidden/>
          </w:rPr>
          <w:instrText xml:space="preserve"> PAGEREF _Toc532991083 \h </w:instrText>
        </w:r>
        <w:r w:rsidR="00B30435">
          <w:rPr>
            <w:webHidden/>
          </w:rPr>
        </w:r>
        <w:r w:rsidR="00B30435">
          <w:rPr>
            <w:webHidden/>
          </w:rPr>
          <w:fldChar w:fldCharType="separate"/>
        </w:r>
        <w:r w:rsidR="00B30435">
          <w:rPr>
            <w:webHidden/>
          </w:rPr>
          <w:t>48</w:t>
        </w:r>
        <w:r w:rsidR="00B30435">
          <w:rPr>
            <w:webHidden/>
          </w:rPr>
          <w:fldChar w:fldCharType="end"/>
        </w:r>
      </w:hyperlink>
    </w:p>
    <w:p w14:paraId="6FE791F5" w14:textId="24A787A7" w:rsidR="00B30435" w:rsidRDefault="002003B5">
      <w:pPr>
        <w:pStyle w:val="TOC1"/>
        <w:rPr>
          <w:rFonts w:asciiTheme="minorHAnsi" w:eastAsiaTheme="minorEastAsia" w:hAnsiTheme="minorHAnsi"/>
          <w:b w:val="0"/>
          <w:sz w:val="22"/>
          <w:lang w:val="en-GB" w:eastAsia="en-GB"/>
        </w:rPr>
      </w:pPr>
      <w:hyperlink w:anchor="_Toc532991084" w:history="1">
        <w:r w:rsidR="00B30435" w:rsidRPr="005F5A5D">
          <w:rPr>
            <w:rStyle w:val="Hyperlink"/>
          </w:rPr>
          <w:t>Annex 7</w:t>
        </w:r>
        <w:r w:rsidR="00B30435">
          <w:rPr>
            <w:rFonts w:asciiTheme="minorHAnsi" w:eastAsiaTheme="minorEastAsia" w:hAnsiTheme="minorHAnsi"/>
            <w:b w:val="0"/>
            <w:sz w:val="22"/>
            <w:lang w:val="en-GB" w:eastAsia="en-GB"/>
          </w:rPr>
          <w:tab/>
        </w:r>
        <w:r w:rsidR="00B30435" w:rsidRPr="005F5A5D">
          <w:rPr>
            <w:rStyle w:val="Hyperlink"/>
          </w:rPr>
          <w:t>Gender and social inclusion – progress markers</w:t>
        </w:r>
        <w:r w:rsidR="00B30435">
          <w:rPr>
            <w:webHidden/>
          </w:rPr>
          <w:tab/>
        </w:r>
        <w:r w:rsidR="00B30435">
          <w:rPr>
            <w:webHidden/>
          </w:rPr>
          <w:fldChar w:fldCharType="begin"/>
        </w:r>
        <w:r w:rsidR="00B30435">
          <w:rPr>
            <w:webHidden/>
          </w:rPr>
          <w:instrText xml:space="preserve"> PAGEREF _Toc532991084 \h </w:instrText>
        </w:r>
        <w:r w:rsidR="00B30435">
          <w:rPr>
            <w:webHidden/>
          </w:rPr>
        </w:r>
        <w:r w:rsidR="00B30435">
          <w:rPr>
            <w:webHidden/>
          </w:rPr>
          <w:fldChar w:fldCharType="separate"/>
        </w:r>
        <w:r w:rsidR="00B30435">
          <w:rPr>
            <w:webHidden/>
          </w:rPr>
          <w:t>54</w:t>
        </w:r>
        <w:r w:rsidR="00B30435">
          <w:rPr>
            <w:webHidden/>
          </w:rPr>
          <w:fldChar w:fldCharType="end"/>
        </w:r>
      </w:hyperlink>
    </w:p>
    <w:p w14:paraId="21D767CE" w14:textId="295B2A21" w:rsidR="00B30435" w:rsidRDefault="002003B5">
      <w:pPr>
        <w:pStyle w:val="TOC1"/>
        <w:rPr>
          <w:rFonts w:asciiTheme="minorHAnsi" w:eastAsiaTheme="minorEastAsia" w:hAnsiTheme="minorHAnsi"/>
          <w:b w:val="0"/>
          <w:sz w:val="22"/>
          <w:lang w:val="en-GB" w:eastAsia="en-GB"/>
        </w:rPr>
      </w:pPr>
      <w:hyperlink w:anchor="_Toc532991085" w:history="1">
        <w:r w:rsidR="00B30435" w:rsidRPr="005F5A5D">
          <w:rPr>
            <w:rStyle w:val="Hyperlink"/>
          </w:rPr>
          <w:t>Annex 8</w:t>
        </w:r>
        <w:r w:rsidR="00B30435">
          <w:rPr>
            <w:rFonts w:asciiTheme="minorHAnsi" w:eastAsiaTheme="minorEastAsia" w:hAnsiTheme="minorHAnsi"/>
            <w:b w:val="0"/>
            <w:sz w:val="22"/>
            <w:lang w:val="en-GB" w:eastAsia="en-GB"/>
          </w:rPr>
          <w:tab/>
        </w:r>
        <w:r w:rsidR="00B30435" w:rsidRPr="005F5A5D">
          <w:rPr>
            <w:rStyle w:val="Hyperlink"/>
          </w:rPr>
          <w:t>Glossary</w:t>
        </w:r>
        <w:r w:rsidR="00B30435">
          <w:rPr>
            <w:webHidden/>
          </w:rPr>
          <w:tab/>
        </w:r>
        <w:r w:rsidR="00B30435">
          <w:rPr>
            <w:webHidden/>
          </w:rPr>
          <w:fldChar w:fldCharType="begin"/>
        </w:r>
        <w:r w:rsidR="00B30435">
          <w:rPr>
            <w:webHidden/>
          </w:rPr>
          <w:instrText xml:space="preserve"> PAGEREF _Toc532991085 \h </w:instrText>
        </w:r>
        <w:r w:rsidR="00B30435">
          <w:rPr>
            <w:webHidden/>
          </w:rPr>
        </w:r>
        <w:r w:rsidR="00B30435">
          <w:rPr>
            <w:webHidden/>
          </w:rPr>
          <w:fldChar w:fldCharType="separate"/>
        </w:r>
        <w:r w:rsidR="00B30435">
          <w:rPr>
            <w:webHidden/>
          </w:rPr>
          <w:t>57</w:t>
        </w:r>
        <w:r w:rsidR="00B30435">
          <w:rPr>
            <w:webHidden/>
          </w:rPr>
          <w:fldChar w:fldCharType="end"/>
        </w:r>
      </w:hyperlink>
    </w:p>
    <w:p w14:paraId="5FB610CB" w14:textId="5A66FC76" w:rsidR="00B30435" w:rsidRDefault="002003B5">
      <w:pPr>
        <w:pStyle w:val="TOC1"/>
        <w:rPr>
          <w:rFonts w:asciiTheme="minorHAnsi" w:eastAsiaTheme="minorEastAsia" w:hAnsiTheme="minorHAnsi"/>
          <w:b w:val="0"/>
          <w:sz w:val="22"/>
          <w:lang w:val="en-GB" w:eastAsia="en-GB"/>
        </w:rPr>
      </w:pPr>
      <w:hyperlink w:anchor="_Toc532991086" w:history="1">
        <w:r w:rsidR="00B30435" w:rsidRPr="005F5A5D">
          <w:rPr>
            <w:rStyle w:val="Hyperlink"/>
          </w:rPr>
          <w:t>Annex 9</w:t>
        </w:r>
        <w:r w:rsidR="00B30435">
          <w:rPr>
            <w:rFonts w:asciiTheme="minorHAnsi" w:eastAsiaTheme="minorEastAsia" w:hAnsiTheme="minorHAnsi"/>
            <w:b w:val="0"/>
            <w:sz w:val="22"/>
            <w:lang w:val="en-GB" w:eastAsia="en-GB"/>
          </w:rPr>
          <w:tab/>
        </w:r>
        <w:r w:rsidR="00B30435" w:rsidRPr="005F5A5D">
          <w:rPr>
            <w:rStyle w:val="Hyperlink"/>
          </w:rPr>
          <w:t>People consulted</w:t>
        </w:r>
        <w:r w:rsidR="00B30435">
          <w:rPr>
            <w:webHidden/>
          </w:rPr>
          <w:tab/>
        </w:r>
        <w:r w:rsidR="00B30435">
          <w:rPr>
            <w:webHidden/>
          </w:rPr>
          <w:fldChar w:fldCharType="begin"/>
        </w:r>
        <w:r w:rsidR="00B30435">
          <w:rPr>
            <w:webHidden/>
          </w:rPr>
          <w:instrText xml:space="preserve"> PAGEREF _Toc532991086 \h </w:instrText>
        </w:r>
        <w:r w:rsidR="00B30435">
          <w:rPr>
            <w:webHidden/>
          </w:rPr>
        </w:r>
        <w:r w:rsidR="00B30435">
          <w:rPr>
            <w:webHidden/>
          </w:rPr>
          <w:fldChar w:fldCharType="separate"/>
        </w:r>
        <w:r w:rsidR="00B30435">
          <w:rPr>
            <w:webHidden/>
          </w:rPr>
          <w:t>63</w:t>
        </w:r>
        <w:r w:rsidR="00B30435">
          <w:rPr>
            <w:webHidden/>
          </w:rPr>
          <w:fldChar w:fldCharType="end"/>
        </w:r>
      </w:hyperlink>
    </w:p>
    <w:p w14:paraId="66AF161C" w14:textId="69CB14E4" w:rsidR="00B30435" w:rsidRDefault="002003B5">
      <w:pPr>
        <w:pStyle w:val="TOC1"/>
        <w:tabs>
          <w:tab w:val="left" w:pos="1200"/>
        </w:tabs>
        <w:rPr>
          <w:rFonts w:asciiTheme="minorHAnsi" w:eastAsiaTheme="minorEastAsia" w:hAnsiTheme="minorHAnsi"/>
          <w:b w:val="0"/>
          <w:sz w:val="22"/>
          <w:lang w:val="en-GB" w:eastAsia="en-GB"/>
        </w:rPr>
      </w:pPr>
      <w:hyperlink w:anchor="_Toc532991087" w:history="1">
        <w:r w:rsidR="00B30435" w:rsidRPr="005F5A5D">
          <w:rPr>
            <w:rStyle w:val="Hyperlink"/>
          </w:rPr>
          <w:t>Annex 10</w:t>
        </w:r>
        <w:r w:rsidR="00B30435">
          <w:rPr>
            <w:rFonts w:asciiTheme="minorHAnsi" w:eastAsiaTheme="minorEastAsia" w:hAnsiTheme="minorHAnsi"/>
            <w:b w:val="0"/>
            <w:sz w:val="22"/>
            <w:lang w:val="en-GB" w:eastAsia="en-GB"/>
          </w:rPr>
          <w:t xml:space="preserve"> </w:t>
        </w:r>
        <w:r w:rsidR="00B30435" w:rsidRPr="005F5A5D">
          <w:rPr>
            <w:rStyle w:val="Hyperlink"/>
          </w:rPr>
          <w:t>Acronyms</w:t>
        </w:r>
        <w:r w:rsidR="00B30435">
          <w:rPr>
            <w:webHidden/>
          </w:rPr>
          <w:tab/>
        </w:r>
        <w:r w:rsidR="00B30435">
          <w:rPr>
            <w:webHidden/>
          </w:rPr>
          <w:fldChar w:fldCharType="begin"/>
        </w:r>
        <w:r w:rsidR="00B30435">
          <w:rPr>
            <w:webHidden/>
          </w:rPr>
          <w:instrText xml:space="preserve"> PAGEREF _Toc532991087 \h </w:instrText>
        </w:r>
        <w:r w:rsidR="00B30435">
          <w:rPr>
            <w:webHidden/>
          </w:rPr>
        </w:r>
        <w:r w:rsidR="00B30435">
          <w:rPr>
            <w:webHidden/>
          </w:rPr>
          <w:fldChar w:fldCharType="separate"/>
        </w:r>
        <w:r w:rsidR="00B30435">
          <w:rPr>
            <w:webHidden/>
          </w:rPr>
          <w:t>67</w:t>
        </w:r>
        <w:r w:rsidR="00B30435">
          <w:rPr>
            <w:webHidden/>
          </w:rPr>
          <w:fldChar w:fldCharType="end"/>
        </w:r>
      </w:hyperlink>
    </w:p>
    <w:p w14:paraId="69AFB4D8" w14:textId="3112A92C" w:rsidR="006B3AE7" w:rsidRDefault="00CD0398" w:rsidP="00BE60F3">
      <w:pPr>
        <w:rPr>
          <w:rFonts w:eastAsia="Times New Roman" w:cs="Arial"/>
          <w:sz w:val="20"/>
          <w:szCs w:val="20"/>
        </w:rPr>
      </w:pPr>
      <w:r>
        <w:rPr>
          <w:rFonts w:eastAsia="Times New Roman" w:cs="Arial"/>
          <w:b/>
          <w:noProof/>
          <w:sz w:val="20"/>
          <w:szCs w:val="20"/>
        </w:rPr>
        <w:fldChar w:fldCharType="end"/>
      </w:r>
    </w:p>
    <w:p w14:paraId="306682CC" w14:textId="4A363A6B" w:rsidR="009D2D1D" w:rsidRDefault="009D2D1D" w:rsidP="00BE60F3">
      <w:pPr>
        <w:rPr>
          <w:rFonts w:eastAsia="Times New Roman" w:cs="Arial"/>
          <w:sz w:val="20"/>
          <w:szCs w:val="20"/>
        </w:rPr>
      </w:pPr>
      <w:r>
        <w:rPr>
          <w:rFonts w:eastAsia="Times New Roman" w:cs="Arial"/>
          <w:sz w:val="20"/>
          <w:szCs w:val="20"/>
        </w:rPr>
        <w:br w:type="page"/>
      </w:r>
    </w:p>
    <w:p w14:paraId="7872BB1F" w14:textId="77777777" w:rsidR="009D2D1D" w:rsidRPr="00A34FCB" w:rsidRDefault="009D2D1D" w:rsidP="00BE60F3">
      <w:pPr>
        <w:rPr>
          <w:rFonts w:eastAsia="Times New Roman" w:cs="Arial"/>
          <w:sz w:val="20"/>
          <w:szCs w:val="20"/>
        </w:rPr>
        <w:sectPr w:rsidR="009D2D1D" w:rsidRPr="00A34FCB" w:rsidSect="008F5227">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850" w:footer="850" w:gutter="0"/>
          <w:cols w:space="708"/>
          <w:titlePg/>
          <w:docGrid w:linePitch="360"/>
        </w:sectPr>
      </w:pPr>
    </w:p>
    <w:p w14:paraId="4C25EECF" w14:textId="4ECE1BE5" w:rsidR="0077405A" w:rsidRPr="0020734C" w:rsidRDefault="00BD5F6E" w:rsidP="00BE60F3">
      <w:pPr>
        <w:pStyle w:val="ExecutiveSummaryheading"/>
        <w:rPr>
          <w:b/>
        </w:rPr>
      </w:pPr>
      <w:bookmarkStart w:id="1" w:name="_Toc525743650"/>
      <w:bookmarkStart w:id="2" w:name="_Toc532991040"/>
      <w:r w:rsidRPr="00EB3C4D">
        <w:rPr>
          <w:b/>
        </w:rPr>
        <w:t>Executive Summary</w:t>
      </w:r>
      <w:bookmarkEnd w:id="1"/>
      <w:bookmarkEnd w:id="2"/>
      <w:r w:rsidR="00E84E3A" w:rsidRPr="00EB3C4D">
        <w:rPr>
          <w:b/>
        </w:rPr>
        <w:t xml:space="preserve"> </w:t>
      </w:r>
    </w:p>
    <w:p w14:paraId="61FA96E0" w14:textId="12811E4A" w:rsidR="00B52FEB" w:rsidRDefault="00B52FEB" w:rsidP="00B52FEB">
      <w:pPr>
        <w:rPr>
          <w:rFonts w:cs="Arial"/>
          <w:color w:val="000000"/>
          <w:sz w:val="20"/>
          <w:szCs w:val="20"/>
          <w:lang w:val="en-US"/>
        </w:rPr>
      </w:pPr>
      <w:bookmarkStart w:id="3" w:name="_Toc518332367"/>
      <w:bookmarkStart w:id="4" w:name="_Hlk524871923"/>
      <w:r w:rsidRPr="00B52FEB">
        <w:rPr>
          <w:color w:val="000000"/>
          <w:sz w:val="20"/>
          <w:szCs w:val="20"/>
        </w:rPr>
        <w:t xml:space="preserve">Prospera builds on two decades of successful Australian support for improved economic governance in Indonesia. Prospera has many activities and partners. A strong focus on knowledge, performance and learning is central </w:t>
      </w:r>
      <w:r w:rsidR="005A5CA7">
        <w:rPr>
          <w:color w:val="000000"/>
          <w:sz w:val="20"/>
          <w:szCs w:val="20"/>
        </w:rPr>
        <w:t xml:space="preserve">to </w:t>
      </w:r>
      <w:r w:rsidRPr="00B52FEB">
        <w:rPr>
          <w:color w:val="000000"/>
          <w:sz w:val="20"/>
          <w:szCs w:val="20"/>
        </w:rPr>
        <w:t xml:space="preserve">achieving Prospera’s aim of </w:t>
      </w:r>
      <w:r w:rsidR="004714F8">
        <w:rPr>
          <w:color w:val="000000"/>
          <w:sz w:val="20"/>
          <w:szCs w:val="20"/>
        </w:rPr>
        <w:t xml:space="preserve">contributing to </w:t>
      </w:r>
      <w:r w:rsidRPr="00B52FEB">
        <w:rPr>
          <w:color w:val="000000"/>
          <w:sz w:val="20"/>
          <w:szCs w:val="20"/>
        </w:rPr>
        <w:t>strong, sustainable and inclusive economic growth in Indonesia.</w:t>
      </w:r>
    </w:p>
    <w:p w14:paraId="74574CEB" w14:textId="15129D85" w:rsidR="005E6540" w:rsidRDefault="005E6540" w:rsidP="005E6540">
      <w:pPr>
        <w:spacing w:after="120" w:line="288" w:lineRule="auto"/>
        <w:rPr>
          <w:sz w:val="20"/>
          <w:szCs w:val="20"/>
        </w:rPr>
      </w:pPr>
      <w:r>
        <w:rPr>
          <w:sz w:val="20"/>
          <w:szCs w:val="20"/>
        </w:rPr>
        <w:t>Prospera’s Knowledge</w:t>
      </w:r>
      <w:r w:rsidR="00091749">
        <w:rPr>
          <w:sz w:val="20"/>
          <w:szCs w:val="20"/>
        </w:rPr>
        <w:t>,</w:t>
      </w:r>
      <w:r>
        <w:rPr>
          <w:sz w:val="20"/>
          <w:szCs w:val="20"/>
        </w:rPr>
        <w:t xml:space="preserve"> Performance and Learning Framework is structured with three components: </w:t>
      </w:r>
    </w:p>
    <w:p w14:paraId="54B61020" w14:textId="3085F462" w:rsidR="00EB3C4D" w:rsidRPr="00EB3C4D" w:rsidRDefault="00EB3C4D" w:rsidP="004C4273">
      <w:pPr>
        <w:pStyle w:val="ListParagraph"/>
        <w:numPr>
          <w:ilvl w:val="0"/>
          <w:numId w:val="26"/>
        </w:numPr>
        <w:spacing w:before="120" w:after="120" w:line="288" w:lineRule="auto"/>
        <w:ind w:left="360"/>
        <w:contextualSpacing w:val="0"/>
        <w:rPr>
          <w:b/>
          <w:sz w:val="20"/>
          <w:szCs w:val="20"/>
        </w:rPr>
      </w:pPr>
      <w:r w:rsidRPr="005E6540">
        <w:rPr>
          <w:b/>
          <w:sz w:val="20"/>
          <w:szCs w:val="20"/>
        </w:rPr>
        <w:t xml:space="preserve">Core Framework </w:t>
      </w:r>
      <w:r w:rsidRPr="005E6540">
        <w:rPr>
          <w:sz w:val="20"/>
          <w:szCs w:val="20"/>
        </w:rPr>
        <w:t>(this document)</w:t>
      </w:r>
      <w:r>
        <w:rPr>
          <w:sz w:val="20"/>
          <w:szCs w:val="20"/>
        </w:rPr>
        <w:t xml:space="preserve">: </w:t>
      </w:r>
      <w:r>
        <w:rPr>
          <w:b/>
          <w:sz w:val="20"/>
          <w:szCs w:val="20"/>
        </w:rPr>
        <w:t xml:space="preserve"> </w:t>
      </w:r>
      <w:r w:rsidRPr="00CB1397">
        <w:rPr>
          <w:sz w:val="20"/>
          <w:szCs w:val="20"/>
        </w:rPr>
        <w:t xml:space="preserve">This component outlines why </w:t>
      </w:r>
      <w:r>
        <w:rPr>
          <w:sz w:val="20"/>
          <w:szCs w:val="20"/>
        </w:rPr>
        <w:t xml:space="preserve">Prospera </w:t>
      </w:r>
      <w:r w:rsidRPr="00CB1397">
        <w:rPr>
          <w:sz w:val="20"/>
          <w:szCs w:val="20"/>
        </w:rPr>
        <w:t>need</w:t>
      </w:r>
      <w:r>
        <w:rPr>
          <w:sz w:val="20"/>
          <w:szCs w:val="20"/>
        </w:rPr>
        <w:t>s</w:t>
      </w:r>
      <w:r w:rsidRPr="00CB1397">
        <w:rPr>
          <w:sz w:val="20"/>
          <w:szCs w:val="20"/>
        </w:rPr>
        <w:t xml:space="preserve"> to manage knowledge and performance, and what will </w:t>
      </w:r>
      <w:r>
        <w:rPr>
          <w:sz w:val="20"/>
          <w:szCs w:val="20"/>
        </w:rPr>
        <w:t xml:space="preserve">be </w:t>
      </w:r>
      <w:r w:rsidRPr="00CB1397">
        <w:rPr>
          <w:sz w:val="20"/>
          <w:szCs w:val="20"/>
        </w:rPr>
        <w:t>collect</w:t>
      </w:r>
      <w:r>
        <w:rPr>
          <w:sz w:val="20"/>
          <w:szCs w:val="20"/>
        </w:rPr>
        <w:t>ed</w:t>
      </w:r>
      <w:r w:rsidRPr="00CB1397">
        <w:rPr>
          <w:sz w:val="20"/>
          <w:szCs w:val="20"/>
        </w:rPr>
        <w:t xml:space="preserve"> and measure</w:t>
      </w:r>
      <w:r>
        <w:rPr>
          <w:sz w:val="20"/>
          <w:szCs w:val="20"/>
        </w:rPr>
        <w:t>d</w:t>
      </w:r>
      <w:r w:rsidRPr="00CB1397">
        <w:rPr>
          <w:sz w:val="20"/>
          <w:szCs w:val="20"/>
        </w:rPr>
        <w:t xml:space="preserve"> to support learning for improvement.</w:t>
      </w:r>
      <w:r>
        <w:rPr>
          <w:sz w:val="20"/>
          <w:szCs w:val="20"/>
        </w:rPr>
        <w:t xml:space="preserve"> This component explains Prospera’s context, </w:t>
      </w:r>
      <w:r w:rsidR="004714F8">
        <w:rPr>
          <w:sz w:val="20"/>
          <w:szCs w:val="20"/>
        </w:rPr>
        <w:t xml:space="preserve">performance </w:t>
      </w:r>
      <w:r>
        <w:rPr>
          <w:sz w:val="20"/>
          <w:szCs w:val="20"/>
        </w:rPr>
        <w:t xml:space="preserve">requirements </w:t>
      </w:r>
      <w:r w:rsidR="004714F8">
        <w:rPr>
          <w:sz w:val="20"/>
          <w:szCs w:val="20"/>
        </w:rPr>
        <w:t xml:space="preserve">and </w:t>
      </w:r>
      <w:r>
        <w:rPr>
          <w:sz w:val="20"/>
          <w:szCs w:val="20"/>
        </w:rPr>
        <w:t xml:space="preserve">key users of the information, the process to develop breakthrough outcomes and how activities fit within these outcomes, ways of working, performance </w:t>
      </w:r>
      <w:r w:rsidR="004714F8">
        <w:rPr>
          <w:sz w:val="20"/>
          <w:szCs w:val="20"/>
        </w:rPr>
        <w:t>questions</w:t>
      </w:r>
      <w:r>
        <w:rPr>
          <w:sz w:val="20"/>
          <w:szCs w:val="20"/>
        </w:rPr>
        <w:t>, evaluation</w:t>
      </w:r>
      <w:r w:rsidR="004714F8">
        <w:rPr>
          <w:sz w:val="20"/>
          <w:szCs w:val="20"/>
        </w:rPr>
        <w:t xml:space="preserve"> pipeline</w:t>
      </w:r>
      <w:r>
        <w:rPr>
          <w:sz w:val="20"/>
          <w:szCs w:val="20"/>
        </w:rPr>
        <w:t xml:space="preserve">, capturing key cross-cutting factors (gender and social inclusion, public sector, partnerships), and approach to learning and reporting.  </w:t>
      </w:r>
    </w:p>
    <w:p w14:paraId="151F7B33" w14:textId="3F8D5E2B" w:rsidR="00EB3C4D" w:rsidRPr="00EB3C4D" w:rsidRDefault="00EB3C4D" w:rsidP="00EB3C4D">
      <w:pPr>
        <w:pStyle w:val="ListParagraph"/>
        <w:spacing w:before="120" w:after="120" w:line="288" w:lineRule="auto"/>
        <w:ind w:left="360"/>
        <w:contextualSpacing w:val="0"/>
        <w:rPr>
          <w:b/>
          <w:sz w:val="20"/>
          <w:szCs w:val="20"/>
        </w:rPr>
      </w:pPr>
      <w:r w:rsidRPr="00EB3C4D">
        <w:rPr>
          <w:sz w:val="20"/>
          <w:szCs w:val="20"/>
        </w:rPr>
        <w:t>The principal users of this component are DFAT, facility management</w:t>
      </w:r>
      <w:r w:rsidR="004714F8">
        <w:rPr>
          <w:sz w:val="20"/>
          <w:szCs w:val="20"/>
        </w:rPr>
        <w:t xml:space="preserve"> team</w:t>
      </w:r>
      <w:r w:rsidRPr="00EB3C4D">
        <w:rPr>
          <w:sz w:val="20"/>
          <w:szCs w:val="20"/>
        </w:rPr>
        <w:t>, the Knowledge and Performance team, advisory and Australian agency teams.</w:t>
      </w:r>
    </w:p>
    <w:p w14:paraId="4B90420D" w14:textId="77777777" w:rsidR="00EB3C4D" w:rsidRDefault="00EB3C4D" w:rsidP="004C4273">
      <w:pPr>
        <w:pStyle w:val="ListParagraph"/>
        <w:numPr>
          <w:ilvl w:val="0"/>
          <w:numId w:val="26"/>
        </w:numPr>
        <w:spacing w:after="120" w:line="288" w:lineRule="auto"/>
        <w:ind w:left="360"/>
        <w:contextualSpacing w:val="0"/>
        <w:rPr>
          <w:b/>
          <w:sz w:val="20"/>
          <w:szCs w:val="20"/>
        </w:rPr>
      </w:pPr>
      <w:r>
        <w:rPr>
          <w:b/>
          <w:sz w:val="20"/>
          <w:szCs w:val="20"/>
        </w:rPr>
        <w:t xml:space="preserve">Activity Design and Reporting Guide: </w:t>
      </w:r>
      <w:r w:rsidRPr="00CB1397">
        <w:rPr>
          <w:sz w:val="20"/>
          <w:szCs w:val="20"/>
        </w:rPr>
        <w:t xml:space="preserve">This component sets out the design and decision-making processes for Prospera activities and reporting expectations. This component </w:t>
      </w:r>
      <w:r>
        <w:rPr>
          <w:sz w:val="20"/>
          <w:szCs w:val="20"/>
        </w:rPr>
        <w:t xml:space="preserve">elaborates on activity governance and how budget is applied each year and between cycles to deliver flexibility. The component describes the </w:t>
      </w:r>
      <w:r w:rsidRPr="006D1F6F">
        <w:rPr>
          <w:sz w:val="20"/>
          <w:szCs w:val="20"/>
        </w:rPr>
        <w:t>Prospera investment criteria and how they will be applied to enhance the quality of activities rather than hard rules. The component also contains templates for activity design and reporting.</w:t>
      </w:r>
      <w:r w:rsidRPr="006D1F6F">
        <w:rPr>
          <w:b/>
          <w:sz w:val="20"/>
          <w:szCs w:val="20"/>
        </w:rPr>
        <w:t xml:space="preserve"> </w:t>
      </w:r>
    </w:p>
    <w:p w14:paraId="473298B4" w14:textId="3D9F9F5A" w:rsidR="00EB3C4D" w:rsidRPr="00EB3C4D" w:rsidRDefault="00EB3C4D" w:rsidP="00EB3C4D">
      <w:pPr>
        <w:pStyle w:val="ListParagraph"/>
        <w:spacing w:after="120" w:line="288" w:lineRule="auto"/>
        <w:ind w:left="360"/>
        <w:rPr>
          <w:b/>
          <w:sz w:val="20"/>
          <w:szCs w:val="20"/>
        </w:rPr>
      </w:pPr>
      <w:r w:rsidRPr="00EB3C4D">
        <w:rPr>
          <w:sz w:val="20"/>
          <w:szCs w:val="20"/>
        </w:rPr>
        <w:t>The principal users of this component are advisory and Australian agency teams designing and delivering activities, and the Knowledge and Performance team who will implement facility</w:t>
      </w:r>
      <w:r w:rsidRPr="00EB3C4D">
        <w:rPr>
          <w:sz w:val="20"/>
          <w:szCs w:val="20"/>
        </w:rPr>
        <w:noBreakHyphen/>
        <w:t>level monitoring and evaluation, and suppor</w:t>
      </w:r>
      <w:r w:rsidR="004714F8">
        <w:rPr>
          <w:sz w:val="20"/>
          <w:szCs w:val="20"/>
        </w:rPr>
        <w:t>t</w:t>
      </w:r>
      <w:r w:rsidRPr="00EB3C4D">
        <w:rPr>
          <w:sz w:val="20"/>
          <w:szCs w:val="20"/>
        </w:rPr>
        <w:t xml:space="preserve"> activity</w:t>
      </w:r>
      <w:r w:rsidRPr="00EB3C4D">
        <w:rPr>
          <w:sz w:val="20"/>
          <w:szCs w:val="20"/>
        </w:rPr>
        <w:noBreakHyphen/>
        <w:t>level monitoring and evaluation.</w:t>
      </w:r>
    </w:p>
    <w:p w14:paraId="7B190B27" w14:textId="77777777" w:rsidR="00EB3C4D" w:rsidRDefault="00EB3C4D" w:rsidP="00EB3C4D">
      <w:pPr>
        <w:pStyle w:val="ListParagraph"/>
        <w:spacing w:after="120" w:line="288" w:lineRule="auto"/>
        <w:ind w:left="360"/>
        <w:rPr>
          <w:b/>
          <w:sz w:val="20"/>
          <w:szCs w:val="20"/>
        </w:rPr>
      </w:pPr>
    </w:p>
    <w:p w14:paraId="2BB6DDCD" w14:textId="3C8FECCB" w:rsidR="00EB3C4D" w:rsidRPr="00EB3C4D" w:rsidRDefault="00EB3C4D" w:rsidP="004C4273">
      <w:pPr>
        <w:pStyle w:val="ListParagraph"/>
        <w:numPr>
          <w:ilvl w:val="0"/>
          <w:numId w:val="26"/>
        </w:numPr>
        <w:spacing w:after="120" w:line="288" w:lineRule="auto"/>
        <w:ind w:left="360"/>
        <w:rPr>
          <w:b/>
          <w:sz w:val="20"/>
          <w:szCs w:val="20"/>
        </w:rPr>
      </w:pPr>
      <w:r>
        <w:rPr>
          <w:b/>
          <w:sz w:val="20"/>
          <w:szCs w:val="20"/>
        </w:rPr>
        <w:t xml:space="preserve">Toolkit: </w:t>
      </w:r>
      <w:r w:rsidRPr="00CB1397">
        <w:rPr>
          <w:sz w:val="20"/>
          <w:szCs w:val="20"/>
        </w:rPr>
        <w:t>This component explains monitoring and evaluation methods</w:t>
      </w:r>
      <w:r>
        <w:rPr>
          <w:sz w:val="20"/>
          <w:szCs w:val="20"/>
        </w:rPr>
        <w:t xml:space="preserve">, including </w:t>
      </w:r>
      <w:r w:rsidRPr="00CB1397">
        <w:rPr>
          <w:sz w:val="20"/>
          <w:szCs w:val="20"/>
        </w:rPr>
        <w:t>data collection.  This component includes guidance and templates for various design approaches, measurement (including capability development, policy change, partnerships, gender and social inclusion) and learning</w:t>
      </w:r>
      <w:r w:rsidR="004714F8">
        <w:rPr>
          <w:sz w:val="20"/>
          <w:szCs w:val="20"/>
        </w:rPr>
        <w:t xml:space="preserve"> initiatives</w:t>
      </w:r>
      <w:r w:rsidRPr="00CB1397">
        <w:rPr>
          <w:sz w:val="20"/>
          <w:szCs w:val="20"/>
        </w:rPr>
        <w:t>. It also contains indicative data collection plans to draw upon for activity</w:t>
      </w:r>
      <w:r w:rsidRPr="00CB1397">
        <w:rPr>
          <w:sz w:val="20"/>
          <w:szCs w:val="20"/>
        </w:rPr>
        <w:noBreakHyphen/>
        <w:t xml:space="preserve">level monitoring and evaluation. </w:t>
      </w:r>
    </w:p>
    <w:p w14:paraId="50C81B6B" w14:textId="00E9FDB6" w:rsidR="00EB3C4D" w:rsidRPr="00EB3C4D" w:rsidRDefault="00EB3C4D" w:rsidP="00EB3C4D">
      <w:pPr>
        <w:spacing w:after="120" w:line="288" w:lineRule="auto"/>
        <w:ind w:left="360"/>
        <w:rPr>
          <w:b/>
          <w:sz w:val="20"/>
          <w:szCs w:val="20"/>
        </w:rPr>
      </w:pPr>
      <w:r w:rsidRPr="00EB3C4D">
        <w:rPr>
          <w:sz w:val="20"/>
          <w:szCs w:val="20"/>
        </w:rPr>
        <w:t>The principal users of this component are the Knowledge and Performance team and focal points assisting advisory and Australian agency teams in designing and delivering activities.</w:t>
      </w:r>
    </w:p>
    <w:p w14:paraId="583AACD2" w14:textId="04BF9D4A" w:rsidR="005E6540" w:rsidRPr="00544E4E" w:rsidRDefault="005E6540" w:rsidP="005E6540">
      <w:pPr>
        <w:spacing w:after="120" w:line="288" w:lineRule="auto"/>
        <w:rPr>
          <w:sz w:val="20"/>
          <w:szCs w:val="20"/>
        </w:rPr>
      </w:pPr>
      <w:r w:rsidRPr="00544E4E">
        <w:rPr>
          <w:sz w:val="20"/>
          <w:szCs w:val="20"/>
        </w:rPr>
        <w:t xml:space="preserve">Over 100 people participated in the development of the Framework with stakeholders from the Indonesian government, DFAT, Australian agencies and advisers. </w:t>
      </w:r>
    </w:p>
    <w:p w14:paraId="5E04C669" w14:textId="77777777" w:rsidR="005E6540" w:rsidRPr="00544E4E" w:rsidRDefault="005E6540" w:rsidP="005E6540">
      <w:pPr>
        <w:spacing w:after="120" w:line="288" w:lineRule="auto"/>
        <w:rPr>
          <w:sz w:val="20"/>
          <w:szCs w:val="20"/>
        </w:rPr>
      </w:pPr>
      <w:r w:rsidRPr="00544E4E">
        <w:rPr>
          <w:sz w:val="20"/>
          <w:szCs w:val="20"/>
        </w:rPr>
        <w:t xml:space="preserve">At the core of the Framework are three breakthrough outcomes: </w:t>
      </w:r>
    </w:p>
    <w:p w14:paraId="783C86FA" w14:textId="77777777" w:rsidR="005E6540" w:rsidRPr="00544E4E" w:rsidRDefault="005E6540" w:rsidP="005E6540">
      <w:pPr>
        <w:pStyle w:val="ListBullet"/>
        <w:spacing w:after="120"/>
        <w:contextualSpacing w:val="0"/>
      </w:pPr>
      <w:r w:rsidRPr="00544E4E">
        <w:rPr>
          <w:b/>
        </w:rPr>
        <w:t>Expanding markets</w:t>
      </w:r>
      <w:r>
        <w:rPr>
          <w:b/>
        </w:rPr>
        <w:t>,</w:t>
      </w:r>
      <w:r w:rsidRPr="00544E4E">
        <w:rPr>
          <w:b/>
        </w:rPr>
        <w:t xml:space="preserve"> creating jobs:</w:t>
      </w:r>
      <w:r w:rsidRPr="00544E4E">
        <w:t xml:space="preserve"> Better regulation for private</w:t>
      </w:r>
      <w:r>
        <w:t>-</w:t>
      </w:r>
      <w:r w:rsidRPr="00544E4E">
        <w:t xml:space="preserve">sector growth, more open trade and investment, and safe and efficient transport to move goods and people. </w:t>
      </w:r>
    </w:p>
    <w:p w14:paraId="4513270C" w14:textId="77777777" w:rsidR="005E6540" w:rsidRPr="00544E4E" w:rsidRDefault="005E6540" w:rsidP="005E6540">
      <w:pPr>
        <w:pStyle w:val="ListBullet"/>
        <w:spacing w:after="120"/>
        <w:contextualSpacing w:val="0"/>
      </w:pPr>
      <w:r w:rsidRPr="00544E4E">
        <w:rPr>
          <w:b/>
        </w:rPr>
        <w:t>Safeguarding economic and financial stability:</w:t>
      </w:r>
      <w:r w:rsidRPr="00544E4E">
        <w:t xml:space="preserve"> Better framework to deliver macroeconomic and financial stability, increased supervision and regulation of the financial sector, and combatting financial crime.</w:t>
      </w:r>
    </w:p>
    <w:p w14:paraId="0ACDC583" w14:textId="77777777" w:rsidR="005E6540" w:rsidRPr="00544E4E" w:rsidRDefault="005E6540" w:rsidP="005E6540">
      <w:pPr>
        <w:pStyle w:val="ListBullet"/>
        <w:spacing w:after="120"/>
        <w:contextualSpacing w:val="0"/>
      </w:pPr>
      <w:r w:rsidRPr="00544E4E">
        <w:rPr>
          <w:b/>
        </w:rPr>
        <w:t xml:space="preserve">Improving public finances and government performance: </w:t>
      </w:r>
      <w:r w:rsidRPr="00544E4E">
        <w:t xml:space="preserve">More revenue through better tax administration and policy, more effective public spending with better budget systems, and greater transparency and accountability of government. </w:t>
      </w:r>
    </w:p>
    <w:p w14:paraId="131EF761" w14:textId="13AB276B" w:rsidR="005E6540" w:rsidRPr="00544E4E" w:rsidRDefault="00091749" w:rsidP="005E6540">
      <w:pPr>
        <w:spacing w:after="120" w:line="288" w:lineRule="auto"/>
        <w:rPr>
          <w:sz w:val="20"/>
          <w:szCs w:val="20"/>
        </w:rPr>
      </w:pPr>
      <w:r>
        <w:rPr>
          <w:sz w:val="20"/>
          <w:szCs w:val="20"/>
        </w:rPr>
        <w:t>Prospera’s</w:t>
      </w:r>
      <w:r w:rsidR="005E6540" w:rsidRPr="00544E4E">
        <w:rPr>
          <w:sz w:val="20"/>
          <w:szCs w:val="20"/>
        </w:rPr>
        <w:t xml:space="preserve"> breakthrough</w:t>
      </w:r>
      <w:r>
        <w:rPr>
          <w:sz w:val="20"/>
          <w:szCs w:val="20"/>
        </w:rPr>
        <w:t xml:space="preserve"> outcomes</w:t>
      </w:r>
      <w:r w:rsidR="005E6540" w:rsidRPr="00544E4E">
        <w:rPr>
          <w:sz w:val="20"/>
          <w:szCs w:val="20"/>
        </w:rPr>
        <w:t xml:space="preserve"> are supported by </w:t>
      </w:r>
      <w:r w:rsidR="005E6540" w:rsidRPr="00544E4E">
        <w:rPr>
          <w:b/>
          <w:sz w:val="20"/>
          <w:szCs w:val="20"/>
        </w:rPr>
        <w:t>cross-cutting</w:t>
      </w:r>
      <w:r w:rsidR="005E6540" w:rsidRPr="00544E4E">
        <w:rPr>
          <w:sz w:val="20"/>
          <w:szCs w:val="20"/>
        </w:rPr>
        <w:t xml:space="preserve"> </w:t>
      </w:r>
      <w:r w:rsidR="005E6540">
        <w:rPr>
          <w:sz w:val="20"/>
          <w:szCs w:val="20"/>
        </w:rPr>
        <w:t xml:space="preserve">contributions </w:t>
      </w:r>
      <w:r w:rsidR="005E6540" w:rsidRPr="00544E4E">
        <w:rPr>
          <w:sz w:val="20"/>
          <w:szCs w:val="20"/>
        </w:rPr>
        <w:t>including: increasingly capable government institutions, high</w:t>
      </w:r>
      <w:r w:rsidR="005E6540">
        <w:rPr>
          <w:sz w:val="20"/>
          <w:szCs w:val="20"/>
        </w:rPr>
        <w:t>-</w:t>
      </w:r>
      <w:r w:rsidR="005E6540" w:rsidRPr="00544E4E">
        <w:rPr>
          <w:sz w:val="20"/>
          <w:szCs w:val="20"/>
        </w:rPr>
        <w:t>quality economic and social statistics, gender equality and social inclusion</w:t>
      </w:r>
      <w:r w:rsidR="005E6540">
        <w:rPr>
          <w:sz w:val="20"/>
          <w:szCs w:val="20"/>
        </w:rPr>
        <w:t xml:space="preserve">, and governments of Indonesia and Australia partnership. </w:t>
      </w:r>
      <w:r w:rsidR="005E6540" w:rsidRPr="00544E4E">
        <w:rPr>
          <w:sz w:val="20"/>
          <w:szCs w:val="20"/>
        </w:rPr>
        <w:t xml:space="preserve"> </w:t>
      </w:r>
    </w:p>
    <w:p w14:paraId="2604EDFA" w14:textId="77777777" w:rsidR="005E6540" w:rsidRPr="00544E4E" w:rsidRDefault="005E6540" w:rsidP="005E6540">
      <w:pPr>
        <w:spacing w:after="120" w:line="288" w:lineRule="auto"/>
        <w:rPr>
          <w:sz w:val="20"/>
          <w:szCs w:val="20"/>
        </w:rPr>
      </w:pPr>
      <w:r w:rsidRPr="00544E4E">
        <w:rPr>
          <w:sz w:val="20"/>
          <w:szCs w:val="20"/>
        </w:rPr>
        <w:t xml:space="preserve">The Framework recognises that </w:t>
      </w:r>
      <w:bookmarkStart w:id="5" w:name="_Hlk524980657"/>
      <w:r w:rsidRPr="00544E4E">
        <w:rPr>
          <w:sz w:val="20"/>
          <w:szCs w:val="20"/>
        </w:rPr>
        <w:t xml:space="preserve">Prospera has many moving parts and pathways for activities vary. Some activities are structured with established milestones and deliverables. Others require more </w:t>
      </w:r>
      <w:r>
        <w:rPr>
          <w:sz w:val="20"/>
          <w:szCs w:val="20"/>
        </w:rPr>
        <w:t>‘</w:t>
      </w:r>
      <w:r w:rsidRPr="00544E4E">
        <w:rPr>
          <w:sz w:val="20"/>
          <w:szCs w:val="20"/>
        </w:rPr>
        <w:t>navigation by judgement</w:t>
      </w:r>
      <w:r>
        <w:rPr>
          <w:sz w:val="20"/>
          <w:szCs w:val="20"/>
        </w:rPr>
        <w:t>’</w:t>
      </w:r>
      <w:r w:rsidRPr="00544E4E">
        <w:rPr>
          <w:sz w:val="20"/>
          <w:szCs w:val="20"/>
        </w:rPr>
        <w:t xml:space="preserve"> where work cannot be </w:t>
      </w:r>
      <w:r>
        <w:rPr>
          <w:sz w:val="20"/>
          <w:szCs w:val="20"/>
        </w:rPr>
        <w:t>planned too rigidly</w:t>
      </w:r>
      <w:r w:rsidRPr="00544E4E">
        <w:rPr>
          <w:sz w:val="20"/>
          <w:szCs w:val="20"/>
        </w:rPr>
        <w:t xml:space="preserve"> because there are low levels of certainty.</w:t>
      </w:r>
      <w:bookmarkEnd w:id="5"/>
      <w:r w:rsidRPr="00544E4E">
        <w:rPr>
          <w:sz w:val="20"/>
          <w:szCs w:val="20"/>
        </w:rPr>
        <w:t xml:space="preserve"> This Framework accommodates multiple approaches. </w:t>
      </w:r>
    </w:p>
    <w:p w14:paraId="262A49F7" w14:textId="59F02128" w:rsidR="005E6540" w:rsidRPr="00544E4E" w:rsidRDefault="005E6540" w:rsidP="005E6540">
      <w:pPr>
        <w:spacing w:after="120" w:line="288" w:lineRule="auto"/>
        <w:rPr>
          <w:sz w:val="20"/>
          <w:szCs w:val="20"/>
        </w:rPr>
      </w:pPr>
      <w:r>
        <w:rPr>
          <w:sz w:val="20"/>
          <w:szCs w:val="20"/>
        </w:rPr>
        <w:t>The Framework proposes a</w:t>
      </w:r>
      <w:r w:rsidRPr="00544E4E">
        <w:rPr>
          <w:sz w:val="20"/>
          <w:szCs w:val="20"/>
        </w:rPr>
        <w:t xml:space="preserve"> series of learning initiatives</w:t>
      </w:r>
      <w:r>
        <w:rPr>
          <w:sz w:val="20"/>
          <w:szCs w:val="20"/>
        </w:rPr>
        <w:t>,</w:t>
      </w:r>
      <w:r w:rsidRPr="00544E4E">
        <w:rPr>
          <w:sz w:val="20"/>
          <w:szCs w:val="20"/>
        </w:rPr>
        <w:t xml:space="preserve"> including seminars, communities of practice and annual review workshops. A </w:t>
      </w:r>
      <w:r>
        <w:rPr>
          <w:sz w:val="20"/>
          <w:szCs w:val="20"/>
        </w:rPr>
        <w:t xml:space="preserve">digital </w:t>
      </w:r>
      <w:r w:rsidRPr="00544E4E">
        <w:rPr>
          <w:sz w:val="20"/>
          <w:szCs w:val="20"/>
        </w:rPr>
        <w:t xml:space="preserve">system will transfer knowledge and insight and manage activity flows to generate evidence for monitoring </w:t>
      </w:r>
      <w:r>
        <w:rPr>
          <w:sz w:val="20"/>
          <w:szCs w:val="20"/>
        </w:rPr>
        <w:t>and</w:t>
      </w:r>
      <w:r w:rsidRPr="00544E4E">
        <w:rPr>
          <w:sz w:val="20"/>
          <w:szCs w:val="20"/>
        </w:rPr>
        <w:t xml:space="preserve"> evaluation. </w:t>
      </w:r>
      <w:r>
        <w:rPr>
          <w:sz w:val="20"/>
          <w:szCs w:val="20"/>
        </w:rPr>
        <w:t>The Framework pays s</w:t>
      </w:r>
      <w:r w:rsidRPr="00544E4E">
        <w:rPr>
          <w:sz w:val="20"/>
          <w:szCs w:val="20"/>
        </w:rPr>
        <w:t xml:space="preserve">pecial attention to </w:t>
      </w:r>
      <w:r w:rsidR="004714F8">
        <w:rPr>
          <w:sz w:val="20"/>
          <w:szCs w:val="20"/>
        </w:rPr>
        <w:t>‘</w:t>
      </w:r>
      <w:r w:rsidRPr="00544E4E">
        <w:rPr>
          <w:sz w:val="20"/>
          <w:szCs w:val="20"/>
        </w:rPr>
        <w:t>partnership capital</w:t>
      </w:r>
      <w:r w:rsidR="004714F8">
        <w:rPr>
          <w:sz w:val="20"/>
          <w:szCs w:val="20"/>
        </w:rPr>
        <w:t>’</w:t>
      </w:r>
      <w:r w:rsidRPr="00544E4E">
        <w:rPr>
          <w:sz w:val="20"/>
          <w:szCs w:val="20"/>
        </w:rPr>
        <w:t xml:space="preserve"> which is of particular interest to Australian agencies and advisory teams. </w:t>
      </w:r>
    </w:p>
    <w:p w14:paraId="08BB43BE" w14:textId="0E4AE027" w:rsidR="00941BF9" w:rsidRDefault="00941BF9" w:rsidP="00941BF9">
      <w:pPr>
        <w:spacing w:after="120" w:line="288" w:lineRule="auto"/>
        <w:rPr>
          <w:sz w:val="20"/>
          <w:szCs w:val="20"/>
        </w:rPr>
      </w:pPr>
      <w:r w:rsidRPr="00544E4E">
        <w:rPr>
          <w:sz w:val="20"/>
          <w:szCs w:val="20"/>
        </w:rPr>
        <w:t>Prospera is the first facility of its kind to have Australian agencies and advisory support under one umbrella</w:t>
      </w:r>
      <w:r>
        <w:rPr>
          <w:sz w:val="20"/>
          <w:szCs w:val="20"/>
        </w:rPr>
        <w:t xml:space="preserve"> to deliver a</w:t>
      </w:r>
      <w:r w:rsidRPr="00544E4E">
        <w:rPr>
          <w:sz w:val="20"/>
          <w:szCs w:val="20"/>
        </w:rPr>
        <w:t xml:space="preserve"> common set of outcomes. While this adds complexity, it also introduces great opportunit</w:t>
      </w:r>
      <w:r>
        <w:rPr>
          <w:sz w:val="20"/>
          <w:szCs w:val="20"/>
        </w:rPr>
        <w:t>ies</w:t>
      </w:r>
      <w:r w:rsidRPr="00544E4E">
        <w:rPr>
          <w:sz w:val="20"/>
          <w:szCs w:val="20"/>
        </w:rPr>
        <w:t xml:space="preserve"> to create better ways of working in partnership with the Indonesian government. This Framework is designed to help Prospera sei</w:t>
      </w:r>
      <w:r>
        <w:rPr>
          <w:sz w:val="20"/>
          <w:szCs w:val="20"/>
        </w:rPr>
        <w:t>z</w:t>
      </w:r>
      <w:r w:rsidRPr="00544E4E">
        <w:rPr>
          <w:sz w:val="20"/>
          <w:szCs w:val="20"/>
        </w:rPr>
        <w:t>e those opportunities</w:t>
      </w:r>
      <w:r>
        <w:rPr>
          <w:sz w:val="20"/>
          <w:szCs w:val="20"/>
        </w:rPr>
        <w:t>.</w:t>
      </w:r>
    </w:p>
    <w:p w14:paraId="6985EC8A" w14:textId="77777777" w:rsidR="00EB3C4D" w:rsidRPr="00E5505E" w:rsidRDefault="00EB3C4D" w:rsidP="00941BF9">
      <w:pPr>
        <w:spacing w:after="120" w:line="288" w:lineRule="auto"/>
        <w:rPr>
          <w:sz w:val="20"/>
          <w:szCs w:val="20"/>
        </w:rPr>
      </w:pPr>
    </w:p>
    <w:p w14:paraId="5AF4A63C" w14:textId="77777777" w:rsidR="00544E4E" w:rsidRPr="00544E4E" w:rsidRDefault="00544E4E" w:rsidP="00BE60F3">
      <w:pPr>
        <w:pBdr>
          <w:top w:val="single" w:sz="4" w:space="1" w:color="auto"/>
          <w:left w:val="single" w:sz="4" w:space="1" w:color="auto"/>
          <w:bottom w:val="single" w:sz="4" w:space="1" w:color="auto"/>
          <w:right w:val="single" w:sz="4" w:space="1" w:color="auto"/>
        </w:pBdr>
        <w:shd w:val="clear" w:color="auto" w:fill="CFF0F7"/>
        <w:spacing w:before="240" w:after="120" w:line="288" w:lineRule="auto"/>
        <w:ind w:left="284" w:hanging="284"/>
        <w:rPr>
          <w:b/>
          <w:sz w:val="20"/>
          <w:szCs w:val="20"/>
        </w:rPr>
      </w:pPr>
      <w:r w:rsidRPr="001E7AC6">
        <w:rPr>
          <w:b/>
          <w:sz w:val="20"/>
          <w:szCs w:val="20"/>
        </w:rPr>
        <w:t>About Prospera</w:t>
      </w:r>
      <w:bookmarkEnd w:id="3"/>
    </w:p>
    <w:bookmarkEnd w:id="4"/>
    <w:p w14:paraId="62E81F64" w14:textId="77777777" w:rsidR="00091749" w:rsidRDefault="00091749" w:rsidP="00091749">
      <w:pPr>
        <w:pBdr>
          <w:top w:val="single" w:sz="4" w:space="1" w:color="auto"/>
          <w:left w:val="single" w:sz="4" w:space="1" w:color="auto"/>
          <w:bottom w:val="single" w:sz="4" w:space="1" w:color="auto"/>
          <w:right w:val="single" w:sz="4" w:space="1" w:color="auto"/>
        </w:pBdr>
        <w:shd w:val="clear" w:color="auto" w:fill="CFF0F7" w:themeFill="accent6" w:themeFillTint="33"/>
        <w:spacing w:before="120" w:after="120" w:line="288" w:lineRule="auto"/>
        <w:rPr>
          <w:sz w:val="19"/>
          <w:szCs w:val="19"/>
        </w:rPr>
      </w:pPr>
      <w:r>
        <w:rPr>
          <w:sz w:val="19"/>
          <w:szCs w:val="19"/>
        </w:rPr>
        <w:t xml:space="preserve">Prospera is a A$145 million facility which builds on Australia’s long history of support for strong, sustainable and inclusive economic growth in Indonesia. Prospera brings together more than 120 advisers and 16 Australian government agencies, working with more than 30 Indonesian partners. </w:t>
      </w:r>
    </w:p>
    <w:p w14:paraId="7E093496" w14:textId="77777777" w:rsidR="00091749" w:rsidRDefault="00091749" w:rsidP="00091749">
      <w:pPr>
        <w:pBdr>
          <w:top w:val="single" w:sz="4" w:space="1" w:color="auto"/>
          <w:left w:val="single" w:sz="4" w:space="1" w:color="auto"/>
          <w:bottom w:val="single" w:sz="4" w:space="1" w:color="auto"/>
          <w:right w:val="single" w:sz="4" w:space="1" w:color="auto"/>
        </w:pBdr>
        <w:shd w:val="clear" w:color="auto" w:fill="CFF0F7" w:themeFill="accent6" w:themeFillTint="33"/>
        <w:spacing w:before="120" w:after="120" w:line="288" w:lineRule="auto"/>
        <w:rPr>
          <w:sz w:val="19"/>
          <w:szCs w:val="19"/>
        </w:rPr>
      </w:pPr>
      <w:r>
        <w:rPr>
          <w:sz w:val="19"/>
          <w:szCs w:val="19"/>
        </w:rPr>
        <w:t>Prospera’s strength comes from combining advisers who have a strong knowledge of Indonesia with those who have experience in the Australian public service and also emerging markets.</w:t>
      </w:r>
    </w:p>
    <w:p w14:paraId="423368F6" w14:textId="0CE9E7E7" w:rsidR="00091749" w:rsidRDefault="00091749" w:rsidP="00091749">
      <w:pPr>
        <w:pBdr>
          <w:top w:val="single" w:sz="4" w:space="1" w:color="auto"/>
          <w:left w:val="single" w:sz="4" w:space="1" w:color="auto"/>
          <w:bottom w:val="single" w:sz="4" w:space="1" w:color="auto"/>
          <w:right w:val="single" w:sz="4" w:space="1" w:color="auto"/>
        </w:pBdr>
        <w:shd w:val="clear" w:color="auto" w:fill="CFF0F7" w:themeFill="accent6" w:themeFillTint="33"/>
        <w:spacing w:before="120" w:after="120" w:line="288" w:lineRule="auto"/>
        <w:rPr>
          <w:sz w:val="19"/>
          <w:szCs w:val="19"/>
        </w:rPr>
      </w:pPr>
      <w:r>
        <w:rPr>
          <w:sz w:val="19"/>
          <w:szCs w:val="19"/>
        </w:rPr>
        <w:t xml:space="preserve">Partnerships between Australian and Indonesian government agencies provide a unique opportunity to build institutional capacities, share experiences of policy and institutional development and learn from each other. Prospera’s advisers support Indonesian government officials, providing them with economic research and analysis, and helping them to improve spending and revenue, markets, the financial sector, transport, and public-sector institutions. </w:t>
      </w:r>
    </w:p>
    <w:p w14:paraId="494E729E" w14:textId="77777777" w:rsidR="00091749" w:rsidRDefault="00091749" w:rsidP="00091749">
      <w:pPr>
        <w:pBdr>
          <w:top w:val="single" w:sz="4" w:space="1" w:color="auto"/>
          <w:left w:val="single" w:sz="4" w:space="1" w:color="auto"/>
          <w:bottom w:val="single" w:sz="4" w:space="1" w:color="auto"/>
          <w:right w:val="single" w:sz="4" w:space="1" w:color="auto"/>
        </w:pBdr>
        <w:shd w:val="clear" w:color="auto" w:fill="CFF0F7" w:themeFill="accent6" w:themeFillTint="33"/>
        <w:spacing w:before="120" w:after="120" w:line="288" w:lineRule="auto"/>
        <w:rPr>
          <w:sz w:val="19"/>
          <w:szCs w:val="19"/>
        </w:rPr>
      </w:pPr>
      <w:r>
        <w:rPr>
          <w:sz w:val="19"/>
          <w:szCs w:val="19"/>
        </w:rPr>
        <w:t>In addition, Prospera seeks to advise the government through Tim Asistensi, a group of senior Indonesian policy experts based at the Coordinating Ministry for the Economy, and by working with private-sector companies through the Indonesia Services Dialogue, an industry group focused on creating a more competitive services economy.</w:t>
      </w:r>
    </w:p>
    <w:p w14:paraId="618FFBA7" w14:textId="77777777" w:rsidR="00091749" w:rsidRDefault="00091749" w:rsidP="00091749">
      <w:pPr>
        <w:pBdr>
          <w:top w:val="single" w:sz="4" w:space="1" w:color="auto"/>
          <w:left w:val="single" w:sz="4" w:space="1" w:color="auto"/>
          <w:bottom w:val="single" w:sz="4" w:space="1" w:color="auto"/>
          <w:right w:val="single" w:sz="4" w:space="1" w:color="auto"/>
        </w:pBdr>
        <w:shd w:val="clear" w:color="auto" w:fill="CFF0F7" w:themeFill="accent6" w:themeFillTint="33"/>
        <w:spacing w:before="120" w:after="120" w:line="288" w:lineRule="auto"/>
        <w:rPr>
          <w:sz w:val="19"/>
          <w:szCs w:val="19"/>
        </w:rPr>
      </w:pPr>
      <w:r>
        <w:rPr>
          <w:sz w:val="19"/>
          <w:szCs w:val="19"/>
        </w:rPr>
        <w:t>The program is expected to run for five years, from March 2018 until February 2023.</w:t>
      </w:r>
    </w:p>
    <w:p w14:paraId="62489F3F" w14:textId="3F02321C" w:rsidR="003911F8" w:rsidRDefault="0077405A" w:rsidP="003911F8">
      <w:pPr>
        <w:pStyle w:val="Heading1"/>
        <w:rPr>
          <w:shd w:val="clear" w:color="auto" w:fill="FFFFFF"/>
        </w:rPr>
      </w:pPr>
      <w:r>
        <w:rPr>
          <w:shd w:val="clear" w:color="auto" w:fill="FFFFFF"/>
        </w:rPr>
        <w:br w:type="page"/>
      </w:r>
      <w:bookmarkStart w:id="6" w:name="_Toc532991041"/>
      <w:r w:rsidR="00154552">
        <w:rPr>
          <w:shd w:val="clear" w:color="auto" w:fill="FFFFFF"/>
        </w:rPr>
        <w:t>Navigating this framework</w:t>
      </w:r>
      <w:bookmarkEnd w:id="6"/>
      <w:r w:rsidR="003911F8">
        <w:rPr>
          <w:shd w:val="clear" w:color="auto" w:fill="FFFFFF"/>
        </w:rPr>
        <w:t xml:space="preserve"> </w:t>
      </w:r>
    </w:p>
    <w:p w14:paraId="52493842" w14:textId="64E8C81E" w:rsidR="0013258E" w:rsidRPr="0013258E" w:rsidRDefault="0013258E" w:rsidP="0013258E">
      <w:pPr>
        <w:pStyle w:val="BodyText"/>
        <w:spacing w:before="120"/>
        <w:rPr>
          <w:rFonts w:cs="Arial"/>
        </w:rPr>
      </w:pPr>
      <w:r>
        <w:rPr>
          <w:rFonts w:cs="Arial"/>
        </w:rPr>
        <w:t xml:space="preserve">Prospera’s Knowledge, Performance and Learning Framework consists of three components and covers a range of functions. To help readers navigate the Framework, this section contains a ‘quick reference’ guide on what to find in each component.  </w:t>
      </w:r>
      <w:r w:rsidR="004F6089">
        <w:rPr>
          <w:rFonts w:cs="Arial"/>
        </w:rPr>
        <w:t>T</w:t>
      </w:r>
      <w:r>
        <w:rPr>
          <w:rFonts w:cs="Arial"/>
        </w:rPr>
        <w:t xml:space="preserve">he section also contains a ‘system </w:t>
      </w:r>
      <w:r w:rsidR="00A2418F">
        <w:rPr>
          <w:rFonts w:cs="Arial"/>
        </w:rPr>
        <w:t>snapshot</w:t>
      </w:r>
      <w:r>
        <w:rPr>
          <w:rFonts w:cs="Arial"/>
        </w:rPr>
        <w:t xml:space="preserve">’ showing how the parts are designed to fit together to form an effective performance framework. Each part is </w:t>
      </w:r>
      <w:r w:rsidR="004F6089">
        <w:rPr>
          <w:rFonts w:cs="Arial"/>
        </w:rPr>
        <w:t xml:space="preserve">explained </w:t>
      </w:r>
      <w:r>
        <w:rPr>
          <w:rFonts w:cs="Arial"/>
        </w:rPr>
        <w:t xml:space="preserve">in more detail throughout the </w:t>
      </w:r>
      <w:r w:rsidR="004F6089">
        <w:rPr>
          <w:rFonts w:cs="Arial"/>
        </w:rPr>
        <w:t>three components</w:t>
      </w:r>
      <w:r>
        <w:rPr>
          <w:rFonts w:cs="Arial"/>
        </w:rPr>
        <w:t xml:space="preserve">.  </w:t>
      </w:r>
    </w:p>
    <w:p w14:paraId="37EEAE16" w14:textId="5A2C23D2" w:rsidR="003911F8" w:rsidRPr="0013258E" w:rsidRDefault="00154552" w:rsidP="0013258E">
      <w:pPr>
        <w:pStyle w:val="Heading2"/>
      </w:pPr>
      <w:bookmarkStart w:id="7" w:name="_Toc532991042"/>
      <w:r w:rsidRPr="0082195C">
        <w:t>Quick reference</w:t>
      </w:r>
      <w:bookmarkEnd w:id="7"/>
      <w:r w:rsidRPr="0082195C">
        <w:t xml:space="preserve"> </w:t>
      </w:r>
    </w:p>
    <w:tbl>
      <w:tblPr>
        <w:tblStyle w:val="TableGrid"/>
        <w:tblW w:w="0" w:type="auto"/>
        <w:tblLook w:val="04A0" w:firstRow="1" w:lastRow="0" w:firstColumn="1" w:lastColumn="0" w:noHBand="0" w:noVBand="1"/>
      </w:tblPr>
      <w:tblGrid>
        <w:gridCol w:w="9040"/>
      </w:tblGrid>
      <w:tr w:rsidR="003911F8" w:rsidRPr="0000581A" w14:paraId="57207524" w14:textId="77777777" w:rsidTr="00D50461">
        <w:tc>
          <w:tcPr>
            <w:tcW w:w="9040" w:type="dxa"/>
            <w:shd w:val="clear" w:color="auto" w:fill="20ABCA" w:themeFill="accent6"/>
          </w:tcPr>
          <w:p w14:paraId="7D2A342C" w14:textId="16A755FE" w:rsidR="003911F8" w:rsidRPr="00D50461" w:rsidRDefault="00D50461" w:rsidP="00D50461">
            <w:pPr>
              <w:pStyle w:val="Heading3"/>
              <w:numPr>
                <w:ilvl w:val="0"/>
                <w:numId w:val="0"/>
              </w:numPr>
              <w:spacing w:before="120"/>
              <w:outlineLvl w:val="2"/>
            </w:pPr>
            <w:r w:rsidRPr="00D50461">
              <w:rPr>
                <w:color w:val="FFFFFF" w:themeColor="background1"/>
              </w:rPr>
              <w:t>Component 1: The Core Framework</w:t>
            </w:r>
          </w:p>
        </w:tc>
      </w:tr>
      <w:tr w:rsidR="003911F8" w14:paraId="060E3D68" w14:textId="77777777" w:rsidTr="00D50461">
        <w:tc>
          <w:tcPr>
            <w:tcW w:w="9040" w:type="dxa"/>
          </w:tcPr>
          <w:p w14:paraId="53FD7CB5" w14:textId="4628EAB4" w:rsidR="003911F8" w:rsidRDefault="003911F8" w:rsidP="00154552">
            <w:pPr>
              <w:pStyle w:val="ListBullet"/>
              <w:spacing w:before="120" w:after="120"/>
              <w:contextualSpacing w:val="0"/>
            </w:pPr>
            <w:r w:rsidRPr="00D34C17">
              <w:rPr>
                <w:b/>
              </w:rPr>
              <w:t>What</w:t>
            </w:r>
            <w:r>
              <w:t xml:space="preserve">: </w:t>
            </w:r>
            <w:bookmarkStart w:id="8" w:name="_Hlk532737359"/>
            <w:r>
              <w:t>This component</w:t>
            </w:r>
            <w:r w:rsidRPr="00544E4E">
              <w:t xml:space="preserve"> </w:t>
            </w:r>
            <w:r w:rsidR="00D50461">
              <w:t xml:space="preserve">outlines </w:t>
            </w:r>
            <w:r w:rsidRPr="00D50461">
              <w:t xml:space="preserve">why </w:t>
            </w:r>
            <w:r w:rsidR="004714F8">
              <w:t xml:space="preserve">Prospera </w:t>
            </w:r>
            <w:r w:rsidR="00D50461">
              <w:t>need</w:t>
            </w:r>
            <w:r w:rsidR="004714F8">
              <w:t>s</w:t>
            </w:r>
            <w:r w:rsidR="00D50461">
              <w:t xml:space="preserve"> to manage knowledge and performance, and </w:t>
            </w:r>
            <w:r w:rsidRPr="00D50461">
              <w:t>what</w:t>
            </w:r>
            <w:r w:rsidRPr="0032244D">
              <w:t xml:space="preserve"> </w:t>
            </w:r>
            <w:r w:rsidR="004714F8">
              <w:t xml:space="preserve">Prospera </w:t>
            </w:r>
            <w:r>
              <w:t>will</w:t>
            </w:r>
            <w:r w:rsidRPr="0032244D">
              <w:t xml:space="preserve"> collect</w:t>
            </w:r>
            <w:r w:rsidR="00D50461">
              <w:t xml:space="preserve"> and </w:t>
            </w:r>
            <w:r w:rsidRPr="0032244D">
              <w:t xml:space="preserve">measure </w:t>
            </w:r>
            <w:r w:rsidR="00D50461">
              <w:t xml:space="preserve">to </w:t>
            </w:r>
            <w:r w:rsidRPr="0032244D">
              <w:t>support learning for improvement.</w:t>
            </w:r>
            <w:bookmarkEnd w:id="8"/>
          </w:p>
          <w:p w14:paraId="3EA61F5E" w14:textId="7D9048F0" w:rsidR="003911F8" w:rsidRDefault="003911F8" w:rsidP="00154552">
            <w:pPr>
              <w:pStyle w:val="ListBullet"/>
              <w:spacing w:before="120" w:after="120"/>
              <w:contextualSpacing w:val="0"/>
            </w:pPr>
            <w:r w:rsidRPr="00D34C17">
              <w:rPr>
                <w:b/>
              </w:rPr>
              <w:t>Who:</w:t>
            </w:r>
            <w:r>
              <w:t xml:space="preserve"> </w:t>
            </w:r>
            <w:bookmarkStart w:id="9" w:name="_Hlk532737396"/>
            <w:r>
              <w:t xml:space="preserve">The principal users of this component are DFAT, </w:t>
            </w:r>
            <w:r w:rsidR="00D11137">
              <w:t xml:space="preserve">facility </w:t>
            </w:r>
            <w:r w:rsidR="00D50461">
              <w:t>management</w:t>
            </w:r>
            <w:r w:rsidR="004714F8">
              <w:t xml:space="preserve"> team</w:t>
            </w:r>
            <w:r w:rsidR="00D50461">
              <w:t xml:space="preserve">, </w:t>
            </w:r>
            <w:r w:rsidR="00D11137">
              <w:t xml:space="preserve">the </w:t>
            </w:r>
            <w:r>
              <w:t>Knowledge and Performance team</w:t>
            </w:r>
            <w:r w:rsidR="00D50461">
              <w:t xml:space="preserve">, </w:t>
            </w:r>
            <w:r>
              <w:t>advisory and Australian agency teams.</w:t>
            </w:r>
            <w:bookmarkEnd w:id="9"/>
          </w:p>
        </w:tc>
      </w:tr>
      <w:tr w:rsidR="003911F8" w14:paraId="17A7BB0E" w14:textId="77777777" w:rsidTr="00D50461">
        <w:tc>
          <w:tcPr>
            <w:tcW w:w="9040" w:type="dxa"/>
          </w:tcPr>
          <w:p w14:paraId="6B56739A" w14:textId="77777777" w:rsidR="003911F8" w:rsidRPr="0000581A" w:rsidRDefault="003911F8" w:rsidP="00D50461">
            <w:pPr>
              <w:pStyle w:val="ListBullet"/>
              <w:numPr>
                <w:ilvl w:val="0"/>
                <w:numId w:val="0"/>
              </w:numPr>
              <w:spacing w:before="120" w:after="120"/>
              <w:contextualSpacing w:val="0"/>
              <w:rPr>
                <w:b/>
              </w:rPr>
            </w:pPr>
            <w:r w:rsidRPr="0000581A">
              <w:rPr>
                <w:b/>
              </w:rPr>
              <w:t>LOOK HERE FOR:</w:t>
            </w:r>
          </w:p>
          <w:p w14:paraId="6E9DDD51" w14:textId="77777777" w:rsidR="003911F8" w:rsidRPr="00154552" w:rsidRDefault="003911F8" w:rsidP="00154552">
            <w:pPr>
              <w:pStyle w:val="ListBullet"/>
            </w:pPr>
            <w:r w:rsidRPr="00154552">
              <w:t>Prospera background</w:t>
            </w:r>
          </w:p>
          <w:p w14:paraId="39406EBA" w14:textId="77777777" w:rsidR="003911F8" w:rsidRPr="00154552" w:rsidRDefault="003911F8" w:rsidP="00154552">
            <w:pPr>
              <w:pStyle w:val="ListBullet"/>
            </w:pPr>
            <w:r w:rsidRPr="00154552">
              <w:t>Why we need to do knowledge, performance and learning, and information users and their uses</w:t>
            </w:r>
          </w:p>
          <w:p w14:paraId="77E4AA9C" w14:textId="77777777" w:rsidR="003911F8" w:rsidRPr="00154552" w:rsidRDefault="003911F8" w:rsidP="00154552">
            <w:pPr>
              <w:pStyle w:val="ListBullet"/>
            </w:pPr>
            <w:r w:rsidRPr="00154552">
              <w:t>Facility logic – What does success look like? Breakthrough (end of facility) outcomes, intermediate outcomes, how change is achieved and assumptions, links to activity logic</w:t>
            </w:r>
          </w:p>
          <w:p w14:paraId="1A722919" w14:textId="77777777" w:rsidR="003911F8" w:rsidRPr="00154552" w:rsidRDefault="003911F8" w:rsidP="00154552">
            <w:pPr>
              <w:pStyle w:val="ListBullet"/>
            </w:pPr>
            <w:r w:rsidRPr="00154552">
              <w:t>The Prospera context for monitoring and evaluation</w:t>
            </w:r>
          </w:p>
          <w:p w14:paraId="289F5277" w14:textId="77777777" w:rsidR="003911F8" w:rsidRPr="00154552" w:rsidRDefault="003911F8" w:rsidP="00154552">
            <w:pPr>
              <w:pStyle w:val="ListBullet"/>
            </w:pPr>
            <w:r w:rsidRPr="00154552">
              <w:t>How Prospera will measure performance:  key performance questions; development of baselines, a pipeline of evaluations, outcome performance and facility performance.</w:t>
            </w:r>
          </w:p>
          <w:p w14:paraId="032B636B" w14:textId="2FAB5E90" w:rsidR="003911F8" w:rsidRPr="00154552" w:rsidRDefault="003911F8" w:rsidP="00154552">
            <w:pPr>
              <w:pStyle w:val="ListBullet"/>
            </w:pPr>
            <w:r w:rsidRPr="00154552">
              <w:t xml:space="preserve">Cross cutting </w:t>
            </w:r>
            <w:r w:rsidR="00D50461" w:rsidRPr="00154552">
              <w:t>factors</w:t>
            </w:r>
            <w:r w:rsidRPr="00154552">
              <w:t xml:space="preserve"> – Gender equality and social inclusion, Public sector capability development – individuals and organisations</w:t>
            </w:r>
          </w:p>
          <w:p w14:paraId="3291BE96" w14:textId="77777777" w:rsidR="003911F8" w:rsidRPr="00154552" w:rsidRDefault="003911F8" w:rsidP="00154552">
            <w:pPr>
              <w:pStyle w:val="ListBullet"/>
            </w:pPr>
            <w:r w:rsidRPr="00154552">
              <w:t>Partnerships – Building an evidence base</w:t>
            </w:r>
          </w:p>
          <w:p w14:paraId="1C495B9C" w14:textId="72F080EE" w:rsidR="003911F8" w:rsidRPr="00154552" w:rsidRDefault="003911F8" w:rsidP="00154552">
            <w:pPr>
              <w:pStyle w:val="ListBullet"/>
            </w:pPr>
            <w:r w:rsidRPr="00154552">
              <w:t xml:space="preserve">Prospera </w:t>
            </w:r>
            <w:r w:rsidR="00A2418F">
              <w:t>w</w:t>
            </w:r>
            <w:r w:rsidRPr="00154552">
              <w:t xml:space="preserve">ays of </w:t>
            </w:r>
            <w:r w:rsidR="00A2418F">
              <w:t>w</w:t>
            </w:r>
            <w:r w:rsidRPr="00154552">
              <w:t xml:space="preserve">orking </w:t>
            </w:r>
            <w:r w:rsidR="00A2418F">
              <w:t>c</w:t>
            </w:r>
            <w:r w:rsidRPr="00154552">
              <w:t>harter</w:t>
            </w:r>
          </w:p>
          <w:p w14:paraId="454C355B" w14:textId="3CB44E44" w:rsidR="003911F8" w:rsidRDefault="003911F8" w:rsidP="00154552">
            <w:pPr>
              <w:pStyle w:val="ListBullet"/>
              <w:spacing w:after="120"/>
              <w:contextualSpacing w:val="0"/>
            </w:pPr>
            <w:r w:rsidRPr="00154552">
              <w:t xml:space="preserve">Data </w:t>
            </w:r>
            <w:r w:rsidR="00A2418F">
              <w:t>c</w:t>
            </w:r>
            <w:r w:rsidRPr="00154552">
              <w:t xml:space="preserve">ollection plans for </w:t>
            </w:r>
            <w:r w:rsidR="00A2418F">
              <w:t>f</w:t>
            </w:r>
            <w:r w:rsidRPr="00154552">
              <w:t xml:space="preserve">acility </w:t>
            </w:r>
            <w:r w:rsidR="00A2418F">
              <w:t>p</w:t>
            </w:r>
            <w:r w:rsidRPr="00154552">
              <w:t xml:space="preserve">erformance and </w:t>
            </w:r>
            <w:r w:rsidR="00A2418F">
              <w:t>p</w:t>
            </w:r>
            <w:r w:rsidRPr="00154552">
              <w:t>artnerships</w:t>
            </w:r>
          </w:p>
        </w:tc>
      </w:tr>
      <w:tr w:rsidR="00D50461" w:rsidRPr="0000581A" w14:paraId="51526E67" w14:textId="77777777" w:rsidTr="00D50461">
        <w:tc>
          <w:tcPr>
            <w:tcW w:w="9040" w:type="dxa"/>
            <w:shd w:val="clear" w:color="auto" w:fill="20ABCA" w:themeFill="accent6"/>
          </w:tcPr>
          <w:p w14:paraId="0EFB149C" w14:textId="5978A3D5" w:rsidR="00D50461" w:rsidRPr="00D50461" w:rsidRDefault="00D50461" w:rsidP="00D50461">
            <w:pPr>
              <w:pStyle w:val="Heading3"/>
              <w:numPr>
                <w:ilvl w:val="0"/>
                <w:numId w:val="0"/>
              </w:numPr>
              <w:spacing w:before="120"/>
              <w:outlineLvl w:val="2"/>
            </w:pPr>
            <w:r w:rsidRPr="00D50461">
              <w:rPr>
                <w:color w:val="FFFFFF" w:themeColor="background1"/>
              </w:rPr>
              <w:t xml:space="preserve">Component </w:t>
            </w:r>
            <w:r>
              <w:rPr>
                <w:color w:val="FFFFFF" w:themeColor="background1"/>
              </w:rPr>
              <w:t>2</w:t>
            </w:r>
            <w:r w:rsidRPr="00D50461">
              <w:rPr>
                <w:color w:val="FFFFFF" w:themeColor="background1"/>
              </w:rPr>
              <w:t xml:space="preserve">: </w:t>
            </w:r>
            <w:r>
              <w:rPr>
                <w:color w:val="FFFFFF" w:themeColor="background1"/>
              </w:rPr>
              <w:t xml:space="preserve">Activity Design and Reporting Guide </w:t>
            </w:r>
          </w:p>
        </w:tc>
      </w:tr>
      <w:tr w:rsidR="003911F8" w14:paraId="318DE973" w14:textId="77777777" w:rsidTr="00D50461">
        <w:tc>
          <w:tcPr>
            <w:tcW w:w="9040" w:type="dxa"/>
          </w:tcPr>
          <w:p w14:paraId="0DE1BC9E" w14:textId="5F9B48BE" w:rsidR="003911F8" w:rsidRDefault="003911F8" w:rsidP="00154552">
            <w:pPr>
              <w:pStyle w:val="ListBullet"/>
              <w:spacing w:before="120" w:after="120"/>
              <w:contextualSpacing w:val="0"/>
            </w:pPr>
            <w:r w:rsidRPr="00D34C17">
              <w:rPr>
                <w:b/>
              </w:rPr>
              <w:t>What</w:t>
            </w:r>
            <w:r>
              <w:t>:</w:t>
            </w:r>
            <w:r w:rsidRPr="00544E4E">
              <w:t xml:space="preserve"> </w:t>
            </w:r>
            <w:bookmarkStart w:id="10" w:name="_Hlk532737664"/>
            <w:r>
              <w:t>This component s</w:t>
            </w:r>
            <w:r w:rsidRPr="00544E4E">
              <w:t xml:space="preserve">ets out the design and decision-making processes for Prospera activities </w:t>
            </w:r>
            <w:r>
              <w:t>and</w:t>
            </w:r>
            <w:r w:rsidRPr="00544E4E">
              <w:t xml:space="preserve"> reporting expectations. This component explains Prospera investment criteria and how they will be applied. It also provides templates for activity design and reporting</w:t>
            </w:r>
            <w:r w:rsidR="00D11137">
              <w:t>.</w:t>
            </w:r>
            <w:bookmarkEnd w:id="10"/>
          </w:p>
          <w:p w14:paraId="280DB964" w14:textId="1A364864" w:rsidR="003911F8" w:rsidRDefault="003911F8" w:rsidP="00154552">
            <w:pPr>
              <w:pStyle w:val="ListBullet"/>
              <w:spacing w:before="120" w:after="120"/>
              <w:contextualSpacing w:val="0"/>
            </w:pPr>
            <w:r w:rsidRPr="00D34C17">
              <w:rPr>
                <w:b/>
              </w:rPr>
              <w:t>Who:</w:t>
            </w:r>
            <w:r>
              <w:t xml:space="preserve"> </w:t>
            </w:r>
            <w:bookmarkStart w:id="11" w:name="_Hlk532737701"/>
            <w:r>
              <w:t xml:space="preserve">The principal users of this component are advisory and Australian agency teams </w:t>
            </w:r>
            <w:r w:rsidR="00D11137">
              <w:t>designing and delivering activities</w:t>
            </w:r>
            <w:r>
              <w:t>, and the Knowledge and Performance team who will be implementing facility</w:t>
            </w:r>
            <w:r w:rsidR="00D11137">
              <w:noBreakHyphen/>
            </w:r>
            <w:r>
              <w:t>level monitoring and evaluation and supporting activity</w:t>
            </w:r>
            <w:r w:rsidR="00D11137">
              <w:noBreakHyphen/>
            </w:r>
            <w:r>
              <w:t>level monitoring and evaluation.</w:t>
            </w:r>
            <w:bookmarkEnd w:id="11"/>
          </w:p>
        </w:tc>
      </w:tr>
      <w:tr w:rsidR="003911F8" w14:paraId="11AFDAA5" w14:textId="77777777" w:rsidTr="00D50461">
        <w:tc>
          <w:tcPr>
            <w:tcW w:w="9040" w:type="dxa"/>
          </w:tcPr>
          <w:p w14:paraId="2C41BC7E" w14:textId="77777777" w:rsidR="003911F8" w:rsidRPr="00154552" w:rsidRDefault="003911F8" w:rsidP="00154552">
            <w:pPr>
              <w:pStyle w:val="ListBullet"/>
              <w:numPr>
                <w:ilvl w:val="0"/>
                <w:numId w:val="0"/>
              </w:numPr>
              <w:spacing w:before="120" w:after="120"/>
              <w:ind w:left="360" w:hanging="360"/>
              <w:contextualSpacing w:val="0"/>
              <w:rPr>
                <w:b/>
              </w:rPr>
            </w:pPr>
            <w:r w:rsidRPr="00154552">
              <w:rPr>
                <w:b/>
              </w:rPr>
              <w:t>LOOK HERE FOR:</w:t>
            </w:r>
          </w:p>
          <w:p w14:paraId="32F91032" w14:textId="77777777" w:rsidR="003911F8" w:rsidRPr="00154552" w:rsidRDefault="003911F8" w:rsidP="00154552">
            <w:pPr>
              <w:pStyle w:val="ListBullet"/>
            </w:pPr>
            <w:r w:rsidRPr="00154552">
              <w:t>Facility logic – Breakthrough and intermediate outcomes</w:t>
            </w:r>
          </w:p>
          <w:p w14:paraId="17EF25E8" w14:textId="77777777" w:rsidR="003911F8" w:rsidRPr="00154552" w:rsidRDefault="003911F8" w:rsidP="00154552">
            <w:pPr>
              <w:pStyle w:val="ListBullet"/>
            </w:pPr>
            <w:r w:rsidRPr="00154552">
              <w:t>Guidance for activity design and the annual activity planning cycle</w:t>
            </w:r>
          </w:p>
          <w:p w14:paraId="4C8E03A8" w14:textId="77777777" w:rsidR="003911F8" w:rsidRPr="00154552" w:rsidRDefault="003911F8" w:rsidP="00154552">
            <w:pPr>
              <w:pStyle w:val="ListBullet"/>
            </w:pPr>
            <w:r w:rsidRPr="00154552">
              <w:t>Governance arrangements</w:t>
            </w:r>
          </w:p>
          <w:p w14:paraId="7F2F1DB8" w14:textId="77777777" w:rsidR="003911F8" w:rsidRPr="00154552" w:rsidRDefault="003911F8" w:rsidP="00154552">
            <w:pPr>
              <w:pStyle w:val="ListBullet"/>
            </w:pPr>
            <w:r w:rsidRPr="00154552">
              <w:t>Investment criteria to be applied to activity designs</w:t>
            </w:r>
          </w:p>
          <w:p w14:paraId="4D9405F1" w14:textId="6EC17FF6" w:rsidR="003911F8" w:rsidRPr="00154552" w:rsidRDefault="003911F8" w:rsidP="00154552">
            <w:pPr>
              <w:pStyle w:val="ListBullet"/>
            </w:pPr>
            <w:r w:rsidRPr="00154552">
              <w:t xml:space="preserve">Reporting </w:t>
            </w:r>
            <w:r w:rsidR="00D11137" w:rsidRPr="00154552">
              <w:t>s</w:t>
            </w:r>
            <w:r w:rsidRPr="00154552">
              <w:t>chedule</w:t>
            </w:r>
          </w:p>
          <w:p w14:paraId="70EEBC04" w14:textId="43206CDC" w:rsidR="003911F8" w:rsidRPr="00154552" w:rsidRDefault="003911F8" w:rsidP="00154552">
            <w:pPr>
              <w:pStyle w:val="ListBullet"/>
              <w:spacing w:after="120"/>
              <w:contextualSpacing w:val="0"/>
            </w:pPr>
            <w:r w:rsidRPr="00154552">
              <w:t>Templates for:</w:t>
            </w:r>
            <w:r w:rsidR="00154552">
              <w:t xml:space="preserve"> activity design; and reports. </w:t>
            </w:r>
          </w:p>
        </w:tc>
      </w:tr>
      <w:tr w:rsidR="00D11137" w:rsidRPr="0000581A" w14:paraId="36896677" w14:textId="77777777" w:rsidTr="00B2373D">
        <w:tc>
          <w:tcPr>
            <w:tcW w:w="9040" w:type="dxa"/>
            <w:shd w:val="clear" w:color="auto" w:fill="20ABCA" w:themeFill="accent6"/>
          </w:tcPr>
          <w:p w14:paraId="24B7B437" w14:textId="509AC368" w:rsidR="00D11137" w:rsidRPr="00D50461" w:rsidRDefault="00D11137" w:rsidP="00B2373D">
            <w:pPr>
              <w:pStyle w:val="Heading3"/>
              <w:numPr>
                <w:ilvl w:val="0"/>
                <w:numId w:val="0"/>
              </w:numPr>
              <w:spacing w:before="120"/>
              <w:outlineLvl w:val="2"/>
            </w:pPr>
            <w:r w:rsidRPr="00D11137">
              <w:rPr>
                <w:color w:val="FFFFFF" w:themeColor="background1"/>
              </w:rPr>
              <w:t>Component 3: The Knowledge Performance and Learning Toolkit</w:t>
            </w:r>
          </w:p>
        </w:tc>
      </w:tr>
      <w:tr w:rsidR="003911F8" w14:paraId="50F9B99C" w14:textId="77777777" w:rsidTr="00D50461">
        <w:tc>
          <w:tcPr>
            <w:tcW w:w="9040" w:type="dxa"/>
          </w:tcPr>
          <w:p w14:paraId="636617DA" w14:textId="7FFA8E46" w:rsidR="003911F8" w:rsidRDefault="003911F8" w:rsidP="00154552">
            <w:pPr>
              <w:pStyle w:val="ListBullet"/>
              <w:spacing w:before="120" w:after="120"/>
              <w:contextualSpacing w:val="0"/>
            </w:pPr>
            <w:r w:rsidRPr="00D34C17">
              <w:rPr>
                <w:b/>
              </w:rPr>
              <w:t>What:</w:t>
            </w:r>
            <w:r>
              <w:t xml:space="preserve"> </w:t>
            </w:r>
            <w:bookmarkStart w:id="12" w:name="_Hlk532737737"/>
            <w:r>
              <w:t xml:space="preserve">This </w:t>
            </w:r>
            <w:r w:rsidR="00D11137">
              <w:t>c</w:t>
            </w:r>
            <w:r>
              <w:t xml:space="preserve">omponent </w:t>
            </w:r>
            <w:r w:rsidR="00D11137">
              <w:t xml:space="preserve">explains monitoring and evaluation </w:t>
            </w:r>
            <w:r>
              <w:t xml:space="preserve">methods </w:t>
            </w:r>
            <w:r w:rsidR="00D11137">
              <w:t xml:space="preserve">and contains indicative </w:t>
            </w:r>
            <w:r>
              <w:t xml:space="preserve">data collection plans </w:t>
            </w:r>
            <w:r w:rsidR="00D11137">
              <w:t>for activities and cross-cutting enabling factors</w:t>
            </w:r>
            <w:r>
              <w:t>.</w:t>
            </w:r>
            <w:bookmarkEnd w:id="12"/>
          </w:p>
          <w:p w14:paraId="5EADEA13" w14:textId="70539749" w:rsidR="003911F8" w:rsidRDefault="003911F8" w:rsidP="00154552">
            <w:pPr>
              <w:pStyle w:val="ListBullet"/>
              <w:spacing w:before="120" w:after="120"/>
              <w:contextualSpacing w:val="0"/>
            </w:pPr>
            <w:r w:rsidRPr="00D34C17">
              <w:rPr>
                <w:b/>
              </w:rPr>
              <w:t xml:space="preserve">Who: </w:t>
            </w:r>
            <w:bookmarkStart w:id="13" w:name="_Hlk532737751"/>
            <w:r>
              <w:t xml:space="preserve">The principal users of this component are </w:t>
            </w:r>
            <w:r w:rsidR="00D11137">
              <w:t xml:space="preserve">the Knowledge and Performance team and focal points assisting </w:t>
            </w:r>
            <w:r>
              <w:t xml:space="preserve">advisory and Australian agency teams </w:t>
            </w:r>
            <w:r w:rsidR="00D11137">
              <w:t xml:space="preserve">in </w:t>
            </w:r>
            <w:r>
              <w:t>designing</w:t>
            </w:r>
            <w:r w:rsidR="00D11137">
              <w:t xml:space="preserve"> and delivering activities</w:t>
            </w:r>
            <w:r>
              <w:t>.</w:t>
            </w:r>
            <w:bookmarkEnd w:id="13"/>
          </w:p>
        </w:tc>
      </w:tr>
      <w:tr w:rsidR="003911F8" w14:paraId="297FFECD" w14:textId="77777777" w:rsidTr="00D50461">
        <w:tc>
          <w:tcPr>
            <w:tcW w:w="9040" w:type="dxa"/>
          </w:tcPr>
          <w:p w14:paraId="1752864B" w14:textId="77777777" w:rsidR="003911F8" w:rsidRDefault="003911F8" w:rsidP="00D50461">
            <w:pPr>
              <w:pStyle w:val="ListBullet"/>
              <w:numPr>
                <w:ilvl w:val="0"/>
                <w:numId w:val="0"/>
              </w:numPr>
              <w:spacing w:before="120" w:after="120"/>
              <w:contextualSpacing w:val="0"/>
            </w:pPr>
            <w:r w:rsidRPr="0000581A">
              <w:rPr>
                <w:b/>
              </w:rPr>
              <w:t>LOOK HERE FOR</w:t>
            </w:r>
            <w:r>
              <w:t>:</w:t>
            </w:r>
          </w:p>
          <w:p w14:paraId="53F69EF2" w14:textId="61F8C34B" w:rsidR="003911F8" w:rsidRDefault="00D11137" w:rsidP="00D50461">
            <w:pPr>
              <w:pStyle w:val="ListBullet"/>
              <w:spacing w:before="120" w:after="120"/>
              <w:contextualSpacing w:val="0"/>
            </w:pPr>
            <w:bookmarkStart w:id="14" w:name="_Hlk532737783"/>
            <w:r>
              <w:t>T</w:t>
            </w:r>
            <w:r w:rsidR="003911F8">
              <w:t>ools</w:t>
            </w:r>
            <w:r w:rsidR="00C20B71">
              <w:t xml:space="preserve"> and methods</w:t>
            </w:r>
            <w:r w:rsidR="003911F8">
              <w:t xml:space="preserve"> for </w:t>
            </w:r>
            <w:r>
              <w:t>d</w:t>
            </w:r>
            <w:r w:rsidR="003911F8">
              <w:t xml:space="preserve">esign, </w:t>
            </w:r>
            <w:r>
              <w:t>m</w:t>
            </w:r>
            <w:r w:rsidR="003911F8">
              <w:t>onitoring</w:t>
            </w:r>
            <w:r>
              <w:t xml:space="preserve"> and</w:t>
            </w:r>
            <w:r w:rsidR="003911F8">
              <w:t xml:space="preserve"> </w:t>
            </w:r>
            <w:r>
              <w:t>e</w:t>
            </w:r>
            <w:r w:rsidR="003911F8">
              <w:t xml:space="preserve">valuation </w:t>
            </w:r>
            <w:r>
              <w:t>(including capability development, policy change, partnerships</w:t>
            </w:r>
            <w:r w:rsidR="00C20B71">
              <w:t>, gender and social inclusion</w:t>
            </w:r>
            <w:r>
              <w:t>)</w:t>
            </w:r>
            <w:r w:rsidR="00C20B71">
              <w:t xml:space="preserve"> and </w:t>
            </w:r>
            <w:r>
              <w:t>l</w:t>
            </w:r>
            <w:r w:rsidR="003911F8">
              <w:t>earning</w:t>
            </w:r>
            <w:r w:rsidR="004714F8">
              <w:t xml:space="preserve"> initiatives</w:t>
            </w:r>
            <w:r>
              <w:t>.</w:t>
            </w:r>
          </w:p>
          <w:p w14:paraId="373C907E" w14:textId="058F4A1E" w:rsidR="003911F8" w:rsidRDefault="003911F8" w:rsidP="00D50461">
            <w:pPr>
              <w:pStyle w:val="ListBullet"/>
              <w:spacing w:before="120" w:after="120"/>
              <w:contextualSpacing w:val="0"/>
            </w:pPr>
            <w:r>
              <w:t xml:space="preserve">Indicative data collection plans </w:t>
            </w:r>
            <w:r w:rsidR="00D11137">
              <w:t xml:space="preserve">for </w:t>
            </w:r>
            <w:r>
              <w:t>activity</w:t>
            </w:r>
            <w:r w:rsidR="00D11137">
              <w:noBreakHyphen/>
            </w:r>
            <w:r>
              <w:t>level monitoring and evaluation</w:t>
            </w:r>
            <w:r w:rsidR="00D11137">
              <w:t>.</w:t>
            </w:r>
            <w:bookmarkEnd w:id="14"/>
          </w:p>
        </w:tc>
      </w:tr>
    </w:tbl>
    <w:p w14:paraId="56F6C7EA" w14:textId="689FC6FB" w:rsidR="003911F8" w:rsidRPr="0082195C" w:rsidRDefault="003911F8" w:rsidP="0082195C">
      <w:pPr>
        <w:pStyle w:val="Heading2"/>
      </w:pPr>
      <w:r w:rsidRPr="0082195C">
        <w:t xml:space="preserve"> </w:t>
      </w:r>
      <w:bookmarkStart w:id="15" w:name="_Toc532991043"/>
      <w:r w:rsidR="0013258E">
        <w:t>S</w:t>
      </w:r>
      <w:r w:rsidRPr="0082195C">
        <w:t xml:space="preserve">ystem </w:t>
      </w:r>
      <w:r w:rsidR="00A2418F">
        <w:t>snapshot</w:t>
      </w:r>
      <w:bookmarkEnd w:id="15"/>
    </w:p>
    <w:p w14:paraId="6141FB43" w14:textId="2FB1F13C" w:rsidR="00C023F2" w:rsidRDefault="004F6089" w:rsidP="003911F8">
      <w:pPr>
        <w:pStyle w:val="BodyText"/>
      </w:pPr>
      <w:r w:rsidRPr="004F6089">
        <w:t>Prospera’s Knowledge</w:t>
      </w:r>
      <w:r w:rsidR="004714F8">
        <w:t>,</w:t>
      </w:r>
      <w:r w:rsidRPr="004F6089">
        <w:t xml:space="preserve"> Performance and Learning Framework is premised on good quality activity design and governance against a set of clearly defined outcomes</w:t>
      </w:r>
      <w:r>
        <w:t xml:space="preserve"> (‘breakthrough outcomes’)</w:t>
      </w:r>
      <w:r w:rsidRPr="004F6089">
        <w:t xml:space="preserve">. </w:t>
      </w:r>
      <w:r>
        <w:t xml:space="preserve">In terms of performance management, two aspects are designed to be captured under this Framework: 1) contribution of activities to outcomes; and 2) overall performance of the facility in terms of partnership, sustainability, value for money and </w:t>
      </w:r>
      <w:r w:rsidR="005E33A3">
        <w:t xml:space="preserve">other areas. </w:t>
      </w:r>
      <w:r>
        <w:t xml:space="preserve">  </w:t>
      </w:r>
    </w:p>
    <w:p w14:paraId="36B45C1C" w14:textId="613E1E50" w:rsidR="00C023F2" w:rsidRDefault="00C023F2" w:rsidP="003911F8">
      <w:pPr>
        <w:pStyle w:val="BodyText"/>
      </w:pPr>
      <w:r>
        <w:t xml:space="preserve">Indicative measures of success for facility-level performance are offered in this framework. </w:t>
      </w:r>
      <w:r w:rsidR="005E6540">
        <w:t xml:space="preserve">At the outcome-level, aspirational </w:t>
      </w:r>
      <w:r>
        <w:t xml:space="preserve">performance targets or indicators will be developed over 2019. Prospera transitioned with </w:t>
      </w:r>
      <w:r w:rsidR="005E6540">
        <w:t xml:space="preserve">a </w:t>
      </w:r>
      <w:r>
        <w:t xml:space="preserve">significant </w:t>
      </w:r>
      <w:r w:rsidR="005E6540">
        <w:t xml:space="preserve">set of </w:t>
      </w:r>
      <w:r>
        <w:t xml:space="preserve">activities </w:t>
      </w:r>
      <w:r w:rsidR="005E6540">
        <w:t xml:space="preserve">under previous </w:t>
      </w:r>
      <w:r>
        <w:t xml:space="preserve">initiatives and the move to common outcomes will be paced to ensure </w:t>
      </w:r>
      <w:r w:rsidR="005E6540">
        <w:t>good collaboration</w:t>
      </w:r>
      <w:r>
        <w:t xml:space="preserve">. </w:t>
      </w:r>
    </w:p>
    <w:p w14:paraId="11C9D647" w14:textId="6E8C03DC" w:rsidR="00C023F2" w:rsidRDefault="005E6540" w:rsidP="003911F8">
      <w:pPr>
        <w:pStyle w:val="BodyText"/>
      </w:pPr>
      <w:r>
        <w:t>In addition, t</w:t>
      </w:r>
      <w:r w:rsidR="004F6089">
        <w:t xml:space="preserve">hroughout the life of the facility, knowledge-transfer, communication and reporting are designed to enhance collaboration, transfer insights and improve effectiveness.  </w:t>
      </w:r>
    </w:p>
    <w:p w14:paraId="3642310B" w14:textId="76AAF46E" w:rsidR="006F4F47" w:rsidRPr="004F6089" w:rsidRDefault="004714F8" w:rsidP="003911F8">
      <w:pPr>
        <w:pStyle w:val="BodyText"/>
        <w:sectPr w:rsidR="006F4F47" w:rsidRPr="004F6089" w:rsidSect="00CE6BD5">
          <w:headerReference w:type="default" r:id="rId17"/>
          <w:footerReference w:type="default" r:id="rId18"/>
          <w:headerReference w:type="first" r:id="rId19"/>
          <w:footerReference w:type="first" r:id="rId20"/>
          <w:pgSz w:w="11900" w:h="16840"/>
          <w:pgMar w:top="1440" w:right="1410" w:bottom="1440" w:left="1440" w:header="850" w:footer="850" w:gutter="0"/>
          <w:pgNumType w:start="1"/>
          <w:cols w:space="708"/>
          <w:docGrid w:linePitch="360"/>
        </w:sectPr>
      </w:pPr>
      <w:r>
        <w:t xml:space="preserve">Figure 1 is a visual snapshot of the system. </w:t>
      </w:r>
      <w:r w:rsidR="004F6089">
        <w:t xml:space="preserve">Each of these elements </w:t>
      </w:r>
      <w:r>
        <w:t xml:space="preserve">is </w:t>
      </w:r>
      <w:r w:rsidR="004F6089">
        <w:t xml:space="preserve">explained </w:t>
      </w:r>
      <w:r>
        <w:t>throughout the Framework</w:t>
      </w:r>
      <w:r w:rsidR="004F6089">
        <w:t xml:space="preserve">. </w:t>
      </w:r>
    </w:p>
    <w:p w14:paraId="09526817" w14:textId="76C92B53" w:rsidR="0013258E" w:rsidRPr="001607C5" w:rsidRDefault="001607C5" w:rsidP="001607C5">
      <w:pPr>
        <w:pStyle w:val="Tabletext"/>
        <w:jc w:val="left"/>
        <w:rPr>
          <w:b/>
        </w:rPr>
      </w:pPr>
      <w:r w:rsidRPr="00D313C0">
        <w:rPr>
          <w:b/>
        </w:rPr>
        <w:t xml:space="preserve">Figure </w:t>
      </w:r>
      <w:r w:rsidRPr="00D313C0">
        <w:rPr>
          <w:b/>
          <w:noProof/>
        </w:rPr>
        <w:fldChar w:fldCharType="begin"/>
      </w:r>
      <w:r w:rsidRPr="00D313C0">
        <w:rPr>
          <w:b/>
          <w:noProof/>
        </w:rPr>
        <w:instrText xml:space="preserve"> SEQ Figure \* ARABIC </w:instrText>
      </w:r>
      <w:r w:rsidRPr="00D313C0">
        <w:rPr>
          <w:b/>
          <w:noProof/>
        </w:rPr>
        <w:fldChar w:fldCharType="separate"/>
      </w:r>
      <w:r>
        <w:rPr>
          <w:b/>
          <w:noProof/>
        </w:rPr>
        <w:t>1</w:t>
      </w:r>
      <w:r w:rsidRPr="00D313C0">
        <w:rPr>
          <w:b/>
          <w:noProof/>
        </w:rPr>
        <w:fldChar w:fldCharType="end"/>
      </w:r>
      <w:r w:rsidRPr="00D313C0">
        <w:rPr>
          <w:b/>
          <w:noProof/>
        </w:rPr>
        <w:t>.</w:t>
      </w:r>
      <w:r w:rsidRPr="00D313C0">
        <w:rPr>
          <w:b/>
        </w:rPr>
        <w:t xml:space="preserve"> </w:t>
      </w:r>
      <w:r w:rsidR="0013258E" w:rsidRPr="0013258E">
        <w:rPr>
          <w:b/>
        </w:rPr>
        <w:t>Prospera Knowledge Performance and Learning (KPL) System</w:t>
      </w:r>
    </w:p>
    <w:p w14:paraId="40F9FCD3" w14:textId="77777777" w:rsidR="005E33A3" w:rsidRPr="0013258E" w:rsidRDefault="005E33A3" w:rsidP="005E33A3">
      <w:pPr>
        <w:pStyle w:val="BodyText"/>
        <w:jc w:val="center"/>
        <w:rPr>
          <w:b/>
        </w:rPr>
      </w:pPr>
    </w:p>
    <w:p w14:paraId="71330F33" w14:textId="77777777" w:rsidR="000933C8" w:rsidRDefault="000933C8" w:rsidP="00D63856">
      <w:pPr>
        <w:pStyle w:val="BodyText"/>
        <w:jc w:val="center"/>
        <w:rPr>
          <w:noProof/>
        </w:rPr>
      </w:pPr>
    </w:p>
    <w:p w14:paraId="2734591B" w14:textId="4C764B49" w:rsidR="0013258E" w:rsidRDefault="00B94D6A" w:rsidP="00D63856">
      <w:pPr>
        <w:pStyle w:val="BodyText"/>
        <w:jc w:val="center"/>
        <w:rPr>
          <w:highlight w:val="yellow"/>
        </w:rPr>
      </w:pPr>
      <w:r w:rsidRPr="005E33A3">
        <w:rPr>
          <w:noProof/>
          <w:lang w:eastAsia="en-AU"/>
        </w:rPr>
        <w:drawing>
          <wp:inline distT="0" distB="0" distL="0" distR="0" wp14:anchorId="15309D71" wp14:editId="6104660F">
            <wp:extent cx="6103319" cy="49560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hqprint">
                      <a:extLst>
                        <a:ext uri="{28A0092B-C50C-407E-A947-70E740481C1C}">
                          <a14:useLocalDpi xmlns:a14="http://schemas.microsoft.com/office/drawing/2010/main" val="0"/>
                        </a:ext>
                      </a:extLst>
                    </a:blip>
                    <a:srcRect/>
                    <a:stretch/>
                  </pic:blipFill>
                  <pic:spPr bwMode="auto">
                    <a:xfrm>
                      <a:off x="0" y="0"/>
                      <a:ext cx="6122163" cy="4971315"/>
                    </a:xfrm>
                    <a:prstGeom prst="rect">
                      <a:avLst/>
                    </a:prstGeom>
                    <a:noFill/>
                    <a:ln>
                      <a:noFill/>
                    </a:ln>
                    <a:extLst>
                      <a:ext uri="{53640926-AAD7-44D8-BBD7-CCE9431645EC}">
                        <a14:shadowObscured xmlns:a14="http://schemas.microsoft.com/office/drawing/2010/main"/>
                      </a:ext>
                    </a:extLst>
                  </pic:spPr>
                </pic:pic>
              </a:graphicData>
            </a:graphic>
          </wp:inline>
        </w:drawing>
      </w:r>
    </w:p>
    <w:p w14:paraId="7E967D41" w14:textId="772024E5" w:rsidR="0013258E" w:rsidRDefault="0013258E" w:rsidP="003911F8">
      <w:pPr>
        <w:pStyle w:val="BodyText"/>
        <w:rPr>
          <w:highlight w:val="yellow"/>
        </w:rPr>
        <w:sectPr w:rsidR="0013258E" w:rsidSect="00525FB6">
          <w:pgSz w:w="16840" w:h="11900" w:orient="landscape"/>
          <w:pgMar w:top="1440" w:right="1440" w:bottom="1410" w:left="1440" w:header="850" w:footer="850" w:gutter="0"/>
          <w:cols w:space="708"/>
          <w:docGrid w:linePitch="360"/>
        </w:sectPr>
      </w:pPr>
    </w:p>
    <w:p w14:paraId="223C0906" w14:textId="5D6EF34A" w:rsidR="00114C9A" w:rsidRPr="00A824EA" w:rsidRDefault="00544E4E" w:rsidP="00114C9A">
      <w:pPr>
        <w:pStyle w:val="Heading1"/>
        <w:rPr>
          <w:b/>
          <w:shd w:val="clear" w:color="auto" w:fill="FFFFFF"/>
        </w:rPr>
      </w:pPr>
      <w:bookmarkStart w:id="16" w:name="_Toc525743651"/>
      <w:bookmarkStart w:id="17" w:name="_Toc532991044"/>
      <w:r w:rsidRPr="0020734C">
        <w:rPr>
          <w:b/>
          <w:shd w:val="clear" w:color="auto" w:fill="FFFFFF"/>
        </w:rPr>
        <w:t>Introduction</w:t>
      </w:r>
      <w:bookmarkEnd w:id="16"/>
      <w:bookmarkEnd w:id="17"/>
    </w:p>
    <w:p w14:paraId="45E359A1" w14:textId="21A0D46A" w:rsidR="00544E4E" w:rsidRPr="00B27D06" w:rsidRDefault="00544E4E" w:rsidP="0082195C">
      <w:pPr>
        <w:pStyle w:val="Heading2"/>
      </w:pPr>
      <w:bookmarkStart w:id="18" w:name="_Toc525743652"/>
      <w:bookmarkStart w:id="19" w:name="_Toc532991045"/>
      <w:r w:rsidRPr="00B27D06">
        <w:t>Why is knowledge, performance and learning central to Prospera?</w:t>
      </w:r>
      <w:bookmarkEnd w:id="18"/>
      <w:bookmarkEnd w:id="19"/>
    </w:p>
    <w:p w14:paraId="5187813B" w14:textId="12ED854B" w:rsidR="00544E4E" w:rsidRPr="00247654" w:rsidRDefault="00544E4E" w:rsidP="00BE60F3">
      <w:pPr>
        <w:pStyle w:val="BodyText"/>
      </w:pPr>
      <w:bookmarkStart w:id="20" w:name="_Hlk524871938"/>
      <w:r w:rsidRPr="00247654">
        <w:t>Prospera builds on a strong track record of successful Australian support for Indonesia’s leadership</w:t>
      </w:r>
      <w:r>
        <w:t xml:space="preserve"> in economic governance. </w:t>
      </w:r>
      <w:r w:rsidRPr="00247654">
        <w:t>Prospera is a very large and complex facility. In some ways, the complexity of the undertaking underscores the trust and goodwill built in Australia’s endeavour to contribute to improved economic governance in Indonesia</w:t>
      </w:r>
      <w:r>
        <w:t xml:space="preserve"> over the </w:t>
      </w:r>
      <w:r w:rsidR="005A5CA7">
        <w:t>p</w:t>
      </w:r>
      <w:r>
        <w:t>ast two decades</w:t>
      </w:r>
      <w:r w:rsidRPr="00247654">
        <w:t xml:space="preserve">. </w:t>
      </w:r>
    </w:p>
    <w:p w14:paraId="5675910B" w14:textId="05D3AFB7" w:rsidR="00544E4E" w:rsidRPr="00247654" w:rsidRDefault="00544E4E" w:rsidP="00BE60F3">
      <w:pPr>
        <w:pStyle w:val="BodyText"/>
      </w:pPr>
      <w:r w:rsidRPr="00247654">
        <w:t xml:space="preserve">As a facility, Prospera has many activities, partners and funding flows, making it significantly more complicated than other investment types. While Prospera </w:t>
      </w:r>
      <w:r>
        <w:t>has</w:t>
      </w:r>
      <w:r w:rsidRPr="00247654">
        <w:t xml:space="preserve"> develop</w:t>
      </w:r>
      <w:r>
        <w:t>ed</w:t>
      </w:r>
      <w:r w:rsidRPr="00247654">
        <w:t xml:space="preserve"> </w:t>
      </w:r>
      <w:r>
        <w:t xml:space="preserve">‘breakthrough’ </w:t>
      </w:r>
      <w:r w:rsidR="00E10531">
        <w:t>outcomes</w:t>
      </w:r>
      <w:r w:rsidRPr="00247654">
        <w:t xml:space="preserve">, </w:t>
      </w:r>
      <w:r w:rsidR="00E10531">
        <w:t xml:space="preserve">specific </w:t>
      </w:r>
      <w:r w:rsidRPr="00247654">
        <w:t xml:space="preserve">activities and reform pathways will be developed </w:t>
      </w:r>
      <w:r>
        <w:t xml:space="preserve">and refined </w:t>
      </w:r>
      <w:r w:rsidRPr="00247654">
        <w:t xml:space="preserve">over Prospera’s </w:t>
      </w:r>
      <w:r w:rsidR="005A5CA7">
        <w:t>lifetime</w:t>
      </w:r>
      <w:r w:rsidRPr="00247654">
        <w:t xml:space="preserve">.  </w:t>
      </w:r>
    </w:p>
    <w:p w14:paraId="774A4050" w14:textId="4E21E04C" w:rsidR="00544E4E" w:rsidRDefault="00544E4E" w:rsidP="00BE60F3">
      <w:pPr>
        <w:pStyle w:val="BodyText"/>
      </w:pPr>
      <w:r w:rsidRPr="00247654">
        <w:t>A strong focus on knowledge, performance and learning is therefore central to the success of Prospera.</w:t>
      </w:r>
    </w:p>
    <w:p w14:paraId="078C23C7" w14:textId="298E7BD4" w:rsidR="00114C9A" w:rsidRPr="00247654" w:rsidRDefault="00114C9A" w:rsidP="00114C9A">
      <w:r>
        <w:rPr>
          <w:noProof/>
          <w:lang w:eastAsia="en-AU"/>
        </w:rPr>
        <mc:AlternateContent>
          <mc:Choice Requires="wps">
            <w:drawing>
              <wp:inline distT="0" distB="0" distL="0" distR="0" wp14:anchorId="2E8123BF" wp14:editId="2B4521EB">
                <wp:extent cx="5753100" cy="6191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19125"/>
                        </a:xfrm>
                        <a:prstGeom prst="rect">
                          <a:avLst/>
                        </a:prstGeom>
                        <a:solidFill>
                          <a:srgbClr val="CFF0F7"/>
                        </a:solidFill>
                        <a:ln w="9525">
                          <a:solidFill>
                            <a:srgbClr val="000000"/>
                          </a:solidFill>
                          <a:miter lim="800000"/>
                          <a:headEnd/>
                          <a:tailEnd/>
                        </a:ln>
                      </wps:spPr>
                      <wps:txbx>
                        <w:txbxContent>
                          <w:p w14:paraId="26562448" w14:textId="77777777" w:rsidR="000C3B63" w:rsidRDefault="000C3B63" w:rsidP="00C714E2">
                            <w:pPr>
                              <w:pStyle w:val="BodyText"/>
                            </w:pPr>
                            <w:bookmarkStart w:id="21" w:name="_Hlk532718181"/>
                            <w:bookmarkStart w:id="22" w:name="_Hlk532718182"/>
                            <w:r w:rsidRPr="00943EAE">
                              <w:t>This Knowledge</w:t>
                            </w:r>
                            <w:r>
                              <w:t xml:space="preserve">, </w:t>
                            </w:r>
                            <w:r w:rsidRPr="00943EAE">
                              <w:t xml:space="preserve">Performance and Learning Framework sets out the approach that the Prospera team will take to: undertaking performance monitoring, evaluation and reporting; </w:t>
                            </w:r>
                            <w:r>
                              <w:t xml:space="preserve">managing and transforming knowledge into insights; </w:t>
                            </w:r>
                            <w:r w:rsidRPr="00943EAE">
                              <w:t xml:space="preserve">and using learning </w:t>
                            </w:r>
                            <w:r>
                              <w:t>to improve effectiveness</w:t>
                            </w:r>
                            <w:r w:rsidRPr="00943EAE">
                              <w:t>.</w:t>
                            </w:r>
                            <w:r>
                              <w:t xml:space="preserve"> </w:t>
                            </w:r>
                            <w:bookmarkEnd w:id="21"/>
                            <w:bookmarkEnd w:id="22"/>
                          </w:p>
                          <w:p w14:paraId="02EC59FD" w14:textId="4A7920C7" w:rsidR="000C3B63" w:rsidRDefault="000C3B63" w:rsidP="00114C9A">
                            <w:pPr>
                              <w:pStyle w:val="BodyText"/>
                            </w:pPr>
                          </w:p>
                          <w:p w14:paraId="23EB4A8F" w14:textId="77777777" w:rsidR="000C3B63" w:rsidRDefault="000C3B63" w:rsidP="00114C9A">
                            <w:pPr>
                              <w:pStyle w:val="BodyText"/>
                            </w:pP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8123BF" id="_x0000_t202" coordsize="21600,21600" o:spt="202" path="m,l,21600r21600,l21600,xe">
                <v:stroke joinstyle="miter"/>
                <v:path gradientshapeok="t" o:connecttype="rect"/>
              </v:shapetype>
              <v:shape id="Text Box 2" o:spid="_x0000_s1026" type="#_x0000_t202" style="width:453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" fillcolor="#cff0f7">
                <v:textbox>
                  <w:txbxContent>
                    <w:p w14:paraId="26562448" w14:textId="77777777" w:rsidR="000C3B63" w:rsidRDefault="000C3B63" w:rsidP="00C714E2">
                      <w:pPr>
                        <w:pStyle w:val="BodyText"/>
                      </w:pPr>
                      <w:bookmarkStart w:id="23" w:name="_Hlk532718181"/>
                      <w:bookmarkStart w:id="24" w:name="_Hlk532718182"/>
                      <w:r w:rsidRPr="00943EAE">
                        <w:t>This Knowledge</w:t>
                      </w:r>
                      <w:r>
                        <w:t xml:space="preserve">, </w:t>
                      </w:r>
                      <w:r w:rsidRPr="00943EAE">
                        <w:t xml:space="preserve">Performance and Learning Framework sets out the approach that the Prospera team will take to: undertaking performance monitoring, evaluation and reporting; </w:t>
                      </w:r>
                      <w:r>
                        <w:t xml:space="preserve">managing and transforming knowledge into insights; </w:t>
                      </w:r>
                      <w:r w:rsidRPr="00943EAE">
                        <w:t xml:space="preserve">and using learning </w:t>
                      </w:r>
                      <w:r>
                        <w:t>to improve effectiveness</w:t>
                      </w:r>
                      <w:r w:rsidRPr="00943EAE">
                        <w:t>.</w:t>
                      </w:r>
                      <w:r>
                        <w:t xml:space="preserve"> </w:t>
                      </w:r>
                      <w:bookmarkEnd w:id="23"/>
                      <w:bookmarkEnd w:id="24"/>
                    </w:p>
                    <w:p w14:paraId="02EC59FD" w14:textId="4A7920C7" w:rsidR="000C3B63" w:rsidRDefault="000C3B63" w:rsidP="00114C9A">
                      <w:pPr>
                        <w:pStyle w:val="BodyText"/>
                      </w:pPr>
                    </w:p>
                    <w:p w14:paraId="23EB4A8F" w14:textId="77777777" w:rsidR="000C3B63" w:rsidRDefault="000C3B63" w:rsidP="00114C9A">
                      <w:pPr>
                        <w:pStyle w:val="BodyText"/>
                      </w:pPr>
                    </w:p>
                  </w:txbxContent>
                </v:textbox>
                <w10:anchorlock/>
              </v:shape>
            </w:pict>
          </mc:Fallback>
        </mc:AlternateContent>
      </w:r>
    </w:p>
    <w:p w14:paraId="76923DC9" w14:textId="76034442" w:rsidR="00544E4E" w:rsidRPr="00B27D06" w:rsidRDefault="00544E4E" w:rsidP="0082195C">
      <w:pPr>
        <w:pStyle w:val="Heading2"/>
      </w:pPr>
      <w:bookmarkStart w:id="23" w:name="_Toc525563654"/>
      <w:bookmarkStart w:id="24" w:name="_Toc525743653"/>
      <w:bookmarkStart w:id="25" w:name="_Toc532991046"/>
      <w:bookmarkEnd w:id="20"/>
      <w:r w:rsidRPr="00B27D06">
        <w:t>What have we learnt about success?</w:t>
      </w:r>
      <w:bookmarkEnd w:id="23"/>
      <w:bookmarkEnd w:id="24"/>
      <w:bookmarkEnd w:id="25"/>
    </w:p>
    <w:p w14:paraId="63594A9E" w14:textId="5BBF34EE" w:rsidR="00544E4E" w:rsidRPr="00247654" w:rsidRDefault="00544E4E" w:rsidP="00BE60F3">
      <w:pPr>
        <w:pStyle w:val="BodyText"/>
      </w:pPr>
      <w:bookmarkStart w:id="26" w:name="_Hlk524871952"/>
      <w:r w:rsidRPr="00247654">
        <w:t xml:space="preserve">This </w:t>
      </w:r>
      <w:r w:rsidR="005F4D6B">
        <w:t>F</w:t>
      </w:r>
      <w:r w:rsidRPr="00247654">
        <w:t>ramework draws on the existing body of evidence accumulated over two</w:t>
      </w:r>
      <w:r w:rsidR="005A5CA7">
        <w:t xml:space="preserve"> </w:t>
      </w:r>
      <w:r w:rsidRPr="00247654">
        <w:t>decades of support. Several reviews have tested and evaluated the key ingredients of success by looking at what worked, why</w:t>
      </w:r>
      <w:r w:rsidR="005A5CA7">
        <w:t>,</w:t>
      </w:r>
      <w:r w:rsidRPr="00247654">
        <w:t xml:space="preserve"> and in what context. Those lessons are the foundations for this </w:t>
      </w:r>
      <w:r w:rsidR="005F4D6B">
        <w:t>F</w:t>
      </w:r>
      <w:r w:rsidRPr="00247654">
        <w:t xml:space="preserve">ramework. </w:t>
      </w:r>
    </w:p>
    <w:p w14:paraId="73908050" w14:textId="007B700E" w:rsidR="00544E4E" w:rsidRPr="00247654" w:rsidRDefault="00E8371D" w:rsidP="00BE60F3">
      <w:pPr>
        <w:pStyle w:val="BodyText"/>
      </w:pPr>
      <w:r>
        <w:t xml:space="preserve">Three </w:t>
      </w:r>
      <w:r w:rsidR="00544E4E" w:rsidRPr="00247654">
        <w:t xml:space="preserve">important elements emerge as critically important to preserve: </w:t>
      </w:r>
    </w:p>
    <w:p w14:paraId="09977301" w14:textId="77777777" w:rsidR="00544E4E" w:rsidRPr="00247654" w:rsidRDefault="00544E4E" w:rsidP="00BE60F3">
      <w:pPr>
        <w:pStyle w:val="ListBullet"/>
      </w:pPr>
      <w:r w:rsidRPr="00247654">
        <w:rPr>
          <w:b/>
        </w:rPr>
        <w:t>Trusted adviser:</w:t>
      </w:r>
      <w:r w:rsidRPr="00247654">
        <w:t xml:space="preserve"> </w:t>
      </w:r>
      <w:r w:rsidRPr="00247654">
        <w:rPr>
          <w:lang w:val="en-US"/>
        </w:rPr>
        <w:t xml:space="preserve">Prospera is a trusted adviser to the Indonesian government. Prospera operates ‘behind the scenes’ advising the government on reforms when it is ready to act. </w:t>
      </w:r>
    </w:p>
    <w:p w14:paraId="12239D3F" w14:textId="5035D2C5" w:rsidR="00544E4E" w:rsidRPr="00114C9A" w:rsidRDefault="005A5CA7" w:rsidP="00BE60F3">
      <w:pPr>
        <w:pStyle w:val="ListBullet"/>
      </w:pPr>
      <w:r>
        <w:rPr>
          <w:b/>
        </w:rPr>
        <w:t>Fast, f</w:t>
      </w:r>
      <w:r w:rsidR="00544E4E" w:rsidRPr="00247654">
        <w:rPr>
          <w:b/>
        </w:rPr>
        <w:t>lexible response:</w:t>
      </w:r>
      <w:r w:rsidR="00544E4E" w:rsidRPr="00247654">
        <w:t xml:space="preserve"> </w:t>
      </w:r>
      <w:r w:rsidR="00544E4E" w:rsidRPr="00247654">
        <w:rPr>
          <w:lang w:val="en-US"/>
        </w:rPr>
        <w:t>Prospera responds rapidly to government requests for assistance across a wide range of areas contributing to economic development while keeping a lens on emerging policy challenges.</w:t>
      </w:r>
    </w:p>
    <w:p w14:paraId="5B97F61D" w14:textId="77777777" w:rsidR="003911F8" w:rsidRPr="00943EAE" w:rsidRDefault="003911F8" w:rsidP="003911F8">
      <w:pPr>
        <w:pStyle w:val="ListBullet"/>
        <w:ind w:left="357" w:hanging="357"/>
      </w:pPr>
      <w:bookmarkStart w:id="27" w:name="_Toc525563655"/>
      <w:bookmarkStart w:id="28" w:name="_Toc525743654"/>
      <w:bookmarkEnd w:id="26"/>
      <w:r w:rsidRPr="00943EAE">
        <w:rPr>
          <w:b/>
        </w:rPr>
        <w:t>Long-term institutional linkages:</w:t>
      </w:r>
      <w:r w:rsidRPr="00943EAE">
        <w:t xml:space="preserve"> Prospera support</w:t>
      </w:r>
      <w:r>
        <w:t>s</w:t>
      </w:r>
      <w:r w:rsidRPr="00943EAE">
        <w:t xml:space="preserve"> strong linkages between Australian and Indonesian agencies. These linkages not only help build capacity, but strengthen connections between people and institutions which </w:t>
      </w:r>
      <w:r>
        <w:t xml:space="preserve">can </w:t>
      </w:r>
      <w:r w:rsidRPr="00943EAE">
        <w:t>outlast the facility cycle.</w:t>
      </w:r>
    </w:p>
    <w:p w14:paraId="7B542FFB" w14:textId="68D032C6" w:rsidR="00544E4E" w:rsidRPr="00D313C0" w:rsidRDefault="00544E4E" w:rsidP="0082195C">
      <w:pPr>
        <w:pStyle w:val="Heading2"/>
      </w:pPr>
      <w:bookmarkStart w:id="29" w:name="_Toc532991047"/>
      <w:r w:rsidRPr="00D313C0">
        <w:t>Prospera’s context</w:t>
      </w:r>
      <w:bookmarkEnd w:id="27"/>
      <w:bookmarkEnd w:id="28"/>
      <w:bookmarkEnd w:id="29"/>
    </w:p>
    <w:p w14:paraId="67C1B5EE" w14:textId="57AD7FE4" w:rsidR="00544E4E" w:rsidRDefault="00544E4E" w:rsidP="00BE60F3">
      <w:pPr>
        <w:pStyle w:val="BodyText"/>
      </w:pPr>
      <w:r w:rsidRPr="00247654">
        <w:t>Prospera operates within a</w:t>
      </w:r>
      <w:r>
        <w:t>n</w:t>
      </w:r>
      <w:r w:rsidRPr="00247654">
        <w:t xml:space="preserve"> </w:t>
      </w:r>
      <w:r>
        <w:t>intricate</w:t>
      </w:r>
      <w:r w:rsidRPr="00247654">
        <w:t xml:space="preserve"> economic and political system in Indonesia – a nation rebuilding public institutions and economic policy frameworks after a devastating financial crisis 20 years ago. </w:t>
      </w:r>
      <w:r>
        <w:t>A policy of ‘big bang’ decentralisation has also changed</w:t>
      </w:r>
      <w:r w:rsidR="00BD6896">
        <w:t xml:space="preserve"> the policy landscape. </w:t>
      </w:r>
      <w:r>
        <w:t>Yet the civil service structure is largely the same. Central to Indonesia</w:t>
      </w:r>
      <w:r w:rsidR="00BD6896">
        <w:t>’s</w:t>
      </w:r>
      <w:r>
        <w:t xml:space="preserve"> growth and development is a public service that can deliver policies and services in this new context. </w:t>
      </w:r>
    </w:p>
    <w:p w14:paraId="0D6D4E25" w14:textId="7BD274CB" w:rsidR="00544E4E" w:rsidRDefault="00544E4E" w:rsidP="00BE60F3">
      <w:pPr>
        <w:pStyle w:val="BodyText"/>
      </w:pPr>
      <w:r>
        <w:t xml:space="preserve">Over the </w:t>
      </w:r>
      <w:r w:rsidR="005A5CA7">
        <w:t>p</w:t>
      </w:r>
      <w:r>
        <w:t xml:space="preserve">ast two decades Indonesia has made impressive strides in delivering prosperity for </w:t>
      </w:r>
      <w:r w:rsidRPr="00713FD0">
        <w:t xml:space="preserve">its people. The poverty rate is at single digits (9.8%) and economic growth has averaged </w:t>
      </w:r>
      <w:r w:rsidRPr="00D313C0">
        <w:t>5.</w:t>
      </w:r>
      <w:r w:rsidR="00236AC8">
        <w:t>3</w:t>
      </w:r>
      <w:r w:rsidRPr="00D313C0">
        <w:t>%</w:t>
      </w:r>
      <w:r>
        <w:t xml:space="preserve"> a year. </w:t>
      </w:r>
      <w:r w:rsidRPr="00713FD0">
        <w:t xml:space="preserve">But Indonesia’s economy is below potential. Economic growth </w:t>
      </w:r>
      <w:r w:rsidR="00236AC8">
        <w:t xml:space="preserve">remains </w:t>
      </w:r>
      <w:r w:rsidRPr="00713FD0">
        <w:t>below what is</w:t>
      </w:r>
      <w:r>
        <w:t xml:space="preserve"> needed to absorb new entrants to the labour markets and sustain prosperity. Competitiveness lags across many dimensions from basic requirements such as infrastructure, institutions, health and primary education through to efficiency enablers including financial sector development, goods and labour market efficiency.   </w:t>
      </w:r>
    </w:p>
    <w:p w14:paraId="355B9D63" w14:textId="77777777" w:rsidR="00544E4E" w:rsidRDefault="00544E4E" w:rsidP="00BE60F3">
      <w:pPr>
        <w:pStyle w:val="BodyText"/>
      </w:pPr>
      <w:bookmarkStart w:id="30" w:name="_Hlk524975992"/>
      <w:r>
        <w:t>Prospera seeks to match Indonesia’s competitiveness gaps with Australia’s comparative advantage.</w:t>
      </w:r>
      <w:bookmarkEnd w:id="30"/>
      <w:r>
        <w:t xml:space="preserve"> One that advances the </w:t>
      </w:r>
      <w:r w:rsidRPr="009906AB">
        <w:rPr>
          <w:i/>
        </w:rPr>
        <w:t>Comprehensive Strategic Partnership</w:t>
      </w:r>
      <w:r>
        <w:t xml:space="preserve"> between Australia and Indonesia</w:t>
      </w:r>
      <w:r>
        <w:rPr>
          <w:rStyle w:val="FootnoteReference"/>
          <w:color w:val="000000" w:themeColor="text1"/>
        </w:rPr>
        <w:footnoteReference w:id="1"/>
      </w:r>
      <w:r>
        <w:t xml:space="preserve"> by delivering a deeper economic partnership for stability and prosperity in the Indo-Pacific region. </w:t>
      </w:r>
    </w:p>
    <w:p w14:paraId="16B19E6F" w14:textId="4FE90570" w:rsidR="00544E4E" w:rsidRDefault="00544E4E" w:rsidP="00BE60F3">
      <w:pPr>
        <w:pStyle w:val="BodyText"/>
      </w:pPr>
      <w:bookmarkStart w:id="31" w:name="_Hlk524976003"/>
      <w:r>
        <w:t xml:space="preserve">Amid these important goals, Prospera is a small but potentially significant slice of an overall system.  </w:t>
      </w:r>
      <w:bookmarkEnd w:id="31"/>
      <w:r>
        <w:t xml:space="preserve">At </w:t>
      </w:r>
      <w:r w:rsidRPr="00247654">
        <w:t xml:space="preserve">A$145 million over five years, </w:t>
      </w:r>
      <w:r w:rsidRPr="00713FD0">
        <w:t xml:space="preserve">Prospera </w:t>
      </w:r>
      <w:r w:rsidR="005A5CA7">
        <w:t>accounts for</w:t>
      </w:r>
      <w:r w:rsidRPr="00713FD0">
        <w:t xml:space="preserve"> 9%</w:t>
      </w:r>
      <w:r>
        <w:t xml:space="preserve"> of Australia’s 2018-19 development budget to Indonesia</w:t>
      </w:r>
      <w:r w:rsidR="005A5CA7">
        <w:t xml:space="preserve"> b</w:t>
      </w:r>
      <w:r>
        <w:t xml:space="preserve">ut </w:t>
      </w:r>
      <w:r w:rsidRPr="00713FD0">
        <w:t>only 0.</w:t>
      </w:r>
      <w:r w:rsidR="00236AC8">
        <w:t>0</w:t>
      </w:r>
      <w:r w:rsidRPr="00713FD0">
        <w:t>1%</w:t>
      </w:r>
      <w:r w:rsidRPr="00247654">
        <w:t xml:space="preserve"> of Indonesian’s </w:t>
      </w:r>
      <w:r>
        <w:t xml:space="preserve">annual </w:t>
      </w:r>
      <w:r w:rsidRPr="00247654">
        <w:t xml:space="preserve">budget </w:t>
      </w:r>
      <w:r>
        <w:t>at the national</w:t>
      </w:r>
      <w:r w:rsidR="00E10531">
        <w:t xml:space="preserve"> </w:t>
      </w:r>
      <w:r>
        <w:t>level</w:t>
      </w:r>
      <w:r w:rsidRPr="00713FD0">
        <w:t>.</w:t>
      </w:r>
      <w:r w:rsidRPr="00247654">
        <w:t xml:space="preserve"> </w:t>
      </w:r>
    </w:p>
    <w:p w14:paraId="0E3E73C0" w14:textId="46979B26" w:rsidR="00E5505E" w:rsidRDefault="00544E4E" w:rsidP="00BE60F3">
      <w:pPr>
        <w:pStyle w:val="BodyText"/>
      </w:pPr>
      <w:bookmarkStart w:id="32" w:name="_Hlk524976015"/>
      <w:r w:rsidRPr="00247654">
        <w:t xml:space="preserve">Prospera can make a valuable contribution </w:t>
      </w:r>
      <w:r w:rsidR="005A5CA7">
        <w:t>by</w:t>
      </w:r>
      <w:r w:rsidRPr="00247654">
        <w:t xml:space="preserve"> catalysing change</w:t>
      </w:r>
      <w:r>
        <w:t xml:space="preserve">, providing expert support for Indonesia’s reform efforts, modelling good practice as well as hands-on </w:t>
      </w:r>
      <w:r w:rsidR="004B4D1E">
        <w:t xml:space="preserve">capability </w:t>
      </w:r>
      <w:r>
        <w:t xml:space="preserve">building with fellow practitioners through Australian agency partnerships. </w:t>
      </w:r>
      <w:bookmarkEnd w:id="32"/>
      <w:r>
        <w:t>On occasion</w:t>
      </w:r>
      <w:r w:rsidR="005A5CA7">
        <w:t>s</w:t>
      </w:r>
      <w:r>
        <w:t xml:space="preserve">, Australia’s support may be pivotal </w:t>
      </w:r>
      <w:r w:rsidR="005A5CA7">
        <w:t>to</w:t>
      </w:r>
      <w:r>
        <w:t xml:space="preserve"> a change</w:t>
      </w:r>
      <w:r w:rsidR="005A5CA7">
        <w:t xml:space="preserve">; </w:t>
      </w:r>
      <w:r>
        <w:t xml:space="preserve">more often the role will be to accelerate the </w:t>
      </w:r>
      <w:r w:rsidRPr="003911F8">
        <w:t xml:space="preserve">timing or quality of a change. In all cases, reforms are led by Indonesia with Australia as a contributing partner. </w:t>
      </w:r>
      <w:r w:rsidR="00114C9A" w:rsidRPr="003911F8">
        <w:t xml:space="preserve"> </w:t>
      </w:r>
      <w:r w:rsidR="003911F8" w:rsidRPr="003911F8">
        <w:t xml:space="preserve">Figure </w:t>
      </w:r>
      <w:r w:rsidR="001607C5">
        <w:t>2</w:t>
      </w:r>
      <w:r w:rsidR="003911F8" w:rsidRPr="003911F8">
        <w:t xml:space="preserve"> sets out where Prospera fits in its contribution to the broader Australia-Indonesia partnership.</w:t>
      </w:r>
    </w:p>
    <w:p w14:paraId="23AF231B" w14:textId="5051B830" w:rsidR="00544E4E" w:rsidRPr="00092AE0" w:rsidRDefault="00544E4E" w:rsidP="00BE60F3">
      <w:pPr>
        <w:pStyle w:val="Tabletext"/>
        <w:jc w:val="left"/>
        <w:rPr>
          <w:b/>
        </w:rPr>
      </w:pPr>
      <w:r w:rsidRPr="00D313C0">
        <w:rPr>
          <w:b/>
        </w:rPr>
        <w:t xml:space="preserve">Figure </w:t>
      </w:r>
      <w:r w:rsidRPr="00D313C0">
        <w:rPr>
          <w:b/>
          <w:noProof/>
        </w:rPr>
        <w:fldChar w:fldCharType="begin"/>
      </w:r>
      <w:r w:rsidRPr="00D313C0">
        <w:rPr>
          <w:b/>
          <w:noProof/>
        </w:rPr>
        <w:instrText xml:space="preserve"> SEQ Figure \* ARABIC </w:instrText>
      </w:r>
      <w:r w:rsidRPr="00D313C0">
        <w:rPr>
          <w:b/>
          <w:noProof/>
        </w:rPr>
        <w:fldChar w:fldCharType="separate"/>
      </w:r>
      <w:r w:rsidR="001607C5">
        <w:rPr>
          <w:b/>
          <w:noProof/>
        </w:rPr>
        <w:t>2</w:t>
      </w:r>
      <w:r w:rsidRPr="00D313C0">
        <w:rPr>
          <w:b/>
          <w:noProof/>
        </w:rPr>
        <w:fldChar w:fldCharType="end"/>
      </w:r>
      <w:r w:rsidRPr="00D313C0">
        <w:rPr>
          <w:b/>
          <w:noProof/>
        </w:rPr>
        <w:t>.</w:t>
      </w:r>
      <w:r w:rsidRPr="00D313C0">
        <w:rPr>
          <w:b/>
        </w:rPr>
        <w:t xml:space="preserve"> What we need this </w:t>
      </w:r>
      <w:r w:rsidR="004B5206">
        <w:rPr>
          <w:b/>
        </w:rPr>
        <w:t>F</w:t>
      </w:r>
      <w:r w:rsidRPr="00D313C0">
        <w:rPr>
          <w:b/>
        </w:rPr>
        <w:t>ramework to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380"/>
      </w:tblGrid>
      <w:tr w:rsidR="00544E4E" w14:paraId="37D33DFF" w14:textId="77777777" w:rsidTr="000A2AEF">
        <w:tc>
          <w:tcPr>
            <w:tcW w:w="5670" w:type="dxa"/>
          </w:tcPr>
          <w:p w14:paraId="10E28041" w14:textId="3AD916FE" w:rsidR="00544E4E" w:rsidRDefault="000A2AEF" w:rsidP="00BE60F3">
            <w:pPr>
              <w:rPr>
                <w:color w:val="000000" w:themeColor="text1"/>
              </w:rPr>
            </w:pPr>
            <w:r w:rsidRPr="000A2AEF">
              <w:rPr>
                <w:noProof/>
                <w:color w:val="000000" w:themeColor="text1"/>
                <w:lang w:eastAsia="en-AU"/>
              </w:rPr>
              <w:drawing>
                <wp:inline distT="0" distB="0" distL="0" distR="0" wp14:anchorId="3553E6FD" wp14:editId="0741AC26">
                  <wp:extent cx="3282846" cy="2037181"/>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1289" cy="2048626"/>
                          </a:xfrm>
                          <a:prstGeom prst="rect">
                            <a:avLst/>
                          </a:prstGeom>
                        </pic:spPr>
                      </pic:pic>
                    </a:graphicData>
                  </a:graphic>
                </wp:inline>
              </w:drawing>
            </w:r>
          </w:p>
        </w:tc>
        <w:tc>
          <w:tcPr>
            <w:tcW w:w="3380" w:type="dxa"/>
          </w:tcPr>
          <w:p w14:paraId="5C5EEEFD" w14:textId="1C1704DD" w:rsidR="00544E4E" w:rsidRDefault="00544E4E" w:rsidP="00BE60F3">
            <w:pPr>
              <w:pStyle w:val="BodyText"/>
              <w:spacing w:before="120"/>
            </w:pPr>
            <w:r w:rsidRPr="0092279B">
              <w:t xml:space="preserve">Figure </w:t>
            </w:r>
            <w:r w:rsidR="001607C5">
              <w:t>2</w:t>
            </w:r>
            <w:r>
              <w:t xml:space="preserve"> centres Prospera within a broader whole</w:t>
            </w:r>
            <w:r w:rsidR="00842128">
              <w:t xml:space="preserve">-of-government partnership. The </w:t>
            </w:r>
            <w:r>
              <w:t xml:space="preserve">object of this Knowledge, Performance and Learning Framework is to articulate the contribution of Prospera to this partnership and to be clear about the breakthrough outcomes to guide selection of activities and investments. </w:t>
            </w:r>
          </w:p>
          <w:p w14:paraId="410354A6" w14:textId="77777777" w:rsidR="00544E4E" w:rsidRDefault="00544E4E" w:rsidP="00BE60F3">
            <w:pPr>
              <w:rPr>
                <w:color w:val="000000" w:themeColor="text1"/>
              </w:rPr>
            </w:pPr>
          </w:p>
        </w:tc>
      </w:tr>
    </w:tbl>
    <w:p w14:paraId="599FD524" w14:textId="77777777" w:rsidR="00544E4E" w:rsidRPr="0020734C" w:rsidRDefault="00544E4E" w:rsidP="00BE60F3">
      <w:pPr>
        <w:pStyle w:val="Heading1"/>
        <w:spacing w:before="240" w:after="200" w:line="276" w:lineRule="auto"/>
        <w:ind w:left="360" w:hanging="360"/>
        <w:rPr>
          <w:b/>
        </w:rPr>
      </w:pPr>
      <w:bookmarkStart w:id="33" w:name="_Toc525563656"/>
      <w:bookmarkStart w:id="34" w:name="_Toc525743655"/>
      <w:bookmarkStart w:id="35" w:name="_Toc532991048"/>
      <w:r w:rsidRPr="0020734C">
        <w:rPr>
          <w:b/>
        </w:rPr>
        <w:t>Approach</w:t>
      </w:r>
      <w:bookmarkEnd w:id="33"/>
      <w:bookmarkEnd w:id="34"/>
      <w:bookmarkEnd w:id="35"/>
      <w:r w:rsidRPr="0020734C">
        <w:rPr>
          <w:b/>
        </w:rPr>
        <w:t xml:space="preserve"> </w:t>
      </w:r>
    </w:p>
    <w:p w14:paraId="63C0B9EA" w14:textId="77777777" w:rsidR="00544E4E" w:rsidRPr="00723026" w:rsidRDefault="00544E4E" w:rsidP="00BE60F3">
      <w:pPr>
        <w:pStyle w:val="BodyText"/>
      </w:pPr>
      <w:r w:rsidRPr="00723026">
        <w:t xml:space="preserve">This section describes </w:t>
      </w:r>
      <w:r>
        <w:t xml:space="preserve">in more detail </w:t>
      </w:r>
      <w:r w:rsidRPr="00723026">
        <w:t xml:space="preserve">the purpose of the Framework, users and uses, requirements, </w:t>
      </w:r>
      <w:r>
        <w:t xml:space="preserve">components, and </w:t>
      </w:r>
      <w:r w:rsidRPr="00723026">
        <w:t>consultation to build the Framework</w:t>
      </w:r>
      <w:r>
        <w:t xml:space="preserve">. </w:t>
      </w:r>
    </w:p>
    <w:p w14:paraId="73A93F2A" w14:textId="1B0C27DA" w:rsidR="00544E4E" w:rsidRPr="00B27D06" w:rsidRDefault="00544E4E" w:rsidP="0082195C">
      <w:pPr>
        <w:pStyle w:val="Heading2"/>
      </w:pPr>
      <w:bookmarkStart w:id="36" w:name="_Toc525563657"/>
      <w:bookmarkStart w:id="37" w:name="_Toc525743656"/>
      <w:bookmarkStart w:id="38" w:name="_Toc532991049"/>
      <w:r w:rsidRPr="00B27D06">
        <w:t>Vision for knowledge, performance and learning</w:t>
      </w:r>
      <w:bookmarkEnd w:id="36"/>
      <w:bookmarkEnd w:id="37"/>
      <w:bookmarkEnd w:id="38"/>
      <w:r w:rsidRPr="00B27D06">
        <w:t xml:space="preserve"> </w:t>
      </w:r>
      <w:r w:rsidRPr="00B27D06">
        <w:tab/>
      </w:r>
    </w:p>
    <w:p w14:paraId="3EE92372" w14:textId="77777777" w:rsidR="00544E4E" w:rsidRPr="00557D7A" w:rsidRDefault="00544E4E" w:rsidP="00BE60F3">
      <w:pPr>
        <w:pStyle w:val="BodyText"/>
      </w:pPr>
      <w:r>
        <w:t xml:space="preserve">Prospera’s vision for knowledge, performance and learning is that </w:t>
      </w:r>
      <w:r w:rsidRPr="00557D7A">
        <w:t xml:space="preserve">Prospera </w:t>
      </w:r>
      <w:r>
        <w:t>truly becomes a learning organisation</w:t>
      </w:r>
      <w:r w:rsidRPr="00557D7A">
        <w:t xml:space="preserve">: </w:t>
      </w:r>
    </w:p>
    <w:p w14:paraId="1101A98E" w14:textId="77777777" w:rsidR="00544E4E" w:rsidRDefault="00544E4E" w:rsidP="00BE60F3">
      <w:pPr>
        <w:pStyle w:val="BodyText"/>
      </w:pPr>
      <w:r w:rsidRPr="00DC42BF">
        <w:t>“An organisation that is skilled at creating, acquiring and transferring knowledge and at modifying behaviour to reflect new knowledge and insights.”</w:t>
      </w:r>
      <w:r>
        <w:rPr>
          <w:rStyle w:val="FootnoteReference"/>
        </w:rPr>
        <w:footnoteReference w:id="2"/>
      </w:r>
    </w:p>
    <w:p w14:paraId="07D25799" w14:textId="77777777" w:rsidR="00544E4E" w:rsidRPr="00557D7A" w:rsidRDefault="00544E4E" w:rsidP="00BE60F3">
      <w:pPr>
        <w:pStyle w:val="BodyText"/>
      </w:pPr>
      <w:r>
        <w:t xml:space="preserve">Prospera aims to </w:t>
      </w:r>
      <w:r w:rsidRPr="00557D7A">
        <w:t>curate knowledge</w:t>
      </w:r>
      <w:r>
        <w:t>, monitoring and evaluation</w:t>
      </w:r>
      <w:r w:rsidRPr="00557D7A">
        <w:t xml:space="preserve"> assets that generate strategic value for Prospera partners.  </w:t>
      </w:r>
      <w:r>
        <w:t xml:space="preserve">This process can be summarised by </w:t>
      </w:r>
      <w:r w:rsidRPr="00557D7A">
        <w:t>three objectives</w:t>
      </w:r>
      <w:r>
        <w:t>:</w:t>
      </w:r>
      <w:r w:rsidRPr="00557D7A">
        <w:t xml:space="preserve">  </w:t>
      </w:r>
    </w:p>
    <w:p w14:paraId="2B77461A" w14:textId="553749A6" w:rsidR="00544E4E" w:rsidRPr="00557D7A" w:rsidRDefault="00544E4E" w:rsidP="00BE60F3">
      <w:pPr>
        <w:pStyle w:val="ListNumber"/>
        <w:numPr>
          <w:ilvl w:val="0"/>
          <w:numId w:val="6"/>
        </w:numPr>
      </w:pPr>
      <w:r w:rsidRPr="00E5505E">
        <w:rPr>
          <w:b/>
        </w:rPr>
        <w:t>Collect and share:</w:t>
      </w:r>
      <w:r w:rsidRPr="00557D7A">
        <w:t xml:space="preserve"> Engaging across Prospera to source findings, store in an easy</w:t>
      </w:r>
      <w:r w:rsidR="005A5CA7">
        <w:t>-</w:t>
      </w:r>
      <w:r w:rsidRPr="00557D7A">
        <w:t>to</w:t>
      </w:r>
      <w:r w:rsidR="005A5CA7">
        <w:t>-</w:t>
      </w:r>
      <w:r w:rsidRPr="00557D7A">
        <w:t xml:space="preserve">use </w:t>
      </w:r>
      <w:r>
        <w:t xml:space="preserve">system </w:t>
      </w:r>
      <w:r w:rsidRPr="00557D7A">
        <w:t xml:space="preserve">and distribute effectively. </w:t>
      </w:r>
    </w:p>
    <w:p w14:paraId="19C90BCB" w14:textId="395BA017" w:rsidR="00544E4E" w:rsidRDefault="00544E4E" w:rsidP="00BE60F3">
      <w:pPr>
        <w:pStyle w:val="ListNumber"/>
        <w:numPr>
          <w:ilvl w:val="0"/>
          <w:numId w:val="6"/>
        </w:numPr>
      </w:pPr>
      <w:r w:rsidRPr="00E5505E">
        <w:rPr>
          <w:b/>
        </w:rPr>
        <w:t>Apply and evaluate:</w:t>
      </w:r>
      <w:r w:rsidRPr="00557D7A">
        <w:t xml:space="preserve"> Monitoring and tracking results, evaluating what works</w:t>
      </w:r>
      <w:r w:rsidR="005A5CA7">
        <w:t>,</w:t>
      </w:r>
      <w:r w:rsidRPr="00557D7A">
        <w:t xml:space="preserve"> and scaling up or down. </w:t>
      </w:r>
    </w:p>
    <w:p w14:paraId="50D63500" w14:textId="77777777" w:rsidR="00544E4E" w:rsidRPr="00557D7A" w:rsidRDefault="00544E4E" w:rsidP="00BE60F3">
      <w:pPr>
        <w:pStyle w:val="ListNumber"/>
        <w:numPr>
          <w:ilvl w:val="0"/>
          <w:numId w:val="6"/>
        </w:numPr>
      </w:pPr>
      <w:r w:rsidRPr="00E5505E">
        <w:rPr>
          <w:b/>
        </w:rPr>
        <w:t>Transform and influence:</w:t>
      </w:r>
      <w:r w:rsidRPr="00557D7A">
        <w:t xml:space="preserve"> Written and visual communication that transforms technical knowledge into useful insights for decision-makers.</w:t>
      </w:r>
    </w:p>
    <w:p w14:paraId="3A62F51F" w14:textId="3366AA73" w:rsidR="00842128" w:rsidRDefault="00544E4E" w:rsidP="00BE60F3">
      <w:pPr>
        <w:pStyle w:val="BodyText"/>
      </w:pPr>
      <w:r>
        <w:t>This Framework is mainly focused on the second element (apply and evaluate) but also incorporating other elements to c</w:t>
      </w:r>
      <w:r w:rsidR="00842128">
        <w:t xml:space="preserve">reate a learning organisation. </w:t>
      </w:r>
    </w:p>
    <w:p w14:paraId="44BC1B10" w14:textId="016288B9" w:rsidR="00544E4E" w:rsidRPr="00DC42BF" w:rsidRDefault="00544E4E" w:rsidP="00BE60F3">
      <w:pPr>
        <w:pStyle w:val="BodyText"/>
      </w:pPr>
      <w:r>
        <w:t>This Framework is designed to help:</w:t>
      </w:r>
    </w:p>
    <w:p w14:paraId="7F671B63" w14:textId="537D5BFE" w:rsidR="00544E4E" w:rsidRPr="008A562B" w:rsidRDefault="00544E4E" w:rsidP="00BE60F3">
      <w:pPr>
        <w:pStyle w:val="ListBullet"/>
      </w:pPr>
      <w:r w:rsidRPr="008A562B">
        <w:t>Deliver high</w:t>
      </w:r>
      <w:r w:rsidR="005A5CA7">
        <w:t>-</w:t>
      </w:r>
      <w:r w:rsidRPr="008A562B">
        <w:t xml:space="preserve">quality, timely monitoring and evaluation to make important </w:t>
      </w:r>
      <w:r>
        <w:t xml:space="preserve">program </w:t>
      </w:r>
      <w:r w:rsidRPr="008A562B">
        <w:t>decisions</w:t>
      </w:r>
      <w:r>
        <w:t>.</w:t>
      </w:r>
    </w:p>
    <w:p w14:paraId="3192985B" w14:textId="77777777" w:rsidR="00544E4E" w:rsidRPr="008A562B" w:rsidRDefault="00544E4E" w:rsidP="00BE60F3">
      <w:pPr>
        <w:pStyle w:val="ListBullet"/>
      </w:pPr>
      <w:r w:rsidRPr="008A562B">
        <w:t>Foster coherence and consistency across facility</w:t>
      </w:r>
      <w:r>
        <w:t>.</w:t>
      </w:r>
    </w:p>
    <w:p w14:paraId="5FEBAA68" w14:textId="77777777" w:rsidR="00544E4E" w:rsidRPr="008A562B" w:rsidRDefault="00544E4E" w:rsidP="00BE60F3">
      <w:pPr>
        <w:pStyle w:val="ListBullet"/>
      </w:pPr>
      <w:r w:rsidRPr="008A562B">
        <w:t>Demonstrate performance</w:t>
      </w:r>
      <w:r>
        <w:t>.</w:t>
      </w:r>
    </w:p>
    <w:p w14:paraId="6EF53F54" w14:textId="77777777" w:rsidR="00544E4E" w:rsidRPr="008A562B" w:rsidRDefault="00544E4E" w:rsidP="00BE60F3">
      <w:pPr>
        <w:pStyle w:val="ListBullet"/>
      </w:pPr>
      <w:r w:rsidRPr="008A562B">
        <w:t>Improve accountability</w:t>
      </w:r>
      <w:r>
        <w:t>.</w:t>
      </w:r>
    </w:p>
    <w:p w14:paraId="518B7AC4" w14:textId="77777777" w:rsidR="00544E4E" w:rsidRDefault="00544E4E" w:rsidP="00BE60F3">
      <w:pPr>
        <w:pStyle w:val="ListBullet"/>
      </w:pPr>
      <w:r w:rsidRPr="008A562B">
        <w:t>Transform P</w:t>
      </w:r>
      <w:r>
        <w:t>rospera</w:t>
      </w:r>
      <w:r w:rsidRPr="008A562B">
        <w:t xml:space="preserve"> into a learning organisation through effective </w:t>
      </w:r>
      <w:r>
        <w:t>performance monitoring and e</w:t>
      </w:r>
      <w:r w:rsidRPr="008A562B">
        <w:t>valuation and knowledge sharing</w:t>
      </w:r>
      <w:r>
        <w:t>.</w:t>
      </w:r>
    </w:p>
    <w:p w14:paraId="6EF197C7" w14:textId="77777777" w:rsidR="00544E4E" w:rsidRPr="008A562B" w:rsidRDefault="00544E4E" w:rsidP="00BE60F3">
      <w:pPr>
        <w:pStyle w:val="ListBullet"/>
      </w:pPr>
      <w:r>
        <w:t>Inform preparation of evidence</w:t>
      </w:r>
      <w:r>
        <w:noBreakHyphen/>
        <w:t>based facility reports.</w:t>
      </w:r>
    </w:p>
    <w:p w14:paraId="4558A0AF" w14:textId="77777777" w:rsidR="00544E4E" w:rsidRPr="00D313C0" w:rsidRDefault="00544E4E" w:rsidP="00BE60F3">
      <w:pPr>
        <w:pStyle w:val="ListBullet"/>
      </w:pPr>
      <w:r w:rsidRPr="00D313C0">
        <w:t>Deliver a more effective and efficient investment for Australia and Indonesia.</w:t>
      </w:r>
    </w:p>
    <w:p w14:paraId="741928EC" w14:textId="11474D9C" w:rsidR="00544E4E" w:rsidRDefault="00544E4E" w:rsidP="00BE60F3">
      <w:pPr>
        <w:pStyle w:val="BodyText"/>
      </w:pPr>
      <w:r>
        <w:t xml:space="preserve">The Framework will not set out to measure everything, everywhere. It will enable targeted use of evidence to foster confidence in investment decisions, progress solid contributions to desired outcomes and, ultimately, </w:t>
      </w:r>
      <w:r w:rsidR="00114C9A">
        <w:t>contribute</w:t>
      </w:r>
      <w:r>
        <w:t xml:space="preserve"> to impacts. </w:t>
      </w:r>
    </w:p>
    <w:p w14:paraId="0443CD4A" w14:textId="04E847E4" w:rsidR="00544E4E" w:rsidRDefault="00544E4E" w:rsidP="00BE60F3">
      <w:pPr>
        <w:pStyle w:val="BodyText"/>
      </w:pPr>
      <w:r>
        <w:t xml:space="preserve">In other organisations, a research component can also form part of a knowledge and performance function. In Prospera, research is embedded across Prospera teams and in ways of working. Prospera’s Economic and Inclusion team also contributes in-depth analysis for evidence-based decision making. </w:t>
      </w:r>
    </w:p>
    <w:p w14:paraId="461A1107" w14:textId="0701318D" w:rsidR="003911F8" w:rsidRDefault="003911F8" w:rsidP="003911F8">
      <w:pPr>
        <w:pStyle w:val="BodyText"/>
      </w:pPr>
      <w:r w:rsidRPr="003911F8">
        <w:t xml:space="preserve">Important contextual considerations for performance management across Prospera and taken into account in the development of this Framework are elaborated in Annex </w:t>
      </w:r>
      <w:r w:rsidR="00B57791">
        <w:t>2</w:t>
      </w:r>
      <w:r w:rsidRPr="003911F8">
        <w:t>.</w:t>
      </w:r>
    </w:p>
    <w:p w14:paraId="557DF006" w14:textId="7972B478" w:rsidR="00544E4E" w:rsidRPr="00B27D06" w:rsidRDefault="00544E4E" w:rsidP="0082195C">
      <w:pPr>
        <w:pStyle w:val="Heading2"/>
      </w:pPr>
      <w:bookmarkStart w:id="39" w:name="_Toc525563658"/>
      <w:bookmarkStart w:id="40" w:name="_Toc525743657"/>
      <w:bookmarkStart w:id="41" w:name="_Toc532991050"/>
      <w:r w:rsidRPr="00B27D06">
        <w:t>Users and uses</w:t>
      </w:r>
      <w:bookmarkEnd w:id="39"/>
      <w:bookmarkEnd w:id="40"/>
      <w:bookmarkEnd w:id="41"/>
    </w:p>
    <w:p w14:paraId="200B7462" w14:textId="132A3DC4" w:rsidR="00E5505E" w:rsidRDefault="00544E4E" w:rsidP="00BE60F3">
      <w:pPr>
        <w:pStyle w:val="BodyText"/>
      </w:pPr>
      <w:bookmarkStart w:id="42" w:name="_Hlk524976086"/>
      <w:r>
        <w:t xml:space="preserve">The primary users of the evidence </w:t>
      </w:r>
      <w:bookmarkEnd w:id="42"/>
      <w:r>
        <w:t xml:space="preserve">derived through </w:t>
      </w:r>
      <w:r w:rsidR="00E10531">
        <w:t xml:space="preserve">this </w:t>
      </w:r>
      <w:r>
        <w:t xml:space="preserve">Framework are set out </w:t>
      </w:r>
      <w:r w:rsidRPr="0092279B">
        <w:t>in Table 1. Building on consultation</w:t>
      </w:r>
      <w:r>
        <w:t xml:space="preserve"> undertaken throughout development of the Framework, it is Prospera’s intention that this document, its supporting components, and reporting and evaluation products, will be driven by the intended use of information derived.</w:t>
      </w:r>
    </w:p>
    <w:p w14:paraId="5A190FAE" w14:textId="59D2980D" w:rsidR="00544E4E" w:rsidRPr="001654C7" w:rsidRDefault="00544E4E" w:rsidP="00263C60">
      <w:pPr>
        <w:pStyle w:val="Tabletext"/>
        <w:jc w:val="left"/>
        <w:rPr>
          <w:b/>
        </w:rPr>
      </w:pPr>
      <w:r w:rsidRPr="00D313C0">
        <w:rPr>
          <w:b/>
        </w:rPr>
        <w:t xml:space="preserve">Table </w:t>
      </w:r>
      <w:r w:rsidRPr="00D313C0">
        <w:rPr>
          <w:b/>
          <w:noProof/>
        </w:rPr>
        <w:fldChar w:fldCharType="begin"/>
      </w:r>
      <w:r w:rsidRPr="00D313C0">
        <w:rPr>
          <w:b/>
          <w:noProof/>
        </w:rPr>
        <w:instrText xml:space="preserve"> SEQ Table \* ARABIC </w:instrText>
      </w:r>
      <w:r w:rsidRPr="00D313C0">
        <w:rPr>
          <w:b/>
          <w:noProof/>
        </w:rPr>
        <w:fldChar w:fldCharType="separate"/>
      </w:r>
      <w:r w:rsidR="00B651D6">
        <w:rPr>
          <w:b/>
          <w:noProof/>
        </w:rPr>
        <w:t>1</w:t>
      </w:r>
      <w:r w:rsidRPr="00D313C0">
        <w:rPr>
          <w:b/>
          <w:noProof/>
        </w:rPr>
        <w:fldChar w:fldCharType="end"/>
      </w:r>
      <w:r w:rsidR="00E5505E" w:rsidRPr="00D313C0">
        <w:rPr>
          <w:b/>
          <w:noProof/>
        </w:rPr>
        <w:t>.</w:t>
      </w:r>
      <w:r w:rsidRPr="00D313C0">
        <w:rPr>
          <w:b/>
        </w:rPr>
        <w:t xml:space="preserve"> Prospera performance information users and their uses</w:t>
      </w:r>
    </w:p>
    <w:tbl>
      <w:tblPr>
        <w:tblStyle w:val="TableGrid"/>
        <w:tblW w:w="0" w:type="auto"/>
        <w:tblLook w:val="04A0" w:firstRow="1" w:lastRow="0" w:firstColumn="1" w:lastColumn="0" w:noHBand="0" w:noVBand="1"/>
      </w:tblPr>
      <w:tblGrid>
        <w:gridCol w:w="4324"/>
        <w:gridCol w:w="4716"/>
      </w:tblGrid>
      <w:tr w:rsidR="00544E4E" w:rsidRPr="001654C7" w14:paraId="745C1E0C" w14:textId="77777777" w:rsidTr="005E5D6E">
        <w:trPr>
          <w:cantSplit/>
          <w:tblHeader/>
        </w:trPr>
        <w:tc>
          <w:tcPr>
            <w:tcW w:w="4428" w:type="dxa"/>
            <w:shd w:val="clear" w:color="auto" w:fill="20ABCA" w:themeFill="accent6"/>
          </w:tcPr>
          <w:p w14:paraId="0E7B5EB4" w14:textId="77777777" w:rsidR="00544E4E" w:rsidRPr="001654C7" w:rsidRDefault="00544E4E" w:rsidP="00BE60F3">
            <w:pPr>
              <w:pStyle w:val="BodyText"/>
              <w:spacing w:before="120" w:line="240" w:lineRule="auto"/>
              <w:rPr>
                <w:b/>
                <w:color w:val="FFFFFF" w:themeColor="background1"/>
              </w:rPr>
            </w:pPr>
            <w:bookmarkStart w:id="43" w:name="_Toc523408873"/>
            <w:bookmarkStart w:id="44" w:name="_Toc523469599"/>
            <w:r w:rsidRPr="001654C7">
              <w:rPr>
                <w:b/>
                <w:color w:val="FFFFFF" w:themeColor="background1"/>
              </w:rPr>
              <w:t>Users: Who will use the information and analysis derived through this Framework</w:t>
            </w:r>
            <w:bookmarkEnd w:id="43"/>
            <w:bookmarkEnd w:id="44"/>
          </w:p>
        </w:tc>
        <w:tc>
          <w:tcPr>
            <w:tcW w:w="4814" w:type="dxa"/>
            <w:shd w:val="clear" w:color="auto" w:fill="20ABCA" w:themeFill="accent6"/>
          </w:tcPr>
          <w:p w14:paraId="2DECE6B9" w14:textId="77777777" w:rsidR="00544E4E" w:rsidRPr="001654C7" w:rsidRDefault="00544E4E" w:rsidP="00BE60F3">
            <w:pPr>
              <w:pStyle w:val="BodyText"/>
              <w:spacing w:before="120" w:line="240" w:lineRule="auto"/>
              <w:rPr>
                <w:b/>
                <w:color w:val="FFFFFF" w:themeColor="background1"/>
              </w:rPr>
            </w:pPr>
            <w:bookmarkStart w:id="45" w:name="_Toc523408874"/>
            <w:bookmarkStart w:id="46" w:name="_Toc523469600"/>
            <w:r w:rsidRPr="001654C7">
              <w:rPr>
                <w:b/>
                <w:color w:val="FFFFFF" w:themeColor="background1"/>
              </w:rPr>
              <w:t>Their Uses: For what will it be used?</w:t>
            </w:r>
            <w:bookmarkEnd w:id="45"/>
            <w:bookmarkEnd w:id="46"/>
          </w:p>
        </w:tc>
      </w:tr>
      <w:tr w:rsidR="00544E4E" w14:paraId="70B2254F" w14:textId="77777777" w:rsidTr="00374F0F">
        <w:trPr>
          <w:cantSplit/>
        </w:trPr>
        <w:tc>
          <w:tcPr>
            <w:tcW w:w="4428" w:type="dxa"/>
          </w:tcPr>
          <w:p w14:paraId="0CF9A035" w14:textId="77777777" w:rsidR="00544E4E" w:rsidRDefault="00544E4E" w:rsidP="00BE60F3">
            <w:pPr>
              <w:pStyle w:val="BodyText"/>
            </w:pPr>
            <w:r>
              <w:t>Australian Government Department of Foreign Affairs and Trade - Jakarta</w:t>
            </w:r>
          </w:p>
        </w:tc>
        <w:tc>
          <w:tcPr>
            <w:tcW w:w="4814" w:type="dxa"/>
          </w:tcPr>
          <w:p w14:paraId="5F83CFD1" w14:textId="77777777" w:rsidR="00544E4E" w:rsidRDefault="00544E4E" w:rsidP="00BE60F3">
            <w:pPr>
              <w:pStyle w:val="ListBullet"/>
            </w:pPr>
            <w:r>
              <w:t>Investment decision making</w:t>
            </w:r>
          </w:p>
          <w:p w14:paraId="5EC87877" w14:textId="77777777" w:rsidR="00544E4E" w:rsidRDefault="00544E4E" w:rsidP="00BE60F3">
            <w:pPr>
              <w:pStyle w:val="ListBullet"/>
            </w:pPr>
            <w:r>
              <w:t>Partnership building</w:t>
            </w:r>
          </w:p>
          <w:p w14:paraId="4BC24A84" w14:textId="77777777" w:rsidR="00544E4E" w:rsidRDefault="00544E4E" w:rsidP="00BE60F3">
            <w:pPr>
              <w:pStyle w:val="ListBullet"/>
            </w:pPr>
            <w:r>
              <w:t>Aid Quality Check preparation</w:t>
            </w:r>
          </w:p>
          <w:p w14:paraId="77B18942" w14:textId="77777777" w:rsidR="00544E4E" w:rsidRDefault="00544E4E" w:rsidP="00BE60F3">
            <w:pPr>
              <w:pStyle w:val="ListBullet"/>
            </w:pPr>
            <w:r>
              <w:t xml:space="preserve">Indonesia Performance Assessment Framework preparation </w:t>
            </w:r>
          </w:p>
          <w:p w14:paraId="70EBAAF9" w14:textId="77777777" w:rsidR="00544E4E" w:rsidRDefault="00544E4E" w:rsidP="00BE60F3">
            <w:pPr>
              <w:pStyle w:val="ListBullet"/>
            </w:pPr>
            <w:r>
              <w:t>Demonstration of impact</w:t>
            </w:r>
          </w:p>
          <w:p w14:paraId="1C0B185B" w14:textId="3124EFC7" w:rsidR="00544E4E" w:rsidRDefault="00544E4E" w:rsidP="00BE60F3">
            <w:pPr>
              <w:pStyle w:val="ListBullet"/>
              <w:spacing w:after="160"/>
              <w:ind w:left="357" w:hanging="357"/>
            </w:pPr>
            <w:r>
              <w:t>Evidence</w:t>
            </w:r>
            <w:r w:rsidR="005A5CA7">
              <w:t>-</w:t>
            </w:r>
            <w:r>
              <w:t>based communication products</w:t>
            </w:r>
          </w:p>
        </w:tc>
      </w:tr>
      <w:tr w:rsidR="00544E4E" w14:paraId="4B6AB156" w14:textId="77777777" w:rsidTr="00374F0F">
        <w:trPr>
          <w:cantSplit/>
        </w:trPr>
        <w:tc>
          <w:tcPr>
            <w:tcW w:w="4428" w:type="dxa"/>
          </w:tcPr>
          <w:p w14:paraId="7D4E481F" w14:textId="77777777" w:rsidR="00544E4E" w:rsidRDefault="00544E4E" w:rsidP="00BE60F3">
            <w:pPr>
              <w:pStyle w:val="BodyText"/>
            </w:pPr>
            <w:r>
              <w:t>Australian Government Department of Foreign Affairs - Canberra</w:t>
            </w:r>
          </w:p>
        </w:tc>
        <w:tc>
          <w:tcPr>
            <w:tcW w:w="4814" w:type="dxa"/>
          </w:tcPr>
          <w:p w14:paraId="3F31DA5A" w14:textId="77777777" w:rsidR="00544E4E" w:rsidRDefault="00544E4E" w:rsidP="00BE60F3">
            <w:pPr>
              <w:pStyle w:val="ListBullet"/>
            </w:pPr>
            <w:bookmarkStart w:id="47" w:name="_Hlk524976173"/>
            <w:r>
              <w:t>Investment decision making</w:t>
            </w:r>
          </w:p>
          <w:p w14:paraId="769289BB" w14:textId="77777777" w:rsidR="00544E4E" w:rsidRDefault="00544E4E" w:rsidP="00BE60F3">
            <w:pPr>
              <w:pStyle w:val="ListBullet"/>
            </w:pPr>
            <w:r>
              <w:t>Demonstration of impact</w:t>
            </w:r>
          </w:p>
          <w:p w14:paraId="6EBABF5F" w14:textId="77777777" w:rsidR="00544E4E" w:rsidRDefault="00544E4E" w:rsidP="00BE60F3">
            <w:pPr>
              <w:pStyle w:val="ListBullet"/>
            </w:pPr>
            <w:r>
              <w:t>Partnership building</w:t>
            </w:r>
          </w:p>
          <w:bookmarkEnd w:id="47"/>
          <w:p w14:paraId="0D4C83D8" w14:textId="74E9F87F" w:rsidR="00544E4E" w:rsidRDefault="00544E4E" w:rsidP="00BE60F3">
            <w:pPr>
              <w:pStyle w:val="ListBullet"/>
              <w:spacing w:after="160"/>
              <w:ind w:left="357" w:hanging="357"/>
            </w:pPr>
            <w:r>
              <w:t>Evidence</w:t>
            </w:r>
            <w:r w:rsidR="005A5CA7">
              <w:t>-</w:t>
            </w:r>
            <w:r>
              <w:t>based communication products</w:t>
            </w:r>
          </w:p>
        </w:tc>
      </w:tr>
      <w:tr w:rsidR="00544E4E" w14:paraId="49FFD398" w14:textId="77777777" w:rsidTr="00374F0F">
        <w:trPr>
          <w:cantSplit/>
        </w:trPr>
        <w:tc>
          <w:tcPr>
            <w:tcW w:w="4428" w:type="dxa"/>
          </w:tcPr>
          <w:p w14:paraId="57220F1A" w14:textId="77777777" w:rsidR="00544E4E" w:rsidRDefault="00544E4E" w:rsidP="00BE60F3">
            <w:pPr>
              <w:pStyle w:val="BodyText"/>
            </w:pPr>
            <w:r w:rsidRPr="007E349C">
              <w:t>Prospera Advisory Board</w:t>
            </w:r>
            <w:r>
              <w:rPr>
                <w:color w:val="FF0000"/>
              </w:rPr>
              <w:t xml:space="preserve"> </w:t>
            </w:r>
          </w:p>
        </w:tc>
        <w:tc>
          <w:tcPr>
            <w:tcW w:w="4814" w:type="dxa"/>
          </w:tcPr>
          <w:p w14:paraId="50AA30A3" w14:textId="77777777" w:rsidR="00544E4E" w:rsidRDefault="00544E4E" w:rsidP="00BE60F3">
            <w:pPr>
              <w:pStyle w:val="ListBullet"/>
            </w:pPr>
            <w:r>
              <w:t>Investment decision making</w:t>
            </w:r>
          </w:p>
          <w:p w14:paraId="2C18AF0A" w14:textId="77777777" w:rsidR="00544E4E" w:rsidRDefault="00544E4E" w:rsidP="00BE60F3">
            <w:pPr>
              <w:pStyle w:val="ListBullet"/>
              <w:spacing w:after="160"/>
              <w:ind w:left="357" w:hanging="357"/>
            </w:pPr>
            <w:r>
              <w:t>Effective Governance</w:t>
            </w:r>
          </w:p>
        </w:tc>
      </w:tr>
      <w:tr w:rsidR="00544E4E" w14:paraId="31B47F3B" w14:textId="77777777" w:rsidTr="00374F0F">
        <w:trPr>
          <w:cantSplit/>
        </w:trPr>
        <w:tc>
          <w:tcPr>
            <w:tcW w:w="4428" w:type="dxa"/>
          </w:tcPr>
          <w:p w14:paraId="76655A90" w14:textId="77777777" w:rsidR="00544E4E" w:rsidRDefault="00544E4E" w:rsidP="00BE60F3">
            <w:pPr>
              <w:pStyle w:val="BodyText"/>
            </w:pPr>
            <w:r>
              <w:t>Prospera Senior Management Team</w:t>
            </w:r>
          </w:p>
        </w:tc>
        <w:tc>
          <w:tcPr>
            <w:tcW w:w="4814" w:type="dxa"/>
          </w:tcPr>
          <w:p w14:paraId="2950392E" w14:textId="7404EDDC" w:rsidR="00544E4E" w:rsidRDefault="00544E4E" w:rsidP="00BE60F3">
            <w:pPr>
              <w:pStyle w:val="ListBullet"/>
            </w:pPr>
            <w:r>
              <w:t>Day</w:t>
            </w:r>
            <w:r w:rsidR="005A5CA7">
              <w:t>-</w:t>
            </w:r>
            <w:r>
              <w:t>to</w:t>
            </w:r>
            <w:r w:rsidR="005A5CA7">
              <w:t>-</w:t>
            </w:r>
            <w:r>
              <w:t>day management decision making</w:t>
            </w:r>
          </w:p>
          <w:p w14:paraId="05AE5EB9" w14:textId="77777777" w:rsidR="00544E4E" w:rsidRDefault="00544E4E" w:rsidP="00BE60F3">
            <w:pPr>
              <w:pStyle w:val="ListBullet"/>
            </w:pPr>
            <w:r>
              <w:t>Investment decision making</w:t>
            </w:r>
          </w:p>
          <w:p w14:paraId="0D749DDA" w14:textId="042E890A" w:rsidR="00544E4E" w:rsidRDefault="00544E4E" w:rsidP="00BE60F3">
            <w:pPr>
              <w:pStyle w:val="ListBullet"/>
            </w:pPr>
            <w:r>
              <w:t>Evidence</w:t>
            </w:r>
            <w:r w:rsidR="005A5CA7">
              <w:t>-</w:t>
            </w:r>
            <w:r>
              <w:t>based communication products</w:t>
            </w:r>
          </w:p>
          <w:p w14:paraId="4DD861FA" w14:textId="77777777" w:rsidR="00544E4E" w:rsidRDefault="00544E4E" w:rsidP="00BE60F3">
            <w:pPr>
              <w:pStyle w:val="ListBullet"/>
            </w:pPr>
            <w:r>
              <w:t>Facility Improvement</w:t>
            </w:r>
          </w:p>
          <w:p w14:paraId="01338CFD" w14:textId="77777777" w:rsidR="00544E4E" w:rsidRDefault="00544E4E" w:rsidP="00BE60F3">
            <w:pPr>
              <w:pStyle w:val="ListBullet"/>
              <w:spacing w:after="160"/>
              <w:ind w:left="357" w:hanging="357"/>
            </w:pPr>
            <w:r>
              <w:t>Demonstration of performance</w:t>
            </w:r>
          </w:p>
        </w:tc>
      </w:tr>
      <w:tr w:rsidR="00544E4E" w14:paraId="5C3885E8" w14:textId="77777777" w:rsidTr="00374F0F">
        <w:trPr>
          <w:cantSplit/>
        </w:trPr>
        <w:tc>
          <w:tcPr>
            <w:tcW w:w="4428" w:type="dxa"/>
          </w:tcPr>
          <w:p w14:paraId="7481D28C" w14:textId="77777777" w:rsidR="00544E4E" w:rsidRDefault="00544E4E" w:rsidP="00BE60F3">
            <w:pPr>
              <w:pStyle w:val="BodyText"/>
            </w:pPr>
            <w:r>
              <w:t>Australian agency home offices</w:t>
            </w:r>
          </w:p>
        </w:tc>
        <w:tc>
          <w:tcPr>
            <w:tcW w:w="4814" w:type="dxa"/>
          </w:tcPr>
          <w:p w14:paraId="33774194" w14:textId="77777777" w:rsidR="00544E4E" w:rsidRDefault="00544E4E" w:rsidP="00BE60F3">
            <w:pPr>
              <w:pStyle w:val="ListBullet"/>
            </w:pPr>
            <w:r>
              <w:t>Partnership building</w:t>
            </w:r>
          </w:p>
          <w:p w14:paraId="011B9E9D" w14:textId="77777777" w:rsidR="00544E4E" w:rsidRDefault="00544E4E" w:rsidP="00BE60F3">
            <w:pPr>
              <w:pStyle w:val="ListBullet"/>
            </w:pPr>
            <w:r>
              <w:t>Demonstration of performance</w:t>
            </w:r>
          </w:p>
          <w:p w14:paraId="1BA0AA54" w14:textId="77777777" w:rsidR="00544E4E" w:rsidRDefault="00544E4E" w:rsidP="00BE60F3">
            <w:pPr>
              <w:pStyle w:val="ListBullet"/>
            </w:pPr>
            <w:r>
              <w:t>Effective governance</w:t>
            </w:r>
          </w:p>
          <w:p w14:paraId="7DB32251" w14:textId="77777777" w:rsidR="00544E4E" w:rsidRDefault="00544E4E" w:rsidP="00BE60F3">
            <w:pPr>
              <w:pStyle w:val="ListBullet"/>
              <w:spacing w:after="160"/>
              <w:ind w:left="357" w:hanging="357"/>
            </w:pPr>
            <w:r>
              <w:t>Evidence based communication products</w:t>
            </w:r>
          </w:p>
        </w:tc>
      </w:tr>
      <w:tr w:rsidR="00544E4E" w14:paraId="5D9639C9" w14:textId="77777777" w:rsidTr="00374F0F">
        <w:trPr>
          <w:cantSplit/>
        </w:trPr>
        <w:tc>
          <w:tcPr>
            <w:tcW w:w="4428" w:type="dxa"/>
          </w:tcPr>
          <w:p w14:paraId="7F75FCE7" w14:textId="5CC573B3" w:rsidR="00544E4E" w:rsidRDefault="00544E4E" w:rsidP="00BE60F3">
            <w:pPr>
              <w:pStyle w:val="BodyText"/>
            </w:pPr>
            <w:r>
              <w:t>Indonesian</w:t>
            </w:r>
            <w:r w:rsidR="005A5CA7">
              <w:t xml:space="preserve"> central</w:t>
            </w:r>
            <w:r>
              <w:t xml:space="preserve"> government and participating line ministries and agencies</w:t>
            </w:r>
          </w:p>
        </w:tc>
        <w:tc>
          <w:tcPr>
            <w:tcW w:w="4814" w:type="dxa"/>
          </w:tcPr>
          <w:p w14:paraId="6C743223" w14:textId="77777777" w:rsidR="00544E4E" w:rsidRDefault="00544E4E" w:rsidP="00BE60F3">
            <w:pPr>
              <w:pStyle w:val="ListBullet"/>
            </w:pPr>
            <w:r>
              <w:t>Partnership building</w:t>
            </w:r>
          </w:p>
          <w:p w14:paraId="40B44B3F" w14:textId="77777777" w:rsidR="00544E4E" w:rsidRDefault="00544E4E" w:rsidP="00BE60F3">
            <w:pPr>
              <w:pStyle w:val="ListBullet"/>
            </w:pPr>
            <w:r w:rsidRPr="007E349C">
              <w:t>Development Budget Reporting (BAST)</w:t>
            </w:r>
          </w:p>
          <w:p w14:paraId="5FB78454" w14:textId="77777777" w:rsidR="00544E4E" w:rsidRDefault="00544E4E" w:rsidP="00BE60F3">
            <w:pPr>
              <w:pStyle w:val="ListBullet"/>
            </w:pPr>
            <w:r>
              <w:t>Understanding of changes achieved</w:t>
            </w:r>
          </w:p>
          <w:p w14:paraId="1E5C7F8E" w14:textId="77777777" w:rsidR="00544E4E" w:rsidRDefault="00544E4E" w:rsidP="00BE60F3">
            <w:pPr>
              <w:pStyle w:val="ListBullet"/>
              <w:spacing w:after="160"/>
              <w:ind w:left="357" w:hanging="357"/>
            </w:pPr>
            <w:r>
              <w:t>Reporting needs</w:t>
            </w:r>
          </w:p>
        </w:tc>
      </w:tr>
      <w:tr w:rsidR="00544E4E" w14:paraId="0A36B0F6" w14:textId="77777777" w:rsidTr="00374F0F">
        <w:trPr>
          <w:cantSplit/>
        </w:trPr>
        <w:tc>
          <w:tcPr>
            <w:tcW w:w="4428" w:type="dxa"/>
          </w:tcPr>
          <w:p w14:paraId="6733ADA2" w14:textId="77777777" w:rsidR="00544E4E" w:rsidRDefault="00544E4E" w:rsidP="00BE60F3">
            <w:pPr>
              <w:pStyle w:val="BodyText"/>
            </w:pPr>
            <w:r>
              <w:t>Prospera teams and their Indonesian government partners</w:t>
            </w:r>
          </w:p>
        </w:tc>
        <w:tc>
          <w:tcPr>
            <w:tcW w:w="4814" w:type="dxa"/>
          </w:tcPr>
          <w:p w14:paraId="449902FB" w14:textId="77777777" w:rsidR="00544E4E" w:rsidRDefault="00544E4E" w:rsidP="00BE60F3">
            <w:pPr>
              <w:pStyle w:val="ListBullet"/>
            </w:pPr>
            <w:r>
              <w:t>Demonstration of performance</w:t>
            </w:r>
          </w:p>
          <w:p w14:paraId="3D143CF0" w14:textId="77777777" w:rsidR="00544E4E" w:rsidRDefault="00544E4E" w:rsidP="00BE60F3">
            <w:pPr>
              <w:pStyle w:val="ListBullet"/>
            </w:pPr>
            <w:r>
              <w:t xml:space="preserve">Learning and improvement </w:t>
            </w:r>
          </w:p>
          <w:p w14:paraId="4C72904A" w14:textId="77777777" w:rsidR="00544E4E" w:rsidRDefault="00544E4E" w:rsidP="00BE60F3">
            <w:pPr>
              <w:pStyle w:val="ListBullet"/>
            </w:pPr>
            <w:r>
              <w:t>New designs</w:t>
            </w:r>
          </w:p>
          <w:p w14:paraId="62163D33" w14:textId="77777777" w:rsidR="00544E4E" w:rsidRDefault="00544E4E" w:rsidP="00BE60F3">
            <w:pPr>
              <w:pStyle w:val="ListBullet"/>
              <w:spacing w:after="160"/>
              <w:ind w:left="357" w:hanging="357"/>
            </w:pPr>
            <w:r>
              <w:t>Understanding contribution to outcomes</w:t>
            </w:r>
          </w:p>
        </w:tc>
      </w:tr>
    </w:tbl>
    <w:p w14:paraId="0CA54DB0" w14:textId="092E4C6E" w:rsidR="00544E4E" w:rsidRPr="00B27D06" w:rsidRDefault="00544E4E" w:rsidP="0082195C">
      <w:pPr>
        <w:pStyle w:val="Heading2"/>
      </w:pPr>
      <w:bookmarkStart w:id="48" w:name="_Toc525563659"/>
      <w:bookmarkStart w:id="49" w:name="_Toc525743658"/>
      <w:bookmarkStart w:id="50" w:name="_Toc532991051"/>
      <w:r w:rsidRPr="00B27D06">
        <w:t>Requirements for the framework</w:t>
      </w:r>
      <w:bookmarkEnd w:id="48"/>
      <w:bookmarkEnd w:id="49"/>
      <w:bookmarkEnd w:id="50"/>
    </w:p>
    <w:p w14:paraId="6A35B96E" w14:textId="683AA277" w:rsidR="001654C7" w:rsidRDefault="00544E4E" w:rsidP="00BE60F3">
      <w:pPr>
        <w:pStyle w:val="BodyText"/>
      </w:pPr>
      <w:r>
        <w:t xml:space="preserve">The Prospera contract between DFAT and Cardno (Contractor) sets out the following elements: </w:t>
      </w:r>
    </w:p>
    <w:p w14:paraId="4533B9C5" w14:textId="0D746CD3" w:rsidR="00A06F6F" w:rsidRDefault="00A06F6F" w:rsidP="006B0CDD">
      <w:pPr>
        <w:pStyle w:val="BodyText"/>
        <w:ind w:left="720"/>
      </w:pPr>
      <w:r w:rsidRPr="00A06F6F">
        <w:t>“</w:t>
      </w:r>
      <w:r w:rsidRPr="00A06F6F">
        <w:rPr>
          <w:b/>
        </w:rPr>
        <w:t>PROSPERA Knowledge, Performance and Learning Framework</w:t>
      </w:r>
      <w:r w:rsidRPr="00A06F6F">
        <w:t>: describes the monitoring and evaluation that will report on PROSPERA outcomes, progress of each activity, activity level results, operational performance assessment, and knowledge management processes.</w:t>
      </w:r>
      <w:r>
        <w:t>”</w:t>
      </w:r>
    </w:p>
    <w:p w14:paraId="3629CCF2" w14:textId="522466F1" w:rsidR="00544E4E" w:rsidRPr="00E402DF" w:rsidRDefault="00A06F6F" w:rsidP="006B0CDD">
      <w:pPr>
        <w:pStyle w:val="BodyText"/>
        <w:ind w:left="720"/>
      </w:pPr>
      <w:r>
        <w:t>“</w:t>
      </w:r>
      <w:r w:rsidR="00544E4E" w:rsidRPr="00E402DF">
        <w:t xml:space="preserve">The Contractor must develop a </w:t>
      </w:r>
      <w:r w:rsidR="00544E4E" w:rsidRPr="00E402DF">
        <w:rPr>
          <w:b/>
          <w:bCs/>
        </w:rPr>
        <w:t xml:space="preserve">Knowledge, Performance and Learning Framework </w:t>
      </w:r>
      <w:r w:rsidR="00544E4E" w:rsidRPr="00E402DF">
        <w:t xml:space="preserve">(KPLF) which will deliver lessons, meet DFAT and APS agencies reporting requirements (including the Aid Quality Check and Performance Assessment Framework), facilitate collaboration and organise information to respond to urgent requests. The KPLF will incorporate the M&amp;E Plan and will build upon the draft M&amp;E Framework. In designing the KPLF, the Contractor must undertake an assessment of the M&amp;E, knowledge management, Management Information Systems and other databases in use on AIPEG and GPF. Working with </w:t>
      </w:r>
      <w:r w:rsidR="005B4AB5">
        <w:rPr>
          <w:lang w:val="id-ID"/>
        </w:rPr>
        <w:t>Government of Indonesia</w:t>
      </w:r>
      <w:r w:rsidR="005B4AB5" w:rsidRPr="005B4AB5">
        <w:rPr>
          <w:lang w:val="id-ID"/>
        </w:rPr>
        <w:t xml:space="preserve"> </w:t>
      </w:r>
      <w:r w:rsidR="00544E4E" w:rsidRPr="00E402DF">
        <w:t>counterparts, DFAT and APS agencies they will develop an understanding of the performance, reporting and knowledge requirements of each constituency.</w:t>
      </w:r>
    </w:p>
    <w:p w14:paraId="7CA82465" w14:textId="77777777" w:rsidR="00544E4E" w:rsidRPr="00E402DF" w:rsidRDefault="00544E4E" w:rsidP="006B0CDD">
      <w:pPr>
        <w:pStyle w:val="BodyText"/>
        <w:ind w:left="720"/>
      </w:pPr>
      <w:r w:rsidRPr="00E402DF">
        <w:t>PROSPERA must be assessed for overall performance, at the thematic and activity levels. M&amp;E activities will inform and enable reflections on the program and the identification of lessons to inform the annual planning process. As part of this process, the Contractor must assist APS agencies in developing their performance reporting and will use that information to inform PROSPERA reporting. PROSPERA will not manage the performance of APS agency personnel.</w:t>
      </w:r>
    </w:p>
    <w:p w14:paraId="598937A4" w14:textId="77777777" w:rsidR="00544E4E" w:rsidRPr="00E402DF" w:rsidRDefault="00544E4E" w:rsidP="006B0CDD">
      <w:pPr>
        <w:pStyle w:val="BodyText"/>
        <w:ind w:left="720"/>
      </w:pPr>
      <w:r w:rsidRPr="00E402DF">
        <w:t xml:space="preserve">The KPLF must include a process to assess and track </w:t>
      </w:r>
      <w:r w:rsidRPr="00E402DF">
        <w:rPr>
          <w:b/>
          <w:bCs/>
        </w:rPr>
        <w:t>capacity development</w:t>
      </w:r>
      <w:r w:rsidRPr="00E402DF">
        <w:t xml:space="preserve"> of Government of Indonesia partners (individuals and institutions).</w:t>
      </w:r>
    </w:p>
    <w:p w14:paraId="00287FA6" w14:textId="2A1609AD" w:rsidR="00544E4E" w:rsidRPr="00E402DF" w:rsidRDefault="00544E4E" w:rsidP="006B0CDD">
      <w:pPr>
        <w:pStyle w:val="BodyText"/>
        <w:ind w:left="720"/>
      </w:pPr>
      <w:r w:rsidRPr="00E402DF">
        <w:t>Into the KPLF, the Contractor must incorporate the existing body of evidence accumulated since 1999, as well as draw from the AIPEG Mid-Term and End-of-Program reviews. These reviews have tested and evaluated the key ingredients of success through a case-study approach looking at what has worked, why and in what context.</w:t>
      </w:r>
    </w:p>
    <w:p w14:paraId="2CB5BA74" w14:textId="0ED93452" w:rsidR="00544E4E" w:rsidRDefault="00544E4E" w:rsidP="006B0CDD">
      <w:pPr>
        <w:pStyle w:val="BodyText"/>
        <w:ind w:left="720"/>
      </w:pPr>
      <w:r>
        <w:t xml:space="preserve">This Framework, and its components and supporting systems, have also been designed to meet DFAT Monitoring and </w:t>
      </w:r>
      <w:r w:rsidRPr="00723026">
        <w:t>Evaluation Standards: Standard 2 Investment Monitoring and Evaluation Systems and Standard 3 Investment Progress Reporting; DFAT’s Aid Programming Guide, including the Explanatory Note on Program Logic March 2018.</w:t>
      </w:r>
      <w:r w:rsidR="00A06F6F">
        <w:t>”</w:t>
      </w:r>
    </w:p>
    <w:p w14:paraId="0C92E162" w14:textId="4935C0EB" w:rsidR="00544E4E" w:rsidRPr="00B27D06" w:rsidRDefault="00544E4E" w:rsidP="0082195C">
      <w:pPr>
        <w:pStyle w:val="Heading2"/>
      </w:pPr>
      <w:bookmarkStart w:id="51" w:name="_Toc525563661"/>
      <w:bookmarkStart w:id="52" w:name="_Toc525743660"/>
      <w:bookmarkStart w:id="53" w:name="_Toc532991052"/>
      <w:r w:rsidRPr="00B27D06">
        <w:t xml:space="preserve">Consultation to build the </w:t>
      </w:r>
      <w:r w:rsidR="005F4D6B">
        <w:t>f</w:t>
      </w:r>
      <w:r w:rsidRPr="00B27D06">
        <w:t>ramework</w:t>
      </w:r>
      <w:bookmarkEnd w:id="51"/>
      <w:bookmarkEnd w:id="52"/>
      <w:bookmarkEnd w:id="53"/>
    </w:p>
    <w:p w14:paraId="79DD1A14" w14:textId="22B5361B" w:rsidR="00544E4E" w:rsidRPr="00D313C0" w:rsidRDefault="00544E4E" w:rsidP="00BE60F3">
      <w:pPr>
        <w:pStyle w:val="BodyText"/>
      </w:pPr>
      <w:r>
        <w:t>Prospera has consulted widely with primary stakeholders and users in the development of this</w:t>
      </w:r>
      <w:r w:rsidR="001654C7">
        <w:rPr>
          <w:lang w:val="id-ID"/>
        </w:rPr>
        <w:t xml:space="preserve"> </w:t>
      </w:r>
      <w:r w:rsidRPr="00D313C0">
        <w:t>Framework. A summary of the consultation process is provided in Table 2.</w:t>
      </w:r>
    </w:p>
    <w:p w14:paraId="323E7B49" w14:textId="1A7BF596" w:rsidR="00544E4E" w:rsidRPr="00D313C0" w:rsidRDefault="00544E4E" w:rsidP="00326160">
      <w:pPr>
        <w:pStyle w:val="TableText0"/>
        <w:rPr>
          <w:b/>
          <w:sz w:val="18"/>
          <w:szCs w:val="18"/>
        </w:rPr>
      </w:pPr>
      <w:r w:rsidRPr="00D313C0">
        <w:rPr>
          <w:b/>
          <w:sz w:val="18"/>
          <w:szCs w:val="18"/>
        </w:rPr>
        <w:t xml:space="preserve">Table </w:t>
      </w:r>
      <w:r w:rsidRPr="00D313C0">
        <w:rPr>
          <w:b/>
          <w:noProof/>
          <w:sz w:val="18"/>
          <w:szCs w:val="18"/>
        </w:rPr>
        <w:fldChar w:fldCharType="begin"/>
      </w:r>
      <w:r w:rsidRPr="00D313C0">
        <w:rPr>
          <w:b/>
          <w:noProof/>
          <w:sz w:val="18"/>
          <w:szCs w:val="18"/>
        </w:rPr>
        <w:instrText xml:space="preserve"> SEQ Table \* ARABIC </w:instrText>
      </w:r>
      <w:r w:rsidRPr="00D313C0">
        <w:rPr>
          <w:b/>
          <w:noProof/>
          <w:sz w:val="18"/>
          <w:szCs w:val="18"/>
        </w:rPr>
        <w:fldChar w:fldCharType="separate"/>
      </w:r>
      <w:r w:rsidR="00B651D6">
        <w:rPr>
          <w:b/>
          <w:noProof/>
          <w:sz w:val="18"/>
          <w:szCs w:val="18"/>
        </w:rPr>
        <w:t>2</w:t>
      </w:r>
      <w:r w:rsidRPr="00D313C0">
        <w:rPr>
          <w:b/>
          <w:noProof/>
          <w:sz w:val="18"/>
          <w:szCs w:val="18"/>
        </w:rPr>
        <w:fldChar w:fldCharType="end"/>
      </w:r>
      <w:r w:rsidR="001654C7" w:rsidRPr="00D313C0">
        <w:rPr>
          <w:b/>
          <w:noProof/>
          <w:sz w:val="18"/>
          <w:szCs w:val="18"/>
          <w:lang w:val="id-ID"/>
        </w:rPr>
        <w:t>.</w:t>
      </w:r>
      <w:r w:rsidRPr="00D313C0">
        <w:rPr>
          <w:b/>
          <w:sz w:val="18"/>
          <w:szCs w:val="18"/>
        </w:rPr>
        <w:t xml:space="preserve"> Consultation process</w:t>
      </w:r>
    </w:p>
    <w:tbl>
      <w:tblPr>
        <w:tblStyle w:val="TableGrid"/>
        <w:tblW w:w="0" w:type="auto"/>
        <w:tblLook w:val="04A0" w:firstRow="1" w:lastRow="0" w:firstColumn="1" w:lastColumn="0" w:noHBand="0" w:noVBand="1"/>
      </w:tblPr>
      <w:tblGrid>
        <w:gridCol w:w="1924"/>
        <w:gridCol w:w="3032"/>
        <w:gridCol w:w="4084"/>
      </w:tblGrid>
      <w:tr w:rsidR="00544E4E" w:rsidRPr="001654C7" w14:paraId="5ADD0F69" w14:textId="77777777" w:rsidTr="001654C7">
        <w:trPr>
          <w:cantSplit/>
          <w:trHeight w:val="431"/>
          <w:tblHeader/>
        </w:trPr>
        <w:tc>
          <w:tcPr>
            <w:tcW w:w="1951" w:type="dxa"/>
            <w:shd w:val="clear" w:color="auto" w:fill="20ABCA" w:themeFill="accent6"/>
            <w:vAlign w:val="center"/>
          </w:tcPr>
          <w:p w14:paraId="220C697A" w14:textId="77777777" w:rsidR="00544E4E" w:rsidRPr="00D313C0" w:rsidRDefault="00544E4E" w:rsidP="00BE60F3">
            <w:pPr>
              <w:pStyle w:val="BodyText"/>
              <w:spacing w:before="120" w:line="240" w:lineRule="auto"/>
              <w:rPr>
                <w:b/>
                <w:color w:val="FFFFFF" w:themeColor="background1"/>
              </w:rPr>
            </w:pPr>
            <w:bookmarkStart w:id="54" w:name="_Toc523408881"/>
            <w:bookmarkStart w:id="55" w:name="_Toc523469607"/>
            <w:r w:rsidRPr="00D313C0">
              <w:rPr>
                <w:b/>
                <w:color w:val="FFFFFF" w:themeColor="background1"/>
              </w:rPr>
              <w:t>Dates</w:t>
            </w:r>
            <w:bookmarkEnd w:id="54"/>
            <w:bookmarkEnd w:id="55"/>
          </w:p>
        </w:tc>
        <w:tc>
          <w:tcPr>
            <w:tcW w:w="3107" w:type="dxa"/>
            <w:shd w:val="clear" w:color="auto" w:fill="20ABCA" w:themeFill="accent6"/>
            <w:vAlign w:val="center"/>
          </w:tcPr>
          <w:p w14:paraId="51372B83" w14:textId="77777777" w:rsidR="00544E4E" w:rsidRPr="00D313C0" w:rsidRDefault="00544E4E" w:rsidP="00BE60F3">
            <w:pPr>
              <w:pStyle w:val="BodyText"/>
              <w:spacing w:before="120" w:line="240" w:lineRule="auto"/>
              <w:rPr>
                <w:b/>
                <w:color w:val="FFFFFF" w:themeColor="background1"/>
              </w:rPr>
            </w:pPr>
            <w:bookmarkStart w:id="56" w:name="_Toc523408882"/>
            <w:bookmarkStart w:id="57" w:name="_Toc523469608"/>
            <w:r w:rsidRPr="00D313C0">
              <w:rPr>
                <w:b/>
                <w:color w:val="FFFFFF" w:themeColor="background1"/>
              </w:rPr>
              <w:t>How</w:t>
            </w:r>
            <w:bookmarkEnd w:id="56"/>
            <w:bookmarkEnd w:id="57"/>
          </w:p>
        </w:tc>
        <w:tc>
          <w:tcPr>
            <w:tcW w:w="4184" w:type="dxa"/>
            <w:shd w:val="clear" w:color="auto" w:fill="20ABCA" w:themeFill="accent6"/>
            <w:vAlign w:val="center"/>
          </w:tcPr>
          <w:p w14:paraId="4C8D114A" w14:textId="77777777" w:rsidR="00544E4E" w:rsidRPr="001654C7" w:rsidRDefault="00544E4E" w:rsidP="00BE60F3">
            <w:pPr>
              <w:pStyle w:val="BodyText"/>
              <w:spacing w:before="120" w:line="240" w:lineRule="auto"/>
              <w:rPr>
                <w:b/>
                <w:color w:val="FFFFFF" w:themeColor="background1"/>
              </w:rPr>
            </w:pPr>
            <w:bookmarkStart w:id="58" w:name="_Toc523408883"/>
            <w:bookmarkStart w:id="59" w:name="_Toc523469609"/>
            <w:r w:rsidRPr="00D313C0">
              <w:rPr>
                <w:b/>
                <w:color w:val="FFFFFF" w:themeColor="background1"/>
              </w:rPr>
              <w:t>Who / Where</w:t>
            </w:r>
            <w:bookmarkEnd w:id="58"/>
            <w:bookmarkEnd w:id="59"/>
          </w:p>
        </w:tc>
      </w:tr>
      <w:tr w:rsidR="00544E4E" w:rsidRPr="000E7769" w14:paraId="3F741212" w14:textId="77777777" w:rsidTr="00374F0F">
        <w:trPr>
          <w:cantSplit/>
        </w:trPr>
        <w:tc>
          <w:tcPr>
            <w:tcW w:w="1951" w:type="dxa"/>
          </w:tcPr>
          <w:p w14:paraId="6DA50C94" w14:textId="77777777" w:rsidR="00544E4E" w:rsidRPr="000E7769" w:rsidRDefault="00544E4E" w:rsidP="00BE60F3">
            <w:pPr>
              <w:spacing w:before="120" w:after="120"/>
              <w:rPr>
                <w:sz w:val="20"/>
                <w:szCs w:val="20"/>
              </w:rPr>
            </w:pPr>
            <w:r w:rsidRPr="000E7769">
              <w:rPr>
                <w:sz w:val="20"/>
                <w:szCs w:val="20"/>
              </w:rPr>
              <w:t xml:space="preserve">13 July </w:t>
            </w:r>
          </w:p>
        </w:tc>
        <w:tc>
          <w:tcPr>
            <w:tcW w:w="3107" w:type="dxa"/>
          </w:tcPr>
          <w:p w14:paraId="6FE07702" w14:textId="7695A287" w:rsidR="00544E4E" w:rsidRPr="000E7769" w:rsidRDefault="00544E4E" w:rsidP="00BE60F3">
            <w:pPr>
              <w:spacing w:before="120" w:after="120"/>
              <w:rPr>
                <w:sz w:val="20"/>
                <w:szCs w:val="20"/>
              </w:rPr>
            </w:pPr>
            <w:r w:rsidRPr="000E7769">
              <w:rPr>
                <w:sz w:val="20"/>
                <w:szCs w:val="20"/>
              </w:rPr>
              <w:t>Face</w:t>
            </w:r>
            <w:r w:rsidR="005A5CA7">
              <w:rPr>
                <w:sz w:val="20"/>
                <w:szCs w:val="20"/>
              </w:rPr>
              <w:t>-</w:t>
            </w:r>
            <w:r w:rsidRPr="000E7769">
              <w:rPr>
                <w:sz w:val="20"/>
                <w:szCs w:val="20"/>
              </w:rPr>
              <w:t>to</w:t>
            </w:r>
            <w:r w:rsidR="005A5CA7">
              <w:rPr>
                <w:sz w:val="20"/>
                <w:szCs w:val="20"/>
              </w:rPr>
              <w:t>-</w:t>
            </w:r>
            <w:r w:rsidRPr="000E7769">
              <w:rPr>
                <w:sz w:val="20"/>
                <w:szCs w:val="20"/>
              </w:rPr>
              <w:t>face meeting</w:t>
            </w:r>
          </w:p>
        </w:tc>
        <w:tc>
          <w:tcPr>
            <w:tcW w:w="4184" w:type="dxa"/>
          </w:tcPr>
          <w:p w14:paraId="114281A3" w14:textId="77777777" w:rsidR="00544E4E" w:rsidRPr="000E7769" w:rsidRDefault="00544E4E" w:rsidP="00BE60F3">
            <w:pPr>
              <w:spacing w:before="120" w:after="120"/>
              <w:rPr>
                <w:sz w:val="20"/>
                <w:szCs w:val="20"/>
              </w:rPr>
            </w:pPr>
            <w:r w:rsidRPr="000E7769">
              <w:rPr>
                <w:sz w:val="20"/>
                <w:szCs w:val="20"/>
              </w:rPr>
              <w:t>DFAT Senior Performance and Quality adviser: Canberra.</w:t>
            </w:r>
          </w:p>
        </w:tc>
      </w:tr>
      <w:tr w:rsidR="00544E4E" w:rsidRPr="000E7769" w14:paraId="4A9D7791" w14:textId="77777777" w:rsidTr="00374F0F">
        <w:trPr>
          <w:cantSplit/>
        </w:trPr>
        <w:tc>
          <w:tcPr>
            <w:tcW w:w="1951" w:type="dxa"/>
          </w:tcPr>
          <w:p w14:paraId="62E61DCB" w14:textId="77777777" w:rsidR="00544E4E" w:rsidRPr="000E7769" w:rsidRDefault="00544E4E" w:rsidP="00BE60F3">
            <w:pPr>
              <w:spacing w:before="120" w:after="120"/>
              <w:rPr>
                <w:sz w:val="20"/>
                <w:szCs w:val="20"/>
              </w:rPr>
            </w:pPr>
            <w:r w:rsidRPr="000E7769">
              <w:rPr>
                <w:sz w:val="20"/>
                <w:szCs w:val="20"/>
              </w:rPr>
              <w:t>17 July to 26 July</w:t>
            </w:r>
          </w:p>
        </w:tc>
        <w:tc>
          <w:tcPr>
            <w:tcW w:w="3107" w:type="dxa"/>
          </w:tcPr>
          <w:p w14:paraId="3111EC1C" w14:textId="77777777" w:rsidR="00544E4E" w:rsidRPr="000E7769" w:rsidRDefault="00544E4E" w:rsidP="00BE60F3">
            <w:pPr>
              <w:spacing w:before="120" w:after="120"/>
              <w:rPr>
                <w:sz w:val="20"/>
                <w:szCs w:val="20"/>
              </w:rPr>
            </w:pPr>
            <w:r w:rsidRPr="000E7769">
              <w:rPr>
                <w:sz w:val="20"/>
                <w:szCs w:val="20"/>
              </w:rPr>
              <w:t xml:space="preserve">Framework scoping meetings: Australian agencies </w:t>
            </w:r>
          </w:p>
        </w:tc>
        <w:tc>
          <w:tcPr>
            <w:tcW w:w="4184" w:type="dxa"/>
          </w:tcPr>
          <w:p w14:paraId="179BAF36" w14:textId="77777777" w:rsidR="00544E4E" w:rsidRPr="000E7769" w:rsidRDefault="00544E4E" w:rsidP="00BE60F3">
            <w:pPr>
              <w:spacing w:before="120" w:after="120"/>
              <w:rPr>
                <w:sz w:val="20"/>
                <w:szCs w:val="20"/>
              </w:rPr>
            </w:pPr>
            <w:r w:rsidRPr="000E7769">
              <w:rPr>
                <w:sz w:val="20"/>
                <w:szCs w:val="20"/>
              </w:rPr>
              <w:t>Prospera Australian agency implementers 14 agencies in Canberra and Sydney (8</w:t>
            </w:r>
            <w:r>
              <w:rPr>
                <w:sz w:val="20"/>
                <w:szCs w:val="20"/>
              </w:rPr>
              <w:t> </w:t>
            </w:r>
            <w:r w:rsidRPr="000E7769">
              <w:rPr>
                <w:sz w:val="20"/>
                <w:szCs w:val="20"/>
              </w:rPr>
              <w:t>meetings).</w:t>
            </w:r>
          </w:p>
        </w:tc>
      </w:tr>
      <w:tr w:rsidR="00544E4E" w:rsidRPr="000E7769" w14:paraId="3847D1C0" w14:textId="77777777" w:rsidTr="00374F0F">
        <w:trPr>
          <w:cantSplit/>
        </w:trPr>
        <w:tc>
          <w:tcPr>
            <w:tcW w:w="1951" w:type="dxa"/>
          </w:tcPr>
          <w:p w14:paraId="1600E46C" w14:textId="77777777" w:rsidR="00544E4E" w:rsidRPr="000E7769" w:rsidRDefault="00544E4E" w:rsidP="00BE60F3">
            <w:pPr>
              <w:spacing w:before="120" w:after="120"/>
              <w:rPr>
                <w:sz w:val="20"/>
                <w:szCs w:val="20"/>
              </w:rPr>
            </w:pPr>
            <w:r w:rsidRPr="000E7769">
              <w:rPr>
                <w:sz w:val="20"/>
                <w:szCs w:val="20"/>
              </w:rPr>
              <w:t>8,9,13 August</w:t>
            </w:r>
          </w:p>
        </w:tc>
        <w:tc>
          <w:tcPr>
            <w:tcW w:w="3107" w:type="dxa"/>
          </w:tcPr>
          <w:p w14:paraId="3B47C88B" w14:textId="77777777" w:rsidR="00544E4E" w:rsidRPr="000E7769" w:rsidRDefault="00544E4E" w:rsidP="00BE60F3">
            <w:pPr>
              <w:spacing w:before="120" w:after="120"/>
              <w:rPr>
                <w:sz w:val="20"/>
                <w:szCs w:val="20"/>
              </w:rPr>
            </w:pPr>
            <w:r w:rsidRPr="000E7769">
              <w:rPr>
                <w:sz w:val="20"/>
                <w:szCs w:val="20"/>
              </w:rPr>
              <w:t>Framework scoping meetings:  Indonesian partners and Advisory teams</w:t>
            </w:r>
          </w:p>
        </w:tc>
        <w:tc>
          <w:tcPr>
            <w:tcW w:w="4184" w:type="dxa"/>
          </w:tcPr>
          <w:p w14:paraId="4BE55702" w14:textId="350B802E" w:rsidR="00544E4E" w:rsidRPr="000E7769" w:rsidRDefault="00544E4E" w:rsidP="00BE60F3">
            <w:pPr>
              <w:spacing w:before="120" w:after="120"/>
              <w:rPr>
                <w:sz w:val="20"/>
                <w:szCs w:val="20"/>
              </w:rPr>
            </w:pPr>
            <w:r w:rsidRPr="000E7769">
              <w:rPr>
                <w:sz w:val="20"/>
                <w:szCs w:val="20"/>
              </w:rPr>
              <w:t>Prospera advisers and Indonesian government officials</w:t>
            </w:r>
            <w:r w:rsidR="00D92CDD">
              <w:rPr>
                <w:sz w:val="20"/>
                <w:szCs w:val="20"/>
              </w:rPr>
              <w:t xml:space="preserve"> from 7 partner agencies</w:t>
            </w:r>
            <w:r w:rsidRPr="000E7769">
              <w:rPr>
                <w:sz w:val="20"/>
                <w:szCs w:val="20"/>
              </w:rPr>
              <w:t xml:space="preserve"> in Jakarta (3 mini</w:t>
            </w:r>
            <w:r w:rsidRPr="000E7769">
              <w:rPr>
                <w:sz w:val="20"/>
                <w:szCs w:val="20"/>
              </w:rPr>
              <w:noBreakHyphen/>
              <w:t xml:space="preserve">workshops). </w:t>
            </w:r>
          </w:p>
        </w:tc>
      </w:tr>
      <w:tr w:rsidR="00544E4E" w:rsidRPr="000E7769" w14:paraId="1C2064C8" w14:textId="77777777" w:rsidTr="00374F0F">
        <w:trPr>
          <w:cantSplit/>
        </w:trPr>
        <w:tc>
          <w:tcPr>
            <w:tcW w:w="1951" w:type="dxa"/>
          </w:tcPr>
          <w:p w14:paraId="36468D6A" w14:textId="4BC92B7A" w:rsidR="00544E4E" w:rsidRPr="000E7769" w:rsidRDefault="00544E4E" w:rsidP="00BE60F3">
            <w:pPr>
              <w:spacing w:before="120" w:after="120"/>
              <w:rPr>
                <w:sz w:val="20"/>
                <w:szCs w:val="20"/>
              </w:rPr>
            </w:pPr>
            <w:r>
              <w:rPr>
                <w:sz w:val="20"/>
                <w:szCs w:val="20"/>
              </w:rPr>
              <w:t>15 August, 6</w:t>
            </w:r>
            <w:r w:rsidR="00A2418F">
              <w:rPr>
                <w:sz w:val="20"/>
                <w:szCs w:val="20"/>
              </w:rPr>
              <w:t> </w:t>
            </w:r>
            <w:r w:rsidRPr="000E7769">
              <w:rPr>
                <w:sz w:val="20"/>
                <w:szCs w:val="20"/>
              </w:rPr>
              <w:t xml:space="preserve">September </w:t>
            </w:r>
          </w:p>
        </w:tc>
        <w:tc>
          <w:tcPr>
            <w:tcW w:w="3107" w:type="dxa"/>
          </w:tcPr>
          <w:p w14:paraId="4BABED1B" w14:textId="77777777" w:rsidR="00544E4E" w:rsidRPr="000E7769" w:rsidRDefault="00544E4E" w:rsidP="00BE60F3">
            <w:pPr>
              <w:spacing w:before="120" w:after="120"/>
              <w:rPr>
                <w:sz w:val="20"/>
                <w:szCs w:val="20"/>
              </w:rPr>
            </w:pPr>
            <w:r w:rsidRPr="000E7769">
              <w:rPr>
                <w:sz w:val="20"/>
                <w:szCs w:val="20"/>
              </w:rPr>
              <w:t xml:space="preserve">Outcomes mapping workshops, Australian agencies, Advisory teams, DFAT and Indonesian Co-chair </w:t>
            </w:r>
          </w:p>
        </w:tc>
        <w:tc>
          <w:tcPr>
            <w:tcW w:w="4184" w:type="dxa"/>
          </w:tcPr>
          <w:p w14:paraId="1DB3F73B" w14:textId="42627041" w:rsidR="00544E4E" w:rsidRPr="00A0703D" w:rsidRDefault="00544E4E" w:rsidP="00BE60F3">
            <w:pPr>
              <w:spacing w:before="120" w:after="120"/>
              <w:rPr>
                <w:sz w:val="20"/>
                <w:szCs w:val="20"/>
                <w:lang w:val="id-ID"/>
              </w:rPr>
            </w:pPr>
            <w:r w:rsidRPr="000E7769">
              <w:rPr>
                <w:sz w:val="20"/>
                <w:szCs w:val="20"/>
              </w:rPr>
              <w:t>DFAT officials, Prospera management team, Prospera advisers, Australian agency officials, Indonesian government officials from Coordinating Economic Ministry in Jakarta and Canberra (2 whole-day workshops)</w:t>
            </w:r>
            <w:r w:rsidR="00A0703D">
              <w:rPr>
                <w:sz w:val="20"/>
                <w:szCs w:val="20"/>
                <w:lang w:val="id-ID"/>
              </w:rPr>
              <w:t>.</w:t>
            </w:r>
          </w:p>
        </w:tc>
      </w:tr>
      <w:tr w:rsidR="00544E4E" w:rsidRPr="000E7769" w14:paraId="4748BCF2" w14:textId="77777777" w:rsidTr="00374F0F">
        <w:trPr>
          <w:cantSplit/>
        </w:trPr>
        <w:tc>
          <w:tcPr>
            <w:tcW w:w="1951" w:type="dxa"/>
          </w:tcPr>
          <w:p w14:paraId="21C71809" w14:textId="0A4D1196" w:rsidR="00544E4E" w:rsidRPr="000E7769" w:rsidRDefault="00544E4E" w:rsidP="00BE60F3">
            <w:pPr>
              <w:spacing w:before="120" w:after="120"/>
              <w:rPr>
                <w:sz w:val="20"/>
                <w:szCs w:val="20"/>
              </w:rPr>
            </w:pPr>
            <w:r w:rsidRPr="000E7769">
              <w:rPr>
                <w:sz w:val="20"/>
                <w:szCs w:val="20"/>
              </w:rPr>
              <w:t xml:space="preserve">July to </w:t>
            </w:r>
            <w:r w:rsidR="00A2418F">
              <w:rPr>
                <w:sz w:val="20"/>
                <w:szCs w:val="20"/>
              </w:rPr>
              <w:t>November</w:t>
            </w:r>
            <w:r w:rsidRPr="000E7769">
              <w:rPr>
                <w:sz w:val="20"/>
                <w:szCs w:val="20"/>
              </w:rPr>
              <w:t xml:space="preserve"> </w:t>
            </w:r>
          </w:p>
        </w:tc>
        <w:tc>
          <w:tcPr>
            <w:tcW w:w="3107" w:type="dxa"/>
          </w:tcPr>
          <w:p w14:paraId="6DF1E0C4" w14:textId="77777777" w:rsidR="00544E4E" w:rsidRPr="000E7769" w:rsidRDefault="00544E4E" w:rsidP="00BE60F3">
            <w:pPr>
              <w:spacing w:before="120" w:after="120"/>
              <w:rPr>
                <w:sz w:val="20"/>
                <w:szCs w:val="20"/>
              </w:rPr>
            </w:pPr>
            <w:r w:rsidRPr="000E7769">
              <w:rPr>
                <w:sz w:val="20"/>
                <w:szCs w:val="20"/>
              </w:rPr>
              <w:t>Direct conversations</w:t>
            </w:r>
          </w:p>
        </w:tc>
        <w:tc>
          <w:tcPr>
            <w:tcW w:w="4184" w:type="dxa"/>
          </w:tcPr>
          <w:p w14:paraId="7348B4B0" w14:textId="45EA2CEB" w:rsidR="00544E4E" w:rsidRPr="00A0703D" w:rsidRDefault="00544E4E" w:rsidP="00BE60F3">
            <w:pPr>
              <w:spacing w:before="120" w:after="120"/>
              <w:rPr>
                <w:sz w:val="20"/>
                <w:szCs w:val="20"/>
                <w:lang w:val="id-ID"/>
              </w:rPr>
            </w:pPr>
            <w:r w:rsidRPr="000E7769">
              <w:rPr>
                <w:sz w:val="20"/>
                <w:szCs w:val="20"/>
              </w:rPr>
              <w:t xml:space="preserve">DFAT officials, Prospera management team, Prospera advisers, </w:t>
            </w:r>
            <w:r w:rsidR="00D92CDD" w:rsidRPr="000E7769">
              <w:rPr>
                <w:sz w:val="20"/>
                <w:szCs w:val="20"/>
              </w:rPr>
              <w:t>Indonesian government officials</w:t>
            </w:r>
            <w:r w:rsidR="00D92CDD">
              <w:rPr>
                <w:sz w:val="20"/>
                <w:szCs w:val="20"/>
              </w:rPr>
              <w:t xml:space="preserve">, </w:t>
            </w:r>
            <w:r w:rsidRPr="000E7769">
              <w:rPr>
                <w:sz w:val="20"/>
                <w:szCs w:val="20"/>
              </w:rPr>
              <w:t>Australian agency officials, in Jakarta, Canberra and Sydney (in person or by phone)</w:t>
            </w:r>
            <w:r w:rsidR="00A0703D">
              <w:rPr>
                <w:sz w:val="20"/>
                <w:szCs w:val="20"/>
                <w:lang w:val="id-ID"/>
              </w:rPr>
              <w:t>.</w:t>
            </w:r>
          </w:p>
        </w:tc>
      </w:tr>
    </w:tbl>
    <w:p w14:paraId="71EE8DEF" w14:textId="77777777" w:rsidR="00D44B76" w:rsidRDefault="00D44B76" w:rsidP="00BE60F3">
      <w:pPr>
        <w:pStyle w:val="BodyText"/>
      </w:pPr>
      <w:bookmarkStart w:id="60" w:name="_Hlk524976253"/>
    </w:p>
    <w:p w14:paraId="4C85773D" w14:textId="5D365FAE" w:rsidR="001607C5" w:rsidRDefault="00544E4E" w:rsidP="00BE60F3">
      <w:pPr>
        <w:pStyle w:val="BodyText"/>
      </w:pPr>
      <w:r>
        <w:t xml:space="preserve">Over 100 people participated in the development of the Framework </w:t>
      </w:r>
      <w:bookmarkEnd w:id="60"/>
      <w:r>
        <w:t xml:space="preserve">as summarised in Table 3. A full list of people consulted is </w:t>
      </w:r>
      <w:r w:rsidRPr="00D313C0">
        <w:t>included in Annex</w:t>
      </w:r>
      <w:r w:rsidR="00B30435">
        <w:t xml:space="preserve"> 9</w:t>
      </w:r>
      <w:r w:rsidRPr="00D313C0">
        <w:t xml:space="preserve">. </w:t>
      </w:r>
    </w:p>
    <w:p w14:paraId="59600145" w14:textId="77777777" w:rsidR="001607C5" w:rsidRDefault="001607C5">
      <w:pPr>
        <w:spacing w:after="0" w:line="240" w:lineRule="auto"/>
        <w:rPr>
          <w:sz w:val="20"/>
        </w:rPr>
      </w:pPr>
      <w:r>
        <w:br w:type="page"/>
      </w:r>
    </w:p>
    <w:p w14:paraId="373C4B82" w14:textId="7E75C612" w:rsidR="00544E4E" w:rsidRPr="00D313C0" w:rsidRDefault="00544E4E" w:rsidP="00326160">
      <w:pPr>
        <w:pStyle w:val="Tabletext"/>
        <w:jc w:val="left"/>
        <w:rPr>
          <w:b/>
        </w:rPr>
      </w:pPr>
      <w:r w:rsidRPr="00D313C0">
        <w:rPr>
          <w:b/>
        </w:rPr>
        <w:t xml:space="preserve">Table </w:t>
      </w:r>
      <w:r w:rsidRPr="00D313C0">
        <w:rPr>
          <w:b/>
          <w:noProof/>
        </w:rPr>
        <w:fldChar w:fldCharType="begin"/>
      </w:r>
      <w:r w:rsidRPr="00D313C0">
        <w:rPr>
          <w:b/>
          <w:noProof/>
        </w:rPr>
        <w:instrText xml:space="preserve"> SEQ Table \* ARABIC </w:instrText>
      </w:r>
      <w:r w:rsidRPr="00D313C0">
        <w:rPr>
          <w:b/>
          <w:noProof/>
        </w:rPr>
        <w:fldChar w:fldCharType="separate"/>
      </w:r>
      <w:r w:rsidR="00B651D6">
        <w:rPr>
          <w:b/>
          <w:noProof/>
        </w:rPr>
        <w:t>3</w:t>
      </w:r>
      <w:r w:rsidRPr="00D313C0">
        <w:rPr>
          <w:b/>
          <w:noProof/>
        </w:rPr>
        <w:fldChar w:fldCharType="end"/>
      </w:r>
      <w:r w:rsidR="001654C7" w:rsidRPr="00D313C0">
        <w:rPr>
          <w:b/>
          <w:noProof/>
          <w:lang w:val="id-ID"/>
        </w:rPr>
        <w:t>.</w:t>
      </w:r>
      <w:r w:rsidRPr="00D313C0">
        <w:rPr>
          <w:b/>
        </w:rPr>
        <w:t xml:space="preserve"> Number of people consulted</w:t>
      </w:r>
    </w:p>
    <w:tbl>
      <w:tblPr>
        <w:tblW w:w="7554" w:type="dxa"/>
        <w:tblLook w:val="04A0" w:firstRow="1" w:lastRow="0" w:firstColumn="1" w:lastColumn="0" w:noHBand="0" w:noVBand="1"/>
      </w:tblPr>
      <w:tblGrid>
        <w:gridCol w:w="4494"/>
        <w:gridCol w:w="899"/>
        <w:gridCol w:w="1260"/>
        <w:gridCol w:w="901"/>
      </w:tblGrid>
      <w:tr w:rsidR="00544E4E" w:rsidRPr="00D313C0" w14:paraId="2083BAB0" w14:textId="77777777" w:rsidTr="00326160">
        <w:trPr>
          <w:trHeight w:val="300"/>
        </w:trPr>
        <w:tc>
          <w:tcPr>
            <w:tcW w:w="4494" w:type="dxa"/>
            <w:vMerge w:val="restart"/>
            <w:tcBorders>
              <w:top w:val="single" w:sz="8" w:space="0" w:color="auto"/>
              <w:left w:val="single" w:sz="8" w:space="0" w:color="auto"/>
              <w:right w:val="single" w:sz="8" w:space="0" w:color="auto"/>
            </w:tcBorders>
            <w:shd w:val="clear" w:color="auto" w:fill="20ABCA" w:themeFill="accent6"/>
            <w:noWrap/>
            <w:vAlign w:val="center"/>
          </w:tcPr>
          <w:p w14:paraId="1F2986BB" w14:textId="77777777" w:rsidR="00544E4E" w:rsidRPr="00D313C0" w:rsidRDefault="00544E4E" w:rsidP="00BE60F3">
            <w:pPr>
              <w:pStyle w:val="BodyText"/>
              <w:spacing w:after="0" w:line="240" w:lineRule="auto"/>
              <w:rPr>
                <w:b/>
                <w:color w:val="FFFFFF" w:themeColor="background1"/>
                <w:lang w:val="en-US"/>
              </w:rPr>
            </w:pPr>
            <w:r w:rsidRPr="00D313C0">
              <w:rPr>
                <w:b/>
                <w:color w:val="FFFFFF" w:themeColor="background1"/>
                <w:lang w:val="en-US"/>
              </w:rPr>
              <w:t>Group</w:t>
            </w:r>
          </w:p>
        </w:tc>
        <w:tc>
          <w:tcPr>
            <w:tcW w:w="3060" w:type="dxa"/>
            <w:gridSpan w:val="3"/>
            <w:tcBorders>
              <w:top w:val="single" w:sz="8" w:space="0" w:color="auto"/>
              <w:left w:val="nil"/>
              <w:bottom w:val="single" w:sz="8" w:space="0" w:color="auto"/>
              <w:right w:val="single" w:sz="8" w:space="0" w:color="000000"/>
            </w:tcBorders>
            <w:shd w:val="clear" w:color="auto" w:fill="20ABCA" w:themeFill="accent6"/>
            <w:noWrap/>
            <w:vAlign w:val="center"/>
            <w:hideMark/>
          </w:tcPr>
          <w:p w14:paraId="172278DF" w14:textId="77777777" w:rsidR="00544E4E" w:rsidRPr="00D313C0" w:rsidRDefault="00544E4E" w:rsidP="00BE60F3">
            <w:pPr>
              <w:pStyle w:val="BodyText"/>
              <w:spacing w:after="0" w:line="240" w:lineRule="auto"/>
              <w:rPr>
                <w:b/>
                <w:color w:val="FFFFFF" w:themeColor="background1"/>
                <w:lang w:val="en-US"/>
              </w:rPr>
            </w:pPr>
            <w:r w:rsidRPr="00D313C0">
              <w:rPr>
                <w:b/>
                <w:color w:val="FFFFFF" w:themeColor="background1"/>
                <w:lang w:val="en-US" w:eastAsia="id-ID"/>
              </w:rPr>
              <w:t>Number of People Consulted</w:t>
            </w:r>
          </w:p>
        </w:tc>
      </w:tr>
      <w:tr w:rsidR="00544E4E" w:rsidRPr="001654C7" w14:paraId="3BEABF61" w14:textId="77777777" w:rsidTr="00326160">
        <w:trPr>
          <w:trHeight w:val="300"/>
        </w:trPr>
        <w:tc>
          <w:tcPr>
            <w:tcW w:w="4494" w:type="dxa"/>
            <w:vMerge/>
            <w:tcBorders>
              <w:left w:val="single" w:sz="8" w:space="0" w:color="auto"/>
              <w:bottom w:val="single" w:sz="8" w:space="0" w:color="auto"/>
              <w:right w:val="single" w:sz="8" w:space="0" w:color="auto"/>
            </w:tcBorders>
            <w:shd w:val="clear" w:color="auto" w:fill="20ABCA" w:themeFill="accent6"/>
            <w:noWrap/>
            <w:vAlign w:val="center"/>
          </w:tcPr>
          <w:p w14:paraId="789DA3D6" w14:textId="77777777" w:rsidR="00544E4E" w:rsidRPr="00D313C0" w:rsidRDefault="00544E4E" w:rsidP="00BE60F3">
            <w:pPr>
              <w:pStyle w:val="BodyText"/>
              <w:spacing w:after="0" w:line="240" w:lineRule="auto"/>
              <w:rPr>
                <w:b/>
                <w:color w:val="FFFFFF" w:themeColor="background1"/>
                <w:lang w:val="en-US"/>
              </w:rPr>
            </w:pPr>
          </w:p>
        </w:tc>
        <w:tc>
          <w:tcPr>
            <w:tcW w:w="899" w:type="dxa"/>
            <w:tcBorders>
              <w:top w:val="nil"/>
              <w:left w:val="nil"/>
              <w:bottom w:val="single" w:sz="8" w:space="0" w:color="auto"/>
              <w:right w:val="single" w:sz="8" w:space="0" w:color="auto"/>
            </w:tcBorders>
            <w:shd w:val="clear" w:color="auto" w:fill="20ABCA" w:themeFill="accent6"/>
            <w:noWrap/>
            <w:vAlign w:val="center"/>
            <w:hideMark/>
          </w:tcPr>
          <w:p w14:paraId="52A347E5" w14:textId="77777777" w:rsidR="00544E4E" w:rsidRPr="00D313C0" w:rsidRDefault="00544E4E" w:rsidP="00BE60F3">
            <w:pPr>
              <w:pStyle w:val="BodyText"/>
              <w:spacing w:after="0" w:line="240" w:lineRule="auto"/>
              <w:rPr>
                <w:b/>
                <w:color w:val="FFFFFF" w:themeColor="background1"/>
                <w:lang w:val="en-US"/>
              </w:rPr>
            </w:pPr>
            <w:r w:rsidRPr="00D313C0">
              <w:rPr>
                <w:b/>
                <w:color w:val="FFFFFF" w:themeColor="background1"/>
                <w:lang w:val="en-US" w:eastAsia="id-ID"/>
              </w:rPr>
              <w:t>Male</w:t>
            </w:r>
          </w:p>
        </w:tc>
        <w:tc>
          <w:tcPr>
            <w:tcW w:w="1260" w:type="dxa"/>
            <w:tcBorders>
              <w:top w:val="nil"/>
              <w:left w:val="nil"/>
              <w:bottom w:val="single" w:sz="8" w:space="0" w:color="auto"/>
              <w:right w:val="single" w:sz="8" w:space="0" w:color="auto"/>
            </w:tcBorders>
            <w:shd w:val="clear" w:color="auto" w:fill="20ABCA" w:themeFill="accent6"/>
            <w:noWrap/>
            <w:vAlign w:val="center"/>
            <w:hideMark/>
          </w:tcPr>
          <w:p w14:paraId="5D09FF78" w14:textId="77777777" w:rsidR="00544E4E" w:rsidRPr="00D313C0" w:rsidRDefault="00544E4E" w:rsidP="00BE60F3">
            <w:pPr>
              <w:pStyle w:val="BodyText"/>
              <w:spacing w:after="0" w:line="240" w:lineRule="auto"/>
              <w:rPr>
                <w:b/>
                <w:color w:val="FFFFFF" w:themeColor="background1"/>
                <w:lang w:val="en-US"/>
              </w:rPr>
            </w:pPr>
            <w:r w:rsidRPr="00D313C0">
              <w:rPr>
                <w:b/>
                <w:color w:val="FFFFFF" w:themeColor="background1"/>
                <w:lang w:val="en-US" w:eastAsia="id-ID"/>
              </w:rPr>
              <w:t>Female</w:t>
            </w:r>
          </w:p>
        </w:tc>
        <w:tc>
          <w:tcPr>
            <w:tcW w:w="901" w:type="dxa"/>
            <w:tcBorders>
              <w:top w:val="nil"/>
              <w:left w:val="nil"/>
              <w:bottom w:val="single" w:sz="8" w:space="0" w:color="auto"/>
              <w:right w:val="single" w:sz="8" w:space="0" w:color="auto"/>
            </w:tcBorders>
            <w:shd w:val="clear" w:color="auto" w:fill="20ABCA" w:themeFill="accent6"/>
            <w:noWrap/>
            <w:vAlign w:val="center"/>
            <w:hideMark/>
          </w:tcPr>
          <w:p w14:paraId="639A9248" w14:textId="77777777" w:rsidR="00544E4E" w:rsidRPr="001654C7" w:rsidRDefault="00544E4E" w:rsidP="00BE60F3">
            <w:pPr>
              <w:pStyle w:val="BodyText"/>
              <w:spacing w:after="0" w:line="240" w:lineRule="auto"/>
              <w:rPr>
                <w:b/>
                <w:color w:val="FFFFFF" w:themeColor="background1"/>
                <w:lang w:val="en-US"/>
              </w:rPr>
            </w:pPr>
            <w:r w:rsidRPr="00D313C0">
              <w:rPr>
                <w:b/>
                <w:color w:val="FFFFFF" w:themeColor="background1"/>
                <w:lang w:val="en-US" w:eastAsia="id-ID"/>
              </w:rPr>
              <w:t>Total</w:t>
            </w:r>
          </w:p>
        </w:tc>
      </w:tr>
      <w:tr w:rsidR="00544E4E" w:rsidRPr="0049466D" w14:paraId="4C64F05F" w14:textId="77777777" w:rsidTr="00326160">
        <w:trPr>
          <w:trHeight w:val="300"/>
        </w:trPr>
        <w:tc>
          <w:tcPr>
            <w:tcW w:w="4494" w:type="dxa"/>
            <w:tcBorders>
              <w:top w:val="nil"/>
              <w:left w:val="single" w:sz="8" w:space="0" w:color="auto"/>
              <w:bottom w:val="single" w:sz="8" w:space="0" w:color="auto"/>
              <w:right w:val="single" w:sz="8" w:space="0" w:color="auto"/>
            </w:tcBorders>
            <w:shd w:val="clear" w:color="auto" w:fill="auto"/>
            <w:noWrap/>
            <w:vAlign w:val="center"/>
            <w:hideMark/>
          </w:tcPr>
          <w:p w14:paraId="37BCC34E" w14:textId="77777777" w:rsidR="00544E4E" w:rsidRPr="0049466D" w:rsidRDefault="00544E4E" w:rsidP="00BE60F3">
            <w:pPr>
              <w:pStyle w:val="BodyText"/>
              <w:rPr>
                <w:color w:val="000000"/>
                <w:lang w:val="en-US"/>
              </w:rPr>
            </w:pPr>
            <w:r w:rsidRPr="0049466D">
              <w:rPr>
                <w:color w:val="000000"/>
                <w:lang w:val="en-US" w:eastAsia="id-ID"/>
              </w:rPr>
              <w:t xml:space="preserve">Indonesian government </w:t>
            </w:r>
          </w:p>
        </w:tc>
        <w:tc>
          <w:tcPr>
            <w:tcW w:w="899" w:type="dxa"/>
            <w:tcBorders>
              <w:top w:val="nil"/>
              <w:left w:val="nil"/>
              <w:bottom w:val="single" w:sz="8" w:space="0" w:color="auto"/>
              <w:right w:val="single" w:sz="8" w:space="0" w:color="auto"/>
            </w:tcBorders>
            <w:shd w:val="clear" w:color="auto" w:fill="auto"/>
            <w:noWrap/>
            <w:hideMark/>
          </w:tcPr>
          <w:p w14:paraId="5F9D63B9" w14:textId="77777777" w:rsidR="00544E4E" w:rsidRPr="0049466D" w:rsidRDefault="00544E4E" w:rsidP="003C34CE">
            <w:pPr>
              <w:pStyle w:val="BodyText"/>
              <w:jc w:val="center"/>
              <w:rPr>
                <w:color w:val="000000"/>
                <w:lang w:val="en-US"/>
              </w:rPr>
            </w:pPr>
            <w:r w:rsidRPr="0049466D">
              <w:t>15</w:t>
            </w:r>
          </w:p>
        </w:tc>
        <w:tc>
          <w:tcPr>
            <w:tcW w:w="1260" w:type="dxa"/>
            <w:tcBorders>
              <w:top w:val="nil"/>
              <w:left w:val="nil"/>
              <w:bottom w:val="single" w:sz="8" w:space="0" w:color="auto"/>
              <w:right w:val="single" w:sz="8" w:space="0" w:color="auto"/>
            </w:tcBorders>
            <w:shd w:val="clear" w:color="auto" w:fill="auto"/>
            <w:noWrap/>
            <w:hideMark/>
          </w:tcPr>
          <w:p w14:paraId="340788A0" w14:textId="77777777" w:rsidR="00544E4E" w:rsidRPr="0049466D" w:rsidRDefault="00544E4E" w:rsidP="003C34CE">
            <w:pPr>
              <w:pStyle w:val="BodyText"/>
              <w:jc w:val="center"/>
              <w:rPr>
                <w:color w:val="000000"/>
                <w:lang w:val="en-US"/>
              </w:rPr>
            </w:pPr>
            <w:r w:rsidRPr="0049466D">
              <w:t>5</w:t>
            </w:r>
          </w:p>
        </w:tc>
        <w:tc>
          <w:tcPr>
            <w:tcW w:w="901" w:type="dxa"/>
            <w:tcBorders>
              <w:top w:val="nil"/>
              <w:left w:val="nil"/>
              <w:bottom w:val="single" w:sz="8" w:space="0" w:color="auto"/>
              <w:right w:val="single" w:sz="8" w:space="0" w:color="auto"/>
            </w:tcBorders>
            <w:shd w:val="clear" w:color="auto" w:fill="auto"/>
            <w:noWrap/>
            <w:hideMark/>
          </w:tcPr>
          <w:p w14:paraId="2011227E" w14:textId="77777777" w:rsidR="00544E4E" w:rsidRPr="0049466D" w:rsidRDefault="00544E4E" w:rsidP="003C34CE">
            <w:pPr>
              <w:pStyle w:val="BodyText"/>
              <w:jc w:val="center"/>
              <w:rPr>
                <w:color w:val="000000"/>
                <w:lang w:val="en-US"/>
              </w:rPr>
            </w:pPr>
            <w:r w:rsidRPr="0049466D">
              <w:t>20</w:t>
            </w:r>
          </w:p>
        </w:tc>
      </w:tr>
      <w:tr w:rsidR="00544E4E" w:rsidRPr="0049466D" w14:paraId="51FE5EDA" w14:textId="77777777" w:rsidTr="00326160">
        <w:trPr>
          <w:trHeight w:val="300"/>
        </w:trPr>
        <w:tc>
          <w:tcPr>
            <w:tcW w:w="4494" w:type="dxa"/>
            <w:tcBorders>
              <w:top w:val="nil"/>
              <w:left w:val="single" w:sz="8" w:space="0" w:color="auto"/>
              <w:bottom w:val="single" w:sz="8" w:space="0" w:color="auto"/>
              <w:right w:val="single" w:sz="8" w:space="0" w:color="auto"/>
            </w:tcBorders>
            <w:shd w:val="clear" w:color="auto" w:fill="auto"/>
            <w:noWrap/>
            <w:vAlign w:val="center"/>
            <w:hideMark/>
          </w:tcPr>
          <w:p w14:paraId="576659FB" w14:textId="77777777" w:rsidR="00544E4E" w:rsidRPr="0049466D" w:rsidRDefault="00544E4E" w:rsidP="00BE60F3">
            <w:pPr>
              <w:pStyle w:val="BodyText"/>
              <w:rPr>
                <w:color w:val="000000"/>
                <w:lang w:val="en-US"/>
              </w:rPr>
            </w:pPr>
            <w:r w:rsidRPr="0049466D">
              <w:rPr>
                <w:color w:val="000000"/>
                <w:lang w:val="en-US" w:eastAsia="id-ID"/>
              </w:rPr>
              <w:t xml:space="preserve">Department of Foreign Affairs and Trade </w:t>
            </w:r>
          </w:p>
        </w:tc>
        <w:tc>
          <w:tcPr>
            <w:tcW w:w="899" w:type="dxa"/>
            <w:tcBorders>
              <w:top w:val="nil"/>
              <w:left w:val="nil"/>
              <w:bottom w:val="single" w:sz="8" w:space="0" w:color="auto"/>
              <w:right w:val="single" w:sz="8" w:space="0" w:color="auto"/>
            </w:tcBorders>
            <w:shd w:val="clear" w:color="auto" w:fill="auto"/>
            <w:noWrap/>
            <w:hideMark/>
          </w:tcPr>
          <w:p w14:paraId="0C96DA7D" w14:textId="77777777" w:rsidR="00544E4E" w:rsidRPr="0049466D" w:rsidRDefault="00544E4E" w:rsidP="003C34CE">
            <w:pPr>
              <w:pStyle w:val="BodyText"/>
              <w:jc w:val="center"/>
              <w:rPr>
                <w:color w:val="000000"/>
                <w:lang w:val="en-US"/>
              </w:rPr>
            </w:pPr>
            <w:r w:rsidRPr="0049466D">
              <w:t>5</w:t>
            </w:r>
          </w:p>
        </w:tc>
        <w:tc>
          <w:tcPr>
            <w:tcW w:w="1260" w:type="dxa"/>
            <w:tcBorders>
              <w:top w:val="nil"/>
              <w:left w:val="nil"/>
              <w:bottom w:val="single" w:sz="8" w:space="0" w:color="auto"/>
              <w:right w:val="single" w:sz="8" w:space="0" w:color="auto"/>
            </w:tcBorders>
            <w:shd w:val="clear" w:color="auto" w:fill="auto"/>
            <w:noWrap/>
            <w:hideMark/>
          </w:tcPr>
          <w:p w14:paraId="12489AE5" w14:textId="77777777" w:rsidR="00544E4E" w:rsidRPr="0049466D" w:rsidRDefault="00544E4E" w:rsidP="003C34CE">
            <w:pPr>
              <w:pStyle w:val="BodyText"/>
              <w:jc w:val="center"/>
              <w:rPr>
                <w:color w:val="000000"/>
                <w:lang w:val="en-US"/>
              </w:rPr>
            </w:pPr>
            <w:r w:rsidRPr="0049466D">
              <w:t>6</w:t>
            </w:r>
          </w:p>
        </w:tc>
        <w:tc>
          <w:tcPr>
            <w:tcW w:w="901" w:type="dxa"/>
            <w:tcBorders>
              <w:top w:val="nil"/>
              <w:left w:val="nil"/>
              <w:bottom w:val="single" w:sz="8" w:space="0" w:color="auto"/>
              <w:right w:val="single" w:sz="8" w:space="0" w:color="auto"/>
            </w:tcBorders>
            <w:shd w:val="clear" w:color="auto" w:fill="auto"/>
            <w:noWrap/>
            <w:hideMark/>
          </w:tcPr>
          <w:p w14:paraId="066B007D" w14:textId="77777777" w:rsidR="00544E4E" w:rsidRPr="0049466D" w:rsidRDefault="00544E4E" w:rsidP="003C34CE">
            <w:pPr>
              <w:pStyle w:val="BodyText"/>
              <w:jc w:val="center"/>
              <w:rPr>
                <w:color w:val="000000"/>
                <w:lang w:val="en-US"/>
              </w:rPr>
            </w:pPr>
            <w:r w:rsidRPr="0049466D">
              <w:t>11</w:t>
            </w:r>
          </w:p>
        </w:tc>
      </w:tr>
      <w:tr w:rsidR="00544E4E" w:rsidRPr="0049466D" w14:paraId="1B256342" w14:textId="77777777" w:rsidTr="00326160">
        <w:trPr>
          <w:trHeight w:val="300"/>
        </w:trPr>
        <w:tc>
          <w:tcPr>
            <w:tcW w:w="4494" w:type="dxa"/>
            <w:tcBorders>
              <w:top w:val="nil"/>
              <w:left w:val="single" w:sz="8" w:space="0" w:color="auto"/>
              <w:bottom w:val="single" w:sz="8" w:space="0" w:color="auto"/>
              <w:right w:val="single" w:sz="8" w:space="0" w:color="auto"/>
            </w:tcBorders>
            <w:shd w:val="clear" w:color="auto" w:fill="auto"/>
            <w:noWrap/>
            <w:vAlign w:val="center"/>
            <w:hideMark/>
          </w:tcPr>
          <w:p w14:paraId="2689A7D0" w14:textId="77777777" w:rsidR="00544E4E" w:rsidRPr="0049466D" w:rsidRDefault="00544E4E" w:rsidP="00BE60F3">
            <w:pPr>
              <w:pStyle w:val="BodyText"/>
              <w:rPr>
                <w:color w:val="000000"/>
                <w:lang w:val="en-US"/>
              </w:rPr>
            </w:pPr>
            <w:r w:rsidRPr="0049466D">
              <w:rPr>
                <w:color w:val="000000"/>
                <w:lang w:val="en-US" w:eastAsia="id-ID"/>
              </w:rPr>
              <w:t xml:space="preserve">Australian agency </w:t>
            </w:r>
          </w:p>
        </w:tc>
        <w:tc>
          <w:tcPr>
            <w:tcW w:w="899" w:type="dxa"/>
            <w:tcBorders>
              <w:top w:val="nil"/>
              <w:left w:val="nil"/>
              <w:bottom w:val="single" w:sz="8" w:space="0" w:color="auto"/>
              <w:right w:val="single" w:sz="8" w:space="0" w:color="auto"/>
            </w:tcBorders>
            <w:shd w:val="clear" w:color="auto" w:fill="auto"/>
            <w:noWrap/>
            <w:hideMark/>
          </w:tcPr>
          <w:p w14:paraId="09F7AF82" w14:textId="77777777" w:rsidR="00544E4E" w:rsidRPr="0049466D" w:rsidRDefault="00544E4E" w:rsidP="003C34CE">
            <w:pPr>
              <w:pStyle w:val="BodyText"/>
              <w:jc w:val="center"/>
              <w:rPr>
                <w:color w:val="000000"/>
                <w:lang w:val="en-US"/>
              </w:rPr>
            </w:pPr>
            <w:r w:rsidRPr="0049466D">
              <w:t>22</w:t>
            </w:r>
          </w:p>
        </w:tc>
        <w:tc>
          <w:tcPr>
            <w:tcW w:w="1260" w:type="dxa"/>
            <w:tcBorders>
              <w:top w:val="nil"/>
              <w:left w:val="nil"/>
              <w:bottom w:val="single" w:sz="8" w:space="0" w:color="auto"/>
              <w:right w:val="single" w:sz="8" w:space="0" w:color="auto"/>
            </w:tcBorders>
            <w:shd w:val="clear" w:color="auto" w:fill="auto"/>
            <w:noWrap/>
            <w:hideMark/>
          </w:tcPr>
          <w:p w14:paraId="7E14B2A3" w14:textId="77777777" w:rsidR="00544E4E" w:rsidRPr="0049466D" w:rsidRDefault="00544E4E" w:rsidP="003C34CE">
            <w:pPr>
              <w:pStyle w:val="BodyText"/>
              <w:jc w:val="center"/>
              <w:rPr>
                <w:color w:val="000000"/>
                <w:lang w:val="en-US"/>
              </w:rPr>
            </w:pPr>
            <w:r w:rsidRPr="0049466D">
              <w:t>26</w:t>
            </w:r>
          </w:p>
        </w:tc>
        <w:tc>
          <w:tcPr>
            <w:tcW w:w="901" w:type="dxa"/>
            <w:tcBorders>
              <w:top w:val="nil"/>
              <w:left w:val="nil"/>
              <w:bottom w:val="single" w:sz="8" w:space="0" w:color="auto"/>
              <w:right w:val="single" w:sz="8" w:space="0" w:color="auto"/>
            </w:tcBorders>
            <w:shd w:val="clear" w:color="auto" w:fill="auto"/>
            <w:noWrap/>
            <w:hideMark/>
          </w:tcPr>
          <w:p w14:paraId="7B16220E" w14:textId="77777777" w:rsidR="00544E4E" w:rsidRPr="0049466D" w:rsidRDefault="00544E4E" w:rsidP="003C34CE">
            <w:pPr>
              <w:pStyle w:val="BodyText"/>
              <w:jc w:val="center"/>
              <w:rPr>
                <w:color w:val="000000"/>
                <w:lang w:val="en-US"/>
              </w:rPr>
            </w:pPr>
            <w:r w:rsidRPr="0049466D">
              <w:t>48</w:t>
            </w:r>
          </w:p>
        </w:tc>
      </w:tr>
      <w:tr w:rsidR="00544E4E" w:rsidRPr="0049466D" w14:paraId="2722F1E8" w14:textId="77777777" w:rsidTr="00326160">
        <w:trPr>
          <w:trHeight w:val="300"/>
        </w:trPr>
        <w:tc>
          <w:tcPr>
            <w:tcW w:w="4494" w:type="dxa"/>
            <w:tcBorders>
              <w:top w:val="nil"/>
              <w:left w:val="single" w:sz="8" w:space="0" w:color="auto"/>
              <w:bottom w:val="single" w:sz="8" w:space="0" w:color="auto"/>
              <w:right w:val="single" w:sz="8" w:space="0" w:color="auto"/>
            </w:tcBorders>
            <w:shd w:val="clear" w:color="auto" w:fill="auto"/>
            <w:noWrap/>
            <w:vAlign w:val="center"/>
            <w:hideMark/>
          </w:tcPr>
          <w:p w14:paraId="045D8B4F" w14:textId="77777777" w:rsidR="00544E4E" w:rsidRPr="0049466D" w:rsidRDefault="00544E4E" w:rsidP="00BE60F3">
            <w:pPr>
              <w:pStyle w:val="BodyText"/>
              <w:rPr>
                <w:color w:val="000000"/>
                <w:lang w:val="en-US"/>
              </w:rPr>
            </w:pPr>
            <w:r w:rsidRPr="0049466D">
              <w:rPr>
                <w:color w:val="000000"/>
                <w:lang w:val="en-US" w:eastAsia="id-ID"/>
              </w:rPr>
              <w:t>Prospera advisory</w:t>
            </w:r>
          </w:p>
        </w:tc>
        <w:tc>
          <w:tcPr>
            <w:tcW w:w="899" w:type="dxa"/>
            <w:tcBorders>
              <w:top w:val="nil"/>
              <w:left w:val="nil"/>
              <w:bottom w:val="single" w:sz="8" w:space="0" w:color="auto"/>
              <w:right w:val="single" w:sz="8" w:space="0" w:color="auto"/>
            </w:tcBorders>
            <w:shd w:val="clear" w:color="auto" w:fill="auto"/>
            <w:noWrap/>
            <w:hideMark/>
          </w:tcPr>
          <w:p w14:paraId="13B60F3F" w14:textId="77777777" w:rsidR="00544E4E" w:rsidRPr="0049466D" w:rsidRDefault="00544E4E" w:rsidP="003C34CE">
            <w:pPr>
              <w:pStyle w:val="BodyText"/>
              <w:jc w:val="center"/>
              <w:rPr>
                <w:color w:val="000000"/>
                <w:lang w:val="en-US"/>
              </w:rPr>
            </w:pPr>
            <w:r w:rsidRPr="0049466D">
              <w:t>13</w:t>
            </w:r>
          </w:p>
        </w:tc>
        <w:tc>
          <w:tcPr>
            <w:tcW w:w="1260" w:type="dxa"/>
            <w:tcBorders>
              <w:top w:val="nil"/>
              <w:left w:val="nil"/>
              <w:bottom w:val="single" w:sz="8" w:space="0" w:color="auto"/>
              <w:right w:val="single" w:sz="8" w:space="0" w:color="auto"/>
            </w:tcBorders>
            <w:shd w:val="clear" w:color="auto" w:fill="auto"/>
            <w:noWrap/>
            <w:hideMark/>
          </w:tcPr>
          <w:p w14:paraId="4A73AA8B" w14:textId="77777777" w:rsidR="00544E4E" w:rsidRPr="0049466D" w:rsidRDefault="00544E4E" w:rsidP="003C34CE">
            <w:pPr>
              <w:pStyle w:val="BodyText"/>
              <w:jc w:val="center"/>
              <w:rPr>
                <w:color w:val="000000"/>
                <w:lang w:val="en-US"/>
              </w:rPr>
            </w:pPr>
            <w:r w:rsidRPr="0049466D">
              <w:t>9</w:t>
            </w:r>
          </w:p>
        </w:tc>
        <w:tc>
          <w:tcPr>
            <w:tcW w:w="901" w:type="dxa"/>
            <w:tcBorders>
              <w:top w:val="nil"/>
              <w:left w:val="nil"/>
              <w:bottom w:val="single" w:sz="8" w:space="0" w:color="auto"/>
              <w:right w:val="single" w:sz="8" w:space="0" w:color="auto"/>
            </w:tcBorders>
            <w:shd w:val="clear" w:color="auto" w:fill="auto"/>
            <w:noWrap/>
            <w:hideMark/>
          </w:tcPr>
          <w:p w14:paraId="52627B59" w14:textId="77777777" w:rsidR="00544E4E" w:rsidRPr="0049466D" w:rsidRDefault="00544E4E" w:rsidP="003C34CE">
            <w:pPr>
              <w:pStyle w:val="BodyText"/>
              <w:jc w:val="center"/>
              <w:rPr>
                <w:color w:val="000000"/>
                <w:lang w:val="en-US"/>
              </w:rPr>
            </w:pPr>
            <w:r w:rsidRPr="0049466D">
              <w:t>22</w:t>
            </w:r>
          </w:p>
        </w:tc>
      </w:tr>
      <w:tr w:rsidR="00544E4E" w:rsidRPr="0049466D" w14:paraId="47C0AFA5" w14:textId="77777777" w:rsidTr="00326160">
        <w:trPr>
          <w:trHeight w:val="300"/>
        </w:trPr>
        <w:tc>
          <w:tcPr>
            <w:tcW w:w="4494" w:type="dxa"/>
            <w:tcBorders>
              <w:top w:val="nil"/>
              <w:left w:val="single" w:sz="8" w:space="0" w:color="auto"/>
              <w:bottom w:val="single" w:sz="8" w:space="0" w:color="auto"/>
              <w:right w:val="single" w:sz="8" w:space="0" w:color="auto"/>
            </w:tcBorders>
            <w:shd w:val="clear" w:color="auto" w:fill="auto"/>
            <w:noWrap/>
            <w:vAlign w:val="center"/>
            <w:hideMark/>
          </w:tcPr>
          <w:p w14:paraId="02A70C54" w14:textId="77777777" w:rsidR="00544E4E" w:rsidRPr="0049466D" w:rsidRDefault="00544E4E" w:rsidP="00BE60F3">
            <w:pPr>
              <w:pStyle w:val="BodyText"/>
              <w:rPr>
                <w:color w:val="000000"/>
              </w:rPr>
            </w:pPr>
            <w:r w:rsidRPr="0049466D">
              <w:rPr>
                <w:color w:val="000000"/>
                <w:lang w:val="en-US" w:eastAsia="id-ID"/>
              </w:rPr>
              <w:t>Other</w:t>
            </w:r>
            <w:r>
              <w:rPr>
                <w:color w:val="000000"/>
                <w:lang w:eastAsia="id-ID"/>
              </w:rPr>
              <w:t xml:space="preserve"> programs/consultants</w:t>
            </w:r>
          </w:p>
        </w:tc>
        <w:tc>
          <w:tcPr>
            <w:tcW w:w="899" w:type="dxa"/>
            <w:tcBorders>
              <w:top w:val="nil"/>
              <w:left w:val="nil"/>
              <w:bottom w:val="single" w:sz="8" w:space="0" w:color="auto"/>
              <w:right w:val="single" w:sz="8" w:space="0" w:color="auto"/>
            </w:tcBorders>
            <w:shd w:val="clear" w:color="auto" w:fill="auto"/>
            <w:noWrap/>
            <w:hideMark/>
          </w:tcPr>
          <w:p w14:paraId="5D90AB16" w14:textId="77777777" w:rsidR="00544E4E" w:rsidRPr="0049466D" w:rsidRDefault="00544E4E" w:rsidP="003C34CE">
            <w:pPr>
              <w:pStyle w:val="BodyText"/>
              <w:jc w:val="center"/>
              <w:rPr>
                <w:color w:val="000000"/>
              </w:rPr>
            </w:pPr>
            <w:r w:rsidRPr="0049466D">
              <w:t>3</w:t>
            </w:r>
          </w:p>
        </w:tc>
        <w:tc>
          <w:tcPr>
            <w:tcW w:w="1260" w:type="dxa"/>
            <w:tcBorders>
              <w:top w:val="nil"/>
              <w:left w:val="nil"/>
              <w:bottom w:val="single" w:sz="8" w:space="0" w:color="auto"/>
              <w:right w:val="single" w:sz="8" w:space="0" w:color="auto"/>
            </w:tcBorders>
            <w:shd w:val="clear" w:color="auto" w:fill="auto"/>
            <w:noWrap/>
            <w:hideMark/>
          </w:tcPr>
          <w:p w14:paraId="12004A28" w14:textId="77777777" w:rsidR="00544E4E" w:rsidRPr="0049466D" w:rsidRDefault="00544E4E" w:rsidP="003C34CE">
            <w:pPr>
              <w:pStyle w:val="BodyText"/>
              <w:jc w:val="center"/>
              <w:rPr>
                <w:color w:val="000000"/>
              </w:rPr>
            </w:pPr>
            <w:r w:rsidRPr="0049466D">
              <w:t>2</w:t>
            </w:r>
          </w:p>
        </w:tc>
        <w:tc>
          <w:tcPr>
            <w:tcW w:w="901" w:type="dxa"/>
            <w:tcBorders>
              <w:top w:val="nil"/>
              <w:left w:val="nil"/>
              <w:bottom w:val="single" w:sz="8" w:space="0" w:color="auto"/>
              <w:right w:val="single" w:sz="8" w:space="0" w:color="auto"/>
            </w:tcBorders>
            <w:shd w:val="clear" w:color="auto" w:fill="auto"/>
            <w:noWrap/>
            <w:hideMark/>
          </w:tcPr>
          <w:p w14:paraId="30299EDF" w14:textId="77777777" w:rsidR="00544E4E" w:rsidRPr="0049466D" w:rsidRDefault="00544E4E" w:rsidP="003C34CE">
            <w:pPr>
              <w:pStyle w:val="BodyText"/>
              <w:jc w:val="center"/>
              <w:rPr>
                <w:color w:val="000000"/>
                <w:lang w:val="en-US"/>
              </w:rPr>
            </w:pPr>
            <w:r w:rsidRPr="0049466D">
              <w:t>5</w:t>
            </w:r>
          </w:p>
        </w:tc>
      </w:tr>
      <w:tr w:rsidR="00544E4E" w:rsidRPr="001654C7" w14:paraId="5BEEF2D6" w14:textId="77777777" w:rsidTr="00326160">
        <w:trPr>
          <w:trHeight w:val="34"/>
        </w:trPr>
        <w:tc>
          <w:tcPr>
            <w:tcW w:w="4494" w:type="dxa"/>
            <w:tcBorders>
              <w:top w:val="single" w:sz="8" w:space="0" w:color="auto"/>
              <w:left w:val="single" w:sz="8" w:space="0" w:color="auto"/>
              <w:bottom w:val="single" w:sz="4" w:space="0" w:color="auto"/>
              <w:right w:val="single" w:sz="8" w:space="0" w:color="auto"/>
            </w:tcBorders>
            <w:shd w:val="clear" w:color="auto" w:fill="BFBFBF"/>
            <w:noWrap/>
            <w:vAlign w:val="center"/>
            <w:hideMark/>
          </w:tcPr>
          <w:p w14:paraId="461F3697" w14:textId="77777777" w:rsidR="00544E4E" w:rsidRPr="001654C7" w:rsidRDefault="00544E4E" w:rsidP="00BE60F3">
            <w:pPr>
              <w:pStyle w:val="BodyText"/>
              <w:spacing w:before="120" w:line="240" w:lineRule="auto"/>
              <w:rPr>
                <w:b/>
                <w:color w:val="000000"/>
                <w:lang w:val="en-US"/>
              </w:rPr>
            </w:pPr>
            <w:r w:rsidRPr="001654C7">
              <w:rPr>
                <w:b/>
                <w:color w:val="000000"/>
                <w:lang w:val="en-US" w:eastAsia="id-ID"/>
              </w:rPr>
              <w:t>TOTAL</w:t>
            </w:r>
          </w:p>
        </w:tc>
        <w:tc>
          <w:tcPr>
            <w:tcW w:w="899" w:type="dxa"/>
            <w:tcBorders>
              <w:top w:val="single" w:sz="8" w:space="0" w:color="auto"/>
              <w:left w:val="nil"/>
              <w:bottom w:val="single" w:sz="4" w:space="0" w:color="auto"/>
              <w:right w:val="single" w:sz="8" w:space="0" w:color="auto"/>
            </w:tcBorders>
            <w:shd w:val="clear" w:color="auto" w:fill="BFBFBF"/>
            <w:noWrap/>
            <w:vAlign w:val="center"/>
            <w:hideMark/>
          </w:tcPr>
          <w:p w14:paraId="367E1D0B" w14:textId="77777777" w:rsidR="00544E4E" w:rsidRPr="001654C7" w:rsidRDefault="00544E4E" w:rsidP="003C34CE">
            <w:pPr>
              <w:pStyle w:val="BodyText"/>
              <w:spacing w:before="120" w:line="240" w:lineRule="auto"/>
              <w:jc w:val="center"/>
              <w:rPr>
                <w:b/>
                <w:color w:val="000000"/>
              </w:rPr>
            </w:pPr>
            <w:r w:rsidRPr="001654C7">
              <w:rPr>
                <w:b/>
              </w:rPr>
              <w:t>58</w:t>
            </w:r>
          </w:p>
        </w:tc>
        <w:tc>
          <w:tcPr>
            <w:tcW w:w="1260" w:type="dxa"/>
            <w:tcBorders>
              <w:top w:val="single" w:sz="8" w:space="0" w:color="auto"/>
              <w:left w:val="nil"/>
              <w:bottom w:val="single" w:sz="4" w:space="0" w:color="auto"/>
              <w:right w:val="single" w:sz="8" w:space="0" w:color="auto"/>
            </w:tcBorders>
            <w:shd w:val="clear" w:color="auto" w:fill="BFBFBF"/>
            <w:noWrap/>
            <w:vAlign w:val="center"/>
            <w:hideMark/>
          </w:tcPr>
          <w:p w14:paraId="1F2CEED6" w14:textId="77777777" w:rsidR="00544E4E" w:rsidRPr="001654C7" w:rsidRDefault="00544E4E" w:rsidP="003C34CE">
            <w:pPr>
              <w:pStyle w:val="BodyText"/>
              <w:spacing w:before="120" w:line="240" w:lineRule="auto"/>
              <w:jc w:val="center"/>
              <w:rPr>
                <w:b/>
                <w:color w:val="000000"/>
              </w:rPr>
            </w:pPr>
            <w:r w:rsidRPr="001654C7">
              <w:rPr>
                <w:b/>
              </w:rPr>
              <w:t>48</w:t>
            </w:r>
          </w:p>
        </w:tc>
        <w:tc>
          <w:tcPr>
            <w:tcW w:w="901" w:type="dxa"/>
            <w:tcBorders>
              <w:top w:val="single" w:sz="8" w:space="0" w:color="auto"/>
              <w:left w:val="nil"/>
              <w:bottom w:val="single" w:sz="4" w:space="0" w:color="auto"/>
              <w:right w:val="single" w:sz="8" w:space="0" w:color="auto"/>
            </w:tcBorders>
            <w:shd w:val="clear" w:color="auto" w:fill="BFBFBF"/>
            <w:noWrap/>
            <w:vAlign w:val="center"/>
            <w:hideMark/>
          </w:tcPr>
          <w:p w14:paraId="19D3584B" w14:textId="77777777" w:rsidR="00544E4E" w:rsidRPr="001654C7" w:rsidRDefault="00544E4E" w:rsidP="003C34CE">
            <w:pPr>
              <w:pStyle w:val="BodyText"/>
              <w:spacing w:before="120" w:line="240" w:lineRule="auto"/>
              <w:jc w:val="center"/>
              <w:rPr>
                <w:b/>
                <w:color w:val="000000"/>
                <w:lang w:val="en-US"/>
              </w:rPr>
            </w:pPr>
            <w:r w:rsidRPr="001654C7">
              <w:rPr>
                <w:b/>
              </w:rPr>
              <w:t>106</w:t>
            </w:r>
          </w:p>
        </w:tc>
      </w:tr>
    </w:tbl>
    <w:p w14:paraId="2127C4B0" w14:textId="77777777" w:rsidR="001654C7" w:rsidRDefault="001654C7" w:rsidP="00BE60F3">
      <w:pPr>
        <w:spacing w:after="0" w:line="240" w:lineRule="auto"/>
      </w:pPr>
      <w:bookmarkStart w:id="61" w:name="_Toc525563662"/>
    </w:p>
    <w:p w14:paraId="1688DDB4" w14:textId="77777777" w:rsidR="001654C7" w:rsidRDefault="001654C7" w:rsidP="00BE60F3">
      <w:pPr>
        <w:spacing w:after="0" w:line="240" w:lineRule="auto"/>
      </w:pPr>
    </w:p>
    <w:p w14:paraId="4C62B25E" w14:textId="0C181A21" w:rsidR="00544E4E" w:rsidRPr="0020734C" w:rsidRDefault="00544E4E" w:rsidP="00BE60F3">
      <w:pPr>
        <w:pStyle w:val="Heading1"/>
        <w:spacing w:before="0" w:after="200" w:line="276" w:lineRule="auto"/>
        <w:ind w:left="360" w:hanging="360"/>
        <w:rPr>
          <w:b/>
        </w:rPr>
      </w:pPr>
      <w:bookmarkStart w:id="62" w:name="_Toc525743661"/>
      <w:bookmarkStart w:id="63" w:name="_Toc532991053"/>
      <w:r w:rsidRPr="0020734C">
        <w:rPr>
          <w:b/>
        </w:rPr>
        <w:t>Facility logic</w:t>
      </w:r>
      <w:bookmarkEnd w:id="61"/>
      <w:bookmarkEnd w:id="62"/>
      <w:bookmarkEnd w:id="63"/>
    </w:p>
    <w:p w14:paraId="01619A97" w14:textId="77777777" w:rsidR="00544E4E" w:rsidRPr="00E05D9F" w:rsidRDefault="00544E4E" w:rsidP="00BE60F3">
      <w:pPr>
        <w:pStyle w:val="BodyText"/>
      </w:pPr>
      <w:r>
        <w:t xml:space="preserve">This section describes the logic of the facility investment, the changes in the Indonesian economic system to which Prospera intends to contribute (the facility breakthrough outcomes), and the ways through which a contribution to outcomes will be made (the facility theory of change). </w:t>
      </w:r>
    </w:p>
    <w:p w14:paraId="18744F8D" w14:textId="791FD9CF" w:rsidR="00544E4E" w:rsidRPr="00B27D06" w:rsidRDefault="00544E4E" w:rsidP="0082195C">
      <w:pPr>
        <w:pStyle w:val="Heading2"/>
      </w:pPr>
      <w:bookmarkStart w:id="64" w:name="_Toc525563663"/>
      <w:bookmarkStart w:id="65" w:name="_Toc525743662"/>
      <w:bookmarkStart w:id="66" w:name="_Toc532991054"/>
      <w:r w:rsidRPr="00B27D06">
        <w:t>Goal</w:t>
      </w:r>
      <w:bookmarkEnd w:id="64"/>
      <w:bookmarkEnd w:id="65"/>
      <w:bookmarkEnd w:id="66"/>
    </w:p>
    <w:p w14:paraId="411C8CA5" w14:textId="77777777" w:rsidR="00544E4E" w:rsidRPr="00D6495E" w:rsidRDefault="00544E4E" w:rsidP="00BE60F3">
      <w:pPr>
        <w:pStyle w:val="BodyText"/>
      </w:pPr>
      <w:bookmarkStart w:id="67" w:name="_Hlk524873050"/>
      <w:r>
        <w:t xml:space="preserve">The goal of Prospera is: </w:t>
      </w:r>
    </w:p>
    <w:p w14:paraId="7F4C72A9" w14:textId="77777777" w:rsidR="00544E4E" w:rsidRPr="00D6495E" w:rsidRDefault="00544E4E" w:rsidP="00BE60F3">
      <w:pPr>
        <w:pStyle w:val="BodyText"/>
        <w:ind w:left="1440"/>
        <w:rPr>
          <w:b/>
          <w:i/>
        </w:rPr>
      </w:pPr>
      <w:r w:rsidRPr="00D6495E">
        <w:rPr>
          <w:b/>
          <w:i/>
        </w:rPr>
        <w:t xml:space="preserve">“To foster more effective Indonesian economic institutions and policies that contribute to strong, sustainable and inclusive economic growth.” </w:t>
      </w:r>
    </w:p>
    <w:bookmarkEnd w:id="67"/>
    <w:p w14:paraId="32D7C850" w14:textId="28B43833" w:rsidR="00544E4E" w:rsidRPr="00D6495E" w:rsidRDefault="00544E4E" w:rsidP="00BE60F3">
      <w:pPr>
        <w:pStyle w:val="BodyText"/>
      </w:pPr>
      <w:r w:rsidRPr="00D6495E">
        <w:t xml:space="preserve">In support of this goal, the </w:t>
      </w:r>
      <w:r>
        <w:t>f</w:t>
      </w:r>
      <w:r w:rsidRPr="00D6495E">
        <w:t>acility has four high</w:t>
      </w:r>
      <w:r w:rsidR="005A5CA7">
        <w:t>-</w:t>
      </w:r>
      <w:r w:rsidRPr="00D6495E">
        <w:t xml:space="preserve">level objectives: </w:t>
      </w:r>
    </w:p>
    <w:p w14:paraId="1B2C75EA" w14:textId="77777777" w:rsidR="00544E4E" w:rsidRPr="00D6495E" w:rsidRDefault="00544E4E" w:rsidP="003C34CE">
      <w:pPr>
        <w:pStyle w:val="BodyText"/>
        <w:spacing w:before="60" w:after="60"/>
      </w:pPr>
      <w:r w:rsidRPr="00D6495E">
        <w:t>(a) Strengthened economic institutions and improved economic policy outcomes</w:t>
      </w:r>
      <w:r>
        <w:t>.</w:t>
      </w:r>
      <w:r w:rsidRPr="00D6495E">
        <w:t xml:space="preserve"> </w:t>
      </w:r>
    </w:p>
    <w:p w14:paraId="13B4451D" w14:textId="77777777" w:rsidR="00544E4E" w:rsidRPr="00D6495E" w:rsidRDefault="00544E4E" w:rsidP="003C34CE">
      <w:pPr>
        <w:pStyle w:val="BodyText"/>
        <w:spacing w:before="60" w:after="60"/>
      </w:pPr>
      <w:r w:rsidRPr="00D6495E">
        <w:t>(b) A more transparent and accountable public sector</w:t>
      </w:r>
      <w:r>
        <w:t>.</w:t>
      </w:r>
      <w:r w:rsidRPr="00D6495E">
        <w:t xml:space="preserve"> </w:t>
      </w:r>
    </w:p>
    <w:p w14:paraId="05CC185F" w14:textId="77777777" w:rsidR="00544E4E" w:rsidRPr="00D6495E" w:rsidRDefault="00544E4E" w:rsidP="003C34CE">
      <w:pPr>
        <w:pStyle w:val="BodyText"/>
        <w:spacing w:before="60" w:after="60"/>
      </w:pPr>
      <w:r w:rsidRPr="00D6495E">
        <w:t>(c) Strengthened linkages between Indonesian and Australian government agencies</w:t>
      </w:r>
      <w:r>
        <w:t>.</w:t>
      </w:r>
    </w:p>
    <w:p w14:paraId="13B1E603" w14:textId="6655FABD" w:rsidR="00544E4E" w:rsidRDefault="00544E4E" w:rsidP="003C34CE">
      <w:pPr>
        <w:pStyle w:val="BodyText"/>
        <w:spacing w:before="60" w:after="60"/>
      </w:pPr>
      <w:r w:rsidRPr="00D6495E">
        <w:t xml:space="preserve">(d) Reducing inequality and addressing gender and disability. </w:t>
      </w:r>
    </w:p>
    <w:p w14:paraId="2A5F0A59" w14:textId="77777777" w:rsidR="003911F8" w:rsidRPr="003911F8" w:rsidRDefault="003911F8" w:rsidP="003C34CE">
      <w:pPr>
        <w:pStyle w:val="BodyText"/>
        <w:spacing w:before="120"/>
      </w:pPr>
      <w:r w:rsidRPr="003911F8">
        <w:t xml:space="preserve">Prospera has two new high-level objectives compared to the predecessor programs: </w:t>
      </w:r>
    </w:p>
    <w:p w14:paraId="1B1CD159" w14:textId="77777777" w:rsidR="003911F8" w:rsidRPr="003911F8" w:rsidRDefault="003911F8" w:rsidP="003C34CE">
      <w:pPr>
        <w:pStyle w:val="ListBullet"/>
      </w:pPr>
      <w:r w:rsidRPr="003911F8">
        <w:t>A more transparent and accountable public sector.</w:t>
      </w:r>
    </w:p>
    <w:p w14:paraId="3B981514" w14:textId="77777777" w:rsidR="003911F8" w:rsidRPr="003911F8" w:rsidRDefault="003911F8" w:rsidP="003C34CE">
      <w:pPr>
        <w:pStyle w:val="ListBullet"/>
        <w:spacing w:after="240"/>
      </w:pPr>
      <w:r w:rsidRPr="003911F8">
        <w:t xml:space="preserve">Reducing inequality and addressing gender and disability. </w:t>
      </w:r>
    </w:p>
    <w:p w14:paraId="0B810F83" w14:textId="0853ADE1" w:rsidR="001607C5" w:rsidRDefault="003911F8" w:rsidP="003C34CE">
      <w:pPr>
        <w:pStyle w:val="BodyText"/>
      </w:pPr>
      <w:r w:rsidRPr="003911F8">
        <w:t xml:space="preserve">These </w:t>
      </w:r>
      <w:r w:rsidR="003C34CE">
        <w:t xml:space="preserve">objectives </w:t>
      </w:r>
      <w:r w:rsidRPr="003911F8">
        <w:t xml:space="preserve">will be taken into account </w:t>
      </w:r>
      <w:r w:rsidR="003C34CE">
        <w:t>in</w:t>
      </w:r>
      <w:r w:rsidRPr="003911F8">
        <w:t xml:space="preserve"> Prospera as cross-cutting factors</w:t>
      </w:r>
      <w:r w:rsidR="003C34CE">
        <w:t xml:space="preserve"> and embedded in Knowledge, Performance and Learning as outlined in the sections below</w:t>
      </w:r>
      <w:r w:rsidRPr="003911F8">
        <w:t xml:space="preserve">. </w:t>
      </w:r>
      <w:r w:rsidR="003C34CE">
        <w:t>This Framework draws on two overarching s</w:t>
      </w:r>
      <w:r w:rsidRPr="003911F8">
        <w:t xml:space="preserve">trategies to </w:t>
      </w:r>
      <w:r w:rsidR="003C34CE">
        <w:t xml:space="preserve">integrate </w:t>
      </w:r>
      <w:r w:rsidRPr="003911F8">
        <w:t xml:space="preserve">these areas </w:t>
      </w:r>
      <w:r w:rsidR="003C34CE">
        <w:t xml:space="preserve">across </w:t>
      </w:r>
      <w:r w:rsidRPr="003911F8">
        <w:t>teams</w:t>
      </w:r>
      <w:r w:rsidR="003C34CE">
        <w:t xml:space="preserve">: </w:t>
      </w:r>
      <w:r w:rsidRPr="003911F8">
        <w:t>Prospera Public Sector Strategy (December 2018)</w:t>
      </w:r>
      <w:r w:rsidR="003C34CE">
        <w:t>,</w:t>
      </w:r>
      <w:r w:rsidRPr="003911F8">
        <w:t xml:space="preserve"> and Prospera Gender and Social Inclusion Strategy (December 2018), including working with other development partners to achieve greater impact. </w:t>
      </w:r>
    </w:p>
    <w:p w14:paraId="0D4250CE" w14:textId="77777777" w:rsidR="001607C5" w:rsidRDefault="001607C5">
      <w:pPr>
        <w:spacing w:after="0" w:line="240" w:lineRule="auto"/>
        <w:rPr>
          <w:sz w:val="20"/>
        </w:rPr>
      </w:pPr>
      <w:r>
        <w:br w:type="page"/>
      </w:r>
    </w:p>
    <w:p w14:paraId="2AD1B817" w14:textId="2B550FC5" w:rsidR="00544E4E" w:rsidRPr="00B27D06" w:rsidRDefault="00544E4E" w:rsidP="0082195C">
      <w:pPr>
        <w:pStyle w:val="Heading2"/>
      </w:pPr>
      <w:bookmarkStart w:id="68" w:name="_Toc525563664"/>
      <w:bookmarkStart w:id="69" w:name="_Toc525743663"/>
      <w:bookmarkStart w:id="70" w:name="_Toc532991055"/>
      <w:r w:rsidRPr="00B27D06">
        <w:t>Breakthrough outcomes</w:t>
      </w:r>
      <w:bookmarkEnd w:id="68"/>
      <w:bookmarkEnd w:id="69"/>
      <w:bookmarkEnd w:id="70"/>
    </w:p>
    <w:p w14:paraId="4A902146" w14:textId="4624E49C" w:rsidR="00544E4E" w:rsidRPr="001654C7" w:rsidRDefault="00B728B4" w:rsidP="00BE60F3">
      <w:pPr>
        <w:pStyle w:val="BodyText"/>
      </w:pPr>
      <w:bookmarkStart w:id="71" w:name="_Hlk524873037"/>
      <w:r>
        <w:t xml:space="preserve">Following on from </w:t>
      </w:r>
      <w:r w:rsidR="00544E4E" w:rsidRPr="001654C7">
        <w:t>Prospera’s goal, and integrating Prospera’s objectives, Prospera’s effort will be</w:t>
      </w:r>
      <w:r w:rsidR="0020734C">
        <w:rPr>
          <w:lang w:val="id-ID"/>
        </w:rPr>
        <w:t xml:space="preserve"> </w:t>
      </w:r>
      <w:r w:rsidR="00544E4E" w:rsidRPr="001654C7">
        <w:t xml:space="preserve">focused toward </w:t>
      </w:r>
      <w:r>
        <w:t xml:space="preserve">contributing </w:t>
      </w:r>
      <w:r w:rsidR="00544E4E" w:rsidRPr="001654C7">
        <w:t>to three ‘breakthrough’ (or end of facility) outcomes. These are each further explained by three sub</w:t>
      </w:r>
      <w:r w:rsidR="00544E4E" w:rsidRPr="001654C7">
        <w:noBreakHyphen/>
        <w:t>outcomes. It is anticipated that the three breakthrough outcomes will remain throughout Prospera, while there will likely be more change at the next level down in the facility logic of intermediate outcomes (or pathways to change).</w:t>
      </w:r>
    </w:p>
    <w:bookmarkEnd w:id="71"/>
    <w:p w14:paraId="56E452AA" w14:textId="0EE98D1C" w:rsidR="008A3F76" w:rsidRDefault="00544E4E" w:rsidP="00BE60F3">
      <w:pPr>
        <w:pStyle w:val="BodyText"/>
      </w:pPr>
      <w:r w:rsidRPr="001654C7">
        <w:t xml:space="preserve">The breakthrough outcomes provide a framework for the Prospera reporting narrative. </w:t>
      </w:r>
      <w:r w:rsidR="00D92CDD">
        <w:t xml:space="preserve">Breakthrough outcomes are described in Table 4. A </w:t>
      </w:r>
      <w:r w:rsidRPr="001654C7">
        <w:t xml:space="preserve">‘Quick glance’ facility logic is illustrated in Figure </w:t>
      </w:r>
      <w:r w:rsidR="001607C5">
        <w:t>3</w:t>
      </w:r>
      <w:r w:rsidRPr="001654C7">
        <w:t xml:space="preserve">, while a fully detailed logic along with 2018-19 intermediate outcomes is explained at Annex </w:t>
      </w:r>
      <w:r w:rsidR="00F874C7">
        <w:t>3</w:t>
      </w:r>
      <w:r w:rsidRPr="001654C7">
        <w:t>.</w:t>
      </w:r>
      <w:r w:rsidR="003C4FBD">
        <w:t xml:space="preserve"> </w:t>
      </w:r>
    </w:p>
    <w:p w14:paraId="7EFFCA46" w14:textId="3A8359A5" w:rsidR="006B0CDD" w:rsidRPr="006B0CDD" w:rsidRDefault="006B0CDD" w:rsidP="00263C60">
      <w:pPr>
        <w:pStyle w:val="Tabletext"/>
        <w:jc w:val="left"/>
        <w:rPr>
          <w:b/>
        </w:rPr>
      </w:pPr>
      <w:r w:rsidRPr="007F5F67">
        <w:rPr>
          <w:b/>
        </w:rPr>
        <w:t xml:space="preserve">Table </w:t>
      </w:r>
      <w:r w:rsidRPr="007F5F67">
        <w:rPr>
          <w:b/>
          <w:noProof/>
        </w:rPr>
        <w:fldChar w:fldCharType="begin"/>
      </w:r>
      <w:r w:rsidRPr="007F5F67">
        <w:rPr>
          <w:b/>
          <w:noProof/>
        </w:rPr>
        <w:instrText xml:space="preserve"> SEQ Table \* ARABIC </w:instrText>
      </w:r>
      <w:r w:rsidRPr="007F5F67">
        <w:rPr>
          <w:b/>
          <w:noProof/>
        </w:rPr>
        <w:fldChar w:fldCharType="separate"/>
      </w:r>
      <w:r w:rsidR="00B651D6">
        <w:rPr>
          <w:b/>
          <w:noProof/>
        </w:rPr>
        <w:t>4</w:t>
      </w:r>
      <w:r w:rsidRPr="007F5F67">
        <w:rPr>
          <w:b/>
          <w:noProof/>
        </w:rPr>
        <w:fldChar w:fldCharType="end"/>
      </w:r>
      <w:r w:rsidRPr="007F5F67">
        <w:rPr>
          <w:b/>
          <w:noProof/>
          <w:lang w:val="id-ID"/>
        </w:rPr>
        <w:t>.</w:t>
      </w:r>
      <w:r w:rsidRPr="007F5F67">
        <w:rPr>
          <w:b/>
        </w:rPr>
        <w:t xml:space="preserve"> Explanation of Prospera Breakthrough Outcomes</w:t>
      </w:r>
    </w:p>
    <w:tbl>
      <w:tblPr>
        <w:tblStyle w:val="TableGrid"/>
        <w:tblW w:w="0" w:type="auto"/>
        <w:tblLook w:val="04A0" w:firstRow="1" w:lastRow="0" w:firstColumn="1" w:lastColumn="0" w:noHBand="0" w:noVBand="1"/>
      </w:tblPr>
      <w:tblGrid>
        <w:gridCol w:w="1525"/>
        <w:gridCol w:w="2915"/>
        <w:gridCol w:w="4600"/>
      </w:tblGrid>
      <w:tr w:rsidR="006B0CDD" w:rsidRPr="0020734C" w14:paraId="684E0F42" w14:textId="77777777" w:rsidTr="00D92CDD">
        <w:trPr>
          <w:cantSplit/>
          <w:tblHeader/>
        </w:trPr>
        <w:tc>
          <w:tcPr>
            <w:tcW w:w="4440" w:type="dxa"/>
            <w:gridSpan w:val="2"/>
            <w:shd w:val="clear" w:color="auto" w:fill="20ABCA"/>
          </w:tcPr>
          <w:p w14:paraId="612F9984" w14:textId="77777777" w:rsidR="006B0CDD" w:rsidRPr="00E6721D" w:rsidRDefault="006B0CDD" w:rsidP="00A0703D">
            <w:pPr>
              <w:pStyle w:val="BodyText"/>
              <w:spacing w:before="120" w:line="240" w:lineRule="auto"/>
              <w:rPr>
                <w:b/>
                <w:color w:val="FFFFFF" w:themeColor="background1"/>
                <w:sz w:val="18"/>
                <w:szCs w:val="18"/>
              </w:rPr>
            </w:pPr>
            <w:r w:rsidRPr="00E6721D">
              <w:rPr>
                <w:b/>
                <w:color w:val="FFFFFF" w:themeColor="background1"/>
                <w:sz w:val="18"/>
                <w:szCs w:val="18"/>
              </w:rPr>
              <w:t>Breakthrough Outcomes</w:t>
            </w:r>
          </w:p>
        </w:tc>
        <w:tc>
          <w:tcPr>
            <w:tcW w:w="4600" w:type="dxa"/>
            <w:shd w:val="clear" w:color="auto" w:fill="20ABCA"/>
          </w:tcPr>
          <w:p w14:paraId="7A213DD5" w14:textId="77777777" w:rsidR="006B0CDD" w:rsidRPr="00E6721D" w:rsidRDefault="006B0CDD" w:rsidP="00A0703D">
            <w:pPr>
              <w:pStyle w:val="BodyText"/>
              <w:spacing w:before="120" w:line="240" w:lineRule="auto"/>
              <w:rPr>
                <w:b/>
                <w:color w:val="FFFFFF" w:themeColor="background1"/>
                <w:sz w:val="18"/>
                <w:szCs w:val="18"/>
              </w:rPr>
            </w:pPr>
            <w:r w:rsidRPr="00E6721D">
              <w:rPr>
                <w:b/>
                <w:color w:val="FFFFFF" w:themeColor="background1"/>
                <w:sz w:val="18"/>
                <w:szCs w:val="18"/>
              </w:rPr>
              <w:t xml:space="preserve">Brief Explanation </w:t>
            </w:r>
          </w:p>
        </w:tc>
      </w:tr>
      <w:tr w:rsidR="006B0CDD" w14:paraId="30DF5425" w14:textId="77777777" w:rsidTr="00D92CDD">
        <w:trPr>
          <w:cantSplit/>
        </w:trPr>
        <w:tc>
          <w:tcPr>
            <w:tcW w:w="1525" w:type="dxa"/>
            <w:vMerge w:val="restart"/>
            <w:shd w:val="clear" w:color="auto" w:fill="20ABCA"/>
          </w:tcPr>
          <w:p w14:paraId="15AC52FC" w14:textId="77777777" w:rsidR="006B0CDD" w:rsidRPr="00E6721D" w:rsidRDefault="006B0CDD" w:rsidP="00A5564B">
            <w:pPr>
              <w:pStyle w:val="BodyText"/>
              <w:spacing w:after="80"/>
              <w:rPr>
                <w:color w:val="FFFFFF" w:themeColor="background1"/>
                <w:sz w:val="18"/>
                <w:szCs w:val="18"/>
              </w:rPr>
            </w:pPr>
            <w:r w:rsidRPr="00E6721D">
              <w:rPr>
                <w:b/>
                <w:color w:val="FFFFFF" w:themeColor="background1"/>
                <w:sz w:val="18"/>
                <w:szCs w:val="18"/>
              </w:rPr>
              <w:t>1. Expanding markets</w:t>
            </w:r>
            <w:r w:rsidRPr="00E6721D">
              <w:rPr>
                <w:b/>
                <w:color w:val="FFFFFF" w:themeColor="background1"/>
                <w:sz w:val="18"/>
                <w:szCs w:val="18"/>
                <w:lang w:val="id-ID"/>
              </w:rPr>
              <w:t xml:space="preserve"> </w:t>
            </w:r>
            <w:r w:rsidRPr="00E6721D">
              <w:rPr>
                <w:b/>
                <w:color w:val="FFFFFF" w:themeColor="background1"/>
                <w:sz w:val="18"/>
                <w:szCs w:val="18"/>
              </w:rPr>
              <w:t>creating jobs</w:t>
            </w:r>
          </w:p>
        </w:tc>
        <w:tc>
          <w:tcPr>
            <w:tcW w:w="2915" w:type="dxa"/>
            <w:shd w:val="clear" w:color="auto" w:fill="FFFFFF" w:themeFill="background1"/>
          </w:tcPr>
          <w:p w14:paraId="0EF858A1" w14:textId="77777777" w:rsidR="006B0CDD" w:rsidRPr="00E6721D" w:rsidRDefault="006B0CDD" w:rsidP="00A5564B">
            <w:pPr>
              <w:pStyle w:val="BodyText"/>
              <w:spacing w:after="80"/>
              <w:rPr>
                <w:sz w:val="18"/>
                <w:szCs w:val="18"/>
              </w:rPr>
            </w:pPr>
            <w:r w:rsidRPr="00E6721D">
              <w:rPr>
                <w:b/>
                <w:sz w:val="18"/>
                <w:szCs w:val="18"/>
              </w:rPr>
              <w:t>1.1 Better regulation for private sector growth</w:t>
            </w:r>
          </w:p>
        </w:tc>
        <w:tc>
          <w:tcPr>
            <w:tcW w:w="4600" w:type="dxa"/>
            <w:shd w:val="clear" w:color="auto" w:fill="FFFFFF" w:themeFill="background1"/>
          </w:tcPr>
          <w:p w14:paraId="686CCC1D" w14:textId="1F78A517" w:rsidR="006B0CDD" w:rsidRPr="00E6721D" w:rsidRDefault="006B0CDD" w:rsidP="00A5564B">
            <w:pPr>
              <w:pStyle w:val="BodyText"/>
              <w:spacing w:after="80"/>
              <w:rPr>
                <w:sz w:val="18"/>
                <w:szCs w:val="18"/>
              </w:rPr>
            </w:pPr>
            <w:r w:rsidRPr="00E6721D">
              <w:rPr>
                <w:sz w:val="18"/>
                <w:szCs w:val="18"/>
              </w:rPr>
              <w:t>Fit</w:t>
            </w:r>
            <w:r w:rsidR="005A5CA7" w:rsidRPr="00E6721D">
              <w:rPr>
                <w:sz w:val="18"/>
                <w:szCs w:val="18"/>
              </w:rPr>
              <w:t>-</w:t>
            </w:r>
            <w:r w:rsidRPr="00E6721D">
              <w:rPr>
                <w:sz w:val="18"/>
                <w:szCs w:val="18"/>
              </w:rPr>
              <w:t>for</w:t>
            </w:r>
            <w:r w:rsidR="005A5CA7" w:rsidRPr="00E6721D">
              <w:rPr>
                <w:sz w:val="18"/>
                <w:szCs w:val="18"/>
              </w:rPr>
              <w:t>-</w:t>
            </w:r>
            <w:r w:rsidRPr="00E6721D">
              <w:rPr>
                <w:sz w:val="18"/>
                <w:szCs w:val="18"/>
              </w:rPr>
              <w:t xml:space="preserve">purpose regulations that promote ease of business entry and exit and protect consumers whilst promoting innovation. </w:t>
            </w:r>
          </w:p>
        </w:tc>
      </w:tr>
      <w:tr w:rsidR="006B0CDD" w14:paraId="598CC97D" w14:textId="77777777" w:rsidTr="00D92CDD">
        <w:trPr>
          <w:cantSplit/>
        </w:trPr>
        <w:tc>
          <w:tcPr>
            <w:tcW w:w="1525" w:type="dxa"/>
            <w:vMerge/>
            <w:shd w:val="clear" w:color="auto" w:fill="20ABCA"/>
          </w:tcPr>
          <w:p w14:paraId="02ABE098" w14:textId="77777777" w:rsidR="006B0CDD" w:rsidRPr="00E6721D" w:rsidRDefault="006B0CDD" w:rsidP="00A5564B">
            <w:pPr>
              <w:pStyle w:val="BodyText"/>
              <w:spacing w:after="80"/>
              <w:rPr>
                <w:color w:val="FFFFFF" w:themeColor="background1"/>
                <w:sz w:val="18"/>
                <w:szCs w:val="18"/>
              </w:rPr>
            </w:pPr>
          </w:p>
        </w:tc>
        <w:tc>
          <w:tcPr>
            <w:tcW w:w="2915" w:type="dxa"/>
            <w:shd w:val="clear" w:color="auto" w:fill="FFFFFF" w:themeFill="background1"/>
          </w:tcPr>
          <w:p w14:paraId="16D3CFD5" w14:textId="77777777" w:rsidR="006B0CDD" w:rsidRPr="00E6721D" w:rsidRDefault="006B0CDD" w:rsidP="00A5564B">
            <w:pPr>
              <w:pStyle w:val="BodyText"/>
              <w:spacing w:after="80"/>
              <w:rPr>
                <w:sz w:val="18"/>
                <w:szCs w:val="18"/>
              </w:rPr>
            </w:pPr>
            <w:r w:rsidRPr="00E6721D">
              <w:rPr>
                <w:b/>
                <w:sz w:val="18"/>
                <w:szCs w:val="18"/>
              </w:rPr>
              <w:t>1.2 More open trade and investment</w:t>
            </w:r>
          </w:p>
        </w:tc>
        <w:tc>
          <w:tcPr>
            <w:tcW w:w="4600" w:type="dxa"/>
            <w:shd w:val="clear" w:color="auto" w:fill="FFFFFF" w:themeFill="background1"/>
          </w:tcPr>
          <w:p w14:paraId="56D8E317" w14:textId="2D53DCF9" w:rsidR="006B0CDD" w:rsidRPr="00E6721D" w:rsidRDefault="006B0CDD" w:rsidP="00A5564B">
            <w:pPr>
              <w:pStyle w:val="BodyText"/>
              <w:spacing w:after="80"/>
              <w:rPr>
                <w:sz w:val="18"/>
                <w:szCs w:val="18"/>
              </w:rPr>
            </w:pPr>
            <w:r w:rsidRPr="00E6721D">
              <w:rPr>
                <w:sz w:val="18"/>
                <w:szCs w:val="18"/>
              </w:rPr>
              <w:t>More open markets through trade agreements and domestic reform, financial</w:t>
            </w:r>
            <w:r w:rsidR="005A5CA7" w:rsidRPr="00E6721D">
              <w:rPr>
                <w:sz w:val="18"/>
                <w:szCs w:val="18"/>
              </w:rPr>
              <w:t>-</w:t>
            </w:r>
            <w:r w:rsidRPr="00E6721D">
              <w:rPr>
                <w:sz w:val="18"/>
                <w:szCs w:val="18"/>
              </w:rPr>
              <w:t xml:space="preserve">sector deepening and opportunities for private investment. </w:t>
            </w:r>
          </w:p>
        </w:tc>
      </w:tr>
      <w:tr w:rsidR="006B0CDD" w14:paraId="3ACF7384" w14:textId="77777777" w:rsidTr="00D92CDD">
        <w:trPr>
          <w:cantSplit/>
        </w:trPr>
        <w:tc>
          <w:tcPr>
            <w:tcW w:w="1525" w:type="dxa"/>
            <w:vMerge/>
            <w:shd w:val="clear" w:color="auto" w:fill="20ABCA"/>
          </w:tcPr>
          <w:p w14:paraId="091A9BFA" w14:textId="77777777" w:rsidR="006B0CDD" w:rsidRPr="00E6721D" w:rsidRDefault="006B0CDD" w:rsidP="00A5564B">
            <w:pPr>
              <w:pStyle w:val="BodyText"/>
              <w:spacing w:after="80"/>
              <w:rPr>
                <w:color w:val="FFFFFF" w:themeColor="background1"/>
                <w:sz w:val="18"/>
                <w:szCs w:val="18"/>
              </w:rPr>
            </w:pPr>
          </w:p>
        </w:tc>
        <w:tc>
          <w:tcPr>
            <w:tcW w:w="2915" w:type="dxa"/>
            <w:shd w:val="clear" w:color="auto" w:fill="FFFFFF" w:themeFill="background1"/>
          </w:tcPr>
          <w:p w14:paraId="5CDE77F2" w14:textId="77777777" w:rsidR="006B0CDD" w:rsidRPr="00E6721D" w:rsidRDefault="006B0CDD" w:rsidP="00A5564B">
            <w:pPr>
              <w:pStyle w:val="BodyText"/>
              <w:spacing w:after="80"/>
              <w:rPr>
                <w:sz w:val="18"/>
                <w:szCs w:val="18"/>
              </w:rPr>
            </w:pPr>
            <w:r w:rsidRPr="00E6721D">
              <w:rPr>
                <w:b/>
                <w:sz w:val="18"/>
                <w:szCs w:val="18"/>
              </w:rPr>
              <w:t>1.3 Safe and efficient transport to move people and goods</w:t>
            </w:r>
          </w:p>
        </w:tc>
        <w:tc>
          <w:tcPr>
            <w:tcW w:w="4600" w:type="dxa"/>
            <w:shd w:val="clear" w:color="auto" w:fill="FFFFFF" w:themeFill="background1"/>
          </w:tcPr>
          <w:p w14:paraId="5DAC6C9C" w14:textId="77777777" w:rsidR="006B0CDD" w:rsidRPr="00E6721D" w:rsidRDefault="006B0CDD" w:rsidP="00A5564B">
            <w:pPr>
              <w:pStyle w:val="BodyText"/>
              <w:spacing w:after="80"/>
              <w:rPr>
                <w:sz w:val="18"/>
                <w:szCs w:val="18"/>
              </w:rPr>
            </w:pPr>
            <w:r w:rsidRPr="00E6721D">
              <w:rPr>
                <w:sz w:val="18"/>
                <w:szCs w:val="18"/>
              </w:rPr>
              <w:t xml:space="preserve">Indonesia leads the region in maritime and air safety regulation in line with global standards and has increased transport safety capability. </w:t>
            </w:r>
          </w:p>
        </w:tc>
      </w:tr>
      <w:tr w:rsidR="006B0CDD" w14:paraId="6D211DE3" w14:textId="77777777" w:rsidTr="00D92CDD">
        <w:trPr>
          <w:cantSplit/>
        </w:trPr>
        <w:tc>
          <w:tcPr>
            <w:tcW w:w="1525" w:type="dxa"/>
            <w:vMerge w:val="restart"/>
            <w:shd w:val="clear" w:color="auto" w:fill="20ABCA"/>
          </w:tcPr>
          <w:p w14:paraId="438F566F" w14:textId="77777777" w:rsidR="006B0CDD" w:rsidRPr="00E6721D" w:rsidRDefault="006B0CDD" w:rsidP="00A5564B">
            <w:pPr>
              <w:pStyle w:val="BodyText"/>
              <w:spacing w:after="80"/>
              <w:rPr>
                <w:color w:val="FFFFFF" w:themeColor="background1"/>
                <w:sz w:val="18"/>
                <w:szCs w:val="18"/>
              </w:rPr>
            </w:pPr>
            <w:r w:rsidRPr="00E6721D">
              <w:rPr>
                <w:b/>
                <w:color w:val="FFFFFF" w:themeColor="background1"/>
                <w:sz w:val="18"/>
                <w:szCs w:val="18"/>
              </w:rPr>
              <w:t>2. Safeguarding economic and financial stability</w:t>
            </w:r>
          </w:p>
        </w:tc>
        <w:tc>
          <w:tcPr>
            <w:tcW w:w="2915" w:type="dxa"/>
            <w:shd w:val="clear" w:color="auto" w:fill="FFFFFF" w:themeFill="background1"/>
          </w:tcPr>
          <w:p w14:paraId="6CF3C51A" w14:textId="77777777" w:rsidR="006B0CDD" w:rsidRPr="00E6721D" w:rsidRDefault="006B0CDD" w:rsidP="00A5564B">
            <w:pPr>
              <w:pStyle w:val="BodyText"/>
              <w:spacing w:after="80"/>
              <w:rPr>
                <w:sz w:val="18"/>
                <w:szCs w:val="18"/>
              </w:rPr>
            </w:pPr>
            <w:r w:rsidRPr="00E6721D">
              <w:rPr>
                <w:b/>
                <w:sz w:val="18"/>
                <w:szCs w:val="18"/>
              </w:rPr>
              <w:t>2.1 Better framework to deliver macro and financial stability</w:t>
            </w:r>
          </w:p>
        </w:tc>
        <w:tc>
          <w:tcPr>
            <w:tcW w:w="4600" w:type="dxa"/>
            <w:shd w:val="clear" w:color="auto" w:fill="FFFFFF" w:themeFill="background1"/>
          </w:tcPr>
          <w:p w14:paraId="5EDD5C0C" w14:textId="77777777" w:rsidR="006B0CDD" w:rsidRPr="00E6721D" w:rsidRDefault="006B0CDD" w:rsidP="00A5564B">
            <w:pPr>
              <w:pStyle w:val="BodyText"/>
              <w:spacing w:after="80"/>
              <w:rPr>
                <w:sz w:val="18"/>
                <w:szCs w:val="18"/>
              </w:rPr>
            </w:pPr>
            <w:r w:rsidRPr="00E6721D">
              <w:rPr>
                <w:sz w:val="18"/>
                <w:szCs w:val="18"/>
              </w:rPr>
              <w:t xml:space="preserve">Macroeconomic policy framework drives stability and growth, and strong coordination on financial stability is underpinned by a clear legal framework.  </w:t>
            </w:r>
          </w:p>
        </w:tc>
      </w:tr>
      <w:tr w:rsidR="006B0CDD" w14:paraId="1516C0AF" w14:textId="77777777" w:rsidTr="00D92CDD">
        <w:trPr>
          <w:cantSplit/>
        </w:trPr>
        <w:tc>
          <w:tcPr>
            <w:tcW w:w="1525" w:type="dxa"/>
            <w:vMerge/>
            <w:shd w:val="clear" w:color="auto" w:fill="20ABCA"/>
          </w:tcPr>
          <w:p w14:paraId="2A846C07" w14:textId="77777777" w:rsidR="006B0CDD" w:rsidRPr="00E6721D" w:rsidRDefault="006B0CDD" w:rsidP="00A5564B">
            <w:pPr>
              <w:pStyle w:val="BodyText"/>
              <w:spacing w:after="80"/>
              <w:rPr>
                <w:color w:val="FFFFFF" w:themeColor="background1"/>
                <w:sz w:val="18"/>
                <w:szCs w:val="18"/>
              </w:rPr>
            </w:pPr>
          </w:p>
        </w:tc>
        <w:tc>
          <w:tcPr>
            <w:tcW w:w="2915" w:type="dxa"/>
            <w:shd w:val="clear" w:color="auto" w:fill="FFFFFF" w:themeFill="background1"/>
          </w:tcPr>
          <w:p w14:paraId="35310503" w14:textId="77777777" w:rsidR="006B0CDD" w:rsidRPr="00E6721D" w:rsidRDefault="006B0CDD" w:rsidP="00A5564B">
            <w:pPr>
              <w:pStyle w:val="BodyText"/>
              <w:spacing w:after="80"/>
              <w:rPr>
                <w:sz w:val="18"/>
                <w:szCs w:val="18"/>
              </w:rPr>
            </w:pPr>
            <w:r w:rsidRPr="00E6721D">
              <w:rPr>
                <w:b/>
                <w:sz w:val="18"/>
                <w:szCs w:val="18"/>
              </w:rPr>
              <w:t>2.2 Increased supervision and regulation of financial sector</w:t>
            </w:r>
          </w:p>
        </w:tc>
        <w:tc>
          <w:tcPr>
            <w:tcW w:w="4600" w:type="dxa"/>
            <w:shd w:val="clear" w:color="auto" w:fill="FFFFFF" w:themeFill="background1"/>
          </w:tcPr>
          <w:p w14:paraId="349A0DF8" w14:textId="77777777" w:rsidR="006B0CDD" w:rsidRPr="00E6721D" w:rsidRDefault="006B0CDD" w:rsidP="00A5564B">
            <w:pPr>
              <w:pStyle w:val="BodyText"/>
              <w:spacing w:after="80"/>
              <w:rPr>
                <w:sz w:val="18"/>
                <w:szCs w:val="18"/>
              </w:rPr>
            </w:pPr>
            <w:r w:rsidRPr="00E6721D">
              <w:rPr>
                <w:sz w:val="18"/>
                <w:szCs w:val="18"/>
              </w:rPr>
              <w:t xml:space="preserve">Financial regulators move towards a unified approach to conducting supervision and adopt fit for purpose risk-based practices. </w:t>
            </w:r>
          </w:p>
        </w:tc>
      </w:tr>
      <w:tr w:rsidR="006B0CDD" w14:paraId="46B2C745" w14:textId="77777777" w:rsidTr="00D92CDD">
        <w:trPr>
          <w:cantSplit/>
        </w:trPr>
        <w:tc>
          <w:tcPr>
            <w:tcW w:w="1525" w:type="dxa"/>
            <w:vMerge/>
            <w:shd w:val="clear" w:color="auto" w:fill="20ABCA"/>
          </w:tcPr>
          <w:p w14:paraId="24EAA808" w14:textId="77777777" w:rsidR="006B0CDD" w:rsidRPr="00E6721D" w:rsidRDefault="006B0CDD" w:rsidP="00A5564B">
            <w:pPr>
              <w:pStyle w:val="BodyText"/>
              <w:spacing w:after="80"/>
              <w:rPr>
                <w:color w:val="FFFFFF" w:themeColor="background1"/>
                <w:sz w:val="18"/>
                <w:szCs w:val="18"/>
              </w:rPr>
            </w:pPr>
          </w:p>
        </w:tc>
        <w:tc>
          <w:tcPr>
            <w:tcW w:w="2915" w:type="dxa"/>
            <w:shd w:val="clear" w:color="auto" w:fill="FFFFFF" w:themeFill="background1"/>
          </w:tcPr>
          <w:p w14:paraId="593D060F" w14:textId="77777777" w:rsidR="006B0CDD" w:rsidRPr="00E6721D" w:rsidRDefault="006B0CDD" w:rsidP="00A5564B">
            <w:pPr>
              <w:pStyle w:val="BodyText"/>
              <w:spacing w:after="80"/>
              <w:rPr>
                <w:sz w:val="18"/>
                <w:szCs w:val="18"/>
              </w:rPr>
            </w:pPr>
            <w:r w:rsidRPr="00E6721D">
              <w:rPr>
                <w:b/>
                <w:sz w:val="18"/>
                <w:szCs w:val="18"/>
              </w:rPr>
              <w:t>2.3 Combatting financial crime</w:t>
            </w:r>
          </w:p>
        </w:tc>
        <w:tc>
          <w:tcPr>
            <w:tcW w:w="4600" w:type="dxa"/>
            <w:shd w:val="clear" w:color="auto" w:fill="FFFFFF" w:themeFill="background1"/>
          </w:tcPr>
          <w:p w14:paraId="151E4E69" w14:textId="77777777" w:rsidR="006B0CDD" w:rsidRPr="00E6721D" w:rsidRDefault="006B0CDD" w:rsidP="00A5564B">
            <w:pPr>
              <w:pStyle w:val="BodyText"/>
              <w:spacing w:after="80"/>
              <w:rPr>
                <w:sz w:val="18"/>
                <w:szCs w:val="18"/>
              </w:rPr>
            </w:pPr>
            <w:r w:rsidRPr="00E6721D">
              <w:rPr>
                <w:sz w:val="18"/>
                <w:szCs w:val="18"/>
              </w:rPr>
              <w:t xml:space="preserve">Enhanced capability to combat money laundering and terrorist financing in line with international standards. </w:t>
            </w:r>
          </w:p>
        </w:tc>
      </w:tr>
      <w:tr w:rsidR="006B0CDD" w14:paraId="42FD20A0" w14:textId="77777777" w:rsidTr="00D92CDD">
        <w:trPr>
          <w:cantSplit/>
        </w:trPr>
        <w:tc>
          <w:tcPr>
            <w:tcW w:w="1525" w:type="dxa"/>
            <w:vMerge w:val="restart"/>
            <w:shd w:val="clear" w:color="auto" w:fill="20ABCA"/>
          </w:tcPr>
          <w:p w14:paraId="53937396" w14:textId="77777777" w:rsidR="006B0CDD" w:rsidRPr="00E6721D" w:rsidRDefault="006B0CDD" w:rsidP="00A5564B">
            <w:pPr>
              <w:pStyle w:val="BodyText"/>
              <w:spacing w:after="80"/>
              <w:rPr>
                <w:color w:val="FFFFFF" w:themeColor="background1"/>
                <w:sz w:val="18"/>
                <w:szCs w:val="18"/>
              </w:rPr>
            </w:pPr>
            <w:r w:rsidRPr="00E6721D">
              <w:rPr>
                <w:b/>
                <w:color w:val="FFFFFF" w:themeColor="background1"/>
                <w:sz w:val="18"/>
                <w:szCs w:val="18"/>
              </w:rPr>
              <w:t>3. Improving public finances and government performance</w:t>
            </w:r>
          </w:p>
        </w:tc>
        <w:tc>
          <w:tcPr>
            <w:tcW w:w="2915" w:type="dxa"/>
            <w:shd w:val="clear" w:color="auto" w:fill="FFFFFF" w:themeFill="background1"/>
          </w:tcPr>
          <w:p w14:paraId="5AC6334F" w14:textId="77777777" w:rsidR="006B0CDD" w:rsidRPr="00E6721D" w:rsidRDefault="006B0CDD" w:rsidP="00A5564B">
            <w:pPr>
              <w:pStyle w:val="BodyText"/>
              <w:spacing w:after="80"/>
              <w:rPr>
                <w:sz w:val="18"/>
                <w:szCs w:val="18"/>
              </w:rPr>
            </w:pPr>
            <w:r w:rsidRPr="00E6721D">
              <w:rPr>
                <w:b/>
                <w:sz w:val="18"/>
                <w:szCs w:val="18"/>
              </w:rPr>
              <w:t>3.1 More revenue through better tax administration and policy</w:t>
            </w:r>
          </w:p>
        </w:tc>
        <w:tc>
          <w:tcPr>
            <w:tcW w:w="4600" w:type="dxa"/>
            <w:shd w:val="clear" w:color="auto" w:fill="FFFFFF" w:themeFill="background1"/>
          </w:tcPr>
          <w:p w14:paraId="00AB342C" w14:textId="77777777" w:rsidR="006B0CDD" w:rsidRPr="00E6721D" w:rsidRDefault="006B0CDD" w:rsidP="00A5564B">
            <w:pPr>
              <w:pStyle w:val="BodyText"/>
              <w:spacing w:after="80"/>
              <w:rPr>
                <w:sz w:val="18"/>
                <w:szCs w:val="18"/>
              </w:rPr>
            </w:pPr>
            <w:r w:rsidRPr="00E6721D">
              <w:rPr>
                <w:sz w:val="18"/>
                <w:szCs w:val="18"/>
              </w:rPr>
              <w:t xml:space="preserve">A new core tax system for the tax administration with business processes to support voluntary compliance and improved tax policy. </w:t>
            </w:r>
          </w:p>
        </w:tc>
      </w:tr>
      <w:tr w:rsidR="006B0CDD" w14:paraId="308F3E3F" w14:textId="77777777" w:rsidTr="00D92CDD">
        <w:trPr>
          <w:cantSplit/>
        </w:trPr>
        <w:tc>
          <w:tcPr>
            <w:tcW w:w="1525" w:type="dxa"/>
            <w:vMerge/>
            <w:shd w:val="clear" w:color="auto" w:fill="20ABCA"/>
          </w:tcPr>
          <w:p w14:paraId="03D96D27" w14:textId="77777777" w:rsidR="006B0CDD" w:rsidRPr="00E6721D" w:rsidRDefault="006B0CDD" w:rsidP="00A5564B">
            <w:pPr>
              <w:pStyle w:val="BodyText"/>
              <w:spacing w:after="80"/>
              <w:rPr>
                <w:sz w:val="18"/>
                <w:szCs w:val="18"/>
              </w:rPr>
            </w:pPr>
          </w:p>
        </w:tc>
        <w:tc>
          <w:tcPr>
            <w:tcW w:w="2915" w:type="dxa"/>
            <w:shd w:val="clear" w:color="auto" w:fill="FFFFFF" w:themeFill="background1"/>
          </w:tcPr>
          <w:p w14:paraId="473D13A3" w14:textId="77777777" w:rsidR="006B0CDD" w:rsidRPr="00E6721D" w:rsidRDefault="006B0CDD" w:rsidP="00A5564B">
            <w:pPr>
              <w:pStyle w:val="BodyText"/>
              <w:spacing w:after="80"/>
              <w:rPr>
                <w:sz w:val="18"/>
                <w:szCs w:val="18"/>
              </w:rPr>
            </w:pPr>
            <w:r w:rsidRPr="00E6721D">
              <w:rPr>
                <w:b/>
                <w:sz w:val="18"/>
                <w:szCs w:val="18"/>
              </w:rPr>
              <w:t>3.2 More effective public spending with better budget systems</w:t>
            </w:r>
          </w:p>
        </w:tc>
        <w:tc>
          <w:tcPr>
            <w:tcW w:w="4600" w:type="dxa"/>
            <w:shd w:val="clear" w:color="auto" w:fill="FFFFFF" w:themeFill="background1"/>
          </w:tcPr>
          <w:p w14:paraId="0D271CF9" w14:textId="77777777" w:rsidR="006B0CDD" w:rsidRPr="00E6721D" w:rsidRDefault="006B0CDD" w:rsidP="00A5564B">
            <w:pPr>
              <w:pStyle w:val="BodyText"/>
              <w:spacing w:after="80"/>
              <w:rPr>
                <w:sz w:val="18"/>
                <w:szCs w:val="18"/>
              </w:rPr>
            </w:pPr>
            <w:r w:rsidRPr="00E6721D">
              <w:rPr>
                <w:sz w:val="18"/>
                <w:szCs w:val="18"/>
              </w:rPr>
              <w:t xml:space="preserve">An integrated planning and budget system and national-regional accounts for better spending decisions and service delivery. </w:t>
            </w:r>
          </w:p>
        </w:tc>
      </w:tr>
      <w:tr w:rsidR="006B0CDD" w14:paraId="30E4604D" w14:textId="77777777" w:rsidTr="00D92CDD">
        <w:trPr>
          <w:cantSplit/>
        </w:trPr>
        <w:tc>
          <w:tcPr>
            <w:tcW w:w="1525" w:type="dxa"/>
            <w:vMerge/>
            <w:shd w:val="clear" w:color="auto" w:fill="20ABCA"/>
          </w:tcPr>
          <w:p w14:paraId="0253BCCD" w14:textId="77777777" w:rsidR="006B0CDD" w:rsidRPr="00E6721D" w:rsidRDefault="006B0CDD" w:rsidP="00A5564B">
            <w:pPr>
              <w:pStyle w:val="BodyText"/>
              <w:spacing w:after="80"/>
              <w:rPr>
                <w:sz w:val="18"/>
                <w:szCs w:val="18"/>
              </w:rPr>
            </w:pPr>
          </w:p>
        </w:tc>
        <w:tc>
          <w:tcPr>
            <w:tcW w:w="2915" w:type="dxa"/>
            <w:shd w:val="clear" w:color="auto" w:fill="FFFFFF" w:themeFill="background1"/>
          </w:tcPr>
          <w:p w14:paraId="617EA3A4" w14:textId="77777777" w:rsidR="006B0CDD" w:rsidRPr="00E6721D" w:rsidRDefault="006B0CDD" w:rsidP="00A5564B">
            <w:pPr>
              <w:pStyle w:val="BodyText"/>
              <w:spacing w:after="80"/>
              <w:rPr>
                <w:sz w:val="18"/>
                <w:szCs w:val="18"/>
              </w:rPr>
            </w:pPr>
            <w:r w:rsidRPr="00E6721D">
              <w:rPr>
                <w:b/>
                <w:sz w:val="18"/>
                <w:szCs w:val="18"/>
              </w:rPr>
              <w:t>3.3 Greater transparency and accountability of</w:t>
            </w:r>
            <w:r w:rsidRPr="00E6721D">
              <w:rPr>
                <w:b/>
                <w:sz w:val="18"/>
                <w:szCs w:val="18"/>
                <w:lang w:val="id-ID"/>
              </w:rPr>
              <w:t xml:space="preserve"> </w:t>
            </w:r>
            <w:r w:rsidRPr="00E6721D">
              <w:rPr>
                <w:b/>
                <w:sz w:val="18"/>
                <w:szCs w:val="18"/>
              </w:rPr>
              <w:t>government</w:t>
            </w:r>
          </w:p>
        </w:tc>
        <w:tc>
          <w:tcPr>
            <w:tcW w:w="4600" w:type="dxa"/>
            <w:shd w:val="clear" w:color="auto" w:fill="FFFFFF" w:themeFill="background1"/>
          </w:tcPr>
          <w:p w14:paraId="5258B9FF" w14:textId="77777777" w:rsidR="006B0CDD" w:rsidRPr="00E6721D" w:rsidRDefault="006B0CDD" w:rsidP="00A5564B">
            <w:pPr>
              <w:pStyle w:val="BodyText"/>
              <w:spacing w:after="80"/>
              <w:rPr>
                <w:sz w:val="18"/>
                <w:szCs w:val="18"/>
              </w:rPr>
            </w:pPr>
            <w:r w:rsidRPr="00E6721D">
              <w:rPr>
                <w:sz w:val="18"/>
                <w:szCs w:val="18"/>
              </w:rPr>
              <w:t xml:space="preserve">High quality audits, public sector complaints handling and capability of public administration agencies. </w:t>
            </w:r>
          </w:p>
        </w:tc>
      </w:tr>
      <w:tr w:rsidR="006B0CDD" w:rsidRPr="0020734C" w14:paraId="2ED84086" w14:textId="77777777" w:rsidTr="00D92CDD">
        <w:trPr>
          <w:cantSplit/>
        </w:trPr>
        <w:tc>
          <w:tcPr>
            <w:tcW w:w="9040" w:type="dxa"/>
            <w:gridSpan w:val="3"/>
            <w:shd w:val="clear" w:color="auto" w:fill="20ABCA"/>
          </w:tcPr>
          <w:p w14:paraId="444F3CB2" w14:textId="77777777" w:rsidR="006B0CDD" w:rsidRPr="00E6721D" w:rsidRDefault="006B0CDD" w:rsidP="00AA335F">
            <w:pPr>
              <w:pStyle w:val="BodyText"/>
              <w:spacing w:before="120" w:line="240" w:lineRule="auto"/>
              <w:jc w:val="center"/>
              <w:rPr>
                <w:color w:val="FFFFFF" w:themeColor="background1"/>
                <w:sz w:val="18"/>
                <w:szCs w:val="18"/>
              </w:rPr>
            </w:pPr>
            <w:r w:rsidRPr="00E6721D">
              <w:rPr>
                <w:b/>
                <w:color w:val="FFFFFF" w:themeColor="background1"/>
                <w:sz w:val="18"/>
                <w:szCs w:val="18"/>
              </w:rPr>
              <w:t>Cross-cutting contributing factors</w:t>
            </w:r>
          </w:p>
        </w:tc>
      </w:tr>
      <w:tr w:rsidR="006B0CDD" w:rsidRPr="001E43FE" w14:paraId="03D24B67" w14:textId="77777777" w:rsidTr="00D92CDD">
        <w:trPr>
          <w:cantSplit/>
        </w:trPr>
        <w:tc>
          <w:tcPr>
            <w:tcW w:w="9040" w:type="dxa"/>
            <w:gridSpan w:val="3"/>
            <w:shd w:val="clear" w:color="auto" w:fill="auto"/>
          </w:tcPr>
          <w:p w14:paraId="39300F93" w14:textId="77777777" w:rsidR="006B0CDD" w:rsidRPr="00E6721D" w:rsidRDefault="006B0CDD" w:rsidP="006B0CDD">
            <w:pPr>
              <w:pStyle w:val="BodyText"/>
              <w:spacing w:before="60" w:after="60" w:line="240" w:lineRule="auto"/>
              <w:jc w:val="center"/>
              <w:rPr>
                <w:sz w:val="18"/>
                <w:szCs w:val="18"/>
              </w:rPr>
            </w:pPr>
            <w:r w:rsidRPr="00E6721D">
              <w:rPr>
                <w:sz w:val="18"/>
                <w:szCs w:val="18"/>
              </w:rPr>
              <w:t>Increasingly capable government institutions</w:t>
            </w:r>
          </w:p>
        </w:tc>
      </w:tr>
      <w:tr w:rsidR="006B0CDD" w:rsidRPr="001E43FE" w14:paraId="59F7A874" w14:textId="77777777" w:rsidTr="00D92CDD">
        <w:trPr>
          <w:cantSplit/>
        </w:trPr>
        <w:tc>
          <w:tcPr>
            <w:tcW w:w="9040" w:type="dxa"/>
            <w:gridSpan w:val="3"/>
            <w:shd w:val="clear" w:color="auto" w:fill="auto"/>
          </w:tcPr>
          <w:p w14:paraId="76C7B6E1" w14:textId="77777777" w:rsidR="006205BB" w:rsidRPr="00E6721D" w:rsidRDefault="006B0CDD" w:rsidP="006B0CDD">
            <w:pPr>
              <w:pStyle w:val="BodyText"/>
              <w:spacing w:before="60" w:after="60" w:line="240" w:lineRule="auto"/>
              <w:jc w:val="center"/>
              <w:rPr>
                <w:sz w:val="18"/>
                <w:szCs w:val="18"/>
              </w:rPr>
            </w:pPr>
            <w:r w:rsidRPr="00E6721D">
              <w:rPr>
                <w:sz w:val="18"/>
                <w:szCs w:val="18"/>
              </w:rPr>
              <w:t xml:space="preserve">Better policy development and coordination across </w:t>
            </w:r>
            <w:r w:rsidR="006205BB" w:rsidRPr="00E6721D">
              <w:rPr>
                <w:sz w:val="18"/>
                <w:szCs w:val="18"/>
              </w:rPr>
              <w:t>government</w:t>
            </w:r>
            <w:r w:rsidR="006205BB" w:rsidRPr="00E6721D">
              <w:rPr>
                <w:sz w:val="18"/>
                <w:szCs w:val="18"/>
                <w:lang w:val="id-ID"/>
              </w:rPr>
              <w:t>,</w:t>
            </w:r>
          </w:p>
          <w:p w14:paraId="35A36F75" w14:textId="7CA3DDC3" w:rsidR="006B0CDD" w:rsidRPr="00E6721D" w:rsidRDefault="006B0CDD" w:rsidP="006B0CDD">
            <w:pPr>
              <w:pStyle w:val="BodyText"/>
              <w:spacing w:before="60" w:after="60" w:line="240" w:lineRule="auto"/>
              <w:jc w:val="center"/>
              <w:rPr>
                <w:sz w:val="18"/>
                <w:szCs w:val="18"/>
              </w:rPr>
            </w:pPr>
            <w:r w:rsidRPr="00E6721D">
              <w:rPr>
                <w:sz w:val="18"/>
                <w:szCs w:val="18"/>
              </w:rPr>
              <w:t xml:space="preserve">particularly economic </w:t>
            </w:r>
            <w:r w:rsidR="005A5CA7" w:rsidRPr="00E6721D">
              <w:rPr>
                <w:sz w:val="18"/>
                <w:szCs w:val="18"/>
              </w:rPr>
              <w:t>and</w:t>
            </w:r>
            <w:r w:rsidRPr="00E6721D">
              <w:rPr>
                <w:sz w:val="18"/>
                <w:szCs w:val="18"/>
              </w:rPr>
              <w:t xml:space="preserve"> financial institutions</w:t>
            </w:r>
          </w:p>
        </w:tc>
      </w:tr>
      <w:tr w:rsidR="006B0CDD" w:rsidRPr="001E43FE" w14:paraId="478CC1C6" w14:textId="77777777" w:rsidTr="00D92CDD">
        <w:trPr>
          <w:cantSplit/>
        </w:trPr>
        <w:tc>
          <w:tcPr>
            <w:tcW w:w="9040" w:type="dxa"/>
            <w:gridSpan w:val="3"/>
            <w:shd w:val="clear" w:color="auto" w:fill="auto"/>
          </w:tcPr>
          <w:p w14:paraId="0D0658E3" w14:textId="69223CE0" w:rsidR="006B0CDD" w:rsidRPr="00E6721D" w:rsidRDefault="006B0CDD" w:rsidP="006B0CDD">
            <w:pPr>
              <w:pStyle w:val="BodyText"/>
              <w:spacing w:before="60" w:after="60" w:line="240" w:lineRule="auto"/>
              <w:jc w:val="center"/>
              <w:rPr>
                <w:sz w:val="18"/>
                <w:szCs w:val="18"/>
              </w:rPr>
            </w:pPr>
            <w:r w:rsidRPr="00E6721D">
              <w:rPr>
                <w:sz w:val="18"/>
                <w:szCs w:val="18"/>
              </w:rPr>
              <w:t>Increased capability to deliver high</w:t>
            </w:r>
            <w:r w:rsidR="005A5CA7" w:rsidRPr="00E6721D">
              <w:rPr>
                <w:sz w:val="18"/>
                <w:szCs w:val="18"/>
              </w:rPr>
              <w:t>-</w:t>
            </w:r>
            <w:r w:rsidRPr="00E6721D">
              <w:rPr>
                <w:sz w:val="18"/>
                <w:szCs w:val="18"/>
              </w:rPr>
              <w:t>quality economic, social statistics and national census</w:t>
            </w:r>
          </w:p>
        </w:tc>
      </w:tr>
      <w:tr w:rsidR="006B0CDD" w:rsidRPr="001E43FE" w14:paraId="60751013" w14:textId="77777777" w:rsidTr="00D92CDD">
        <w:trPr>
          <w:cantSplit/>
        </w:trPr>
        <w:tc>
          <w:tcPr>
            <w:tcW w:w="9040" w:type="dxa"/>
            <w:gridSpan w:val="3"/>
            <w:shd w:val="clear" w:color="auto" w:fill="auto"/>
          </w:tcPr>
          <w:p w14:paraId="7DF2A371" w14:textId="77777777" w:rsidR="006B0CDD" w:rsidRPr="00E6721D" w:rsidRDefault="006B0CDD" w:rsidP="006B0CDD">
            <w:pPr>
              <w:pStyle w:val="BodyText"/>
              <w:spacing w:before="60" w:after="60" w:line="240" w:lineRule="auto"/>
              <w:jc w:val="center"/>
              <w:rPr>
                <w:sz w:val="18"/>
                <w:szCs w:val="18"/>
              </w:rPr>
            </w:pPr>
            <w:r w:rsidRPr="00E6721D">
              <w:rPr>
                <w:sz w:val="18"/>
                <w:szCs w:val="18"/>
              </w:rPr>
              <w:t>Gender equality and inclusion outcomes are described and being achieved across Prospera</w:t>
            </w:r>
          </w:p>
        </w:tc>
      </w:tr>
      <w:tr w:rsidR="006B0CDD" w:rsidRPr="001E43FE" w14:paraId="5D250324" w14:textId="77777777" w:rsidTr="00D92CDD">
        <w:trPr>
          <w:cantSplit/>
        </w:trPr>
        <w:tc>
          <w:tcPr>
            <w:tcW w:w="9040" w:type="dxa"/>
            <w:gridSpan w:val="3"/>
            <w:shd w:val="clear" w:color="auto" w:fill="auto"/>
          </w:tcPr>
          <w:p w14:paraId="05F683A5" w14:textId="77777777" w:rsidR="006B0CDD" w:rsidRPr="00E6721D" w:rsidRDefault="006B0CDD" w:rsidP="006B0CDD">
            <w:pPr>
              <w:pStyle w:val="BodyText"/>
              <w:spacing w:before="60" w:after="60" w:line="240" w:lineRule="auto"/>
              <w:jc w:val="center"/>
              <w:rPr>
                <w:sz w:val="18"/>
                <w:szCs w:val="18"/>
              </w:rPr>
            </w:pPr>
            <w:r w:rsidRPr="00E6721D">
              <w:rPr>
                <w:sz w:val="18"/>
                <w:szCs w:val="18"/>
              </w:rPr>
              <w:t>Effective government of Indonesia and Australia partnership</w:t>
            </w:r>
          </w:p>
        </w:tc>
      </w:tr>
    </w:tbl>
    <w:p w14:paraId="5F0DCC0C" w14:textId="0212ECFD" w:rsidR="00E6721D" w:rsidRDefault="00E6721D" w:rsidP="00BE60F3">
      <w:pPr>
        <w:pStyle w:val="BodyText"/>
        <w:sectPr w:rsidR="00E6721D" w:rsidSect="00CE6BD5">
          <w:pgSz w:w="11900" w:h="16840"/>
          <w:pgMar w:top="1440" w:right="1410" w:bottom="1440" w:left="1440" w:header="850" w:footer="850" w:gutter="0"/>
          <w:pgNumType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3"/>
      </w:tblGrid>
      <w:tr w:rsidR="00544E4E" w14:paraId="03CCDDD1" w14:textId="77777777" w:rsidTr="00374F0F">
        <w:trPr>
          <w:cantSplit/>
        </w:trPr>
        <w:tc>
          <w:tcPr>
            <w:tcW w:w="9242" w:type="dxa"/>
          </w:tcPr>
          <w:p w14:paraId="7A4DC064" w14:textId="4D2A1BF9" w:rsidR="00544E4E" w:rsidRPr="0020734C" w:rsidRDefault="00544E4E" w:rsidP="00BE60F3">
            <w:pPr>
              <w:pStyle w:val="Tabletext"/>
              <w:jc w:val="left"/>
              <w:rPr>
                <w:b/>
              </w:rPr>
            </w:pPr>
            <w:r w:rsidRPr="0020734C">
              <w:rPr>
                <w:b/>
              </w:rPr>
              <w:t xml:space="preserve">Figure </w:t>
            </w:r>
            <w:r w:rsidRPr="0020734C">
              <w:rPr>
                <w:b/>
                <w:noProof/>
              </w:rPr>
              <w:fldChar w:fldCharType="begin"/>
            </w:r>
            <w:r w:rsidRPr="0020734C">
              <w:rPr>
                <w:b/>
                <w:noProof/>
              </w:rPr>
              <w:instrText xml:space="preserve"> SEQ Figure \* ARABIC </w:instrText>
            </w:r>
            <w:r w:rsidRPr="0020734C">
              <w:rPr>
                <w:b/>
                <w:noProof/>
              </w:rPr>
              <w:fldChar w:fldCharType="separate"/>
            </w:r>
            <w:r w:rsidR="001607C5">
              <w:rPr>
                <w:b/>
                <w:noProof/>
              </w:rPr>
              <w:t>3</w:t>
            </w:r>
            <w:r w:rsidRPr="0020734C">
              <w:rPr>
                <w:b/>
                <w:noProof/>
              </w:rPr>
              <w:fldChar w:fldCharType="end"/>
            </w:r>
            <w:r w:rsidR="0020734C">
              <w:rPr>
                <w:b/>
                <w:noProof/>
                <w:lang w:val="id-ID"/>
              </w:rPr>
              <w:t>.</w:t>
            </w:r>
            <w:r w:rsidRPr="0020734C">
              <w:rPr>
                <w:b/>
              </w:rPr>
              <w:t xml:space="preserve"> Quick Glance Facility Logic</w:t>
            </w:r>
          </w:p>
          <w:p w14:paraId="13DAC8AC" w14:textId="2370CF23" w:rsidR="00544E4E" w:rsidRDefault="008A3F76" w:rsidP="00BE60F3">
            <w:pPr>
              <w:spacing w:before="200"/>
            </w:pPr>
            <w:r>
              <w:rPr>
                <w:noProof/>
                <w:lang w:eastAsia="en-AU"/>
              </w:rPr>
              <w:drawing>
                <wp:inline distT="0" distB="0" distL="0" distR="0" wp14:anchorId="0053F834" wp14:editId="4FEF848D">
                  <wp:extent cx="7980045" cy="46762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980045" cy="4676204"/>
                          </a:xfrm>
                          <a:prstGeom prst="rect">
                            <a:avLst/>
                          </a:prstGeom>
                          <a:noFill/>
                        </pic:spPr>
                      </pic:pic>
                    </a:graphicData>
                  </a:graphic>
                </wp:inline>
              </w:drawing>
            </w:r>
          </w:p>
          <w:p w14:paraId="4B512A34" w14:textId="77777777" w:rsidR="00544E4E" w:rsidRDefault="00544E4E" w:rsidP="00BE60F3">
            <w:pPr>
              <w:spacing w:before="200"/>
            </w:pPr>
          </w:p>
        </w:tc>
      </w:tr>
    </w:tbl>
    <w:p w14:paraId="774213E7" w14:textId="77777777" w:rsidR="008A3F76" w:rsidRDefault="008A3F76" w:rsidP="00BE60F3">
      <w:pPr>
        <w:sectPr w:rsidR="008A3F76" w:rsidSect="002C3956">
          <w:pgSz w:w="16840" w:h="11900" w:orient="landscape"/>
          <w:pgMar w:top="1440" w:right="1440" w:bottom="1410" w:left="1440" w:header="850" w:footer="850" w:gutter="0"/>
          <w:cols w:space="708"/>
          <w:docGrid w:linePitch="360"/>
        </w:sectPr>
      </w:pPr>
      <w:bookmarkStart w:id="72" w:name="_Toc523746086"/>
    </w:p>
    <w:p w14:paraId="58BA4546" w14:textId="77777777" w:rsidR="00374F0F" w:rsidRPr="00B27D06" w:rsidRDefault="00374F0F" w:rsidP="0082195C">
      <w:pPr>
        <w:pStyle w:val="Heading2"/>
      </w:pPr>
      <w:bookmarkStart w:id="73" w:name="_Toc525743664"/>
      <w:bookmarkStart w:id="74" w:name="_Toc532991056"/>
      <w:bookmarkEnd w:id="72"/>
      <w:r w:rsidRPr="00B27D06">
        <w:t>Descriptive theory of change</w:t>
      </w:r>
      <w:bookmarkEnd w:id="73"/>
      <w:bookmarkEnd w:id="74"/>
    </w:p>
    <w:p w14:paraId="7D007A40" w14:textId="77777777" w:rsidR="00374F0F" w:rsidRDefault="00374F0F" w:rsidP="00BE60F3">
      <w:pPr>
        <w:pStyle w:val="BodyText"/>
      </w:pPr>
      <w:r>
        <w:t>Prospera’s Theory of Change is simply described as follows:</w:t>
      </w:r>
    </w:p>
    <w:p w14:paraId="165ED1B4" w14:textId="77777777" w:rsidR="00374F0F" w:rsidRPr="0020734C" w:rsidRDefault="00374F0F" w:rsidP="00BE60F3">
      <w:pPr>
        <w:pStyle w:val="BodyText"/>
        <w:rPr>
          <w:b/>
        </w:rPr>
      </w:pPr>
      <w:r w:rsidRPr="0020734C">
        <w:rPr>
          <w:b/>
        </w:rPr>
        <w:t xml:space="preserve">IF: </w:t>
      </w:r>
    </w:p>
    <w:p w14:paraId="4E9FA1F5" w14:textId="77777777" w:rsidR="00374F0F" w:rsidRPr="00024874" w:rsidRDefault="00374F0F" w:rsidP="00BE60F3">
      <w:pPr>
        <w:pStyle w:val="ListBullet"/>
      </w:pPr>
      <w:r w:rsidRPr="00024874">
        <w:t>Prospera’s advisers and Australian agency officers are able to work with, mentor, support, build knowledge and skills, and influence the practices of Indonesian government officials in targeted ministries and branches;</w:t>
      </w:r>
    </w:p>
    <w:p w14:paraId="5D151D5A" w14:textId="77777777" w:rsidR="00374F0F" w:rsidRPr="00024874" w:rsidRDefault="00374F0F" w:rsidP="00BE60F3">
      <w:pPr>
        <w:pStyle w:val="ListBullet"/>
      </w:pPr>
      <w:r w:rsidRPr="00024874">
        <w:t>Prospera is able to provide flexible and responsible just in time, economic policy advice and analysis to the Indonesian government;</w:t>
      </w:r>
    </w:p>
    <w:p w14:paraId="0E13EE60" w14:textId="77777777" w:rsidR="00374F0F" w:rsidRPr="00024874" w:rsidRDefault="00374F0F" w:rsidP="00BE60F3">
      <w:pPr>
        <w:pStyle w:val="ListBullet"/>
      </w:pPr>
      <w:r w:rsidRPr="00024874">
        <w:t xml:space="preserve">Prospera is able to provide institutional system building and strengthening support with a long-term view; </w:t>
      </w:r>
    </w:p>
    <w:p w14:paraId="2DAC82D6" w14:textId="7C723A29" w:rsidR="00374F0F" w:rsidRPr="00024874" w:rsidRDefault="00374F0F" w:rsidP="00BE60F3">
      <w:pPr>
        <w:pStyle w:val="ListBullet"/>
      </w:pPr>
      <w:r w:rsidRPr="00024874">
        <w:t>Prospera is able to influence thinking and practice around gender equality and social inclusion;</w:t>
      </w:r>
    </w:p>
    <w:p w14:paraId="4E241ACA" w14:textId="267EEBFA" w:rsidR="00374F0F" w:rsidRDefault="00374F0F" w:rsidP="00BE60F3">
      <w:pPr>
        <w:pStyle w:val="ListBullet"/>
      </w:pPr>
      <w:r w:rsidRPr="00024874">
        <w:t>Prospera is able to influence the political and bureaucratic economic actors through trusted and valued advisers</w:t>
      </w:r>
      <w:r w:rsidR="00A0703D">
        <w:rPr>
          <w:lang w:val="id-ID"/>
        </w:rPr>
        <w:t>; and</w:t>
      </w:r>
    </w:p>
    <w:p w14:paraId="5A24A96C" w14:textId="77777777" w:rsidR="00374F0F" w:rsidRPr="00043C86" w:rsidRDefault="00374F0F" w:rsidP="00BE60F3">
      <w:pPr>
        <w:pStyle w:val="ListBullet"/>
      </w:pPr>
      <w:r w:rsidRPr="00043C86">
        <w:t xml:space="preserve">Prospera is able to work through others including services sector and tax policy dialogues to motivate change. </w:t>
      </w:r>
    </w:p>
    <w:p w14:paraId="4B847F9B" w14:textId="77777777" w:rsidR="00374F0F" w:rsidRPr="0020734C" w:rsidRDefault="00374F0F" w:rsidP="00BE60F3">
      <w:pPr>
        <w:pStyle w:val="BodyText"/>
        <w:rPr>
          <w:b/>
        </w:rPr>
      </w:pPr>
      <w:r w:rsidRPr="0020734C">
        <w:rPr>
          <w:b/>
        </w:rPr>
        <w:t>THEN:</w:t>
      </w:r>
    </w:p>
    <w:p w14:paraId="35204250" w14:textId="77777777" w:rsidR="00374F0F" w:rsidRPr="00024874" w:rsidRDefault="00374F0F" w:rsidP="00BE60F3">
      <w:pPr>
        <w:pStyle w:val="ListBullet"/>
      </w:pPr>
      <w:r w:rsidRPr="00024874">
        <w:t xml:space="preserve">The capability of targeted areas of Indonesian government institutions will be increased; </w:t>
      </w:r>
    </w:p>
    <w:p w14:paraId="319CCB35" w14:textId="77777777" w:rsidR="00374F0F" w:rsidRPr="00024874" w:rsidRDefault="00374F0F" w:rsidP="00BE60F3">
      <w:pPr>
        <w:pStyle w:val="ListBullet"/>
      </w:pPr>
      <w:r w:rsidRPr="00024874">
        <w:t xml:space="preserve">The quality of economic analysis and data will be </w:t>
      </w:r>
      <w:r>
        <w:t>enhanced</w:t>
      </w:r>
      <w:r w:rsidRPr="00024874">
        <w:t>;</w:t>
      </w:r>
    </w:p>
    <w:p w14:paraId="672C896B" w14:textId="77777777" w:rsidR="00374F0F" w:rsidRPr="00024874" w:rsidRDefault="00374F0F" w:rsidP="00BE60F3">
      <w:pPr>
        <w:pStyle w:val="ListBullet"/>
      </w:pPr>
      <w:r w:rsidRPr="00024874">
        <w:t>The quality of economic policies will be improved;</w:t>
      </w:r>
    </w:p>
    <w:p w14:paraId="32A0AD8E" w14:textId="77777777" w:rsidR="00374F0F" w:rsidRPr="00024874" w:rsidRDefault="00374F0F" w:rsidP="00BE60F3">
      <w:pPr>
        <w:pStyle w:val="ListBullet"/>
      </w:pPr>
      <w:r w:rsidRPr="00024874">
        <w:t xml:space="preserve">The functionality of systems will be enhanced; and </w:t>
      </w:r>
    </w:p>
    <w:p w14:paraId="592EF8B3" w14:textId="77777777" w:rsidR="00374F0F" w:rsidRPr="00024874" w:rsidRDefault="00374F0F" w:rsidP="00BE60F3">
      <w:pPr>
        <w:pStyle w:val="ListBullet"/>
      </w:pPr>
      <w:r w:rsidRPr="00024874">
        <w:t>There will be more robust decision making.</w:t>
      </w:r>
    </w:p>
    <w:p w14:paraId="7A07DC3E" w14:textId="77777777" w:rsidR="00374F0F" w:rsidRPr="00374F0F" w:rsidRDefault="00374F0F" w:rsidP="00BE60F3">
      <w:pPr>
        <w:pStyle w:val="BodyText"/>
        <w:rPr>
          <w:b/>
        </w:rPr>
      </w:pPr>
      <w:r w:rsidRPr="00374F0F">
        <w:rPr>
          <w:b/>
        </w:rPr>
        <w:t>AND FINALLY:</w:t>
      </w:r>
    </w:p>
    <w:p w14:paraId="1A9921F9" w14:textId="77777777" w:rsidR="00374F0F" w:rsidRPr="0094454B" w:rsidRDefault="00374F0F" w:rsidP="00BE60F3">
      <w:pPr>
        <w:pStyle w:val="ListBullet"/>
      </w:pPr>
      <w:r w:rsidRPr="0094454B">
        <w:t xml:space="preserve">Indonesia’s markets will grow, creating jobs; </w:t>
      </w:r>
    </w:p>
    <w:p w14:paraId="7FB91336" w14:textId="77777777" w:rsidR="00374F0F" w:rsidRPr="0094454B" w:rsidRDefault="00374F0F" w:rsidP="00BE60F3">
      <w:pPr>
        <w:pStyle w:val="ListBullet"/>
      </w:pPr>
      <w:r w:rsidRPr="0094454B">
        <w:t>Indonesia will have stronger revenue streams;</w:t>
      </w:r>
    </w:p>
    <w:p w14:paraId="7A2302F0" w14:textId="77777777" w:rsidR="00374F0F" w:rsidRPr="0094454B" w:rsidRDefault="00374F0F" w:rsidP="00BE60F3">
      <w:pPr>
        <w:pStyle w:val="ListBullet"/>
      </w:pPr>
      <w:r w:rsidRPr="0094454B">
        <w:t xml:space="preserve">Indonesia will have better public financial management; </w:t>
      </w:r>
    </w:p>
    <w:p w14:paraId="2C34A900" w14:textId="77777777" w:rsidR="00374F0F" w:rsidRPr="0094454B" w:rsidRDefault="00374F0F" w:rsidP="00BE60F3">
      <w:pPr>
        <w:pStyle w:val="ListBullet"/>
      </w:pPr>
      <w:r w:rsidRPr="0094454B">
        <w:t xml:space="preserve">Indonesia will be better prepared for financial crises; and </w:t>
      </w:r>
    </w:p>
    <w:p w14:paraId="7B44298E" w14:textId="77777777" w:rsidR="00374F0F" w:rsidRPr="0094454B" w:rsidRDefault="00374F0F" w:rsidP="00BE60F3">
      <w:pPr>
        <w:pStyle w:val="ListBullet"/>
      </w:pPr>
      <w:r w:rsidRPr="0094454B">
        <w:t>Indonesia’s growth will be more robust, and more inclusive.</w:t>
      </w:r>
    </w:p>
    <w:p w14:paraId="00FB3483" w14:textId="3A42D169" w:rsidR="00374F0F" w:rsidRPr="00B27D06" w:rsidRDefault="00374F0F" w:rsidP="0082195C">
      <w:pPr>
        <w:pStyle w:val="Heading2"/>
      </w:pPr>
      <w:bookmarkStart w:id="75" w:name="_Toc525563666"/>
      <w:bookmarkStart w:id="76" w:name="_Toc525743665"/>
      <w:bookmarkStart w:id="77" w:name="_Toc532991057"/>
      <w:r w:rsidRPr="00B27D06">
        <w:t>Linking facility logic to activity level logic</w:t>
      </w:r>
      <w:bookmarkEnd w:id="75"/>
      <w:bookmarkEnd w:id="76"/>
      <w:bookmarkEnd w:id="77"/>
    </w:p>
    <w:p w14:paraId="65EE5B98" w14:textId="5A2B7C5C" w:rsidR="00A2418F" w:rsidRDefault="00A2418F" w:rsidP="00BE60F3">
      <w:pPr>
        <w:pStyle w:val="BodyText"/>
      </w:pPr>
      <w:r>
        <w:t>Prospera commenced in 2018</w:t>
      </w:r>
      <w:r w:rsidRPr="00F442FE">
        <w:t xml:space="preserve"> </w:t>
      </w:r>
      <w:r>
        <w:t xml:space="preserve">with </w:t>
      </w:r>
      <w:r w:rsidRPr="00F442FE">
        <w:t xml:space="preserve">A$30 million of </w:t>
      </w:r>
      <w:r>
        <w:t xml:space="preserve">activities for 2018-19 transitioned across from the predecessor Government </w:t>
      </w:r>
      <w:r w:rsidRPr="00F442FE">
        <w:t xml:space="preserve">Partnerships Fund (GPF) and Australia Indonesia Partnership for Economic Governance (AIPEG). </w:t>
      </w:r>
      <w:r w:rsidRPr="00F442FE">
        <w:rPr>
          <w:color w:val="000000" w:themeColor="text1"/>
        </w:rPr>
        <w:t>A breakdown of i</w:t>
      </w:r>
      <w:r w:rsidRPr="0092279B">
        <w:rPr>
          <w:color w:val="000000" w:themeColor="text1"/>
        </w:rPr>
        <w:t xml:space="preserve">nvestment for 2018-19 by advisory activities and Australian agency work plans is provided at Annex </w:t>
      </w:r>
      <w:r>
        <w:rPr>
          <w:color w:val="000000" w:themeColor="text1"/>
        </w:rPr>
        <w:t>4</w:t>
      </w:r>
      <w:r w:rsidRPr="0092279B">
        <w:rPr>
          <w:color w:val="000000" w:themeColor="text1"/>
        </w:rPr>
        <w:t>.</w:t>
      </w:r>
    </w:p>
    <w:p w14:paraId="401A25E2" w14:textId="19DB082F" w:rsidR="00374F0F" w:rsidRDefault="00374F0F" w:rsidP="00BE60F3">
      <w:pPr>
        <w:pStyle w:val="BodyText"/>
      </w:pPr>
      <w:r>
        <w:t xml:space="preserve">Through this Framework ultimately the majority of Prospera activities will have a design process </w:t>
      </w:r>
      <w:r w:rsidR="003D2342">
        <w:t>that</w:t>
      </w:r>
      <w:r>
        <w:t xml:space="preserve"> describes the activity logic with a clear line of sight to </w:t>
      </w:r>
      <w:r w:rsidR="003D2342">
        <w:t xml:space="preserve">intermediate, then </w:t>
      </w:r>
      <w:r>
        <w:t>breakthrough outcomes</w:t>
      </w:r>
      <w:r w:rsidR="00263C60">
        <w:t xml:space="preserve"> (see Figure </w:t>
      </w:r>
      <w:r w:rsidR="001607C5">
        <w:t>4</w:t>
      </w:r>
      <w:r w:rsidR="00263C60">
        <w:t>)</w:t>
      </w:r>
      <w:r>
        <w:t xml:space="preserve">. </w:t>
      </w:r>
    </w:p>
    <w:p w14:paraId="6F14EBF0" w14:textId="51B0D9FC" w:rsidR="003C34CE" w:rsidRPr="003C34CE" w:rsidRDefault="003C34CE" w:rsidP="003C34CE">
      <w:pPr>
        <w:pStyle w:val="BodyText"/>
      </w:pPr>
      <w:bookmarkStart w:id="78" w:name="_Hlk524977117"/>
      <w:r w:rsidRPr="003C34CE">
        <w:t>An ‘activity logic’ describes the outcomes that are intended to be achieved within the timeframe of an advisory activity proposal or an Australian agency workplan. For Australian agencies, this may also be referred to as ‘partnership logic’. In essence it is a map that demonstrates the links between various sub</w:t>
      </w:r>
      <w:r w:rsidRPr="003C34CE">
        <w:noBreakHyphen/>
        <w:t xml:space="preserve">activities in a workplan to intended outcomes. </w:t>
      </w:r>
    </w:p>
    <w:bookmarkEnd w:id="78"/>
    <w:p w14:paraId="462C33F5" w14:textId="146097B0" w:rsidR="00374F0F" w:rsidRDefault="00374F0F" w:rsidP="00BE60F3">
      <w:pPr>
        <w:pStyle w:val="BodyText"/>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F152C8" w14:paraId="43CD4A7A" w14:textId="77777777" w:rsidTr="00F152C8">
        <w:tc>
          <w:tcPr>
            <w:tcW w:w="4520" w:type="dxa"/>
            <w:shd w:val="clear" w:color="auto" w:fill="auto"/>
          </w:tcPr>
          <w:p w14:paraId="6FE41021" w14:textId="2A7DEDB7" w:rsidR="00941BF9" w:rsidRDefault="00F152C8" w:rsidP="00BE60F3">
            <w:pPr>
              <w:pStyle w:val="BodyText"/>
              <w:rPr>
                <w:highlight w:val="yellow"/>
              </w:rPr>
            </w:pPr>
            <w:r>
              <w:rPr>
                <w:noProof/>
                <w:lang w:eastAsia="en-AU"/>
              </w:rPr>
              <w:drawing>
                <wp:inline distT="0" distB="0" distL="0" distR="0" wp14:anchorId="3C1557D4" wp14:editId="2FB858FE">
                  <wp:extent cx="2200939" cy="23512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eak.png"/>
                          <pic:cNvPicPr/>
                        </pic:nvPicPr>
                        <pic:blipFill>
                          <a:blip r:embed="rId24">
                            <a:extLst>
                              <a:ext uri="{28A0092B-C50C-407E-A947-70E740481C1C}">
                                <a14:useLocalDpi xmlns:a14="http://schemas.microsoft.com/office/drawing/2010/main" val="0"/>
                              </a:ext>
                            </a:extLst>
                          </a:blip>
                          <a:stretch>
                            <a:fillRect/>
                          </a:stretch>
                        </pic:blipFill>
                        <pic:spPr>
                          <a:xfrm>
                            <a:off x="0" y="0"/>
                            <a:ext cx="2243406" cy="2396570"/>
                          </a:xfrm>
                          <a:prstGeom prst="rect">
                            <a:avLst/>
                          </a:prstGeom>
                        </pic:spPr>
                      </pic:pic>
                    </a:graphicData>
                  </a:graphic>
                </wp:inline>
              </w:drawing>
            </w:r>
          </w:p>
        </w:tc>
        <w:tc>
          <w:tcPr>
            <w:tcW w:w="4520" w:type="dxa"/>
            <w:shd w:val="clear" w:color="auto" w:fill="auto"/>
          </w:tcPr>
          <w:p w14:paraId="563F4FB2" w14:textId="2281BB97" w:rsidR="00941BF9" w:rsidRPr="00941BF9" w:rsidRDefault="00941BF9" w:rsidP="00941BF9">
            <w:pPr>
              <w:pStyle w:val="Tabletext"/>
              <w:jc w:val="left"/>
              <w:rPr>
                <w:b/>
              </w:rPr>
            </w:pPr>
            <w:r w:rsidRPr="00941BF9">
              <w:rPr>
                <w:b/>
              </w:rPr>
              <w:t xml:space="preserve">Figure </w:t>
            </w:r>
            <w:r w:rsidRPr="00941BF9">
              <w:rPr>
                <w:b/>
              </w:rPr>
              <w:fldChar w:fldCharType="begin"/>
            </w:r>
            <w:r w:rsidRPr="00941BF9">
              <w:rPr>
                <w:b/>
              </w:rPr>
              <w:instrText xml:space="preserve"> SEQ Figure \* ARABIC </w:instrText>
            </w:r>
            <w:r w:rsidRPr="00941BF9">
              <w:rPr>
                <w:b/>
              </w:rPr>
              <w:fldChar w:fldCharType="separate"/>
            </w:r>
            <w:r w:rsidR="001607C5">
              <w:rPr>
                <w:b/>
                <w:noProof/>
              </w:rPr>
              <w:t>4</w:t>
            </w:r>
            <w:r w:rsidRPr="00941BF9">
              <w:rPr>
                <w:b/>
              </w:rPr>
              <w:fldChar w:fldCharType="end"/>
            </w:r>
            <w:r w:rsidRPr="00941BF9">
              <w:rPr>
                <w:b/>
              </w:rPr>
              <w:t xml:space="preserve"> </w:t>
            </w:r>
            <w:r w:rsidR="00215416">
              <w:rPr>
                <w:b/>
              </w:rPr>
              <w:t xml:space="preserve">Cascading </w:t>
            </w:r>
            <w:r w:rsidRPr="00941BF9">
              <w:rPr>
                <w:b/>
              </w:rPr>
              <w:t xml:space="preserve">logics </w:t>
            </w:r>
          </w:p>
          <w:p w14:paraId="1B4BBE39" w14:textId="1659EA4C" w:rsidR="00941BF9" w:rsidRPr="00941BF9" w:rsidRDefault="00941BF9" w:rsidP="00941BF9">
            <w:pPr>
              <w:pStyle w:val="BodyText"/>
              <w:keepNext/>
            </w:pPr>
            <w:bookmarkStart w:id="79" w:name="_Hlk524977133"/>
            <w:r>
              <w:t xml:space="preserve">This Knowledge, Performance and Learning Framework sets out a new activity cycle to be in place by 2019, which will foster greater collaboration and alignment </w:t>
            </w:r>
            <w:bookmarkEnd w:id="79"/>
            <w:r>
              <w:t xml:space="preserve">under the new breakthrough outcomes. This is described in more detail </w:t>
            </w:r>
            <w:r w:rsidRPr="0092279B">
              <w:t>in Component 2 Activity Design and Reporting Guide.</w:t>
            </w:r>
            <w:r w:rsidR="003C48A6">
              <w:t xml:space="preserve"> Going forward, a</w:t>
            </w:r>
            <w:r w:rsidR="003C48A6" w:rsidRPr="00701AC5">
              <w:t>ll new activities will have an activity logic, which link to intermediate outcomes</w:t>
            </w:r>
            <w:r w:rsidR="003C48A6">
              <w:t>.</w:t>
            </w:r>
          </w:p>
        </w:tc>
      </w:tr>
    </w:tbl>
    <w:p w14:paraId="1DB0393D" w14:textId="72073EA2" w:rsidR="00374F0F" w:rsidRPr="00B27D06" w:rsidRDefault="00374F0F" w:rsidP="0082195C">
      <w:pPr>
        <w:pStyle w:val="Heading2"/>
      </w:pPr>
      <w:bookmarkStart w:id="80" w:name="_Toc525563667"/>
      <w:bookmarkStart w:id="81" w:name="_Toc525743666"/>
      <w:bookmarkStart w:id="82" w:name="_Toc532991058"/>
      <w:r w:rsidRPr="00B27D06">
        <w:t>High</w:t>
      </w:r>
      <w:r w:rsidR="005A5CA7">
        <w:t>-</w:t>
      </w:r>
      <w:r w:rsidRPr="00B27D06">
        <w:t>level assumptions</w:t>
      </w:r>
      <w:bookmarkEnd w:id="80"/>
      <w:bookmarkEnd w:id="81"/>
      <w:bookmarkEnd w:id="82"/>
    </w:p>
    <w:p w14:paraId="0C90A764" w14:textId="1477F0D9" w:rsidR="00374F0F" w:rsidRPr="00927AB8" w:rsidRDefault="00374F0F" w:rsidP="00BE60F3">
      <w:pPr>
        <w:pStyle w:val="BodyText"/>
      </w:pPr>
      <w:r>
        <w:t xml:space="preserve">The Facility is underpinned by the following </w:t>
      </w:r>
      <w:r w:rsidR="0020734C">
        <w:t>high-level</w:t>
      </w:r>
      <w:r>
        <w:t xml:space="preserve"> assumptions. For this facility to be successful it is assumed that:</w:t>
      </w:r>
    </w:p>
    <w:p w14:paraId="24724CB8" w14:textId="77777777" w:rsidR="00374F0F" w:rsidRPr="00D620BA" w:rsidRDefault="00374F0F" w:rsidP="00BE60F3">
      <w:pPr>
        <w:pStyle w:val="ListBullet"/>
      </w:pPr>
      <w:r w:rsidRPr="00D620BA">
        <w:t xml:space="preserve">There will be a continued demand for Australian-funded support in the areas covered by Prospera. </w:t>
      </w:r>
    </w:p>
    <w:p w14:paraId="4FF5FAD2" w14:textId="77777777" w:rsidR="00374F0F" w:rsidRPr="00D620BA" w:rsidRDefault="00374F0F" w:rsidP="00BE60F3">
      <w:pPr>
        <w:pStyle w:val="ListBullet"/>
      </w:pPr>
      <w:r>
        <w:t>A</w:t>
      </w:r>
      <w:r w:rsidRPr="00D620BA">
        <w:t xml:space="preserve"> strong degree of trust </w:t>
      </w:r>
      <w:r>
        <w:t xml:space="preserve">endures </w:t>
      </w:r>
      <w:r w:rsidRPr="00D620BA">
        <w:t xml:space="preserve">between Prospera and the Indonesian government, which is able to withstand any periods of </w:t>
      </w:r>
      <w:r>
        <w:t xml:space="preserve">change </w:t>
      </w:r>
      <w:r w:rsidRPr="00D620BA">
        <w:t xml:space="preserve">in the bilateral relationship. </w:t>
      </w:r>
    </w:p>
    <w:p w14:paraId="2AA42B2C" w14:textId="77777777" w:rsidR="00374F0F" w:rsidRPr="00D620BA" w:rsidRDefault="00374F0F" w:rsidP="00BE60F3">
      <w:pPr>
        <w:pStyle w:val="ListBullet"/>
      </w:pPr>
      <w:r w:rsidRPr="00D620BA">
        <w:t xml:space="preserve">Prospera will have strong leadership able to maintain clear strategic direction for the program. </w:t>
      </w:r>
    </w:p>
    <w:p w14:paraId="77190B80" w14:textId="77777777" w:rsidR="00374F0F" w:rsidRPr="00D620BA" w:rsidRDefault="00374F0F" w:rsidP="00BE60F3">
      <w:pPr>
        <w:pStyle w:val="ListBullet"/>
      </w:pPr>
      <w:r w:rsidRPr="00D620BA">
        <w:t xml:space="preserve">The benefits of Prospera for both the Australian and Indonesian governments will outweigh the opportunity cost of participating. </w:t>
      </w:r>
    </w:p>
    <w:p w14:paraId="16DB2982" w14:textId="59FE81F7" w:rsidR="00374F0F" w:rsidRPr="00D620BA" w:rsidRDefault="00374F0F" w:rsidP="00BE60F3">
      <w:pPr>
        <w:pStyle w:val="ListBullet"/>
      </w:pPr>
      <w:r w:rsidRPr="00D620BA">
        <w:t>Local advis</w:t>
      </w:r>
      <w:r w:rsidR="005A5CA7">
        <w:t>e</w:t>
      </w:r>
      <w:r w:rsidRPr="00D620BA">
        <w:t>rs with extensive Indonesia</w:t>
      </w:r>
      <w:r w:rsidR="005A5CA7">
        <w:t>-</w:t>
      </w:r>
      <w:r w:rsidRPr="00D620BA">
        <w:t xml:space="preserve">specific experience and local networks will continue to be available to Prospera. </w:t>
      </w:r>
    </w:p>
    <w:p w14:paraId="70D42B61" w14:textId="77777777" w:rsidR="00374F0F" w:rsidRPr="00D620BA" w:rsidRDefault="00374F0F" w:rsidP="00BE60F3">
      <w:pPr>
        <w:pStyle w:val="ListBullet"/>
      </w:pPr>
      <w:r w:rsidRPr="00D620BA">
        <w:t xml:space="preserve">The Australian </w:t>
      </w:r>
      <w:r>
        <w:t xml:space="preserve">development </w:t>
      </w:r>
      <w:r w:rsidRPr="00D620BA">
        <w:t xml:space="preserve">budget will remain relatively stable. </w:t>
      </w:r>
    </w:p>
    <w:p w14:paraId="16910933" w14:textId="77777777" w:rsidR="00374F0F" w:rsidRPr="00D620BA" w:rsidRDefault="00374F0F" w:rsidP="00BE60F3">
      <w:pPr>
        <w:pStyle w:val="ListBullet"/>
      </w:pPr>
      <w:r w:rsidRPr="00D620BA">
        <w:t xml:space="preserve">The economic partnership remains a key focus for both governments. </w:t>
      </w:r>
    </w:p>
    <w:p w14:paraId="551A9ECD" w14:textId="77777777" w:rsidR="00374F0F" w:rsidRPr="00D620BA" w:rsidRDefault="00374F0F" w:rsidP="00BE60F3">
      <w:pPr>
        <w:pStyle w:val="ListBullet"/>
        <w:spacing w:after="160"/>
        <w:ind w:left="357" w:hanging="357"/>
      </w:pPr>
      <w:r w:rsidRPr="00D620BA">
        <w:t xml:space="preserve">Participating Australian agencies remain equally interested in international work. </w:t>
      </w:r>
    </w:p>
    <w:p w14:paraId="46CAA953" w14:textId="5A04302C" w:rsidR="00C155B3" w:rsidRDefault="00374F0F" w:rsidP="00C155B3">
      <w:pPr>
        <w:pStyle w:val="BodyText"/>
      </w:pPr>
      <w:r>
        <w:t>Further a</w:t>
      </w:r>
      <w:r w:rsidRPr="00D620BA">
        <w:t xml:space="preserve">ssumptions against each intermediate outcome are documented </w:t>
      </w:r>
      <w:r w:rsidRPr="0092279B">
        <w:t xml:space="preserve">in Annex </w:t>
      </w:r>
      <w:r w:rsidR="00F874C7">
        <w:t>3</w:t>
      </w:r>
      <w:r w:rsidRPr="0092279B">
        <w:t>.</w:t>
      </w:r>
      <w:r w:rsidRPr="00D620BA">
        <w:t xml:space="preserve"> Assumptions will </w:t>
      </w:r>
      <w:r w:rsidRPr="00701AC5">
        <w:t xml:space="preserve">be regularly reviewed and refined to explore whether adjustments should be made to the facility logic. </w:t>
      </w:r>
      <w:r w:rsidR="00701AC5" w:rsidRPr="00701AC5">
        <w:t>Assumptions will also be elicited when building activity logics.</w:t>
      </w:r>
    </w:p>
    <w:p w14:paraId="4F212E6B" w14:textId="77777777" w:rsidR="00C155B3" w:rsidRPr="00C155B3" w:rsidRDefault="00C155B3" w:rsidP="00A2418F">
      <w:pPr>
        <w:pStyle w:val="Heading2"/>
        <w:rPr>
          <w:color w:val="auto"/>
          <w:sz w:val="20"/>
          <w:szCs w:val="22"/>
        </w:rPr>
      </w:pPr>
      <w:bookmarkStart w:id="83" w:name="_Toc532991059"/>
      <w:r>
        <w:t>Ways of working</w:t>
      </w:r>
      <w:bookmarkEnd w:id="83"/>
      <w:r>
        <w:t xml:space="preserve"> </w:t>
      </w:r>
    </w:p>
    <w:p w14:paraId="3DB3CD22" w14:textId="77777777" w:rsidR="00C155B3" w:rsidRDefault="00C155B3" w:rsidP="00C155B3">
      <w:pPr>
        <w:pStyle w:val="BodyText"/>
      </w:pPr>
      <w:r>
        <w:t xml:space="preserve">Prospera envisages a high degree of collaboration with Australian agencies and advisers working together with Indonesian partners on common outcomes. This presents a great opportunity to leverage multiple ways Australia delivers assistance under one facility.  To realise the gains, there will be change and this will take time and care.  </w:t>
      </w:r>
    </w:p>
    <w:p w14:paraId="5CECDE9B" w14:textId="2F439EEE" w:rsidR="00C155B3" w:rsidRPr="00C155B3" w:rsidRDefault="00C155B3" w:rsidP="00C155B3">
      <w:pPr>
        <w:pStyle w:val="BodyText"/>
      </w:pPr>
      <w:r>
        <w:t>This Knowledge, Performance and Learning Framework is one vehicle for bringing about change as teams join up under new outcomes. Fostering teamwork and goodwill is key</w:t>
      </w:r>
      <w:r w:rsidR="001E1D11">
        <w:t xml:space="preserve">. </w:t>
      </w:r>
      <w:r>
        <w:t>Moving to common outcomes will be paced to ensure teams progressively buy-in</w:t>
      </w:r>
      <w:r w:rsidR="001E1D11">
        <w:t xml:space="preserve"> </w:t>
      </w:r>
      <w:r>
        <w:t xml:space="preserve">to the changes. A ‘ways of </w:t>
      </w:r>
      <w:r w:rsidRPr="001E1D11">
        <w:t xml:space="preserve">working’ charter is set out in Annex 1 to guide Prospera teams to work together to achieve more. </w:t>
      </w:r>
      <w:r w:rsidR="001E1D11">
        <w:t xml:space="preserve"> </w:t>
      </w:r>
      <w:r w:rsidRPr="001E1D11">
        <w:t>The Prospera management team will support the principles set out in this charter</w:t>
      </w:r>
      <w:r w:rsidR="001E1D11">
        <w:t xml:space="preserve">, </w:t>
      </w:r>
      <w:r w:rsidRPr="001E1D11">
        <w:t>commit to leading by example</w:t>
      </w:r>
      <w:r w:rsidR="001E1D11">
        <w:t xml:space="preserve">, and promote the charter throughout 2019 and beyond. </w:t>
      </w:r>
      <w:r>
        <w:rPr>
          <w:b/>
        </w:rPr>
        <w:t xml:space="preserve"> </w:t>
      </w:r>
    </w:p>
    <w:p w14:paraId="4CFC7D09" w14:textId="6E622191" w:rsidR="00374F0F" w:rsidRPr="00C155B3" w:rsidRDefault="00374F0F" w:rsidP="00C155B3">
      <w:pPr>
        <w:pStyle w:val="BodyText"/>
      </w:pPr>
      <w:r>
        <w:br w:type="page"/>
      </w:r>
    </w:p>
    <w:p w14:paraId="5D9DB0A7" w14:textId="77777777" w:rsidR="00374F0F" w:rsidRPr="003F6635" w:rsidRDefault="00374F0F" w:rsidP="00BE60F3">
      <w:pPr>
        <w:pStyle w:val="Heading1"/>
        <w:rPr>
          <w:b/>
        </w:rPr>
      </w:pPr>
      <w:bookmarkStart w:id="84" w:name="_Toc525563677"/>
      <w:bookmarkStart w:id="85" w:name="_Toc525743676"/>
      <w:bookmarkStart w:id="86" w:name="_Toc532991060"/>
      <w:r w:rsidRPr="003F6635">
        <w:rPr>
          <w:b/>
        </w:rPr>
        <w:t>Performance measurement</w:t>
      </w:r>
      <w:bookmarkEnd w:id="84"/>
      <w:bookmarkEnd w:id="85"/>
      <w:bookmarkEnd w:id="86"/>
      <w:r w:rsidRPr="003F6635">
        <w:rPr>
          <w:b/>
        </w:rPr>
        <w:t xml:space="preserve"> </w:t>
      </w:r>
    </w:p>
    <w:p w14:paraId="058EDDD9" w14:textId="1ECFB791" w:rsidR="00374F0F" w:rsidRDefault="00374F0F" w:rsidP="00BE60F3">
      <w:pPr>
        <w:pStyle w:val="BodyText"/>
      </w:pPr>
      <w:r>
        <w:t xml:space="preserve">Prospera’s approach to performance measurement is designed to align with DFAT’s Aid Programming Guide and support DFAT’s Aid Quality Checks. Consultation with Indonesian government and Australian agency partners indicate that the same evidence-base is also useful for their needs. </w:t>
      </w:r>
    </w:p>
    <w:p w14:paraId="54E185E1" w14:textId="41F0871C" w:rsidR="00374F0F" w:rsidRDefault="00374F0F" w:rsidP="00BE60F3">
      <w:pPr>
        <w:pStyle w:val="BodyText"/>
      </w:pPr>
      <w:r>
        <w:t>A series of key performance questions are posed to guide performance measurement at the facility level. The questions have been developed with reference to the Prospera Investment Design (then AIECO), stakeholder consultation</w:t>
      </w:r>
      <w:r w:rsidR="00A4334D">
        <w:t>,</w:t>
      </w:r>
      <w:r>
        <w:t xml:space="preserve"> and good monitoring and evaluation practice. </w:t>
      </w:r>
    </w:p>
    <w:p w14:paraId="591CDA99" w14:textId="42EA6B47" w:rsidR="00EE642B" w:rsidRDefault="00EE642B" w:rsidP="00BE60F3">
      <w:pPr>
        <w:pStyle w:val="BodyText"/>
      </w:pPr>
      <w:r>
        <w:t xml:space="preserve">To </w:t>
      </w:r>
      <w:r w:rsidRPr="00777A00">
        <w:t xml:space="preserve">support consistency and flexibility in </w:t>
      </w:r>
      <w:r>
        <w:t xml:space="preserve">the </w:t>
      </w:r>
      <w:r w:rsidRPr="00777A00">
        <w:t xml:space="preserve">design of activities, </w:t>
      </w:r>
      <w:r>
        <w:t xml:space="preserve">conduct </w:t>
      </w:r>
      <w:r w:rsidRPr="00777A00">
        <w:t xml:space="preserve">monitoring </w:t>
      </w:r>
      <w:r>
        <w:t xml:space="preserve">and </w:t>
      </w:r>
      <w:r w:rsidRPr="00777A00">
        <w:t xml:space="preserve">evaluation and </w:t>
      </w:r>
      <w:r>
        <w:t xml:space="preserve">facilitate </w:t>
      </w:r>
      <w:r w:rsidRPr="00777A00">
        <w:t xml:space="preserve">learning, the Prospera Knowledge and Performance team will develop </w:t>
      </w:r>
      <w:r>
        <w:t>a ‘Knowledge Performance and Learning Toolkit’</w:t>
      </w:r>
      <w:r w:rsidR="00AA0AAE">
        <w:t xml:space="preserve"> (Component 3 of this Framework)</w:t>
      </w:r>
      <w:r>
        <w:t>. This toolkit will set out recommended methodologies, good</w:t>
      </w:r>
      <w:r>
        <w:noBreakHyphen/>
        <w:t xml:space="preserve">practice examples, data collection tools, and where to go for additional support. The toolkit will </w:t>
      </w:r>
      <w:r w:rsidRPr="00195481">
        <w:t>be made available to Prospera advisers and Australian agencies ahead of the 2019 activity planning cycle. The toolkit will be updated through consultation and use and contain good practice from Australian agencies, advisory teams and other programs</w:t>
      </w:r>
    </w:p>
    <w:p w14:paraId="3CE696AA" w14:textId="12C34D42" w:rsidR="00374F0F" w:rsidRPr="00B27D06" w:rsidRDefault="00374F0F" w:rsidP="0082195C">
      <w:pPr>
        <w:pStyle w:val="Heading2"/>
      </w:pPr>
      <w:bookmarkStart w:id="87" w:name="_Toc525563678"/>
      <w:bookmarkStart w:id="88" w:name="_Toc525743677"/>
      <w:bookmarkStart w:id="89" w:name="_Toc532991061"/>
      <w:r w:rsidRPr="00B27D06">
        <w:t>Key performance questions – facility level</w:t>
      </w:r>
      <w:bookmarkEnd w:id="87"/>
      <w:bookmarkEnd w:id="88"/>
      <w:bookmarkEnd w:id="89"/>
    </w:p>
    <w:p w14:paraId="752EBA71" w14:textId="77777777" w:rsidR="00374F0F" w:rsidRPr="00454D31" w:rsidRDefault="00374F0F" w:rsidP="00BE60F3">
      <w:pPr>
        <w:pStyle w:val="ListParagraph"/>
        <w:numPr>
          <w:ilvl w:val="0"/>
          <w:numId w:val="9"/>
        </w:numPr>
        <w:spacing w:before="120" w:after="120" w:line="276" w:lineRule="auto"/>
        <w:contextualSpacing w:val="0"/>
        <w:rPr>
          <w:sz w:val="20"/>
          <w:szCs w:val="20"/>
        </w:rPr>
      </w:pPr>
      <w:bookmarkStart w:id="90" w:name="_Toc523746109"/>
      <w:r w:rsidRPr="00454D31">
        <w:rPr>
          <w:b/>
          <w:sz w:val="20"/>
          <w:szCs w:val="20"/>
        </w:rPr>
        <w:t xml:space="preserve">(Impact) </w:t>
      </w:r>
      <w:r w:rsidRPr="00454D31">
        <w:rPr>
          <w:sz w:val="20"/>
          <w:szCs w:val="20"/>
        </w:rPr>
        <w:t xml:space="preserve">What significant economic policy or institutional changes have occurred as a result of Prospera’s contribution? </w:t>
      </w:r>
    </w:p>
    <w:p w14:paraId="1CB37438" w14:textId="77777777" w:rsidR="00374F0F" w:rsidRPr="00454D31" w:rsidRDefault="00374F0F" w:rsidP="00BE60F3">
      <w:pPr>
        <w:pStyle w:val="ListParagraph"/>
        <w:numPr>
          <w:ilvl w:val="1"/>
          <w:numId w:val="9"/>
        </w:numPr>
        <w:spacing w:before="120" w:after="120" w:line="276" w:lineRule="auto"/>
        <w:contextualSpacing w:val="0"/>
        <w:rPr>
          <w:sz w:val="20"/>
          <w:szCs w:val="20"/>
        </w:rPr>
      </w:pPr>
      <w:r w:rsidRPr="00454D31">
        <w:rPr>
          <w:sz w:val="20"/>
          <w:szCs w:val="20"/>
        </w:rPr>
        <w:t xml:space="preserve">To what extent did targeted economic policy or institutional change occur, and what changes were unexpected? </w:t>
      </w:r>
    </w:p>
    <w:p w14:paraId="2B7E42DD" w14:textId="77777777" w:rsidR="00374F0F" w:rsidRPr="006176A3" w:rsidRDefault="00374F0F" w:rsidP="00BE60F3">
      <w:pPr>
        <w:pStyle w:val="ListParagraph"/>
        <w:numPr>
          <w:ilvl w:val="1"/>
          <w:numId w:val="9"/>
        </w:numPr>
        <w:spacing w:before="120" w:after="120" w:line="276" w:lineRule="auto"/>
        <w:contextualSpacing w:val="0"/>
        <w:rPr>
          <w:sz w:val="20"/>
          <w:szCs w:val="20"/>
        </w:rPr>
      </w:pPr>
      <w:r w:rsidRPr="00454D31">
        <w:rPr>
          <w:sz w:val="20"/>
          <w:szCs w:val="20"/>
        </w:rPr>
        <w:t xml:space="preserve">What </w:t>
      </w:r>
      <w:r w:rsidRPr="006176A3">
        <w:rPr>
          <w:sz w:val="20"/>
          <w:szCs w:val="20"/>
        </w:rPr>
        <w:t xml:space="preserve">was the contribution of Prospera to these changes, and what other factors contributed to these? </w:t>
      </w:r>
    </w:p>
    <w:p w14:paraId="25D7ECCE" w14:textId="77777777" w:rsidR="00374F0F" w:rsidRPr="006176A3" w:rsidRDefault="00374F0F" w:rsidP="00BE60F3">
      <w:pPr>
        <w:pStyle w:val="ListParagraph"/>
        <w:numPr>
          <w:ilvl w:val="0"/>
          <w:numId w:val="9"/>
        </w:numPr>
        <w:spacing w:before="120" w:after="120" w:line="276" w:lineRule="auto"/>
        <w:contextualSpacing w:val="0"/>
        <w:rPr>
          <w:sz w:val="20"/>
          <w:szCs w:val="20"/>
        </w:rPr>
      </w:pPr>
      <w:bookmarkStart w:id="91" w:name="_Toc523746111"/>
      <w:bookmarkEnd w:id="90"/>
      <w:r w:rsidRPr="006176A3">
        <w:rPr>
          <w:b/>
          <w:sz w:val="20"/>
          <w:szCs w:val="20"/>
          <w:lang w:eastAsia="en-AU"/>
        </w:rPr>
        <w:t xml:space="preserve">(Effectiveness) </w:t>
      </w:r>
      <w:r w:rsidRPr="006176A3">
        <w:rPr>
          <w:sz w:val="20"/>
          <w:szCs w:val="20"/>
          <w:lang w:eastAsia="en-AU"/>
        </w:rPr>
        <w:t>To what extent did the facility as a whole achieve its expected outcomes and outputs?</w:t>
      </w:r>
    </w:p>
    <w:p w14:paraId="67A4707A" w14:textId="527E677E" w:rsidR="00374F0F" w:rsidRPr="006176A3" w:rsidRDefault="00374F0F" w:rsidP="00BE60F3">
      <w:pPr>
        <w:pStyle w:val="ListParagraph"/>
        <w:numPr>
          <w:ilvl w:val="1"/>
          <w:numId w:val="9"/>
        </w:numPr>
        <w:spacing w:before="120" w:after="120" w:line="276" w:lineRule="auto"/>
        <w:contextualSpacing w:val="0"/>
        <w:rPr>
          <w:sz w:val="20"/>
          <w:szCs w:val="20"/>
        </w:rPr>
      </w:pPr>
      <w:bookmarkStart w:id="92" w:name="_Toc523746112"/>
      <w:r w:rsidRPr="006176A3">
        <w:rPr>
          <w:sz w:val="20"/>
          <w:szCs w:val="20"/>
        </w:rPr>
        <w:t>To what extent have economic policies and reforms been formulated and implemented based on evidence?</w:t>
      </w:r>
      <w:bookmarkEnd w:id="92"/>
      <w:r w:rsidRPr="006176A3">
        <w:rPr>
          <w:sz w:val="20"/>
          <w:szCs w:val="20"/>
        </w:rPr>
        <w:t xml:space="preserve"> </w:t>
      </w:r>
    </w:p>
    <w:p w14:paraId="56553AFE" w14:textId="20164D46" w:rsidR="00E84E3A" w:rsidRPr="006176A3" w:rsidRDefault="00E84E3A" w:rsidP="00BE60F3">
      <w:pPr>
        <w:pStyle w:val="ListParagraph"/>
        <w:numPr>
          <w:ilvl w:val="1"/>
          <w:numId w:val="9"/>
        </w:numPr>
        <w:spacing w:before="120" w:after="120" w:line="276" w:lineRule="auto"/>
        <w:contextualSpacing w:val="0"/>
        <w:rPr>
          <w:sz w:val="20"/>
          <w:szCs w:val="20"/>
        </w:rPr>
      </w:pPr>
      <w:r w:rsidRPr="006176A3">
        <w:rPr>
          <w:sz w:val="20"/>
          <w:szCs w:val="20"/>
        </w:rPr>
        <w:t>To what extent did Prospera contribute to the capability of Indonesian government agencies?</w:t>
      </w:r>
    </w:p>
    <w:p w14:paraId="2A7BE9C3" w14:textId="4EFAE8C5" w:rsidR="00374F0F" w:rsidRPr="00454D31" w:rsidRDefault="00374F0F" w:rsidP="00BE60F3">
      <w:pPr>
        <w:pStyle w:val="ListParagraph"/>
        <w:numPr>
          <w:ilvl w:val="1"/>
          <w:numId w:val="9"/>
        </w:numPr>
        <w:spacing w:before="120" w:after="120" w:line="276" w:lineRule="auto"/>
        <w:contextualSpacing w:val="0"/>
        <w:rPr>
          <w:sz w:val="20"/>
          <w:szCs w:val="20"/>
        </w:rPr>
      </w:pPr>
      <w:bookmarkStart w:id="93" w:name="_Toc523746114"/>
      <w:r w:rsidRPr="006176A3">
        <w:rPr>
          <w:sz w:val="20"/>
          <w:szCs w:val="20"/>
        </w:rPr>
        <w:t>To what extent did Prospera contribute to an effective government</w:t>
      </w:r>
      <w:r w:rsidR="00A4334D" w:rsidRPr="006176A3">
        <w:rPr>
          <w:sz w:val="20"/>
          <w:szCs w:val="20"/>
        </w:rPr>
        <w:t>-</w:t>
      </w:r>
      <w:r w:rsidRPr="006176A3">
        <w:rPr>
          <w:sz w:val="20"/>
          <w:szCs w:val="20"/>
        </w:rPr>
        <w:t>to</w:t>
      </w:r>
      <w:r w:rsidR="00A4334D" w:rsidRPr="006176A3">
        <w:rPr>
          <w:sz w:val="20"/>
          <w:szCs w:val="20"/>
        </w:rPr>
        <w:t>-</w:t>
      </w:r>
      <w:r w:rsidRPr="006176A3">
        <w:rPr>
          <w:sz w:val="20"/>
          <w:szCs w:val="20"/>
        </w:rPr>
        <w:t>government partnership between</w:t>
      </w:r>
      <w:r w:rsidRPr="00454D31">
        <w:rPr>
          <w:sz w:val="20"/>
          <w:szCs w:val="20"/>
        </w:rPr>
        <w:t xml:space="preserve"> Australia and Indonesia?</w:t>
      </w:r>
      <w:bookmarkEnd w:id="93"/>
      <w:r w:rsidRPr="00454D31">
        <w:rPr>
          <w:sz w:val="20"/>
          <w:szCs w:val="20"/>
        </w:rPr>
        <w:t xml:space="preserve"> </w:t>
      </w:r>
    </w:p>
    <w:p w14:paraId="6EC3B7D4" w14:textId="77777777" w:rsidR="00374F0F" w:rsidRPr="00454D31" w:rsidRDefault="00374F0F" w:rsidP="00BE60F3">
      <w:pPr>
        <w:pStyle w:val="ListParagraph"/>
        <w:numPr>
          <w:ilvl w:val="0"/>
          <w:numId w:val="9"/>
        </w:numPr>
        <w:spacing w:before="120" w:after="120" w:line="276" w:lineRule="auto"/>
        <w:contextualSpacing w:val="0"/>
        <w:rPr>
          <w:sz w:val="20"/>
          <w:szCs w:val="20"/>
        </w:rPr>
      </w:pPr>
      <w:r w:rsidRPr="00454D31">
        <w:rPr>
          <w:b/>
          <w:sz w:val="20"/>
          <w:szCs w:val="20"/>
          <w:lang w:eastAsia="en-AU"/>
        </w:rPr>
        <w:t>(Learning)</w:t>
      </w:r>
      <w:r w:rsidRPr="00454D31">
        <w:rPr>
          <w:sz w:val="20"/>
          <w:szCs w:val="20"/>
          <w:lang w:eastAsia="en-AU"/>
        </w:rPr>
        <w:t xml:space="preserve"> What were the key enabling factors where activities were highly effective, what were the hindering factors where things failed to take hold?</w:t>
      </w:r>
    </w:p>
    <w:p w14:paraId="65701F9F" w14:textId="77777777" w:rsidR="00374F0F" w:rsidRPr="00454D31" w:rsidRDefault="00374F0F" w:rsidP="00BE60F3">
      <w:pPr>
        <w:pStyle w:val="ListParagraph"/>
        <w:numPr>
          <w:ilvl w:val="0"/>
          <w:numId w:val="9"/>
        </w:numPr>
        <w:spacing w:before="120" w:after="120" w:line="276" w:lineRule="auto"/>
        <w:contextualSpacing w:val="0"/>
        <w:rPr>
          <w:sz w:val="20"/>
          <w:szCs w:val="20"/>
          <w:lang w:eastAsia="en-AU"/>
        </w:rPr>
      </w:pPr>
      <w:r w:rsidRPr="00454D31">
        <w:rPr>
          <w:b/>
          <w:sz w:val="20"/>
          <w:szCs w:val="20"/>
          <w:lang w:eastAsia="en-AU"/>
        </w:rPr>
        <w:t xml:space="preserve">(Sustainability) </w:t>
      </w:r>
      <w:r w:rsidRPr="00454D31">
        <w:rPr>
          <w:sz w:val="20"/>
          <w:szCs w:val="20"/>
          <w:lang w:eastAsia="en-AU"/>
        </w:rPr>
        <w:t xml:space="preserve">To what extent are the changes likely to be sustainable and leave a lasting legacy after completion? </w:t>
      </w:r>
    </w:p>
    <w:p w14:paraId="197A0E46" w14:textId="77777777" w:rsidR="00374F0F" w:rsidRPr="00454D31" w:rsidRDefault="00374F0F" w:rsidP="00BE60F3">
      <w:pPr>
        <w:pStyle w:val="ListParagraph"/>
        <w:numPr>
          <w:ilvl w:val="0"/>
          <w:numId w:val="9"/>
        </w:numPr>
        <w:spacing w:before="120" w:after="120" w:line="276" w:lineRule="auto"/>
        <w:contextualSpacing w:val="0"/>
        <w:rPr>
          <w:sz w:val="20"/>
          <w:szCs w:val="20"/>
          <w:lang w:eastAsia="en-AU"/>
        </w:rPr>
      </w:pPr>
      <w:r w:rsidRPr="00454D31">
        <w:rPr>
          <w:b/>
          <w:sz w:val="20"/>
          <w:szCs w:val="20"/>
          <w:lang w:eastAsia="en-AU"/>
        </w:rPr>
        <w:t xml:space="preserve">(Gender and inclusion) </w:t>
      </w:r>
      <w:r w:rsidRPr="00454D31">
        <w:rPr>
          <w:sz w:val="20"/>
          <w:szCs w:val="20"/>
          <w:lang w:eastAsia="en-AU"/>
        </w:rPr>
        <w:t>To what extent did Prospera work in ways that contributed to priority outcomes including gender equality and disability inclusion?</w:t>
      </w:r>
    </w:p>
    <w:p w14:paraId="7A826267" w14:textId="77777777" w:rsidR="00374F0F" w:rsidRPr="00454D31" w:rsidRDefault="00374F0F" w:rsidP="00BE60F3">
      <w:pPr>
        <w:pStyle w:val="ListParagraph"/>
        <w:numPr>
          <w:ilvl w:val="0"/>
          <w:numId w:val="9"/>
        </w:numPr>
        <w:spacing w:before="120" w:after="120" w:line="276" w:lineRule="auto"/>
        <w:contextualSpacing w:val="0"/>
        <w:rPr>
          <w:sz w:val="20"/>
          <w:szCs w:val="20"/>
          <w:lang w:eastAsia="en-AU"/>
        </w:rPr>
      </w:pPr>
      <w:r w:rsidRPr="00454D31">
        <w:rPr>
          <w:b/>
          <w:sz w:val="20"/>
          <w:szCs w:val="20"/>
          <w:lang w:eastAsia="en-AU"/>
        </w:rPr>
        <w:t>(Operations and management)</w:t>
      </w:r>
      <w:r w:rsidRPr="00454D31">
        <w:rPr>
          <w:sz w:val="20"/>
          <w:szCs w:val="20"/>
          <w:lang w:eastAsia="en-AU"/>
        </w:rPr>
        <w:t xml:space="preserve"> To what extent did Prospera work in ways that were efficient, maximising outcomes from available time and resources?  </w:t>
      </w:r>
    </w:p>
    <w:p w14:paraId="43AD6B0D" w14:textId="0D8AC367" w:rsidR="0089512B" w:rsidRPr="0089512B" w:rsidRDefault="0089512B" w:rsidP="0082195C">
      <w:pPr>
        <w:pStyle w:val="Heading2"/>
      </w:pPr>
      <w:bookmarkStart w:id="94" w:name="_Toc532991062"/>
      <w:bookmarkEnd w:id="91"/>
      <w:r>
        <w:t>Baseline narratives</w:t>
      </w:r>
      <w:bookmarkEnd w:id="94"/>
    </w:p>
    <w:p w14:paraId="57155ED8" w14:textId="3242FEFE" w:rsidR="0089512B" w:rsidRPr="0089512B" w:rsidRDefault="0089512B" w:rsidP="0089512B">
      <w:pPr>
        <w:pStyle w:val="BodyText"/>
      </w:pPr>
      <w:r w:rsidRPr="0089512B">
        <w:t xml:space="preserve">Baselines, or the starting point for Prospera interventions, will be applied judiciously to support understanding of facility influence. This is because Prospera is a strategic and flexible facility - change can follow multiple pathways (and starting points), rather than steady progressive increments in many cases. </w:t>
      </w:r>
    </w:p>
    <w:p w14:paraId="69E46161" w14:textId="27325961" w:rsidR="0089512B" w:rsidRDefault="0089512B" w:rsidP="0089512B">
      <w:pPr>
        <w:pStyle w:val="BodyText"/>
      </w:pPr>
      <w:r w:rsidRPr="0089512B">
        <w:t>During 2019 Prospera will develop baseline narratives for each of the three breakthrough outcomes, to sub</w:t>
      </w:r>
      <w:r w:rsidR="00B30435">
        <w:t>-</w:t>
      </w:r>
      <w:r w:rsidRPr="0089512B">
        <w:t>outcome level, supported by brief strategies for how it is anticipated that progress towards each of those outcomes could be achieved. These narrative baselines will complement the Prospera Gender and Social Inclusion Strategy and Public Sector Strategy.</w:t>
      </w:r>
    </w:p>
    <w:p w14:paraId="28EF85F3" w14:textId="18A1B0AA" w:rsidR="0089512B" w:rsidRPr="00195481" w:rsidRDefault="0089512B" w:rsidP="00195481">
      <w:pPr>
        <w:pStyle w:val="BodyText"/>
      </w:pPr>
      <w:r w:rsidRPr="0089512B">
        <w:t>Over the planning cycle with both advisory teams and Australian agencies in 2019, Prospera will look to develop a small set of performance targets across the three breakthrough outcomes, to be reviewed and updated annually. Discussion around progress towards each target will be as important as than the target itself.</w:t>
      </w:r>
      <w:r>
        <w:t xml:space="preserve">  </w:t>
      </w:r>
      <w:r w:rsidR="00195481">
        <w:t>In addition</w:t>
      </w:r>
      <w:r w:rsidR="00A2418F">
        <w:t>,</w:t>
      </w:r>
      <w:r w:rsidR="00195481">
        <w:t xml:space="preserve"> proven ‘backward looking’ monitoring and evaluation techniques will be applied to collect evidence of contribution to outcomes across the breakthrough areas where the pathways are not pre-planned </w:t>
      </w:r>
      <w:r w:rsidR="00195481" w:rsidRPr="00F874C7">
        <w:t xml:space="preserve">(see Annex </w:t>
      </w:r>
      <w:r w:rsidR="00F874C7" w:rsidRPr="00F874C7">
        <w:t>5</w:t>
      </w:r>
      <w:r w:rsidR="00195481" w:rsidRPr="00F874C7">
        <w:t>).</w:t>
      </w:r>
      <w:r w:rsidR="00195481">
        <w:t xml:space="preserve"> </w:t>
      </w:r>
    </w:p>
    <w:p w14:paraId="2085D09E" w14:textId="68DF72AE" w:rsidR="00374F0F" w:rsidRPr="001E7AC6" w:rsidRDefault="00374F0F" w:rsidP="0082195C">
      <w:pPr>
        <w:pStyle w:val="Heading2"/>
      </w:pPr>
      <w:bookmarkStart w:id="95" w:name="_Toc523746117"/>
      <w:bookmarkStart w:id="96" w:name="_Toc525563679"/>
      <w:bookmarkStart w:id="97" w:name="_Toc525743678"/>
      <w:bookmarkStart w:id="98" w:name="_Toc532991063"/>
      <w:r w:rsidRPr="001E7AC6">
        <w:t>DFAT Indonesia Performance Assessment Framework</w:t>
      </w:r>
      <w:bookmarkEnd w:id="95"/>
      <w:bookmarkEnd w:id="96"/>
      <w:bookmarkEnd w:id="97"/>
      <w:bookmarkEnd w:id="98"/>
    </w:p>
    <w:p w14:paraId="48A0FE49" w14:textId="1AC9CE8B" w:rsidR="00374F0F" w:rsidRDefault="00374F0F" w:rsidP="00BE60F3">
      <w:pPr>
        <w:pStyle w:val="BodyText"/>
      </w:pPr>
      <w:r>
        <w:t xml:space="preserve">The DFAT Indonesia Performance Assessment Framework collects data to inform progress against the Indonesia Aid Investment Plan. </w:t>
      </w:r>
      <w:r w:rsidR="001975D8">
        <w:t xml:space="preserve">Two high-level policy </w:t>
      </w:r>
      <w:r>
        <w:t>indicators (</w:t>
      </w:r>
      <w:r w:rsidR="001975D8">
        <w:t xml:space="preserve">Version 3.1, December </w:t>
      </w:r>
      <w:r>
        <w:t>2018) are:</w:t>
      </w:r>
    </w:p>
    <w:p w14:paraId="63481BE5" w14:textId="77777777" w:rsidR="00374F0F" w:rsidRPr="001975D8" w:rsidRDefault="00374F0F" w:rsidP="00BE60F3">
      <w:pPr>
        <w:pStyle w:val="ListParagraph"/>
        <w:numPr>
          <w:ilvl w:val="0"/>
          <w:numId w:val="12"/>
        </w:numPr>
        <w:spacing w:before="120" w:after="120" w:line="276" w:lineRule="auto"/>
        <w:contextualSpacing w:val="0"/>
        <w:rPr>
          <w:sz w:val="20"/>
          <w:szCs w:val="20"/>
        </w:rPr>
      </w:pPr>
      <w:r w:rsidRPr="001975D8">
        <w:rPr>
          <w:sz w:val="20"/>
          <w:szCs w:val="20"/>
        </w:rPr>
        <w:t>Amount of additional financing co-invested in development.</w:t>
      </w:r>
    </w:p>
    <w:p w14:paraId="52FBA12E" w14:textId="77777777" w:rsidR="001975D8" w:rsidRPr="001975D8" w:rsidRDefault="001975D8" w:rsidP="001975D8">
      <w:pPr>
        <w:pStyle w:val="ListParagraph"/>
        <w:numPr>
          <w:ilvl w:val="0"/>
          <w:numId w:val="12"/>
        </w:numPr>
        <w:spacing w:before="120" w:after="120" w:line="276" w:lineRule="auto"/>
        <w:contextualSpacing w:val="0"/>
        <w:rPr>
          <w:sz w:val="20"/>
          <w:szCs w:val="20"/>
        </w:rPr>
      </w:pPr>
      <w:r w:rsidRPr="001975D8">
        <w:rPr>
          <w:sz w:val="20"/>
          <w:szCs w:val="20"/>
        </w:rPr>
        <w:t>Number of districts with improved service delivery practices and policies</w:t>
      </w:r>
    </w:p>
    <w:p w14:paraId="03003CA3" w14:textId="7C6B38F3" w:rsidR="00374F0F" w:rsidRDefault="001975D8" w:rsidP="00BE60F3">
      <w:pPr>
        <w:pStyle w:val="BodyText"/>
      </w:pPr>
      <w:r>
        <w:t xml:space="preserve">The first indicator is most </w:t>
      </w:r>
      <w:r w:rsidR="00374F0F" w:rsidRPr="004E3052">
        <w:t>relevant to Prospera</w:t>
      </w:r>
      <w:r>
        <w:t>’s</w:t>
      </w:r>
      <w:r w:rsidR="00374F0F" w:rsidRPr="004E3052">
        <w:t xml:space="preserve"> effort. Prospera will establish methods to </w:t>
      </w:r>
      <w:r>
        <w:t xml:space="preserve">collect evidence against this indicator through activity-level data collection plans. </w:t>
      </w:r>
    </w:p>
    <w:p w14:paraId="7072196B" w14:textId="1BD98D96" w:rsidR="00195481" w:rsidRPr="00195481" w:rsidRDefault="00195481" w:rsidP="00195481">
      <w:pPr>
        <w:pStyle w:val="Heading3"/>
        <w:numPr>
          <w:ilvl w:val="0"/>
          <w:numId w:val="0"/>
        </w:numPr>
        <w:ind w:left="851" w:hanging="851"/>
      </w:pPr>
      <w:bookmarkStart w:id="99" w:name="_Toc532139581"/>
      <w:r w:rsidRPr="00195481">
        <w:t>Annual Program Performance Report Milestones</w:t>
      </w:r>
      <w:bookmarkEnd w:id="99"/>
    </w:p>
    <w:p w14:paraId="64460F63" w14:textId="3C855E1D" w:rsidR="00195481" w:rsidRDefault="001975D8" w:rsidP="00195481">
      <w:pPr>
        <w:pStyle w:val="BodyText"/>
        <w:rPr>
          <w:lang w:val="en-US"/>
        </w:rPr>
      </w:pPr>
      <w:r>
        <w:rPr>
          <w:lang w:val="en-US"/>
        </w:rPr>
        <w:t xml:space="preserve">Prospera has </w:t>
      </w:r>
      <w:r w:rsidR="00195481">
        <w:rPr>
          <w:lang w:val="en-US"/>
        </w:rPr>
        <w:t>two milestones</w:t>
      </w:r>
      <w:r>
        <w:rPr>
          <w:lang w:val="en-US"/>
        </w:rPr>
        <w:t xml:space="preserve"> for 2018-19</w:t>
      </w:r>
      <w:r w:rsidR="00195481">
        <w:rPr>
          <w:lang w:val="en-US"/>
        </w:rPr>
        <w:t xml:space="preserve"> </w:t>
      </w:r>
      <w:r>
        <w:rPr>
          <w:lang w:val="en-US"/>
        </w:rPr>
        <w:t>under the Performance Assessment Framework and reported in the DFAT Indonesia Annual Program Performance Report</w:t>
      </w:r>
      <w:r w:rsidR="001607C5">
        <w:rPr>
          <w:lang w:val="en-US"/>
        </w:rPr>
        <w:t xml:space="preserve"> (Table 5)</w:t>
      </w:r>
      <w:r w:rsidR="00195481">
        <w:rPr>
          <w:lang w:val="en-US"/>
        </w:rPr>
        <w:t>.</w:t>
      </w:r>
      <w:r>
        <w:rPr>
          <w:lang w:val="en-US"/>
        </w:rPr>
        <w:t xml:space="preserve"> Evidence will be collected by the Prospera Knowledge and Performance team conducting case study analysis with activity teams. Further milestones will be developed by Prospera through the annual planning process. </w:t>
      </w:r>
    </w:p>
    <w:p w14:paraId="4E986942" w14:textId="293C41DE" w:rsidR="00326160" w:rsidRPr="006B0CDD" w:rsidRDefault="00326160" w:rsidP="00326160">
      <w:pPr>
        <w:pStyle w:val="Tabletext"/>
        <w:jc w:val="left"/>
        <w:rPr>
          <w:b/>
        </w:rPr>
      </w:pPr>
      <w:r w:rsidRPr="007F5F67">
        <w:rPr>
          <w:b/>
        </w:rPr>
        <w:t xml:space="preserve">Table </w:t>
      </w:r>
      <w:r w:rsidRPr="007F5F67">
        <w:rPr>
          <w:b/>
          <w:noProof/>
        </w:rPr>
        <w:fldChar w:fldCharType="begin"/>
      </w:r>
      <w:r w:rsidRPr="007F5F67">
        <w:rPr>
          <w:b/>
          <w:noProof/>
        </w:rPr>
        <w:instrText xml:space="preserve"> SEQ Table \* ARABIC </w:instrText>
      </w:r>
      <w:r w:rsidRPr="007F5F67">
        <w:rPr>
          <w:b/>
          <w:noProof/>
        </w:rPr>
        <w:fldChar w:fldCharType="separate"/>
      </w:r>
      <w:r>
        <w:rPr>
          <w:b/>
          <w:noProof/>
        </w:rPr>
        <w:t>5</w:t>
      </w:r>
      <w:r w:rsidRPr="007F5F67">
        <w:rPr>
          <w:b/>
          <w:noProof/>
        </w:rPr>
        <w:fldChar w:fldCharType="end"/>
      </w:r>
      <w:r w:rsidRPr="007F5F67">
        <w:rPr>
          <w:b/>
          <w:noProof/>
          <w:lang w:val="id-ID"/>
        </w:rPr>
        <w:t>.</w:t>
      </w:r>
      <w:r w:rsidRPr="007F5F67">
        <w:rPr>
          <w:b/>
        </w:rPr>
        <w:t xml:space="preserve"> </w:t>
      </w:r>
      <w:r>
        <w:rPr>
          <w:b/>
        </w:rPr>
        <w:t xml:space="preserve">DFAT aid program milestones </w:t>
      </w:r>
    </w:p>
    <w:tbl>
      <w:tblPr>
        <w:tblStyle w:val="TableGrid"/>
        <w:tblW w:w="0" w:type="auto"/>
        <w:tblLook w:val="04A0" w:firstRow="1" w:lastRow="0" w:firstColumn="1" w:lastColumn="0" w:noHBand="0" w:noVBand="1"/>
      </w:tblPr>
      <w:tblGrid>
        <w:gridCol w:w="2330"/>
        <w:gridCol w:w="3690"/>
        <w:gridCol w:w="3020"/>
      </w:tblGrid>
      <w:tr w:rsidR="00195481" w:rsidRPr="00893EDC" w14:paraId="37B9ACD5" w14:textId="77777777" w:rsidTr="00326160">
        <w:tc>
          <w:tcPr>
            <w:tcW w:w="2330" w:type="dxa"/>
            <w:shd w:val="clear" w:color="auto" w:fill="20ABCA" w:themeFill="accent6"/>
          </w:tcPr>
          <w:p w14:paraId="6EC929FF" w14:textId="048A3643" w:rsidR="00195481" w:rsidRPr="00893EDC" w:rsidRDefault="00195481" w:rsidP="00195481">
            <w:pPr>
              <w:pStyle w:val="BodyText"/>
              <w:spacing w:before="40" w:after="40"/>
              <w:rPr>
                <w:b/>
                <w:color w:val="FFFFFF" w:themeColor="background1"/>
                <w:lang w:val="en-US"/>
              </w:rPr>
            </w:pPr>
            <w:r w:rsidRPr="00893EDC">
              <w:rPr>
                <w:b/>
                <w:color w:val="FFFFFF" w:themeColor="background1"/>
                <w:lang w:val="en-US"/>
              </w:rPr>
              <w:t>Outcome</w:t>
            </w:r>
          </w:p>
        </w:tc>
        <w:tc>
          <w:tcPr>
            <w:tcW w:w="3690" w:type="dxa"/>
            <w:shd w:val="clear" w:color="auto" w:fill="20ABCA" w:themeFill="accent6"/>
          </w:tcPr>
          <w:p w14:paraId="365CFE18" w14:textId="3EE59E68" w:rsidR="00195481" w:rsidRPr="00893EDC" w:rsidRDefault="00195481" w:rsidP="00195481">
            <w:pPr>
              <w:pStyle w:val="BodyText"/>
              <w:spacing w:before="40" w:after="40"/>
              <w:jc w:val="center"/>
              <w:rPr>
                <w:b/>
                <w:color w:val="FFFFFF" w:themeColor="background1"/>
                <w:lang w:val="en-US"/>
              </w:rPr>
            </w:pPr>
            <w:r w:rsidRPr="00893EDC">
              <w:rPr>
                <w:b/>
                <w:color w:val="FFFFFF" w:themeColor="background1"/>
                <w:lang w:val="en-US"/>
              </w:rPr>
              <w:t>Milestone</w:t>
            </w:r>
          </w:p>
        </w:tc>
        <w:tc>
          <w:tcPr>
            <w:tcW w:w="3020" w:type="dxa"/>
            <w:shd w:val="clear" w:color="auto" w:fill="20ABCA" w:themeFill="accent6"/>
          </w:tcPr>
          <w:p w14:paraId="288CAC45" w14:textId="77777777" w:rsidR="00195481" w:rsidRPr="00893EDC" w:rsidRDefault="00195481" w:rsidP="00195481">
            <w:pPr>
              <w:pStyle w:val="BodyText"/>
              <w:spacing w:before="40" w:after="40"/>
              <w:jc w:val="center"/>
              <w:rPr>
                <w:b/>
                <w:color w:val="FFFFFF" w:themeColor="background1"/>
                <w:lang w:val="en-US"/>
              </w:rPr>
            </w:pPr>
            <w:r w:rsidRPr="00893EDC">
              <w:rPr>
                <w:b/>
                <w:color w:val="FFFFFF" w:themeColor="background1"/>
                <w:lang w:val="en-US"/>
              </w:rPr>
              <w:t>Measure / Evidence Base</w:t>
            </w:r>
          </w:p>
        </w:tc>
      </w:tr>
      <w:tr w:rsidR="00195481" w14:paraId="1DDAF8BD" w14:textId="77777777" w:rsidTr="00326160">
        <w:tc>
          <w:tcPr>
            <w:tcW w:w="2330" w:type="dxa"/>
          </w:tcPr>
          <w:p w14:paraId="69283215" w14:textId="77777777" w:rsidR="00195481" w:rsidRDefault="00195481" w:rsidP="00195481">
            <w:pPr>
              <w:pStyle w:val="BodyText"/>
              <w:rPr>
                <w:lang w:val="en-US"/>
              </w:rPr>
            </w:pPr>
            <w:r>
              <w:rPr>
                <w:lang w:val="en-US"/>
              </w:rPr>
              <w:t>1. Stronger economic institutions</w:t>
            </w:r>
          </w:p>
        </w:tc>
        <w:tc>
          <w:tcPr>
            <w:tcW w:w="3690" w:type="dxa"/>
          </w:tcPr>
          <w:p w14:paraId="46162D24" w14:textId="77777777" w:rsidR="00195481" w:rsidRDefault="00195481" w:rsidP="00195481">
            <w:pPr>
              <w:pStyle w:val="BodyText"/>
              <w:rPr>
                <w:lang w:val="en-US"/>
              </w:rPr>
            </w:pPr>
            <w:r>
              <w:rPr>
                <w:lang w:val="en-US"/>
              </w:rPr>
              <w:t xml:space="preserve">More public resources are available to infrastructure and socio-economic outcomes through a year-on-year decrease in money spent on administration. </w:t>
            </w:r>
          </w:p>
        </w:tc>
        <w:tc>
          <w:tcPr>
            <w:tcW w:w="3020" w:type="dxa"/>
          </w:tcPr>
          <w:p w14:paraId="5BCE8BED" w14:textId="63E5797A" w:rsidR="00195481" w:rsidRDefault="00195481" w:rsidP="00195481">
            <w:pPr>
              <w:pStyle w:val="BodyText"/>
              <w:rPr>
                <w:lang w:val="en-US"/>
              </w:rPr>
            </w:pPr>
            <w:r>
              <w:rPr>
                <w:lang w:val="en-US"/>
              </w:rPr>
              <w:t>% of Indonesian Government spent on administration vs % spent on direct investment in infrastructure or socio</w:t>
            </w:r>
            <w:r>
              <w:rPr>
                <w:lang w:val="en-US"/>
              </w:rPr>
              <w:noBreakHyphen/>
              <w:t>economic outcomes / Annual analysis of budget books and budget reviews.</w:t>
            </w:r>
          </w:p>
        </w:tc>
      </w:tr>
      <w:tr w:rsidR="00195481" w14:paraId="3FFF5C88" w14:textId="77777777" w:rsidTr="00326160">
        <w:tc>
          <w:tcPr>
            <w:tcW w:w="2330" w:type="dxa"/>
          </w:tcPr>
          <w:p w14:paraId="748524E0" w14:textId="77777777" w:rsidR="00195481" w:rsidRDefault="00195481" w:rsidP="00195481">
            <w:pPr>
              <w:pStyle w:val="BodyText"/>
              <w:rPr>
                <w:lang w:val="en-US"/>
              </w:rPr>
            </w:pPr>
            <w:r>
              <w:rPr>
                <w:lang w:val="en-US"/>
              </w:rPr>
              <w:t>3. More jobs and higher incomes, especially for poor households</w:t>
            </w:r>
          </w:p>
        </w:tc>
        <w:tc>
          <w:tcPr>
            <w:tcW w:w="3690" w:type="dxa"/>
          </w:tcPr>
          <w:p w14:paraId="32E4AAC0" w14:textId="6422E017" w:rsidR="00195481" w:rsidRDefault="00195481" w:rsidP="00195481">
            <w:pPr>
              <w:pStyle w:val="BodyText"/>
              <w:rPr>
                <w:lang w:val="en-US"/>
              </w:rPr>
            </w:pPr>
            <w:r>
              <w:rPr>
                <w:lang w:val="en-US"/>
              </w:rPr>
              <w:t>Improved policy settings in at least one area (financial services, vocational training, digital economy or value-added-tax status) in the services sector through targeted advocacy with the private sector.</w:t>
            </w:r>
          </w:p>
        </w:tc>
        <w:tc>
          <w:tcPr>
            <w:tcW w:w="3020" w:type="dxa"/>
          </w:tcPr>
          <w:p w14:paraId="09774785" w14:textId="335F52F5" w:rsidR="00195481" w:rsidRDefault="00195481" w:rsidP="00195481">
            <w:pPr>
              <w:pStyle w:val="BodyText"/>
              <w:rPr>
                <w:lang w:val="en-US"/>
              </w:rPr>
            </w:pPr>
            <w:r>
              <w:rPr>
                <w:lang w:val="en-US"/>
              </w:rPr>
              <w:t xml:space="preserve">One improved policy setting in financial services / digital economy or value-added-tax / Significant Instances of Policy or System Improvement. </w:t>
            </w:r>
          </w:p>
        </w:tc>
      </w:tr>
    </w:tbl>
    <w:p w14:paraId="3B22E9C5" w14:textId="5889D351" w:rsidR="00374F0F" w:rsidRPr="001E7AC6" w:rsidRDefault="00374F0F" w:rsidP="0082195C">
      <w:pPr>
        <w:pStyle w:val="Heading2"/>
      </w:pPr>
      <w:bookmarkStart w:id="100" w:name="_Toc525563680"/>
      <w:bookmarkStart w:id="101" w:name="_Toc525743679"/>
      <w:bookmarkStart w:id="102" w:name="_Toc532991064"/>
      <w:bookmarkStart w:id="103" w:name="_Toc523746122"/>
      <w:r w:rsidRPr="001E7AC6">
        <w:t>Methods for monitoring and evaluating performance</w:t>
      </w:r>
      <w:bookmarkEnd w:id="100"/>
      <w:bookmarkEnd w:id="101"/>
      <w:bookmarkEnd w:id="102"/>
    </w:p>
    <w:p w14:paraId="5B85A18E" w14:textId="507E3F71" w:rsidR="00195481" w:rsidRDefault="00195481" w:rsidP="00195481">
      <w:pPr>
        <w:pStyle w:val="BodyText"/>
      </w:pPr>
      <w:bookmarkStart w:id="104" w:name="_Toc525563681"/>
      <w:bookmarkStart w:id="105" w:name="_Toc525743680"/>
      <w:bookmarkEnd w:id="103"/>
      <w:r>
        <w:t xml:space="preserve">Prospera builds on a history of outcome focussed effort through its predecessor programs and will continue to have a significant focus on </w:t>
      </w:r>
      <w:r w:rsidR="002A3D68">
        <w:t>collecting</w:t>
      </w:r>
      <w:r>
        <w:t xml:space="preserve"> evidence of outcomes</w:t>
      </w:r>
      <w:r w:rsidR="002A3D68">
        <w:t xml:space="preserve">. This evidence will be synthesised </w:t>
      </w:r>
      <w:r>
        <w:t xml:space="preserve">to build </w:t>
      </w:r>
      <w:r w:rsidR="002A3D68">
        <w:t xml:space="preserve">an </w:t>
      </w:r>
      <w:r>
        <w:t xml:space="preserve">understanding </w:t>
      </w:r>
      <w:r w:rsidR="002A3D68">
        <w:t xml:space="preserve">of </w:t>
      </w:r>
      <w:r>
        <w:t xml:space="preserve">Prospera’s contribution to </w:t>
      </w:r>
      <w:r w:rsidR="00EE642B">
        <w:t xml:space="preserve">the three </w:t>
      </w:r>
      <w:r>
        <w:t xml:space="preserve">breakthrough </w:t>
      </w:r>
      <w:r w:rsidR="00EE642B">
        <w:t>areas.</w:t>
      </w:r>
      <w:r>
        <w:t xml:space="preserve"> </w:t>
      </w:r>
    </w:p>
    <w:p w14:paraId="3093A2EC" w14:textId="030964FC" w:rsidR="00195481" w:rsidRDefault="00EE642B" w:rsidP="00195481">
      <w:pPr>
        <w:pStyle w:val="BodyText"/>
      </w:pPr>
      <w:r>
        <w:t>M</w:t>
      </w:r>
      <w:r w:rsidR="00195481" w:rsidRPr="007B606D">
        <w:t xml:space="preserve">ethods for monitoring and evaluating performance will always be selected to </w:t>
      </w:r>
      <w:r w:rsidR="00195481" w:rsidRPr="002A3D68">
        <w:t>answer specific performance questions asked by key stakeholders. A prospective</w:t>
      </w:r>
      <w:r w:rsidR="00195481" w:rsidRPr="007B606D">
        <w:t xml:space="preserve"> sample of methods </w:t>
      </w:r>
      <w:r w:rsidR="00195481">
        <w:t xml:space="preserve">is included in </w:t>
      </w:r>
      <w:r w:rsidR="00195481" w:rsidRPr="00B16135">
        <w:t>Annex</w:t>
      </w:r>
      <w:r w:rsidR="00195481">
        <w:t xml:space="preserve"> </w:t>
      </w:r>
      <w:r w:rsidR="00F874C7">
        <w:t>5</w:t>
      </w:r>
      <w:r w:rsidR="002A3D68">
        <w:t xml:space="preserve"> with more detail on what methods are appropriate in what circumstances to be outlined in the t</w:t>
      </w:r>
      <w:r w:rsidR="00195481">
        <w:t>oolkit</w:t>
      </w:r>
      <w:r w:rsidR="002A3D68">
        <w:t xml:space="preserve"> and </w:t>
      </w:r>
      <w:r w:rsidR="00195481">
        <w:t xml:space="preserve">supported by the Knowledge and Performance team. </w:t>
      </w:r>
    </w:p>
    <w:p w14:paraId="2ADE0583" w14:textId="6ADA8A69" w:rsidR="00195481" w:rsidRDefault="002A3D68" w:rsidP="00195481">
      <w:pPr>
        <w:pStyle w:val="BodyText"/>
      </w:pPr>
      <w:r>
        <w:t>The toolkit will also contain d</w:t>
      </w:r>
      <w:r w:rsidR="00195481">
        <w:t xml:space="preserve">ata collection plans to guide monitoring and evaluation at </w:t>
      </w:r>
      <w:r>
        <w:t xml:space="preserve">an </w:t>
      </w:r>
      <w:r w:rsidR="00195481">
        <w:t>activity level. The</w:t>
      </w:r>
      <w:r>
        <w:t>se</w:t>
      </w:r>
      <w:r w:rsidR="00195481">
        <w:t xml:space="preserve"> data collection plans provide </w:t>
      </w:r>
      <w:r>
        <w:t xml:space="preserve">a menu of </w:t>
      </w:r>
      <w:r w:rsidR="00195481">
        <w:t>activity</w:t>
      </w:r>
      <w:r>
        <w:noBreakHyphen/>
      </w:r>
      <w:r w:rsidR="00195481">
        <w:t xml:space="preserve">level performance </w:t>
      </w:r>
      <w:r w:rsidR="00195481" w:rsidRPr="00CA0503">
        <w:t>questions</w:t>
      </w:r>
      <w:r w:rsidR="00195481">
        <w:t xml:space="preserve">, draft indicators and methods to collect the data. The Knowledge and Performance team will support teams to draw on these data collection plans </w:t>
      </w:r>
      <w:r>
        <w:t>in designing M&amp;E plans for activities</w:t>
      </w:r>
      <w:r w:rsidR="00195481">
        <w:t xml:space="preserve">. </w:t>
      </w:r>
    </w:p>
    <w:p w14:paraId="4289D81B" w14:textId="54992760" w:rsidR="00195481" w:rsidRDefault="00EE642B" w:rsidP="00195481">
      <w:pPr>
        <w:pStyle w:val="ListBullet"/>
        <w:numPr>
          <w:ilvl w:val="0"/>
          <w:numId w:val="0"/>
        </w:numPr>
      </w:pPr>
      <w:r>
        <w:t xml:space="preserve">The role of the Knowledge and Performance team is to work with DFAT, Australian agency leaders and Prospera management to synthesise these activity-level results each year and evaluate performance across the facility, using the narrative baselines as a reference point.  Specific evaluations to collect further evidence are outlined in Section 6. </w:t>
      </w:r>
    </w:p>
    <w:p w14:paraId="3D3467C3" w14:textId="77777777" w:rsidR="00195481" w:rsidRPr="002A3D68" w:rsidRDefault="00195481" w:rsidP="00EE642B">
      <w:pPr>
        <w:pStyle w:val="Heading3"/>
        <w:numPr>
          <w:ilvl w:val="0"/>
          <w:numId w:val="0"/>
        </w:numPr>
        <w:ind w:left="851" w:hanging="851"/>
      </w:pPr>
      <w:r w:rsidRPr="002A3D68">
        <w:t>Performance of the facility</w:t>
      </w:r>
    </w:p>
    <w:p w14:paraId="1E7D8985" w14:textId="3BD1EC98" w:rsidR="00195481" w:rsidRDefault="00195481" w:rsidP="00195481">
      <w:pPr>
        <w:pStyle w:val="BodyText"/>
      </w:pPr>
      <w:r>
        <w:t xml:space="preserve">Effective performance of the facility is vital for enabling contribution to intended outcomes. Draft facility </w:t>
      </w:r>
      <w:r w:rsidRPr="00EE642B">
        <w:t xml:space="preserve">performance outcomes are documented in a Facility Performance data collection plan (provided in </w:t>
      </w:r>
      <w:r w:rsidR="00EE642B" w:rsidRPr="00F874C7">
        <w:t xml:space="preserve">Annex </w:t>
      </w:r>
      <w:r w:rsidR="00F874C7" w:rsidRPr="00F874C7">
        <w:t>6</w:t>
      </w:r>
      <w:r w:rsidRPr="00F874C7">
        <w:t>).</w:t>
      </w:r>
      <w:r w:rsidRPr="00EE642B">
        <w:t xml:space="preserve"> The</w:t>
      </w:r>
      <w:r>
        <w:t xml:space="preserve"> Knowledge and Performance team will use this plan to target collection of data to enable assessment of facility performance and to inform the annual Partner Performance Assessment. </w:t>
      </w:r>
    </w:p>
    <w:p w14:paraId="51117973" w14:textId="3A0D7A85" w:rsidR="00195481" w:rsidRDefault="002A3D68" w:rsidP="00195481">
      <w:pPr>
        <w:pStyle w:val="BodyText"/>
      </w:pPr>
      <w:r>
        <w:t>Illustrative</w:t>
      </w:r>
      <w:r w:rsidR="00195481">
        <w:t xml:space="preserve"> facility performance outcomes and indicative targets, to be </w:t>
      </w:r>
      <w:r>
        <w:t xml:space="preserve">agreed </w:t>
      </w:r>
      <w:r w:rsidR="00195481">
        <w:t xml:space="preserve">in consultation with DFAT in 2019, are also provided in Table </w:t>
      </w:r>
      <w:r w:rsidR="001607C5">
        <w:t>6</w:t>
      </w:r>
      <w:r w:rsidR="00195481">
        <w:t>.</w:t>
      </w:r>
    </w:p>
    <w:p w14:paraId="266D0B38" w14:textId="151D09D6" w:rsidR="00195481" w:rsidRPr="002D23D8" w:rsidRDefault="00326160" w:rsidP="00326160">
      <w:pPr>
        <w:pStyle w:val="Tabletext"/>
        <w:jc w:val="left"/>
        <w:rPr>
          <w:b/>
        </w:rPr>
      </w:pPr>
      <w:r w:rsidRPr="007F5F67">
        <w:rPr>
          <w:b/>
        </w:rPr>
        <w:t xml:space="preserve">Table </w:t>
      </w:r>
      <w:r w:rsidRPr="007F5F67">
        <w:rPr>
          <w:b/>
          <w:noProof/>
        </w:rPr>
        <w:fldChar w:fldCharType="begin"/>
      </w:r>
      <w:r w:rsidRPr="007F5F67">
        <w:rPr>
          <w:b/>
          <w:noProof/>
        </w:rPr>
        <w:instrText xml:space="preserve"> SEQ Table \* ARABIC </w:instrText>
      </w:r>
      <w:r w:rsidRPr="007F5F67">
        <w:rPr>
          <w:b/>
          <w:noProof/>
        </w:rPr>
        <w:fldChar w:fldCharType="separate"/>
      </w:r>
      <w:r>
        <w:rPr>
          <w:b/>
          <w:noProof/>
        </w:rPr>
        <w:t>6</w:t>
      </w:r>
      <w:r w:rsidRPr="007F5F67">
        <w:rPr>
          <w:b/>
          <w:noProof/>
        </w:rPr>
        <w:fldChar w:fldCharType="end"/>
      </w:r>
      <w:r w:rsidRPr="007F5F67">
        <w:rPr>
          <w:b/>
          <w:noProof/>
          <w:lang w:val="id-ID"/>
        </w:rPr>
        <w:t>.</w:t>
      </w:r>
      <w:r w:rsidRPr="007F5F67">
        <w:rPr>
          <w:b/>
        </w:rPr>
        <w:t xml:space="preserve"> </w:t>
      </w:r>
      <w:r w:rsidR="00195481" w:rsidRPr="002D23D8">
        <w:rPr>
          <w:b/>
        </w:rPr>
        <w:t xml:space="preserve">Facility </w:t>
      </w:r>
      <w:r w:rsidR="00332C28">
        <w:rPr>
          <w:b/>
        </w:rPr>
        <w:t>p</w:t>
      </w:r>
      <w:r w:rsidR="00195481" w:rsidRPr="002D23D8">
        <w:rPr>
          <w:b/>
        </w:rPr>
        <w:t xml:space="preserve">erformance – Indicative </w:t>
      </w:r>
      <w:r w:rsidR="00332C28">
        <w:rPr>
          <w:b/>
        </w:rPr>
        <w:t>o</w:t>
      </w:r>
      <w:r w:rsidR="00195481" w:rsidRPr="002D23D8">
        <w:rPr>
          <w:b/>
        </w:rPr>
        <w:t xml:space="preserve">utcomes and </w:t>
      </w:r>
      <w:r w:rsidR="00332C28">
        <w:rPr>
          <w:b/>
        </w:rPr>
        <w:t>p</w:t>
      </w:r>
      <w:r w:rsidR="00195481" w:rsidRPr="002D23D8">
        <w:rPr>
          <w:b/>
        </w:rPr>
        <w:t xml:space="preserve">rogress </w:t>
      </w:r>
      <w:r w:rsidR="00332C28">
        <w:rPr>
          <w:b/>
        </w:rPr>
        <w:t>m</w:t>
      </w:r>
      <w:r w:rsidR="00195481" w:rsidRPr="002D23D8">
        <w:rPr>
          <w:b/>
        </w:rPr>
        <w:t>arkers</w:t>
      </w:r>
    </w:p>
    <w:tbl>
      <w:tblPr>
        <w:tblStyle w:val="TableGrid"/>
        <w:tblW w:w="0" w:type="auto"/>
        <w:tblLook w:val="04A0" w:firstRow="1" w:lastRow="0" w:firstColumn="1" w:lastColumn="0" w:noHBand="0" w:noVBand="1"/>
      </w:tblPr>
      <w:tblGrid>
        <w:gridCol w:w="4519"/>
        <w:gridCol w:w="4521"/>
      </w:tblGrid>
      <w:tr w:rsidR="00195481" w:rsidRPr="006F2D3F" w14:paraId="09366250" w14:textId="77777777" w:rsidTr="002A3D68">
        <w:trPr>
          <w:tblHeader/>
        </w:trPr>
        <w:tc>
          <w:tcPr>
            <w:tcW w:w="4519" w:type="dxa"/>
            <w:shd w:val="clear" w:color="auto" w:fill="20ABCA" w:themeFill="accent6"/>
          </w:tcPr>
          <w:p w14:paraId="40542009" w14:textId="5217283A" w:rsidR="00195481" w:rsidRPr="006F2D3F" w:rsidRDefault="00195481" w:rsidP="00195481">
            <w:pPr>
              <w:pStyle w:val="BodyText"/>
              <w:spacing w:before="120"/>
              <w:jc w:val="center"/>
              <w:rPr>
                <w:b/>
                <w:color w:val="FFFFFF" w:themeColor="background1"/>
              </w:rPr>
            </w:pPr>
            <w:r w:rsidRPr="006F2D3F">
              <w:rPr>
                <w:b/>
                <w:color w:val="FFFFFF" w:themeColor="background1"/>
              </w:rPr>
              <w:t xml:space="preserve">Facility </w:t>
            </w:r>
            <w:r w:rsidR="00332C28">
              <w:rPr>
                <w:b/>
                <w:color w:val="FFFFFF" w:themeColor="background1"/>
              </w:rPr>
              <w:t>p</w:t>
            </w:r>
            <w:r w:rsidRPr="006F2D3F">
              <w:rPr>
                <w:b/>
                <w:color w:val="FFFFFF" w:themeColor="background1"/>
              </w:rPr>
              <w:t xml:space="preserve">erformance </w:t>
            </w:r>
            <w:r w:rsidR="00332C28">
              <w:rPr>
                <w:b/>
                <w:color w:val="FFFFFF" w:themeColor="background1"/>
              </w:rPr>
              <w:t>o</w:t>
            </w:r>
            <w:r w:rsidRPr="006F2D3F">
              <w:rPr>
                <w:b/>
                <w:color w:val="FFFFFF" w:themeColor="background1"/>
              </w:rPr>
              <w:t>utcome</w:t>
            </w:r>
          </w:p>
        </w:tc>
        <w:tc>
          <w:tcPr>
            <w:tcW w:w="4521" w:type="dxa"/>
            <w:shd w:val="clear" w:color="auto" w:fill="20ABCA" w:themeFill="accent6"/>
          </w:tcPr>
          <w:p w14:paraId="765DD80D" w14:textId="40C6FDCA" w:rsidR="00195481" w:rsidRPr="006F2D3F" w:rsidRDefault="00195481" w:rsidP="00195481">
            <w:pPr>
              <w:pStyle w:val="BodyText"/>
              <w:spacing w:before="120"/>
              <w:jc w:val="center"/>
              <w:rPr>
                <w:b/>
                <w:color w:val="FFFFFF" w:themeColor="background1"/>
              </w:rPr>
            </w:pPr>
            <w:r w:rsidRPr="006F2D3F">
              <w:rPr>
                <w:b/>
                <w:color w:val="FFFFFF" w:themeColor="background1"/>
              </w:rPr>
              <w:t xml:space="preserve">Possible </w:t>
            </w:r>
            <w:r w:rsidR="00332C28">
              <w:rPr>
                <w:b/>
                <w:color w:val="FFFFFF" w:themeColor="background1"/>
              </w:rPr>
              <w:t>p</w:t>
            </w:r>
            <w:r w:rsidRPr="006F2D3F">
              <w:rPr>
                <w:b/>
                <w:color w:val="FFFFFF" w:themeColor="background1"/>
              </w:rPr>
              <w:t xml:space="preserve">rogress </w:t>
            </w:r>
            <w:r w:rsidR="00332C28">
              <w:rPr>
                <w:b/>
                <w:color w:val="FFFFFF" w:themeColor="background1"/>
              </w:rPr>
              <w:t>m</w:t>
            </w:r>
            <w:r w:rsidRPr="006F2D3F">
              <w:rPr>
                <w:b/>
                <w:color w:val="FFFFFF" w:themeColor="background1"/>
              </w:rPr>
              <w:t>arker</w:t>
            </w:r>
            <w:r>
              <w:rPr>
                <w:b/>
                <w:color w:val="FFFFFF" w:themeColor="background1"/>
              </w:rPr>
              <w:t>s</w:t>
            </w:r>
          </w:p>
        </w:tc>
      </w:tr>
      <w:tr w:rsidR="00195481" w14:paraId="1CA635C1" w14:textId="77777777" w:rsidTr="002A3D68">
        <w:tc>
          <w:tcPr>
            <w:tcW w:w="4519" w:type="dxa"/>
          </w:tcPr>
          <w:p w14:paraId="066646A5" w14:textId="15E915FA" w:rsidR="00195481" w:rsidRDefault="00195481" w:rsidP="00195481">
            <w:pPr>
              <w:pStyle w:val="BodyText"/>
              <w:spacing w:before="120"/>
            </w:pPr>
            <w:r w:rsidRPr="0080743B">
              <w:t>The Facility is practicing good governance, transparently and effectively prioritising and allocating investment to activities; through application of agreed investment criteria and transparent decision</w:t>
            </w:r>
            <w:r w:rsidR="00332C28">
              <w:t xml:space="preserve"> </w:t>
            </w:r>
            <w:r w:rsidRPr="0080743B">
              <w:t>making models.</w:t>
            </w:r>
          </w:p>
        </w:tc>
        <w:tc>
          <w:tcPr>
            <w:tcW w:w="4521" w:type="dxa"/>
          </w:tcPr>
          <w:p w14:paraId="1CB0E888" w14:textId="13825DF1" w:rsidR="00195481" w:rsidRDefault="00195481" w:rsidP="00195481">
            <w:pPr>
              <w:pStyle w:val="BodyText"/>
              <w:spacing w:before="120"/>
            </w:pPr>
            <w:r>
              <w:t xml:space="preserve">100% of advisory </w:t>
            </w:r>
            <w:r w:rsidR="002A3D68">
              <w:t xml:space="preserve">activities </w:t>
            </w:r>
            <w:r>
              <w:t xml:space="preserve">and </w:t>
            </w:r>
            <w:r w:rsidR="002A3D68">
              <w:t xml:space="preserve">APS workplans </w:t>
            </w:r>
            <w:r>
              <w:t xml:space="preserve">are considered ‘good’ to ‘high’ quality as evidenced by adherence to investment criteria. </w:t>
            </w:r>
          </w:p>
          <w:p w14:paraId="49D572E9" w14:textId="77777777" w:rsidR="00195481" w:rsidRDefault="00195481" w:rsidP="00195481">
            <w:pPr>
              <w:pStyle w:val="BodyText"/>
              <w:spacing w:before="120"/>
            </w:pPr>
          </w:p>
        </w:tc>
      </w:tr>
      <w:tr w:rsidR="00195481" w14:paraId="19DB67B1" w14:textId="77777777" w:rsidTr="002A3D68">
        <w:tc>
          <w:tcPr>
            <w:tcW w:w="4519" w:type="dxa"/>
          </w:tcPr>
          <w:p w14:paraId="2F68F02D" w14:textId="394036D6" w:rsidR="00195481" w:rsidRDefault="002A3D68" w:rsidP="00195481">
            <w:pPr>
              <w:pStyle w:val="BodyText"/>
              <w:spacing w:before="120"/>
            </w:pPr>
            <w:r>
              <w:t xml:space="preserve">Australian agencies </w:t>
            </w:r>
            <w:r w:rsidR="00195481" w:rsidRPr="0080743B">
              <w:t>and advis</w:t>
            </w:r>
            <w:r w:rsidR="00B30435">
              <w:t>e</w:t>
            </w:r>
            <w:r w:rsidR="00195481" w:rsidRPr="0080743B">
              <w:t xml:space="preserve">rs are collaborating effectively and applying interdisciplinary approaches to design and implement better activities: across themes and within portfolios. </w:t>
            </w:r>
          </w:p>
        </w:tc>
        <w:tc>
          <w:tcPr>
            <w:tcW w:w="4521" w:type="dxa"/>
          </w:tcPr>
          <w:p w14:paraId="67D2B7A0" w14:textId="7CD8A76D" w:rsidR="00195481" w:rsidRDefault="00195481" w:rsidP="00195481">
            <w:pPr>
              <w:pStyle w:val="BodyText"/>
              <w:spacing w:before="120"/>
            </w:pPr>
            <w:r>
              <w:t># of examples of Australian agencies and advisers collaborating on activity design and implementation</w:t>
            </w:r>
            <w:r w:rsidR="002A3D68">
              <w:t>; increasing through the life of Prospera</w:t>
            </w:r>
            <w:r w:rsidR="00B30435">
              <w:t>.</w:t>
            </w:r>
          </w:p>
        </w:tc>
      </w:tr>
      <w:tr w:rsidR="00195481" w14:paraId="171B2157" w14:textId="77777777" w:rsidTr="002A3D68">
        <w:tc>
          <w:tcPr>
            <w:tcW w:w="4519" w:type="dxa"/>
          </w:tcPr>
          <w:p w14:paraId="1125C0BA" w14:textId="1844AD95" w:rsidR="00195481" w:rsidRDefault="002A3D68" w:rsidP="00195481">
            <w:pPr>
              <w:pStyle w:val="BodyText"/>
              <w:spacing w:before="120"/>
            </w:pPr>
            <w:r>
              <w:t>A</w:t>
            </w:r>
            <w:r w:rsidR="00195481" w:rsidRPr="0080743B">
              <w:t xml:space="preserve">dvisers are adding interdisciplinary value to peer exchanges between </w:t>
            </w:r>
            <w:r>
              <w:t xml:space="preserve">Indonesian and Australian </w:t>
            </w:r>
            <w:r w:rsidR="00195481" w:rsidRPr="0080743B">
              <w:t>government officials.</w:t>
            </w:r>
          </w:p>
        </w:tc>
        <w:tc>
          <w:tcPr>
            <w:tcW w:w="4521" w:type="dxa"/>
          </w:tcPr>
          <w:p w14:paraId="705F67B9" w14:textId="1FEF7A9B" w:rsidR="00195481" w:rsidRDefault="00195481" w:rsidP="00195481">
            <w:pPr>
              <w:pStyle w:val="BodyText"/>
              <w:spacing w:before="120"/>
            </w:pPr>
            <w:r>
              <w:t># of instances of advisers supporting Australian agency effectiveness</w:t>
            </w:r>
            <w:r w:rsidR="002A3D68">
              <w:t>; increasing through the life of Prospera</w:t>
            </w:r>
            <w:r w:rsidR="00B30435">
              <w:t>.</w:t>
            </w:r>
            <w:r w:rsidR="002A3D68">
              <w:t xml:space="preserve"> </w:t>
            </w:r>
          </w:p>
        </w:tc>
      </w:tr>
      <w:tr w:rsidR="00195481" w14:paraId="4205F51E" w14:textId="77777777" w:rsidTr="002A3D68">
        <w:tc>
          <w:tcPr>
            <w:tcW w:w="4519" w:type="dxa"/>
          </w:tcPr>
          <w:p w14:paraId="06DAC746" w14:textId="6E7E16D5" w:rsidR="00195481" w:rsidRDefault="00195481" w:rsidP="00195481">
            <w:pPr>
              <w:pStyle w:val="BodyText"/>
              <w:spacing w:before="120"/>
            </w:pPr>
            <w:r w:rsidRPr="0080743B">
              <w:t xml:space="preserve">Australian </w:t>
            </w:r>
            <w:r w:rsidR="002A3D68">
              <w:t xml:space="preserve">agencies </w:t>
            </w:r>
            <w:r w:rsidRPr="0080743B">
              <w:t xml:space="preserve">are enabling </w:t>
            </w:r>
            <w:r w:rsidR="002A3D68">
              <w:t xml:space="preserve">advisers </w:t>
            </w:r>
            <w:r w:rsidRPr="0080743B">
              <w:t>to</w:t>
            </w:r>
            <w:r w:rsidR="002A3D68">
              <w:t xml:space="preserve"> </w:t>
            </w:r>
            <w:r w:rsidRPr="0080743B">
              <w:t>work more effectively in bureaucracies</w:t>
            </w:r>
            <w:r>
              <w:t>.</w:t>
            </w:r>
          </w:p>
        </w:tc>
        <w:tc>
          <w:tcPr>
            <w:tcW w:w="4521" w:type="dxa"/>
          </w:tcPr>
          <w:p w14:paraId="121B728B" w14:textId="14E76AE6" w:rsidR="00195481" w:rsidRDefault="00195481" w:rsidP="00195481">
            <w:pPr>
              <w:pStyle w:val="BodyText"/>
              <w:spacing w:before="120"/>
            </w:pPr>
            <w:r>
              <w:t># of instances of Australian agencies supporting advisers in public sector work</w:t>
            </w:r>
            <w:r w:rsidR="002A3D68">
              <w:t>; increasing through the life of Prospera</w:t>
            </w:r>
            <w:r w:rsidR="00B30435">
              <w:t>.</w:t>
            </w:r>
          </w:p>
        </w:tc>
      </w:tr>
      <w:tr w:rsidR="00195481" w14:paraId="6C15A60D" w14:textId="77777777" w:rsidTr="002A3D68">
        <w:tc>
          <w:tcPr>
            <w:tcW w:w="4519" w:type="dxa"/>
          </w:tcPr>
          <w:p w14:paraId="799969B2" w14:textId="77777777" w:rsidR="00195481" w:rsidRDefault="00195481" w:rsidP="00195481">
            <w:pPr>
              <w:pStyle w:val="BodyText"/>
              <w:spacing w:before="120"/>
            </w:pPr>
            <w:r w:rsidRPr="0080743B">
              <w:t>Knowledge is being effectively managed, shared and used across Prospera</w:t>
            </w:r>
            <w:r>
              <w:t>.</w:t>
            </w:r>
          </w:p>
        </w:tc>
        <w:tc>
          <w:tcPr>
            <w:tcW w:w="4521" w:type="dxa"/>
          </w:tcPr>
          <w:p w14:paraId="0D78BDCA" w14:textId="79E101AB" w:rsidR="00195481" w:rsidRDefault="002A3D68" w:rsidP="00195481">
            <w:pPr>
              <w:pStyle w:val="BodyText"/>
              <w:spacing w:before="120"/>
            </w:pPr>
            <w:r>
              <w:t>Uptake of knowledge system; increasing through the life of Prospera</w:t>
            </w:r>
            <w:r w:rsidR="00B30435">
              <w:t>.</w:t>
            </w:r>
          </w:p>
        </w:tc>
      </w:tr>
      <w:tr w:rsidR="00195481" w14:paraId="4A188FFE" w14:textId="77777777" w:rsidTr="002A3D68">
        <w:tc>
          <w:tcPr>
            <w:tcW w:w="4519" w:type="dxa"/>
          </w:tcPr>
          <w:p w14:paraId="15903F5B" w14:textId="23FAD5E7" w:rsidR="00195481" w:rsidRDefault="00195481" w:rsidP="00195481">
            <w:pPr>
              <w:pStyle w:val="BodyText"/>
              <w:spacing w:before="120"/>
            </w:pPr>
            <w:r w:rsidRPr="0080743B">
              <w:t xml:space="preserve">Gender and social inclusion is effectively integrated into Prospera activities. </w:t>
            </w:r>
          </w:p>
        </w:tc>
        <w:tc>
          <w:tcPr>
            <w:tcW w:w="4521" w:type="dxa"/>
          </w:tcPr>
          <w:p w14:paraId="59DB38A2" w14:textId="6763AFC7" w:rsidR="00195481" w:rsidRDefault="00195481" w:rsidP="00195481">
            <w:pPr>
              <w:pStyle w:val="BodyText"/>
              <w:spacing w:before="120"/>
            </w:pPr>
            <w:r>
              <w:t xml:space="preserve">% of activities with authentic </w:t>
            </w:r>
            <w:r w:rsidR="002A3D68">
              <w:t>gender and social inclusion</w:t>
            </w:r>
            <w:r>
              <w:t xml:space="preserve"> programming delivering outcomes as planned</w:t>
            </w:r>
            <w:r w:rsidR="00B30435">
              <w:t>.</w:t>
            </w:r>
          </w:p>
        </w:tc>
      </w:tr>
      <w:tr w:rsidR="00195481" w14:paraId="2E8A4E1E" w14:textId="77777777" w:rsidTr="002A3D68">
        <w:tc>
          <w:tcPr>
            <w:tcW w:w="4519" w:type="dxa"/>
          </w:tcPr>
          <w:p w14:paraId="2B58E7C1" w14:textId="51FB7C15" w:rsidR="00195481" w:rsidRDefault="00195481" w:rsidP="00195481">
            <w:pPr>
              <w:pStyle w:val="BodyText"/>
              <w:spacing w:before="120"/>
            </w:pPr>
            <w:r w:rsidRPr="0080743B">
              <w:t xml:space="preserve">Value for </w:t>
            </w:r>
            <w:r w:rsidR="00B30435">
              <w:t>m</w:t>
            </w:r>
            <w:r w:rsidRPr="0080743B">
              <w:t>on</w:t>
            </w:r>
            <w:r>
              <w:t>ey is delivered across Prospera.</w:t>
            </w:r>
          </w:p>
        </w:tc>
        <w:tc>
          <w:tcPr>
            <w:tcW w:w="4521" w:type="dxa"/>
          </w:tcPr>
          <w:p w14:paraId="0CBFA0D9" w14:textId="51517F27" w:rsidR="00195481" w:rsidRDefault="002A3D68" w:rsidP="00195481">
            <w:pPr>
              <w:pStyle w:val="BodyText"/>
              <w:spacing w:before="120"/>
            </w:pPr>
            <w:r>
              <w:t xml:space="preserve">Value for money </w:t>
            </w:r>
            <w:r w:rsidR="00195481">
              <w:t xml:space="preserve">rating of Prospera improves over the life of the </w:t>
            </w:r>
            <w:r>
              <w:t>f</w:t>
            </w:r>
            <w:r w:rsidR="00195481">
              <w:t>acility (</w:t>
            </w:r>
            <w:r>
              <w:t>Value for money framework to be developed in 2019-20</w:t>
            </w:r>
            <w:r w:rsidR="00195481">
              <w:t>)</w:t>
            </w:r>
            <w:r w:rsidR="00B30435">
              <w:t>.</w:t>
            </w:r>
          </w:p>
        </w:tc>
      </w:tr>
      <w:tr w:rsidR="00195481" w14:paraId="10711192" w14:textId="77777777" w:rsidTr="002A3D68">
        <w:tc>
          <w:tcPr>
            <w:tcW w:w="4519" w:type="dxa"/>
          </w:tcPr>
          <w:p w14:paraId="0AE3B1F7" w14:textId="77777777" w:rsidR="00195481" w:rsidRPr="00964F4B" w:rsidRDefault="00195481" w:rsidP="00195481">
            <w:pPr>
              <w:pStyle w:val="BodyText"/>
              <w:spacing w:before="120"/>
              <w:rPr>
                <w:rFonts w:eastAsia="Calibri" w:cs="Arial"/>
                <w:color w:val="000000"/>
                <w:szCs w:val="20"/>
              </w:rPr>
            </w:pPr>
            <w:r w:rsidRPr="00964F4B">
              <w:rPr>
                <w:rFonts w:eastAsia="Calibri" w:cs="Arial"/>
                <w:color w:val="000000"/>
                <w:szCs w:val="20"/>
              </w:rPr>
              <w:t>Prospera supports positive practice change for Indonesian government officials.</w:t>
            </w:r>
          </w:p>
        </w:tc>
        <w:tc>
          <w:tcPr>
            <w:tcW w:w="4521" w:type="dxa"/>
          </w:tcPr>
          <w:p w14:paraId="5C2EF4C5" w14:textId="77777777" w:rsidR="00195481" w:rsidRPr="00964F4B" w:rsidRDefault="00195481" w:rsidP="00195481">
            <w:pPr>
              <w:pStyle w:val="BodyText"/>
              <w:spacing w:before="120"/>
              <w:rPr>
                <w:szCs w:val="20"/>
              </w:rPr>
            </w:pPr>
            <w:r w:rsidRPr="00964F4B">
              <w:rPr>
                <w:rFonts w:eastAsia="Calibri" w:cs="Arial"/>
                <w:color w:val="000000"/>
                <w:szCs w:val="20"/>
              </w:rPr>
              <w:t>% of participants in sustained learning and development programs implemented under Prospera who are applying what they have learned in an ongoing way.</w:t>
            </w:r>
          </w:p>
        </w:tc>
      </w:tr>
      <w:tr w:rsidR="00195481" w14:paraId="111AC2F5" w14:textId="77777777" w:rsidTr="002A3D68">
        <w:tc>
          <w:tcPr>
            <w:tcW w:w="4519" w:type="dxa"/>
          </w:tcPr>
          <w:p w14:paraId="5CBBC602" w14:textId="77777777" w:rsidR="00195481" w:rsidRDefault="00195481" w:rsidP="00195481">
            <w:pPr>
              <w:pStyle w:val="BodyText"/>
              <w:spacing w:before="120"/>
            </w:pPr>
            <w:r w:rsidRPr="0080743B">
              <w:t xml:space="preserve">Prospera remains a trusted partner of the Indonesian government. </w:t>
            </w:r>
          </w:p>
        </w:tc>
        <w:tc>
          <w:tcPr>
            <w:tcW w:w="4521" w:type="dxa"/>
          </w:tcPr>
          <w:p w14:paraId="2AA82EDE" w14:textId="5E9ED767" w:rsidR="00195481" w:rsidRDefault="00195481" w:rsidP="00195481">
            <w:pPr>
              <w:pStyle w:val="BodyText"/>
              <w:spacing w:before="120"/>
            </w:pPr>
            <w:r>
              <w:t># of examples of positive partnership moments</w:t>
            </w:r>
            <w:r w:rsidR="00B30435">
              <w:t>.</w:t>
            </w:r>
          </w:p>
        </w:tc>
      </w:tr>
      <w:tr w:rsidR="00195481" w14:paraId="1CFABA99" w14:textId="77777777" w:rsidTr="002A3D68">
        <w:tc>
          <w:tcPr>
            <w:tcW w:w="4519" w:type="dxa"/>
          </w:tcPr>
          <w:p w14:paraId="4AB5EF58" w14:textId="01F56FF1" w:rsidR="00195481" w:rsidRDefault="00195481" w:rsidP="00195481">
            <w:pPr>
              <w:pStyle w:val="BodyText"/>
              <w:spacing w:before="120"/>
            </w:pPr>
            <w:r w:rsidRPr="0080743B">
              <w:t>Prospera uses learning</w:t>
            </w:r>
            <w:r w:rsidR="002A3D68">
              <w:t>, monitoring and evaluation to improve effectiveness</w:t>
            </w:r>
            <w:r w:rsidRPr="0080743B">
              <w:t>.</w:t>
            </w:r>
          </w:p>
        </w:tc>
        <w:tc>
          <w:tcPr>
            <w:tcW w:w="4521" w:type="dxa"/>
          </w:tcPr>
          <w:p w14:paraId="40ABE19A" w14:textId="41D6C6E0" w:rsidR="00195481" w:rsidRDefault="00195481" w:rsidP="00195481">
            <w:pPr>
              <w:pStyle w:val="BodyText"/>
              <w:spacing w:before="120"/>
            </w:pPr>
            <w:r>
              <w:t># of Prospera learning events evaluated as useful by participants</w:t>
            </w:r>
            <w:r w:rsidR="00B30435">
              <w:t>.</w:t>
            </w:r>
          </w:p>
        </w:tc>
      </w:tr>
      <w:tr w:rsidR="00195481" w14:paraId="2410B450" w14:textId="77777777" w:rsidTr="002A3D68">
        <w:tc>
          <w:tcPr>
            <w:tcW w:w="4519" w:type="dxa"/>
          </w:tcPr>
          <w:p w14:paraId="59D53767" w14:textId="1DBF556E" w:rsidR="00195481" w:rsidRDefault="00195481" w:rsidP="00195481">
            <w:pPr>
              <w:pStyle w:val="BodyText"/>
              <w:spacing w:before="120"/>
            </w:pPr>
            <w:r w:rsidRPr="0080743B">
              <w:t>Evaluative thinking and high</w:t>
            </w:r>
            <w:r w:rsidR="00B30435">
              <w:t>-</w:t>
            </w:r>
            <w:r w:rsidRPr="0080743B">
              <w:t xml:space="preserve">quality facilitation is routinely applied to test and refine strategies. </w:t>
            </w:r>
          </w:p>
        </w:tc>
        <w:tc>
          <w:tcPr>
            <w:tcW w:w="4521" w:type="dxa"/>
          </w:tcPr>
          <w:p w14:paraId="63BB509E" w14:textId="1D3324E7" w:rsidR="00195481" w:rsidRDefault="00195481" w:rsidP="00195481">
            <w:pPr>
              <w:pStyle w:val="BodyText"/>
              <w:spacing w:before="120"/>
            </w:pPr>
            <w:r>
              <w:t># of instances where learning and review sessions (strategy testing) leads to improved or changed direction</w:t>
            </w:r>
            <w:r w:rsidR="00B30435">
              <w:t>.</w:t>
            </w:r>
          </w:p>
        </w:tc>
      </w:tr>
    </w:tbl>
    <w:p w14:paraId="0939F5CB" w14:textId="77777777" w:rsidR="00374F0F" w:rsidRPr="003F6635" w:rsidRDefault="00374F0F" w:rsidP="00BE60F3">
      <w:pPr>
        <w:pStyle w:val="Heading1"/>
        <w:rPr>
          <w:b/>
        </w:rPr>
      </w:pPr>
      <w:bookmarkStart w:id="106" w:name="_Toc525563682"/>
      <w:bookmarkStart w:id="107" w:name="_Toc525743681"/>
      <w:bookmarkStart w:id="108" w:name="_Toc532991065"/>
      <w:bookmarkEnd w:id="104"/>
      <w:bookmarkEnd w:id="105"/>
      <w:r w:rsidRPr="003F6635">
        <w:rPr>
          <w:b/>
        </w:rPr>
        <w:t>Evaluation</w:t>
      </w:r>
      <w:bookmarkEnd w:id="106"/>
      <w:bookmarkEnd w:id="107"/>
      <w:bookmarkEnd w:id="108"/>
      <w:r w:rsidRPr="003F6635">
        <w:rPr>
          <w:b/>
        </w:rPr>
        <w:t xml:space="preserve"> </w:t>
      </w:r>
    </w:p>
    <w:p w14:paraId="0F971B35" w14:textId="7B7BB663" w:rsidR="00374F0F" w:rsidRDefault="00374F0F" w:rsidP="00BE60F3">
      <w:pPr>
        <w:pStyle w:val="BodyText"/>
      </w:pPr>
      <w:r>
        <w:t xml:space="preserve">This section proposes a pipeline of evaluations to be implemented through the life of Prospera, some of which will be designed to answer the </w:t>
      </w:r>
      <w:r w:rsidR="003F6635">
        <w:t>high-level</w:t>
      </w:r>
      <w:r>
        <w:t xml:space="preserve"> evaluation questions set out in the previous section. This pipeline of </w:t>
      </w:r>
      <w:r w:rsidRPr="00CA0503">
        <w:t xml:space="preserve">evaluations (Table </w:t>
      </w:r>
      <w:r w:rsidR="001607C5">
        <w:t>7</w:t>
      </w:r>
      <w:r w:rsidRPr="00CA0503">
        <w:t>) will</w:t>
      </w:r>
      <w:r>
        <w:t xml:space="preserve"> be reviewed with DFAT, in line with available resources and understanding that specific evaluation needs may arise along the way. </w:t>
      </w:r>
    </w:p>
    <w:p w14:paraId="309926B0" w14:textId="43277C31" w:rsidR="009E3972" w:rsidRPr="00263C60" w:rsidRDefault="00374F0F" w:rsidP="00263C60">
      <w:pPr>
        <w:pStyle w:val="BodyText"/>
      </w:pPr>
      <w:r>
        <w:t>In order to increase ownership of Prospera and build mutual accountability for outcomes, a partnership</w:t>
      </w:r>
      <w:r w:rsidR="003C48A6">
        <w:t xml:space="preserve"> </w:t>
      </w:r>
      <w:r>
        <w:t xml:space="preserve">approach to evaluations will be systematically considered early in the design of each evaluation. </w:t>
      </w:r>
    </w:p>
    <w:p w14:paraId="5D5E4D36" w14:textId="77777777" w:rsidR="00C155B3" w:rsidRDefault="00C155B3">
      <w:pPr>
        <w:spacing w:after="0" w:line="240" w:lineRule="auto"/>
        <w:rPr>
          <w:rFonts w:cs="Arial"/>
          <w:b/>
          <w:sz w:val="18"/>
        </w:rPr>
      </w:pPr>
      <w:r>
        <w:rPr>
          <w:b/>
        </w:rPr>
        <w:br w:type="page"/>
      </w:r>
    </w:p>
    <w:p w14:paraId="3287E559" w14:textId="66873726" w:rsidR="00374F0F" w:rsidRPr="003F6635" w:rsidRDefault="00374F0F" w:rsidP="00263C60">
      <w:pPr>
        <w:pStyle w:val="Tabletext"/>
        <w:jc w:val="left"/>
        <w:rPr>
          <w:b/>
        </w:rPr>
      </w:pPr>
      <w:r w:rsidRPr="003F6635">
        <w:rPr>
          <w:b/>
        </w:rPr>
        <w:t xml:space="preserve">Table </w:t>
      </w:r>
      <w:r w:rsidRPr="003F6635">
        <w:rPr>
          <w:b/>
          <w:noProof/>
        </w:rPr>
        <w:fldChar w:fldCharType="begin"/>
      </w:r>
      <w:r w:rsidRPr="003F6635">
        <w:rPr>
          <w:b/>
          <w:noProof/>
        </w:rPr>
        <w:instrText xml:space="preserve"> SEQ Table \* ARABIC </w:instrText>
      </w:r>
      <w:r w:rsidRPr="003F6635">
        <w:rPr>
          <w:b/>
          <w:noProof/>
        </w:rPr>
        <w:fldChar w:fldCharType="separate"/>
      </w:r>
      <w:r w:rsidR="00326160">
        <w:rPr>
          <w:b/>
          <w:noProof/>
        </w:rPr>
        <w:t>7</w:t>
      </w:r>
      <w:r w:rsidRPr="003F6635">
        <w:rPr>
          <w:b/>
          <w:noProof/>
        </w:rPr>
        <w:fldChar w:fldCharType="end"/>
      </w:r>
      <w:r w:rsidR="003F6635">
        <w:rPr>
          <w:b/>
          <w:noProof/>
          <w:lang w:val="id-ID"/>
        </w:rPr>
        <w:t>.</w:t>
      </w:r>
      <w:r w:rsidRPr="003F6635">
        <w:rPr>
          <w:b/>
        </w:rPr>
        <w:t xml:space="preserve"> A proposed pipeline of evaluations</w:t>
      </w:r>
    </w:p>
    <w:tbl>
      <w:tblPr>
        <w:tblStyle w:val="TableGrid"/>
        <w:tblW w:w="0" w:type="auto"/>
        <w:tblLook w:val="04A0" w:firstRow="1" w:lastRow="0" w:firstColumn="1" w:lastColumn="0" w:noHBand="0" w:noVBand="1"/>
      </w:tblPr>
      <w:tblGrid>
        <w:gridCol w:w="483"/>
        <w:gridCol w:w="3796"/>
        <w:gridCol w:w="4761"/>
      </w:tblGrid>
      <w:tr w:rsidR="00374F0F" w:rsidRPr="005E5D6E" w14:paraId="6E90D73F" w14:textId="77777777" w:rsidTr="00EE642B">
        <w:trPr>
          <w:cantSplit/>
          <w:trHeight w:val="71"/>
          <w:tblHeader/>
        </w:trPr>
        <w:tc>
          <w:tcPr>
            <w:tcW w:w="0" w:type="auto"/>
            <w:shd w:val="clear" w:color="auto" w:fill="20ABCA"/>
          </w:tcPr>
          <w:p w14:paraId="227645C0" w14:textId="77777777" w:rsidR="00374F0F" w:rsidRPr="005E5D6E" w:rsidRDefault="00374F0F" w:rsidP="00BE60F3">
            <w:pPr>
              <w:spacing w:before="120" w:after="120" w:line="276" w:lineRule="auto"/>
              <w:rPr>
                <w:b/>
                <w:color w:val="FFFFFF" w:themeColor="background1"/>
                <w:sz w:val="20"/>
                <w:szCs w:val="20"/>
              </w:rPr>
            </w:pPr>
            <w:r w:rsidRPr="005E5D6E">
              <w:rPr>
                <w:b/>
                <w:color w:val="FFFFFF" w:themeColor="background1"/>
                <w:sz w:val="20"/>
                <w:szCs w:val="20"/>
              </w:rPr>
              <w:t>No</w:t>
            </w:r>
          </w:p>
        </w:tc>
        <w:tc>
          <w:tcPr>
            <w:tcW w:w="3796" w:type="dxa"/>
            <w:shd w:val="clear" w:color="auto" w:fill="20ABCA"/>
          </w:tcPr>
          <w:p w14:paraId="2E5E95FE" w14:textId="77777777" w:rsidR="00374F0F" w:rsidRPr="005E5D6E" w:rsidRDefault="00374F0F" w:rsidP="00BE60F3">
            <w:pPr>
              <w:spacing w:before="120" w:after="120" w:line="276" w:lineRule="auto"/>
              <w:rPr>
                <w:b/>
                <w:color w:val="FFFFFF" w:themeColor="background1"/>
                <w:sz w:val="20"/>
                <w:szCs w:val="20"/>
              </w:rPr>
            </w:pPr>
            <w:bookmarkStart w:id="109" w:name="_Toc523408915"/>
            <w:bookmarkStart w:id="110" w:name="_Toc523469632"/>
            <w:r w:rsidRPr="005E5D6E">
              <w:rPr>
                <w:b/>
                <w:color w:val="FFFFFF" w:themeColor="background1"/>
                <w:sz w:val="20"/>
                <w:szCs w:val="20"/>
              </w:rPr>
              <w:t>Key Evaluation Question (s)</w:t>
            </w:r>
            <w:bookmarkEnd w:id="109"/>
            <w:bookmarkEnd w:id="110"/>
          </w:p>
        </w:tc>
        <w:tc>
          <w:tcPr>
            <w:tcW w:w="4761" w:type="dxa"/>
            <w:shd w:val="clear" w:color="auto" w:fill="20ABCA"/>
          </w:tcPr>
          <w:p w14:paraId="7DACF06F" w14:textId="77777777" w:rsidR="00374F0F" w:rsidRPr="005E5D6E" w:rsidRDefault="00374F0F" w:rsidP="00BE60F3">
            <w:pPr>
              <w:spacing w:before="120" w:after="120" w:line="276" w:lineRule="auto"/>
              <w:rPr>
                <w:b/>
                <w:color w:val="FFFFFF" w:themeColor="background1"/>
                <w:sz w:val="20"/>
                <w:szCs w:val="20"/>
              </w:rPr>
            </w:pPr>
            <w:bookmarkStart w:id="111" w:name="_Toc523408917"/>
            <w:bookmarkStart w:id="112" w:name="_Toc523469634"/>
            <w:r w:rsidRPr="005E5D6E">
              <w:rPr>
                <w:b/>
                <w:color w:val="FFFFFF" w:themeColor="background1"/>
                <w:sz w:val="20"/>
                <w:szCs w:val="20"/>
              </w:rPr>
              <w:t>Year | Proposed Evaluations</w:t>
            </w:r>
            <w:bookmarkEnd w:id="111"/>
            <w:bookmarkEnd w:id="112"/>
          </w:p>
        </w:tc>
      </w:tr>
      <w:tr w:rsidR="00374F0F" w:rsidRPr="005E5D6E" w14:paraId="63A7756D" w14:textId="77777777" w:rsidTr="00EE642B">
        <w:trPr>
          <w:cantSplit/>
          <w:trHeight w:val="1218"/>
        </w:trPr>
        <w:tc>
          <w:tcPr>
            <w:tcW w:w="0" w:type="auto"/>
          </w:tcPr>
          <w:p w14:paraId="76C8D2CD" w14:textId="699B3DA2" w:rsidR="00374F0F" w:rsidRPr="005E5D6E" w:rsidRDefault="00A824EA" w:rsidP="00BE60F3">
            <w:pPr>
              <w:spacing w:before="120" w:after="120" w:line="276" w:lineRule="auto"/>
              <w:rPr>
                <w:sz w:val="20"/>
                <w:szCs w:val="20"/>
              </w:rPr>
            </w:pPr>
            <w:r>
              <w:rPr>
                <w:sz w:val="20"/>
                <w:szCs w:val="20"/>
              </w:rPr>
              <w:t>1</w:t>
            </w:r>
          </w:p>
        </w:tc>
        <w:tc>
          <w:tcPr>
            <w:tcW w:w="3796" w:type="dxa"/>
          </w:tcPr>
          <w:p w14:paraId="114C0321" w14:textId="77777777" w:rsidR="00374F0F" w:rsidRPr="00EE642B" w:rsidRDefault="00374F0F" w:rsidP="00BE60F3">
            <w:pPr>
              <w:spacing w:before="120" w:after="120" w:line="276" w:lineRule="auto"/>
              <w:rPr>
                <w:i/>
                <w:sz w:val="20"/>
                <w:szCs w:val="20"/>
              </w:rPr>
            </w:pPr>
            <w:r w:rsidRPr="00EE642B">
              <w:rPr>
                <w:i/>
                <w:sz w:val="20"/>
                <w:szCs w:val="20"/>
              </w:rPr>
              <w:t xml:space="preserve">To what extent is Prospera on track? </w:t>
            </w:r>
          </w:p>
          <w:p w14:paraId="2C20B7D2" w14:textId="77777777" w:rsidR="00374F0F" w:rsidRPr="00EE642B" w:rsidRDefault="00374F0F" w:rsidP="00BE60F3">
            <w:pPr>
              <w:spacing w:before="120" w:after="120" w:line="276" w:lineRule="auto"/>
              <w:rPr>
                <w:i/>
                <w:sz w:val="20"/>
                <w:szCs w:val="20"/>
              </w:rPr>
            </w:pPr>
            <w:r w:rsidRPr="00EE642B">
              <w:rPr>
                <w:i/>
                <w:sz w:val="20"/>
                <w:szCs w:val="20"/>
              </w:rPr>
              <w:t>What is working and why? In what context and for whom?</w:t>
            </w:r>
          </w:p>
        </w:tc>
        <w:tc>
          <w:tcPr>
            <w:tcW w:w="4761" w:type="dxa"/>
          </w:tcPr>
          <w:p w14:paraId="76194105" w14:textId="0A3DEC36" w:rsidR="00C72FD9" w:rsidRPr="00EE642B" w:rsidRDefault="00374F0F" w:rsidP="00BE60F3">
            <w:pPr>
              <w:spacing w:before="120" w:after="120" w:line="276" w:lineRule="auto"/>
              <w:rPr>
                <w:rFonts w:asciiTheme="minorHAnsi" w:hAnsiTheme="minorHAnsi" w:cstheme="minorHAnsi"/>
                <w:b/>
                <w:sz w:val="20"/>
                <w:szCs w:val="20"/>
              </w:rPr>
            </w:pPr>
            <w:r w:rsidRPr="00EE642B">
              <w:rPr>
                <w:rFonts w:asciiTheme="minorHAnsi" w:hAnsiTheme="minorHAnsi" w:cstheme="minorHAnsi"/>
                <w:b/>
                <w:sz w:val="20"/>
                <w:szCs w:val="20"/>
              </w:rPr>
              <w:t xml:space="preserve">Mid 2019 </w:t>
            </w:r>
            <w:r w:rsidRPr="00EE642B">
              <w:rPr>
                <w:rFonts w:asciiTheme="minorHAnsi" w:hAnsiTheme="minorHAnsi" w:cstheme="minorHAnsi"/>
                <w:sz w:val="20"/>
                <w:szCs w:val="20"/>
              </w:rPr>
              <w:t xml:space="preserve">| </w:t>
            </w:r>
            <w:r w:rsidRPr="00EE642B">
              <w:rPr>
                <w:rFonts w:asciiTheme="minorHAnsi" w:hAnsiTheme="minorHAnsi" w:cstheme="minorHAnsi"/>
                <w:b/>
                <w:sz w:val="20"/>
                <w:szCs w:val="20"/>
              </w:rPr>
              <w:t xml:space="preserve">Formative </w:t>
            </w:r>
            <w:r w:rsidR="00A824EA" w:rsidRPr="00EE642B">
              <w:rPr>
                <w:rFonts w:asciiTheme="minorHAnsi" w:hAnsiTheme="minorHAnsi" w:cstheme="minorHAnsi"/>
                <w:b/>
                <w:sz w:val="20"/>
                <w:szCs w:val="20"/>
              </w:rPr>
              <w:t>Review</w:t>
            </w:r>
            <w:r w:rsidR="00EE642B" w:rsidRPr="00EE642B">
              <w:rPr>
                <w:rFonts w:asciiTheme="minorHAnsi" w:hAnsiTheme="minorHAnsi" w:cstheme="minorHAnsi"/>
                <w:b/>
                <w:sz w:val="20"/>
                <w:szCs w:val="20"/>
              </w:rPr>
              <w:t>:</w:t>
            </w:r>
          </w:p>
          <w:p w14:paraId="6167BC16" w14:textId="29D4186D" w:rsidR="00334B64" w:rsidRPr="00EE642B" w:rsidRDefault="00C72FD9" w:rsidP="00EE642B">
            <w:pPr>
              <w:spacing w:before="120" w:after="120" w:line="276" w:lineRule="auto"/>
              <w:rPr>
                <w:rFonts w:asciiTheme="minorHAnsi" w:hAnsiTheme="minorHAnsi" w:cstheme="minorHAnsi"/>
                <w:sz w:val="20"/>
                <w:szCs w:val="20"/>
              </w:rPr>
            </w:pPr>
            <w:r w:rsidRPr="00EE642B">
              <w:rPr>
                <w:sz w:val="20"/>
                <w:szCs w:val="20"/>
              </w:rPr>
              <w:t>A DFAT</w:t>
            </w:r>
            <w:r w:rsidR="00B30435">
              <w:rPr>
                <w:sz w:val="20"/>
                <w:szCs w:val="20"/>
              </w:rPr>
              <w:t>-</w:t>
            </w:r>
            <w:r w:rsidRPr="00EE642B">
              <w:rPr>
                <w:sz w:val="20"/>
                <w:szCs w:val="20"/>
              </w:rPr>
              <w:t xml:space="preserve">led Formative Review after twelve months </w:t>
            </w:r>
            <w:r w:rsidR="00334B64">
              <w:rPr>
                <w:sz w:val="20"/>
                <w:szCs w:val="20"/>
              </w:rPr>
              <w:t xml:space="preserve">to </w:t>
            </w:r>
            <w:r w:rsidR="00374F0F" w:rsidRPr="00EE642B">
              <w:rPr>
                <w:sz w:val="20"/>
                <w:szCs w:val="20"/>
              </w:rPr>
              <w:t>evaluate Prospera in terms of relevance, efficiency and effectiveness in delivering services as well as the relationship with Australian partner agencies.</w:t>
            </w:r>
            <w:r w:rsidR="003C48A6" w:rsidRPr="00EE642B">
              <w:rPr>
                <w:rFonts w:asciiTheme="minorHAnsi" w:hAnsiTheme="minorHAnsi" w:cstheme="minorHAnsi"/>
                <w:sz w:val="20"/>
                <w:szCs w:val="20"/>
              </w:rPr>
              <w:t xml:space="preserve"> </w:t>
            </w:r>
          </w:p>
        </w:tc>
      </w:tr>
      <w:tr w:rsidR="00374F0F" w:rsidRPr="005E5D6E" w14:paraId="361D524E" w14:textId="77777777" w:rsidTr="00EE642B">
        <w:trPr>
          <w:cantSplit/>
          <w:trHeight w:val="1520"/>
        </w:trPr>
        <w:tc>
          <w:tcPr>
            <w:tcW w:w="0" w:type="auto"/>
          </w:tcPr>
          <w:p w14:paraId="2A50C3D8" w14:textId="62802D81" w:rsidR="00374F0F" w:rsidRPr="005E5D6E" w:rsidRDefault="00A824EA" w:rsidP="00BE60F3">
            <w:pPr>
              <w:spacing w:before="120" w:after="120"/>
              <w:rPr>
                <w:sz w:val="20"/>
                <w:szCs w:val="20"/>
              </w:rPr>
            </w:pPr>
            <w:r>
              <w:rPr>
                <w:sz w:val="20"/>
                <w:szCs w:val="20"/>
              </w:rPr>
              <w:t>2</w:t>
            </w:r>
          </w:p>
        </w:tc>
        <w:tc>
          <w:tcPr>
            <w:tcW w:w="3796" w:type="dxa"/>
          </w:tcPr>
          <w:p w14:paraId="6B4DC597" w14:textId="77777777" w:rsidR="00374F0F" w:rsidRPr="00EE642B" w:rsidRDefault="00374F0F" w:rsidP="00BE60F3">
            <w:pPr>
              <w:spacing w:before="120" w:after="120"/>
              <w:rPr>
                <w:i/>
                <w:sz w:val="20"/>
                <w:szCs w:val="20"/>
              </w:rPr>
            </w:pPr>
            <w:r w:rsidRPr="00EE642B">
              <w:rPr>
                <w:i/>
                <w:sz w:val="20"/>
                <w:szCs w:val="20"/>
              </w:rPr>
              <w:t xml:space="preserve">In what circumstances are Prospera’s various ways of working best suited? </w:t>
            </w:r>
          </w:p>
          <w:p w14:paraId="5C929080" w14:textId="77777777" w:rsidR="00A824EA" w:rsidRPr="00EE642B" w:rsidRDefault="00A824EA" w:rsidP="00A824EA">
            <w:pPr>
              <w:spacing w:before="120" w:after="120"/>
              <w:rPr>
                <w:i/>
                <w:sz w:val="20"/>
                <w:szCs w:val="20"/>
              </w:rPr>
            </w:pPr>
            <w:r w:rsidRPr="00EE642B">
              <w:rPr>
                <w:i/>
                <w:sz w:val="20"/>
                <w:szCs w:val="20"/>
              </w:rPr>
              <w:t xml:space="preserve">What significant economic policy or institutional changes occurred as a result of Prospera’s contribution? </w:t>
            </w:r>
          </w:p>
          <w:p w14:paraId="7DBE557D" w14:textId="77777777" w:rsidR="00A824EA" w:rsidRPr="00EE642B" w:rsidRDefault="00A824EA" w:rsidP="00A824EA">
            <w:pPr>
              <w:spacing w:before="120" w:after="120"/>
              <w:rPr>
                <w:i/>
                <w:sz w:val="20"/>
                <w:szCs w:val="20"/>
              </w:rPr>
            </w:pPr>
            <w:r w:rsidRPr="00EE642B">
              <w:rPr>
                <w:i/>
                <w:sz w:val="20"/>
                <w:szCs w:val="20"/>
                <w:lang w:eastAsia="en-AU"/>
              </w:rPr>
              <w:t>To what extent did the facility as a whole achieve its expected outcomes and outputs?</w:t>
            </w:r>
          </w:p>
          <w:p w14:paraId="09E29832" w14:textId="77777777" w:rsidR="00A824EA" w:rsidRPr="00EE642B" w:rsidRDefault="00A824EA" w:rsidP="00A824EA">
            <w:pPr>
              <w:spacing w:before="120" w:after="120"/>
              <w:rPr>
                <w:i/>
                <w:sz w:val="20"/>
                <w:szCs w:val="20"/>
                <w:lang w:eastAsia="en-AU"/>
              </w:rPr>
            </w:pPr>
            <w:r w:rsidRPr="00EE642B">
              <w:rPr>
                <w:i/>
                <w:sz w:val="20"/>
                <w:szCs w:val="20"/>
                <w:lang w:eastAsia="en-AU"/>
              </w:rPr>
              <w:t xml:space="preserve">To what extent are the changes likely to be sustainable and leave a lasting legacy after completion? </w:t>
            </w:r>
          </w:p>
          <w:p w14:paraId="777608DC" w14:textId="54F56C56" w:rsidR="00A824EA" w:rsidRPr="00EE642B" w:rsidRDefault="00A824EA" w:rsidP="00A824EA">
            <w:pPr>
              <w:spacing w:before="120" w:after="120"/>
              <w:rPr>
                <w:i/>
                <w:sz w:val="20"/>
                <w:szCs w:val="20"/>
              </w:rPr>
            </w:pPr>
            <w:r w:rsidRPr="00EE642B">
              <w:rPr>
                <w:i/>
                <w:sz w:val="20"/>
                <w:szCs w:val="20"/>
                <w:lang w:eastAsia="en-AU"/>
              </w:rPr>
              <w:t>What has worked and why?</w:t>
            </w:r>
          </w:p>
        </w:tc>
        <w:tc>
          <w:tcPr>
            <w:tcW w:w="4761" w:type="dxa"/>
          </w:tcPr>
          <w:p w14:paraId="5C17C989" w14:textId="1902A4E3" w:rsidR="00A824EA" w:rsidRPr="00EE642B" w:rsidRDefault="00374F0F" w:rsidP="00BE60F3">
            <w:pPr>
              <w:spacing w:before="120" w:after="120" w:line="276" w:lineRule="auto"/>
              <w:rPr>
                <w:b/>
                <w:sz w:val="20"/>
                <w:szCs w:val="20"/>
              </w:rPr>
            </w:pPr>
            <w:r w:rsidRPr="00EE642B">
              <w:rPr>
                <w:b/>
                <w:sz w:val="20"/>
                <w:szCs w:val="20"/>
              </w:rPr>
              <w:t xml:space="preserve">Mid 2020 | </w:t>
            </w:r>
            <w:r w:rsidR="00A824EA" w:rsidRPr="00EE642B">
              <w:rPr>
                <w:b/>
                <w:sz w:val="20"/>
                <w:szCs w:val="20"/>
              </w:rPr>
              <w:t xml:space="preserve">Mid Term Review </w:t>
            </w:r>
          </w:p>
          <w:p w14:paraId="6FDBA5D6" w14:textId="64EA559F" w:rsidR="00A824EA" w:rsidRPr="00EE642B" w:rsidRDefault="00A824EA" w:rsidP="00A824EA">
            <w:pPr>
              <w:spacing w:before="120" w:after="120" w:line="276" w:lineRule="auto"/>
              <w:rPr>
                <w:sz w:val="20"/>
                <w:szCs w:val="20"/>
              </w:rPr>
            </w:pPr>
            <w:r w:rsidRPr="00EE642B">
              <w:rPr>
                <w:sz w:val="20"/>
                <w:szCs w:val="20"/>
              </w:rPr>
              <w:t>Independent evaluation of the impact of the Partnership, and its results throughout its entire operation. The evaluation will be used at the sole discretion of DFAT.</w:t>
            </w:r>
          </w:p>
          <w:p w14:paraId="5875FF6C" w14:textId="1C8C5414" w:rsidR="00A824EA" w:rsidRPr="00EE642B" w:rsidRDefault="00A824EA" w:rsidP="00A824EA">
            <w:pPr>
              <w:spacing w:before="120" w:after="120" w:line="276" w:lineRule="auto"/>
              <w:rPr>
                <w:sz w:val="20"/>
                <w:szCs w:val="20"/>
              </w:rPr>
            </w:pPr>
            <w:r w:rsidRPr="00EE642B">
              <w:rPr>
                <w:sz w:val="20"/>
                <w:szCs w:val="20"/>
              </w:rPr>
              <w:t>NB: Review funded by partnership but an independent consultant with the approval of DFAT to undertake the evaluation.</w:t>
            </w:r>
          </w:p>
          <w:p w14:paraId="063EE67F" w14:textId="63E429D0" w:rsidR="00374F0F" w:rsidRPr="00EE642B" w:rsidRDefault="00374F0F" w:rsidP="00BE60F3">
            <w:pPr>
              <w:spacing w:before="120" w:after="120" w:line="276" w:lineRule="auto"/>
              <w:rPr>
                <w:sz w:val="20"/>
                <w:szCs w:val="20"/>
              </w:rPr>
            </w:pPr>
            <w:r w:rsidRPr="00EE642B">
              <w:rPr>
                <w:sz w:val="20"/>
                <w:szCs w:val="20"/>
              </w:rPr>
              <w:t>This evaluation would seek to more deeply understand where particular ways of working are best suited</w:t>
            </w:r>
            <w:r w:rsidR="003C48A6" w:rsidRPr="00EE642B">
              <w:rPr>
                <w:sz w:val="20"/>
                <w:szCs w:val="20"/>
              </w:rPr>
              <w:t xml:space="preserve"> to help inform good activity designs. </w:t>
            </w:r>
          </w:p>
        </w:tc>
      </w:tr>
      <w:tr w:rsidR="00374F0F" w:rsidRPr="005E5D6E" w14:paraId="0F02D7F2" w14:textId="77777777" w:rsidTr="00EE642B">
        <w:trPr>
          <w:cantSplit/>
          <w:trHeight w:val="4400"/>
        </w:trPr>
        <w:tc>
          <w:tcPr>
            <w:tcW w:w="0" w:type="auto"/>
          </w:tcPr>
          <w:p w14:paraId="1DEB4EB5" w14:textId="12E32A9D" w:rsidR="00374F0F" w:rsidRPr="005E5D6E" w:rsidRDefault="00A824EA" w:rsidP="00BE60F3">
            <w:pPr>
              <w:spacing w:before="120" w:after="120" w:line="276" w:lineRule="auto"/>
              <w:rPr>
                <w:sz w:val="20"/>
                <w:szCs w:val="20"/>
              </w:rPr>
            </w:pPr>
            <w:r>
              <w:rPr>
                <w:sz w:val="20"/>
                <w:szCs w:val="20"/>
              </w:rPr>
              <w:t>3</w:t>
            </w:r>
          </w:p>
        </w:tc>
        <w:tc>
          <w:tcPr>
            <w:tcW w:w="3796" w:type="dxa"/>
          </w:tcPr>
          <w:p w14:paraId="67373D75" w14:textId="0F3DD22C" w:rsidR="00374F0F" w:rsidRPr="00EE642B" w:rsidRDefault="00374F0F" w:rsidP="00BE60F3">
            <w:pPr>
              <w:spacing w:before="120" w:after="120"/>
              <w:rPr>
                <w:i/>
                <w:sz w:val="20"/>
                <w:szCs w:val="20"/>
              </w:rPr>
            </w:pPr>
            <w:r w:rsidRPr="00EE642B">
              <w:rPr>
                <w:i/>
                <w:sz w:val="20"/>
                <w:szCs w:val="20"/>
              </w:rPr>
              <w:t xml:space="preserve">What significant economic policy or institutional changes occurred as a result of Prospera’s contribution? </w:t>
            </w:r>
          </w:p>
          <w:p w14:paraId="4D3DAB30" w14:textId="07F36E07" w:rsidR="00374F0F" w:rsidRPr="00EE642B" w:rsidRDefault="00374F0F" w:rsidP="00BE60F3">
            <w:pPr>
              <w:spacing w:before="120" w:after="120"/>
              <w:rPr>
                <w:i/>
                <w:sz w:val="20"/>
                <w:szCs w:val="20"/>
              </w:rPr>
            </w:pPr>
            <w:r w:rsidRPr="00EE642B">
              <w:rPr>
                <w:i/>
                <w:sz w:val="20"/>
                <w:szCs w:val="20"/>
                <w:lang w:eastAsia="en-AU"/>
              </w:rPr>
              <w:t>To what extent did the facility as a whole achieve its expected outcomes and outputs?</w:t>
            </w:r>
          </w:p>
          <w:p w14:paraId="51DD29AD" w14:textId="6F50D9E3" w:rsidR="00374F0F" w:rsidRPr="00EE642B" w:rsidRDefault="00374F0F" w:rsidP="00BE60F3">
            <w:pPr>
              <w:spacing w:before="120" w:after="120"/>
              <w:rPr>
                <w:i/>
                <w:sz w:val="20"/>
                <w:szCs w:val="20"/>
                <w:lang w:eastAsia="en-AU"/>
              </w:rPr>
            </w:pPr>
            <w:r w:rsidRPr="00EE642B">
              <w:rPr>
                <w:i/>
                <w:sz w:val="20"/>
                <w:szCs w:val="20"/>
                <w:lang w:eastAsia="en-AU"/>
              </w:rPr>
              <w:t xml:space="preserve">To what extent are the changes likely to be sustainable and leave a lasting legacy after completion? </w:t>
            </w:r>
          </w:p>
          <w:p w14:paraId="2C94B880" w14:textId="73156EA5" w:rsidR="00374F0F" w:rsidRPr="00EE642B" w:rsidRDefault="00374F0F" w:rsidP="00BE60F3">
            <w:pPr>
              <w:spacing w:before="120" w:after="120"/>
              <w:rPr>
                <w:i/>
                <w:sz w:val="20"/>
                <w:szCs w:val="20"/>
                <w:lang w:eastAsia="en-AU"/>
              </w:rPr>
            </w:pPr>
            <w:r w:rsidRPr="00EE642B">
              <w:rPr>
                <w:i/>
                <w:sz w:val="20"/>
                <w:szCs w:val="20"/>
                <w:lang w:eastAsia="en-AU"/>
              </w:rPr>
              <w:t>What has worked and why?</w:t>
            </w:r>
          </w:p>
        </w:tc>
        <w:tc>
          <w:tcPr>
            <w:tcW w:w="4761" w:type="dxa"/>
          </w:tcPr>
          <w:p w14:paraId="6076DA7E" w14:textId="3F1180FE" w:rsidR="00374F0F" w:rsidRPr="00EE642B" w:rsidRDefault="00374F0F" w:rsidP="00BE60F3">
            <w:pPr>
              <w:spacing w:before="120" w:after="120" w:line="276" w:lineRule="auto"/>
              <w:rPr>
                <w:b/>
                <w:sz w:val="20"/>
                <w:szCs w:val="20"/>
              </w:rPr>
            </w:pPr>
            <w:r w:rsidRPr="00EE642B">
              <w:rPr>
                <w:b/>
                <w:sz w:val="20"/>
                <w:szCs w:val="20"/>
              </w:rPr>
              <w:t>2019-23</w:t>
            </w:r>
            <w:r w:rsidRPr="00EE642B">
              <w:rPr>
                <w:sz w:val="20"/>
                <w:szCs w:val="20"/>
              </w:rPr>
              <w:t xml:space="preserve"> | </w:t>
            </w:r>
            <w:r w:rsidRPr="00EE642B">
              <w:rPr>
                <w:b/>
                <w:sz w:val="20"/>
                <w:szCs w:val="20"/>
              </w:rPr>
              <w:t>Developing a set of case studies across Prospera – Learning and evaluating along the way, while informing an end</w:t>
            </w:r>
            <w:r w:rsidR="00A4334D" w:rsidRPr="00EE642B">
              <w:rPr>
                <w:b/>
                <w:sz w:val="20"/>
                <w:szCs w:val="20"/>
              </w:rPr>
              <w:t>-</w:t>
            </w:r>
            <w:r w:rsidRPr="00EE642B">
              <w:rPr>
                <w:b/>
                <w:sz w:val="20"/>
                <w:szCs w:val="20"/>
              </w:rPr>
              <w:t>of</w:t>
            </w:r>
            <w:r w:rsidR="00A4334D" w:rsidRPr="00EE642B">
              <w:rPr>
                <w:b/>
                <w:sz w:val="20"/>
                <w:szCs w:val="20"/>
              </w:rPr>
              <w:t>-</w:t>
            </w:r>
            <w:r w:rsidRPr="00EE642B">
              <w:rPr>
                <w:b/>
                <w:sz w:val="20"/>
                <w:szCs w:val="20"/>
              </w:rPr>
              <w:t>facility evaluation</w:t>
            </w:r>
          </w:p>
          <w:p w14:paraId="4AA9055D" w14:textId="5D45AC35" w:rsidR="00374F0F" w:rsidRPr="00EE642B" w:rsidRDefault="00374F0F" w:rsidP="00BE60F3">
            <w:pPr>
              <w:spacing w:before="120" w:after="120" w:line="276" w:lineRule="auto"/>
              <w:rPr>
                <w:sz w:val="20"/>
                <w:szCs w:val="20"/>
              </w:rPr>
            </w:pPr>
            <w:r w:rsidRPr="00EE642B">
              <w:rPr>
                <w:sz w:val="20"/>
                <w:szCs w:val="20"/>
              </w:rPr>
              <w:t xml:space="preserve">Three per year sampled across the Breakthrough outcomes </w:t>
            </w:r>
            <w:r w:rsidR="0063133A" w:rsidRPr="00EE642B">
              <w:rPr>
                <w:sz w:val="20"/>
                <w:szCs w:val="20"/>
              </w:rPr>
              <w:t>by</w:t>
            </w:r>
            <w:r w:rsidRPr="00EE642B">
              <w:rPr>
                <w:sz w:val="20"/>
                <w:szCs w:val="20"/>
              </w:rPr>
              <w:t xml:space="preserve"> investment scale / duration</w:t>
            </w:r>
            <w:r w:rsidR="0063133A" w:rsidRPr="00EE642B">
              <w:rPr>
                <w:sz w:val="20"/>
                <w:szCs w:val="20"/>
              </w:rPr>
              <w:t xml:space="preserve"> and other factors</w:t>
            </w:r>
            <w:r w:rsidRPr="00EE642B">
              <w:rPr>
                <w:sz w:val="20"/>
                <w:szCs w:val="20"/>
              </w:rPr>
              <w:t xml:space="preserve">. Annually we will do a best evidence synthesis. By the final year of Prospera we will have 12-15 </w:t>
            </w:r>
            <w:r w:rsidR="0063133A" w:rsidRPr="00EE642B">
              <w:rPr>
                <w:sz w:val="20"/>
                <w:szCs w:val="20"/>
              </w:rPr>
              <w:t>c</w:t>
            </w:r>
            <w:r w:rsidRPr="00EE642B">
              <w:rPr>
                <w:sz w:val="20"/>
                <w:szCs w:val="20"/>
              </w:rPr>
              <w:t xml:space="preserve">ase studies.  Early </w:t>
            </w:r>
            <w:r w:rsidR="0063133A" w:rsidRPr="00EE642B">
              <w:rPr>
                <w:sz w:val="20"/>
                <w:szCs w:val="20"/>
              </w:rPr>
              <w:t>c</w:t>
            </w:r>
            <w:r w:rsidRPr="00EE642B">
              <w:rPr>
                <w:sz w:val="20"/>
                <w:szCs w:val="20"/>
              </w:rPr>
              <w:t xml:space="preserve">ase studies could be updated with new evidence along the way. </w:t>
            </w:r>
          </w:p>
          <w:p w14:paraId="513FA8B6" w14:textId="3F24399D" w:rsidR="00374F0F" w:rsidRPr="00EE642B" w:rsidRDefault="00374F0F" w:rsidP="00BE60F3">
            <w:pPr>
              <w:spacing w:before="120" w:after="120" w:line="276" w:lineRule="auto"/>
              <w:rPr>
                <w:sz w:val="20"/>
                <w:szCs w:val="20"/>
              </w:rPr>
            </w:pPr>
            <w:r w:rsidRPr="00EE642B">
              <w:rPr>
                <w:sz w:val="20"/>
                <w:szCs w:val="20"/>
              </w:rPr>
              <w:t>This set will provide an evidence base for the end</w:t>
            </w:r>
            <w:r w:rsidR="00A4334D" w:rsidRPr="00EE642B">
              <w:rPr>
                <w:sz w:val="20"/>
                <w:szCs w:val="20"/>
              </w:rPr>
              <w:t>-</w:t>
            </w:r>
            <w:r w:rsidRPr="00EE642B">
              <w:rPr>
                <w:sz w:val="20"/>
                <w:szCs w:val="20"/>
              </w:rPr>
              <w:t>of</w:t>
            </w:r>
            <w:r w:rsidR="00A4334D" w:rsidRPr="00EE642B">
              <w:rPr>
                <w:sz w:val="20"/>
                <w:szCs w:val="20"/>
              </w:rPr>
              <w:t>-</w:t>
            </w:r>
            <w:r w:rsidRPr="00EE642B">
              <w:rPr>
                <w:sz w:val="20"/>
                <w:szCs w:val="20"/>
              </w:rPr>
              <w:t xml:space="preserve">Prospera impact and effectiveness evaluation. </w:t>
            </w:r>
          </w:p>
          <w:p w14:paraId="1238257D" w14:textId="77777777" w:rsidR="00374F0F" w:rsidRPr="00EE642B" w:rsidRDefault="00374F0F" w:rsidP="00BE60F3">
            <w:pPr>
              <w:spacing w:before="120" w:after="120" w:line="276" w:lineRule="auto"/>
              <w:rPr>
                <w:sz w:val="20"/>
                <w:szCs w:val="20"/>
              </w:rPr>
            </w:pPr>
            <w:r w:rsidRPr="00EE642B">
              <w:rPr>
                <w:sz w:val="20"/>
                <w:szCs w:val="20"/>
              </w:rPr>
              <w:t xml:space="preserve">In preparation of these case studies we would also look for evidence about particular ways of working. </w:t>
            </w:r>
          </w:p>
        </w:tc>
      </w:tr>
      <w:tr w:rsidR="00374F0F" w:rsidRPr="005E5D6E" w14:paraId="3AA7153F" w14:textId="77777777" w:rsidTr="00EE642B">
        <w:trPr>
          <w:cantSplit/>
          <w:trHeight w:val="964"/>
        </w:trPr>
        <w:tc>
          <w:tcPr>
            <w:tcW w:w="0" w:type="auto"/>
          </w:tcPr>
          <w:p w14:paraId="7B2326D8" w14:textId="44E17FE6" w:rsidR="00374F0F" w:rsidRPr="005E5D6E" w:rsidRDefault="00A824EA" w:rsidP="00BE60F3">
            <w:pPr>
              <w:spacing w:before="120" w:after="120" w:line="276" w:lineRule="auto"/>
              <w:rPr>
                <w:sz w:val="20"/>
                <w:szCs w:val="20"/>
              </w:rPr>
            </w:pPr>
            <w:r>
              <w:rPr>
                <w:sz w:val="20"/>
                <w:szCs w:val="20"/>
              </w:rPr>
              <w:t>4</w:t>
            </w:r>
          </w:p>
        </w:tc>
        <w:tc>
          <w:tcPr>
            <w:tcW w:w="3796" w:type="dxa"/>
          </w:tcPr>
          <w:p w14:paraId="0E9614B3" w14:textId="77777777" w:rsidR="00374F0F" w:rsidRPr="00EE642B" w:rsidRDefault="00374F0F" w:rsidP="00BE60F3">
            <w:pPr>
              <w:spacing w:before="120" w:after="120" w:line="276" w:lineRule="auto"/>
              <w:rPr>
                <w:i/>
                <w:sz w:val="20"/>
                <w:szCs w:val="20"/>
              </w:rPr>
            </w:pPr>
            <w:r w:rsidRPr="00EE642B">
              <w:rPr>
                <w:i/>
                <w:sz w:val="20"/>
                <w:szCs w:val="20"/>
              </w:rPr>
              <w:t xml:space="preserve">To what extent is Prospera delivering value for money? </w:t>
            </w:r>
          </w:p>
          <w:p w14:paraId="2EA4BD9E" w14:textId="77777777" w:rsidR="00374F0F" w:rsidRPr="00EE642B" w:rsidRDefault="00374F0F" w:rsidP="00BE60F3">
            <w:pPr>
              <w:spacing w:before="120" w:after="120" w:line="276" w:lineRule="auto"/>
              <w:rPr>
                <w:i/>
                <w:sz w:val="20"/>
                <w:szCs w:val="20"/>
              </w:rPr>
            </w:pPr>
            <w:r w:rsidRPr="00EE642B">
              <w:rPr>
                <w:i/>
                <w:sz w:val="20"/>
                <w:szCs w:val="20"/>
              </w:rPr>
              <w:t xml:space="preserve">To what extent does this value deliver a social dividend and an expanded economy (leverage)? </w:t>
            </w:r>
          </w:p>
        </w:tc>
        <w:tc>
          <w:tcPr>
            <w:tcW w:w="4761" w:type="dxa"/>
          </w:tcPr>
          <w:p w14:paraId="010B1EC9" w14:textId="77777777" w:rsidR="00374F0F" w:rsidRPr="00EE642B" w:rsidRDefault="00374F0F" w:rsidP="00BE60F3">
            <w:pPr>
              <w:spacing w:before="120" w:after="120" w:line="276" w:lineRule="auto"/>
              <w:rPr>
                <w:b/>
                <w:sz w:val="20"/>
                <w:szCs w:val="20"/>
              </w:rPr>
            </w:pPr>
            <w:r w:rsidRPr="00EE642B">
              <w:rPr>
                <w:b/>
                <w:sz w:val="20"/>
                <w:szCs w:val="20"/>
              </w:rPr>
              <w:t>2020-21</w:t>
            </w:r>
            <w:r w:rsidRPr="00EE642B">
              <w:rPr>
                <w:sz w:val="20"/>
                <w:szCs w:val="20"/>
              </w:rPr>
              <w:t xml:space="preserve"> | </w:t>
            </w:r>
            <w:r w:rsidRPr="00EE642B">
              <w:rPr>
                <w:b/>
                <w:sz w:val="20"/>
                <w:szCs w:val="20"/>
              </w:rPr>
              <w:t>Value for Money and leverage</w:t>
            </w:r>
          </w:p>
          <w:p w14:paraId="22A8A3F8" w14:textId="77777777" w:rsidR="00374F0F" w:rsidRPr="00EE642B" w:rsidRDefault="00374F0F" w:rsidP="00BE60F3">
            <w:pPr>
              <w:spacing w:before="120" w:after="120" w:line="276" w:lineRule="auto"/>
              <w:rPr>
                <w:sz w:val="20"/>
                <w:szCs w:val="20"/>
              </w:rPr>
            </w:pPr>
            <w:r w:rsidRPr="00EE642B">
              <w:rPr>
                <w:sz w:val="20"/>
                <w:szCs w:val="20"/>
              </w:rPr>
              <w:t>Independent analysis of value for money applying a framework that effectively describes value, along with analysing return on investment.</w:t>
            </w:r>
          </w:p>
        </w:tc>
      </w:tr>
      <w:tr w:rsidR="00374F0F" w:rsidRPr="005E5D6E" w14:paraId="3110DD92" w14:textId="77777777" w:rsidTr="00EE642B">
        <w:trPr>
          <w:cantSplit/>
          <w:trHeight w:val="696"/>
        </w:trPr>
        <w:tc>
          <w:tcPr>
            <w:tcW w:w="0" w:type="auto"/>
          </w:tcPr>
          <w:p w14:paraId="36E6E10D" w14:textId="5B7C5B98" w:rsidR="00374F0F" w:rsidRPr="005E5D6E" w:rsidRDefault="00A824EA" w:rsidP="00BE60F3">
            <w:pPr>
              <w:spacing w:before="120" w:after="120" w:line="276" w:lineRule="auto"/>
              <w:rPr>
                <w:sz w:val="20"/>
                <w:szCs w:val="20"/>
              </w:rPr>
            </w:pPr>
            <w:r>
              <w:rPr>
                <w:sz w:val="20"/>
                <w:szCs w:val="20"/>
              </w:rPr>
              <w:t>5</w:t>
            </w:r>
          </w:p>
        </w:tc>
        <w:tc>
          <w:tcPr>
            <w:tcW w:w="3796" w:type="dxa"/>
          </w:tcPr>
          <w:p w14:paraId="525472B5" w14:textId="77777777" w:rsidR="00374F0F" w:rsidRPr="00EE642B" w:rsidRDefault="00374F0F" w:rsidP="00BE60F3">
            <w:pPr>
              <w:spacing w:before="120" w:after="120" w:line="276" w:lineRule="auto"/>
              <w:rPr>
                <w:sz w:val="20"/>
                <w:szCs w:val="20"/>
              </w:rPr>
            </w:pPr>
            <w:bookmarkStart w:id="113" w:name="_Toc523746124"/>
            <w:r w:rsidRPr="00EE642B">
              <w:rPr>
                <w:rStyle w:val="SubtleEmphasis"/>
                <w:i/>
                <w:sz w:val="20"/>
                <w:szCs w:val="20"/>
              </w:rPr>
              <w:t>To what extent has Prospera contributed to gender equality, disability, social inclusion and women’s economic empowerment?</w:t>
            </w:r>
            <w:bookmarkEnd w:id="113"/>
            <w:r w:rsidRPr="00EE642B">
              <w:rPr>
                <w:rStyle w:val="SubtleEmphasis"/>
                <w:i/>
                <w:sz w:val="20"/>
                <w:szCs w:val="20"/>
              </w:rPr>
              <w:t xml:space="preserve"> </w:t>
            </w:r>
          </w:p>
        </w:tc>
        <w:tc>
          <w:tcPr>
            <w:tcW w:w="4761" w:type="dxa"/>
          </w:tcPr>
          <w:p w14:paraId="0CC1726F" w14:textId="77777777" w:rsidR="00374F0F" w:rsidRPr="00EE642B" w:rsidRDefault="00374F0F" w:rsidP="00BE60F3">
            <w:pPr>
              <w:spacing w:before="120" w:after="120" w:line="276" w:lineRule="auto"/>
              <w:rPr>
                <w:b/>
                <w:sz w:val="20"/>
                <w:szCs w:val="20"/>
              </w:rPr>
            </w:pPr>
            <w:r w:rsidRPr="00EE642B">
              <w:rPr>
                <w:b/>
                <w:sz w:val="20"/>
                <w:szCs w:val="20"/>
              </w:rPr>
              <w:t>2021-22</w:t>
            </w:r>
            <w:r w:rsidRPr="00EE642B">
              <w:rPr>
                <w:sz w:val="20"/>
                <w:szCs w:val="20"/>
              </w:rPr>
              <w:t xml:space="preserve"> | </w:t>
            </w:r>
            <w:r w:rsidRPr="00EE642B">
              <w:rPr>
                <w:b/>
                <w:sz w:val="20"/>
                <w:szCs w:val="20"/>
              </w:rPr>
              <w:t xml:space="preserve">Promoting gender and social outcomes </w:t>
            </w:r>
          </w:p>
          <w:p w14:paraId="744FB648" w14:textId="77777777" w:rsidR="00374F0F" w:rsidRPr="00EE642B" w:rsidRDefault="00374F0F" w:rsidP="00BE60F3">
            <w:pPr>
              <w:spacing w:before="120" w:after="120" w:line="276" w:lineRule="auto"/>
              <w:rPr>
                <w:sz w:val="20"/>
                <w:szCs w:val="20"/>
              </w:rPr>
            </w:pPr>
            <w:r w:rsidRPr="00EE642B">
              <w:rPr>
                <w:sz w:val="20"/>
                <w:szCs w:val="20"/>
              </w:rPr>
              <w:t>An independent economic (possibly distributional) analysis will be conducted of Prospera’s contribution to gender equality, social inclusion and women’s economic empowerment.</w:t>
            </w:r>
          </w:p>
        </w:tc>
      </w:tr>
      <w:tr w:rsidR="00374F0F" w:rsidRPr="005E5D6E" w14:paraId="27F24D81" w14:textId="77777777" w:rsidTr="00EE642B">
        <w:trPr>
          <w:cantSplit/>
          <w:trHeight w:val="2383"/>
        </w:trPr>
        <w:tc>
          <w:tcPr>
            <w:tcW w:w="0" w:type="auto"/>
          </w:tcPr>
          <w:p w14:paraId="6F10F5CA" w14:textId="48A77B6E" w:rsidR="00374F0F" w:rsidRPr="005E5D6E" w:rsidRDefault="00A824EA" w:rsidP="00BE60F3">
            <w:pPr>
              <w:spacing w:before="120" w:after="120" w:line="276" w:lineRule="auto"/>
              <w:rPr>
                <w:sz w:val="20"/>
                <w:szCs w:val="20"/>
              </w:rPr>
            </w:pPr>
            <w:r>
              <w:rPr>
                <w:sz w:val="20"/>
                <w:szCs w:val="20"/>
              </w:rPr>
              <w:t>6</w:t>
            </w:r>
          </w:p>
        </w:tc>
        <w:tc>
          <w:tcPr>
            <w:tcW w:w="3796" w:type="dxa"/>
          </w:tcPr>
          <w:p w14:paraId="78B238B8" w14:textId="77777777" w:rsidR="00374F0F" w:rsidRPr="00EE642B" w:rsidRDefault="00374F0F" w:rsidP="00BE60F3">
            <w:pPr>
              <w:spacing w:before="120" w:after="120" w:line="276" w:lineRule="auto"/>
              <w:rPr>
                <w:rStyle w:val="SubtleEmphasis"/>
                <w:i/>
                <w:sz w:val="20"/>
                <w:szCs w:val="20"/>
              </w:rPr>
            </w:pPr>
            <w:bookmarkStart w:id="114" w:name="_Toc523746125"/>
            <w:r w:rsidRPr="00EE642B">
              <w:rPr>
                <w:rStyle w:val="SubtleEmphasis"/>
                <w:i/>
                <w:sz w:val="20"/>
                <w:szCs w:val="20"/>
              </w:rPr>
              <w:t xml:space="preserve">To what extent has Prospera contributed to </w:t>
            </w:r>
            <w:bookmarkEnd w:id="114"/>
            <w:r w:rsidRPr="00EE642B">
              <w:rPr>
                <w:rStyle w:val="SubtleEmphasis"/>
                <w:i/>
                <w:sz w:val="20"/>
                <w:szCs w:val="20"/>
              </w:rPr>
              <w:t xml:space="preserve">outcomes? </w:t>
            </w:r>
          </w:p>
          <w:p w14:paraId="6836F23D" w14:textId="77777777" w:rsidR="00374F0F" w:rsidRPr="00EE642B" w:rsidRDefault="00374F0F" w:rsidP="00BE60F3">
            <w:pPr>
              <w:spacing w:before="120" w:after="120" w:line="276" w:lineRule="auto"/>
              <w:rPr>
                <w:rStyle w:val="SubtleEmphasis"/>
                <w:i/>
                <w:sz w:val="20"/>
                <w:szCs w:val="20"/>
              </w:rPr>
            </w:pPr>
            <w:bookmarkStart w:id="115" w:name="_Toc523746126"/>
            <w:r w:rsidRPr="00EE642B">
              <w:rPr>
                <w:rStyle w:val="SubtleEmphasis"/>
                <w:i/>
                <w:sz w:val="20"/>
                <w:szCs w:val="20"/>
              </w:rPr>
              <w:t>To what extent have economic policies and reforms been formulated and implemented based on evidence and research?</w:t>
            </w:r>
            <w:bookmarkEnd w:id="115"/>
            <w:r w:rsidRPr="00EE642B">
              <w:rPr>
                <w:rStyle w:val="SubtleEmphasis"/>
                <w:i/>
                <w:sz w:val="20"/>
                <w:szCs w:val="20"/>
              </w:rPr>
              <w:t xml:space="preserve"> </w:t>
            </w:r>
          </w:p>
          <w:p w14:paraId="28D98AAC" w14:textId="7857560B" w:rsidR="00374F0F" w:rsidRPr="00EE642B" w:rsidRDefault="0063133A" w:rsidP="00BE60F3">
            <w:pPr>
              <w:spacing w:before="120" w:after="120" w:line="276" w:lineRule="auto"/>
              <w:rPr>
                <w:rStyle w:val="SubtleEmphasis"/>
                <w:i/>
                <w:sz w:val="20"/>
                <w:szCs w:val="20"/>
              </w:rPr>
            </w:pPr>
            <w:r w:rsidRPr="00EE642B">
              <w:rPr>
                <w:rStyle w:val="SubtleEmphasis"/>
                <w:i/>
                <w:sz w:val="20"/>
                <w:szCs w:val="20"/>
              </w:rPr>
              <w:t xml:space="preserve">To what extent did Prospera contribute to an effective government to government partnership between Australia and Indonesia? </w:t>
            </w:r>
          </w:p>
        </w:tc>
        <w:tc>
          <w:tcPr>
            <w:tcW w:w="4761" w:type="dxa"/>
          </w:tcPr>
          <w:p w14:paraId="3CA9B031" w14:textId="77777777" w:rsidR="00374F0F" w:rsidRPr="00EE642B" w:rsidRDefault="00374F0F" w:rsidP="00BE60F3">
            <w:pPr>
              <w:spacing w:before="120" w:after="120" w:line="276" w:lineRule="auto"/>
              <w:rPr>
                <w:b/>
                <w:sz w:val="20"/>
                <w:szCs w:val="20"/>
              </w:rPr>
            </w:pPr>
            <w:r w:rsidRPr="00EE642B">
              <w:rPr>
                <w:b/>
                <w:sz w:val="20"/>
                <w:szCs w:val="20"/>
              </w:rPr>
              <w:t>2022-23</w:t>
            </w:r>
            <w:r w:rsidRPr="00EE642B">
              <w:rPr>
                <w:sz w:val="20"/>
                <w:szCs w:val="20"/>
              </w:rPr>
              <w:t xml:space="preserve"> | </w:t>
            </w:r>
            <w:r w:rsidRPr="00EE642B">
              <w:rPr>
                <w:b/>
                <w:sz w:val="20"/>
                <w:szCs w:val="20"/>
              </w:rPr>
              <w:t>End of Prospera evaluation</w:t>
            </w:r>
          </w:p>
          <w:p w14:paraId="54D91B1F" w14:textId="277CA619" w:rsidR="00374F0F" w:rsidRPr="00EE642B" w:rsidRDefault="00374F0F" w:rsidP="00BE60F3">
            <w:pPr>
              <w:spacing w:before="120" w:after="120" w:line="276" w:lineRule="auto"/>
              <w:rPr>
                <w:sz w:val="20"/>
                <w:szCs w:val="20"/>
              </w:rPr>
            </w:pPr>
            <w:r w:rsidRPr="00EE642B">
              <w:rPr>
                <w:sz w:val="20"/>
                <w:szCs w:val="20"/>
              </w:rPr>
              <w:t>This evaluation will use an evidence</w:t>
            </w:r>
            <w:r w:rsidR="00A4334D" w:rsidRPr="00EE642B">
              <w:rPr>
                <w:sz w:val="20"/>
                <w:szCs w:val="20"/>
              </w:rPr>
              <w:t xml:space="preserve"> </w:t>
            </w:r>
            <w:r w:rsidRPr="00EE642B">
              <w:rPr>
                <w:sz w:val="20"/>
                <w:szCs w:val="20"/>
              </w:rPr>
              <w:t xml:space="preserve">base provided by </w:t>
            </w:r>
            <w:r w:rsidR="0063133A" w:rsidRPr="00EE642B">
              <w:rPr>
                <w:sz w:val="20"/>
                <w:szCs w:val="20"/>
              </w:rPr>
              <w:t>c</w:t>
            </w:r>
            <w:r w:rsidRPr="00EE642B">
              <w:rPr>
                <w:sz w:val="20"/>
                <w:szCs w:val="20"/>
              </w:rPr>
              <w:t xml:space="preserve">ase </w:t>
            </w:r>
            <w:r w:rsidR="0063133A" w:rsidRPr="00EE642B">
              <w:rPr>
                <w:sz w:val="20"/>
                <w:szCs w:val="20"/>
              </w:rPr>
              <w:t>s</w:t>
            </w:r>
            <w:r w:rsidRPr="00EE642B">
              <w:rPr>
                <w:sz w:val="20"/>
                <w:szCs w:val="20"/>
              </w:rPr>
              <w:t>tudies and targeted additional evidence to answer the evaluation questions. The evaluation will inform the Prospera completion report.</w:t>
            </w:r>
          </w:p>
        </w:tc>
      </w:tr>
    </w:tbl>
    <w:p w14:paraId="6BEFC229" w14:textId="58BBB198" w:rsidR="00374F0F" w:rsidRPr="003F6635" w:rsidRDefault="00374F0F" w:rsidP="00BE60F3">
      <w:pPr>
        <w:pStyle w:val="Heading3"/>
        <w:numPr>
          <w:ilvl w:val="0"/>
          <w:numId w:val="0"/>
        </w:numPr>
        <w:ind w:left="851" w:hanging="851"/>
        <w:rPr>
          <w:sz w:val="22"/>
          <w:szCs w:val="22"/>
        </w:rPr>
      </w:pPr>
      <w:r w:rsidRPr="003F6635">
        <w:rPr>
          <w:sz w:val="22"/>
          <w:szCs w:val="22"/>
        </w:rPr>
        <w:t>Designing and managing evaluations</w:t>
      </w:r>
    </w:p>
    <w:p w14:paraId="67F8907C" w14:textId="07363B87" w:rsidR="00374F0F" w:rsidRDefault="00374F0F" w:rsidP="00BE60F3">
      <w:pPr>
        <w:pStyle w:val="BodyText"/>
      </w:pPr>
      <w:r w:rsidRPr="000B5CDB">
        <w:t xml:space="preserve">Prospera’s </w:t>
      </w:r>
      <w:r>
        <w:t>Knowledge and Performance team is experienced at designing</w:t>
      </w:r>
      <w:r w:rsidR="0063133A">
        <w:t xml:space="preserve"> and conducting </w:t>
      </w:r>
      <w:r>
        <w:t xml:space="preserve">evaluations. Prospera will ensure that evaluation terms of reference, plans and reports are prepared in accordance with DFAT </w:t>
      </w:r>
      <w:r w:rsidR="001B6BFC">
        <w:t>standards</w:t>
      </w:r>
      <w:r w:rsidR="001B6BFC">
        <w:rPr>
          <w:rStyle w:val="FootnoteReference"/>
        </w:rPr>
        <w:footnoteReference w:id="3"/>
      </w:r>
      <w:r w:rsidR="001B6BFC">
        <w:t xml:space="preserve">. </w:t>
      </w:r>
    </w:p>
    <w:p w14:paraId="45CBCCF9" w14:textId="77777777" w:rsidR="00374F0F" w:rsidRDefault="00374F0F" w:rsidP="00BE60F3">
      <w:pPr>
        <w:pStyle w:val="BodyText"/>
      </w:pPr>
      <w:r>
        <w:t>Prospera will ensure that evaluation teams, whether internal or external, adhere to the following evaluation principles:</w:t>
      </w:r>
    </w:p>
    <w:p w14:paraId="368343D3" w14:textId="6A8EA442" w:rsidR="00374F0F" w:rsidRDefault="00374F0F" w:rsidP="00BE60F3">
      <w:pPr>
        <w:pStyle w:val="ListBullet"/>
      </w:pPr>
      <w:r w:rsidRPr="00B54A34">
        <w:rPr>
          <w:b/>
        </w:rPr>
        <w:t>Evaluation is primarily for learning and improvement</w:t>
      </w:r>
      <w:r w:rsidR="002B6CB4">
        <w:rPr>
          <w:b/>
        </w:rPr>
        <w:t>.</w:t>
      </w:r>
      <w:r>
        <w:t xml:space="preserve"> This will be achieved wherever possible through appropriate and authentic participation from the design stage through to completion for each evaluation.</w:t>
      </w:r>
    </w:p>
    <w:p w14:paraId="64CDC78C" w14:textId="0726EA6B" w:rsidR="00374F0F" w:rsidRDefault="00374F0F" w:rsidP="00BE60F3">
      <w:pPr>
        <w:pStyle w:val="ListBullet"/>
      </w:pPr>
      <w:r w:rsidRPr="00B54A34">
        <w:rPr>
          <w:b/>
        </w:rPr>
        <w:t xml:space="preserve">Evaluations should be driven by meaningful questions and </w:t>
      </w:r>
      <w:r>
        <w:rPr>
          <w:b/>
        </w:rPr>
        <w:t>clear intended use</w:t>
      </w:r>
      <w:r w:rsidR="002B6CB4">
        <w:rPr>
          <w:b/>
        </w:rPr>
        <w:t>.</w:t>
      </w:r>
      <w:r>
        <w:t xml:space="preserve"> For any evaluation Prospera will ensure that evaluation questions will support collection of useful data and formation of judgements that are needed and will be used for improvement.</w:t>
      </w:r>
    </w:p>
    <w:p w14:paraId="456D3427" w14:textId="51408CC7" w:rsidR="00374F0F" w:rsidRPr="000B5CDB" w:rsidRDefault="00374F0F" w:rsidP="00BE60F3">
      <w:pPr>
        <w:pStyle w:val="ListBullet"/>
      </w:pPr>
      <w:r>
        <w:rPr>
          <w:b/>
        </w:rPr>
        <w:t>Evaluation must be culturally competent, gender and socially inclusive</w:t>
      </w:r>
      <w:r w:rsidR="00A4334D">
        <w:rPr>
          <w:b/>
        </w:rPr>
        <w:t>,</w:t>
      </w:r>
      <w:r>
        <w:rPr>
          <w:b/>
        </w:rPr>
        <w:t xml:space="preserve"> and ethically appropriate</w:t>
      </w:r>
      <w:r w:rsidR="002B6CB4">
        <w:rPr>
          <w:b/>
        </w:rPr>
        <w:t>.</w:t>
      </w:r>
      <w:r>
        <w:t xml:space="preserve"> Prospera will ensure that all evaluations practice a high level of cultural competency, are conducted with gender</w:t>
      </w:r>
      <w:r w:rsidR="00A4334D">
        <w:t>-</w:t>
      </w:r>
      <w:r>
        <w:t>balanced and inclusive teams and have a clear expression of ethical practice.</w:t>
      </w:r>
    </w:p>
    <w:p w14:paraId="0976A466" w14:textId="12E16AFD" w:rsidR="00374F0F" w:rsidRPr="00C30F61" w:rsidRDefault="00374F0F" w:rsidP="00BE60F3">
      <w:pPr>
        <w:pStyle w:val="Heading1"/>
        <w:rPr>
          <w:rStyle w:val="Heading1Char"/>
          <w:b/>
          <w:bCs/>
        </w:rPr>
      </w:pPr>
      <w:bookmarkStart w:id="116" w:name="_Toc525563683"/>
      <w:bookmarkStart w:id="117" w:name="_Toc525743682"/>
      <w:bookmarkStart w:id="118" w:name="_Toc532991066"/>
      <w:r w:rsidRPr="00C30F61">
        <w:rPr>
          <w:rStyle w:val="Heading1Char"/>
          <w:b/>
          <w:bCs/>
        </w:rPr>
        <w:t>Cross</w:t>
      </w:r>
      <w:r w:rsidR="00A4334D">
        <w:rPr>
          <w:rStyle w:val="Heading1Char"/>
          <w:b/>
          <w:bCs/>
        </w:rPr>
        <w:t>-</w:t>
      </w:r>
      <w:r w:rsidRPr="00C30F61">
        <w:rPr>
          <w:rStyle w:val="Heading1Char"/>
          <w:b/>
          <w:bCs/>
        </w:rPr>
        <w:t>cutting effort for facility results</w:t>
      </w:r>
      <w:bookmarkEnd w:id="116"/>
      <w:bookmarkEnd w:id="117"/>
      <w:bookmarkEnd w:id="118"/>
    </w:p>
    <w:p w14:paraId="278D8392" w14:textId="6E7C0F38" w:rsidR="00374F0F" w:rsidRPr="001E7AC6" w:rsidRDefault="00374F0F" w:rsidP="0082195C">
      <w:pPr>
        <w:pStyle w:val="Heading2"/>
      </w:pPr>
      <w:bookmarkStart w:id="119" w:name="_Toc525563684"/>
      <w:bookmarkStart w:id="120" w:name="_Toc525743683"/>
      <w:bookmarkStart w:id="121" w:name="_Toc532991067"/>
      <w:r w:rsidRPr="001E7AC6">
        <w:t>Gender equality and social inclusion</w:t>
      </w:r>
      <w:bookmarkEnd w:id="119"/>
      <w:bookmarkEnd w:id="120"/>
      <w:bookmarkEnd w:id="121"/>
      <w:r w:rsidRPr="001E7AC6">
        <w:rPr>
          <w:rStyle w:val="Heading1Char"/>
          <w:bCs/>
        </w:rPr>
        <w:t xml:space="preserve"> </w:t>
      </w:r>
    </w:p>
    <w:p w14:paraId="53EFD017" w14:textId="096D77F1" w:rsidR="000E1C21" w:rsidRPr="000906BD" w:rsidRDefault="000E1C21" w:rsidP="000E1C21">
      <w:pPr>
        <w:pStyle w:val="BodyText"/>
      </w:pPr>
      <w:r>
        <w:t xml:space="preserve">Prospera’s </w:t>
      </w:r>
      <w:r w:rsidR="00374F0F" w:rsidRPr="00451B03">
        <w:rPr>
          <w:i/>
        </w:rPr>
        <w:t>Gender Equality and Social Inclusion Strategy</w:t>
      </w:r>
      <w:r w:rsidR="00374F0F" w:rsidRPr="00451B03">
        <w:t xml:space="preserve"> </w:t>
      </w:r>
      <w:r>
        <w:t xml:space="preserve">sets out how </w:t>
      </w:r>
      <w:r w:rsidRPr="000906BD">
        <w:t xml:space="preserve">about Prospera </w:t>
      </w:r>
      <w:r>
        <w:t xml:space="preserve">will help to </w:t>
      </w:r>
      <w:r w:rsidRPr="000906BD">
        <w:t>shift norms, policies and frameworks towards equality and inclusion wherever opportunities arise</w:t>
      </w:r>
      <w:r>
        <w:t xml:space="preserve">, as a trusted adviser to Indonesian partners. To this end, </w:t>
      </w:r>
      <w:r w:rsidRPr="000906BD">
        <w:t>Prospera will be realistic about what can be achieved and where value can be added. Prospera’s comparative advantage lies in addressing gender and social inclusion in economic participation. In terms of social inclusion, a particular focus is disability inclusion as one of Prospera’s high</w:t>
      </w:r>
      <w:r w:rsidR="00B30435">
        <w:t>-</w:t>
      </w:r>
      <w:r w:rsidRPr="000906BD">
        <w:t>level objectives.</w:t>
      </w:r>
    </w:p>
    <w:p w14:paraId="5F91E092" w14:textId="05238550" w:rsidR="00374F0F" w:rsidRPr="00A613F3" w:rsidRDefault="00374F0F" w:rsidP="00BE60F3">
      <w:pPr>
        <w:pStyle w:val="BodyText"/>
        <w:rPr>
          <w:szCs w:val="20"/>
        </w:rPr>
      </w:pPr>
      <w:r w:rsidRPr="00451B03">
        <w:t>Prospera’s strategy cent</w:t>
      </w:r>
      <w:r>
        <w:t>re</w:t>
      </w:r>
      <w:r w:rsidRPr="00451B03">
        <w:t>s on the following:</w:t>
      </w:r>
    </w:p>
    <w:p w14:paraId="48E36C3F" w14:textId="767CEC45" w:rsidR="00374F0F" w:rsidRDefault="00374F0F" w:rsidP="00BE60F3">
      <w:pPr>
        <w:pStyle w:val="ListBullet"/>
        <w:spacing w:after="160"/>
        <w:ind w:left="357" w:hanging="357"/>
      </w:pPr>
      <w:r w:rsidRPr="00451B03">
        <w:rPr>
          <w:b/>
        </w:rPr>
        <w:t>Leading by example through Prospera’s own culture of inclusion</w:t>
      </w:r>
      <w:r w:rsidRPr="00451B03">
        <w:t xml:space="preserve">. Prospera’s management and gender team support all teams to reflect the role of gender and social inclusion in achieving their defined outcomes, and does not adopt a separable siloed approach to gender and social inclusion. </w:t>
      </w:r>
    </w:p>
    <w:p w14:paraId="3181093B" w14:textId="563DB3FC" w:rsidR="000E1C21" w:rsidRDefault="000E1C21" w:rsidP="000E1C21">
      <w:pPr>
        <w:pStyle w:val="ListBullet"/>
      </w:pPr>
      <w:r w:rsidRPr="00451B03">
        <w:rPr>
          <w:b/>
        </w:rPr>
        <w:t>Addressing barriers to economic participation</w:t>
      </w:r>
      <w:r w:rsidRPr="00451B03">
        <w:t xml:space="preserve"> through activities embedded in all work streams and designed to support greater access to markets, employment, finance, and services, where gender and social inclusion can be an essential element of success.</w:t>
      </w:r>
    </w:p>
    <w:p w14:paraId="58399B05" w14:textId="77777777" w:rsidR="000E1C21" w:rsidRDefault="000E1C21" w:rsidP="000E1C21">
      <w:pPr>
        <w:pStyle w:val="ListBullet"/>
      </w:pPr>
      <w:r w:rsidRPr="00451B03">
        <w:rPr>
          <w:b/>
        </w:rPr>
        <w:t>Adoption of a new inclusive growth framework</w:t>
      </w:r>
      <w:r w:rsidRPr="00451B03">
        <w:t xml:space="preserve"> that places gender and inclusion at the centre of economic policy and decision-making. The framework includes tools that measure distributional impacts of policy, including on women and disabled</w:t>
      </w:r>
      <w:r>
        <w:t xml:space="preserve"> people</w:t>
      </w:r>
      <w:r w:rsidRPr="00451B03">
        <w:t>, and injects the goal of inclusion into policy choices along with strong and sustainable growth</w:t>
      </w:r>
      <w:r>
        <w:t>.</w:t>
      </w:r>
    </w:p>
    <w:p w14:paraId="473298E0" w14:textId="77777777" w:rsidR="000E1C21" w:rsidRPr="000906BD" w:rsidRDefault="000E1C21" w:rsidP="000E1C21">
      <w:pPr>
        <w:pStyle w:val="BodyText"/>
      </w:pPr>
      <w:r w:rsidRPr="000906BD">
        <w:t>Overall, Prospera’s performance will be measured by progress markers to answer the following evaluative questions:</w:t>
      </w:r>
    </w:p>
    <w:p w14:paraId="7B1FA456" w14:textId="77777777" w:rsidR="000E1C21" w:rsidRPr="000906BD" w:rsidRDefault="000E1C21" w:rsidP="000E1C21">
      <w:pPr>
        <w:pStyle w:val="ListBullet"/>
        <w:ind w:left="357" w:hanging="357"/>
      </w:pPr>
      <w:r w:rsidRPr="000E1C21">
        <w:rPr>
          <w:b/>
        </w:rPr>
        <w:t xml:space="preserve">(Prospera as an organisation and its people) </w:t>
      </w:r>
      <w:r w:rsidRPr="000906BD">
        <w:t>Is Prospera gender aware and becoming more so over time with management leadership, targeted training and learning by doing? Are all participants in Prospera gender and socially aware?</w:t>
      </w:r>
    </w:p>
    <w:p w14:paraId="07F064B7" w14:textId="77777777" w:rsidR="000E1C21" w:rsidRPr="000906BD" w:rsidRDefault="000E1C21" w:rsidP="000E1C21">
      <w:pPr>
        <w:pStyle w:val="ListBullet"/>
        <w:ind w:left="357" w:hanging="357"/>
      </w:pPr>
      <w:r w:rsidRPr="000E1C21">
        <w:rPr>
          <w:b/>
        </w:rPr>
        <w:t xml:space="preserve">(Prospera’s partner government agencies) </w:t>
      </w:r>
      <w:r w:rsidRPr="000906BD">
        <w:t>Are Prospera’s Indonesian government partners becoming more gender aware? Are officials prioritising gender in their work? Has Prospera contributed to this?</w:t>
      </w:r>
    </w:p>
    <w:p w14:paraId="2C54827E" w14:textId="22B57689" w:rsidR="000E1C21" w:rsidRPr="000906BD" w:rsidRDefault="000E1C21" w:rsidP="000E1C21">
      <w:pPr>
        <w:pStyle w:val="ListBullet"/>
        <w:spacing w:after="240"/>
        <w:contextualSpacing w:val="0"/>
      </w:pPr>
      <w:r w:rsidRPr="000E1C21">
        <w:rPr>
          <w:b/>
        </w:rPr>
        <w:t>(Activities and results)</w:t>
      </w:r>
      <w:r w:rsidRPr="000906BD">
        <w:t xml:space="preserve"> Is Prospera contributing to change that is meaningful for women and girls and people living with a disability</w:t>
      </w:r>
      <w:r w:rsidR="00332C28">
        <w:t xml:space="preserve"> across its three breakthrough outcomes</w:t>
      </w:r>
      <w:r w:rsidRPr="000906BD">
        <w:t xml:space="preserve">? </w:t>
      </w:r>
    </w:p>
    <w:p w14:paraId="1FFD5B8C" w14:textId="77777777" w:rsidR="00332C28" w:rsidRDefault="00332C28" w:rsidP="00332C28">
      <w:pPr>
        <w:pStyle w:val="BodyText"/>
      </w:pPr>
      <w:r>
        <w:t>Markers to indicate progress over time include: the percentage of men and women in decision-making roles at Prospera; all new activities applying gender and social inclusion analytical tools; opportunities taken to partner with other programs on gender and social inclusion initiatives; and inclusive growth tools are being used to deliver policy (see Annex 7).</w:t>
      </w:r>
    </w:p>
    <w:p w14:paraId="5C144F7A" w14:textId="48F5FD25" w:rsidR="00561FF4" w:rsidRDefault="000E1C21" w:rsidP="00332C28">
      <w:pPr>
        <w:pStyle w:val="BodyText"/>
      </w:pPr>
      <w:r>
        <w:t>G</w:t>
      </w:r>
      <w:r w:rsidR="00374F0F" w:rsidRPr="00451B03">
        <w:t xml:space="preserve">ender and social inclusion activities will also be evaluated through a range of approaches including case studies, independent reviews, and </w:t>
      </w:r>
      <w:r w:rsidR="002B6CB4">
        <w:t>partner</w:t>
      </w:r>
      <w:r w:rsidR="00374F0F" w:rsidRPr="00451B03">
        <w:t xml:space="preserve"> feedback. </w:t>
      </w:r>
      <w:r>
        <w:t xml:space="preserve">Specific </w:t>
      </w:r>
      <w:r w:rsidR="00374F0F">
        <w:t xml:space="preserve">data collection </w:t>
      </w:r>
      <w:r>
        <w:t>methods will be included in Component 3 (Toolkit).</w:t>
      </w:r>
    </w:p>
    <w:p w14:paraId="131F128A" w14:textId="040811F2" w:rsidR="00374F0F" w:rsidRPr="001E7AC6" w:rsidRDefault="00374F0F" w:rsidP="0082195C">
      <w:pPr>
        <w:pStyle w:val="Heading2"/>
      </w:pPr>
      <w:bookmarkStart w:id="122" w:name="_Toc525563685"/>
      <w:bookmarkStart w:id="123" w:name="_Toc525743684"/>
      <w:bookmarkStart w:id="124" w:name="_Toc532991068"/>
      <w:r w:rsidRPr="001E7AC6">
        <w:t>Capability development</w:t>
      </w:r>
      <w:bookmarkEnd w:id="122"/>
      <w:bookmarkEnd w:id="123"/>
      <w:bookmarkEnd w:id="124"/>
      <w:r w:rsidRPr="001E7AC6">
        <w:t xml:space="preserve"> </w:t>
      </w:r>
    </w:p>
    <w:p w14:paraId="278AFC5A" w14:textId="77777777" w:rsidR="00561FF4" w:rsidRDefault="00374F0F" w:rsidP="00BE60F3">
      <w:pPr>
        <w:pStyle w:val="BodyText"/>
      </w:pPr>
      <w:r>
        <w:t xml:space="preserve">This section describes Prospera’s approach to describing and measuring capability development with Indonesian government partners (individuals and institutions). </w:t>
      </w:r>
    </w:p>
    <w:tbl>
      <w:tblPr>
        <w:tblStyle w:val="TableGrid"/>
        <w:tblW w:w="0" w:type="auto"/>
        <w:shd w:val="clear" w:color="auto" w:fill="CFF0F7"/>
        <w:tblLook w:val="04A0" w:firstRow="1" w:lastRow="0" w:firstColumn="1" w:lastColumn="0" w:noHBand="0" w:noVBand="1"/>
      </w:tblPr>
      <w:tblGrid>
        <w:gridCol w:w="9040"/>
      </w:tblGrid>
      <w:tr w:rsidR="00561FF4" w14:paraId="4CA59483" w14:textId="77777777" w:rsidTr="00561FF4">
        <w:tc>
          <w:tcPr>
            <w:tcW w:w="9040" w:type="dxa"/>
            <w:shd w:val="clear" w:color="auto" w:fill="CFF0F7"/>
          </w:tcPr>
          <w:p w14:paraId="7B74D894" w14:textId="58F4A924" w:rsidR="00561FF4" w:rsidRPr="00561FF4" w:rsidRDefault="00561FF4" w:rsidP="00561FF4">
            <w:pPr>
              <w:rPr>
                <w:rFonts w:ascii="Calibri" w:hAnsi="Calibri"/>
                <w:color w:val="1F497D"/>
                <w:sz w:val="20"/>
                <w:szCs w:val="20"/>
              </w:rPr>
            </w:pPr>
            <w:r w:rsidRPr="00561FF4">
              <w:rPr>
                <w:rFonts w:cs="Arial"/>
                <w:color w:val="000000"/>
                <w:spacing w:val="4"/>
                <w:sz w:val="20"/>
                <w:szCs w:val="20"/>
              </w:rPr>
              <w:t>The term ‘capability development’ is preferred over ‘capacity development’ in the context Prospera works</w:t>
            </w:r>
            <w:r>
              <w:rPr>
                <w:rFonts w:cs="Arial"/>
                <w:color w:val="000000"/>
                <w:spacing w:val="4"/>
                <w:sz w:val="20"/>
                <w:szCs w:val="20"/>
              </w:rPr>
              <w:t>:</w:t>
            </w:r>
            <w:r w:rsidRPr="00561FF4">
              <w:rPr>
                <w:rFonts w:cs="Arial"/>
                <w:color w:val="000000"/>
                <w:spacing w:val="4"/>
                <w:sz w:val="20"/>
                <w:szCs w:val="20"/>
              </w:rPr>
              <w:t xml:space="preserve"> </w:t>
            </w:r>
            <w:r>
              <w:rPr>
                <w:rFonts w:cs="Arial"/>
                <w:color w:val="000000"/>
                <w:spacing w:val="4"/>
                <w:sz w:val="20"/>
                <w:szCs w:val="20"/>
              </w:rPr>
              <w:t>“</w:t>
            </w:r>
            <w:r w:rsidRPr="00561FF4">
              <w:rPr>
                <w:rFonts w:cs="Arial"/>
                <w:color w:val="000000"/>
                <w:spacing w:val="4"/>
                <w:sz w:val="20"/>
                <w:szCs w:val="20"/>
              </w:rPr>
              <w:t>In order to deliver the outcomes set by their government, agencies draw on a combination of their people, processes, systems, structures, and culture. These, together, define organisational capability for both the public sector as a whole and for individual agencies</w:t>
            </w:r>
            <w:r>
              <w:rPr>
                <w:rFonts w:cs="Arial"/>
                <w:color w:val="000000"/>
                <w:spacing w:val="4"/>
                <w:sz w:val="20"/>
                <w:szCs w:val="20"/>
              </w:rPr>
              <w:t>.”</w:t>
            </w:r>
            <w:r>
              <w:rPr>
                <w:rStyle w:val="FootnoteReference"/>
                <w:rFonts w:cs="Arial"/>
                <w:color w:val="000000"/>
                <w:spacing w:val="4"/>
                <w:sz w:val="20"/>
                <w:szCs w:val="20"/>
              </w:rPr>
              <w:footnoteReference w:id="4"/>
            </w:r>
            <w:r w:rsidRPr="00561FF4">
              <w:rPr>
                <w:rFonts w:cs="Arial"/>
                <w:color w:val="000000"/>
                <w:spacing w:val="4"/>
                <w:sz w:val="20"/>
                <w:szCs w:val="20"/>
              </w:rPr>
              <w:t xml:space="preserve"> In many activities Prospera contributes to developing a range of these elements, but particularly people, processes and systems.</w:t>
            </w:r>
          </w:p>
        </w:tc>
      </w:tr>
    </w:tbl>
    <w:p w14:paraId="2A16E850" w14:textId="27783C09" w:rsidR="00374F0F" w:rsidRDefault="00374F0F" w:rsidP="00561FF4">
      <w:pPr>
        <w:pStyle w:val="BodyText"/>
        <w:spacing w:before="240"/>
      </w:pPr>
      <w:r>
        <w:t xml:space="preserve">It is important to understand that many, </w:t>
      </w:r>
      <w:r w:rsidRPr="008D359A">
        <w:t>but not all,</w:t>
      </w:r>
      <w:r>
        <w:t xml:space="preserve"> Prospera activities have a capability</w:t>
      </w:r>
      <w:r w:rsidR="00A4334D">
        <w:t>-</w:t>
      </w:r>
      <w:r>
        <w:t xml:space="preserve">development component. Prospera’s overall approach to institutional capability will be elaborated in the </w:t>
      </w:r>
      <w:r w:rsidRPr="0059145A">
        <w:rPr>
          <w:i/>
        </w:rPr>
        <w:t>Public Sector Strategy</w:t>
      </w:r>
      <w:r>
        <w:t>, but is described in brief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6404"/>
      </w:tblGrid>
      <w:tr w:rsidR="00374F0F" w14:paraId="77F9CF38" w14:textId="77777777" w:rsidTr="00374F0F">
        <w:tc>
          <w:tcPr>
            <w:tcW w:w="2718" w:type="dxa"/>
          </w:tcPr>
          <w:p w14:paraId="4BDB1709" w14:textId="53B8DA37" w:rsidR="00374F0F" w:rsidRPr="003C4FBD" w:rsidRDefault="00374F0F" w:rsidP="00BE60F3">
            <w:pPr>
              <w:rPr>
                <w:b/>
                <w:sz w:val="20"/>
                <w:szCs w:val="20"/>
              </w:rPr>
            </w:pPr>
          </w:p>
          <w:p w14:paraId="2F0F832C" w14:textId="36CA419F" w:rsidR="00374F0F" w:rsidRDefault="00374F0F" w:rsidP="00BE60F3">
            <w:pPr>
              <w:pStyle w:val="BodyText"/>
            </w:pPr>
            <w:r>
              <w:t>Prospera potentially provides support for capability development against any of these four pillars. This support is typically to facilitate particular desired reforms that are the responsibility of a unit or branch in an institution, but rarely across an entire institution.</w:t>
            </w:r>
          </w:p>
          <w:p w14:paraId="0127ECBB" w14:textId="77777777" w:rsidR="00374F0F" w:rsidRDefault="00374F0F" w:rsidP="00BE60F3">
            <w:pPr>
              <w:spacing w:before="120" w:after="120" w:line="276" w:lineRule="auto"/>
            </w:pPr>
          </w:p>
        </w:tc>
        <w:tc>
          <w:tcPr>
            <w:tcW w:w="6524" w:type="dxa"/>
          </w:tcPr>
          <w:p w14:paraId="73B168D2" w14:textId="728BB4A6" w:rsidR="00374F0F" w:rsidRPr="003F6635" w:rsidRDefault="00374F0F" w:rsidP="005F4D6B">
            <w:pPr>
              <w:pStyle w:val="Tabletext"/>
              <w:rPr>
                <w:b/>
              </w:rPr>
            </w:pPr>
            <w:bookmarkStart w:id="125" w:name="_Hlk525646062"/>
            <w:r w:rsidRPr="001E7AC6">
              <w:rPr>
                <w:b/>
              </w:rPr>
              <w:t xml:space="preserve">Figure </w:t>
            </w:r>
            <w:r w:rsidRPr="001E7AC6">
              <w:rPr>
                <w:b/>
                <w:noProof/>
              </w:rPr>
              <w:fldChar w:fldCharType="begin"/>
            </w:r>
            <w:r w:rsidRPr="001E7AC6">
              <w:rPr>
                <w:b/>
                <w:noProof/>
              </w:rPr>
              <w:instrText xml:space="preserve"> SEQ Figure \* ARABIC </w:instrText>
            </w:r>
            <w:r w:rsidRPr="001E7AC6">
              <w:rPr>
                <w:b/>
                <w:noProof/>
              </w:rPr>
              <w:fldChar w:fldCharType="separate"/>
            </w:r>
            <w:r w:rsidR="001607C5">
              <w:rPr>
                <w:b/>
                <w:noProof/>
              </w:rPr>
              <w:t>5</w:t>
            </w:r>
            <w:r w:rsidRPr="001E7AC6">
              <w:rPr>
                <w:b/>
                <w:noProof/>
              </w:rPr>
              <w:fldChar w:fldCharType="end"/>
            </w:r>
            <w:r w:rsidR="003F6635" w:rsidRPr="001E7AC6">
              <w:rPr>
                <w:b/>
                <w:noProof/>
                <w:lang w:val="id-ID"/>
              </w:rPr>
              <w:t>.</w:t>
            </w:r>
            <w:r w:rsidRPr="001E7AC6">
              <w:rPr>
                <w:b/>
              </w:rPr>
              <w:t xml:space="preserve"> </w:t>
            </w:r>
            <w:r w:rsidRPr="001E7AC6">
              <w:rPr>
                <w:b/>
                <w:noProof/>
                <w:lang w:eastAsia="en-AU"/>
              </w:rPr>
              <w:t>Institutional effectiven</w:t>
            </w:r>
            <w:r w:rsidR="00843A28">
              <w:rPr>
                <w:b/>
                <w:noProof/>
                <w:lang w:val="id-ID" w:eastAsia="en-AU"/>
              </w:rPr>
              <w:t>e</w:t>
            </w:r>
            <w:r w:rsidRPr="001E7AC6">
              <w:rPr>
                <w:b/>
                <w:noProof/>
                <w:lang w:eastAsia="en-AU"/>
              </w:rPr>
              <w:t>ss</w:t>
            </w:r>
          </w:p>
          <w:bookmarkEnd w:id="125"/>
          <w:p w14:paraId="780F248B" w14:textId="77777777" w:rsidR="00374F0F" w:rsidRPr="00C83887" w:rsidRDefault="00374F0F" w:rsidP="005F4D6B">
            <w:pPr>
              <w:jc w:val="center"/>
              <w:rPr>
                <w:b/>
              </w:rPr>
            </w:pPr>
            <w:r w:rsidRPr="00586D06">
              <w:rPr>
                <w:b/>
                <w:noProof/>
                <w:lang w:eastAsia="en-AU"/>
              </w:rPr>
              <w:drawing>
                <wp:inline distT="0" distB="0" distL="0" distR="0" wp14:anchorId="568F067B" wp14:editId="0E96B84E">
                  <wp:extent cx="2581275" cy="2581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81275" cy="2581275"/>
                          </a:xfrm>
                          <a:prstGeom prst="rect">
                            <a:avLst/>
                          </a:prstGeom>
                        </pic:spPr>
                      </pic:pic>
                    </a:graphicData>
                  </a:graphic>
                </wp:inline>
              </w:drawing>
            </w:r>
          </w:p>
        </w:tc>
      </w:tr>
    </w:tbl>
    <w:p w14:paraId="458F98BF" w14:textId="60C54B2E" w:rsidR="00374F0F" w:rsidRPr="00E41944" w:rsidRDefault="002B6CB4" w:rsidP="00561FF4">
      <w:pPr>
        <w:pStyle w:val="BodyText"/>
        <w:spacing w:before="240"/>
      </w:pPr>
      <w:r>
        <w:t>The p</w:t>
      </w:r>
      <w:r w:rsidR="00374F0F" w:rsidRPr="00E41944">
        <w:t>illars of institutional effectiveness</w:t>
      </w:r>
      <w:r>
        <w:t xml:space="preserve"> are</w:t>
      </w:r>
      <w:r w:rsidR="00374F0F" w:rsidRPr="00E41944">
        <w:t>:</w:t>
      </w:r>
    </w:p>
    <w:p w14:paraId="30E3A58A" w14:textId="77777777" w:rsidR="00374F0F" w:rsidRPr="00CC57A4" w:rsidRDefault="00374F0F" w:rsidP="00BE60F3">
      <w:pPr>
        <w:pStyle w:val="ListBullet"/>
      </w:pPr>
      <w:r w:rsidRPr="008E54FC">
        <w:rPr>
          <w:b/>
        </w:rPr>
        <w:t xml:space="preserve">Leadership and management: </w:t>
      </w:r>
      <w:r w:rsidRPr="00CC57A4">
        <w:t>At the cent</w:t>
      </w:r>
      <w:r>
        <w:t>re</w:t>
      </w:r>
      <w:r w:rsidRPr="00CC57A4">
        <w:t xml:space="preserve"> of any institution is the </w:t>
      </w:r>
      <w:r>
        <w:t>l</w:t>
      </w:r>
      <w:r w:rsidRPr="00CC57A4">
        <w:t xml:space="preserve">eadership </w:t>
      </w:r>
      <w:r>
        <w:t>t</w:t>
      </w:r>
      <w:r w:rsidRPr="00CC57A4">
        <w:t xml:space="preserve">eam, a </w:t>
      </w:r>
      <w:r>
        <w:t>g</w:t>
      </w:r>
      <w:r w:rsidRPr="00CC57A4">
        <w:t>overnance framework and champions who actually deliver the activities with institutional resources.</w:t>
      </w:r>
    </w:p>
    <w:p w14:paraId="285263EB" w14:textId="77777777" w:rsidR="00374F0F" w:rsidRDefault="00374F0F" w:rsidP="00BE60F3">
      <w:pPr>
        <w:pStyle w:val="ListBullet"/>
      </w:pPr>
      <w:r w:rsidRPr="008E54FC">
        <w:rPr>
          <w:b/>
        </w:rPr>
        <w:t xml:space="preserve">Policies and procedures:  </w:t>
      </w:r>
      <w:r>
        <w:t>M</w:t>
      </w:r>
      <w:r w:rsidRPr="00CC57A4">
        <w:t xml:space="preserve">anagement </w:t>
      </w:r>
      <w:r>
        <w:t>t</w:t>
      </w:r>
      <w:r w:rsidRPr="00CC57A4">
        <w:t>eam</w:t>
      </w:r>
      <w:r>
        <w:t>s</w:t>
      </w:r>
      <w:r w:rsidRPr="00CC57A4">
        <w:t xml:space="preserve"> </w:t>
      </w:r>
      <w:r>
        <w:t xml:space="preserve">are </w:t>
      </w:r>
      <w:r w:rsidRPr="00CC57A4">
        <w:t>guided by the policies and procedures, legislative framework</w:t>
      </w:r>
      <w:r>
        <w:t>s and</w:t>
      </w:r>
      <w:r w:rsidRPr="00CC57A4">
        <w:t xml:space="preserve"> well-established business process to enable the delivery of the services and </w:t>
      </w:r>
      <w:r>
        <w:t xml:space="preserve">monitor </w:t>
      </w:r>
      <w:r w:rsidRPr="00CC57A4">
        <w:t>performance</w:t>
      </w:r>
      <w:r>
        <w:t>.</w:t>
      </w:r>
    </w:p>
    <w:p w14:paraId="7BCFFE77" w14:textId="4E382409" w:rsidR="00374F0F" w:rsidRPr="00CC57A4" w:rsidRDefault="00374F0F" w:rsidP="00BE60F3">
      <w:pPr>
        <w:pStyle w:val="ListBullet"/>
      </w:pPr>
      <w:r w:rsidRPr="008E54FC">
        <w:rPr>
          <w:b/>
        </w:rPr>
        <w:t>Human resources and change management:</w:t>
      </w:r>
      <w:r>
        <w:t xml:space="preserve"> </w:t>
      </w:r>
      <w:r w:rsidRPr="00CC57A4">
        <w:t xml:space="preserve">The </w:t>
      </w:r>
      <w:r w:rsidR="004B4D1E">
        <w:t>capability</w:t>
      </w:r>
      <w:r w:rsidRPr="00CC57A4">
        <w:t xml:space="preserve"> of the institution is driven </w:t>
      </w:r>
      <w:r w:rsidR="00A4334D">
        <w:t>by</w:t>
      </w:r>
      <w:r w:rsidRPr="00CC57A4">
        <w:t xml:space="preserve"> the human resources</w:t>
      </w:r>
      <w:r>
        <w:t xml:space="preserve">. Change management and communication is also key. </w:t>
      </w:r>
    </w:p>
    <w:p w14:paraId="17ECB454" w14:textId="0F05FBC1" w:rsidR="007C7339" w:rsidRPr="00030AD9" w:rsidRDefault="00374F0F" w:rsidP="00BE60F3">
      <w:pPr>
        <w:pStyle w:val="ListBullet"/>
        <w:rPr>
          <w:b/>
        </w:rPr>
      </w:pPr>
      <w:r w:rsidRPr="008E54FC">
        <w:rPr>
          <w:b/>
        </w:rPr>
        <w:t xml:space="preserve">Knowledge-transfer: </w:t>
      </w:r>
      <w:r w:rsidRPr="00CC57A4">
        <w:t>Institutions are continuously evolving and changing</w:t>
      </w:r>
      <w:r>
        <w:t xml:space="preserve">. </w:t>
      </w:r>
      <w:r w:rsidRPr="00CC57A4">
        <w:t>These changes are brought about by research and evidence, lessons learned, political imperatives, societal pressures.</w:t>
      </w:r>
      <w:bookmarkStart w:id="126" w:name="_Toc523746134"/>
    </w:p>
    <w:p w14:paraId="1180CB3C" w14:textId="77777777" w:rsidR="00030812" w:rsidRPr="001C3086" w:rsidRDefault="005E5D6E" w:rsidP="00BE60F3">
      <w:pPr>
        <w:pStyle w:val="Heading3"/>
        <w:numPr>
          <w:ilvl w:val="0"/>
          <w:numId w:val="0"/>
        </w:numPr>
        <w:ind w:left="851" w:hanging="851"/>
        <w:rPr>
          <w:sz w:val="22"/>
          <w:szCs w:val="22"/>
        </w:rPr>
      </w:pPr>
      <w:r w:rsidRPr="001C3086">
        <w:rPr>
          <w:sz w:val="22"/>
          <w:szCs w:val="22"/>
        </w:rPr>
        <w:t>Building individual capability - How adults learn</w:t>
      </w:r>
      <w:bookmarkEnd w:id="126"/>
      <w:r w:rsidRPr="001C3086">
        <w:rPr>
          <w:sz w:val="22"/>
          <w:szCs w:val="22"/>
        </w:rPr>
        <w:t xml:space="preserve"> </w:t>
      </w:r>
    </w:p>
    <w:p w14:paraId="2A201F89" w14:textId="0D258F7F" w:rsidR="005E5D6E" w:rsidRPr="00030812" w:rsidRDefault="005E5D6E" w:rsidP="00BE60F3">
      <w:pPr>
        <w:pStyle w:val="ListBullet"/>
        <w:numPr>
          <w:ilvl w:val="0"/>
          <w:numId w:val="0"/>
        </w:numPr>
        <w:rPr>
          <w:b/>
        </w:rPr>
      </w:pPr>
      <w:r w:rsidRPr="005E5D6E">
        <w:rPr>
          <w:rFonts w:eastAsia="Calibri"/>
        </w:rPr>
        <w:t xml:space="preserve">Adult learning </w:t>
      </w:r>
      <w:r w:rsidR="00071B18">
        <w:rPr>
          <w:rFonts w:eastAsia="Calibri"/>
        </w:rPr>
        <w:t xml:space="preserve">can be </w:t>
      </w:r>
      <w:r w:rsidRPr="005E5D6E">
        <w:rPr>
          <w:rFonts w:eastAsia="Calibri"/>
        </w:rPr>
        <w:t>described simply in the 70:20:10 approach. The 70:20:10 Learning Strategy</w:t>
      </w:r>
      <w:r w:rsidRPr="005E5D6E">
        <w:rPr>
          <w:rFonts w:eastAsia="Calibri"/>
          <w:vertAlign w:val="superscript"/>
        </w:rPr>
        <w:footnoteReference w:id="5"/>
      </w:r>
      <w:r w:rsidRPr="005E5D6E">
        <w:rPr>
          <w:rFonts w:eastAsia="Calibri"/>
        </w:rPr>
        <w:t xml:space="preserve">, which is applied by governments and institutions internationally, views learning and development as occurring through three basic types of activity: experience, exposure and education. </w:t>
      </w:r>
      <w:r w:rsidR="00DF159D">
        <w:rPr>
          <w:rFonts w:eastAsia="Calibri"/>
        </w:rPr>
        <w:t xml:space="preserve">See Figure </w:t>
      </w:r>
      <w:r w:rsidR="001607C5">
        <w:rPr>
          <w:rFonts w:eastAsia="Calibri"/>
        </w:rPr>
        <w:t>6</w:t>
      </w:r>
      <w:r w:rsidR="00DF159D">
        <w:rPr>
          <w:rFonts w:eastAsia="Calibri"/>
        </w:rPr>
        <w:t>.</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0"/>
      </w:tblGrid>
      <w:tr w:rsidR="005E5D6E" w:rsidRPr="005E5D6E" w14:paraId="28FD5CA5" w14:textId="77777777" w:rsidTr="001304F1">
        <w:trPr>
          <w:cantSplit/>
          <w:jc w:val="center"/>
        </w:trPr>
        <w:tc>
          <w:tcPr>
            <w:tcW w:w="9242" w:type="dxa"/>
          </w:tcPr>
          <w:p w14:paraId="2D6690D4" w14:textId="1F4C7CF1" w:rsidR="005E5D6E" w:rsidRPr="007C7339" w:rsidRDefault="005E5D6E" w:rsidP="005F4D6B">
            <w:pPr>
              <w:pStyle w:val="Tabletext"/>
              <w:jc w:val="left"/>
              <w:rPr>
                <w:b/>
              </w:rPr>
            </w:pPr>
            <w:r w:rsidRPr="007C7339">
              <w:rPr>
                <w:b/>
              </w:rPr>
              <w:t xml:space="preserve">Figure </w:t>
            </w:r>
            <w:r w:rsidRPr="007C7339">
              <w:rPr>
                <w:b/>
                <w:noProof/>
              </w:rPr>
              <w:fldChar w:fldCharType="begin"/>
            </w:r>
            <w:r w:rsidRPr="007C7339">
              <w:rPr>
                <w:b/>
                <w:noProof/>
              </w:rPr>
              <w:instrText xml:space="preserve"> SEQ Figure \* ARABIC </w:instrText>
            </w:r>
            <w:r w:rsidRPr="007C7339">
              <w:rPr>
                <w:b/>
                <w:noProof/>
              </w:rPr>
              <w:fldChar w:fldCharType="separate"/>
            </w:r>
            <w:r w:rsidR="001607C5">
              <w:rPr>
                <w:b/>
                <w:noProof/>
              </w:rPr>
              <w:t>6</w:t>
            </w:r>
            <w:r w:rsidRPr="007C7339">
              <w:rPr>
                <w:b/>
                <w:noProof/>
              </w:rPr>
              <w:fldChar w:fldCharType="end"/>
            </w:r>
            <w:r w:rsidR="007C7339">
              <w:rPr>
                <w:b/>
                <w:noProof/>
                <w:lang w:val="id-ID"/>
              </w:rPr>
              <w:t>.</w:t>
            </w:r>
            <w:r w:rsidRPr="007C7339">
              <w:rPr>
                <w:b/>
              </w:rPr>
              <w:t xml:space="preserve"> 70:20:10 adult learning approach</w:t>
            </w:r>
          </w:p>
          <w:p w14:paraId="52CEE87C" w14:textId="77777777" w:rsidR="005E5D6E" w:rsidRPr="005E5D6E" w:rsidRDefault="005E5D6E" w:rsidP="00BE60F3">
            <w:pPr>
              <w:spacing w:after="0" w:line="240" w:lineRule="auto"/>
              <w:rPr>
                <w:rFonts w:eastAsia="Calibri" w:cs="Arial"/>
                <w:b/>
                <w:sz w:val="22"/>
              </w:rPr>
            </w:pPr>
          </w:p>
          <w:p w14:paraId="66B9C439" w14:textId="77777777" w:rsidR="005E5D6E" w:rsidRPr="005E5D6E" w:rsidRDefault="005E5D6E" w:rsidP="002B6CB4">
            <w:pPr>
              <w:spacing w:after="0" w:line="240" w:lineRule="auto"/>
              <w:jc w:val="center"/>
              <w:rPr>
                <w:rFonts w:eastAsia="Calibri" w:cs="Arial"/>
                <w:sz w:val="22"/>
              </w:rPr>
            </w:pPr>
            <w:r w:rsidRPr="005E5D6E">
              <w:rPr>
                <w:rFonts w:eastAsia="Calibri" w:cs="Arial"/>
                <w:noProof/>
                <w:sz w:val="22"/>
                <w:lang w:eastAsia="en-AU"/>
              </w:rPr>
              <w:drawing>
                <wp:inline distT="0" distB="0" distL="0" distR="0" wp14:anchorId="5CB84466" wp14:editId="26FAA7CB">
                  <wp:extent cx="4056197" cy="26766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4056197" cy="2676650"/>
                          </a:xfrm>
                          <a:prstGeom prst="rect">
                            <a:avLst/>
                          </a:prstGeom>
                        </pic:spPr>
                      </pic:pic>
                    </a:graphicData>
                  </a:graphic>
                </wp:inline>
              </w:drawing>
            </w:r>
          </w:p>
          <w:p w14:paraId="7FA99D1D" w14:textId="77777777" w:rsidR="005E5D6E" w:rsidRPr="005E5D6E" w:rsidRDefault="005E5D6E" w:rsidP="00BE60F3">
            <w:pPr>
              <w:spacing w:after="0" w:line="240" w:lineRule="auto"/>
              <w:rPr>
                <w:rFonts w:eastAsia="Calibri" w:cs="Arial"/>
                <w:sz w:val="22"/>
              </w:rPr>
            </w:pPr>
          </w:p>
        </w:tc>
      </w:tr>
    </w:tbl>
    <w:p w14:paraId="68409292" w14:textId="3CD27305" w:rsidR="005E5D6E" w:rsidRDefault="005E5D6E" w:rsidP="001607C5">
      <w:pPr>
        <w:pStyle w:val="BodyText"/>
        <w:spacing w:before="240"/>
      </w:pPr>
      <w:r w:rsidRPr="005E5D6E">
        <w:t xml:space="preserve">Table </w:t>
      </w:r>
      <w:r w:rsidR="001607C5">
        <w:t>8</w:t>
      </w:r>
      <w:r w:rsidRPr="005E5D6E">
        <w:t xml:space="preserve"> highlights examples of some of the ways that Prospera contributes to each of these learning experiences. In crafting skills</w:t>
      </w:r>
      <w:r w:rsidR="00A4334D">
        <w:t>-</w:t>
      </w:r>
      <w:r w:rsidRPr="005E5D6E">
        <w:t xml:space="preserve">building activities for individuals, Prospera will consider the extent to which the activity design adopts experiential learning at the core with targeted training and other learning a </w:t>
      </w:r>
      <w:r w:rsidR="007C7339" w:rsidRPr="005E5D6E">
        <w:t>complementary stream of work</w:t>
      </w:r>
      <w:r w:rsidRPr="005E5D6E">
        <w:t xml:space="preserve">.  </w:t>
      </w:r>
    </w:p>
    <w:p w14:paraId="0A835730" w14:textId="0F94859C" w:rsidR="001C3086" w:rsidRDefault="001C3086" w:rsidP="00BE60F3">
      <w:pPr>
        <w:pStyle w:val="BodyText"/>
      </w:pPr>
    </w:p>
    <w:p w14:paraId="1043E866" w14:textId="03955230" w:rsidR="005E5D6E" w:rsidRPr="007C7339" w:rsidRDefault="005E5D6E" w:rsidP="00263C60">
      <w:pPr>
        <w:pStyle w:val="Tabletext"/>
        <w:jc w:val="left"/>
        <w:rPr>
          <w:b/>
        </w:rPr>
      </w:pPr>
      <w:r w:rsidRPr="007C7339">
        <w:rPr>
          <w:b/>
        </w:rPr>
        <w:t xml:space="preserve">Table </w:t>
      </w:r>
      <w:r w:rsidRPr="007C7339">
        <w:rPr>
          <w:b/>
          <w:noProof/>
        </w:rPr>
        <w:fldChar w:fldCharType="begin"/>
      </w:r>
      <w:r w:rsidRPr="007C7339">
        <w:rPr>
          <w:b/>
          <w:noProof/>
        </w:rPr>
        <w:instrText xml:space="preserve"> SEQ Table \* ARABIC </w:instrText>
      </w:r>
      <w:r w:rsidRPr="007C7339">
        <w:rPr>
          <w:b/>
          <w:noProof/>
        </w:rPr>
        <w:fldChar w:fldCharType="separate"/>
      </w:r>
      <w:r w:rsidR="001607C5">
        <w:rPr>
          <w:b/>
          <w:noProof/>
        </w:rPr>
        <w:t>8</w:t>
      </w:r>
      <w:r w:rsidRPr="007C7339">
        <w:rPr>
          <w:b/>
          <w:noProof/>
        </w:rPr>
        <w:fldChar w:fldCharType="end"/>
      </w:r>
      <w:r w:rsidR="007C7339">
        <w:rPr>
          <w:b/>
          <w:noProof/>
          <w:lang w:val="id-ID"/>
        </w:rPr>
        <w:t>.</w:t>
      </w:r>
      <w:r w:rsidRPr="007C7339">
        <w:rPr>
          <w:b/>
        </w:rPr>
        <w:t xml:space="preserve"> Learning approaches under Prospera</w:t>
      </w:r>
    </w:p>
    <w:tbl>
      <w:tblPr>
        <w:tblStyle w:val="TableGrid1"/>
        <w:tblW w:w="0" w:type="auto"/>
        <w:tblLook w:val="04A0" w:firstRow="1" w:lastRow="0" w:firstColumn="1" w:lastColumn="0" w:noHBand="0" w:noVBand="1"/>
      </w:tblPr>
      <w:tblGrid>
        <w:gridCol w:w="3575"/>
        <w:gridCol w:w="5465"/>
      </w:tblGrid>
      <w:tr w:rsidR="005E5D6E" w:rsidRPr="005E5D6E" w14:paraId="060F5C1C" w14:textId="77777777" w:rsidTr="001304F1">
        <w:trPr>
          <w:cantSplit/>
          <w:tblHeader/>
        </w:trPr>
        <w:tc>
          <w:tcPr>
            <w:tcW w:w="3652" w:type="dxa"/>
            <w:shd w:val="clear" w:color="auto" w:fill="20ABCA"/>
          </w:tcPr>
          <w:p w14:paraId="1837401D" w14:textId="77777777" w:rsidR="005E5D6E" w:rsidRPr="005E5D6E" w:rsidRDefault="005E5D6E" w:rsidP="00BE60F3">
            <w:pPr>
              <w:spacing w:before="120" w:after="120" w:line="240" w:lineRule="auto"/>
              <w:rPr>
                <w:rFonts w:eastAsia="Calibri" w:cs="Arial"/>
                <w:b/>
                <w:color w:val="FFFFFF"/>
                <w:sz w:val="20"/>
                <w:szCs w:val="20"/>
              </w:rPr>
            </w:pPr>
            <w:r w:rsidRPr="005E5D6E">
              <w:rPr>
                <w:rFonts w:eastAsia="Calibri" w:cs="Arial"/>
                <w:b/>
                <w:color w:val="FFFFFF"/>
                <w:sz w:val="20"/>
                <w:szCs w:val="20"/>
              </w:rPr>
              <w:t>70:20:10 Learning approaches</w:t>
            </w:r>
          </w:p>
        </w:tc>
        <w:tc>
          <w:tcPr>
            <w:tcW w:w="5590" w:type="dxa"/>
            <w:shd w:val="clear" w:color="auto" w:fill="20ABCA"/>
          </w:tcPr>
          <w:p w14:paraId="1AA34EB6" w14:textId="77777777" w:rsidR="005E5D6E" w:rsidRPr="005E5D6E" w:rsidRDefault="005E5D6E" w:rsidP="00BE60F3">
            <w:pPr>
              <w:spacing w:before="120" w:after="120" w:line="240" w:lineRule="auto"/>
              <w:rPr>
                <w:rFonts w:eastAsia="Calibri" w:cs="Arial"/>
                <w:b/>
                <w:color w:val="FFFFFF"/>
                <w:sz w:val="20"/>
                <w:szCs w:val="20"/>
              </w:rPr>
            </w:pPr>
            <w:r w:rsidRPr="005E5D6E">
              <w:rPr>
                <w:rFonts w:eastAsia="Calibri" w:cs="Arial"/>
                <w:b/>
                <w:color w:val="FFFFFF"/>
                <w:sz w:val="20"/>
                <w:szCs w:val="20"/>
              </w:rPr>
              <w:t>Prospera’s approach</w:t>
            </w:r>
          </w:p>
        </w:tc>
      </w:tr>
      <w:tr w:rsidR="005E5D6E" w:rsidRPr="005E5D6E" w14:paraId="787EA7E1" w14:textId="77777777" w:rsidTr="001304F1">
        <w:trPr>
          <w:cantSplit/>
        </w:trPr>
        <w:tc>
          <w:tcPr>
            <w:tcW w:w="3652" w:type="dxa"/>
            <w:shd w:val="clear" w:color="auto" w:fill="auto"/>
          </w:tcPr>
          <w:p w14:paraId="164D564C" w14:textId="77777777" w:rsidR="005E5D6E" w:rsidRPr="005E5D6E" w:rsidRDefault="005E5D6E" w:rsidP="00BE60F3">
            <w:pPr>
              <w:spacing w:before="120" w:after="120" w:line="240" w:lineRule="auto"/>
              <w:rPr>
                <w:rFonts w:eastAsia="Calibri" w:cs="Arial"/>
                <w:b/>
                <w:sz w:val="20"/>
                <w:szCs w:val="20"/>
              </w:rPr>
            </w:pPr>
            <w:r w:rsidRPr="005E5D6E">
              <w:rPr>
                <w:rFonts w:eastAsia="Calibri" w:cs="Arial"/>
                <w:b/>
                <w:sz w:val="20"/>
                <w:szCs w:val="20"/>
              </w:rPr>
              <w:t>70 | Experiential Learning – learning and development through day-to-day tasks, challenges and practices</w:t>
            </w:r>
          </w:p>
          <w:p w14:paraId="2FF456F6" w14:textId="77777777" w:rsidR="005E5D6E" w:rsidRPr="005E5D6E" w:rsidRDefault="005E5D6E" w:rsidP="00BE60F3">
            <w:pPr>
              <w:spacing w:before="120" w:after="120" w:line="240" w:lineRule="auto"/>
              <w:rPr>
                <w:rFonts w:eastAsia="Calibri" w:cs="Arial"/>
                <w:sz w:val="20"/>
                <w:szCs w:val="20"/>
              </w:rPr>
            </w:pPr>
            <w:r w:rsidRPr="005E5D6E">
              <w:rPr>
                <w:rFonts w:eastAsia="Calibri" w:cs="Arial"/>
                <w:sz w:val="20"/>
                <w:szCs w:val="20"/>
              </w:rPr>
              <w:t>Critical for the success of the learning approach, experiential learning will be provided through opportunities identified in the workplace, through new and challenging work and opportunities to practice in a supportive environment.</w:t>
            </w:r>
          </w:p>
        </w:tc>
        <w:tc>
          <w:tcPr>
            <w:tcW w:w="5590" w:type="dxa"/>
            <w:shd w:val="clear" w:color="auto" w:fill="auto"/>
          </w:tcPr>
          <w:p w14:paraId="4BB8DB6E" w14:textId="6A5CDC05" w:rsidR="005E5D6E" w:rsidRPr="005E5D6E" w:rsidRDefault="005E5D6E" w:rsidP="00BE60F3">
            <w:pPr>
              <w:numPr>
                <w:ilvl w:val="0"/>
                <w:numId w:val="24"/>
              </w:numPr>
              <w:spacing w:before="120" w:after="120" w:line="240" w:lineRule="auto"/>
              <w:rPr>
                <w:rFonts w:eastAsia="Calibri" w:cs="Arial"/>
                <w:sz w:val="20"/>
                <w:szCs w:val="20"/>
              </w:rPr>
            </w:pPr>
            <w:r w:rsidRPr="005E5D6E">
              <w:rPr>
                <w:rFonts w:eastAsia="Calibri" w:cs="Arial"/>
                <w:b/>
                <w:sz w:val="20"/>
                <w:szCs w:val="20"/>
              </w:rPr>
              <w:t>Long</w:t>
            </w:r>
            <w:r w:rsidR="00A4334D">
              <w:rPr>
                <w:rFonts w:eastAsia="Calibri" w:cs="Arial"/>
                <w:b/>
                <w:sz w:val="20"/>
                <w:szCs w:val="20"/>
              </w:rPr>
              <w:t>-</w:t>
            </w:r>
            <w:r w:rsidRPr="005E5D6E">
              <w:rPr>
                <w:rFonts w:eastAsia="Calibri" w:cs="Arial"/>
                <w:b/>
                <w:sz w:val="20"/>
                <w:szCs w:val="20"/>
              </w:rPr>
              <w:t>term advisers and Australian agency deployees</w:t>
            </w:r>
            <w:r w:rsidRPr="005E5D6E">
              <w:rPr>
                <w:rFonts w:eastAsia="Calibri" w:cs="Arial"/>
                <w:sz w:val="20"/>
                <w:szCs w:val="20"/>
              </w:rPr>
              <w:t xml:space="preserve"> working closely with Indonesian government </w:t>
            </w:r>
            <w:r w:rsidR="00263C60">
              <w:rPr>
                <w:rFonts w:eastAsia="Calibri" w:cs="Arial"/>
                <w:sz w:val="20"/>
                <w:szCs w:val="20"/>
              </w:rPr>
              <w:t>partners</w:t>
            </w:r>
            <w:r w:rsidRPr="005E5D6E">
              <w:rPr>
                <w:rFonts w:eastAsia="Calibri" w:cs="Arial"/>
                <w:sz w:val="20"/>
                <w:szCs w:val="20"/>
              </w:rPr>
              <w:t xml:space="preserve"> on real da</w:t>
            </w:r>
            <w:r w:rsidR="00A4334D">
              <w:rPr>
                <w:rFonts w:eastAsia="Calibri" w:cs="Arial"/>
                <w:sz w:val="20"/>
                <w:szCs w:val="20"/>
              </w:rPr>
              <w:t>y-</w:t>
            </w:r>
            <w:r w:rsidRPr="005E5D6E">
              <w:rPr>
                <w:rFonts w:eastAsia="Calibri" w:cs="Arial"/>
                <w:sz w:val="20"/>
                <w:szCs w:val="20"/>
              </w:rPr>
              <w:t>to</w:t>
            </w:r>
            <w:r w:rsidR="00A4334D">
              <w:rPr>
                <w:rFonts w:eastAsia="Calibri" w:cs="Arial"/>
                <w:sz w:val="20"/>
                <w:szCs w:val="20"/>
              </w:rPr>
              <w:t>-</w:t>
            </w:r>
            <w:r w:rsidRPr="005E5D6E">
              <w:rPr>
                <w:rFonts w:eastAsia="Calibri" w:cs="Arial"/>
                <w:sz w:val="20"/>
                <w:szCs w:val="20"/>
              </w:rPr>
              <w:t>day tasks, such as developing a policy. Advisers are available most of the time over an extended period of time.</w:t>
            </w:r>
          </w:p>
          <w:p w14:paraId="0DC6F06B" w14:textId="18F43E11" w:rsidR="005E5D6E" w:rsidRPr="005E5D6E" w:rsidRDefault="005E5D6E" w:rsidP="00BE60F3">
            <w:pPr>
              <w:numPr>
                <w:ilvl w:val="0"/>
                <w:numId w:val="24"/>
              </w:numPr>
              <w:spacing w:before="120" w:after="120" w:line="240" w:lineRule="auto"/>
              <w:rPr>
                <w:rFonts w:eastAsia="Calibri" w:cs="Arial"/>
                <w:b/>
                <w:sz w:val="20"/>
                <w:szCs w:val="20"/>
              </w:rPr>
            </w:pPr>
            <w:r w:rsidRPr="005E5D6E">
              <w:rPr>
                <w:rFonts w:eastAsia="Calibri" w:cs="Arial"/>
                <w:b/>
                <w:sz w:val="20"/>
                <w:szCs w:val="20"/>
              </w:rPr>
              <w:t>Short</w:t>
            </w:r>
            <w:r w:rsidR="00A4334D">
              <w:rPr>
                <w:rFonts w:eastAsia="Calibri" w:cs="Arial"/>
                <w:b/>
                <w:sz w:val="20"/>
                <w:szCs w:val="20"/>
              </w:rPr>
              <w:t>-</w:t>
            </w:r>
            <w:r w:rsidRPr="005E5D6E">
              <w:rPr>
                <w:rFonts w:eastAsia="Calibri" w:cs="Arial"/>
                <w:b/>
                <w:sz w:val="20"/>
                <w:szCs w:val="20"/>
              </w:rPr>
              <w:t>term advisers and Australian agency deployees with consistent inputs</w:t>
            </w:r>
            <w:r w:rsidRPr="005E5D6E">
              <w:rPr>
                <w:rFonts w:eastAsia="Calibri" w:cs="Arial"/>
                <w:sz w:val="20"/>
                <w:szCs w:val="20"/>
              </w:rPr>
              <w:t xml:space="preserve"> over an extended period of time, working on real day</w:t>
            </w:r>
            <w:r w:rsidR="00A4334D">
              <w:rPr>
                <w:rFonts w:eastAsia="Calibri" w:cs="Arial"/>
                <w:sz w:val="20"/>
                <w:szCs w:val="20"/>
              </w:rPr>
              <w:t>-</w:t>
            </w:r>
            <w:r w:rsidRPr="005E5D6E">
              <w:rPr>
                <w:rFonts w:eastAsia="Calibri" w:cs="Arial"/>
                <w:sz w:val="20"/>
                <w:szCs w:val="20"/>
              </w:rPr>
              <w:t>to</w:t>
            </w:r>
            <w:r w:rsidR="00A4334D">
              <w:rPr>
                <w:rFonts w:eastAsia="Calibri" w:cs="Arial"/>
                <w:sz w:val="20"/>
                <w:szCs w:val="20"/>
              </w:rPr>
              <w:t>-</w:t>
            </w:r>
            <w:r w:rsidRPr="005E5D6E">
              <w:rPr>
                <w:rFonts w:eastAsia="Calibri" w:cs="Arial"/>
                <w:sz w:val="20"/>
                <w:szCs w:val="20"/>
              </w:rPr>
              <w:t>day tasks, such as system implementation</w:t>
            </w:r>
            <w:r w:rsidR="007D1A32">
              <w:rPr>
                <w:rFonts w:eastAsia="Calibri" w:cs="Arial"/>
                <w:sz w:val="20"/>
                <w:szCs w:val="20"/>
                <w:lang w:val="id-ID"/>
              </w:rPr>
              <w:t>.</w:t>
            </w:r>
          </w:p>
          <w:p w14:paraId="2401EA1A" w14:textId="1771CD23" w:rsidR="005E5D6E" w:rsidRPr="005E5D6E" w:rsidRDefault="005E5D6E" w:rsidP="00BE60F3">
            <w:pPr>
              <w:numPr>
                <w:ilvl w:val="0"/>
                <w:numId w:val="24"/>
              </w:numPr>
              <w:spacing w:before="120" w:after="120" w:line="240" w:lineRule="auto"/>
              <w:rPr>
                <w:rFonts w:eastAsia="Calibri" w:cs="Arial"/>
                <w:b/>
                <w:sz w:val="20"/>
                <w:szCs w:val="20"/>
              </w:rPr>
            </w:pPr>
            <w:r w:rsidRPr="005E5D6E">
              <w:rPr>
                <w:rFonts w:eastAsia="Calibri" w:cs="Arial"/>
                <w:b/>
                <w:sz w:val="20"/>
                <w:szCs w:val="20"/>
              </w:rPr>
              <w:t>Twinning arrangements</w:t>
            </w:r>
            <w:r w:rsidRPr="005E5D6E">
              <w:rPr>
                <w:rFonts w:eastAsia="Calibri" w:cs="Arial"/>
                <w:sz w:val="20"/>
                <w:szCs w:val="20"/>
              </w:rPr>
              <w:t xml:space="preserve"> where Indonesian government </w:t>
            </w:r>
            <w:r w:rsidR="00263C60">
              <w:rPr>
                <w:rFonts w:eastAsia="Calibri" w:cs="Arial"/>
                <w:sz w:val="20"/>
                <w:szCs w:val="20"/>
              </w:rPr>
              <w:t>partners</w:t>
            </w:r>
            <w:r w:rsidRPr="005E5D6E">
              <w:rPr>
                <w:rFonts w:eastAsia="Calibri" w:cs="Arial"/>
                <w:sz w:val="20"/>
                <w:szCs w:val="20"/>
              </w:rPr>
              <w:t xml:space="preserve">, as individuals or small teams (2-3 people) visit Australian agencies for a </w:t>
            </w:r>
            <w:r w:rsidR="007C7339" w:rsidRPr="005E5D6E">
              <w:rPr>
                <w:rFonts w:eastAsia="Calibri" w:cs="Arial"/>
                <w:sz w:val="20"/>
                <w:szCs w:val="20"/>
              </w:rPr>
              <w:t>medium-term</w:t>
            </w:r>
            <w:r w:rsidRPr="005E5D6E">
              <w:rPr>
                <w:rFonts w:eastAsia="Calibri" w:cs="Arial"/>
                <w:sz w:val="20"/>
                <w:szCs w:val="20"/>
              </w:rPr>
              <w:t xml:space="preserve"> period</w:t>
            </w:r>
            <w:r w:rsidR="00A4334D">
              <w:rPr>
                <w:rFonts w:eastAsia="Calibri" w:cs="Arial"/>
                <w:sz w:val="20"/>
                <w:szCs w:val="20"/>
              </w:rPr>
              <w:t>,</w:t>
            </w:r>
            <w:r w:rsidRPr="005E5D6E">
              <w:rPr>
                <w:rFonts w:eastAsia="Calibri" w:cs="Arial"/>
                <w:sz w:val="20"/>
                <w:szCs w:val="20"/>
              </w:rPr>
              <w:t xml:space="preserve"> e.g. six months</w:t>
            </w:r>
            <w:r w:rsidR="00A4334D">
              <w:rPr>
                <w:rFonts w:eastAsia="Calibri" w:cs="Arial"/>
                <w:sz w:val="20"/>
                <w:szCs w:val="20"/>
              </w:rPr>
              <w:t>,</w:t>
            </w:r>
            <w:r w:rsidRPr="005E5D6E">
              <w:rPr>
                <w:rFonts w:eastAsia="Calibri" w:cs="Arial"/>
                <w:sz w:val="20"/>
                <w:szCs w:val="20"/>
              </w:rPr>
              <w:t xml:space="preserve"> to learn on the job doing real day</w:t>
            </w:r>
            <w:r w:rsidR="00A4334D">
              <w:rPr>
                <w:rFonts w:eastAsia="Calibri" w:cs="Arial"/>
                <w:sz w:val="20"/>
                <w:szCs w:val="20"/>
              </w:rPr>
              <w:t>-</w:t>
            </w:r>
            <w:r w:rsidRPr="005E5D6E">
              <w:rPr>
                <w:rFonts w:eastAsia="Calibri" w:cs="Arial"/>
                <w:sz w:val="20"/>
                <w:szCs w:val="20"/>
              </w:rPr>
              <w:t>to</w:t>
            </w:r>
            <w:r w:rsidR="00A4334D">
              <w:rPr>
                <w:rFonts w:eastAsia="Calibri" w:cs="Arial"/>
                <w:sz w:val="20"/>
                <w:szCs w:val="20"/>
              </w:rPr>
              <w:t>-</w:t>
            </w:r>
            <w:r w:rsidRPr="005E5D6E">
              <w:rPr>
                <w:rFonts w:eastAsia="Calibri" w:cs="Arial"/>
                <w:sz w:val="20"/>
                <w:szCs w:val="20"/>
              </w:rPr>
              <w:t xml:space="preserve">day tasks. </w:t>
            </w:r>
          </w:p>
        </w:tc>
      </w:tr>
      <w:tr w:rsidR="005E5D6E" w:rsidRPr="005E5D6E" w14:paraId="6A495E06" w14:textId="77777777" w:rsidTr="001304F1">
        <w:trPr>
          <w:cantSplit/>
        </w:trPr>
        <w:tc>
          <w:tcPr>
            <w:tcW w:w="3652" w:type="dxa"/>
            <w:shd w:val="clear" w:color="auto" w:fill="auto"/>
          </w:tcPr>
          <w:p w14:paraId="2DFB6B09" w14:textId="77777777" w:rsidR="005E5D6E" w:rsidRPr="005E5D6E" w:rsidRDefault="005E5D6E" w:rsidP="00BE60F3">
            <w:pPr>
              <w:spacing w:before="120" w:after="120" w:line="240" w:lineRule="auto"/>
              <w:rPr>
                <w:rFonts w:eastAsia="Calibri" w:cs="Arial"/>
                <w:b/>
                <w:sz w:val="20"/>
                <w:szCs w:val="20"/>
              </w:rPr>
            </w:pPr>
            <w:r w:rsidRPr="005E5D6E">
              <w:rPr>
                <w:rFonts w:eastAsia="Calibri" w:cs="Arial"/>
                <w:b/>
                <w:sz w:val="20"/>
                <w:szCs w:val="20"/>
              </w:rPr>
              <w:t>20 | Social Learning - learning and development with and through others</w:t>
            </w:r>
          </w:p>
          <w:p w14:paraId="2145FB55" w14:textId="05CD9AD4" w:rsidR="005E5D6E" w:rsidRPr="005E5D6E" w:rsidRDefault="005E5D6E" w:rsidP="00BE60F3">
            <w:pPr>
              <w:spacing w:before="120" w:after="120" w:line="240" w:lineRule="auto"/>
              <w:rPr>
                <w:rFonts w:eastAsia="Calibri" w:cs="Arial"/>
                <w:sz w:val="20"/>
                <w:szCs w:val="20"/>
              </w:rPr>
            </w:pPr>
            <w:r w:rsidRPr="005E5D6E">
              <w:rPr>
                <w:rFonts w:eastAsia="Calibri" w:cs="Arial"/>
                <w:sz w:val="20"/>
                <w:szCs w:val="20"/>
              </w:rPr>
              <w:t xml:space="preserve">Work is rarely performed alone, so social learning has an increasing role to play as a catalyst for effective development. Learning through others – coaches, mentors, colleagues and experts </w:t>
            </w:r>
            <w:r w:rsidR="00B30435" w:rsidRPr="005E5D6E">
              <w:rPr>
                <w:rFonts w:eastAsia="Calibri" w:cs="Arial"/>
                <w:sz w:val="20"/>
                <w:szCs w:val="20"/>
              </w:rPr>
              <w:t xml:space="preserve">– </w:t>
            </w:r>
            <w:r w:rsidRPr="005E5D6E">
              <w:rPr>
                <w:rFonts w:eastAsia="Calibri" w:cs="Arial"/>
                <w:sz w:val="20"/>
                <w:szCs w:val="20"/>
              </w:rPr>
              <w:t xml:space="preserve">is a fundamental part of the model. </w:t>
            </w:r>
          </w:p>
        </w:tc>
        <w:tc>
          <w:tcPr>
            <w:tcW w:w="5590" w:type="dxa"/>
            <w:shd w:val="clear" w:color="auto" w:fill="auto"/>
          </w:tcPr>
          <w:p w14:paraId="14C7B529" w14:textId="505AC4F8" w:rsidR="005E5D6E" w:rsidRPr="005E5D6E" w:rsidRDefault="005E5D6E" w:rsidP="00BE60F3">
            <w:pPr>
              <w:numPr>
                <w:ilvl w:val="0"/>
                <w:numId w:val="24"/>
              </w:numPr>
              <w:spacing w:before="120" w:after="120" w:line="240" w:lineRule="auto"/>
              <w:rPr>
                <w:rFonts w:eastAsia="Calibri" w:cs="Arial"/>
                <w:sz w:val="20"/>
                <w:szCs w:val="20"/>
              </w:rPr>
            </w:pPr>
            <w:r w:rsidRPr="005E5D6E">
              <w:rPr>
                <w:rFonts w:eastAsia="Calibri" w:cs="Arial"/>
                <w:b/>
                <w:sz w:val="20"/>
                <w:szCs w:val="20"/>
              </w:rPr>
              <w:t>Long</w:t>
            </w:r>
            <w:r w:rsidR="00A4334D">
              <w:rPr>
                <w:rFonts w:eastAsia="Calibri" w:cs="Arial"/>
                <w:b/>
                <w:sz w:val="20"/>
                <w:szCs w:val="20"/>
              </w:rPr>
              <w:t>-</w:t>
            </w:r>
            <w:r w:rsidRPr="005E5D6E">
              <w:rPr>
                <w:rFonts w:eastAsia="Calibri" w:cs="Arial"/>
                <w:b/>
                <w:sz w:val="20"/>
                <w:szCs w:val="20"/>
              </w:rPr>
              <w:t>term advisers and Australian agency deployees</w:t>
            </w:r>
            <w:r w:rsidRPr="005E5D6E">
              <w:rPr>
                <w:rFonts w:eastAsia="Calibri" w:cs="Arial"/>
                <w:sz w:val="20"/>
                <w:szCs w:val="20"/>
              </w:rPr>
              <w:t xml:space="preserve"> working closely with Indonesian government </w:t>
            </w:r>
            <w:r w:rsidR="00263C60">
              <w:rPr>
                <w:rFonts w:eastAsia="Calibri" w:cs="Arial"/>
                <w:sz w:val="20"/>
                <w:szCs w:val="20"/>
              </w:rPr>
              <w:t>partners</w:t>
            </w:r>
            <w:r w:rsidRPr="005E5D6E">
              <w:rPr>
                <w:rFonts w:eastAsia="Calibri" w:cs="Arial"/>
                <w:sz w:val="20"/>
                <w:szCs w:val="20"/>
              </w:rPr>
              <w:t>, supporting them to operate collaboratively as a routine way of working.</w:t>
            </w:r>
          </w:p>
          <w:p w14:paraId="4C7DB219" w14:textId="351FF2EC" w:rsidR="005E5D6E" w:rsidRPr="005E5D6E" w:rsidRDefault="005E5D6E" w:rsidP="00BE60F3">
            <w:pPr>
              <w:numPr>
                <w:ilvl w:val="0"/>
                <w:numId w:val="24"/>
              </w:numPr>
              <w:spacing w:before="120" w:after="120" w:line="240" w:lineRule="auto"/>
              <w:rPr>
                <w:rFonts w:eastAsia="Calibri" w:cs="Arial"/>
                <w:sz w:val="20"/>
                <w:szCs w:val="20"/>
              </w:rPr>
            </w:pPr>
            <w:r w:rsidRPr="005E5D6E">
              <w:rPr>
                <w:rFonts w:eastAsia="Calibri" w:cs="Arial"/>
                <w:b/>
                <w:sz w:val="20"/>
                <w:szCs w:val="20"/>
              </w:rPr>
              <w:t>Short</w:t>
            </w:r>
            <w:r w:rsidR="00A4334D">
              <w:rPr>
                <w:rFonts w:eastAsia="Calibri" w:cs="Arial"/>
                <w:b/>
                <w:sz w:val="20"/>
                <w:szCs w:val="20"/>
              </w:rPr>
              <w:t>-</w:t>
            </w:r>
            <w:r w:rsidRPr="005E5D6E">
              <w:rPr>
                <w:rFonts w:eastAsia="Calibri" w:cs="Arial"/>
                <w:b/>
                <w:sz w:val="20"/>
                <w:szCs w:val="20"/>
              </w:rPr>
              <w:t>term advisers and Australian agency deployees with consistent inputs</w:t>
            </w:r>
            <w:r w:rsidRPr="005E5D6E">
              <w:rPr>
                <w:rFonts w:eastAsia="Calibri" w:cs="Arial"/>
                <w:sz w:val="20"/>
                <w:szCs w:val="20"/>
              </w:rPr>
              <w:t xml:space="preserve"> over an extended period of time supporting them to operate collaboratively as a routine way of working.</w:t>
            </w:r>
          </w:p>
          <w:p w14:paraId="0D263882" w14:textId="096682FB" w:rsidR="005E5D6E" w:rsidRPr="005E5D6E" w:rsidRDefault="005E5D6E" w:rsidP="00BE60F3">
            <w:pPr>
              <w:numPr>
                <w:ilvl w:val="0"/>
                <w:numId w:val="24"/>
              </w:numPr>
              <w:spacing w:before="120" w:after="120" w:line="240" w:lineRule="auto"/>
              <w:rPr>
                <w:rFonts w:eastAsia="Calibri" w:cs="Arial"/>
                <w:sz w:val="20"/>
                <w:szCs w:val="20"/>
              </w:rPr>
            </w:pPr>
            <w:r w:rsidRPr="005E5D6E">
              <w:rPr>
                <w:rFonts w:eastAsia="Calibri" w:cs="Arial"/>
                <w:b/>
                <w:sz w:val="20"/>
                <w:szCs w:val="20"/>
              </w:rPr>
              <w:t>Fly in</w:t>
            </w:r>
            <w:r w:rsidR="00A4334D">
              <w:rPr>
                <w:rFonts w:eastAsia="Calibri" w:cs="Arial"/>
                <w:b/>
                <w:sz w:val="20"/>
                <w:szCs w:val="20"/>
              </w:rPr>
              <w:t>,</w:t>
            </w:r>
            <w:r w:rsidRPr="005E5D6E">
              <w:rPr>
                <w:rFonts w:eastAsia="Calibri" w:cs="Arial"/>
                <w:b/>
                <w:sz w:val="20"/>
                <w:szCs w:val="20"/>
              </w:rPr>
              <w:t xml:space="preserve"> fly out Australian officials</w:t>
            </w:r>
            <w:r w:rsidRPr="005E5D6E">
              <w:rPr>
                <w:rFonts w:eastAsia="Calibri" w:cs="Arial"/>
                <w:sz w:val="20"/>
                <w:szCs w:val="20"/>
              </w:rPr>
              <w:t xml:space="preserve"> who are consistent over time.</w:t>
            </w:r>
          </w:p>
          <w:p w14:paraId="0E529B63" w14:textId="03B8BACD" w:rsidR="005E5D6E" w:rsidRPr="005E5D6E" w:rsidRDefault="005E5D6E" w:rsidP="00BE60F3">
            <w:pPr>
              <w:numPr>
                <w:ilvl w:val="0"/>
                <w:numId w:val="24"/>
              </w:numPr>
              <w:spacing w:before="120" w:after="120" w:line="240" w:lineRule="auto"/>
              <w:rPr>
                <w:rFonts w:eastAsia="Calibri" w:cs="Arial"/>
                <w:sz w:val="20"/>
                <w:szCs w:val="20"/>
              </w:rPr>
            </w:pPr>
            <w:r w:rsidRPr="005E5D6E">
              <w:rPr>
                <w:rFonts w:eastAsia="Calibri" w:cs="Arial"/>
                <w:b/>
                <w:sz w:val="20"/>
                <w:szCs w:val="20"/>
              </w:rPr>
              <w:t>Twinning arrangements</w:t>
            </w:r>
            <w:r w:rsidRPr="005E5D6E">
              <w:rPr>
                <w:rFonts w:eastAsia="Calibri" w:cs="Arial"/>
                <w:sz w:val="20"/>
                <w:szCs w:val="20"/>
              </w:rPr>
              <w:t xml:space="preserve"> where Indonesian government </w:t>
            </w:r>
            <w:r w:rsidR="00263C60">
              <w:rPr>
                <w:rFonts w:eastAsia="Calibri" w:cs="Arial"/>
                <w:sz w:val="20"/>
                <w:szCs w:val="20"/>
              </w:rPr>
              <w:t>partners</w:t>
            </w:r>
            <w:r w:rsidRPr="005E5D6E">
              <w:rPr>
                <w:rFonts w:eastAsia="Calibri" w:cs="Arial"/>
                <w:sz w:val="20"/>
                <w:szCs w:val="20"/>
              </w:rPr>
              <w:t>, as individuals or small teams or tactically selected work groups</w:t>
            </w:r>
            <w:r w:rsidR="00A4334D">
              <w:rPr>
                <w:rFonts w:eastAsia="Calibri" w:cs="Arial"/>
                <w:sz w:val="20"/>
                <w:szCs w:val="20"/>
              </w:rPr>
              <w:t>,</w:t>
            </w:r>
            <w:r w:rsidRPr="005E5D6E">
              <w:rPr>
                <w:rFonts w:eastAsia="Calibri" w:cs="Arial"/>
                <w:sz w:val="20"/>
                <w:szCs w:val="20"/>
              </w:rPr>
              <w:t xml:space="preserve"> visit Australian agencies for short term</w:t>
            </w:r>
            <w:r w:rsidR="00A4334D">
              <w:rPr>
                <w:rFonts w:eastAsia="Calibri" w:cs="Arial"/>
                <w:sz w:val="20"/>
                <w:szCs w:val="20"/>
              </w:rPr>
              <w:t>,</w:t>
            </w:r>
            <w:r w:rsidRPr="005E5D6E">
              <w:rPr>
                <w:rFonts w:eastAsia="Calibri" w:cs="Arial"/>
                <w:sz w:val="20"/>
                <w:szCs w:val="20"/>
              </w:rPr>
              <w:t xml:space="preserve"> e.g. one – two weeks, to observe and be exposed to Australian systems. </w:t>
            </w:r>
          </w:p>
          <w:p w14:paraId="121FD55F" w14:textId="0F0C7498" w:rsidR="005E5D6E" w:rsidRPr="005E5D6E" w:rsidRDefault="005E5D6E" w:rsidP="00BE60F3">
            <w:pPr>
              <w:numPr>
                <w:ilvl w:val="0"/>
                <w:numId w:val="24"/>
              </w:numPr>
              <w:spacing w:before="120" w:after="120" w:line="240" w:lineRule="auto"/>
              <w:rPr>
                <w:rFonts w:eastAsia="Calibri" w:cs="Arial"/>
                <w:sz w:val="20"/>
                <w:szCs w:val="20"/>
              </w:rPr>
            </w:pPr>
            <w:r w:rsidRPr="005E5D6E">
              <w:rPr>
                <w:rFonts w:eastAsia="Calibri" w:cs="Arial"/>
                <w:b/>
                <w:sz w:val="20"/>
                <w:szCs w:val="20"/>
              </w:rPr>
              <w:t>Communities of practice and brown</w:t>
            </w:r>
            <w:r w:rsidR="00A4334D">
              <w:rPr>
                <w:rFonts w:eastAsia="Calibri" w:cs="Arial"/>
                <w:b/>
                <w:sz w:val="20"/>
                <w:szCs w:val="20"/>
              </w:rPr>
              <w:t>-</w:t>
            </w:r>
            <w:r w:rsidRPr="005E5D6E">
              <w:rPr>
                <w:rFonts w:eastAsia="Calibri" w:cs="Arial"/>
                <w:b/>
                <w:sz w:val="20"/>
                <w:szCs w:val="20"/>
              </w:rPr>
              <w:t>bag lunches:</w:t>
            </w:r>
            <w:r w:rsidRPr="005E5D6E">
              <w:rPr>
                <w:rFonts w:eastAsia="Calibri" w:cs="Arial"/>
                <w:sz w:val="20"/>
                <w:szCs w:val="20"/>
              </w:rPr>
              <w:t xml:space="preserve"> Prospera could welcome participation of Indonesian government officials in communities of practice, such as monitoring &amp; evaluation, gender equality &amp; social inclusion, and regular lunchtime seminars. </w:t>
            </w:r>
          </w:p>
        </w:tc>
      </w:tr>
      <w:tr w:rsidR="005E5D6E" w:rsidRPr="005E5D6E" w14:paraId="76551BD3" w14:textId="77777777" w:rsidTr="001304F1">
        <w:trPr>
          <w:cantSplit/>
        </w:trPr>
        <w:tc>
          <w:tcPr>
            <w:tcW w:w="3652" w:type="dxa"/>
            <w:shd w:val="clear" w:color="auto" w:fill="auto"/>
          </w:tcPr>
          <w:p w14:paraId="1BA8F515" w14:textId="77777777" w:rsidR="005E5D6E" w:rsidRPr="005E5D6E" w:rsidRDefault="005E5D6E" w:rsidP="00BE60F3">
            <w:pPr>
              <w:spacing w:before="120" w:after="120" w:line="240" w:lineRule="auto"/>
              <w:rPr>
                <w:rFonts w:eastAsia="Calibri" w:cs="Arial"/>
                <w:b/>
                <w:sz w:val="20"/>
                <w:szCs w:val="20"/>
              </w:rPr>
            </w:pPr>
            <w:r w:rsidRPr="005E5D6E">
              <w:rPr>
                <w:rFonts w:eastAsia="Calibri" w:cs="Arial"/>
                <w:b/>
                <w:sz w:val="20"/>
                <w:szCs w:val="20"/>
              </w:rPr>
              <w:t>10 | Formal learning – learning and developing through structured modules, courses and programs</w:t>
            </w:r>
          </w:p>
          <w:p w14:paraId="3BCEE57F" w14:textId="77777777" w:rsidR="005E5D6E" w:rsidRPr="005E5D6E" w:rsidRDefault="005E5D6E" w:rsidP="00BE60F3">
            <w:pPr>
              <w:spacing w:before="120" w:after="120" w:line="240" w:lineRule="auto"/>
              <w:rPr>
                <w:rFonts w:eastAsia="Calibri" w:cs="Arial"/>
                <w:sz w:val="20"/>
                <w:szCs w:val="20"/>
              </w:rPr>
            </w:pPr>
            <w:r w:rsidRPr="005E5D6E">
              <w:rPr>
                <w:rFonts w:eastAsia="Calibri" w:cs="Arial"/>
                <w:sz w:val="20"/>
                <w:szCs w:val="20"/>
              </w:rPr>
              <w:t xml:space="preserve">Effective and efficient structured courses and programs are critical to support the development of high-level concepts that are needed and relevant. </w:t>
            </w:r>
          </w:p>
        </w:tc>
        <w:tc>
          <w:tcPr>
            <w:tcW w:w="5590" w:type="dxa"/>
            <w:shd w:val="clear" w:color="auto" w:fill="auto"/>
          </w:tcPr>
          <w:p w14:paraId="0B46FBD4" w14:textId="0A630688" w:rsidR="005E5D6E" w:rsidRPr="005E5D6E" w:rsidRDefault="005E5D6E" w:rsidP="00BE60F3">
            <w:pPr>
              <w:numPr>
                <w:ilvl w:val="0"/>
                <w:numId w:val="24"/>
              </w:numPr>
              <w:spacing w:before="120" w:after="120" w:line="240" w:lineRule="auto"/>
              <w:rPr>
                <w:rFonts w:eastAsia="Calibri" w:cs="Arial"/>
                <w:sz w:val="20"/>
                <w:szCs w:val="20"/>
              </w:rPr>
            </w:pPr>
            <w:r w:rsidRPr="005E5D6E">
              <w:rPr>
                <w:rFonts w:eastAsia="Calibri" w:cs="Arial"/>
                <w:b/>
                <w:sz w:val="20"/>
                <w:szCs w:val="20"/>
              </w:rPr>
              <w:t xml:space="preserve">Australian agency deployees and </w:t>
            </w:r>
            <w:r w:rsidR="007C7339" w:rsidRPr="005E5D6E">
              <w:rPr>
                <w:rFonts w:eastAsia="Calibri" w:cs="Arial"/>
                <w:b/>
                <w:sz w:val="20"/>
                <w:szCs w:val="20"/>
              </w:rPr>
              <w:t>long- and short-term</w:t>
            </w:r>
            <w:r w:rsidRPr="005E5D6E">
              <w:rPr>
                <w:rFonts w:eastAsia="Calibri" w:cs="Arial"/>
                <w:b/>
                <w:sz w:val="20"/>
                <w:szCs w:val="20"/>
              </w:rPr>
              <w:t xml:space="preserve"> advisers</w:t>
            </w:r>
            <w:r w:rsidRPr="005E5D6E">
              <w:rPr>
                <w:rFonts w:eastAsia="Calibri" w:cs="Arial"/>
                <w:sz w:val="20"/>
                <w:szCs w:val="20"/>
              </w:rPr>
              <w:t xml:space="preserve"> deliver structured training for specific skills, knowledge sets and systems. </w:t>
            </w:r>
          </w:p>
          <w:p w14:paraId="3D379A74" w14:textId="77777777" w:rsidR="005E5D6E" w:rsidRPr="001329B1" w:rsidRDefault="005E5D6E" w:rsidP="00BE60F3">
            <w:pPr>
              <w:pStyle w:val="ListParagraph"/>
              <w:numPr>
                <w:ilvl w:val="0"/>
                <w:numId w:val="24"/>
              </w:numPr>
              <w:spacing w:before="120" w:after="120" w:line="240" w:lineRule="auto"/>
              <w:rPr>
                <w:rFonts w:eastAsia="Calibri" w:cs="Arial"/>
                <w:sz w:val="20"/>
                <w:szCs w:val="20"/>
              </w:rPr>
            </w:pPr>
            <w:r w:rsidRPr="001329B1">
              <w:rPr>
                <w:rFonts w:eastAsia="Calibri" w:cs="Arial"/>
                <w:sz w:val="20"/>
                <w:szCs w:val="20"/>
              </w:rPr>
              <w:t>These can range from single topic learning experiences to extended learning experiences delivered over a number of modules, such as Diploma of Government or Leadership Development.</w:t>
            </w:r>
          </w:p>
          <w:p w14:paraId="192D34F3" w14:textId="3252F120" w:rsidR="005E5D6E" w:rsidRPr="005E5D6E" w:rsidRDefault="005E5D6E" w:rsidP="00BE60F3">
            <w:pPr>
              <w:numPr>
                <w:ilvl w:val="0"/>
                <w:numId w:val="24"/>
              </w:numPr>
              <w:spacing w:before="120" w:after="120" w:line="240" w:lineRule="auto"/>
              <w:rPr>
                <w:rFonts w:eastAsia="Calibri" w:cs="Arial"/>
                <w:sz w:val="20"/>
                <w:szCs w:val="20"/>
              </w:rPr>
            </w:pPr>
            <w:r w:rsidRPr="005E5D6E">
              <w:rPr>
                <w:rFonts w:eastAsia="Calibri" w:cs="Arial"/>
                <w:b/>
                <w:sz w:val="20"/>
                <w:szCs w:val="20"/>
              </w:rPr>
              <w:t>Postgraduate study</w:t>
            </w:r>
            <w:r w:rsidRPr="005E5D6E">
              <w:rPr>
                <w:rFonts w:eastAsia="Calibri" w:cs="Arial"/>
                <w:sz w:val="20"/>
                <w:szCs w:val="20"/>
              </w:rPr>
              <w:t xml:space="preserve"> where Indonesian government employees are funded to undertake studies in Australia. </w:t>
            </w:r>
            <w:r w:rsidR="00071B18">
              <w:rPr>
                <w:rFonts w:eastAsia="Calibri" w:cs="Arial"/>
                <w:sz w:val="20"/>
                <w:szCs w:val="20"/>
              </w:rPr>
              <w:t xml:space="preserve">Often </w:t>
            </w:r>
            <w:r w:rsidRPr="005E5D6E">
              <w:rPr>
                <w:rFonts w:eastAsia="Calibri" w:cs="Arial"/>
                <w:sz w:val="20"/>
                <w:szCs w:val="20"/>
              </w:rPr>
              <w:t>this is aligned with the Australia Awards program.</w:t>
            </w:r>
          </w:p>
        </w:tc>
      </w:tr>
    </w:tbl>
    <w:p w14:paraId="3A196DC8" w14:textId="0CC68E0D" w:rsidR="005E5D6E" w:rsidRPr="001C3086" w:rsidRDefault="00810444" w:rsidP="00BE60F3">
      <w:pPr>
        <w:pStyle w:val="Heading3"/>
        <w:numPr>
          <w:ilvl w:val="0"/>
          <w:numId w:val="0"/>
        </w:numPr>
        <w:ind w:left="851" w:hanging="851"/>
        <w:rPr>
          <w:sz w:val="22"/>
          <w:szCs w:val="22"/>
        </w:rPr>
      </w:pPr>
      <w:r>
        <w:rPr>
          <w:sz w:val="22"/>
          <w:szCs w:val="22"/>
        </w:rPr>
        <w:t>Capability development - m</w:t>
      </w:r>
      <w:r w:rsidR="005E5D6E" w:rsidRPr="001C3086">
        <w:rPr>
          <w:sz w:val="22"/>
          <w:szCs w:val="22"/>
        </w:rPr>
        <w:t>easurement approach</w:t>
      </w:r>
    </w:p>
    <w:p w14:paraId="7C955C82" w14:textId="38D2C339" w:rsidR="005E5D6E" w:rsidRPr="005E5D6E" w:rsidRDefault="005E5D6E" w:rsidP="00BE60F3">
      <w:pPr>
        <w:pStyle w:val="BodyText"/>
      </w:pPr>
      <w:r w:rsidRPr="005E5D6E">
        <w:t xml:space="preserve">Prospera will measure capability development of individuals and work units in the context of their institutional roles and responsibilities as outlined in Table </w:t>
      </w:r>
      <w:r w:rsidR="001607C5">
        <w:t>9</w:t>
      </w:r>
      <w:r w:rsidRPr="005E5D6E">
        <w:t xml:space="preserve">. Prospera will not measure everywhere we are working, rather will focus our measurement </w:t>
      </w:r>
      <w:r w:rsidR="00A4334D">
        <w:t>on</w:t>
      </w:r>
      <w:r w:rsidRPr="005E5D6E">
        <w:t xml:space="preserve"> those areas where we have a </w:t>
      </w:r>
      <w:r w:rsidR="00A0487B">
        <w:t xml:space="preserve">more </w:t>
      </w:r>
      <w:r w:rsidRPr="005E5D6E">
        <w:t xml:space="preserve">significant focus of effort. </w:t>
      </w:r>
    </w:p>
    <w:p w14:paraId="0739E24E" w14:textId="77777777" w:rsidR="00810444" w:rsidRDefault="00810444">
      <w:pPr>
        <w:spacing w:after="0" w:line="240" w:lineRule="auto"/>
        <w:rPr>
          <w:rFonts w:cs="Arial"/>
          <w:b/>
          <w:sz w:val="18"/>
        </w:rPr>
      </w:pPr>
      <w:r>
        <w:rPr>
          <w:b/>
        </w:rPr>
        <w:br w:type="page"/>
      </w:r>
    </w:p>
    <w:p w14:paraId="090AD2AD" w14:textId="73F56E60" w:rsidR="005E5D6E" w:rsidRPr="00030AD9" w:rsidRDefault="005E5D6E" w:rsidP="00263C60">
      <w:pPr>
        <w:pStyle w:val="Tabletext"/>
        <w:jc w:val="left"/>
        <w:rPr>
          <w:b/>
        </w:rPr>
      </w:pPr>
      <w:r w:rsidRPr="00030AD9">
        <w:rPr>
          <w:b/>
        </w:rPr>
        <w:t xml:space="preserve">Table </w:t>
      </w:r>
      <w:r w:rsidRPr="00030AD9">
        <w:rPr>
          <w:b/>
          <w:noProof/>
        </w:rPr>
        <w:fldChar w:fldCharType="begin"/>
      </w:r>
      <w:r w:rsidRPr="00030AD9">
        <w:rPr>
          <w:b/>
          <w:noProof/>
        </w:rPr>
        <w:instrText xml:space="preserve"> SEQ Table \* ARABIC </w:instrText>
      </w:r>
      <w:r w:rsidRPr="00030AD9">
        <w:rPr>
          <w:b/>
          <w:noProof/>
        </w:rPr>
        <w:fldChar w:fldCharType="separate"/>
      </w:r>
      <w:r w:rsidR="00326160">
        <w:rPr>
          <w:b/>
          <w:noProof/>
        </w:rPr>
        <w:t>9</w:t>
      </w:r>
      <w:r w:rsidRPr="00030AD9">
        <w:rPr>
          <w:b/>
          <w:noProof/>
        </w:rPr>
        <w:fldChar w:fldCharType="end"/>
      </w:r>
      <w:r w:rsidR="00030AD9">
        <w:rPr>
          <w:b/>
          <w:noProof/>
          <w:lang w:val="id-ID"/>
        </w:rPr>
        <w:t>.</w:t>
      </w:r>
      <w:r w:rsidRPr="00030AD9">
        <w:rPr>
          <w:b/>
        </w:rPr>
        <w:t xml:space="preserve"> Individual and work unit capability measurement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3194"/>
      </w:tblGrid>
      <w:tr w:rsidR="005E5D6E" w:rsidRPr="005E5D6E" w14:paraId="34ADD883" w14:textId="77777777" w:rsidTr="00810444">
        <w:trPr>
          <w:cantSplit/>
        </w:trPr>
        <w:tc>
          <w:tcPr>
            <w:tcW w:w="5845" w:type="dxa"/>
            <w:tcBorders>
              <w:top w:val="single" w:sz="4" w:space="0" w:color="auto"/>
              <w:left w:val="single" w:sz="4" w:space="0" w:color="auto"/>
              <w:bottom w:val="single" w:sz="4" w:space="0" w:color="auto"/>
              <w:right w:val="single" w:sz="4" w:space="0" w:color="auto"/>
            </w:tcBorders>
            <w:shd w:val="clear" w:color="auto" w:fill="20ABCA"/>
          </w:tcPr>
          <w:p w14:paraId="2A206603" w14:textId="77777777" w:rsidR="00030AD9" w:rsidRDefault="005E5D6E" w:rsidP="00BE60F3">
            <w:pPr>
              <w:spacing w:before="120" w:after="120" w:line="240" w:lineRule="auto"/>
              <w:contextualSpacing/>
              <w:rPr>
                <w:rFonts w:eastAsia="Calibri" w:cs="Arial"/>
                <w:b/>
                <w:color w:val="FFFFFF"/>
                <w:sz w:val="20"/>
                <w:szCs w:val="20"/>
                <w:lang w:val="id-ID"/>
              </w:rPr>
            </w:pPr>
            <w:r w:rsidRPr="005E5D6E">
              <w:rPr>
                <w:rFonts w:eastAsia="Calibri" w:cs="Arial"/>
                <w:b/>
                <w:color w:val="FFFFFF"/>
                <w:sz w:val="20"/>
                <w:szCs w:val="20"/>
              </w:rPr>
              <w:t>Individual and work unit capability</w:t>
            </w:r>
            <w:r w:rsidR="00030AD9">
              <w:rPr>
                <w:rFonts w:eastAsia="Calibri" w:cs="Arial"/>
                <w:b/>
                <w:color w:val="FFFFFF"/>
                <w:sz w:val="20"/>
                <w:szCs w:val="20"/>
                <w:lang w:val="id-ID"/>
              </w:rPr>
              <w:t xml:space="preserve"> </w:t>
            </w:r>
          </w:p>
          <w:p w14:paraId="70AD7FDC" w14:textId="77777777" w:rsidR="00030AD9" w:rsidRDefault="005E5D6E" w:rsidP="00BE60F3">
            <w:pPr>
              <w:spacing w:before="120" w:after="120" w:line="240" w:lineRule="auto"/>
              <w:contextualSpacing/>
              <w:rPr>
                <w:rFonts w:eastAsia="Calibri" w:cs="Arial"/>
                <w:b/>
                <w:color w:val="FFFFFF"/>
                <w:sz w:val="20"/>
                <w:szCs w:val="20"/>
              </w:rPr>
            </w:pPr>
            <w:r w:rsidRPr="005E5D6E">
              <w:rPr>
                <w:rFonts w:eastAsia="Calibri" w:cs="Arial"/>
                <w:b/>
                <w:color w:val="FFFFFF"/>
                <w:sz w:val="20"/>
                <w:szCs w:val="20"/>
              </w:rPr>
              <w:t>outcomes and description</w:t>
            </w:r>
          </w:p>
          <w:p w14:paraId="7B27A444" w14:textId="0A761FC5" w:rsidR="005E5D6E" w:rsidRPr="00030AD9" w:rsidRDefault="005E5D6E" w:rsidP="00BE60F3">
            <w:pPr>
              <w:spacing w:before="120" w:after="120" w:line="240" w:lineRule="auto"/>
              <w:contextualSpacing/>
              <w:rPr>
                <w:rFonts w:eastAsia="Calibri" w:cs="Arial"/>
                <w:b/>
                <w:color w:val="FFFFFF"/>
                <w:sz w:val="20"/>
                <w:szCs w:val="20"/>
                <w:lang w:val="id-ID"/>
              </w:rPr>
            </w:pPr>
            <w:r w:rsidRPr="005E5D6E">
              <w:rPr>
                <w:rFonts w:eastAsia="Calibri" w:cs="Arial"/>
                <w:b/>
                <w:color w:val="FFFFFF"/>
                <w:sz w:val="20"/>
                <w:szCs w:val="20"/>
              </w:rPr>
              <w:t xml:space="preserve"> </w:t>
            </w:r>
          </w:p>
        </w:tc>
        <w:tc>
          <w:tcPr>
            <w:tcW w:w="3194" w:type="dxa"/>
            <w:tcBorders>
              <w:top w:val="single" w:sz="4" w:space="0" w:color="auto"/>
              <w:left w:val="single" w:sz="4" w:space="0" w:color="auto"/>
              <w:bottom w:val="single" w:sz="4" w:space="0" w:color="auto"/>
              <w:right w:val="single" w:sz="4" w:space="0" w:color="auto"/>
            </w:tcBorders>
            <w:shd w:val="clear" w:color="auto" w:fill="20ABCA"/>
          </w:tcPr>
          <w:p w14:paraId="03BB2E6B" w14:textId="77777777" w:rsidR="00030AD9" w:rsidRDefault="00030AD9" w:rsidP="00BE60F3">
            <w:pPr>
              <w:spacing w:before="120" w:after="120" w:line="240" w:lineRule="auto"/>
              <w:contextualSpacing/>
              <w:rPr>
                <w:rFonts w:eastAsia="Calibri" w:cs="Arial"/>
                <w:b/>
                <w:color w:val="FFFFFF"/>
                <w:sz w:val="20"/>
                <w:szCs w:val="20"/>
              </w:rPr>
            </w:pPr>
          </w:p>
          <w:p w14:paraId="3AD5BC84" w14:textId="738D030E" w:rsidR="005E5D6E" w:rsidRPr="005E5D6E" w:rsidRDefault="005E5D6E" w:rsidP="00BE60F3">
            <w:pPr>
              <w:spacing w:before="120" w:after="120" w:line="240" w:lineRule="auto"/>
              <w:contextualSpacing/>
              <w:rPr>
                <w:rFonts w:eastAsia="Calibri" w:cs="Arial"/>
                <w:b/>
                <w:color w:val="FFFFFF"/>
                <w:sz w:val="20"/>
                <w:szCs w:val="20"/>
              </w:rPr>
            </w:pPr>
            <w:r w:rsidRPr="005E5D6E">
              <w:rPr>
                <w:rFonts w:eastAsia="Calibri" w:cs="Arial"/>
                <w:b/>
                <w:color w:val="FFFFFF"/>
                <w:sz w:val="20"/>
                <w:szCs w:val="20"/>
              </w:rPr>
              <w:t>Potential measurement approaches</w:t>
            </w:r>
          </w:p>
        </w:tc>
      </w:tr>
      <w:tr w:rsidR="005E5D6E" w:rsidRPr="005E5D6E" w14:paraId="4806C67A" w14:textId="77777777" w:rsidTr="00810444">
        <w:trPr>
          <w:cantSplit/>
        </w:trPr>
        <w:tc>
          <w:tcPr>
            <w:tcW w:w="5845" w:type="dxa"/>
            <w:tcBorders>
              <w:top w:val="single" w:sz="4" w:space="0" w:color="auto"/>
              <w:left w:val="single" w:sz="4" w:space="0" w:color="auto"/>
              <w:bottom w:val="single" w:sz="4" w:space="0" w:color="auto"/>
              <w:right w:val="single" w:sz="4" w:space="0" w:color="auto"/>
            </w:tcBorders>
          </w:tcPr>
          <w:p w14:paraId="0C57FB26" w14:textId="77777777" w:rsidR="005E5D6E" w:rsidRPr="005E5D6E" w:rsidRDefault="005E5D6E" w:rsidP="00BE60F3">
            <w:pPr>
              <w:spacing w:before="60" w:after="60" w:line="240" w:lineRule="auto"/>
              <w:rPr>
                <w:rFonts w:eastAsia="Calibri" w:cs="Arial"/>
                <w:b/>
                <w:sz w:val="20"/>
                <w:szCs w:val="20"/>
              </w:rPr>
            </w:pPr>
            <w:r w:rsidRPr="005E5D6E">
              <w:rPr>
                <w:rFonts w:eastAsia="Calibri" w:cs="Arial"/>
                <w:b/>
                <w:sz w:val="20"/>
                <w:szCs w:val="20"/>
              </w:rPr>
              <w:t>Practice change</w:t>
            </w:r>
          </w:p>
          <w:p w14:paraId="264AA750" w14:textId="77777777" w:rsidR="005E5D6E" w:rsidRPr="00D52E98" w:rsidRDefault="005E5D6E" w:rsidP="00BE60F3">
            <w:pPr>
              <w:spacing w:before="60" w:after="60" w:line="240" w:lineRule="auto"/>
              <w:rPr>
                <w:rFonts w:eastAsia="Calibri" w:cs="Arial"/>
                <w:sz w:val="20"/>
                <w:szCs w:val="20"/>
              </w:rPr>
            </w:pPr>
            <w:r w:rsidRPr="00D52E98">
              <w:rPr>
                <w:rFonts w:eastAsia="Calibri" w:cs="Arial"/>
                <w:sz w:val="20"/>
                <w:szCs w:val="20"/>
              </w:rPr>
              <w:t>Indonesian officials and their work units are leading and driving continuous improvement across their division of the institution with the support of skilled and effective executive teams.</w:t>
            </w:r>
          </w:p>
          <w:p w14:paraId="19017EFB" w14:textId="77777777" w:rsidR="005E5D6E" w:rsidRPr="00D52E98" w:rsidRDefault="005E5D6E" w:rsidP="00BE60F3">
            <w:pPr>
              <w:spacing w:before="60" w:after="60" w:line="240" w:lineRule="auto"/>
              <w:rPr>
                <w:rFonts w:eastAsia="Calibri" w:cs="Arial"/>
                <w:sz w:val="20"/>
                <w:szCs w:val="20"/>
              </w:rPr>
            </w:pPr>
            <w:r w:rsidRPr="00D52E98">
              <w:rPr>
                <w:rFonts w:eastAsia="Calibri" w:cs="Arial"/>
                <w:sz w:val="20"/>
                <w:szCs w:val="20"/>
              </w:rPr>
              <w:t>Work units operate effectively and are implementing strategies that deliver corporate plan objectives.</w:t>
            </w:r>
          </w:p>
          <w:p w14:paraId="697131A2" w14:textId="46BE28F4" w:rsidR="005E5D6E" w:rsidRPr="00D52E98" w:rsidRDefault="005E5D6E" w:rsidP="00BE60F3">
            <w:pPr>
              <w:spacing w:before="60" w:after="60" w:line="240" w:lineRule="auto"/>
              <w:rPr>
                <w:rFonts w:eastAsia="Calibri" w:cs="Arial"/>
                <w:sz w:val="20"/>
                <w:szCs w:val="20"/>
                <w:lang w:val="id-ID"/>
              </w:rPr>
            </w:pPr>
            <w:r w:rsidRPr="00D52E98">
              <w:rPr>
                <w:rFonts w:eastAsia="Calibri" w:cs="Arial"/>
                <w:sz w:val="20"/>
                <w:szCs w:val="20"/>
              </w:rPr>
              <w:t>Indonesian officials take full responsibility for effectively delivering their required duties</w:t>
            </w:r>
            <w:r w:rsidR="00D52E98" w:rsidRPr="00D52E98">
              <w:rPr>
                <w:rFonts w:eastAsia="Calibri" w:cs="Arial"/>
                <w:sz w:val="20"/>
                <w:szCs w:val="20"/>
              </w:rPr>
              <w:t>.</w:t>
            </w:r>
          </w:p>
        </w:tc>
        <w:tc>
          <w:tcPr>
            <w:tcW w:w="3194" w:type="dxa"/>
            <w:vMerge w:val="restart"/>
            <w:tcBorders>
              <w:top w:val="single" w:sz="4" w:space="0" w:color="auto"/>
              <w:left w:val="single" w:sz="4" w:space="0" w:color="auto"/>
              <w:bottom w:val="single" w:sz="4" w:space="0" w:color="auto"/>
              <w:right w:val="single" w:sz="4" w:space="0" w:color="auto"/>
            </w:tcBorders>
          </w:tcPr>
          <w:p w14:paraId="3689F483" w14:textId="1B66EF2B" w:rsidR="005E5D6E" w:rsidRPr="005E5D6E" w:rsidRDefault="005E5D6E" w:rsidP="00BE60F3">
            <w:pPr>
              <w:numPr>
                <w:ilvl w:val="0"/>
                <w:numId w:val="21"/>
              </w:numPr>
              <w:spacing w:after="60" w:line="240" w:lineRule="auto"/>
              <w:ind w:left="459" w:hanging="284"/>
              <w:rPr>
                <w:rFonts w:eastAsia="Calibri" w:cs="Arial"/>
                <w:sz w:val="20"/>
                <w:szCs w:val="20"/>
              </w:rPr>
            </w:pPr>
            <w:r w:rsidRPr="005E5D6E">
              <w:rPr>
                <w:rFonts w:eastAsia="Calibri" w:cs="Arial"/>
                <w:sz w:val="20"/>
                <w:szCs w:val="20"/>
              </w:rPr>
              <w:t>Semi</w:t>
            </w:r>
            <w:r w:rsidR="00A4334D">
              <w:rPr>
                <w:rFonts w:eastAsia="Calibri" w:cs="Arial"/>
                <w:sz w:val="20"/>
                <w:szCs w:val="20"/>
              </w:rPr>
              <w:t>-</w:t>
            </w:r>
            <w:r w:rsidRPr="005E5D6E">
              <w:rPr>
                <w:rFonts w:eastAsia="Calibri" w:cs="Arial"/>
                <w:sz w:val="20"/>
                <w:szCs w:val="20"/>
              </w:rPr>
              <w:t>structured interviews with managers.</w:t>
            </w:r>
          </w:p>
          <w:p w14:paraId="65760534" w14:textId="77777777" w:rsidR="005E5D6E" w:rsidRPr="005E5D6E" w:rsidRDefault="005E5D6E" w:rsidP="00BE60F3">
            <w:pPr>
              <w:numPr>
                <w:ilvl w:val="0"/>
                <w:numId w:val="21"/>
              </w:numPr>
              <w:spacing w:after="60" w:line="240" w:lineRule="auto"/>
              <w:ind w:left="459" w:hanging="284"/>
              <w:rPr>
                <w:rFonts w:eastAsia="Calibri" w:cs="Arial"/>
                <w:sz w:val="20"/>
                <w:szCs w:val="20"/>
              </w:rPr>
            </w:pPr>
            <w:r w:rsidRPr="005E5D6E">
              <w:rPr>
                <w:rFonts w:eastAsia="Calibri" w:cs="Arial"/>
                <w:sz w:val="20"/>
                <w:szCs w:val="20"/>
              </w:rPr>
              <w:t>Observation by advisers and evaluation teams.</w:t>
            </w:r>
          </w:p>
          <w:p w14:paraId="7BB27DE5" w14:textId="77777777" w:rsidR="005E5D6E" w:rsidRPr="005E5D6E" w:rsidRDefault="005E5D6E" w:rsidP="00BE60F3">
            <w:pPr>
              <w:numPr>
                <w:ilvl w:val="0"/>
                <w:numId w:val="21"/>
              </w:numPr>
              <w:spacing w:after="60" w:line="240" w:lineRule="auto"/>
              <w:ind w:left="459" w:hanging="284"/>
              <w:rPr>
                <w:rFonts w:eastAsia="Calibri" w:cs="Arial"/>
                <w:sz w:val="20"/>
                <w:szCs w:val="20"/>
              </w:rPr>
            </w:pPr>
            <w:r w:rsidRPr="005E5D6E">
              <w:rPr>
                <w:rFonts w:eastAsia="Calibri" w:cs="Arial"/>
                <w:sz w:val="20"/>
                <w:szCs w:val="20"/>
              </w:rPr>
              <w:t>Participatory self-assessment with advisers and Australian agency officers.</w:t>
            </w:r>
          </w:p>
          <w:p w14:paraId="0994AA83" w14:textId="40D18B1A" w:rsidR="005E5D6E" w:rsidRPr="005E5D6E" w:rsidRDefault="005E5D6E" w:rsidP="00BE60F3">
            <w:pPr>
              <w:numPr>
                <w:ilvl w:val="0"/>
                <w:numId w:val="21"/>
              </w:numPr>
              <w:spacing w:after="60" w:line="240" w:lineRule="auto"/>
              <w:ind w:left="459" w:hanging="284"/>
              <w:rPr>
                <w:rFonts w:eastAsia="Calibri" w:cs="Arial"/>
                <w:sz w:val="20"/>
                <w:szCs w:val="20"/>
              </w:rPr>
            </w:pPr>
            <w:r w:rsidRPr="005E5D6E">
              <w:rPr>
                <w:rFonts w:eastAsia="Calibri" w:cs="Arial"/>
                <w:sz w:val="20"/>
                <w:szCs w:val="20"/>
              </w:rPr>
              <w:t>Post</w:t>
            </w:r>
            <w:r w:rsidR="00A4334D">
              <w:rPr>
                <w:rFonts w:eastAsia="Calibri" w:cs="Arial"/>
                <w:sz w:val="20"/>
                <w:szCs w:val="20"/>
              </w:rPr>
              <w:t>-</w:t>
            </w:r>
            <w:r w:rsidRPr="005E5D6E">
              <w:rPr>
                <w:rFonts w:eastAsia="Calibri" w:cs="Arial"/>
                <w:sz w:val="20"/>
                <w:szCs w:val="20"/>
              </w:rPr>
              <w:t>workshop follow up interviews – Most Significant Change Stories or more specific semi</w:t>
            </w:r>
            <w:r w:rsidR="00A4334D">
              <w:rPr>
                <w:rFonts w:eastAsia="Calibri" w:cs="Arial"/>
                <w:sz w:val="20"/>
                <w:szCs w:val="20"/>
              </w:rPr>
              <w:t>-</w:t>
            </w:r>
            <w:r w:rsidRPr="005E5D6E">
              <w:rPr>
                <w:rFonts w:eastAsia="Calibri" w:cs="Arial"/>
                <w:sz w:val="20"/>
                <w:szCs w:val="20"/>
              </w:rPr>
              <w:t>structured interviews.</w:t>
            </w:r>
          </w:p>
          <w:p w14:paraId="275E21DB" w14:textId="77777777" w:rsidR="005E5D6E" w:rsidRPr="005E5D6E" w:rsidRDefault="005E5D6E" w:rsidP="00BE60F3">
            <w:pPr>
              <w:numPr>
                <w:ilvl w:val="0"/>
                <w:numId w:val="21"/>
              </w:numPr>
              <w:spacing w:after="60" w:line="240" w:lineRule="auto"/>
              <w:ind w:left="459" w:hanging="284"/>
              <w:rPr>
                <w:rFonts w:eastAsia="Calibri" w:cs="Arial"/>
                <w:sz w:val="20"/>
                <w:szCs w:val="20"/>
              </w:rPr>
            </w:pPr>
            <w:r w:rsidRPr="005E5D6E">
              <w:rPr>
                <w:rFonts w:eastAsia="Calibri" w:cs="Arial"/>
                <w:sz w:val="20"/>
                <w:szCs w:val="20"/>
              </w:rPr>
              <w:t xml:space="preserve">Individual Tracer Survey – longitudinal study of career pathways. </w:t>
            </w:r>
          </w:p>
          <w:p w14:paraId="6145A639" w14:textId="493FAA2B" w:rsidR="005E5D6E" w:rsidRPr="005E5D6E" w:rsidRDefault="005E5D6E" w:rsidP="00BE60F3">
            <w:pPr>
              <w:numPr>
                <w:ilvl w:val="0"/>
                <w:numId w:val="21"/>
              </w:numPr>
              <w:spacing w:after="60" w:line="240" w:lineRule="auto"/>
              <w:ind w:left="459" w:hanging="284"/>
              <w:rPr>
                <w:rFonts w:eastAsia="Calibri" w:cs="Arial"/>
                <w:sz w:val="20"/>
                <w:szCs w:val="20"/>
              </w:rPr>
            </w:pPr>
            <w:r w:rsidRPr="005E5D6E">
              <w:rPr>
                <w:rFonts w:eastAsia="Calibri" w:cs="Arial"/>
                <w:sz w:val="20"/>
                <w:szCs w:val="20"/>
              </w:rPr>
              <w:t>Purposeful sample of case study reports prepared across agencies where Prospera has a significant focus on capability development; include Indonesian official stories of significant change as key evidence source</w:t>
            </w:r>
            <w:r w:rsidR="00D52E98">
              <w:rPr>
                <w:rFonts w:eastAsia="Calibri" w:cs="Arial"/>
                <w:sz w:val="20"/>
                <w:szCs w:val="20"/>
                <w:lang w:val="id-ID"/>
              </w:rPr>
              <w:t>.</w:t>
            </w:r>
          </w:p>
        </w:tc>
      </w:tr>
      <w:tr w:rsidR="005E5D6E" w:rsidRPr="005E5D6E" w14:paraId="5BD7E100" w14:textId="77777777" w:rsidTr="00810444">
        <w:trPr>
          <w:cantSplit/>
        </w:trPr>
        <w:tc>
          <w:tcPr>
            <w:tcW w:w="5845" w:type="dxa"/>
            <w:tcBorders>
              <w:top w:val="single" w:sz="4" w:space="0" w:color="auto"/>
              <w:left w:val="single" w:sz="4" w:space="0" w:color="auto"/>
              <w:bottom w:val="single" w:sz="4" w:space="0" w:color="auto"/>
              <w:right w:val="single" w:sz="4" w:space="0" w:color="auto"/>
            </w:tcBorders>
          </w:tcPr>
          <w:p w14:paraId="46F91421" w14:textId="77777777" w:rsidR="005E5D6E" w:rsidRPr="005E5D6E" w:rsidRDefault="005E5D6E" w:rsidP="00BE60F3">
            <w:pPr>
              <w:spacing w:before="60" w:after="60" w:line="240" w:lineRule="auto"/>
              <w:rPr>
                <w:rFonts w:eastAsia="Calibri" w:cs="Arial"/>
                <w:b/>
                <w:sz w:val="20"/>
                <w:szCs w:val="20"/>
              </w:rPr>
            </w:pPr>
            <w:r w:rsidRPr="005E5D6E">
              <w:rPr>
                <w:rFonts w:eastAsia="Calibri" w:cs="Arial"/>
                <w:b/>
                <w:sz w:val="20"/>
                <w:szCs w:val="20"/>
              </w:rPr>
              <w:t>Attitude and confidence change</w:t>
            </w:r>
          </w:p>
          <w:p w14:paraId="5C861FB6" w14:textId="3BC93375" w:rsidR="005E5D6E" w:rsidRPr="005E5D6E" w:rsidRDefault="005E5D6E" w:rsidP="00BE60F3">
            <w:pPr>
              <w:spacing w:before="60" w:after="60" w:line="240" w:lineRule="auto"/>
              <w:rPr>
                <w:rFonts w:eastAsia="Calibri" w:cs="Arial"/>
                <w:sz w:val="20"/>
                <w:szCs w:val="20"/>
              </w:rPr>
            </w:pPr>
            <w:r w:rsidRPr="005E5D6E">
              <w:rPr>
                <w:rFonts w:eastAsia="Calibri" w:cs="Arial"/>
                <w:sz w:val="20"/>
                <w:szCs w:val="20"/>
              </w:rPr>
              <w:t>Indonesian officials and work units see and understand their institution from a range of perspectives; from within as well as from a sector</w:t>
            </w:r>
            <w:r w:rsidR="00A4334D">
              <w:rPr>
                <w:rFonts w:eastAsia="Calibri" w:cs="Arial"/>
                <w:sz w:val="20"/>
                <w:szCs w:val="20"/>
              </w:rPr>
              <w:t>-</w:t>
            </w:r>
            <w:r w:rsidRPr="005E5D6E">
              <w:rPr>
                <w:rFonts w:eastAsia="Calibri" w:cs="Arial"/>
                <w:sz w:val="20"/>
                <w:szCs w:val="20"/>
              </w:rPr>
              <w:t>wide and broader perspective.</w:t>
            </w:r>
          </w:p>
          <w:p w14:paraId="207B6E46" w14:textId="77777777" w:rsidR="005E5D6E" w:rsidRPr="005E5D6E" w:rsidRDefault="005E5D6E" w:rsidP="00BE60F3">
            <w:pPr>
              <w:spacing w:before="60" w:after="60" w:line="240" w:lineRule="auto"/>
              <w:rPr>
                <w:rFonts w:eastAsia="Calibri" w:cs="Arial"/>
                <w:sz w:val="20"/>
                <w:szCs w:val="20"/>
              </w:rPr>
            </w:pPr>
            <w:r w:rsidRPr="005E5D6E">
              <w:rPr>
                <w:rFonts w:eastAsia="Calibri" w:cs="Arial"/>
                <w:sz w:val="20"/>
                <w:szCs w:val="20"/>
              </w:rPr>
              <w:t>Indonesian officials have increased confidence to undertake their required roles in an effective manner.</w:t>
            </w:r>
          </w:p>
          <w:p w14:paraId="3A422F26" w14:textId="77777777" w:rsidR="005E5D6E" w:rsidRPr="005E5D6E" w:rsidRDefault="005E5D6E" w:rsidP="00BE60F3">
            <w:pPr>
              <w:spacing w:before="60" w:after="60" w:line="240" w:lineRule="auto"/>
              <w:rPr>
                <w:rFonts w:eastAsia="Calibri" w:cs="Arial"/>
                <w:sz w:val="20"/>
                <w:szCs w:val="20"/>
              </w:rPr>
            </w:pPr>
            <w:r w:rsidRPr="005E5D6E">
              <w:rPr>
                <w:rFonts w:eastAsia="Calibri" w:cs="Arial"/>
                <w:sz w:val="20"/>
                <w:szCs w:val="20"/>
              </w:rPr>
              <w:t>Indonesian officials want to perform their duties.</w:t>
            </w:r>
          </w:p>
        </w:tc>
        <w:tc>
          <w:tcPr>
            <w:tcW w:w="3194" w:type="dxa"/>
            <w:vMerge/>
            <w:tcBorders>
              <w:top w:val="single" w:sz="4" w:space="0" w:color="auto"/>
              <w:left w:val="single" w:sz="4" w:space="0" w:color="auto"/>
              <w:bottom w:val="single" w:sz="4" w:space="0" w:color="auto"/>
              <w:right w:val="single" w:sz="4" w:space="0" w:color="auto"/>
            </w:tcBorders>
          </w:tcPr>
          <w:p w14:paraId="181795BB" w14:textId="77777777" w:rsidR="005E5D6E" w:rsidRPr="005E5D6E" w:rsidRDefault="005E5D6E" w:rsidP="00BE60F3">
            <w:pPr>
              <w:spacing w:after="0" w:line="240" w:lineRule="auto"/>
              <w:rPr>
                <w:rFonts w:eastAsia="Calibri" w:cs="Arial"/>
                <w:sz w:val="20"/>
                <w:szCs w:val="20"/>
              </w:rPr>
            </w:pPr>
          </w:p>
        </w:tc>
      </w:tr>
      <w:tr w:rsidR="005E5D6E" w:rsidRPr="005E5D6E" w14:paraId="790BBA17" w14:textId="77777777" w:rsidTr="00810444">
        <w:trPr>
          <w:cantSplit/>
        </w:trPr>
        <w:tc>
          <w:tcPr>
            <w:tcW w:w="5845" w:type="dxa"/>
            <w:tcBorders>
              <w:top w:val="single" w:sz="4" w:space="0" w:color="auto"/>
              <w:left w:val="single" w:sz="4" w:space="0" w:color="auto"/>
              <w:bottom w:val="single" w:sz="4" w:space="0" w:color="auto"/>
              <w:right w:val="single" w:sz="4" w:space="0" w:color="auto"/>
            </w:tcBorders>
          </w:tcPr>
          <w:p w14:paraId="03DFB471" w14:textId="77777777" w:rsidR="005E5D6E" w:rsidRPr="005E5D6E" w:rsidRDefault="005E5D6E" w:rsidP="00BE60F3">
            <w:pPr>
              <w:spacing w:before="60" w:after="60" w:line="240" w:lineRule="auto"/>
              <w:rPr>
                <w:rFonts w:eastAsia="Calibri" w:cs="Arial"/>
                <w:b/>
                <w:sz w:val="20"/>
                <w:szCs w:val="20"/>
              </w:rPr>
            </w:pPr>
            <w:r w:rsidRPr="005E5D6E">
              <w:rPr>
                <w:rFonts w:eastAsia="Calibri" w:cs="Arial"/>
                <w:b/>
                <w:sz w:val="20"/>
                <w:szCs w:val="20"/>
              </w:rPr>
              <w:t>Knowledge and skills change</w:t>
            </w:r>
          </w:p>
          <w:p w14:paraId="3819F4B2" w14:textId="77777777" w:rsidR="005E5D6E" w:rsidRPr="005E5D6E" w:rsidRDefault="005E5D6E" w:rsidP="00BE60F3">
            <w:pPr>
              <w:spacing w:before="60" w:after="60" w:line="240" w:lineRule="auto"/>
              <w:rPr>
                <w:rFonts w:eastAsia="Calibri" w:cs="Arial"/>
                <w:sz w:val="20"/>
                <w:szCs w:val="20"/>
              </w:rPr>
            </w:pPr>
            <w:r w:rsidRPr="005E5D6E">
              <w:rPr>
                <w:rFonts w:eastAsia="Calibri" w:cs="Arial"/>
                <w:sz w:val="20"/>
                <w:szCs w:val="20"/>
              </w:rPr>
              <w:t>Indonesian officials and work units have an increased understanding of the role and function of their institution within the sector, from a national perspective and from an international perspective.</w:t>
            </w:r>
          </w:p>
          <w:p w14:paraId="56CD197E" w14:textId="77777777" w:rsidR="005E5D6E" w:rsidRPr="005E5D6E" w:rsidRDefault="005E5D6E" w:rsidP="00BE60F3">
            <w:pPr>
              <w:spacing w:before="60" w:after="60" w:line="240" w:lineRule="auto"/>
              <w:rPr>
                <w:rFonts w:eastAsia="Calibri" w:cs="Arial"/>
                <w:sz w:val="20"/>
                <w:szCs w:val="20"/>
              </w:rPr>
            </w:pPr>
            <w:r w:rsidRPr="005E5D6E">
              <w:rPr>
                <w:rFonts w:eastAsia="Calibri" w:cs="Arial"/>
                <w:sz w:val="20"/>
                <w:szCs w:val="20"/>
              </w:rPr>
              <w:t>Indonesian officials and work groups are bringing new knowledge back to their agencies with new perspectives – increased knowledge sharing.</w:t>
            </w:r>
          </w:p>
          <w:p w14:paraId="1557E5E5" w14:textId="48E59AEC" w:rsidR="005E5D6E" w:rsidRPr="00D52E98" w:rsidRDefault="005E5D6E" w:rsidP="00BE60F3">
            <w:pPr>
              <w:spacing w:before="60" w:after="60" w:line="240" w:lineRule="auto"/>
              <w:rPr>
                <w:rFonts w:eastAsia="Calibri" w:cs="Arial"/>
                <w:sz w:val="20"/>
                <w:szCs w:val="20"/>
                <w:lang w:val="id-ID"/>
              </w:rPr>
            </w:pPr>
            <w:r w:rsidRPr="005E5D6E">
              <w:rPr>
                <w:rFonts w:eastAsia="Calibri" w:cs="Arial"/>
                <w:sz w:val="20"/>
                <w:szCs w:val="20"/>
              </w:rPr>
              <w:t>Indonesian officials (and their work groups) have increased technical and process knowledge and ability related to their position (s) and core business of their work unit and organisation</w:t>
            </w:r>
            <w:r w:rsidR="00D52E98">
              <w:rPr>
                <w:rFonts w:eastAsia="Calibri" w:cs="Arial"/>
                <w:sz w:val="20"/>
                <w:szCs w:val="20"/>
                <w:lang w:val="id-ID"/>
              </w:rPr>
              <w:t>.</w:t>
            </w:r>
          </w:p>
        </w:tc>
        <w:tc>
          <w:tcPr>
            <w:tcW w:w="3194" w:type="dxa"/>
            <w:vMerge/>
            <w:tcBorders>
              <w:top w:val="single" w:sz="4" w:space="0" w:color="auto"/>
              <w:left w:val="single" w:sz="4" w:space="0" w:color="auto"/>
              <w:bottom w:val="single" w:sz="4" w:space="0" w:color="auto"/>
              <w:right w:val="single" w:sz="4" w:space="0" w:color="auto"/>
            </w:tcBorders>
          </w:tcPr>
          <w:p w14:paraId="681B43FA" w14:textId="77777777" w:rsidR="005E5D6E" w:rsidRPr="005E5D6E" w:rsidRDefault="005E5D6E" w:rsidP="00BE60F3">
            <w:pPr>
              <w:spacing w:after="0" w:line="240" w:lineRule="auto"/>
              <w:rPr>
                <w:rFonts w:eastAsia="Calibri" w:cs="Arial"/>
                <w:sz w:val="20"/>
                <w:szCs w:val="20"/>
              </w:rPr>
            </w:pPr>
          </w:p>
        </w:tc>
      </w:tr>
    </w:tbl>
    <w:p w14:paraId="306F3F3F" w14:textId="77777777" w:rsidR="001329B1" w:rsidRDefault="001329B1" w:rsidP="00BE60F3">
      <w:pPr>
        <w:pStyle w:val="BodyText"/>
      </w:pPr>
    </w:p>
    <w:p w14:paraId="51EEF040" w14:textId="7C4D772A" w:rsidR="00810444" w:rsidRDefault="005E5D6E" w:rsidP="00BE60F3">
      <w:pPr>
        <w:pStyle w:val="BodyText"/>
      </w:pPr>
      <w:r w:rsidRPr="005E5D6E">
        <w:t xml:space="preserve">Examples of potential approaches for measuring improvements in institutional capability are detailed in Table </w:t>
      </w:r>
      <w:r w:rsidR="001607C5">
        <w:t>10</w:t>
      </w:r>
      <w:r w:rsidRPr="005E5D6E">
        <w:t xml:space="preserve">. In practice, monitoring and evaluation for institutional capability will require a specific plan in the activity design. </w:t>
      </w:r>
    </w:p>
    <w:p w14:paraId="3911053E" w14:textId="77777777" w:rsidR="00810444" w:rsidRDefault="00810444">
      <w:pPr>
        <w:spacing w:after="0" w:line="240" w:lineRule="auto"/>
        <w:rPr>
          <w:sz w:val="20"/>
        </w:rPr>
      </w:pPr>
      <w:r>
        <w:br w:type="page"/>
      </w:r>
    </w:p>
    <w:p w14:paraId="2DED4D36" w14:textId="77777777" w:rsidR="001329B1" w:rsidRDefault="001329B1" w:rsidP="00BE60F3">
      <w:pPr>
        <w:pStyle w:val="Tabletext"/>
        <w:jc w:val="left"/>
      </w:pPr>
    </w:p>
    <w:p w14:paraId="5683B6AB" w14:textId="584834B7" w:rsidR="005E5D6E" w:rsidRPr="00030AD9" w:rsidRDefault="005E5D6E" w:rsidP="00263C60">
      <w:pPr>
        <w:pStyle w:val="Tabletext"/>
        <w:jc w:val="left"/>
        <w:rPr>
          <w:b/>
        </w:rPr>
      </w:pPr>
      <w:r w:rsidRPr="00030AD9">
        <w:rPr>
          <w:b/>
        </w:rPr>
        <w:t xml:space="preserve">Table </w:t>
      </w:r>
      <w:r w:rsidRPr="00030AD9">
        <w:rPr>
          <w:b/>
          <w:noProof/>
        </w:rPr>
        <w:fldChar w:fldCharType="begin"/>
      </w:r>
      <w:r w:rsidRPr="00030AD9">
        <w:rPr>
          <w:b/>
          <w:noProof/>
        </w:rPr>
        <w:instrText xml:space="preserve"> SEQ Table \* ARABIC </w:instrText>
      </w:r>
      <w:r w:rsidRPr="00030AD9">
        <w:rPr>
          <w:b/>
          <w:noProof/>
        </w:rPr>
        <w:fldChar w:fldCharType="separate"/>
      </w:r>
      <w:r w:rsidR="00326160">
        <w:rPr>
          <w:b/>
          <w:noProof/>
        </w:rPr>
        <w:t>10</w:t>
      </w:r>
      <w:r w:rsidRPr="00030AD9">
        <w:rPr>
          <w:b/>
          <w:noProof/>
        </w:rPr>
        <w:fldChar w:fldCharType="end"/>
      </w:r>
      <w:r w:rsidR="00030AD9">
        <w:rPr>
          <w:b/>
          <w:noProof/>
          <w:lang w:val="id-ID"/>
        </w:rPr>
        <w:t>.</w:t>
      </w:r>
      <w:r w:rsidRPr="00030AD9">
        <w:rPr>
          <w:b/>
        </w:rPr>
        <w:t xml:space="preserve"> Institutional capability measurement</w:t>
      </w:r>
    </w:p>
    <w:tbl>
      <w:tblPr>
        <w:tblStyle w:val="TableGrid1"/>
        <w:tblW w:w="0" w:type="auto"/>
        <w:tblLook w:val="04A0" w:firstRow="1" w:lastRow="0" w:firstColumn="1" w:lastColumn="0" w:noHBand="0" w:noVBand="1"/>
      </w:tblPr>
      <w:tblGrid>
        <w:gridCol w:w="5353"/>
        <w:gridCol w:w="3686"/>
      </w:tblGrid>
      <w:tr w:rsidR="005E5D6E" w:rsidRPr="005E5D6E" w14:paraId="02ED5DC0" w14:textId="77777777" w:rsidTr="001304F1">
        <w:tc>
          <w:tcPr>
            <w:tcW w:w="5353" w:type="dxa"/>
            <w:shd w:val="clear" w:color="auto" w:fill="20ABCA"/>
          </w:tcPr>
          <w:p w14:paraId="32398E4A" w14:textId="77777777" w:rsidR="00030AD9" w:rsidRDefault="005E5D6E" w:rsidP="00BE60F3">
            <w:pPr>
              <w:spacing w:before="120" w:after="120" w:line="240" w:lineRule="auto"/>
              <w:contextualSpacing/>
              <w:rPr>
                <w:rFonts w:eastAsia="Calibri" w:cs="Arial"/>
                <w:b/>
                <w:color w:val="FFFFFF"/>
                <w:sz w:val="20"/>
                <w:szCs w:val="20"/>
              </w:rPr>
            </w:pPr>
            <w:r w:rsidRPr="005E5D6E">
              <w:rPr>
                <w:rFonts w:eastAsia="Calibri" w:cs="Arial"/>
                <w:b/>
                <w:color w:val="FFFFFF"/>
                <w:sz w:val="20"/>
                <w:szCs w:val="20"/>
              </w:rPr>
              <w:t xml:space="preserve">Example institutional capability </w:t>
            </w:r>
          </w:p>
          <w:p w14:paraId="5A1289DA" w14:textId="13EE2621" w:rsidR="005E5D6E" w:rsidRDefault="005E5D6E" w:rsidP="00BE60F3">
            <w:pPr>
              <w:spacing w:before="120" w:after="120" w:line="240" w:lineRule="auto"/>
              <w:contextualSpacing/>
              <w:rPr>
                <w:rFonts w:eastAsia="Calibri" w:cs="Arial"/>
                <w:b/>
                <w:color w:val="FFFFFF"/>
                <w:sz w:val="20"/>
                <w:szCs w:val="20"/>
              </w:rPr>
            </w:pPr>
            <w:r w:rsidRPr="005E5D6E">
              <w:rPr>
                <w:rFonts w:eastAsia="Calibri" w:cs="Arial"/>
                <w:b/>
                <w:color w:val="FFFFFF"/>
                <w:sz w:val="20"/>
                <w:szCs w:val="20"/>
              </w:rPr>
              <w:t xml:space="preserve">outcomes and description </w:t>
            </w:r>
          </w:p>
          <w:p w14:paraId="237C2372" w14:textId="0AB843ED" w:rsidR="00030AD9" w:rsidRPr="005E5D6E" w:rsidRDefault="00030AD9" w:rsidP="00BE60F3">
            <w:pPr>
              <w:spacing w:before="120" w:after="120" w:line="240" w:lineRule="auto"/>
              <w:contextualSpacing/>
              <w:rPr>
                <w:rFonts w:eastAsia="Calibri" w:cs="Arial"/>
                <w:b/>
                <w:color w:val="FFFFFF"/>
                <w:sz w:val="20"/>
                <w:szCs w:val="20"/>
              </w:rPr>
            </w:pPr>
          </w:p>
        </w:tc>
        <w:tc>
          <w:tcPr>
            <w:tcW w:w="3686" w:type="dxa"/>
            <w:shd w:val="clear" w:color="auto" w:fill="20ABCA"/>
          </w:tcPr>
          <w:p w14:paraId="3BDDCC05" w14:textId="77777777" w:rsidR="00030AD9" w:rsidRDefault="00030AD9" w:rsidP="00BE60F3">
            <w:pPr>
              <w:spacing w:before="120" w:after="120" w:line="240" w:lineRule="auto"/>
              <w:contextualSpacing/>
              <w:rPr>
                <w:rFonts w:eastAsia="Calibri" w:cs="Arial"/>
                <w:b/>
                <w:color w:val="FFFFFF"/>
                <w:sz w:val="20"/>
                <w:szCs w:val="20"/>
              </w:rPr>
            </w:pPr>
          </w:p>
          <w:p w14:paraId="6C689372" w14:textId="5D8E6C4E" w:rsidR="005E5D6E" w:rsidRPr="005E5D6E" w:rsidRDefault="005E5D6E" w:rsidP="00BE60F3">
            <w:pPr>
              <w:spacing w:before="120" w:after="120" w:line="240" w:lineRule="auto"/>
              <w:contextualSpacing/>
              <w:rPr>
                <w:rFonts w:eastAsia="Calibri" w:cs="Arial"/>
                <w:b/>
                <w:color w:val="FFFFFF"/>
                <w:sz w:val="20"/>
                <w:szCs w:val="20"/>
              </w:rPr>
            </w:pPr>
            <w:r w:rsidRPr="005E5D6E">
              <w:rPr>
                <w:rFonts w:eastAsia="Calibri" w:cs="Arial"/>
                <w:b/>
                <w:color w:val="FFFFFF"/>
                <w:sz w:val="20"/>
                <w:szCs w:val="20"/>
              </w:rPr>
              <w:t>Suitable measurement approaches</w:t>
            </w:r>
          </w:p>
        </w:tc>
      </w:tr>
      <w:tr w:rsidR="005E5D6E" w:rsidRPr="005E5D6E" w14:paraId="19DE3F2D" w14:textId="77777777" w:rsidTr="001304F1">
        <w:tc>
          <w:tcPr>
            <w:tcW w:w="5353" w:type="dxa"/>
          </w:tcPr>
          <w:p w14:paraId="6732406D" w14:textId="77777777" w:rsidR="005E5D6E" w:rsidRPr="005E5D6E" w:rsidRDefault="005E5D6E" w:rsidP="00BE60F3">
            <w:pPr>
              <w:spacing w:before="60" w:after="60" w:line="240" w:lineRule="auto"/>
              <w:rPr>
                <w:rFonts w:eastAsia="Calibri" w:cs="Arial"/>
                <w:b/>
                <w:sz w:val="20"/>
                <w:szCs w:val="20"/>
              </w:rPr>
            </w:pPr>
            <w:r w:rsidRPr="005E5D6E">
              <w:rPr>
                <w:rFonts w:eastAsia="Calibri" w:cs="Arial"/>
                <w:b/>
                <w:sz w:val="20"/>
                <w:szCs w:val="20"/>
              </w:rPr>
              <w:t>Leadership and Management</w:t>
            </w:r>
          </w:p>
          <w:p w14:paraId="0DDE7FDA" w14:textId="77777777" w:rsidR="005E5D6E" w:rsidRPr="005E5D6E" w:rsidRDefault="005E5D6E" w:rsidP="00BE60F3">
            <w:pPr>
              <w:spacing w:before="60" w:after="60" w:line="240" w:lineRule="auto"/>
              <w:rPr>
                <w:rFonts w:eastAsia="Calibri" w:cs="Arial"/>
                <w:sz w:val="20"/>
                <w:szCs w:val="20"/>
              </w:rPr>
            </w:pPr>
            <w:r w:rsidRPr="005E5D6E">
              <w:rPr>
                <w:rFonts w:eastAsia="Calibri" w:cs="Arial"/>
                <w:sz w:val="20"/>
                <w:szCs w:val="20"/>
              </w:rPr>
              <w:t>Indonesian institutional leaders are making good decisions and demonstrating good leadership practice; Indonesian government managers are demonstrating good management practice.</w:t>
            </w:r>
          </w:p>
        </w:tc>
        <w:tc>
          <w:tcPr>
            <w:tcW w:w="3686" w:type="dxa"/>
            <w:vMerge w:val="restart"/>
          </w:tcPr>
          <w:p w14:paraId="2BDB880B" w14:textId="77777777" w:rsidR="005E5D6E" w:rsidRPr="005E5D6E" w:rsidRDefault="005E5D6E" w:rsidP="00BE60F3">
            <w:pPr>
              <w:numPr>
                <w:ilvl w:val="0"/>
                <w:numId w:val="22"/>
              </w:numPr>
              <w:spacing w:after="40" w:line="240" w:lineRule="auto"/>
              <w:ind w:left="357" w:hanging="357"/>
              <w:rPr>
                <w:rFonts w:eastAsia="Calibri" w:cs="Arial"/>
                <w:sz w:val="20"/>
                <w:szCs w:val="20"/>
              </w:rPr>
            </w:pPr>
            <w:r w:rsidRPr="005E5D6E">
              <w:rPr>
                <w:rFonts w:eastAsia="Calibri" w:cs="Arial"/>
                <w:sz w:val="20"/>
                <w:szCs w:val="20"/>
              </w:rPr>
              <w:t>Indonesian government institutional surveys (own data).</w:t>
            </w:r>
          </w:p>
          <w:p w14:paraId="1FFECA2A" w14:textId="77777777" w:rsidR="005E5D6E" w:rsidRPr="005E5D6E" w:rsidRDefault="005E5D6E" w:rsidP="00BE60F3">
            <w:pPr>
              <w:numPr>
                <w:ilvl w:val="0"/>
                <w:numId w:val="22"/>
              </w:numPr>
              <w:spacing w:after="40" w:line="240" w:lineRule="auto"/>
              <w:ind w:left="357" w:hanging="357"/>
              <w:rPr>
                <w:rFonts w:eastAsia="Calibri" w:cs="Arial"/>
                <w:sz w:val="20"/>
                <w:szCs w:val="20"/>
              </w:rPr>
            </w:pPr>
            <w:r w:rsidRPr="005E5D6E">
              <w:rPr>
                <w:rFonts w:eastAsia="Calibri" w:cs="Arial"/>
                <w:sz w:val="20"/>
                <w:szCs w:val="20"/>
              </w:rPr>
              <w:t>Work unit surveys.</w:t>
            </w:r>
          </w:p>
          <w:p w14:paraId="0C9E81A1" w14:textId="77777777" w:rsidR="005E5D6E" w:rsidRPr="005E5D6E" w:rsidRDefault="005E5D6E" w:rsidP="00BE60F3">
            <w:pPr>
              <w:numPr>
                <w:ilvl w:val="0"/>
                <w:numId w:val="22"/>
              </w:numPr>
              <w:spacing w:after="40" w:line="240" w:lineRule="auto"/>
              <w:ind w:left="357" w:hanging="357"/>
              <w:rPr>
                <w:rFonts w:eastAsia="Calibri" w:cs="Arial"/>
                <w:sz w:val="20"/>
                <w:szCs w:val="20"/>
              </w:rPr>
            </w:pPr>
            <w:r w:rsidRPr="005E5D6E">
              <w:rPr>
                <w:rFonts w:eastAsia="Calibri" w:cs="Arial"/>
                <w:sz w:val="20"/>
                <w:szCs w:val="20"/>
              </w:rPr>
              <w:t>Collation and analysis of documents.</w:t>
            </w:r>
          </w:p>
          <w:p w14:paraId="37DFC532" w14:textId="77777777" w:rsidR="005E5D6E" w:rsidRPr="005E5D6E" w:rsidRDefault="005E5D6E" w:rsidP="00BE60F3">
            <w:pPr>
              <w:numPr>
                <w:ilvl w:val="0"/>
                <w:numId w:val="22"/>
              </w:numPr>
              <w:spacing w:after="40" w:line="240" w:lineRule="auto"/>
              <w:ind w:left="357" w:hanging="357"/>
              <w:rPr>
                <w:rFonts w:eastAsia="Calibri" w:cs="Arial"/>
                <w:sz w:val="20"/>
                <w:szCs w:val="20"/>
              </w:rPr>
            </w:pPr>
            <w:r w:rsidRPr="005E5D6E">
              <w:rPr>
                <w:rFonts w:eastAsia="Calibri" w:cs="Arial"/>
                <w:sz w:val="20"/>
                <w:szCs w:val="20"/>
              </w:rPr>
              <w:t>Instances of Significant Policy and System Change.</w:t>
            </w:r>
          </w:p>
          <w:p w14:paraId="1E9CE27D" w14:textId="77777777" w:rsidR="005E5D6E" w:rsidRPr="005E5D6E" w:rsidRDefault="005E5D6E" w:rsidP="00BE60F3">
            <w:pPr>
              <w:numPr>
                <w:ilvl w:val="0"/>
                <w:numId w:val="22"/>
              </w:numPr>
              <w:spacing w:after="40" w:line="240" w:lineRule="auto"/>
              <w:ind w:left="357" w:hanging="357"/>
              <w:rPr>
                <w:rFonts w:eastAsia="Calibri" w:cs="Arial"/>
                <w:sz w:val="20"/>
                <w:szCs w:val="20"/>
              </w:rPr>
            </w:pPr>
            <w:r w:rsidRPr="005E5D6E">
              <w:rPr>
                <w:rFonts w:eastAsia="Calibri" w:cs="Arial"/>
                <w:sz w:val="20"/>
                <w:szCs w:val="20"/>
              </w:rPr>
              <w:t xml:space="preserve">Set of Prospera case studies evaluating: </w:t>
            </w:r>
            <w:r w:rsidRPr="005E5D6E">
              <w:rPr>
                <w:rFonts w:eastAsia="Calibri" w:cs="Arial"/>
                <w:i/>
                <w:sz w:val="20"/>
                <w:szCs w:val="20"/>
              </w:rPr>
              <w:t>to what extent is Prospera contributing to intended outcomes? What’s working and why?</w:t>
            </w:r>
            <w:r w:rsidRPr="005E5D6E">
              <w:rPr>
                <w:rFonts w:eastAsia="Calibri" w:cs="Arial"/>
                <w:sz w:val="20"/>
                <w:szCs w:val="20"/>
              </w:rPr>
              <w:t xml:space="preserve"> </w:t>
            </w:r>
          </w:p>
          <w:p w14:paraId="03A9884A" w14:textId="72D49877" w:rsidR="005E5D6E" w:rsidRPr="005E5D6E" w:rsidRDefault="005E5D6E" w:rsidP="00BE60F3">
            <w:pPr>
              <w:numPr>
                <w:ilvl w:val="0"/>
                <w:numId w:val="22"/>
              </w:numPr>
              <w:spacing w:after="40" w:line="240" w:lineRule="auto"/>
              <w:ind w:left="357" w:hanging="357"/>
              <w:rPr>
                <w:rFonts w:eastAsia="Calibri" w:cs="Arial"/>
                <w:i/>
                <w:sz w:val="20"/>
                <w:szCs w:val="20"/>
              </w:rPr>
            </w:pPr>
            <w:r w:rsidRPr="005E5D6E">
              <w:rPr>
                <w:rFonts w:eastAsia="Calibri" w:cs="Arial"/>
                <w:sz w:val="20"/>
                <w:szCs w:val="20"/>
              </w:rPr>
              <w:t>Semi</w:t>
            </w:r>
            <w:r w:rsidR="00A4334D">
              <w:rPr>
                <w:rFonts w:eastAsia="Calibri" w:cs="Arial"/>
                <w:sz w:val="20"/>
                <w:szCs w:val="20"/>
              </w:rPr>
              <w:t>-</w:t>
            </w:r>
            <w:r w:rsidRPr="005E5D6E">
              <w:rPr>
                <w:rFonts w:eastAsia="Calibri" w:cs="Arial"/>
                <w:sz w:val="20"/>
                <w:szCs w:val="20"/>
              </w:rPr>
              <w:t>structured interviews with Indonesian government senior officials.</w:t>
            </w:r>
            <w:r w:rsidRPr="005E5D6E">
              <w:rPr>
                <w:rFonts w:eastAsia="Calibri" w:cs="Arial"/>
                <w:i/>
                <w:sz w:val="20"/>
                <w:szCs w:val="20"/>
              </w:rPr>
              <w:t xml:space="preserve"> </w:t>
            </w:r>
          </w:p>
        </w:tc>
      </w:tr>
      <w:tr w:rsidR="005E5D6E" w:rsidRPr="005E5D6E" w14:paraId="2BEE4BE8" w14:textId="77777777" w:rsidTr="001304F1">
        <w:tc>
          <w:tcPr>
            <w:tcW w:w="5353" w:type="dxa"/>
          </w:tcPr>
          <w:p w14:paraId="7E2A4EFA" w14:textId="77777777" w:rsidR="005E5D6E" w:rsidRPr="005E5D6E" w:rsidRDefault="005E5D6E" w:rsidP="00BE60F3">
            <w:pPr>
              <w:spacing w:before="60" w:after="60" w:line="240" w:lineRule="auto"/>
              <w:rPr>
                <w:rFonts w:eastAsia="Calibri" w:cs="Arial"/>
                <w:b/>
                <w:sz w:val="20"/>
                <w:szCs w:val="20"/>
              </w:rPr>
            </w:pPr>
            <w:r w:rsidRPr="005E5D6E">
              <w:rPr>
                <w:rFonts w:eastAsia="Calibri" w:cs="Arial"/>
                <w:b/>
                <w:sz w:val="20"/>
                <w:szCs w:val="20"/>
              </w:rPr>
              <w:t>Policies and Procedures</w:t>
            </w:r>
          </w:p>
          <w:p w14:paraId="3824BE6A" w14:textId="06B6F1B3" w:rsidR="005E5D6E" w:rsidRPr="005E5D6E" w:rsidRDefault="005E5D6E" w:rsidP="00BE60F3">
            <w:pPr>
              <w:spacing w:before="60" w:after="60" w:line="240" w:lineRule="auto"/>
              <w:rPr>
                <w:rFonts w:eastAsia="Calibri" w:cs="Arial"/>
                <w:sz w:val="20"/>
                <w:szCs w:val="20"/>
              </w:rPr>
            </w:pPr>
            <w:r w:rsidRPr="005E5D6E">
              <w:rPr>
                <w:rFonts w:eastAsia="Calibri" w:cs="Arial"/>
                <w:sz w:val="20"/>
                <w:szCs w:val="20"/>
              </w:rPr>
              <w:t>Indonesian institutions are generating best</w:t>
            </w:r>
            <w:r w:rsidR="00A4334D">
              <w:rPr>
                <w:rFonts w:eastAsia="Calibri" w:cs="Arial"/>
                <w:sz w:val="20"/>
                <w:szCs w:val="20"/>
              </w:rPr>
              <w:t>-</w:t>
            </w:r>
            <w:r w:rsidRPr="005E5D6E">
              <w:rPr>
                <w:rFonts w:eastAsia="Calibri" w:cs="Arial"/>
                <w:sz w:val="20"/>
                <w:szCs w:val="20"/>
              </w:rPr>
              <w:t>fit policies based on evidence and implementing them effectively.</w:t>
            </w:r>
          </w:p>
        </w:tc>
        <w:tc>
          <w:tcPr>
            <w:tcW w:w="3686" w:type="dxa"/>
            <w:vMerge/>
          </w:tcPr>
          <w:p w14:paraId="74A9AA11" w14:textId="77777777" w:rsidR="005E5D6E" w:rsidRPr="005E5D6E" w:rsidRDefault="005E5D6E" w:rsidP="00BE60F3">
            <w:pPr>
              <w:spacing w:after="0" w:line="240" w:lineRule="auto"/>
              <w:rPr>
                <w:rFonts w:eastAsia="Calibri" w:cs="Arial"/>
                <w:sz w:val="20"/>
                <w:szCs w:val="20"/>
              </w:rPr>
            </w:pPr>
          </w:p>
        </w:tc>
      </w:tr>
      <w:tr w:rsidR="005E5D6E" w:rsidRPr="005E5D6E" w14:paraId="1FEDEFF0" w14:textId="77777777" w:rsidTr="001304F1">
        <w:tc>
          <w:tcPr>
            <w:tcW w:w="5353" w:type="dxa"/>
          </w:tcPr>
          <w:p w14:paraId="6FE2D553" w14:textId="77777777" w:rsidR="005E5D6E" w:rsidRPr="005E5D6E" w:rsidRDefault="005E5D6E" w:rsidP="00BE60F3">
            <w:pPr>
              <w:spacing w:before="60" w:after="60" w:line="240" w:lineRule="auto"/>
              <w:rPr>
                <w:rFonts w:eastAsia="Calibri" w:cs="Arial"/>
                <w:b/>
                <w:sz w:val="20"/>
                <w:szCs w:val="20"/>
              </w:rPr>
            </w:pPr>
            <w:r w:rsidRPr="005E5D6E">
              <w:rPr>
                <w:rFonts w:eastAsia="Calibri" w:cs="Arial"/>
                <w:b/>
                <w:sz w:val="20"/>
                <w:szCs w:val="20"/>
              </w:rPr>
              <w:t>System Implementation</w:t>
            </w:r>
          </w:p>
          <w:p w14:paraId="6C1ECD62" w14:textId="77777777" w:rsidR="005E5D6E" w:rsidRPr="005E5D6E" w:rsidRDefault="005E5D6E" w:rsidP="00BE60F3">
            <w:pPr>
              <w:spacing w:before="60" w:after="60" w:line="240" w:lineRule="auto"/>
              <w:rPr>
                <w:rFonts w:eastAsia="Calibri" w:cs="Arial"/>
                <w:sz w:val="20"/>
                <w:szCs w:val="20"/>
              </w:rPr>
            </w:pPr>
            <w:r w:rsidRPr="005E5D6E">
              <w:rPr>
                <w:rFonts w:eastAsia="Calibri" w:cs="Arial"/>
                <w:sz w:val="20"/>
                <w:szCs w:val="20"/>
              </w:rPr>
              <w:t xml:space="preserve">Indonesian institutions are adopting new systems and upgrading or integrating others. </w:t>
            </w:r>
          </w:p>
        </w:tc>
        <w:tc>
          <w:tcPr>
            <w:tcW w:w="3686" w:type="dxa"/>
            <w:vMerge/>
          </w:tcPr>
          <w:p w14:paraId="74BA08BB" w14:textId="77777777" w:rsidR="005E5D6E" w:rsidRPr="005E5D6E" w:rsidRDefault="005E5D6E" w:rsidP="00BE60F3">
            <w:pPr>
              <w:spacing w:after="0" w:line="240" w:lineRule="auto"/>
              <w:rPr>
                <w:rFonts w:eastAsia="Calibri" w:cs="Arial"/>
                <w:sz w:val="20"/>
                <w:szCs w:val="20"/>
              </w:rPr>
            </w:pPr>
          </w:p>
        </w:tc>
      </w:tr>
      <w:tr w:rsidR="005E5D6E" w:rsidRPr="005E5D6E" w14:paraId="2CA44F55" w14:textId="77777777" w:rsidTr="001304F1">
        <w:trPr>
          <w:trHeight w:val="567"/>
        </w:trPr>
        <w:tc>
          <w:tcPr>
            <w:tcW w:w="5353" w:type="dxa"/>
          </w:tcPr>
          <w:p w14:paraId="061A835D" w14:textId="77777777" w:rsidR="005E5D6E" w:rsidRPr="005E5D6E" w:rsidRDefault="005E5D6E" w:rsidP="00BE60F3">
            <w:pPr>
              <w:spacing w:before="60" w:after="60" w:line="240" w:lineRule="auto"/>
              <w:rPr>
                <w:rFonts w:eastAsia="Calibri" w:cs="Arial"/>
                <w:b/>
                <w:sz w:val="20"/>
                <w:szCs w:val="20"/>
              </w:rPr>
            </w:pPr>
            <w:r w:rsidRPr="005E5D6E">
              <w:rPr>
                <w:rFonts w:eastAsia="Calibri" w:cs="Arial"/>
                <w:b/>
                <w:sz w:val="20"/>
                <w:szCs w:val="20"/>
              </w:rPr>
              <w:t>Organisational Transformation</w:t>
            </w:r>
          </w:p>
          <w:p w14:paraId="422E2A9A" w14:textId="77EA05B7" w:rsidR="005E5D6E" w:rsidRPr="005E5D6E" w:rsidRDefault="005E5D6E" w:rsidP="00BE60F3">
            <w:pPr>
              <w:spacing w:before="60" w:after="60" w:line="240" w:lineRule="auto"/>
              <w:rPr>
                <w:rFonts w:eastAsia="Calibri" w:cs="Arial"/>
                <w:sz w:val="20"/>
                <w:szCs w:val="20"/>
              </w:rPr>
            </w:pPr>
            <w:r w:rsidRPr="005E5D6E">
              <w:rPr>
                <w:rFonts w:eastAsia="Calibri" w:cs="Arial"/>
                <w:sz w:val="20"/>
                <w:szCs w:val="20"/>
              </w:rPr>
              <w:t>Change</w:t>
            </w:r>
            <w:r w:rsidR="00A4334D">
              <w:rPr>
                <w:rFonts w:eastAsia="Calibri" w:cs="Arial"/>
                <w:sz w:val="20"/>
                <w:szCs w:val="20"/>
              </w:rPr>
              <w:t>-</w:t>
            </w:r>
            <w:r w:rsidRPr="005E5D6E">
              <w:rPr>
                <w:rFonts w:eastAsia="Calibri" w:cs="Arial"/>
                <w:sz w:val="20"/>
                <w:szCs w:val="20"/>
              </w:rPr>
              <w:t>management process</w:t>
            </w:r>
            <w:r w:rsidR="00A0487B">
              <w:rPr>
                <w:rFonts w:eastAsia="Calibri" w:cs="Arial"/>
                <w:sz w:val="20"/>
                <w:szCs w:val="20"/>
              </w:rPr>
              <w:t>es</w:t>
            </w:r>
            <w:r w:rsidRPr="005E5D6E">
              <w:rPr>
                <w:rFonts w:eastAsia="Calibri" w:cs="Arial"/>
                <w:sz w:val="20"/>
                <w:szCs w:val="20"/>
              </w:rPr>
              <w:t xml:space="preserve"> are successfully applied.</w:t>
            </w:r>
          </w:p>
        </w:tc>
        <w:tc>
          <w:tcPr>
            <w:tcW w:w="3686" w:type="dxa"/>
            <w:vMerge/>
          </w:tcPr>
          <w:p w14:paraId="0025290C" w14:textId="77777777" w:rsidR="005E5D6E" w:rsidRPr="005E5D6E" w:rsidRDefault="005E5D6E" w:rsidP="00BE60F3">
            <w:pPr>
              <w:spacing w:after="0" w:line="240" w:lineRule="auto"/>
              <w:rPr>
                <w:rFonts w:eastAsia="Calibri" w:cs="Arial"/>
                <w:sz w:val="20"/>
                <w:szCs w:val="20"/>
              </w:rPr>
            </w:pPr>
          </w:p>
        </w:tc>
      </w:tr>
    </w:tbl>
    <w:p w14:paraId="0A130EAB" w14:textId="3817E04F" w:rsidR="005E5D6E" w:rsidRPr="001E7AC6" w:rsidRDefault="005E5D6E" w:rsidP="0082195C">
      <w:pPr>
        <w:pStyle w:val="Heading2"/>
        <w:rPr>
          <w:rFonts w:eastAsia="Times New Roman"/>
        </w:rPr>
      </w:pPr>
      <w:bookmarkStart w:id="127" w:name="_Toc525563686"/>
      <w:bookmarkStart w:id="128" w:name="_Toc525743685"/>
      <w:bookmarkStart w:id="129" w:name="_Toc532991069"/>
      <w:r w:rsidRPr="001E7AC6">
        <w:rPr>
          <w:rFonts w:eastAsia="Times New Roman"/>
        </w:rPr>
        <w:t>Partnerships</w:t>
      </w:r>
      <w:bookmarkEnd w:id="127"/>
      <w:bookmarkEnd w:id="128"/>
      <w:bookmarkEnd w:id="129"/>
      <w:r w:rsidRPr="001E7AC6">
        <w:rPr>
          <w:rFonts w:eastAsia="Times New Roman"/>
        </w:rPr>
        <w:t xml:space="preserve"> </w:t>
      </w:r>
    </w:p>
    <w:p w14:paraId="182660C2" w14:textId="34D8EDEB" w:rsidR="005E5D6E" w:rsidRPr="005E5D6E" w:rsidRDefault="005E5D6E" w:rsidP="00BE60F3">
      <w:pPr>
        <w:pStyle w:val="BodyText"/>
      </w:pPr>
      <w:r w:rsidRPr="005E5D6E">
        <w:t>For the Australian agencies working in Prospera, the partnership between the government of Australia and the government of Indonesia is of high importance, and by some agencies is considered equal to the institutional development outcomes to which the Australian agencies are contributing through Prospera.</w:t>
      </w:r>
    </w:p>
    <w:p w14:paraId="135AB384" w14:textId="79F6EF44" w:rsidR="005E5D6E" w:rsidRPr="005E5D6E" w:rsidRDefault="005E5D6E" w:rsidP="00BE60F3">
      <w:pPr>
        <w:pStyle w:val="BodyText"/>
      </w:pPr>
      <w:r w:rsidRPr="005E5D6E">
        <w:t>Further, Prospera has been designed to contribute to outcomes through many of the important relationships and partnerships between advisers and the Indonesian institutions, established under the predecessor facility, and which will hopefully be expanded through the ongoing existence of Prospera and the continuity that it represents.</w:t>
      </w:r>
    </w:p>
    <w:p w14:paraId="7D4DE898" w14:textId="58F134CC" w:rsidR="00334B64" w:rsidRDefault="00334B64" w:rsidP="00334B64">
      <w:pPr>
        <w:pStyle w:val="BodyText"/>
      </w:pPr>
      <w:r w:rsidRPr="00334B64">
        <w:t xml:space="preserve">A specific data-collection plan for </w:t>
      </w:r>
      <w:r w:rsidR="00332C28">
        <w:t>p</w:t>
      </w:r>
      <w:r w:rsidRPr="00334B64">
        <w:t xml:space="preserve">artnerships has been developed (Annex </w:t>
      </w:r>
      <w:r w:rsidR="00104657">
        <w:t>6</w:t>
      </w:r>
      <w:r w:rsidRPr="00334B64">
        <w:t>) and tools such as ‘Partnership and Collaboration Analysis’ (</w:t>
      </w:r>
      <w:r w:rsidR="00332C28">
        <w:t xml:space="preserve">See </w:t>
      </w:r>
      <w:r w:rsidRPr="00334B64">
        <w:t xml:space="preserve">Component </w:t>
      </w:r>
      <w:r w:rsidR="00104657">
        <w:t>3</w:t>
      </w:r>
      <w:r w:rsidR="00332C28">
        <w:t xml:space="preserve"> - Toolkit</w:t>
      </w:r>
      <w:r w:rsidRPr="00334B64">
        <w:t>) can be used to guide development and measure the strength of a partnership, so that partners across all forms of partnership can be transparent and pro-active about the way they are agreeing to work together and how their partnership is performing.</w:t>
      </w:r>
      <w:r>
        <w:t xml:space="preserve">  </w:t>
      </w:r>
    </w:p>
    <w:p w14:paraId="15A9CE12" w14:textId="77777777" w:rsidR="005E5D6E" w:rsidRPr="00D52E98" w:rsidRDefault="005E5D6E" w:rsidP="00BE60F3">
      <w:pPr>
        <w:pStyle w:val="Heading1"/>
        <w:rPr>
          <w:rFonts w:eastAsia="Times New Roman"/>
          <w:b/>
        </w:rPr>
      </w:pPr>
      <w:bookmarkStart w:id="130" w:name="_Toc525563687"/>
      <w:bookmarkStart w:id="131" w:name="_Toc525743686"/>
      <w:bookmarkStart w:id="132" w:name="_Toc532991070"/>
      <w:r w:rsidRPr="00D52E98">
        <w:rPr>
          <w:rFonts w:eastAsia="Times New Roman"/>
          <w:b/>
        </w:rPr>
        <w:t>Learning and improvement</w:t>
      </w:r>
      <w:bookmarkEnd w:id="130"/>
      <w:bookmarkEnd w:id="131"/>
      <w:bookmarkEnd w:id="132"/>
      <w:r w:rsidRPr="00D52E98">
        <w:rPr>
          <w:rFonts w:eastAsia="Times New Roman"/>
          <w:b/>
        </w:rPr>
        <w:t xml:space="preserve"> </w:t>
      </w:r>
    </w:p>
    <w:p w14:paraId="2E533CB1" w14:textId="77777777" w:rsidR="005E5D6E" w:rsidRPr="005E5D6E" w:rsidRDefault="005E5D6E" w:rsidP="00BE60F3">
      <w:pPr>
        <w:pStyle w:val="BodyText"/>
      </w:pPr>
      <w:r w:rsidRPr="005E5D6E">
        <w:t xml:space="preserve">This section details the Prospera approach to learning within the Prospera team, and how learning is applied to program improvement. </w:t>
      </w:r>
    </w:p>
    <w:p w14:paraId="4A4C2176" w14:textId="4D83EC63" w:rsidR="005E5D6E" w:rsidRPr="001E7AC6" w:rsidRDefault="005E5D6E" w:rsidP="0082195C">
      <w:pPr>
        <w:pStyle w:val="Heading2"/>
        <w:rPr>
          <w:rFonts w:eastAsia="Times New Roman"/>
        </w:rPr>
      </w:pPr>
      <w:bookmarkStart w:id="133" w:name="_Toc525563688"/>
      <w:bookmarkStart w:id="134" w:name="_Toc525743687"/>
      <w:bookmarkStart w:id="135" w:name="_Toc532991071"/>
      <w:r w:rsidRPr="001E7AC6">
        <w:rPr>
          <w:rFonts w:eastAsia="Times New Roman"/>
        </w:rPr>
        <w:t>Why does Prospera need learning?</w:t>
      </w:r>
      <w:bookmarkEnd w:id="133"/>
      <w:bookmarkEnd w:id="134"/>
      <w:bookmarkEnd w:id="135"/>
      <w:r w:rsidRPr="001E7AC6">
        <w:rPr>
          <w:rFonts w:eastAsia="Times New Roman"/>
        </w:rPr>
        <w:t xml:space="preserve"> </w:t>
      </w:r>
    </w:p>
    <w:p w14:paraId="65AC952D" w14:textId="77777777" w:rsidR="005E5D6E" w:rsidRPr="005E5D6E" w:rsidRDefault="005E5D6E" w:rsidP="00BE60F3">
      <w:pPr>
        <w:pStyle w:val="BodyText"/>
      </w:pPr>
      <w:r w:rsidRPr="005E5D6E">
        <w:t>Learning is essential to effective program delivery and continuous improvement. Prospera needs to have a learning culture, so that:</w:t>
      </w:r>
    </w:p>
    <w:p w14:paraId="28E3D7AF" w14:textId="77777777" w:rsidR="005E5D6E" w:rsidRPr="005E5D6E" w:rsidRDefault="005E5D6E" w:rsidP="00BE60F3">
      <w:pPr>
        <w:pStyle w:val="ListBullet"/>
      </w:pPr>
      <w:r w:rsidRPr="005E5D6E">
        <w:t>Implementers know what is happening across the facility and can contribute their own knowledge to other areas of work as well as their own.</w:t>
      </w:r>
    </w:p>
    <w:p w14:paraId="47D62379" w14:textId="09FB8149" w:rsidR="005E5D6E" w:rsidRPr="005E5D6E" w:rsidRDefault="005E5D6E" w:rsidP="00BE60F3">
      <w:pPr>
        <w:pStyle w:val="ListBullet"/>
      </w:pPr>
      <w:r w:rsidRPr="005E5D6E">
        <w:t xml:space="preserve">Coherence, consistency and collaboration </w:t>
      </w:r>
      <w:r w:rsidR="00A0487B">
        <w:t>are</w:t>
      </w:r>
      <w:r w:rsidRPr="005E5D6E">
        <w:t xml:space="preserve"> enabled.</w:t>
      </w:r>
    </w:p>
    <w:p w14:paraId="7D1BBD0F" w14:textId="48492971" w:rsidR="005E5D6E" w:rsidRPr="005E5D6E" w:rsidRDefault="005E5D6E" w:rsidP="00BE60F3">
      <w:pPr>
        <w:pStyle w:val="ListBullet"/>
      </w:pPr>
      <w:r w:rsidRPr="005E5D6E">
        <w:t xml:space="preserve">Implementers can access relevant new ideas and knowledge and test and apply them in their work with their </w:t>
      </w:r>
      <w:r w:rsidR="00263C60">
        <w:t>partners</w:t>
      </w:r>
      <w:r w:rsidRPr="005E5D6E">
        <w:t xml:space="preserve"> and each other.</w:t>
      </w:r>
    </w:p>
    <w:p w14:paraId="2C30DC11" w14:textId="77777777" w:rsidR="005E5D6E" w:rsidRPr="005E5D6E" w:rsidRDefault="005E5D6E" w:rsidP="00BE60F3">
      <w:pPr>
        <w:pStyle w:val="ListBullet"/>
      </w:pPr>
      <w:r w:rsidRPr="005E5D6E">
        <w:t>There is a culture of reflection that provides a safe environment for testing new and different ideas and approaches, and thinking outside the box for dealing with a complex operating context.</w:t>
      </w:r>
    </w:p>
    <w:p w14:paraId="69773624" w14:textId="77777777" w:rsidR="005E5D6E" w:rsidRPr="005E5D6E" w:rsidRDefault="005E5D6E" w:rsidP="00BE60F3">
      <w:pPr>
        <w:pStyle w:val="ListBullet"/>
        <w:spacing w:after="160"/>
        <w:ind w:left="357" w:hanging="357"/>
      </w:pPr>
      <w:r w:rsidRPr="005E5D6E">
        <w:t xml:space="preserve">There is a practice of continuous improvement. </w:t>
      </w:r>
    </w:p>
    <w:p w14:paraId="1D64E53D" w14:textId="3BA74647" w:rsidR="005E5D6E" w:rsidRPr="001E7AC6" w:rsidRDefault="005E5D6E" w:rsidP="0082195C">
      <w:pPr>
        <w:pStyle w:val="Heading2"/>
        <w:rPr>
          <w:rFonts w:eastAsia="Times New Roman"/>
        </w:rPr>
      </w:pPr>
      <w:bookmarkStart w:id="136" w:name="_Toc525563689"/>
      <w:bookmarkStart w:id="137" w:name="_Toc525743688"/>
      <w:bookmarkStart w:id="138" w:name="_Toc532991072"/>
      <w:r w:rsidRPr="001E7AC6">
        <w:rPr>
          <w:rFonts w:eastAsia="Times New Roman"/>
        </w:rPr>
        <w:t>Supporting a learning culture in a new facility with dispersed teams</w:t>
      </w:r>
      <w:bookmarkEnd w:id="136"/>
      <w:bookmarkEnd w:id="137"/>
      <w:bookmarkEnd w:id="138"/>
    </w:p>
    <w:p w14:paraId="42BB06B0" w14:textId="65BEF271" w:rsidR="005E5D6E" w:rsidRPr="005E5D6E" w:rsidRDefault="005E5D6E" w:rsidP="00BE60F3">
      <w:pPr>
        <w:pStyle w:val="BodyText"/>
      </w:pPr>
      <w:r w:rsidRPr="005E5D6E">
        <w:t xml:space="preserve">As a new facility, Prospera combines Australian agency officers with advisory support to implement </w:t>
      </w:r>
      <w:r w:rsidR="0078792B">
        <w:t>a</w:t>
      </w:r>
      <w:r w:rsidRPr="005E5D6E">
        <w:t>ctivities that contribute to an overarching, consistent set of breakthrough outcomes. This is a unique and new way of working for a DFAT</w:t>
      </w:r>
      <w:r w:rsidR="005A3535">
        <w:t>-</w:t>
      </w:r>
      <w:r w:rsidRPr="005E5D6E">
        <w:t xml:space="preserve">funded program of work. </w:t>
      </w:r>
    </w:p>
    <w:p w14:paraId="1BFC6A40" w14:textId="49255849" w:rsidR="005E5D6E" w:rsidRDefault="005E5D6E" w:rsidP="00BE60F3">
      <w:pPr>
        <w:pStyle w:val="BodyText"/>
      </w:pPr>
      <w:r w:rsidRPr="005E5D6E">
        <w:t>This new way of working, however, presents the challenge of building consistency, coherence and common ways of working, while enabling the particular advantages of both Australian agencies and advisers operating in the space. Further, dispersed teams with some only visiting Indonesia occasionally (or vice-versa) presents a geographical challenge for facilitating face</w:t>
      </w:r>
      <w:r w:rsidR="005A3535">
        <w:t>-</w:t>
      </w:r>
      <w:r w:rsidRPr="005E5D6E">
        <w:t>to</w:t>
      </w:r>
      <w:r w:rsidR="005A3535">
        <w:t>-</w:t>
      </w:r>
      <w:r w:rsidRPr="005E5D6E">
        <w:t>face meetings and workshops.</w:t>
      </w:r>
    </w:p>
    <w:p w14:paraId="7F32FE56" w14:textId="77777777" w:rsidR="001651EE" w:rsidRPr="005E5D6E" w:rsidRDefault="001651EE" w:rsidP="00BE60F3">
      <w:pPr>
        <w:pStyle w:val="BodyText"/>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0"/>
        <w:gridCol w:w="5820"/>
      </w:tblGrid>
      <w:tr w:rsidR="005E5D6E" w:rsidRPr="005E5D6E" w14:paraId="6641DC56" w14:textId="77777777" w:rsidTr="001304F1">
        <w:trPr>
          <w:cantSplit/>
        </w:trPr>
        <w:tc>
          <w:tcPr>
            <w:tcW w:w="3348" w:type="dxa"/>
          </w:tcPr>
          <w:p w14:paraId="0490A0C3" w14:textId="0DD7E5E1" w:rsidR="007F5F67" w:rsidRDefault="00263C60" w:rsidP="00263C60">
            <w:pPr>
              <w:pStyle w:val="Tabletext"/>
              <w:jc w:val="left"/>
              <w:rPr>
                <w:b/>
              </w:rPr>
            </w:pPr>
            <w:r w:rsidRPr="00D52E98">
              <w:rPr>
                <w:b/>
              </w:rPr>
              <w:t xml:space="preserve">Figure </w:t>
            </w:r>
            <w:r w:rsidRPr="00D52E98">
              <w:rPr>
                <w:b/>
                <w:noProof/>
              </w:rPr>
              <w:fldChar w:fldCharType="begin"/>
            </w:r>
            <w:r w:rsidRPr="00D52E98">
              <w:rPr>
                <w:b/>
                <w:noProof/>
              </w:rPr>
              <w:instrText xml:space="preserve"> SEQ Figure \* ARABIC </w:instrText>
            </w:r>
            <w:r w:rsidRPr="00D52E98">
              <w:rPr>
                <w:b/>
                <w:noProof/>
              </w:rPr>
              <w:fldChar w:fldCharType="separate"/>
            </w:r>
            <w:r w:rsidR="001607C5">
              <w:rPr>
                <w:b/>
                <w:noProof/>
              </w:rPr>
              <w:t>7</w:t>
            </w:r>
            <w:r w:rsidRPr="00D52E98">
              <w:rPr>
                <w:b/>
                <w:noProof/>
              </w:rPr>
              <w:fldChar w:fldCharType="end"/>
            </w:r>
            <w:r w:rsidRPr="00D52E98">
              <w:rPr>
                <w:b/>
                <w:noProof/>
                <w:lang w:val="id-ID"/>
              </w:rPr>
              <w:t>.</w:t>
            </w:r>
            <w:r w:rsidRPr="00D52E98">
              <w:rPr>
                <w:b/>
              </w:rPr>
              <w:t xml:space="preserve">  Prospera’s learning initiatives</w:t>
            </w:r>
          </w:p>
          <w:p w14:paraId="773B3839" w14:textId="77777777" w:rsidR="00263C60" w:rsidRPr="00263C60" w:rsidRDefault="00263C60" w:rsidP="00263C60">
            <w:pPr>
              <w:pStyle w:val="Tabletext"/>
              <w:jc w:val="left"/>
              <w:rPr>
                <w:b/>
              </w:rPr>
            </w:pPr>
          </w:p>
          <w:p w14:paraId="3D84EAB3" w14:textId="1B50B2AF" w:rsidR="005E5D6E" w:rsidRPr="005E5D6E" w:rsidRDefault="005E5D6E" w:rsidP="00BE60F3">
            <w:pPr>
              <w:pStyle w:val="BodyText"/>
            </w:pPr>
            <w:r w:rsidRPr="005E5D6E">
              <w:t xml:space="preserve">Various learning and improvement initiatives that will be applied by Prospera are described in Table </w:t>
            </w:r>
            <w:r w:rsidR="00B30435">
              <w:t>11</w:t>
            </w:r>
            <w:r w:rsidRPr="005E5D6E">
              <w:t xml:space="preserve">. Where possible, several of the internal learning initiatives will engage Indonesian government </w:t>
            </w:r>
            <w:r w:rsidR="0078792B">
              <w:t>partners</w:t>
            </w:r>
            <w:r w:rsidRPr="005E5D6E">
              <w:t xml:space="preserve">. The initiatives will also be supported by a </w:t>
            </w:r>
            <w:r w:rsidR="0049623A">
              <w:t xml:space="preserve">digital </w:t>
            </w:r>
            <w:r w:rsidRPr="005E5D6E">
              <w:t>system described in Section 8.3.</w:t>
            </w:r>
          </w:p>
        </w:tc>
        <w:tc>
          <w:tcPr>
            <w:tcW w:w="5894" w:type="dxa"/>
          </w:tcPr>
          <w:p w14:paraId="5D0A112D" w14:textId="77777777" w:rsidR="005E5D6E" w:rsidRPr="005E5D6E" w:rsidRDefault="005E5D6E" w:rsidP="00BE60F3">
            <w:pPr>
              <w:spacing w:after="0" w:line="240" w:lineRule="auto"/>
              <w:rPr>
                <w:rFonts w:eastAsia="Calibri" w:cs="Arial"/>
                <w:noProof/>
                <w:sz w:val="22"/>
              </w:rPr>
            </w:pPr>
            <w:r w:rsidRPr="005E5D6E">
              <w:rPr>
                <w:rFonts w:eastAsia="Calibri" w:cs="Arial"/>
                <w:noProof/>
                <w:sz w:val="22"/>
                <w:lang w:eastAsia="en-AU"/>
              </w:rPr>
              <w:drawing>
                <wp:inline distT="0" distB="0" distL="0" distR="0" wp14:anchorId="36E72340" wp14:editId="5C4010A3">
                  <wp:extent cx="2811780" cy="262115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1780" cy="2621151"/>
                          </a:xfrm>
                          <a:prstGeom prst="rect">
                            <a:avLst/>
                          </a:prstGeom>
                          <a:noFill/>
                          <a:ln>
                            <a:noFill/>
                          </a:ln>
                        </pic:spPr>
                      </pic:pic>
                    </a:graphicData>
                  </a:graphic>
                </wp:inline>
              </w:drawing>
            </w:r>
          </w:p>
        </w:tc>
      </w:tr>
    </w:tbl>
    <w:p w14:paraId="313CBA2B" w14:textId="77777777" w:rsidR="00DF159D" w:rsidRDefault="00DF159D" w:rsidP="00BE60F3">
      <w:pPr>
        <w:keepNext/>
        <w:spacing w:after="200" w:line="240" w:lineRule="auto"/>
        <w:rPr>
          <w:rFonts w:eastAsia="Calibri" w:cs="Arial"/>
          <w:b/>
          <w:bCs/>
          <w:sz w:val="20"/>
          <w:szCs w:val="20"/>
        </w:rPr>
      </w:pPr>
    </w:p>
    <w:p w14:paraId="07AECC27" w14:textId="26E4A353" w:rsidR="005E5D6E" w:rsidRPr="007D1A32" w:rsidRDefault="005E5D6E" w:rsidP="00263C60">
      <w:pPr>
        <w:keepNext/>
        <w:spacing w:after="200" w:line="240" w:lineRule="auto"/>
        <w:rPr>
          <w:rFonts w:eastAsia="Calibri" w:cs="Arial"/>
          <w:b/>
          <w:bCs/>
          <w:sz w:val="18"/>
          <w:szCs w:val="18"/>
        </w:rPr>
      </w:pPr>
      <w:r w:rsidRPr="007D1A32">
        <w:rPr>
          <w:rFonts w:eastAsia="Calibri" w:cs="Arial"/>
          <w:b/>
          <w:bCs/>
          <w:sz w:val="18"/>
          <w:szCs w:val="18"/>
        </w:rPr>
        <w:t xml:space="preserve">Table </w:t>
      </w:r>
      <w:r w:rsidRPr="007D1A32">
        <w:rPr>
          <w:rFonts w:eastAsia="Calibri" w:cs="Arial"/>
          <w:b/>
          <w:bCs/>
          <w:noProof/>
          <w:sz w:val="18"/>
          <w:szCs w:val="18"/>
        </w:rPr>
        <w:fldChar w:fldCharType="begin"/>
      </w:r>
      <w:r w:rsidRPr="007D1A32">
        <w:rPr>
          <w:rFonts w:eastAsia="Calibri" w:cs="Arial"/>
          <w:b/>
          <w:bCs/>
          <w:noProof/>
          <w:sz w:val="18"/>
          <w:szCs w:val="18"/>
        </w:rPr>
        <w:instrText xml:space="preserve"> SEQ Table \* ARABIC </w:instrText>
      </w:r>
      <w:r w:rsidRPr="007D1A32">
        <w:rPr>
          <w:rFonts w:eastAsia="Calibri" w:cs="Arial"/>
          <w:b/>
          <w:bCs/>
          <w:noProof/>
          <w:sz w:val="18"/>
          <w:szCs w:val="18"/>
        </w:rPr>
        <w:fldChar w:fldCharType="separate"/>
      </w:r>
      <w:r w:rsidR="00326160">
        <w:rPr>
          <w:rFonts w:eastAsia="Calibri" w:cs="Arial"/>
          <w:b/>
          <w:bCs/>
          <w:noProof/>
          <w:sz w:val="18"/>
          <w:szCs w:val="18"/>
        </w:rPr>
        <w:t>11</w:t>
      </w:r>
      <w:r w:rsidRPr="007D1A32">
        <w:rPr>
          <w:rFonts w:eastAsia="Calibri" w:cs="Arial"/>
          <w:b/>
          <w:bCs/>
          <w:noProof/>
          <w:sz w:val="18"/>
          <w:szCs w:val="18"/>
        </w:rPr>
        <w:fldChar w:fldCharType="end"/>
      </w:r>
      <w:r w:rsidR="00D52E98" w:rsidRPr="007D1A32">
        <w:rPr>
          <w:rFonts w:eastAsia="Calibri" w:cs="Arial"/>
          <w:b/>
          <w:bCs/>
          <w:noProof/>
          <w:sz w:val="18"/>
          <w:szCs w:val="18"/>
          <w:lang w:val="id-ID"/>
        </w:rPr>
        <w:t>.</w:t>
      </w:r>
      <w:r w:rsidRPr="007D1A32">
        <w:rPr>
          <w:rFonts w:eastAsia="Calibri" w:cs="Arial"/>
          <w:b/>
          <w:bCs/>
          <w:sz w:val="18"/>
          <w:szCs w:val="18"/>
        </w:rPr>
        <w:t xml:space="preserve"> Prospera’s learning initiatives</w:t>
      </w:r>
    </w:p>
    <w:tbl>
      <w:tblPr>
        <w:tblStyle w:val="TableGrid1"/>
        <w:tblW w:w="0" w:type="auto"/>
        <w:tblLook w:val="04A0" w:firstRow="1" w:lastRow="0" w:firstColumn="1" w:lastColumn="0" w:noHBand="0" w:noVBand="1"/>
      </w:tblPr>
      <w:tblGrid>
        <w:gridCol w:w="1714"/>
        <w:gridCol w:w="7326"/>
      </w:tblGrid>
      <w:tr w:rsidR="005E5D6E" w:rsidRPr="005E5D6E" w14:paraId="50808FE7" w14:textId="77777777" w:rsidTr="00D52E98">
        <w:trPr>
          <w:cantSplit/>
          <w:tblHeader/>
        </w:trPr>
        <w:tc>
          <w:tcPr>
            <w:tcW w:w="1714" w:type="dxa"/>
            <w:shd w:val="clear" w:color="auto" w:fill="20ABCA"/>
          </w:tcPr>
          <w:p w14:paraId="57DA9FC6" w14:textId="77777777" w:rsidR="005E5D6E" w:rsidRPr="005E5D6E" w:rsidRDefault="005E5D6E" w:rsidP="00BE60F3">
            <w:pPr>
              <w:keepNext/>
              <w:keepLines/>
              <w:spacing w:before="120" w:after="120" w:line="240" w:lineRule="auto"/>
              <w:outlineLvl w:val="3"/>
              <w:rPr>
                <w:rFonts w:eastAsia="Times New Roman" w:cs="Arial"/>
                <w:b/>
                <w:bCs/>
                <w:color w:val="FFFFFF"/>
                <w:sz w:val="20"/>
                <w:szCs w:val="20"/>
              </w:rPr>
            </w:pPr>
            <w:r w:rsidRPr="005E5D6E">
              <w:rPr>
                <w:rFonts w:eastAsia="Times New Roman" w:cs="Arial"/>
                <w:b/>
                <w:bCs/>
                <w:color w:val="FFFFFF"/>
                <w:sz w:val="20"/>
                <w:szCs w:val="20"/>
              </w:rPr>
              <w:t>Learning tools</w:t>
            </w:r>
          </w:p>
        </w:tc>
        <w:tc>
          <w:tcPr>
            <w:tcW w:w="7326" w:type="dxa"/>
            <w:shd w:val="clear" w:color="auto" w:fill="20ABCA"/>
          </w:tcPr>
          <w:p w14:paraId="79306430" w14:textId="77777777" w:rsidR="005E5D6E" w:rsidRPr="005E5D6E" w:rsidRDefault="005E5D6E" w:rsidP="00BE60F3">
            <w:pPr>
              <w:keepNext/>
              <w:keepLines/>
              <w:spacing w:before="120" w:after="120" w:line="240" w:lineRule="auto"/>
              <w:outlineLvl w:val="3"/>
              <w:rPr>
                <w:rFonts w:eastAsia="Times New Roman" w:cs="Arial"/>
                <w:b/>
                <w:bCs/>
                <w:color w:val="FFFFFF"/>
                <w:sz w:val="20"/>
                <w:szCs w:val="20"/>
              </w:rPr>
            </w:pPr>
            <w:r w:rsidRPr="005E5D6E">
              <w:rPr>
                <w:rFonts w:eastAsia="Times New Roman" w:cs="Arial"/>
                <w:b/>
                <w:bCs/>
                <w:color w:val="FFFFFF"/>
                <w:sz w:val="20"/>
                <w:szCs w:val="20"/>
              </w:rPr>
              <w:t>What happens when and who would be involved</w:t>
            </w:r>
          </w:p>
        </w:tc>
      </w:tr>
      <w:tr w:rsidR="005E5D6E" w:rsidRPr="005E5D6E" w14:paraId="6B1AE3BB" w14:textId="77777777" w:rsidTr="00D52E98">
        <w:trPr>
          <w:cantSplit/>
        </w:trPr>
        <w:tc>
          <w:tcPr>
            <w:tcW w:w="1714" w:type="dxa"/>
            <w:shd w:val="clear" w:color="auto" w:fill="20ABCA"/>
          </w:tcPr>
          <w:p w14:paraId="6F1D8488" w14:textId="77777777" w:rsidR="005E5D6E" w:rsidRPr="005E5D6E" w:rsidRDefault="005E5D6E" w:rsidP="00BE60F3">
            <w:pPr>
              <w:spacing w:before="120" w:after="120" w:line="240" w:lineRule="auto"/>
              <w:rPr>
                <w:rFonts w:eastAsia="Calibri" w:cs="Arial"/>
                <w:b/>
                <w:color w:val="FFFFFF"/>
                <w:sz w:val="20"/>
                <w:szCs w:val="20"/>
              </w:rPr>
            </w:pPr>
            <w:r w:rsidRPr="005E5D6E">
              <w:rPr>
                <w:rFonts w:eastAsia="Calibri" w:cs="Arial"/>
                <w:b/>
                <w:color w:val="FFFFFF"/>
                <w:sz w:val="20"/>
                <w:szCs w:val="20"/>
              </w:rPr>
              <w:t>Website</w:t>
            </w:r>
          </w:p>
        </w:tc>
        <w:tc>
          <w:tcPr>
            <w:tcW w:w="7326" w:type="dxa"/>
          </w:tcPr>
          <w:p w14:paraId="5A7239A9" w14:textId="77777777" w:rsidR="005E5D6E" w:rsidRPr="005E5D6E" w:rsidRDefault="005E5D6E" w:rsidP="00BE60F3">
            <w:pPr>
              <w:spacing w:before="120" w:after="120" w:line="240" w:lineRule="auto"/>
              <w:rPr>
                <w:rFonts w:eastAsia="Calibri" w:cs="Arial"/>
                <w:sz w:val="20"/>
                <w:szCs w:val="20"/>
              </w:rPr>
            </w:pPr>
            <w:r w:rsidRPr="005E5D6E">
              <w:rPr>
                <w:rFonts w:eastAsia="Microsoft YaHei UI" w:cs="Arial"/>
                <w:color w:val="000000"/>
                <w:sz w:val="20"/>
                <w:szCs w:val="20"/>
              </w:rPr>
              <w:t xml:space="preserve">Prospera’s website will be the first place many people visit to find out more about the program. The website is designed to provide easily accessible information about Prospera, demonstrate a modern economic partnership, and share select success stories with contacts on where to go for more information.  </w:t>
            </w:r>
          </w:p>
        </w:tc>
      </w:tr>
      <w:tr w:rsidR="005E5D6E" w:rsidRPr="005E5D6E" w14:paraId="77E28A91" w14:textId="77777777" w:rsidTr="00D52E98">
        <w:trPr>
          <w:cantSplit/>
        </w:trPr>
        <w:tc>
          <w:tcPr>
            <w:tcW w:w="1714" w:type="dxa"/>
            <w:shd w:val="clear" w:color="auto" w:fill="20ABCA"/>
          </w:tcPr>
          <w:p w14:paraId="019F66E3" w14:textId="77777777" w:rsidR="005E5D6E" w:rsidRPr="005E5D6E" w:rsidRDefault="005E5D6E" w:rsidP="00BE60F3">
            <w:pPr>
              <w:spacing w:before="120" w:after="120" w:line="240" w:lineRule="auto"/>
              <w:rPr>
                <w:rFonts w:eastAsia="Calibri" w:cs="Arial"/>
                <w:b/>
                <w:color w:val="FFFFFF"/>
                <w:sz w:val="20"/>
                <w:szCs w:val="20"/>
              </w:rPr>
            </w:pPr>
            <w:r w:rsidRPr="005E5D6E">
              <w:rPr>
                <w:rFonts w:eastAsia="Calibri" w:cs="Arial"/>
                <w:b/>
                <w:color w:val="FFFFFF"/>
                <w:sz w:val="20"/>
                <w:szCs w:val="20"/>
              </w:rPr>
              <w:t>Monthly newsletter</w:t>
            </w:r>
          </w:p>
        </w:tc>
        <w:tc>
          <w:tcPr>
            <w:tcW w:w="7326" w:type="dxa"/>
          </w:tcPr>
          <w:p w14:paraId="5B3ABFF2" w14:textId="0780BD08" w:rsidR="005E5D6E" w:rsidRPr="005E5D6E" w:rsidRDefault="005E5D6E" w:rsidP="00BE60F3">
            <w:pPr>
              <w:spacing w:before="120" w:after="120" w:line="240" w:lineRule="auto"/>
              <w:rPr>
                <w:rFonts w:eastAsia="Microsoft YaHei UI" w:cs="Arial"/>
                <w:color w:val="000000"/>
                <w:sz w:val="20"/>
                <w:szCs w:val="20"/>
              </w:rPr>
            </w:pPr>
            <w:r w:rsidRPr="005E5D6E">
              <w:rPr>
                <w:rFonts w:eastAsia="Microsoft YaHei UI" w:cs="Arial"/>
                <w:color w:val="000000"/>
                <w:sz w:val="20"/>
                <w:szCs w:val="20"/>
              </w:rPr>
              <w:t xml:space="preserve">Prospera’s monthly newsletter will be distributed via email to around 200 recipients, mostly Prospera staff, Australian agencies and DFAT. The objective is to </w:t>
            </w:r>
            <w:r w:rsidR="005A3535">
              <w:rPr>
                <w:rFonts w:eastAsia="Microsoft YaHei UI" w:cs="Arial"/>
                <w:color w:val="000000"/>
                <w:sz w:val="20"/>
                <w:szCs w:val="20"/>
              </w:rPr>
              <w:t>s</w:t>
            </w:r>
            <w:r w:rsidRPr="005E5D6E">
              <w:rPr>
                <w:rFonts w:eastAsia="Microsoft YaHei UI" w:cs="Arial"/>
                <w:color w:val="000000"/>
                <w:sz w:val="20"/>
                <w:szCs w:val="20"/>
              </w:rPr>
              <w:t>hare snapshots of Prospera work and increase collaboration. A searchable archive of newsletter articles will be hosted on its own microsite.</w:t>
            </w:r>
          </w:p>
        </w:tc>
      </w:tr>
      <w:tr w:rsidR="005E5D6E" w:rsidRPr="005E5D6E" w14:paraId="656B9AF1" w14:textId="77777777" w:rsidTr="00D52E98">
        <w:trPr>
          <w:cantSplit/>
        </w:trPr>
        <w:tc>
          <w:tcPr>
            <w:tcW w:w="1714" w:type="dxa"/>
            <w:shd w:val="clear" w:color="auto" w:fill="20ABCA"/>
          </w:tcPr>
          <w:p w14:paraId="48EAD84F" w14:textId="229EB871" w:rsidR="005E5D6E" w:rsidRPr="005E5D6E" w:rsidRDefault="005A3535" w:rsidP="00BE60F3">
            <w:pPr>
              <w:spacing w:before="120" w:after="120" w:line="240" w:lineRule="auto"/>
              <w:rPr>
                <w:rFonts w:eastAsia="Calibri" w:cs="Arial"/>
                <w:b/>
                <w:color w:val="FFFFFF"/>
                <w:sz w:val="20"/>
                <w:szCs w:val="20"/>
              </w:rPr>
            </w:pPr>
            <w:r>
              <w:rPr>
                <w:rFonts w:eastAsia="Calibri" w:cs="Arial"/>
                <w:b/>
                <w:color w:val="FFFFFF"/>
                <w:sz w:val="20"/>
                <w:szCs w:val="20"/>
              </w:rPr>
              <w:t>‘</w:t>
            </w:r>
            <w:r w:rsidR="005E5D6E" w:rsidRPr="005E5D6E">
              <w:rPr>
                <w:rFonts w:eastAsia="Calibri" w:cs="Arial"/>
                <w:b/>
                <w:color w:val="FFFFFF"/>
                <w:sz w:val="20"/>
                <w:szCs w:val="20"/>
              </w:rPr>
              <w:t>Brown bag’ seminars</w:t>
            </w:r>
          </w:p>
        </w:tc>
        <w:tc>
          <w:tcPr>
            <w:tcW w:w="7326" w:type="dxa"/>
          </w:tcPr>
          <w:p w14:paraId="74791D72" w14:textId="521046CB" w:rsidR="005E5D6E" w:rsidRPr="005E5D6E" w:rsidRDefault="005E5D6E" w:rsidP="00BE60F3">
            <w:pPr>
              <w:spacing w:before="120" w:after="120" w:line="240" w:lineRule="auto"/>
              <w:rPr>
                <w:rFonts w:eastAsia="Calibri" w:cs="Arial"/>
                <w:sz w:val="20"/>
                <w:szCs w:val="20"/>
              </w:rPr>
            </w:pPr>
            <w:r w:rsidRPr="005E5D6E">
              <w:rPr>
                <w:rFonts w:eastAsia="Calibri" w:cs="Arial"/>
                <w:sz w:val="20"/>
                <w:szCs w:val="20"/>
              </w:rPr>
              <w:t xml:space="preserve">Monthly (or opportunistic when a specialist presenter is in town) brown bag lunches will bring together Prospera team members and </w:t>
            </w:r>
            <w:r w:rsidR="00263C60">
              <w:rPr>
                <w:rFonts w:eastAsia="Calibri" w:cs="Arial"/>
                <w:sz w:val="20"/>
                <w:szCs w:val="20"/>
              </w:rPr>
              <w:t xml:space="preserve">partners </w:t>
            </w:r>
            <w:r w:rsidRPr="005E5D6E">
              <w:rPr>
                <w:rFonts w:eastAsia="Calibri" w:cs="Arial"/>
                <w:sz w:val="20"/>
                <w:szCs w:val="20"/>
              </w:rPr>
              <w:t xml:space="preserve">in Jakarta to participate in a presentation or facilitated discussion about a topical issue. The schedule </w:t>
            </w:r>
            <w:r w:rsidR="0078792B">
              <w:rPr>
                <w:rFonts w:eastAsia="Calibri" w:cs="Arial"/>
                <w:sz w:val="20"/>
                <w:szCs w:val="20"/>
              </w:rPr>
              <w:t xml:space="preserve">and presentations </w:t>
            </w:r>
            <w:r w:rsidRPr="005E5D6E">
              <w:rPr>
                <w:rFonts w:eastAsia="Calibri" w:cs="Arial"/>
                <w:sz w:val="20"/>
                <w:szCs w:val="20"/>
              </w:rPr>
              <w:t xml:space="preserve">will be published on the Prospera knowledge system. </w:t>
            </w:r>
          </w:p>
        </w:tc>
      </w:tr>
      <w:tr w:rsidR="005E5D6E" w:rsidRPr="005E5D6E" w14:paraId="445E3EAF" w14:textId="77777777" w:rsidTr="00D52E98">
        <w:trPr>
          <w:cantSplit/>
        </w:trPr>
        <w:tc>
          <w:tcPr>
            <w:tcW w:w="1714" w:type="dxa"/>
            <w:shd w:val="clear" w:color="auto" w:fill="20ABCA"/>
          </w:tcPr>
          <w:p w14:paraId="6C240B8E" w14:textId="77777777" w:rsidR="005E5D6E" w:rsidRPr="005E5D6E" w:rsidRDefault="005E5D6E" w:rsidP="00BE60F3">
            <w:pPr>
              <w:spacing w:before="120" w:after="120" w:line="240" w:lineRule="auto"/>
              <w:rPr>
                <w:rFonts w:eastAsia="Calibri" w:cs="Arial"/>
                <w:b/>
                <w:color w:val="FFFFFF"/>
                <w:sz w:val="20"/>
                <w:szCs w:val="20"/>
              </w:rPr>
            </w:pPr>
            <w:bookmarkStart w:id="139" w:name="_Hlk525641619"/>
            <w:r w:rsidRPr="005E5D6E">
              <w:rPr>
                <w:rFonts w:eastAsia="Calibri" w:cs="Arial"/>
                <w:b/>
                <w:color w:val="FFFFFF"/>
                <w:sz w:val="20"/>
                <w:szCs w:val="20"/>
              </w:rPr>
              <w:t>Strategic review workshops</w:t>
            </w:r>
          </w:p>
        </w:tc>
        <w:tc>
          <w:tcPr>
            <w:tcW w:w="7326" w:type="dxa"/>
          </w:tcPr>
          <w:p w14:paraId="3DDC3807" w14:textId="0FF48D7D" w:rsidR="005E5D6E" w:rsidRPr="005E5D6E" w:rsidRDefault="005E5D6E" w:rsidP="00BE60F3">
            <w:pPr>
              <w:spacing w:before="120" w:after="120" w:line="240" w:lineRule="auto"/>
              <w:rPr>
                <w:rFonts w:eastAsia="Calibri" w:cs="Arial"/>
                <w:sz w:val="20"/>
                <w:szCs w:val="20"/>
              </w:rPr>
            </w:pPr>
            <w:r w:rsidRPr="005E5D6E">
              <w:rPr>
                <w:rFonts w:eastAsia="Calibri" w:cs="Arial"/>
                <w:sz w:val="20"/>
                <w:szCs w:val="20"/>
              </w:rPr>
              <w:t xml:space="preserve">Each year as part of the activity planning cycle, Prospera will hold two whole-day strategic review workshops Jakarta and Canberra. These workshops will bring together Prospera advisers, Australian agencies and DFAT to examine the whole portfolio of proposed activities. These workshops will dive more deeply into what efforts will yield the best results </w:t>
            </w:r>
            <w:r w:rsidR="005A3535">
              <w:rPr>
                <w:rFonts w:eastAsia="Calibri" w:cs="Arial"/>
                <w:sz w:val="20"/>
                <w:szCs w:val="20"/>
              </w:rPr>
              <w:t xml:space="preserve">on </w:t>
            </w:r>
            <w:r w:rsidRPr="005E5D6E">
              <w:rPr>
                <w:rFonts w:eastAsia="Calibri" w:cs="Arial"/>
                <w:sz w:val="20"/>
                <w:szCs w:val="20"/>
              </w:rPr>
              <w:t>a risk-reward basis</w:t>
            </w:r>
            <w:r w:rsidR="005A3535">
              <w:rPr>
                <w:rFonts w:eastAsia="Calibri" w:cs="Arial"/>
                <w:sz w:val="20"/>
                <w:szCs w:val="20"/>
              </w:rPr>
              <w:t>,</w:t>
            </w:r>
            <w:r w:rsidRPr="005E5D6E">
              <w:rPr>
                <w:rFonts w:eastAsia="Calibri" w:cs="Arial"/>
                <w:sz w:val="20"/>
                <w:szCs w:val="20"/>
              </w:rPr>
              <w:t xml:space="preserve"> </w:t>
            </w:r>
            <w:r w:rsidR="005A3535">
              <w:rPr>
                <w:rFonts w:eastAsia="Calibri" w:cs="Arial"/>
                <w:sz w:val="20"/>
                <w:szCs w:val="20"/>
              </w:rPr>
              <w:t>a</w:t>
            </w:r>
            <w:r w:rsidRPr="005E5D6E">
              <w:rPr>
                <w:rFonts w:eastAsia="Calibri" w:cs="Arial"/>
                <w:sz w:val="20"/>
                <w:szCs w:val="20"/>
              </w:rPr>
              <w:t xml:space="preserve">nd aim to ensure the best possible alignment with Prospera’s breakthrough outcomes. </w:t>
            </w:r>
          </w:p>
        </w:tc>
      </w:tr>
      <w:bookmarkEnd w:id="139"/>
      <w:tr w:rsidR="005E5D6E" w:rsidRPr="005E5D6E" w14:paraId="46198962" w14:textId="77777777" w:rsidTr="001304F1">
        <w:trPr>
          <w:cantSplit/>
        </w:trPr>
        <w:tc>
          <w:tcPr>
            <w:tcW w:w="0" w:type="auto"/>
            <w:gridSpan w:val="2"/>
            <w:shd w:val="clear" w:color="auto" w:fill="20ABCA"/>
          </w:tcPr>
          <w:p w14:paraId="6E9786C1" w14:textId="77777777" w:rsidR="005E5D6E" w:rsidRPr="005E5D6E" w:rsidRDefault="005E5D6E" w:rsidP="00BE60F3">
            <w:pPr>
              <w:spacing w:before="120" w:after="120" w:line="240" w:lineRule="auto"/>
              <w:rPr>
                <w:rFonts w:eastAsia="Calibri" w:cs="Arial"/>
                <w:color w:val="FFFFFF"/>
                <w:sz w:val="20"/>
                <w:szCs w:val="20"/>
              </w:rPr>
            </w:pPr>
            <w:r w:rsidRPr="005E5D6E">
              <w:rPr>
                <w:rFonts w:eastAsia="Calibri" w:cs="Arial"/>
                <w:b/>
                <w:color w:val="FFFFFF"/>
                <w:sz w:val="20"/>
                <w:szCs w:val="20"/>
              </w:rPr>
              <w:t xml:space="preserve">Communities of practice </w:t>
            </w:r>
          </w:p>
        </w:tc>
      </w:tr>
      <w:tr w:rsidR="00D52E98" w:rsidRPr="005E5D6E" w14:paraId="67751149" w14:textId="77777777" w:rsidTr="00D52E98">
        <w:trPr>
          <w:cantSplit/>
        </w:trPr>
        <w:tc>
          <w:tcPr>
            <w:tcW w:w="1714" w:type="dxa"/>
            <w:shd w:val="clear" w:color="auto" w:fill="20ABCA"/>
          </w:tcPr>
          <w:p w14:paraId="086D7E75" w14:textId="5905FD4A" w:rsidR="00D52E98" w:rsidRPr="005E5D6E" w:rsidRDefault="00D52E98" w:rsidP="00BE60F3">
            <w:pPr>
              <w:spacing w:before="120" w:after="120" w:line="240" w:lineRule="auto"/>
              <w:rPr>
                <w:rFonts w:eastAsia="Calibri" w:cs="Arial"/>
                <w:b/>
                <w:color w:val="FFFFFF"/>
                <w:sz w:val="20"/>
                <w:szCs w:val="20"/>
              </w:rPr>
            </w:pPr>
            <w:r w:rsidRPr="00281A75">
              <w:rPr>
                <w:i/>
                <w:color w:val="FFFFFF" w:themeColor="background1"/>
                <w:sz w:val="20"/>
                <w:szCs w:val="20"/>
              </w:rPr>
              <w:t>Australian agencies &amp; public sector community of practice</w:t>
            </w:r>
          </w:p>
        </w:tc>
        <w:tc>
          <w:tcPr>
            <w:tcW w:w="7326" w:type="dxa"/>
          </w:tcPr>
          <w:p w14:paraId="6B98FED5" w14:textId="2D6A81B4" w:rsidR="00D52E98" w:rsidRPr="0078792B" w:rsidRDefault="00D52E98" w:rsidP="0078792B">
            <w:pPr>
              <w:spacing w:before="120" w:after="120"/>
              <w:rPr>
                <w:sz w:val="20"/>
                <w:szCs w:val="20"/>
              </w:rPr>
            </w:pPr>
            <w:r w:rsidRPr="00611719">
              <w:rPr>
                <w:sz w:val="20"/>
                <w:szCs w:val="20"/>
              </w:rPr>
              <w:t>Working specifically in the ar</w:t>
            </w:r>
            <w:r w:rsidRPr="00917AA6">
              <w:rPr>
                <w:sz w:val="20"/>
                <w:szCs w:val="20"/>
              </w:rPr>
              <w:t>eas of government</w:t>
            </w:r>
            <w:r w:rsidR="005A3535" w:rsidRPr="00917AA6">
              <w:rPr>
                <w:sz w:val="20"/>
                <w:szCs w:val="20"/>
              </w:rPr>
              <w:t>-</w:t>
            </w:r>
            <w:r w:rsidRPr="00917AA6">
              <w:rPr>
                <w:sz w:val="20"/>
                <w:szCs w:val="20"/>
              </w:rPr>
              <w:t>to</w:t>
            </w:r>
            <w:r w:rsidR="005A3535" w:rsidRPr="00917AA6">
              <w:rPr>
                <w:sz w:val="20"/>
                <w:szCs w:val="20"/>
              </w:rPr>
              <w:t>-</w:t>
            </w:r>
            <w:r w:rsidRPr="00917AA6">
              <w:rPr>
                <w:sz w:val="20"/>
                <w:szCs w:val="20"/>
              </w:rPr>
              <w:t xml:space="preserve">government partnership the Australian agencies have particular areas of work where they can share good practice examples and approaches and learn from each other. This can be done in the broader context of Public Sector development </w:t>
            </w:r>
            <w:r w:rsidR="0078792B" w:rsidRPr="00917AA6">
              <w:rPr>
                <w:sz w:val="20"/>
                <w:szCs w:val="20"/>
              </w:rPr>
              <w:t xml:space="preserve">with </w:t>
            </w:r>
            <w:r w:rsidRPr="00917AA6">
              <w:rPr>
                <w:sz w:val="20"/>
                <w:szCs w:val="20"/>
              </w:rPr>
              <w:t xml:space="preserve">the Indonesian government. Performance </w:t>
            </w:r>
            <w:r w:rsidR="005A3535" w:rsidRPr="00917AA6">
              <w:rPr>
                <w:sz w:val="20"/>
                <w:szCs w:val="20"/>
              </w:rPr>
              <w:t>m</w:t>
            </w:r>
            <w:r w:rsidRPr="00917AA6">
              <w:rPr>
                <w:sz w:val="20"/>
                <w:szCs w:val="20"/>
              </w:rPr>
              <w:t>onitoring and evaluation</w:t>
            </w:r>
            <w:r w:rsidR="005A3535" w:rsidRPr="00917AA6">
              <w:rPr>
                <w:sz w:val="20"/>
                <w:szCs w:val="20"/>
              </w:rPr>
              <w:t>,</w:t>
            </w:r>
            <w:r w:rsidRPr="00917AA6">
              <w:rPr>
                <w:sz w:val="20"/>
                <w:szCs w:val="20"/>
              </w:rPr>
              <w:t xml:space="preserve"> and </w:t>
            </w:r>
            <w:r w:rsidR="005A3535" w:rsidRPr="00917AA6">
              <w:rPr>
                <w:sz w:val="20"/>
                <w:szCs w:val="20"/>
              </w:rPr>
              <w:t>g</w:t>
            </w:r>
            <w:r w:rsidRPr="00917AA6">
              <w:rPr>
                <w:sz w:val="20"/>
                <w:szCs w:val="20"/>
              </w:rPr>
              <w:t xml:space="preserve">ender </w:t>
            </w:r>
            <w:r w:rsidR="005A3535" w:rsidRPr="00917AA6">
              <w:rPr>
                <w:sz w:val="20"/>
                <w:szCs w:val="20"/>
              </w:rPr>
              <w:t>e</w:t>
            </w:r>
            <w:r w:rsidR="0078792B" w:rsidRPr="00917AA6">
              <w:rPr>
                <w:sz w:val="20"/>
                <w:szCs w:val="20"/>
              </w:rPr>
              <w:t>q</w:t>
            </w:r>
            <w:r w:rsidRPr="00917AA6">
              <w:rPr>
                <w:sz w:val="20"/>
                <w:szCs w:val="20"/>
              </w:rPr>
              <w:t xml:space="preserve">uality and </w:t>
            </w:r>
            <w:r w:rsidR="005A3535" w:rsidRPr="00917AA6">
              <w:rPr>
                <w:sz w:val="20"/>
                <w:szCs w:val="20"/>
              </w:rPr>
              <w:t>s</w:t>
            </w:r>
            <w:r w:rsidRPr="00917AA6">
              <w:rPr>
                <w:sz w:val="20"/>
                <w:szCs w:val="20"/>
              </w:rPr>
              <w:t xml:space="preserve">ocial </w:t>
            </w:r>
            <w:r w:rsidR="005A3535" w:rsidRPr="00917AA6">
              <w:rPr>
                <w:sz w:val="20"/>
                <w:szCs w:val="20"/>
              </w:rPr>
              <w:t>i</w:t>
            </w:r>
            <w:r w:rsidRPr="00917AA6">
              <w:rPr>
                <w:sz w:val="20"/>
                <w:szCs w:val="20"/>
              </w:rPr>
              <w:t>nclusion are likely to be ongoing topic</w:t>
            </w:r>
            <w:r w:rsidR="005A3535" w:rsidRPr="00917AA6">
              <w:rPr>
                <w:sz w:val="20"/>
                <w:szCs w:val="20"/>
              </w:rPr>
              <w:t>s</w:t>
            </w:r>
            <w:r w:rsidRPr="00917AA6">
              <w:rPr>
                <w:sz w:val="20"/>
                <w:szCs w:val="20"/>
              </w:rPr>
              <w:t xml:space="preserve"> for discussion and support at these events. This Community of Practice is proposed to be supported by Prospera to convene quarterly in Canberra to examine topics of mutual interest and to keep this group current with Prospera in Jakarta.  </w:t>
            </w:r>
            <w:r w:rsidR="00C72FD9" w:rsidRPr="00917AA6">
              <w:rPr>
                <w:sz w:val="20"/>
                <w:szCs w:val="20"/>
              </w:rPr>
              <w:t>Virtual communication methods will also be supported.</w:t>
            </w:r>
            <w:r w:rsidR="00C72FD9">
              <w:rPr>
                <w:sz w:val="20"/>
                <w:szCs w:val="20"/>
              </w:rPr>
              <w:t xml:space="preserve"> </w:t>
            </w:r>
          </w:p>
        </w:tc>
      </w:tr>
      <w:tr w:rsidR="00020592" w:rsidRPr="005E5D6E" w14:paraId="604F8BA0" w14:textId="77777777" w:rsidTr="00D52E98">
        <w:trPr>
          <w:cantSplit/>
        </w:trPr>
        <w:tc>
          <w:tcPr>
            <w:tcW w:w="1714" w:type="dxa"/>
            <w:shd w:val="clear" w:color="auto" w:fill="20ABCA"/>
          </w:tcPr>
          <w:p w14:paraId="3B6C7A22" w14:textId="6DD4C3C3" w:rsidR="00020592" w:rsidRPr="005E5D6E" w:rsidRDefault="00020592" w:rsidP="00BE60F3">
            <w:pPr>
              <w:spacing w:before="120" w:after="120" w:line="240" w:lineRule="auto"/>
              <w:rPr>
                <w:rFonts w:eastAsia="Calibri" w:cs="Arial"/>
                <w:b/>
                <w:color w:val="FFFFFF"/>
                <w:sz w:val="20"/>
                <w:szCs w:val="20"/>
              </w:rPr>
            </w:pPr>
            <w:r w:rsidRPr="00281A75">
              <w:rPr>
                <w:i/>
                <w:color w:val="FFFFFF" w:themeColor="background1"/>
                <w:sz w:val="20"/>
                <w:szCs w:val="20"/>
              </w:rPr>
              <w:t>Breakthrough outcomes community of practice</w:t>
            </w:r>
          </w:p>
        </w:tc>
        <w:tc>
          <w:tcPr>
            <w:tcW w:w="7326" w:type="dxa"/>
          </w:tcPr>
          <w:p w14:paraId="1666FA2A" w14:textId="72156260" w:rsidR="00020592" w:rsidRPr="00611719" w:rsidRDefault="00020592" w:rsidP="00BE60F3">
            <w:pPr>
              <w:spacing w:before="120" w:after="120"/>
              <w:rPr>
                <w:sz w:val="20"/>
                <w:szCs w:val="20"/>
              </w:rPr>
            </w:pPr>
            <w:r w:rsidRPr="00611719">
              <w:rPr>
                <w:sz w:val="20"/>
                <w:szCs w:val="20"/>
              </w:rPr>
              <w:t xml:space="preserve">Integration of </w:t>
            </w:r>
            <w:r w:rsidR="005A3535">
              <w:rPr>
                <w:sz w:val="20"/>
                <w:szCs w:val="20"/>
              </w:rPr>
              <w:t>a</w:t>
            </w:r>
            <w:r w:rsidRPr="00611719">
              <w:rPr>
                <w:sz w:val="20"/>
                <w:szCs w:val="20"/>
              </w:rPr>
              <w:t xml:space="preserve">ctivity design, implementation and strategy testing will be supported by Prospera for each </w:t>
            </w:r>
            <w:r w:rsidR="005A3535">
              <w:rPr>
                <w:sz w:val="20"/>
                <w:szCs w:val="20"/>
              </w:rPr>
              <w:t>b</w:t>
            </w:r>
            <w:r w:rsidRPr="00611719">
              <w:rPr>
                <w:sz w:val="20"/>
                <w:szCs w:val="20"/>
              </w:rPr>
              <w:t xml:space="preserve">reakthrough area and between </w:t>
            </w:r>
            <w:r w:rsidR="005A3535">
              <w:rPr>
                <w:sz w:val="20"/>
                <w:szCs w:val="20"/>
              </w:rPr>
              <w:t>b</w:t>
            </w:r>
            <w:r w:rsidRPr="00611719">
              <w:rPr>
                <w:sz w:val="20"/>
                <w:szCs w:val="20"/>
              </w:rPr>
              <w:t>reakthrough areas. This will be achieved through the:</w:t>
            </w:r>
          </w:p>
          <w:p w14:paraId="0797ED83" w14:textId="1A179681" w:rsidR="00020592" w:rsidRPr="00611719" w:rsidRDefault="00020592" w:rsidP="00BE60F3">
            <w:pPr>
              <w:pStyle w:val="ListParagraph"/>
              <w:numPr>
                <w:ilvl w:val="0"/>
                <w:numId w:val="10"/>
              </w:numPr>
              <w:spacing w:before="120" w:after="120" w:line="240" w:lineRule="auto"/>
              <w:contextualSpacing w:val="0"/>
              <w:rPr>
                <w:sz w:val="20"/>
                <w:szCs w:val="20"/>
              </w:rPr>
            </w:pPr>
            <w:r w:rsidRPr="00611719">
              <w:rPr>
                <w:sz w:val="20"/>
                <w:szCs w:val="20"/>
              </w:rPr>
              <w:t xml:space="preserve">Co-design </w:t>
            </w:r>
            <w:r>
              <w:rPr>
                <w:sz w:val="20"/>
                <w:szCs w:val="20"/>
              </w:rPr>
              <w:t xml:space="preserve">of </w:t>
            </w:r>
            <w:r w:rsidRPr="00611719">
              <w:rPr>
                <w:sz w:val="20"/>
                <w:szCs w:val="20"/>
              </w:rPr>
              <w:t xml:space="preserve">new </w:t>
            </w:r>
            <w:r w:rsidR="0078792B">
              <w:rPr>
                <w:sz w:val="20"/>
                <w:szCs w:val="20"/>
              </w:rPr>
              <w:t>a</w:t>
            </w:r>
            <w:r w:rsidRPr="00611719">
              <w:rPr>
                <w:sz w:val="20"/>
                <w:szCs w:val="20"/>
              </w:rPr>
              <w:t>ctivities with targeted interdisciplinary teams</w:t>
            </w:r>
            <w:r>
              <w:rPr>
                <w:sz w:val="20"/>
                <w:szCs w:val="20"/>
              </w:rPr>
              <w:t>.</w:t>
            </w:r>
          </w:p>
          <w:p w14:paraId="4B964E88" w14:textId="624C178C" w:rsidR="00020592" w:rsidRPr="0078792B" w:rsidRDefault="00020592" w:rsidP="00BE60F3">
            <w:pPr>
              <w:pStyle w:val="ListParagraph"/>
              <w:numPr>
                <w:ilvl w:val="0"/>
                <w:numId w:val="10"/>
              </w:numPr>
              <w:spacing w:before="120" w:after="120" w:line="240" w:lineRule="auto"/>
              <w:contextualSpacing w:val="0"/>
              <w:rPr>
                <w:sz w:val="20"/>
                <w:szCs w:val="20"/>
              </w:rPr>
            </w:pPr>
            <w:r w:rsidRPr="00611719">
              <w:rPr>
                <w:sz w:val="20"/>
                <w:szCs w:val="20"/>
              </w:rPr>
              <w:t xml:space="preserve">Application of </w:t>
            </w:r>
            <w:r w:rsidR="00E31161">
              <w:rPr>
                <w:sz w:val="20"/>
                <w:szCs w:val="20"/>
              </w:rPr>
              <w:t xml:space="preserve">methods such as </w:t>
            </w:r>
            <w:r w:rsidRPr="00611719">
              <w:rPr>
                <w:sz w:val="20"/>
                <w:szCs w:val="20"/>
              </w:rPr>
              <w:t>Strategy Testing or Outcomes Mapping/Harvesting</w:t>
            </w:r>
            <w:r w:rsidRPr="004545C1">
              <w:rPr>
                <w:sz w:val="20"/>
                <w:szCs w:val="20"/>
              </w:rPr>
              <w:t xml:space="preserve"> </w:t>
            </w:r>
            <w:r w:rsidR="00E31161">
              <w:rPr>
                <w:sz w:val="20"/>
                <w:szCs w:val="20"/>
              </w:rPr>
              <w:t xml:space="preserve">(see Annex </w:t>
            </w:r>
            <w:r w:rsidR="00104657">
              <w:rPr>
                <w:sz w:val="20"/>
                <w:szCs w:val="20"/>
              </w:rPr>
              <w:t>5</w:t>
            </w:r>
            <w:r w:rsidR="00E31161">
              <w:rPr>
                <w:sz w:val="20"/>
                <w:szCs w:val="20"/>
              </w:rPr>
              <w:t>)</w:t>
            </w:r>
            <w:r w:rsidRPr="00611719">
              <w:rPr>
                <w:sz w:val="20"/>
                <w:szCs w:val="20"/>
              </w:rPr>
              <w:t xml:space="preserve"> as tactical and routine processes to check that </w:t>
            </w:r>
            <w:r w:rsidR="0078792B">
              <w:rPr>
                <w:sz w:val="20"/>
                <w:szCs w:val="20"/>
              </w:rPr>
              <w:t>a</w:t>
            </w:r>
            <w:r w:rsidRPr="00611719">
              <w:rPr>
                <w:sz w:val="20"/>
                <w:szCs w:val="20"/>
              </w:rPr>
              <w:t xml:space="preserve">ctivities are on track. These processes will routinely analyse </w:t>
            </w:r>
            <w:r w:rsidR="0078792B">
              <w:rPr>
                <w:sz w:val="20"/>
                <w:szCs w:val="20"/>
              </w:rPr>
              <w:t>a</w:t>
            </w:r>
            <w:r w:rsidRPr="00611719">
              <w:rPr>
                <w:sz w:val="20"/>
                <w:szCs w:val="20"/>
              </w:rPr>
              <w:t>ssumptions for relevance and priority as part of the strategy testing process.</w:t>
            </w:r>
          </w:p>
        </w:tc>
      </w:tr>
      <w:tr w:rsidR="00020592" w:rsidRPr="005E5D6E" w14:paraId="06861D0C" w14:textId="77777777" w:rsidTr="00D52E98">
        <w:trPr>
          <w:cantSplit/>
        </w:trPr>
        <w:tc>
          <w:tcPr>
            <w:tcW w:w="1714" w:type="dxa"/>
            <w:shd w:val="clear" w:color="auto" w:fill="20ABCA"/>
          </w:tcPr>
          <w:p w14:paraId="58B2B3CB" w14:textId="23896667" w:rsidR="00020592" w:rsidRPr="005E5D6E" w:rsidRDefault="00020592" w:rsidP="00BE60F3">
            <w:pPr>
              <w:spacing w:before="120" w:after="120" w:line="240" w:lineRule="auto"/>
              <w:rPr>
                <w:rFonts w:eastAsia="Calibri" w:cs="Arial"/>
                <w:b/>
                <w:color w:val="FFFFFF"/>
                <w:sz w:val="20"/>
                <w:szCs w:val="20"/>
              </w:rPr>
            </w:pPr>
            <w:r w:rsidRPr="00281A75">
              <w:rPr>
                <w:i/>
                <w:color w:val="FFFFFF" w:themeColor="background1"/>
                <w:sz w:val="20"/>
                <w:szCs w:val="20"/>
              </w:rPr>
              <w:t>Performance monitoring and evaluation community of practice</w:t>
            </w:r>
          </w:p>
        </w:tc>
        <w:tc>
          <w:tcPr>
            <w:tcW w:w="7326" w:type="dxa"/>
          </w:tcPr>
          <w:p w14:paraId="5AA85307" w14:textId="2DF85442" w:rsidR="00020592" w:rsidRPr="005E5D6E" w:rsidRDefault="00020592" w:rsidP="00BE60F3">
            <w:pPr>
              <w:spacing w:before="120" w:after="120" w:line="240" w:lineRule="auto"/>
              <w:rPr>
                <w:rFonts w:eastAsia="Calibri" w:cs="Arial"/>
                <w:sz w:val="20"/>
                <w:szCs w:val="20"/>
              </w:rPr>
            </w:pPr>
            <w:r w:rsidRPr="00611719">
              <w:rPr>
                <w:sz w:val="20"/>
                <w:szCs w:val="20"/>
              </w:rPr>
              <w:t xml:space="preserve">Each </w:t>
            </w:r>
            <w:r>
              <w:rPr>
                <w:sz w:val="20"/>
                <w:szCs w:val="20"/>
              </w:rPr>
              <w:t>b</w:t>
            </w:r>
            <w:r w:rsidRPr="00611719">
              <w:rPr>
                <w:sz w:val="20"/>
                <w:szCs w:val="20"/>
              </w:rPr>
              <w:t xml:space="preserve">reakthrough </w:t>
            </w:r>
            <w:r>
              <w:rPr>
                <w:sz w:val="20"/>
                <w:szCs w:val="20"/>
              </w:rPr>
              <w:t>a</w:t>
            </w:r>
            <w:r w:rsidRPr="00611719">
              <w:rPr>
                <w:sz w:val="20"/>
                <w:szCs w:val="20"/>
              </w:rPr>
              <w:t xml:space="preserve">rea will have </w:t>
            </w:r>
            <w:r>
              <w:rPr>
                <w:sz w:val="20"/>
                <w:szCs w:val="20"/>
              </w:rPr>
              <w:t>several performance f</w:t>
            </w:r>
            <w:r w:rsidRPr="00611719">
              <w:rPr>
                <w:sz w:val="20"/>
                <w:szCs w:val="20"/>
              </w:rPr>
              <w:t xml:space="preserve">ocal points. These advisers, Australian agency officers and interested </w:t>
            </w:r>
            <w:r>
              <w:rPr>
                <w:sz w:val="20"/>
                <w:szCs w:val="20"/>
              </w:rPr>
              <w:t xml:space="preserve">Indonesian </w:t>
            </w:r>
            <w:r w:rsidR="00E31161">
              <w:rPr>
                <w:sz w:val="20"/>
                <w:szCs w:val="20"/>
              </w:rPr>
              <w:t xml:space="preserve">partners </w:t>
            </w:r>
            <w:r w:rsidRPr="00611719">
              <w:rPr>
                <w:sz w:val="20"/>
                <w:szCs w:val="20"/>
              </w:rPr>
              <w:t xml:space="preserve">will be brought together by the </w:t>
            </w:r>
            <w:r>
              <w:rPr>
                <w:sz w:val="20"/>
                <w:szCs w:val="20"/>
              </w:rPr>
              <w:t xml:space="preserve">Knowledge &amp; Performance </w:t>
            </w:r>
            <w:r w:rsidRPr="00611719">
              <w:rPr>
                <w:sz w:val="20"/>
                <w:szCs w:val="20"/>
              </w:rPr>
              <w:t xml:space="preserve">team </w:t>
            </w:r>
            <w:r>
              <w:rPr>
                <w:sz w:val="20"/>
                <w:szCs w:val="20"/>
              </w:rPr>
              <w:t xml:space="preserve">regularly to transform this Framework into a working system </w:t>
            </w:r>
            <w:r w:rsidRPr="00611719">
              <w:rPr>
                <w:sz w:val="20"/>
                <w:szCs w:val="20"/>
              </w:rPr>
              <w:t>and to share challenges and good practice.</w:t>
            </w:r>
          </w:p>
        </w:tc>
      </w:tr>
      <w:tr w:rsidR="00020592" w:rsidRPr="005E5D6E" w14:paraId="0C6E84A8" w14:textId="77777777" w:rsidTr="00D52E98">
        <w:trPr>
          <w:cantSplit/>
        </w:trPr>
        <w:tc>
          <w:tcPr>
            <w:tcW w:w="1714" w:type="dxa"/>
            <w:shd w:val="clear" w:color="auto" w:fill="20ABCA"/>
          </w:tcPr>
          <w:p w14:paraId="3A836634" w14:textId="19143203" w:rsidR="00020592" w:rsidRPr="005E5D6E" w:rsidRDefault="00020592" w:rsidP="00BE60F3">
            <w:pPr>
              <w:spacing w:before="120" w:after="120" w:line="240" w:lineRule="auto"/>
              <w:rPr>
                <w:rFonts w:eastAsia="Calibri" w:cs="Arial"/>
                <w:b/>
                <w:color w:val="FFFFFF"/>
                <w:sz w:val="20"/>
                <w:szCs w:val="20"/>
              </w:rPr>
            </w:pPr>
            <w:r w:rsidRPr="00281A75">
              <w:rPr>
                <w:i/>
                <w:color w:val="FFFFFF" w:themeColor="background1"/>
                <w:sz w:val="20"/>
                <w:szCs w:val="20"/>
              </w:rPr>
              <w:t xml:space="preserve">Gender equality and social inclusion community of practice </w:t>
            </w:r>
          </w:p>
        </w:tc>
        <w:tc>
          <w:tcPr>
            <w:tcW w:w="7326" w:type="dxa"/>
          </w:tcPr>
          <w:p w14:paraId="5DF49E6C" w14:textId="7AE37A66" w:rsidR="00020592" w:rsidRPr="005E5D6E" w:rsidRDefault="00020592" w:rsidP="00BE60F3">
            <w:pPr>
              <w:spacing w:before="120" w:after="120" w:line="240" w:lineRule="auto"/>
              <w:rPr>
                <w:rFonts w:eastAsia="Calibri" w:cs="Arial"/>
                <w:sz w:val="20"/>
                <w:szCs w:val="20"/>
              </w:rPr>
            </w:pPr>
            <w:r w:rsidRPr="00611719">
              <w:rPr>
                <w:sz w:val="20"/>
                <w:szCs w:val="20"/>
              </w:rPr>
              <w:t xml:space="preserve">Each </w:t>
            </w:r>
            <w:r>
              <w:rPr>
                <w:sz w:val="20"/>
                <w:szCs w:val="20"/>
              </w:rPr>
              <w:t>b</w:t>
            </w:r>
            <w:r w:rsidRPr="00611719">
              <w:rPr>
                <w:sz w:val="20"/>
                <w:szCs w:val="20"/>
              </w:rPr>
              <w:t xml:space="preserve">reakthrough </w:t>
            </w:r>
            <w:r>
              <w:rPr>
                <w:sz w:val="20"/>
                <w:szCs w:val="20"/>
              </w:rPr>
              <w:t>a</w:t>
            </w:r>
            <w:r w:rsidRPr="00611719">
              <w:rPr>
                <w:sz w:val="20"/>
                <w:szCs w:val="20"/>
              </w:rPr>
              <w:t xml:space="preserve">rea will have </w:t>
            </w:r>
            <w:r>
              <w:rPr>
                <w:sz w:val="20"/>
                <w:szCs w:val="20"/>
              </w:rPr>
              <w:t>several gender and social inclusion f</w:t>
            </w:r>
            <w:r w:rsidRPr="00611719">
              <w:rPr>
                <w:sz w:val="20"/>
                <w:szCs w:val="20"/>
              </w:rPr>
              <w:t>ocal points.</w:t>
            </w:r>
            <w:r>
              <w:rPr>
                <w:sz w:val="20"/>
                <w:szCs w:val="20"/>
              </w:rPr>
              <w:t xml:space="preserve"> </w:t>
            </w:r>
            <w:r w:rsidRPr="00611719">
              <w:rPr>
                <w:sz w:val="20"/>
                <w:szCs w:val="20"/>
              </w:rPr>
              <w:t xml:space="preserve">These advisers, Australian agency officers and interested </w:t>
            </w:r>
            <w:r>
              <w:rPr>
                <w:sz w:val="20"/>
                <w:szCs w:val="20"/>
              </w:rPr>
              <w:t xml:space="preserve">Indonesian </w:t>
            </w:r>
            <w:r w:rsidR="00E31161">
              <w:rPr>
                <w:sz w:val="20"/>
                <w:szCs w:val="20"/>
              </w:rPr>
              <w:t>partners</w:t>
            </w:r>
            <w:r w:rsidRPr="00611719">
              <w:rPr>
                <w:sz w:val="20"/>
                <w:szCs w:val="20"/>
              </w:rPr>
              <w:t xml:space="preserve"> will be brought together by the Prospera Gender </w:t>
            </w:r>
            <w:r>
              <w:rPr>
                <w:sz w:val="20"/>
                <w:szCs w:val="20"/>
              </w:rPr>
              <w:t xml:space="preserve">&amp; Social Inclusion </w:t>
            </w:r>
            <w:r w:rsidRPr="00611719">
              <w:rPr>
                <w:sz w:val="20"/>
                <w:szCs w:val="20"/>
              </w:rPr>
              <w:t xml:space="preserve">team </w:t>
            </w:r>
            <w:r>
              <w:rPr>
                <w:sz w:val="20"/>
                <w:szCs w:val="20"/>
              </w:rPr>
              <w:t xml:space="preserve">regularly to help integrate Prospera’s Gender and Social Inclusion Strategy into work areas, </w:t>
            </w:r>
            <w:r w:rsidRPr="00611719">
              <w:rPr>
                <w:sz w:val="20"/>
                <w:szCs w:val="20"/>
              </w:rPr>
              <w:t>and to share challenges and good practice.</w:t>
            </w:r>
          </w:p>
        </w:tc>
      </w:tr>
    </w:tbl>
    <w:p w14:paraId="55D837B4" w14:textId="22289AAD" w:rsidR="00B24FDB" w:rsidRPr="001E7AC6" w:rsidRDefault="0082195C" w:rsidP="0082195C">
      <w:pPr>
        <w:pStyle w:val="Heading2"/>
      </w:pPr>
      <w:bookmarkStart w:id="140" w:name="_Toc525563690"/>
      <w:bookmarkStart w:id="141" w:name="_Toc525743689"/>
      <w:bookmarkStart w:id="142" w:name="_Toc532991073"/>
      <w:r>
        <w:t xml:space="preserve">Digital </w:t>
      </w:r>
      <w:r w:rsidR="00B24FDB" w:rsidRPr="001E7AC6">
        <w:t>system</w:t>
      </w:r>
      <w:bookmarkEnd w:id="140"/>
      <w:bookmarkEnd w:id="141"/>
      <w:bookmarkEnd w:id="142"/>
    </w:p>
    <w:p w14:paraId="62DDCB4E" w14:textId="77777777" w:rsidR="00B24FDB" w:rsidRDefault="00B24FDB" w:rsidP="00BE60F3">
      <w:pPr>
        <w:pStyle w:val="BodyText"/>
      </w:pPr>
      <w:r>
        <w:t xml:space="preserve">To enhance learning and effectively ‘do more, together’ Prospera will invest in a digital, common space as the backbone for where Prospera teams can store, access and share information. The strategic objectives are: </w:t>
      </w:r>
    </w:p>
    <w:p w14:paraId="71CD6425" w14:textId="77777777" w:rsidR="00B24FDB" w:rsidRPr="006D56DD" w:rsidRDefault="00B24FDB" w:rsidP="00BE60F3">
      <w:pPr>
        <w:pStyle w:val="ListBullet"/>
        <w:rPr>
          <w:lang w:val="en-US"/>
        </w:rPr>
      </w:pPr>
      <w:r w:rsidRPr="006D56DD">
        <w:rPr>
          <w:lang w:val="en-US"/>
        </w:rPr>
        <w:t>Thought leadership on economic policy and institutions, and planning that finds pathways to change</w:t>
      </w:r>
      <w:r>
        <w:rPr>
          <w:lang w:val="en-US"/>
        </w:rPr>
        <w:t>.</w:t>
      </w:r>
    </w:p>
    <w:p w14:paraId="6F87E676" w14:textId="77777777" w:rsidR="00B24FDB" w:rsidRPr="006D56DD" w:rsidRDefault="00B24FDB" w:rsidP="00BE60F3">
      <w:pPr>
        <w:pStyle w:val="ListBullet"/>
        <w:rPr>
          <w:lang w:val="en-US"/>
        </w:rPr>
      </w:pPr>
      <w:r w:rsidRPr="006D56DD">
        <w:rPr>
          <w:lang w:val="en-US"/>
        </w:rPr>
        <w:t>Building and developing trusted relationships with government partners and delivering well</w:t>
      </w:r>
      <w:r>
        <w:rPr>
          <w:lang w:val="en-US"/>
        </w:rPr>
        <w:noBreakHyphen/>
      </w:r>
      <w:r w:rsidRPr="006D56DD">
        <w:rPr>
          <w:lang w:val="en-US"/>
        </w:rPr>
        <w:t>crafted proposals</w:t>
      </w:r>
      <w:r>
        <w:rPr>
          <w:lang w:val="en-US"/>
        </w:rPr>
        <w:t>.</w:t>
      </w:r>
    </w:p>
    <w:p w14:paraId="4BA122FE" w14:textId="10769CA6" w:rsidR="00B24FDB" w:rsidRPr="006D56DD" w:rsidRDefault="00B24FDB" w:rsidP="00BE60F3">
      <w:pPr>
        <w:pStyle w:val="ListBullet"/>
        <w:spacing w:after="160"/>
        <w:rPr>
          <w:lang w:val="en-US"/>
        </w:rPr>
      </w:pPr>
      <w:r w:rsidRPr="006D56DD">
        <w:rPr>
          <w:lang w:val="en-US"/>
        </w:rPr>
        <w:t>Managing activities towards successful outcomes and directing investment effectively</w:t>
      </w:r>
      <w:r w:rsidR="007F5F67">
        <w:rPr>
          <w:lang w:val="id-ID"/>
        </w:rPr>
        <w:t>.</w:t>
      </w:r>
    </w:p>
    <w:p w14:paraId="0DD8E6B6" w14:textId="52313F7D" w:rsidR="008E57AA" w:rsidRDefault="00B24FDB" w:rsidP="00BE60F3">
      <w:pPr>
        <w:pStyle w:val="BodyText"/>
        <w:spacing w:after="160"/>
        <w:rPr>
          <w:lang w:val="en-US"/>
        </w:rPr>
      </w:pPr>
      <w:r>
        <w:rPr>
          <w:lang w:val="en-US"/>
        </w:rPr>
        <w:t xml:space="preserve">The system can be described in two layers: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934"/>
      </w:tblGrid>
      <w:tr w:rsidR="00B24FDB" w14:paraId="56E16E60" w14:textId="77777777" w:rsidTr="001304F1">
        <w:tc>
          <w:tcPr>
            <w:tcW w:w="3798" w:type="dxa"/>
          </w:tcPr>
          <w:p w14:paraId="443CB7ED" w14:textId="77777777" w:rsidR="00B24FDB" w:rsidRDefault="00B24FDB" w:rsidP="00BE60F3">
            <w:pPr>
              <w:spacing w:before="120" w:after="120"/>
              <w:rPr>
                <w:lang w:val="en-US"/>
              </w:rPr>
            </w:pPr>
            <w:r w:rsidRPr="006D56DD">
              <w:rPr>
                <w:noProof/>
                <w:lang w:eastAsia="en-AU"/>
              </w:rPr>
              <w:drawing>
                <wp:inline distT="0" distB="0" distL="0" distR="0" wp14:anchorId="28548963" wp14:editId="4E277182">
                  <wp:extent cx="2469515" cy="1353665"/>
                  <wp:effectExtent l="0" t="0" r="698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0201" cy="1365004"/>
                          </a:xfrm>
                          <a:prstGeom prst="rect">
                            <a:avLst/>
                          </a:prstGeom>
                          <a:noFill/>
                          <a:ln>
                            <a:noFill/>
                          </a:ln>
                        </pic:spPr>
                      </pic:pic>
                    </a:graphicData>
                  </a:graphic>
                </wp:inline>
              </w:drawing>
            </w:r>
          </w:p>
        </w:tc>
        <w:tc>
          <w:tcPr>
            <w:tcW w:w="5444" w:type="dxa"/>
          </w:tcPr>
          <w:p w14:paraId="6868E06D" w14:textId="77777777" w:rsidR="00B24FDB" w:rsidRPr="00B74C7F" w:rsidRDefault="00B24FDB" w:rsidP="00BE60F3">
            <w:pPr>
              <w:pStyle w:val="BodyText"/>
              <w:rPr>
                <w:b/>
                <w:lang w:val="en-US"/>
              </w:rPr>
            </w:pPr>
            <w:r w:rsidRPr="00B74C7F">
              <w:rPr>
                <w:b/>
                <w:lang w:val="en-US"/>
              </w:rPr>
              <w:t xml:space="preserve">Knowledge-share: </w:t>
            </w:r>
            <w:r w:rsidRPr="00B74C7F">
              <w:rPr>
                <w:lang w:val="en-US"/>
              </w:rPr>
              <w:t>A system to transfer knowledge and insights between teams</w:t>
            </w:r>
            <w:r>
              <w:rPr>
                <w:lang w:val="en-US"/>
              </w:rPr>
              <w:t xml:space="preserve"> and to encourage collaboration. </w:t>
            </w:r>
            <w:r>
              <w:rPr>
                <w:b/>
                <w:lang w:val="en-US"/>
              </w:rPr>
              <w:t xml:space="preserve"> </w:t>
            </w:r>
          </w:p>
          <w:p w14:paraId="623E85C5" w14:textId="39D5CD77" w:rsidR="00B24FDB" w:rsidRDefault="00B24FDB" w:rsidP="00BE60F3">
            <w:pPr>
              <w:pStyle w:val="BodyText"/>
              <w:rPr>
                <w:lang w:val="en-US"/>
              </w:rPr>
            </w:pPr>
            <w:r w:rsidRPr="00B74C7F">
              <w:rPr>
                <w:b/>
                <w:lang w:val="en-US"/>
              </w:rPr>
              <w:t>Run &amp; manage:</w:t>
            </w:r>
            <w:r>
              <w:rPr>
                <w:lang w:val="en-US"/>
              </w:rPr>
              <w:t xml:space="preserve"> A system to manage activity</w:t>
            </w:r>
            <w:r w:rsidR="005A3535">
              <w:rPr>
                <w:lang w:val="en-US"/>
              </w:rPr>
              <w:t>-</w:t>
            </w:r>
            <w:r>
              <w:rPr>
                <w:lang w:val="en-US"/>
              </w:rPr>
              <w:t>flow processes, collate and generate the evidence for monitoring and evaluation.</w:t>
            </w:r>
          </w:p>
          <w:p w14:paraId="5B7392AB" w14:textId="77777777" w:rsidR="00026C3C" w:rsidRDefault="00026C3C" w:rsidP="00BE60F3">
            <w:pPr>
              <w:pStyle w:val="BodyText"/>
              <w:rPr>
                <w:lang w:val="en-US"/>
              </w:rPr>
            </w:pPr>
          </w:p>
          <w:p w14:paraId="1A76B3EE" w14:textId="608B4F71" w:rsidR="00026C3C" w:rsidRDefault="00026C3C" w:rsidP="00BE60F3">
            <w:pPr>
              <w:pStyle w:val="BodyText"/>
              <w:rPr>
                <w:lang w:val="en-US"/>
              </w:rPr>
            </w:pPr>
          </w:p>
        </w:tc>
      </w:tr>
    </w:tbl>
    <w:p w14:paraId="21544C91" w14:textId="06F55006" w:rsidR="00B24FDB" w:rsidRDefault="00B24FDB" w:rsidP="000419FB">
      <w:pPr>
        <w:pStyle w:val="BodyText"/>
        <w:spacing w:before="120"/>
      </w:pPr>
      <w:r>
        <w:t xml:space="preserve">Various technology solutions are under investigation with a view to having both layers functional ahead of the 2019 </w:t>
      </w:r>
      <w:r w:rsidR="005A3535">
        <w:t xml:space="preserve">cycle of </w:t>
      </w:r>
      <w:r>
        <w:t xml:space="preserve">activity planning. </w:t>
      </w:r>
    </w:p>
    <w:p w14:paraId="3A0A1B89" w14:textId="77777777" w:rsidR="00B24FDB" w:rsidRPr="00020592" w:rsidRDefault="00B24FDB" w:rsidP="00BE60F3">
      <w:pPr>
        <w:pStyle w:val="Heading1"/>
        <w:rPr>
          <w:b/>
        </w:rPr>
      </w:pPr>
      <w:bookmarkStart w:id="143" w:name="_Toc525563691"/>
      <w:bookmarkStart w:id="144" w:name="_Toc525743690"/>
      <w:bookmarkStart w:id="145" w:name="_Toc532991074"/>
      <w:r w:rsidRPr="00020592">
        <w:rPr>
          <w:b/>
        </w:rPr>
        <w:t>Performance reporting</w:t>
      </w:r>
      <w:bookmarkEnd w:id="143"/>
      <w:bookmarkEnd w:id="144"/>
      <w:bookmarkEnd w:id="145"/>
      <w:r w:rsidRPr="00020592">
        <w:rPr>
          <w:b/>
        </w:rPr>
        <w:t xml:space="preserve"> </w:t>
      </w:r>
    </w:p>
    <w:p w14:paraId="30CF2DD6" w14:textId="0CFB530B" w:rsidR="00B24FDB" w:rsidRDefault="00B24FDB" w:rsidP="00BE60F3">
      <w:pPr>
        <w:pStyle w:val="BodyText"/>
      </w:pPr>
      <w:r>
        <w:t>Requirements for reporting to DFAT are defined in the Prospera contract and will align with Australian financial years. The Indonesian government requires development budget activity reporting (BAST) on a calendar</w:t>
      </w:r>
      <w:r w:rsidR="005A3535">
        <w:t>-</w:t>
      </w:r>
      <w:r>
        <w:t>year basis.</w:t>
      </w:r>
      <w:r w:rsidR="00020592">
        <w:rPr>
          <w:lang w:val="id-ID"/>
        </w:rPr>
        <w:t xml:space="preserve"> </w:t>
      </w:r>
      <w:r>
        <w:t xml:space="preserve">Component 2 of this Framework (Activity Design and Reporting Guide) contains more detail on reporting, including templates. A summary of facility-level reporting is provided in </w:t>
      </w:r>
      <w:r w:rsidRPr="00CA0503">
        <w:t xml:space="preserve">Table </w:t>
      </w:r>
      <w:r w:rsidR="001607C5">
        <w:t>12</w:t>
      </w:r>
      <w:r w:rsidRPr="00CA0503">
        <w:t>.</w:t>
      </w:r>
      <w:r>
        <w:t xml:space="preserve"> </w:t>
      </w:r>
    </w:p>
    <w:p w14:paraId="171E4722" w14:textId="38D3F37F" w:rsidR="00B24FDB" w:rsidRPr="00020592" w:rsidRDefault="00326160" w:rsidP="00263C60">
      <w:pPr>
        <w:pStyle w:val="Tabletext"/>
        <w:jc w:val="left"/>
        <w:rPr>
          <w:b/>
        </w:rPr>
      </w:pPr>
      <w:r w:rsidRPr="007D1A32">
        <w:rPr>
          <w:rFonts w:eastAsia="Calibri"/>
          <w:b/>
          <w:bCs/>
          <w:szCs w:val="18"/>
        </w:rPr>
        <w:t xml:space="preserve">Table </w:t>
      </w:r>
      <w:r w:rsidRPr="007D1A32">
        <w:rPr>
          <w:rFonts w:eastAsia="Calibri"/>
          <w:b/>
          <w:bCs/>
          <w:noProof/>
          <w:szCs w:val="18"/>
        </w:rPr>
        <w:fldChar w:fldCharType="begin"/>
      </w:r>
      <w:r w:rsidRPr="007D1A32">
        <w:rPr>
          <w:rFonts w:eastAsia="Calibri"/>
          <w:b/>
          <w:bCs/>
          <w:noProof/>
          <w:szCs w:val="18"/>
        </w:rPr>
        <w:instrText xml:space="preserve"> SEQ Table \* ARABIC </w:instrText>
      </w:r>
      <w:r w:rsidRPr="007D1A32">
        <w:rPr>
          <w:rFonts w:eastAsia="Calibri"/>
          <w:b/>
          <w:bCs/>
          <w:noProof/>
          <w:szCs w:val="18"/>
        </w:rPr>
        <w:fldChar w:fldCharType="separate"/>
      </w:r>
      <w:r>
        <w:rPr>
          <w:rFonts w:eastAsia="Calibri"/>
          <w:b/>
          <w:bCs/>
          <w:noProof/>
          <w:szCs w:val="18"/>
        </w:rPr>
        <w:t>12</w:t>
      </w:r>
      <w:r w:rsidRPr="007D1A32">
        <w:rPr>
          <w:rFonts w:eastAsia="Calibri"/>
          <w:b/>
          <w:bCs/>
          <w:noProof/>
          <w:szCs w:val="18"/>
        </w:rPr>
        <w:fldChar w:fldCharType="end"/>
      </w:r>
      <w:r w:rsidR="00020592">
        <w:rPr>
          <w:b/>
          <w:noProof/>
          <w:lang w:val="id-ID"/>
        </w:rPr>
        <w:t>.</w:t>
      </w:r>
      <w:r w:rsidR="00B24FDB" w:rsidRPr="00020592">
        <w:rPr>
          <w:b/>
        </w:rPr>
        <w:t xml:space="preserve"> Facility-level reports required by DFAT and Indonesian government</w:t>
      </w:r>
    </w:p>
    <w:tbl>
      <w:tblPr>
        <w:tblStyle w:val="TableGrid"/>
        <w:tblW w:w="0" w:type="auto"/>
        <w:tblLook w:val="04A0" w:firstRow="1" w:lastRow="0" w:firstColumn="1" w:lastColumn="0" w:noHBand="0" w:noVBand="1"/>
      </w:tblPr>
      <w:tblGrid>
        <w:gridCol w:w="2083"/>
        <w:gridCol w:w="6957"/>
      </w:tblGrid>
      <w:tr w:rsidR="00B24FDB" w:rsidRPr="00020592" w14:paraId="624AA17A" w14:textId="77777777" w:rsidTr="001304F1">
        <w:trPr>
          <w:cantSplit/>
          <w:tblHeader/>
        </w:trPr>
        <w:tc>
          <w:tcPr>
            <w:tcW w:w="2093" w:type="dxa"/>
            <w:shd w:val="clear" w:color="auto" w:fill="20ABCA"/>
          </w:tcPr>
          <w:p w14:paraId="7F9B9566" w14:textId="77777777" w:rsidR="00B24FDB" w:rsidRPr="00020592" w:rsidRDefault="00B24FDB" w:rsidP="00BE60F3">
            <w:pPr>
              <w:spacing w:before="120" w:after="120" w:line="240" w:lineRule="auto"/>
              <w:rPr>
                <w:rFonts w:eastAsia="Calibri" w:cs="Arial"/>
                <w:b/>
                <w:color w:val="FFFFFF"/>
                <w:sz w:val="20"/>
                <w:szCs w:val="20"/>
              </w:rPr>
            </w:pPr>
            <w:r w:rsidRPr="00020592">
              <w:rPr>
                <w:rFonts w:eastAsia="Calibri" w:cs="Arial"/>
                <w:b/>
                <w:color w:val="FFFFFF"/>
                <w:sz w:val="20"/>
                <w:szCs w:val="20"/>
              </w:rPr>
              <w:t xml:space="preserve">Report </w:t>
            </w:r>
          </w:p>
        </w:tc>
        <w:tc>
          <w:tcPr>
            <w:tcW w:w="7149" w:type="dxa"/>
            <w:shd w:val="clear" w:color="auto" w:fill="20ABCA"/>
          </w:tcPr>
          <w:p w14:paraId="0EBF7726" w14:textId="77777777" w:rsidR="00B24FDB" w:rsidRPr="00020592" w:rsidRDefault="00B24FDB" w:rsidP="00BE60F3">
            <w:pPr>
              <w:spacing w:before="120" w:after="120" w:line="240" w:lineRule="auto"/>
              <w:rPr>
                <w:rFonts w:eastAsia="Calibri" w:cs="Arial"/>
                <w:b/>
                <w:color w:val="FFFFFF"/>
                <w:sz w:val="20"/>
                <w:szCs w:val="20"/>
              </w:rPr>
            </w:pPr>
            <w:r w:rsidRPr="00020592">
              <w:rPr>
                <w:rFonts w:eastAsia="Calibri" w:cs="Arial"/>
                <w:b/>
                <w:color w:val="FFFFFF"/>
                <w:sz w:val="20"/>
                <w:szCs w:val="20"/>
              </w:rPr>
              <w:t xml:space="preserve">Description </w:t>
            </w:r>
          </w:p>
        </w:tc>
      </w:tr>
      <w:tr w:rsidR="00B24FDB" w:rsidRPr="008E57AA" w14:paraId="3CCB9762" w14:textId="77777777" w:rsidTr="001304F1">
        <w:trPr>
          <w:cantSplit/>
        </w:trPr>
        <w:tc>
          <w:tcPr>
            <w:tcW w:w="2093" w:type="dxa"/>
          </w:tcPr>
          <w:p w14:paraId="6421B9C2" w14:textId="15E2FF6B" w:rsidR="00B24FDB" w:rsidRPr="008E57AA" w:rsidRDefault="00020592" w:rsidP="00BE60F3">
            <w:pPr>
              <w:spacing w:before="120" w:after="120"/>
              <w:rPr>
                <w:sz w:val="20"/>
                <w:szCs w:val="20"/>
              </w:rPr>
            </w:pPr>
            <w:r w:rsidRPr="008E57AA">
              <w:rPr>
                <w:sz w:val="20"/>
                <w:szCs w:val="20"/>
              </w:rPr>
              <w:t>Six-month</w:t>
            </w:r>
            <w:r w:rsidR="00B24FDB" w:rsidRPr="008E57AA">
              <w:rPr>
                <w:sz w:val="20"/>
                <w:szCs w:val="20"/>
              </w:rPr>
              <w:t xml:space="preserve"> Report</w:t>
            </w:r>
          </w:p>
          <w:p w14:paraId="7CE02BA7" w14:textId="7AEEE177" w:rsidR="00B24FDB" w:rsidRPr="008E57AA" w:rsidRDefault="00332C28" w:rsidP="00BE60F3">
            <w:pPr>
              <w:spacing w:before="120" w:after="120"/>
              <w:rPr>
                <w:sz w:val="20"/>
                <w:szCs w:val="20"/>
              </w:rPr>
            </w:pPr>
            <w:r>
              <w:rPr>
                <w:sz w:val="20"/>
                <w:szCs w:val="20"/>
              </w:rPr>
              <w:t>January/February</w:t>
            </w:r>
          </w:p>
        </w:tc>
        <w:tc>
          <w:tcPr>
            <w:tcW w:w="7149" w:type="dxa"/>
          </w:tcPr>
          <w:p w14:paraId="3EF7A040" w14:textId="77777777" w:rsidR="00B24FDB" w:rsidRPr="008E57AA" w:rsidRDefault="00B24FDB" w:rsidP="00BE60F3">
            <w:pPr>
              <w:spacing w:before="120" w:after="120"/>
              <w:rPr>
                <w:sz w:val="20"/>
                <w:szCs w:val="20"/>
                <w:lang w:val="en-GB"/>
              </w:rPr>
            </w:pPr>
            <w:r w:rsidRPr="008E57AA">
              <w:rPr>
                <w:sz w:val="20"/>
                <w:szCs w:val="20"/>
              </w:rPr>
              <w:t>A report reviewing overall</w:t>
            </w:r>
            <w:r w:rsidRPr="008E57AA">
              <w:rPr>
                <w:b/>
                <w:sz w:val="20"/>
                <w:szCs w:val="20"/>
              </w:rPr>
              <w:t xml:space="preserve"> </w:t>
            </w:r>
            <w:r w:rsidRPr="008E57AA">
              <w:rPr>
                <w:sz w:val="20"/>
                <w:szCs w:val="20"/>
                <w:lang w:val="en-GB"/>
              </w:rPr>
              <w:t xml:space="preserve">progress on activities, operations, financial and risk management. Will include case studies (where available) and data for DFAT Performance Assessment Framework. </w:t>
            </w:r>
            <w:r w:rsidRPr="008E57AA">
              <w:rPr>
                <w:sz w:val="20"/>
                <w:szCs w:val="20"/>
              </w:rPr>
              <w:t>Full report submitted to DFAT; activity updates provided to Coordinating Economic Ministry.</w:t>
            </w:r>
          </w:p>
        </w:tc>
      </w:tr>
      <w:tr w:rsidR="00B24FDB" w:rsidRPr="008E57AA" w14:paraId="2D0CAE79" w14:textId="77777777" w:rsidTr="001304F1">
        <w:trPr>
          <w:cantSplit/>
        </w:trPr>
        <w:tc>
          <w:tcPr>
            <w:tcW w:w="2093" w:type="dxa"/>
          </w:tcPr>
          <w:p w14:paraId="697B6629" w14:textId="77777777" w:rsidR="00B24FDB" w:rsidRPr="008E57AA" w:rsidRDefault="00B24FDB" w:rsidP="00BE60F3">
            <w:pPr>
              <w:spacing w:before="120" w:after="120"/>
              <w:rPr>
                <w:sz w:val="20"/>
                <w:szCs w:val="20"/>
              </w:rPr>
            </w:pPr>
            <w:r w:rsidRPr="008E57AA">
              <w:rPr>
                <w:sz w:val="20"/>
                <w:szCs w:val="20"/>
              </w:rPr>
              <w:t>Annual Report and Workplan</w:t>
            </w:r>
          </w:p>
          <w:p w14:paraId="3E0B31C0" w14:textId="77777777" w:rsidR="00B24FDB" w:rsidRPr="008E57AA" w:rsidRDefault="00B24FDB" w:rsidP="00BE60F3">
            <w:pPr>
              <w:spacing w:before="120" w:after="120"/>
              <w:rPr>
                <w:sz w:val="20"/>
                <w:szCs w:val="20"/>
              </w:rPr>
            </w:pPr>
            <w:r w:rsidRPr="008E57AA">
              <w:rPr>
                <w:sz w:val="20"/>
                <w:szCs w:val="20"/>
              </w:rPr>
              <w:t>July</w:t>
            </w:r>
          </w:p>
        </w:tc>
        <w:tc>
          <w:tcPr>
            <w:tcW w:w="7149" w:type="dxa"/>
          </w:tcPr>
          <w:p w14:paraId="4E805A15" w14:textId="2A5071E8" w:rsidR="00B24FDB" w:rsidRPr="008E57AA" w:rsidRDefault="00B24FDB" w:rsidP="00BE60F3">
            <w:pPr>
              <w:spacing w:before="120" w:after="120"/>
              <w:rPr>
                <w:b/>
                <w:sz w:val="20"/>
                <w:szCs w:val="20"/>
              </w:rPr>
            </w:pPr>
            <w:r w:rsidRPr="008E57AA">
              <w:rPr>
                <w:sz w:val="20"/>
                <w:szCs w:val="20"/>
              </w:rPr>
              <w:t>Highlights Prospera achievements and areas that are less progressed. Focuses on outcome reporting against breakthrough outcomes. Will include forward-looking analysis of the Indonesian context and work plans for the financial year ahead. The report will also update information on operations, financ</w:t>
            </w:r>
            <w:r w:rsidR="005A3535">
              <w:rPr>
                <w:sz w:val="20"/>
                <w:szCs w:val="20"/>
              </w:rPr>
              <w:t>es</w:t>
            </w:r>
            <w:r w:rsidRPr="008E57AA">
              <w:rPr>
                <w:sz w:val="20"/>
                <w:szCs w:val="20"/>
              </w:rPr>
              <w:t xml:space="preserve"> and risk management.</w:t>
            </w:r>
            <w:r w:rsidRPr="008E57AA">
              <w:rPr>
                <w:sz w:val="20"/>
                <w:szCs w:val="20"/>
                <w:lang w:val="en-GB"/>
              </w:rPr>
              <w:t xml:space="preserve"> Full report submitted to DFAT; activity sections to Coordinating Economic Ministry. </w:t>
            </w:r>
          </w:p>
        </w:tc>
      </w:tr>
      <w:tr w:rsidR="00B24FDB" w:rsidRPr="008E57AA" w14:paraId="24F6D2E9" w14:textId="77777777" w:rsidTr="001304F1">
        <w:trPr>
          <w:cantSplit/>
        </w:trPr>
        <w:tc>
          <w:tcPr>
            <w:tcW w:w="2093" w:type="dxa"/>
          </w:tcPr>
          <w:p w14:paraId="5A8E1F70" w14:textId="77777777" w:rsidR="00B24FDB" w:rsidRPr="008E57AA" w:rsidRDefault="00B24FDB" w:rsidP="00BE60F3">
            <w:pPr>
              <w:spacing w:before="120" w:after="120"/>
              <w:rPr>
                <w:sz w:val="20"/>
                <w:szCs w:val="20"/>
              </w:rPr>
            </w:pPr>
            <w:r w:rsidRPr="008E57AA">
              <w:rPr>
                <w:sz w:val="20"/>
                <w:szCs w:val="20"/>
              </w:rPr>
              <w:t>BAST Report</w:t>
            </w:r>
          </w:p>
          <w:p w14:paraId="1958F078" w14:textId="276A7FFD" w:rsidR="00B24FDB" w:rsidRPr="008E57AA" w:rsidRDefault="00332C28" w:rsidP="00BE60F3">
            <w:pPr>
              <w:spacing w:before="120" w:after="120"/>
              <w:rPr>
                <w:sz w:val="20"/>
                <w:szCs w:val="20"/>
              </w:rPr>
            </w:pPr>
            <w:r>
              <w:rPr>
                <w:sz w:val="20"/>
                <w:szCs w:val="20"/>
              </w:rPr>
              <w:t>Periodic</w:t>
            </w:r>
            <w:r w:rsidR="00B24FDB" w:rsidRPr="008E57AA">
              <w:rPr>
                <w:sz w:val="20"/>
                <w:szCs w:val="20"/>
              </w:rPr>
              <w:t xml:space="preserve"> </w:t>
            </w:r>
          </w:p>
        </w:tc>
        <w:tc>
          <w:tcPr>
            <w:tcW w:w="7149" w:type="dxa"/>
            <w:shd w:val="clear" w:color="auto" w:fill="auto"/>
          </w:tcPr>
          <w:p w14:paraId="040DEAD6" w14:textId="77777777" w:rsidR="00B24FDB" w:rsidRPr="008E57AA" w:rsidRDefault="00B24FDB" w:rsidP="00BE60F3">
            <w:pPr>
              <w:spacing w:before="120" w:after="120"/>
              <w:rPr>
                <w:sz w:val="20"/>
                <w:szCs w:val="20"/>
                <w:highlight w:val="yellow"/>
              </w:rPr>
            </w:pPr>
            <w:r w:rsidRPr="008E57AA">
              <w:rPr>
                <w:sz w:val="20"/>
                <w:szCs w:val="20"/>
              </w:rPr>
              <w:t xml:space="preserve">Mainly expenditure data allocated to each Indonesian government agency so they can account for development spending recorded in Indonesia’s national budget. Submitted to Indonesian government agencies by DFAT with support from the Prospera operations team.  </w:t>
            </w:r>
          </w:p>
        </w:tc>
      </w:tr>
      <w:tr w:rsidR="00B24FDB" w:rsidRPr="008E57AA" w14:paraId="64F7B8FA" w14:textId="77777777" w:rsidTr="001304F1">
        <w:trPr>
          <w:cantSplit/>
        </w:trPr>
        <w:tc>
          <w:tcPr>
            <w:tcW w:w="2093" w:type="dxa"/>
          </w:tcPr>
          <w:p w14:paraId="2C05ECD8" w14:textId="77777777" w:rsidR="00B24FDB" w:rsidRPr="008E57AA" w:rsidRDefault="00B24FDB" w:rsidP="00BE60F3">
            <w:pPr>
              <w:spacing w:before="120" w:after="120"/>
              <w:rPr>
                <w:sz w:val="20"/>
                <w:szCs w:val="20"/>
              </w:rPr>
            </w:pPr>
            <w:r w:rsidRPr="008E57AA">
              <w:rPr>
                <w:sz w:val="20"/>
                <w:szCs w:val="20"/>
              </w:rPr>
              <w:t xml:space="preserve">Completion report </w:t>
            </w:r>
          </w:p>
          <w:p w14:paraId="7A5BD6C8" w14:textId="77777777" w:rsidR="00B24FDB" w:rsidRPr="008E57AA" w:rsidRDefault="00B24FDB" w:rsidP="00BE60F3">
            <w:pPr>
              <w:spacing w:before="120" w:after="120"/>
              <w:rPr>
                <w:sz w:val="20"/>
                <w:szCs w:val="20"/>
              </w:rPr>
            </w:pPr>
            <w:r w:rsidRPr="008E57AA">
              <w:rPr>
                <w:sz w:val="20"/>
                <w:szCs w:val="20"/>
              </w:rPr>
              <w:t>End of Prospera</w:t>
            </w:r>
          </w:p>
        </w:tc>
        <w:tc>
          <w:tcPr>
            <w:tcW w:w="7149" w:type="dxa"/>
            <w:shd w:val="clear" w:color="auto" w:fill="auto"/>
          </w:tcPr>
          <w:p w14:paraId="304BBF54" w14:textId="77777777" w:rsidR="00B24FDB" w:rsidRPr="008E57AA" w:rsidRDefault="00B24FDB" w:rsidP="00BE60F3">
            <w:pPr>
              <w:spacing w:before="120" w:after="120"/>
              <w:rPr>
                <w:b/>
                <w:sz w:val="20"/>
                <w:szCs w:val="20"/>
              </w:rPr>
            </w:pPr>
            <w:r w:rsidRPr="008E57AA">
              <w:rPr>
                <w:sz w:val="20"/>
                <w:szCs w:val="20"/>
                <w:lang w:val="en-GB"/>
              </w:rPr>
              <w:t>An analysis of facility effectiveness and operational and financial management efficiency over the life of the facility. Usually examined in accordance with OECD Development Assistance Committee criteria</w:t>
            </w:r>
            <w:r w:rsidRPr="008E57AA">
              <w:rPr>
                <w:b/>
                <w:sz w:val="20"/>
                <w:szCs w:val="20"/>
                <w:lang w:val="en-GB"/>
              </w:rPr>
              <w:t>.</w:t>
            </w:r>
          </w:p>
        </w:tc>
      </w:tr>
    </w:tbl>
    <w:p w14:paraId="0E804942" w14:textId="4ADFDC34" w:rsidR="00B24FDB" w:rsidRDefault="00B24FDB" w:rsidP="006F4F47">
      <w:pPr>
        <w:pStyle w:val="BodyText"/>
      </w:pPr>
    </w:p>
    <w:p w14:paraId="090FA125" w14:textId="13C16F66" w:rsidR="006F4F47" w:rsidRDefault="006F4F47" w:rsidP="006F4F47">
      <w:pPr>
        <w:pStyle w:val="BodyText"/>
      </w:pPr>
      <w:r>
        <w:t xml:space="preserve">Further detail on Prospera’s approach to communicating results is set out in the Prospera Communication and Public Affairs Strategy (2018).  </w:t>
      </w:r>
    </w:p>
    <w:p w14:paraId="6A8714CF" w14:textId="77777777" w:rsidR="00B24FDB" w:rsidRPr="00020592" w:rsidRDefault="00B24FDB" w:rsidP="00BE60F3">
      <w:pPr>
        <w:pStyle w:val="Heading1"/>
        <w:rPr>
          <w:b/>
        </w:rPr>
      </w:pPr>
      <w:bookmarkStart w:id="146" w:name="_Toc525563692"/>
      <w:bookmarkStart w:id="147" w:name="_Toc525743691"/>
      <w:bookmarkStart w:id="148" w:name="_Toc532991075"/>
      <w:r w:rsidRPr="00020592">
        <w:rPr>
          <w:b/>
        </w:rPr>
        <w:t>Resources</w:t>
      </w:r>
      <w:bookmarkEnd w:id="146"/>
      <w:bookmarkEnd w:id="147"/>
      <w:bookmarkEnd w:id="148"/>
      <w:r w:rsidRPr="00020592">
        <w:rPr>
          <w:b/>
        </w:rPr>
        <w:t xml:space="preserve"> </w:t>
      </w:r>
    </w:p>
    <w:p w14:paraId="5B362D01" w14:textId="24C0B864" w:rsidR="00B24FDB" w:rsidRDefault="00B24FDB" w:rsidP="00BE60F3">
      <w:pPr>
        <w:pStyle w:val="BodyText"/>
      </w:pPr>
      <w:r>
        <w:t xml:space="preserve">Prospera’s Knowledge and Performance unit reports to the Deputy Director of Policy Partnerships and Performance. The unit will be led by an international M&amp;E Adviser (under recruitment) and with three inter-related streams of support shown in </w:t>
      </w:r>
      <w:r w:rsidRPr="00CA0503">
        <w:t xml:space="preserve">Figure </w:t>
      </w:r>
      <w:r w:rsidR="00C240C9">
        <w:t>8</w:t>
      </w:r>
      <w:r>
        <w:t xml:space="preserve">. They are:  </w:t>
      </w:r>
    </w:p>
    <w:p w14:paraId="4869571B" w14:textId="77777777" w:rsidR="00B24FDB" w:rsidRDefault="00B24FDB" w:rsidP="00BE60F3">
      <w:pPr>
        <w:pStyle w:val="ListBullet"/>
      </w:pPr>
      <w:r w:rsidRPr="00BF621A">
        <w:rPr>
          <w:b/>
        </w:rPr>
        <w:t xml:space="preserve">Knowledge and </w:t>
      </w:r>
      <w:r>
        <w:rPr>
          <w:b/>
        </w:rPr>
        <w:t>D</w:t>
      </w:r>
      <w:r w:rsidRPr="00BF621A">
        <w:rPr>
          <w:b/>
        </w:rPr>
        <w:t>esign:</w:t>
      </w:r>
      <w:r>
        <w:t xml:space="preserve"> Includes a Design &amp; Facilitation Adviser and In-Australia Support for Australian Public Service (APS) agencies. </w:t>
      </w:r>
    </w:p>
    <w:p w14:paraId="0C3F7530" w14:textId="77777777" w:rsidR="00B24FDB" w:rsidRDefault="00B24FDB" w:rsidP="00BE60F3">
      <w:pPr>
        <w:pStyle w:val="ListBullet"/>
      </w:pPr>
      <w:r w:rsidRPr="00BF621A">
        <w:rPr>
          <w:b/>
        </w:rPr>
        <w:t xml:space="preserve">Monitoring and </w:t>
      </w:r>
      <w:r>
        <w:rPr>
          <w:b/>
        </w:rPr>
        <w:t>E</w:t>
      </w:r>
      <w:r w:rsidRPr="00BF621A">
        <w:rPr>
          <w:b/>
        </w:rPr>
        <w:t>valuation:</w:t>
      </w:r>
      <w:r>
        <w:t xml:space="preserve"> Includes an International M&amp;E Adviser (also head of the Knowledge and Performance team), National M&amp;E Adviser, and M&amp;E Specialists for expert input to deliver the Prospera Knowledge, Performance &amp; Learning Framework, and to undertake evaluations as required.   </w:t>
      </w:r>
    </w:p>
    <w:p w14:paraId="797F65C3" w14:textId="51DBB7A5" w:rsidR="00B24FDB" w:rsidRDefault="00B24FDB" w:rsidP="00BE60F3">
      <w:pPr>
        <w:pStyle w:val="ListBullet"/>
        <w:spacing w:after="160"/>
        <w:ind w:left="357" w:hanging="357"/>
      </w:pPr>
      <w:r w:rsidRPr="00BF621A">
        <w:rPr>
          <w:b/>
        </w:rPr>
        <w:t>Communications:</w:t>
      </w:r>
      <w:r>
        <w:t xml:space="preserve"> Includes an Economic Communications Specialist, Information Communication Technology (ICT) Designer, and </w:t>
      </w:r>
      <w:r w:rsidR="005A3535">
        <w:t>Information</w:t>
      </w:r>
      <w:r>
        <w:t xml:space="preserve"> Designer. </w:t>
      </w:r>
    </w:p>
    <w:p w14:paraId="276FD3F1" w14:textId="673D5620" w:rsidR="00B24FDB" w:rsidRPr="00D651D4" w:rsidRDefault="00B24FDB" w:rsidP="00BE60F3">
      <w:pPr>
        <w:pStyle w:val="BodyText"/>
      </w:pPr>
      <w:r w:rsidRPr="006C173F">
        <w:t xml:space="preserve">A major initiative </w:t>
      </w:r>
      <w:r>
        <w:t>in 2018-19</w:t>
      </w:r>
      <w:r w:rsidRPr="006C173F">
        <w:t xml:space="preserve"> is </w:t>
      </w:r>
      <w:r>
        <w:t>building Prospera’s digital knowledge system (both for knowledge-shar</w:t>
      </w:r>
      <w:r w:rsidR="005A3535">
        <w:t>ing</w:t>
      </w:r>
      <w:r>
        <w:t xml:space="preserve"> and to manage activity workflow for M&amp;E)</w:t>
      </w:r>
      <w:r w:rsidRPr="006C173F">
        <w:t>.  The Design &amp; Facilitation</w:t>
      </w:r>
      <w:r>
        <w:t xml:space="preserve"> Adviser</w:t>
      </w:r>
      <w:r w:rsidRPr="006C173F">
        <w:t xml:space="preserve"> </w:t>
      </w:r>
      <w:r>
        <w:t xml:space="preserve">will </w:t>
      </w:r>
      <w:r w:rsidRPr="006C173F">
        <w:t xml:space="preserve">project manage this build.  </w:t>
      </w:r>
    </w:p>
    <w:p w14:paraId="2FA63454" w14:textId="057BDA25" w:rsidR="008E57AA" w:rsidRDefault="00B24FDB" w:rsidP="00BE60F3">
      <w:pPr>
        <w:pStyle w:val="BodyText"/>
      </w:pPr>
      <w:bookmarkStart w:id="149" w:name="_Hlk524977962"/>
      <w:r w:rsidRPr="00713FD0">
        <w:t xml:space="preserve">At around </w:t>
      </w:r>
      <w:r w:rsidR="005A3535">
        <w:t>A</w:t>
      </w:r>
      <w:r w:rsidRPr="00713FD0">
        <w:t xml:space="preserve">$1.8 million </w:t>
      </w:r>
      <w:r>
        <w:t>in the first year (2018-19)</w:t>
      </w:r>
      <w:r w:rsidRPr="00713FD0">
        <w:t>, the budget for Knowledge and Performance is 6% of the expected annual spend of the facility (</w:t>
      </w:r>
      <w:r w:rsidR="005A3535">
        <w:t>A</w:t>
      </w:r>
      <w:r w:rsidRPr="00713FD0">
        <w:t>$29 million per year). This is consistent with conventional benchmarks of 5% for monitoring &amp; evaluation (M&amp;E) and up to 10% if design resources are included.</w:t>
      </w:r>
    </w:p>
    <w:bookmarkEnd w:id="149"/>
    <w:p w14:paraId="2E8E68C4" w14:textId="7C3A8DEC" w:rsidR="00B24FDB" w:rsidRPr="00326160" w:rsidRDefault="00E6721D" w:rsidP="00E6721D">
      <w:pPr>
        <w:pStyle w:val="BodyText"/>
        <w:rPr>
          <w:b/>
          <w:sz w:val="18"/>
          <w:szCs w:val="18"/>
        </w:rPr>
      </w:pPr>
      <w:r w:rsidRPr="00326160">
        <w:rPr>
          <w:b/>
          <w:sz w:val="18"/>
          <w:szCs w:val="18"/>
        </w:rPr>
        <w:t>F</w:t>
      </w:r>
      <w:r w:rsidR="00B24FDB" w:rsidRPr="00326160">
        <w:rPr>
          <w:b/>
          <w:sz w:val="18"/>
          <w:szCs w:val="18"/>
        </w:rPr>
        <w:t xml:space="preserve">igure </w:t>
      </w:r>
      <w:r w:rsidR="00B24FDB" w:rsidRPr="00326160">
        <w:rPr>
          <w:b/>
          <w:noProof/>
          <w:sz w:val="18"/>
          <w:szCs w:val="18"/>
        </w:rPr>
        <w:fldChar w:fldCharType="begin"/>
      </w:r>
      <w:r w:rsidR="00B24FDB" w:rsidRPr="00326160">
        <w:rPr>
          <w:b/>
          <w:noProof/>
          <w:sz w:val="18"/>
          <w:szCs w:val="18"/>
        </w:rPr>
        <w:instrText xml:space="preserve"> SEQ Figure \* ARABIC </w:instrText>
      </w:r>
      <w:r w:rsidR="00B24FDB" w:rsidRPr="00326160">
        <w:rPr>
          <w:b/>
          <w:noProof/>
          <w:sz w:val="18"/>
          <w:szCs w:val="18"/>
        </w:rPr>
        <w:fldChar w:fldCharType="separate"/>
      </w:r>
      <w:r w:rsidR="00C240C9">
        <w:rPr>
          <w:b/>
          <w:noProof/>
          <w:sz w:val="18"/>
          <w:szCs w:val="18"/>
        </w:rPr>
        <w:t>8</w:t>
      </w:r>
      <w:r w:rsidR="00B24FDB" w:rsidRPr="00326160">
        <w:rPr>
          <w:b/>
          <w:noProof/>
          <w:sz w:val="18"/>
          <w:szCs w:val="18"/>
        </w:rPr>
        <w:fldChar w:fldCharType="end"/>
      </w:r>
      <w:r w:rsidR="00020592" w:rsidRPr="00326160">
        <w:rPr>
          <w:b/>
          <w:noProof/>
          <w:sz w:val="18"/>
          <w:szCs w:val="18"/>
          <w:lang w:val="id-ID"/>
        </w:rPr>
        <w:t>.</w:t>
      </w:r>
      <w:r w:rsidR="00B24FDB" w:rsidRPr="00326160">
        <w:rPr>
          <w:b/>
          <w:sz w:val="18"/>
          <w:szCs w:val="18"/>
        </w:rPr>
        <w:t xml:space="preserve"> Core resources for knowledge performance and learning</w:t>
      </w:r>
      <w:r w:rsidR="0073797D" w:rsidRPr="00326160">
        <w:rPr>
          <w:b/>
          <w:sz w:val="18"/>
          <w:szCs w:val="18"/>
        </w:rPr>
        <w:t xml:space="preserve"> </w:t>
      </w:r>
    </w:p>
    <w:p w14:paraId="4BB60713" w14:textId="77777777" w:rsidR="008E57AA" w:rsidRPr="00D12127" w:rsidRDefault="008E57AA" w:rsidP="00BE60F3">
      <w:pPr>
        <w:pStyle w:val="Tabletext"/>
        <w:jc w:val="left"/>
      </w:pPr>
    </w:p>
    <w:p w14:paraId="2855FA00" w14:textId="2494296B" w:rsidR="00B24FDB" w:rsidRDefault="00332C28" w:rsidP="00BE60F3">
      <w:r w:rsidRPr="00332C28">
        <w:rPr>
          <w:noProof/>
          <w:lang w:eastAsia="en-AU"/>
        </w:rPr>
        <w:drawing>
          <wp:inline distT="0" distB="0" distL="0" distR="0" wp14:anchorId="6305A65D" wp14:editId="60236449">
            <wp:extent cx="5746750" cy="28257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6750" cy="2825750"/>
                    </a:xfrm>
                    <a:prstGeom prst="rect">
                      <a:avLst/>
                    </a:prstGeom>
                  </pic:spPr>
                </pic:pic>
              </a:graphicData>
            </a:graphic>
          </wp:inline>
        </w:drawing>
      </w:r>
    </w:p>
    <w:p w14:paraId="47DEAA60" w14:textId="77777777" w:rsidR="008E57AA" w:rsidRDefault="008E57AA" w:rsidP="00BE60F3"/>
    <w:p w14:paraId="0564A0D4" w14:textId="13C45B42" w:rsidR="00B24FDB" w:rsidRDefault="00E6721D" w:rsidP="007A52C4">
      <w:pPr>
        <w:pStyle w:val="BodyText"/>
        <w:pBdr>
          <w:top w:val="single" w:sz="4" w:space="1" w:color="auto"/>
          <w:left w:val="single" w:sz="4" w:space="4" w:color="auto"/>
          <w:bottom w:val="single" w:sz="4" w:space="1" w:color="auto"/>
          <w:right w:val="single" w:sz="4" w:space="4" w:color="auto"/>
        </w:pBdr>
        <w:shd w:val="clear" w:color="auto" w:fill="CFF0F7"/>
      </w:pPr>
      <w:r w:rsidRPr="00E6721D">
        <w:rPr>
          <w:b/>
        </w:rPr>
        <w:t xml:space="preserve">Focal Points: </w:t>
      </w:r>
      <w:r>
        <w:t>I</w:t>
      </w:r>
      <w:r w:rsidR="00B24FDB">
        <w:t xml:space="preserve">n addition </w:t>
      </w:r>
      <w:r>
        <w:t>to resources at management level</w:t>
      </w:r>
      <w:r w:rsidR="00B24FDB" w:rsidRPr="00CA0503">
        <w:t>,</w:t>
      </w:r>
      <w:r w:rsidR="00B24FDB">
        <w:t xml:space="preserve"> </w:t>
      </w:r>
      <w:r>
        <w:t xml:space="preserve">personnel </w:t>
      </w:r>
      <w:r w:rsidR="00B24FDB">
        <w:t xml:space="preserve">across the three breakthrough outcomes, will be assigned the role of </w:t>
      </w:r>
      <w:r w:rsidR="00334B64">
        <w:t xml:space="preserve">Monitoring &amp; Evaluation (M&amp;E) </w:t>
      </w:r>
      <w:r>
        <w:t>Focal Point to</w:t>
      </w:r>
      <w:r w:rsidR="00B24FDB">
        <w:t xml:space="preserve"> </w:t>
      </w:r>
      <w:r>
        <w:t>contribute to real</w:t>
      </w:r>
      <w:r w:rsidR="00334B64">
        <w:noBreakHyphen/>
      </w:r>
      <w:r>
        <w:t xml:space="preserve">time learning in their teams, </w:t>
      </w:r>
      <w:r w:rsidR="00B24FDB">
        <w:t>and participate in a community of practice to transform this Framework into a working system.</w:t>
      </w:r>
    </w:p>
    <w:p w14:paraId="007A9BCB" w14:textId="77777777" w:rsidR="00B24FDB" w:rsidRPr="00020592" w:rsidRDefault="00B24FDB" w:rsidP="00BE60F3">
      <w:pPr>
        <w:pStyle w:val="Heading1"/>
        <w:rPr>
          <w:b/>
        </w:rPr>
      </w:pPr>
      <w:bookmarkStart w:id="150" w:name="_Toc525563693"/>
      <w:bookmarkStart w:id="151" w:name="_Toc525743692"/>
      <w:bookmarkStart w:id="152" w:name="_Toc532991076"/>
      <w:r w:rsidRPr="00020592">
        <w:rPr>
          <w:b/>
        </w:rPr>
        <w:t>Quality standards</w:t>
      </w:r>
      <w:bookmarkEnd w:id="150"/>
      <w:bookmarkEnd w:id="151"/>
      <w:bookmarkEnd w:id="152"/>
    </w:p>
    <w:p w14:paraId="7AB765C0" w14:textId="7577139A" w:rsidR="00B24FDB" w:rsidRDefault="00B24FDB" w:rsidP="00BE60F3">
      <w:pPr>
        <w:pStyle w:val="BodyText"/>
      </w:pPr>
      <w:r>
        <w:t xml:space="preserve">The main purpose of Knowledge, Performance and Learning is </w:t>
      </w:r>
      <w:r w:rsidR="005A3535">
        <w:t>to enhance</w:t>
      </w:r>
      <w:r>
        <w:t xml:space="preserve"> the quality of </w:t>
      </w:r>
      <w:r w:rsidR="00BB7FC8">
        <w:t>f</w:t>
      </w:r>
      <w:r>
        <w:t xml:space="preserve">acility </w:t>
      </w:r>
      <w:r w:rsidR="00BB7FC8">
        <w:t>i</w:t>
      </w:r>
      <w:r>
        <w:t xml:space="preserve">mplementation. In turn it is essential that this is achieved while meeting relevant </w:t>
      </w:r>
      <w:r w:rsidR="00BB7FC8">
        <w:t>q</w:t>
      </w:r>
      <w:r>
        <w:t xml:space="preserve">uality </w:t>
      </w:r>
      <w:r w:rsidR="00BB7FC8">
        <w:t>s</w:t>
      </w:r>
      <w:r>
        <w:t>tandards. Prospera will ensure that its Knowledge, Performance and Learning work applies and meets:</w:t>
      </w:r>
    </w:p>
    <w:p w14:paraId="68C780FE" w14:textId="32B410A2" w:rsidR="00B24FDB" w:rsidRDefault="00B24FDB" w:rsidP="00BE60F3">
      <w:pPr>
        <w:pStyle w:val="ListBullet"/>
      </w:pPr>
      <w:r>
        <w:t>DFAT’s Monitoring and Evaluation Standards</w:t>
      </w:r>
      <w:r w:rsidR="00E31161">
        <w:t>.</w:t>
      </w:r>
    </w:p>
    <w:p w14:paraId="48AC7A99" w14:textId="77777777" w:rsidR="00B24FDB" w:rsidRPr="005422CE" w:rsidRDefault="00B24FDB" w:rsidP="00BE60F3">
      <w:pPr>
        <w:pStyle w:val="ListBullet"/>
        <w:spacing w:after="160"/>
        <w:ind w:left="357" w:hanging="357"/>
      </w:pPr>
      <w:r>
        <w:t>All additional guidance provided in the form of Practice Notes under DFAT’s Aid Programming Guide, not all of which are in the public domain.</w:t>
      </w:r>
    </w:p>
    <w:p w14:paraId="1BE80FC2" w14:textId="0C5C1DC5" w:rsidR="00B24FDB" w:rsidRDefault="00B24FDB" w:rsidP="00BE60F3">
      <w:pPr>
        <w:pStyle w:val="BodyText"/>
      </w:pPr>
      <w:r>
        <w:t xml:space="preserve">Further Prospera will aim to go beyond DFAT standards and where practical and appropriate apply the </w:t>
      </w:r>
      <w:r w:rsidR="007C2485">
        <w:t xml:space="preserve">OECD Development Assistance Committee (DAC) </w:t>
      </w:r>
      <w:r>
        <w:t>Quality Standards for Development Evaluation</w:t>
      </w:r>
      <w:r>
        <w:rPr>
          <w:rStyle w:val="FootnoteReference"/>
        </w:rPr>
        <w:footnoteReference w:id="6"/>
      </w:r>
      <w:r>
        <w:t xml:space="preserve">. </w:t>
      </w:r>
    </w:p>
    <w:p w14:paraId="30B14697" w14:textId="77777777" w:rsidR="00B24FDB" w:rsidRPr="00020592" w:rsidRDefault="00B24FDB" w:rsidP="00BE60F3">
      <w:pPr>
        <w:pStyle w:val="Heading1"/>
        <w:rPr>
          <w:b/>
        </w:rPr>
      </w:pPr>
      <w:bookmarkStart w:id="153" w:name="_Toc525563694"/>
      <w:bookmarkStart w:id="154" w:name="_Toc525743693"/>
      <w:bookmarkStart w:id="155" w:name="_Toc532991077"/>
      <w:r w:rsidRPr="00020592">
        <w:rPr>
          <w:b/>
        </w:rPr>
        <w:t>Ethics</w:t>
      </w:r>
      <w:bookmarkEnd w:id="153"/>
      <w:bookmarkEnd w:id="154"/>
      <w:bookmarkEnd w:id="155"/>
    </w:p>
    <w:p w14:paraId="1BEDE2C7" w14:textId="77777777" w:rsidR="00B24FDB" w:rsidRDefault="00B24FDB" w:rsidP="00BE60F3">
      <w:pPr>
        <w:pStyle w:val="BodyText"/>
      </w:pPr>
      <w:r>
        <w:t xml:space="preserve">This section sets out Prospera’s approach to applying ethical approaches in the collection of data for performance monitoring and evaluation. </w:t>
      </w:r>
    </w:p>
    <w:p w14:paraId="1021B08E" w14:textId="66F81F4D" w:rsidR="00B24FDB" w:rsidRDefault="00B24FDB" w:rsidP="00BE60F3">
      <w:pPr>
        <w:pStyle w:val="BodyText"/>
      </w:pPr>
      <w:r>
        <w:t xml:space="preserve">Basically, ethics </w:t>
      </w:r>
      <w:r w:rsidRPr="00E31161">
        <w:t>refers to right and wrong in conduct. While all academic researchers who might be engaged by Prospera to undertake research or evaluation</w:t>
      </w:r>
      <w:r w:rsidR="005A3535">
        <w:t xml:space="preserve"> </w:t>
      </w:r>
      <w:r w:rsidRPr="00E31161">
        <w:t>will be required to apply their host university’s codes of ethics, the Australasian Evaluation Society has developed guidelines</w:t>
      </w:r>
      <w:r w:rsidRPr="00E31161">
        <w:rPr>
          <w:rStyle w:val="FootnoteReference"/>
        </w:rPr>
        <w:footnoteReference w:id="7"/>
      </w:r>
      <w:r w:rsidRPr="00E31161">
        <w:t xml:space="preserve"> for ethical behaviour and decision-making in evaluation</w:t>
      </w:r>
      <w:r w:rsidR="005A3535">
        <w:t xml:space="preserve">. These </w:t>
      </w:r>
      <w:r w:rsidRPr="00E31161">
        <w:t>are intended to foster continuous improvement in the theory, practice and use of evaluation by stimulating awareness and discussion of ethical issues.</w:t>
      </w:r>
      <w:r>
        <w:t xml:space="preserve"> </w:t>
      </w:r>
    </w:p>
    <w:p w14:paraId="777EFD44" w14:textId="77777777" w:rsidR="00B24FDB" w:rsidRPr="00E076AD" w:rsidRDefault="00B24FDB" w:rsidP="00BE60F3">
      <w:pPr>
        <w:pStyle w:val="Heading3"/>
        <w:numPr>
          <w:ilvl w:val="0"/>
          <w:numId w:val="0"/>
        </w:numPr>
        <w:ind w:left="851" w:hanging="851"/>
        <w:rPr>
          <w:sz w:val="22"/>
          <w:szCs w:val="22"/>
        </w:rPr>
      </w:pPr>
      <w:r w:rsidRPr="00E076AD">
        <w:rPr>
          <w:sz w:val="22"/>
          <w:szCs w:val="22"/>
        </w:rPr>
        <w:t>Five ethical issues in evaluation</w:t>
      </w:r>
    </w:p>
    <w:p w14:paraId="5DC7170F" w14:textId="1A87DC50" w:rsidR="00B24FDB" w:rsidRDefault="004714F8" w:rsidP="00BE60F3">
      <w:pPr>
        <w:pStyle w:val="BodyText"/>
      </w:pPr>
      <w:r>
        <w:t xml:space="preserve">There are </w:t>
      </w:r>
      <w:r w:rsidR="00B24FDB">
        <w:t>five sets of ethical issues of particular importance in the international evaluation context:</w:t>
      </w:r>
    </w:p>
    <w:p w14:paraId="39CC6FF1" w14:textId="0214961F" w:rsidR="00B24FDB" w:rsidRDefault="00B24FDB" w:rsidP="00BE60F3">
      <w:pPr>
        <w:pStyle w:val="ListNumber"/>
        <w:numPr>
          <w:ilvl w:val="0"/>
          <w:numId w:val="25"/>
        </w:numPr>
      </w:pPr>
      <w:r w:rsidRPr="008E57AA">
        <w:rPr>
          <w:b/>
        </w:rPr>
        <w:t>Respect for multiculturalism and diversity.</w:t>
      </w:r>
      <w:r>
        <w:t xml:space="preserve"> This is closely linked to cultural competence and most important in programs promoting gender equity; people with disabilities and other targeted marginalised groups.</w:t>
      </w:r>
    </w:p>
    <w:p w14:paraId="72EF540E" w14:textId="3CE9DACE" w:rsidR="00B24FDB" w:rsidRDefault="00B24FDB" w:rsidP="00BE60F3">
      <w:pPr>
        <w:pStyle w:val="ListNumber"/>
        <w:numPr>
          <w:ilvl w:val="0"/>
          <w:numId w:val="25"/>
        </w:numPr>
      </w:pPr>
      <w:r w:rsidRPr="008E57AA">
        <w:rPr>
          <w:b/>
        </w:rPr>
        <w:t>Protecting the legitimate concerns of both clients and stakeholders</w:t>
      </w:r>
      <w:r>
        <w:t xml:space="preserve">. This is about balancing the concerns of the evaluation commissioner with the </w:t>
      </w:r>
      <w:r w:rsidR="00020592">
        <w:t>sometimes-conflicting</w:t>
      </w:r>
      <w:r>
        <w:t xml:space="preserve"> interests of a wide variety of stakeholders.</w:t>
      </w:r>
    </w:p>
    <w:p w14:paraId="62787F51" w14:textId="77777777" w:rsidR="00B24FDB" w:rsidRDefault="00B24FDB" w:rsidP="00BE60F3">
      <w:pPr>
        <w:pStyle w:val="ListNumber"/>
        <w:numPr>
          <w:ilvl w:val="0"/>
          <w:numId w:val="25"/>
        </w:numPr>
      </w:pPr>
      <w:r w:rsidRPr="008E57AA">
        <w:rPr>
          <w:b/>
        </w:rPr>
        <w:t>Ensuring the cultural appropriateness of the evaluation approach.</w:t>
      </w:r>
      <w:r>
        <w:t xml:space="preserve"> Again, linked to cultural competence this is about tailoring methods to suit the cultural situation.</w:t>
      </w:r>
    </w:p>
    <w:p w14:paraId="43B9255C" w14:textId="77777777" w:rsidR="00B24FDB" w:rsidRDefault="00B24FDB" w:rsidP="00BE60F3">
      <w:pPr>
        <w:pStyle w:val="ListNumber"/>
        <w:numPr>
          <w:ilvl w:val="0"/>
          <w:numId w:val="25"/>
        </w:numPr>
      </w:pPr>
      <w:r w:rsidRPr="008E57AA">
        <w:rPr>
          <w:b/>
        </w:rPr>
        <w:t>Dissemination of information on evaluation methods, findings and proposed actions</w:t>
      </w:r>
      <w:r>
        <w:t>. In short this is about gaining permission from communities and making sure they are well briefed and there are no surprises in the implementation of the evaluation. This can take a significant amount of effort and planning.</w:t>
      </w:r>
    </w:p>
    <w:p w14:paraId="30DB1995" w14:textId="67DE618C" w:rsidR="00B24FDB" w:rsidRPr="008C260A" w:rsidRDefault="00B24FDB" w:rsidP="00BE60F3">
      <w:pPr>
        <w:pStyle w:val="ListNumber"/>
        <w:numPr>
          <w:ilvl w:val="0"/>
          <w:numId w:val="25"/>
        </w:numPr>
      </w:pPr>
      <w:r w:rsidRPr="008E57AA">
        <w:rPr>
          <w:b/>
        </w:rPr>
        <w:t>Meeting the needs of different stakeholders and the general public.</w:t>
      </w:r>
      <w:r>
        <w:t xml:space="preserve"> While meeting the needs of the donor or evaluation commissioner, it is an ethical challenge to develop national evaluation </w:t>
      </w:r>
      <w:r w:rsidR="004B4D1E">
        <w:t xml:space="preserve">capability </w:t>
      </w:r>
      <w:r>
        <w:t>and ensure that the evaluation is also useful for the nation.</w:t>
      </w:r>
    </w:p>
    <w:p w14:paraId="607136D4" w14:textId="77777777" w:rsidR="00B24FDB" w:rsidRDefault="00B24FDB" w:rsidP="00BE60F3">
      <w:pPr>
        <w:pStyle w:val="BodyText"/>
      </w:pPr>
      <w:r>
        <w:t>All Prospera evaluators, and researchers, will be expected to demonstrate their particular approaches to ethical conduct.</w:t>
      </w:r>
    </w:p>
    <w:p w14:paraId="72514AB7" w14:textId="77777777" w:rsidR="00B24FDB" w:rsidRDefault="00B24FDB" w:rsidP="00BE60F3">
      <w:pPr>
        <w:pStyle w:val="BodyText"/>
      </w:pPr>
      <w:r>
        <w:t>Prospera makes the following commitments to ethical practice:</w:t>
      </w:r>
    </w:p>
    <w:p w14:paraId="33AC374E" w14:textId="4B21BD07" w:rsidR="00B24FDB" w:rsidRDefault="00B24FDB" w:rsidP="00BE60F3">
      <w:pPr>
        <w:pStyle w:val="ListBullet"/>
      </w:pPr>
      <w:r>
        <w:t>When undertaking performance monitoring and evaluation</w:t>
      </w:r>
      <w:r w:rsidR="005A3535">
        <w:t>,</w:t>
      </w:r>
      <w:r>
        <w:t xml:space="preserve"> the Prospera team, and any individual or team engaged to support evaluative processes, will abide by relevant professional and ethical guidelines, and codes of conduct for evaluators. </w:t>
      </w:r>
    </w:p>
    <w:p w14:paraId="70D289AB" w14:textId="77777777" w:rsidR="00B24FDB" w:rsidRDefault="00B24FDB" w:rsidP="00BE60F3">
      <w:pPr>
        <w:pStyle w:val="ListBullet"/>
      </w:pPr>
      <w:r>
        <w:t xml:space="preserve">Evaluation will be undertaken with integrity and honesty. </w:t>
      </w:r>
    </w:p>
    <w:p w14:paraId="57F85942" w14:textId="77777777" w:rsidR="00B24FDB" w:rsidRDefault="00B24FDB" w:rsidP="00BE60F3">
      <w:pPr>
        <w:pStyle w:val="ListBullet"/>
      </w:pPr>
      <w:r>
        <w:t xml:space="preserve">Commissioners, evaluation managers and evaluators will respect human rights and differences in culture, customs, religious beliefs and practices of all stakeholders. </w:t>
      </w:r>
    </w:p>
    <w:p w14:paraId="6244CC6C" w14:textId="3F934E30" w:rsidR="007A52C4" w:rsidRDefault="00B24FDB" w:rsidP="00BE60F3">
      <w:pPr>
        <w:pStyle w:val="ListBullet"/>
        <w:spacing w:after="160"/>
        <w:ind w:left="357" w:hanging="357"/>
        <w:sectPr w:rsidR="007A52C4" w:rsidSect="002C3956">
          <w:pgSz w:w="11900" w:h="16840"/>
          <w:pgMar w:top="1440" w:right="1410" w:bottom="1440" w:left="1440" w:header="850" w:footer="850" w:gutter="0"/>
          <w:cols w:space="708"/>
          <w:docGrid w:linePitch="360"/>
        </w:sectPr>
      </w:pPr>
      <w:r>
        <w:t>Evaluation designers and evaluators will be mindful of gender roles, ethnicity, ability, age, sexual orientation, language and other differences when designing and carrying out evaluations</w:t>
      </w:r>
    </w:p>
    <w:p w14:paraId="28C0E7F4" w14:textId="6875D34C" w:rsidR="00334B64" w:rsidRPr="00334B64" w:rsidRDefault="00334B64" w:rsidP="0082195C">
      <w:pPr>
        <w:pStyle w:val="Heading1"/>
        <w:numPr>
          <w:ilvl w:val="0"/>
          <w:numId w:val="0"/>
        </w:numPr>
        <w:ind w:left="851" w:hanging="851"/>
      </w:pPr>
      <w:bookmarkStart w:id="156" w:name="_Toc532991078"/>
      <w:r w:rsidRPr="00334B64">
        <w:t>Annex 1</w:t>
      </w:r>
      <w:r w:rsidRPr="00334B64">
        <w:tab/>
        <w:t xml:space="preserve">Ways of </w:t>
      </w:r>
      <w:r w:rsidR="0082195C">
        <w:t>w</w:t>
      </w:r>
      <w:r w:rsidRPr="00334B64">
        <w:t xml:space="preserve">orking </w:t>
      </w:r>
      <w:r w:rsidR="0082195C">
        <w:t>c</w:t>
      </w:r>
      <w:r w:rsidRPr="00334B64">
        <w:t>harter</w:t>
      </w:r>
      <w:bookmarkEnd w:id="156"/>
    </w:p>
    <w:p w14:paraId="058A14BC" w14:textId="77777777" w:rsidR="00334B64" w:rsidRDefault="00334B64">
      <w:pPr>
        <w:spacing w:after="0" w:line="240" w:lineRule="auto"/>
        <w:rPr>
          <w:b/>
          <w:highlight w:val="yellow"/>
        </w:rPr>
      </w:pPr>
    </w:p>
    <w:p w14:paraId="6317601E" w14:textId="77777777" w:rsidR="00334B64" w:rsidRDefault="00334B64" w:rsidP="006176A3">
      <w:pPr>
        <w:pStyle w:val="BodyText"/>
        <w:spacing w:after="360"/>
        <w:jc w:val="center"/>
      </w:pPr>
      <w:r>
        <w:t>This Charter is a guide for all Prospera teams to work together to achieve more.</w:t>
      </w:r>
    </w:p>
    <w:p w14:paraId="12CF5D9B" w14:textId="77777777" w:rsidR="00334B64" w:rsidRDefault="00334B64" w:rsidP="00334B64">
      <w:pPr>
        <w:pStyle w:val="BodyText"/>
        <w:jc w:val="center"/>
        <w:rPr>
          <w:noProof/>
        </w:rPr>
      </w:pPr>
      <w:r>
        <w:rPr>
          <w:noProof/>
          <w:lang w:eastAsia="en-AU"/>
        </w:rPr>
        <w:drawing>
          <wp:inline distT="0" distB="0" distL="0" distR="0" wp14:anchorId="6E9E53ED" wp14:editId="4B06A00F">
            <wp:extent cx="5086394" cy="359763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087874" cy="3598686"/>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334B64" w14:paraId="4693958B" w14:textId="77777777" w:rsidTr="00917AA6">
        <w:tc>
          <w:tcPr>
            <w:tcW w:w="9010" w:type="dxa"/>
          </w:tcPr>
          <w:p w14:paraId="3846BCB4" w14:textId="77777777" w:rsidR="00334B64" w:rsidRDefault="00334B64" w:rsidP="00917AA6">
            <w:pPr>
              <w:pStyle w:val="BodyText"/>
              <w:rPr>
                <w:noProof/>
              </w:rPr>
            </w:pPr>
            <w:r>
              <w:rPr>
                <w:noProof/>
                <w:lang w:eastAsia="en-AU"/>
              </w:rPr>
              <w:drawing>
                <wp:anchor distT="0" distB="0" distL="114300" distR="114300" simplePos="0" relativeHeight="251688960" behindDoc="0" locked="0" layoutInCell="1" allowOverlap="1" wp14:anchorId="58374E1E" wp14:editId="5CBCB99A">
                  <wp:simplePos x="0" y="0"/>
                  <wp:positionH relativeFrom="column">
                    <wp:posOffset>989351</wp:posOffset>
                  </wp:positionH>
                  <wp:positionV relativeFrom="paragraph">
                    <wp:posOffset>122461</wp:posOffset>
                  </wp:positionV>
                  <wp:extent cx="3739827" cy="3760132"/>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9827" cy="3760132"/>
                          </a:xfrm>
                          <a:prstGeom prst="rect">
                            <a:avLst/>
                          </a:prstGeom>
                          <a:noFill/>
                        </pic:spPr>
                      </pic:pic>
                    </a:graphicData>
                  </a:graphic>
                </wp:anchor>
              </w:drawing>
            </w:r>
          </w:p>
          <w:p w14:paraId="0CC2247A" w14:textId="77777777" w:rsidR="00334B64" w:rsidRDefault="00334B64" w:rsidP="00917AA6">
            <w:pPr>
              <w:pStyle w:val="BodyText"/>
              <w:jc w:val="center"/>
              <w:rPr>
                <w:noProof/>
              </w:rPr>
            </w:pPr>
          </w:p>
          <w:p w14:paraId="0EFE230E" w14:textId="77777777" w:rsidR="00334B64" w:rsidRDefault="00334B64" w:rsidP="00917AA6">
            <w:pPr>
              <w:pStyle w:val="BodyText"/>
              <w:rPr>
                <w:noProof/>
              </w:rPr>
            </w:pPr>
            <w:r>
              <w:rPr>
                <w:noProof/>
                <w:lang w:eastAsia="en-AU"/>
              </w:rPr>
              <mc:AlternateContent>
                <mc:Choice Requires="wps">
                  <w:drawing>
                    <wp:anchor distT="45720" distB="45720" distL="114300" distR="114300" simplePos="0" relativeHeight="251687936" behindDoc="0" locked="0" layoutInCell="1" allowOverlap="1" wp14:anchorId="4F292794" wp14:editId="78E04269">
                      <wp:simplePos x="0" y="0"/>
                      <wp:positionH relativeFrom="column">
                        <wp:posOffset>1064895</wp:posOffset>
                      </wp:positionH>
                      <wp:positionV relativeFrom="paragraph">
                        <wp:posOffset>215900</wp:posOffset>
                      </wp:positionV>
                      <wp:extent cx="581025" cy="2476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47650"/>
                              </a:xfrm>
                              <a:prstGeom prst="rect">
                                <a:avLst/>
                              </a:prstGeom>
                              <a:noFill/>
                              <a:ln w="9525">
                                <a:noFill/>
                                <a:miter lim="800000"/>
                                <a:headEnd/>
                                <a:tailEnd/>
                              </a:ln>
                            </wps:spPr>
                            <wps:txbx>
                              <w:txbxContent>
                                <w:p w14:paraId="0EF11357" w14:textId="77777777" w:rsidR="000C3B63" w:rsidRPr="0041162A" w:rsidRDefault="000C3B63" w:rsidP="00334B64">
                                  <w:pPr>
                                    <w:rPr>
                                      <w:color w:val="FFFFFF" w:themeColor="background1"/>
                                      <w:sz w:val="20"/>
                                      <w:szCs w:val="20"/>
                                    </w:rPr>
                                  </w:pPr>
                                  <w:r w:rsidRPr="0041162A">
                                    <w:rPr>
                                      <w:color w:val="FFFFFF" w:themeColor="background1"/>
                                      <w:sz w:val="20"/>
                                      <w:szCs w:val="20"/>
                                    </w:rPr>
                                    <w:t>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292794" id="_x0000_s1027" type="#_x0000_t202" style="position:absolute;margin-left:83.85pt;margin-top:17pt;width:45.75pt;height:1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" filled="f" stroked="f">
                      <v:textbox>
                        <w:txbxContent>
                          <w:p w14:paraId="0EF11357" w14:textId="77777777" w:rsidR="000C3B63" w:rsidRPr="0041162A" w:rsidRDefault="000C3B63" w:rsidP="00334B64">
                            <w:pPr>
                              <w:rPr>
                                <w:color w:val="FFFFFF" w:themeColor="background1"/>
                                <w:sz w:val="20"/>
                                <w:szCs w:val="20"/>
                              </w:rPr>
                            </w:pPr>
                            <w:r w:rsidRPr="0041162A">
                              <w:rPr>
                                <w:color w:val="FFFFFF" w:themeColor="background1"/>
                                <w:sz w:val="20"/>
                                <w:szCs w:val="20"/>
                              </w:rPr>
                              <w:t>Results</w:t>
                            </w:r>
                          </w:p>
                        </w:txbxContent>
                      </v:textbox>
                      <w10:wrap type="square"/>
                    </v:shape>
                  </w:pict>
                </mc:Fallback>
              </mc:AlternateContent>
            </w:r>
            <w:r>
              <w:rPr>
                <w:noProof/>
                <w:lang w:eastAsia="en-AU"/>
              </w:rPr>
              <mc:AlternateContent>
                <mc:Choice Requires="wps">
                  <w:drawing>
                    <wp:anchor distT="45720" distB="45720" distL="114300" distR="114300" simplePos="0" relativeHeight="251686912" behindDoc="0" locked="0" layoutInCell="1" allowOverlap="1" wp14:anchorId="4E60BAB1" wp14:editId="6FE6FE93">
                      <wp:simplePos x="0" y="0"/>
                      <wp:positionH relativeFrom="column">
                        <wp:posOffset>2416810</wp:posOffset>
                      </wp:positionH>
                      <wp:positionV relativeFrom="paragraph">
                        <wp:posOffset>82550</wp:posOffset>
                      </wp:positionV>
                      <wp:extent cx="752475" cy="7048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704850"/>
                              </a:xfrm>
                              <a:prstGeom prst="rect">
                                <a:avLst/>
                              </a:prstGeom>
                              <a:noFill/>
                              <a:ln w="9525">
                                <a:noFill/>
                                <a:miter lim="800000"/>
                                <a:headEnd/>
                                <a:tailEnd/>
                              </a:ln>
                            </wps:spPr>
                            <wps:txbx>
                              <w:txbxContent>
                                <w:p w14:paraId="29398621" w14:textId="77777777" w:rsidR="000C3B63" w:rsidRPr="0041162A" w:rsidRDefault="000C3B63" w:rsidP="00334B64">
                                  <w:pPr>
                                    <w:jc w:val="center"/>
                                    <w:rPr>
                                      <w:color w:val="FFFFFF" w:themeColor="background1"/>
                                      <w:sz w:val="20"/>
                                      <w:szCs w:val="20"/>
                                    </w:rPr>
                                  </w:pPr>
                                  <w:r w:rsidRPr="0041162A">
                                    <w:rPr>
                                      <w:color w:val="FFFFFF" w:themeColor="background1"/>
                                      <w:sz w:val="20"/>
                                      <w:szCs w:val="20"/>
                                    </w:rPr>
                                    <w:t>Values and Principles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0BAB1" id="_x0000_s1028" type="#_x0000_t202" style="position:absolute;margin-left:190.3pt;margin-top:6.5pt;width:59.25pt;height:55.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" filled="f" stroked="f">
                      <v:textbox>
                        <w:txbxContent>
                          <w:p w14:paraId="29398621" w14:textId="77777777" w:rsidR="000C3B63" w:rsidRPr="0041162A" w:rsidRDefault="000C3B63" w:rsidP="00334B64">
                            <w:pPr>
                              <w:jc w:val="center"/>
                              <w:rPr>
                                <w:color w:val="FFFFFF" w:themeColor="background1"/>
                                <w:sz w:val="20"/>
                                <w:szCs w:val="20"/>
                              </w:rPr>
                            </w:pPr>
                            <w:r w:rsidRPr="0041162A">
                              <w:rPr>
                                <w:color w:val="FFFFFF" w:themeColor="background1"/>
                                <w:sz w:val="20"/>
                                <w:szCs w:val="20"/>
                              </w:rPr>
                              <w:t>Values and Principles</w:t>
                            </w:r>
                          </w:p>
                        </w:txbxContent>
                      </v:textbox>
                      <w10:wrap type="square"/>
                    </v:shape>
                  </w:pict>
                </mc:Fallback>
              </mc:AlternateContent>
            </w:r>
          </w:p>
        </w:tc>
      </w:tr>
    </w:tbl>
    <w:p w14:paraId="26DCDDF3" w14:textId="77777777" w:rsidR="00334B64" w:rsidRDefault="00334B64" w:rsidP="00334B64">
      <w:pPr>
        <w:pStyle w:val="BodyText"/>
        <w:rPr>
          <w:noProof/>
        </w:rPr>
      </w:pPr>
    </w:p>
    <w:p w14:paraId="023B6EB3" w14:textId="77777777" w:rsidR="00334B64" w:rsidRDefault="00334B64" w:rsidP="00334B64">
      <w:pPr>
        <w:pStyle w:val="BodyText"/>
      </w:pPr>
    </w:p>
    <w:tbl>
      <w:tblPr>
        <w:tblStyle w:val="TableGrid"/>
        <w:tblW w:w="0" w:type="auto"/>
        <w:tblLook w:val="04A0" w:firstRow="1" w:lastRow="0" w:firstColumn="1" w:lastColumn="0" w:noHBand="0" w:noVBand="1"/>
      </w:tblPr>
      <w:tblGrid>
        <w:gridCol w:w="9010"/>
      </w:tblGrid>
      <w:tr w:rsidR="00334B64" w14:paraId="4E3DC0ED" w14:textId="77777777" w:rsidTr="00917AA6">
        <w:tc>
          <w:tcPr>
            <w:tcW w:w="9010" w:type="dxa"/>
            <w:shd w:val="clear" w:color="auto" w:fill="CFF0F7"/>
          </w:tcPr>
          <w:p w14:paraId="3D127E14" w14:textId="77777777" w:rsidR="00334B64" w:rsidRPr="00BF4EB0" w:rsidRDefault="00334B64" w:rsidP="00917AA6">
            <w:pPr>
              <w:pStyle w:val="BodyText"/>
              <w:spacing w:before="120"/>
              <w:rPr>
                <w:b/>
              </w:rPr>
            </w:pPr>
            <w:bookmarkStart w:id="157" w:name="_Toc525389166"/>
            <w:bookmarkStart w:id="158" w:name="_Toc525389921"/>
            <w:r w:rsidRPr="00BF4EB0">
              <w:rPr>
                <w:b/>
              </w:rPr>
              <w:t>We will:</w:t>
            </w:r>
          </w:p>
          <w:p w14:paraId="097B8FD3" w14:textId="77777777" w:rsidR="00334B64" w:rsidRPr="00BF4EB0" w:rsidRDefault="00334B64" w:rsidP="00917AA6">
            <w:pPr>
              <w:pStyle w:val="BodyText"/>
              <w:rPr>
                <w:b/>
              </w:rPr>
            </w:pPr>
            <w:bookmarkStart w:id="159" w:name="_Toc525389167"/>
            <w:bookmarkStart w:id="160" w:name="_Toc525389922"/>
            <w:r w:rsidRPr="00BF4EB0">
              <w:rPr>
                <w:b/>
              </w:rPr>
              <w:t>Adopt these values and principles</w:t>
            </w:r>
            <w:bookmarkEnd w:id="159"/>
            <w:bookmarkEnd w:id="160"/>
          </w:p>
          <w:p w14:paraId="644951DD" w14:textId="77777777" w:rsidR="00334B64" w:rsidRDefault="00334B64" w:rsidP="00917AA6">
            <w:pPr>
              <w:pStyle w:val="BodyText"/>
            </w:pPr>
            <w:r>
              <w:t>Work to the highest ethical standards, with integrity.</w:t>
            </w:r>
          </w:p>
          <w:p w14:paraId="6BD67EAC" w14:textId="77777777" w:rsidR="00334B64" w:rsidRDefault="00334B64" w:rsidP="00917AA6">
            <w:pPr>
              <w:pStyle w:val="BodyText"/>
            </w:pPr>
            <w:r>
              <w:t>Commit to transparency.</w:t>
            </w:r>
          </w:p>
          <w:p w14:paraId="1EC68233" w14:textId="77777777" w:rsidR="00334B64" w:rsidRDefault="00334B64" w:rsidP="00917AA6">
            <w:pPr>
              <w:pStyle w:val="BodyText"/>
            </w:pPr>
            <w:r>
              <w:t>Contribute to each other’s strong reputation; respect each other’s roles and responsibilities.</w:t>
            </w:r>
          </w:p>
          <w:p w14:paraId="407D9FCA" w14:textId="77777777" w:rsidR="00334B64" w:rsidRDefault="00334B64" w:rsidP="00917AA6">
            <w:pPr>
              <w:pStyle w:val="BodyText"/>
            </w:pPr>
            <w:r>
              <w:t>Build an environment of mutual trust and cooperation.</w:t>
            </w:r>
          </w:p>
          <w:p w14:paraId="2E67EA3E" w14:textId="77777777" w:rsidR="00334B64" w:rsidRDefault="00334B64" w:rsidP="00917AA6">
            <w:pPr>
              <w:pStyle w:val="BodyText"/>
            </w:pPr>
            <w:r>
              <w:t>Be predictable and reliable.</w:t>
            </w:r>
          </w:p>
          <w:p w14:paraId="6392088A" w14:textId="77777777" w:rsidR="00334B64" w:rsidRDefault="00334B64" w:rsidP="00917AA6">
            <w:pPr>
              <w:pStyle w:val="BodyText"/>
            </w:pPr>
            <w:r>
              <w:t>Enable mutual accountability for success and challenge.</w:t>
            </w:r>
          </w:p>
          <w:p w14:paraId="745E82ED" w14:textId="77777777" w:rsidR="00334B64" w:rsidRPr="001448D8" w:rsidRDefault="00334B64" w:rsidP="00917AA6">
            <w:pPr>
              <w:pStyle w:val="BodyText"/>
            </w:pPr>
            <w:r>
              <w:t>Do no harm.</w:t>
            </w:r>
          </w:p>
          <w:p w14:paraId="68D1B468" w14:textId="77777777" w:rsidR="00334B64" w:rsidRPr="00BF4EB0" w:rsidRDefault="00334B64" w:rsidP="00917AA6">
            <w:pPr>
              <w:pStyle w:val="BodyText"/>
              <w:rPr>
                <w:b/>
              </w:rPr>
            </w:pPr>
            <w:r w:rsidRPr="00BF4EB0">
              <w:rPr>
                <w:b/>
              </w:rPr>
              <w:t>Communicate effectively</w:t>
            </w:r>
          </w:p>
          <w:p w14:paraId="5002F2CA" w14:textId="77777777" w:rsidR="00334B64" w:rsidRDefault="00334B64" w:rsidP="00917AA6">
            <w:pPr>
              <w:pStyle w:val="BodyText"/>
            </w:pPr>
            <w:r>
              <w:t>Be culturally competent and gender sensitive.</w:t>
            </w:r>
          </w:p>
          <w:p w14:paraId="1C2916A3" w14:textId="77777777" w:rsidR="00334B64" w:rsidRDefault="00334B64" w:rsidP="00917AA6">
            <w:pPr>
              <w:pStyle w:val="BodyText"/>
            </w:pPr>
            <w:r>
              <w:t>Be clear about intent.</w:t>
            </w:r>
          </w:p>
          <w:p w14:paraId="6F562A3A" w14:textId="77777777" w:rsidR="00334B64" w:rsidRDefault="00334B64" w:rsidP="00917AA6">
            <w:pPr>
              <w:pStyle w:val="BodyText"/>
            </w:pPr>
            <w:r>
              <w:t>Be consistent, responsive and document formal decisions.</w:t>
            </w:r>
          </w:p>
          <w:p w14:paraId="579EEA0E" w14:textId="77777777" w:rsidR="00334B64" w:rsidRPr="007801DE" w:rsidRDefault="00334B64" w:rsidP="00917AA6">
            <w:pPr>
              <w:pStyle w:val="BodyText"/>
              <w:rPr>
                <w:lang w:val="id-ID"/>
              </w:rPr>
            </w:pPr>
            <w:r>
              <w:t>Plan together for good communication</w:t>
            </w:r>
            <w:r>
              <w:rPr>
                <w:lang w:val="id-ID"/>
              </w:rPr>
              <w:t>.</w:t>
            </w:r>
          </w:p>
          <w:p w14:paraId="06860603" w14:textId="77777777" w:rsidR="00334B64" w:rsidRDefault="00334B64" w:rsidP="00917AA6">
            <w:pPr>
              <w:pStyle w:val="BodyText"/>
            </w:pPr>
            <w:r>
              <w:t>Be open to frank communication; allow for differing views and disagreement.</w:t>
            </w:r>
          </w:p>
          <w:p w14:paraId="5EA15C48" w14:textId="77777777" w:rsidR="00334B64" w:rsidRDefault="00334B64" w:rsidP="00917AA6">
            <w:pPr>
              <w:pStyle w:val="BodyText"/>
            </w:pPr>
            <w:r>
              <w:t>Promote and support diversity.</w:t>
            </w:r>
          </w:p>
          <w:p w14:paraId="6F5E2306" w14:textId="77777777" w:rsidR="00334B64" w:rsidRDefault="00334B64" w:rsidP="00917AA6">
            <w:pPr>
              <w:pStyle w:val="BodyText"/>
            </w:pPr>
            <w:r>
              <w:t>Be able to explain Prospera to a range of audiences.</w:t>
            </w:r>
          </w:p>
          <w:p w14:paraId="09729A77" w14:textId="77777777" w:rsidR="00334B64" w:rsidRDefault="00334B64" w:rsidP="00917AA6">
            <w:pPr>
              <w:pStyle w:val="BodyText"/>
            </w:pPr>
            <w:r>
              <w:t>Share information.</w:t>
            </w:r>
          </w:p>
          <w:p w14:paraId="0C9C6F52" w14:textId="77777777" w:rsidR="00334B64" w:rsidRDefault="00334B64" w:rsidP="00917AA6">
            <w:pPr>
              <w:pStyle w:val="BodyText"/>
            </w:pPr>
            <w:r>
              <w:t>Receive and give constructive criticism.</w:t>
            </w:r>
            <w:bookmarkStart w:id="161" w:name="_Toc525389169"/>
            <w:bookmarkStart w:id="162" w:name="_Toc525389924"/>
          </w:p>
          <w:p w14:paraId="68675715" w14:textId="77777777" w:rsidR="00334B64" w:rsidRPr="00BF4EB0" w:rsidRDefault="00334B64" w:rsidP="00917AA6">
            <w:pPr>
              <w:pStyle w:val="BodyText"/>
              <w:rPr>
                <w:b/>
              </w:rPr>
            </w:pPr>
            <w:r w:rsidRPr="00BF4EB0">
              <w:rPr>
                <w:b/>
              </w:rPr>
              <w:t>Work with good intent</w:t>
            </w:r>
            <w:bookmarkEnd w:id="161"/>
            <w:bookmarkEnd w:id="162"/>
          </w:p>
          <w:p w14:paraId="5F84A69B" w14:textId="77777777" w:rsidR="00334B64" w:rsidRDefault="00334B64" w:rsidP="00917AA6">
            <w:pPr>
              <w:pStyle w:val="BodyText"/>
            </w:pPr>
            <w:r>
              <w:t xml:space="preserve">Express appreciation and be supportive. </w:t>
            </w:r>
          </w:p>
          <w:p w14:paraId="7EF86A50" w14:textId="77777777" w:rsidR="00334B64" w:rsidRDefault="00334B64" w:rsidP="00917AA6">
            <w:pPr>
              <w:pStyle w:val="BodyText"/>
            </w:pPr>
            <w:r>
              <w:t>Believe in the possibility of success, while being conscious of risk.</w:t>
            </w:r>
          </w:p>
          <w:p w14:paraId="1B136F62" w14:textId="77777777" w:rsidR="00334B64" w:rsidRDefault="00334B64" w:rsidP="00917AA6">
            <w:pPr>
              <w:pStyle w:val="BodyText"/>
            </w:pPr>
            <w:r>
              <w:t>Avoid blame; take responsibility.</w:t>
            </w:r>
          </w:p>
          <w:p w14:paraId="53A4C0DE" w14:textId="77777777" w:rsidR="00334B64" w:rsidRPr="007801DE" w:rsidRDefault="00334B64" w:rsidP="00917AA6">
            <w:pPr>
              <w:pStyle w:val="BodyText"/>
              <w:rPr>
                <w:lang w:val="id-ID"/>
              </w:rPr>
            </w:pPr>
            <w:r>
              <w:t>Be committed to improvement and constructive challenge</w:t>
            </w:r>
            <w:r>
              <w:rPr>
                <w:lang w:val="id-ID"/>
              </w:rPr>
              <w:t>.</w:t>
            </w:r>
          </w:p>
          <w:p w14:paraId="7287DC50" w14:textId="77777777" w:rsidR="00334B64" w:rsidRPr="00BF4EB0" w:rsidRDefault="00334B64" w:rsidP="00917AA6">
            <w:pPr>
              <w:pStyle w:val="BodyText"/>
              <w:rPr>
                <w:b/>
              </w:rPr>
            </w:pPr>
            <w:bookmarkStart w:id="163" w:name="_Toc525389170"/>
            <w:bookmarkStart w:id="164" w:name="_Toc525389925"/>
            <w:r w:rsidRPr="00BF4EB0">
              <w:rPr>
                <w:b/>
              </w:rPr>
              <w:t>Focus on results</w:t>
            </w:r>
            <w:bookmarkEnd w:id="163"/>
            <w:bookmarkEnd w:id="164"/>
          </w:p>
          <w:p w14:paraId="611BD6D5" w14:textId="77777777" w:rsidR="00334B64" w:rsidRDefault="00334B64" w:rsidP="00917AA6">
            <w:pPr>
              <w:pStyle w:val="BodyText"/>
            </w:pPr>
            <w:r>
              <w:t>Deliver excellent activities, while focused on the bigger picture.</w:t>
            </w:r>
          </w:p>
          <w:p w14:paraId="040D8745" w14:textId="77777777" w:rsidR="00334B64" w:rsidRPr="007801DE" w:rsidRDefault="00334B64" w:rsidP="00917AA6">
            <w:pPr>
              <w:pStyle w:val="BodyText"/>
              <w:rPr>
                <w:lang w:val="id-ID"/>
              </w:rPr>
            </w:pPr>
            <w:r>
              <w:t>Commit to continuous improvement, learning and evidence</w:t>
            </w:r>
            <w:r>
              <w:noBreakHyphen/>
              <w:t>based practice</w:t>
            </w:r>
            <w:r>
              <w:rPr>
                <w:lang w:val="id-ID"/>
              </w:rPr>
              <w:t>.</w:t>
            </w:r>
          </w:p>
          <w:p w14:paraId="160B0609" w14:textId="77777777" w:rsidR="00334B64" w:rsidRPr="007801DE" w:rsidRDefault="00334B64" w:rsidP="00917AA6">
            <w:pPr>
              <w:pStyle w:val="BodyText"/>
              <w:rPr>
                <w:lang w:val="id-ID"/>
              </w:rPr>
            </w:pPr>
            <w:r>
              <w:t xml:space="preserve">Use resources wisely with a commitment to </w:t>
            </w:r>
            <w:r w:rsidRPr="00B211CF">
              <w:t>value for mone</w:t>
            </w:r>
            <w:r>
              <w:t>y</w:t>
            </w:r>
            <w:r>
              <w:rPr>
                <w:lang w:val="id-ID"/>
              </w:rPr>
              <w:t>.</w:t>
            </w:r>
          </w:p>
          <w:p w14:paraId="3FF341F0" w14:textId="77777777" w:rsidR="00334B64" w:rsidRPr="00BF4EB0" w:rsidRDefault="00334B64" w:rsidP="00917AA6">
            <w:pPr>
              <w:pStyle w:val="BodyText"/>
              <w:rPr>
                <w:b/>
              </w:rPr>
            </w:pPr>
            <w:r w:rsidRPr="00BF4EB0">
              <w:rPr>
                <w:b/>
              </w:rPr>
              <w:t>Strive for innovation</w:t>
            </w:r>
          </w:p>
          <w:p w14:paraId="723576A4" w14:textId="77777777" w:rsidR="00334B64" w:rsidRDefault="00334B64" w:rsidP="00917AA6">
            <w:pPr>
              <w:pStyle w:val="BodyText"/>
            </w:pPr>
            <w:r>
              <w:t>Commit to learning and exploring new and better ways of working.</w:t>
            </w:r>
          </w:p>
          <w:p w14:paraId="08156559" w14:textId="77777777" w:rsidR="00334B64" w:rsidRDefault="00334B64" w:rsidP="00917AA6">
            <w:pPr>
              <w:pStyle w:val="BodyText"/>
            </w:pPr>
            <w:r>
              <w:t>Be prepared to take risks to innovate and improve rewards.</w:t>
            </w:r>
          </w:p>
          <w:p w14:paraId="37DDACDF" w14:textId="77777777" w:rsidR="00334B64" w:rsidRPr="0082444B" w:rsidRDefault="00334B64" w:rsidP="00917AA6">
            <w:pPr>
              <w:pStyle w:val="BodyText"/>
            </w:pPr>
            <w:r>
              <w:t>Maintain a forward focus and be ready for new opportunities.</w:t>
            </w:r>
          </w:p>
        </w:tc>
      </w:tr>
      <w:bookmarkEnd w:id="157"/>
      <w:bookmarkEnd w:id="158"/>
    </w:tbl>
    <w:p w14:paraId="321F1CBD" w14:textId="77777777" w:rsidR="00334B64" w:rsidRDefault="00334B64" w:rsidP="00334B64">
      <w:pPr>
        <w:pStyle w:val="BodyText"/>
      </w:pPr>
    </w:p>
    <w:p w14:paraId="3FED6F55" w14:textId="0A8B9ADE" w:rsidR="00334B64" w:rsidRDefault="00334B64">
      <w:pPr>
        <w:spacing w:after="0" w:line="240" w:lineRule="auto"/>
        <w:rPr>
          <w:rFonts w:eastAsiaTheme="majorEastAsia" w:cstheme="majorBidi"/>
          <w:b/>
          <w:color w:val="20ABCA" w:themeColor="accent6"/>
          <w:sz w:val="28"/>
          <w:szCs w:val="32"/>
          <w:highlight w:val="yellow"/>
        </w:rPr>
      </w:pPr>
      <w:r>
        <w:rPr>
          <w:b/>
          <w:highlight w:val="yellow"/>
        </w:rPr>
        <w:br w:type="page"/>
      </w:r>
    </w:p>
    <w:p w14:paraId="6B10FBE3" w14:textId="28DCDF74" w:rsidR="001651EE" w:rsidRPr="00334B64" w:rsidRDefault="00334B64" w:rsidP="0082195C">
      <w:pPr>
        <w:pStyle w:val="Heading1"/>
        <w:numPr>
          <w:ilvl w:val="0"/>
          <w:numId w:val="0"/>
        </w:numPr>
        <w:ind w:left="851" w:hanging="851"/>
      </w:pPr>
      <w:bookmarkStart w:id="165" w:name="_Toc532991079"/>
      <w:r>
        <w:t>Annex 2</w:t>
      </w:r>
      <w:r>
        <w:tab/>
      </w:r>
      <w:r w:rsidR="007A52C4" w:rsidRPr="00334B64">
        <w:t>Contextual considerations</w:t>
      </w:r>
      <w:bookmarkEnd w:id="165"/>
    </w:p>
    <w:p w14:paraId="20298E3B" w14:textId="77777777" w:rsidR="007A52C4" w:rsidRPr="00724FE2" w:rsidRDefault="007A52C4" w:rsidP="007A52C4">
      <w:pPr>
        <w:pStyle w:val="BodyText"/>
      </w:pPr>
      <w:r>
        <w:t xml:space="preserve">There are a range of contextual matters considered in the design of this Framework.  They will need to be continually re-examined throughout Prospera’s delivery. Key </w:t>
      </w:r>
      <w:r w:rsidRPr="00435725">
        <w:t xml:space="preserve">approaches </w:t>
      </w:r>
      <w:r>
        <w:t>are discussed in this section.</w:t>
      </w:r>
    </w:p>
    <w:p w14:paraId="75423583" w14:textId="77777777" w:rsidR="007A52C4" w:rsidRPr="00B27D06" w:rsidRDefault="007A52C4" w:rsidP="007A52C4">
      <w:pPr>
        <w:pStyle w:val="Heading3"/>
        <w:numPr>
          <w:ilvl w:val="0"/>
          <w:numId w:val="0"/>
        </w:numPr>
        <w:ind w:left="851" w:hanging="851"/>
      </w:pPr>
      <w:bookmarkStart w:id="166" w:name="_Toc525563669"/>
      <w:bookmarkStart w:id="167" w:name="_Toc525743668"/>
      <w:bookmarkStart w:id="168" w:name="_Toc523408889"/>
      <w:bookmarkStart w:id="169" w:name="_Toc523469588"/>
      <w:r w:rsidRPr="00B27D06">
        <w:t>Prospera is delivered through a facility</w:t>
      </w:r>
      <w:bookmarkEnd w:id="166"/>
      <w:bookmarkEnd w:id="167"/>
      <w:r w:rsidRPr="00B27D06">
        <w:t xml:space="preserve"> </w:t>
      </w:r>
      <w:bookmarkEnd w:id="168"/>
      <w:bookmarkEnd w:id="169"/>
    </w:p>
    <w:p w14:paraId="080BD8C1" w14:textId="77777777" w:rsidR="007A52C4" w:rsidRDefault="007A52C4" w:rsidP="007A52C4">
      <w:pPr>
        <w:pStyle w:val="BodyText"/>
      </w:pPr>
      <w:r>
        <w:t>DFAT guidance on facilities</w:t>
      </w:r>
      <w:r>
        <w:rPr>
          <w:rStyle w:val="FootnoteReference"/>
        </w:rPr>
        <w:footnoteReference w:id="8"/>
      </w:r>
      <w:r>
        <w:t xml:space="preserve"> states the following: </w:t>
      </w:r>
    </w:p>
    <w:p w14:paraId="498728D3" w14:textId="77777777" w:rsidR="007A52C4" w:rsidRPr="00435725" w:rsidRDefault="007A52C4" w:rsidP="007A52C4">
      <w:pPr>
        <w:pStyle w:val="BodyText"/>
        <w:spacing w:line="252" w:lineRule="auto"/>
        <w:ind w:left="567"/>
      </w:pPr>
      <w:r>
        <w:t>“</w:t>
      </w:r>
      <w:r w:rsidRPr="00435725">
        <w:t>There are several common elements of a facility:</w:t>
      </w:r>
    </w:p>
    <w:p w14:paraId="6135EFC8" w14:textId="77777777" w:rsidR="007A52C4" w:rsidRPr="00435725" w:rsidRDefault="007A52C4" w:rsidP="007A52C4">
      <w:pPr>
        <w:pStyle w:val="BodyText"/>
        <w:spacing w:line="252" w:lineRule="auto"/>
        <w:ind w:left="567"/>
      </w:pPr>
      <w:r w:rsidRPr="00435725">
        <w:t xml:space="preserve">While they should have clear end-of-program outcomes defined, facilities do not specify at the outset the activities and the outputs required to achieve them.  These are developed during implementation.   </w:t>
      </w:r>
    </w:p>
    <w:p w14:paraId="6D3CB048" w14:textId="77777777" w:rsidR="007A52C4" w:rsidRPr="00435725" w:rsidRDefault="007A52C4" w:rsidP="007A52C4">
      <w:pPr>
        <w:pStyle w:val="BodyText"/>
        <w:spacing w:line="252" w:lineRule="auto"/>
        <w:ind w:left="567"/>
      </w:pPr>
      <w:r w:rsidRPr="00435725">
        <w:t xml:space="preserve">Reform pathways and strategies to achieve outcomes are not defined upfront and are developed during implementation. </w:t>
      </w:r>
    </w:p>
    <w:p w14:paraId="4C43B82F" w14:textId="77777777" w:rsidR="007A52C4" w:rsidRPr="00435725" w:rsidRDefault="007A52C4" w:rsidP="007A52C4">
      <w:pPr>
        <w:pStyle w:val="BodyText"/>
        <w:spacing w:line="252" w:lineRule="auto"/>
        <w:ind w:left="567"/>
      </w:pPr>
      <w:r w:rsidRPr="00435725">
        <w:t xml:space="preserve">There is usually a large pool of unallocated funds which is designed/ programmed during implementation.   Investments may be planned from year to year to respond to changing needs.    </w:t>
      </w:r>
    </w:p>
    <w:p w14:paraId="5CFDD0FE" w14:textId="77777777" w:rsidR="007A52C4" w:rsidRPr="00435725" w:rsidRDefault="007A52C4" w:rsidP="007A52C4">
      <w:pPr>
        <w:pStyle w:val="BodyText"/>
        <w:spacing w:line="252" w:lineRule="auto"/>
        <w:ind w:left="567"/>
      </w:pPr>
      <w:r w:rsidRPr="00435725">
        <w:t>Facilities have many activities, partners, and funding flows to manage, making them significantly more complex than other investment types…..</w:t>
      </w:r>
    </w:p>
    <w:p w14:paraId="10478C06" w14:textId="77777777" w:rsidR="007A52C4" w:rsidRDefault="007A52C4" w:rsidP="007A52C4">
      <w:pPr>
        <w:pStyle w:val="BodyText"/>
        <w:spacing w:line="252" w:lineRule="auto"/>
        <w:ind w:left="567"/>
      </w:pPr>
      <w:r w:rsidRPr="00435725">
        <w:t xml:space="preserve">….there is an ongoing ‘design load’ during its life.  Facility managers are active participants with DFAT in defining the programs direction and in managing policy dialogue.” </w:t>
      </w:r>
    </w:p>
    <w:p w14:paraId="23D37D4D" w14:textId="77777777" w:rsidR="007A52C4" w:rsidRDefault="007A52C4" w:rsidP="007A52C4">
      <w:pPr>
        <w:pStyle w:val="BodyText"/>
      </w:pPr>
      <w:r w:rsidRPr="00435725">
        <w:t>This guidance acknowledges the challenge that exists in designing appropriate approaches for performance monitoring and evaluation in what can be a dynamic and fluid programming environment.</w:t>
      </w:r>
    </w:p>
    <w:p w14:paraId="037AB284" w14:textId="77777777" w:rsidR="007A52C4" w:rsidRPr="00435725" w:rsidRDefault="007A52C4" w:rsidP="007A52C4">
      <w:pPr>
        <w:suppressAutoHyphens/>
        <w:spacing w:after="120" w:line="240" w:lineRule="auto"/>
      </w:pPr>
      <w:r>
        <w:rPr>
          <w:noProof/>
          <w:lang w:eastAsia="en-AU"/>
        </w:rPr>
        <mc:AlternateContent>
          <mc:Choice Requires="wps">
            <w:drawing>
              <wp:inline distT="0" distB="0" distL="0" distR="0" wp14:anchorId="659F7931" wp14:editId="31F933AE">
                <wp:extent cx="5705475" cy="495300"/>
                <wp:effectExtent l="0" t="0" r="28575" b="1905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95300"/>
                        </a:xfrm>
                        <a:prstGeom prst="rect">
                          <a:avLst/>
                        </a:prstGeom>
                        <a:solidFill>
                          <a:srgbClr val="CFF0F7"/>
                        </a:solidFill>
                        <a:ln w="9525">
                          <a:solidFill>
                            <a:srgbClr val="000000"/>
                          </a:solidFill>
                          <a:miter lim="800000"/>
                          <a:headEnd/>
                          <a:tailEnd/>
                        </a:ln>
                      </wps:spPr>
                      <wps:txbx>
                        <w:txbxContent>
                          <w:p w14:paraId="119430CB" w14:textId="77777777" w:rsidR="000C3B63" w:rsidRPr="00043C86" w:rsidRDefault="000C3B63" w:rsidP="007A52C4">
                            <w:pPr>
                              <w:pStyle w:val="BodyText"/>
                              <w:jc w:val="both"/>
                            </w:pPr>
                            <w:r w:rsidRPr="00043C86">
                              <w:t xml:space="preserve">Prospera will work with an adaptive facility logic, with stable breakthrough outcomes </w:t>
                            </w:r>
                            <w:r>
                              <w:t xml:space="preserve">(end-of-facility outcomes) </w:t>
                            </w:r>
                            <w:r w:rsidRPr="00043C86">
                              <w:t>and flexible intermediate outcomes.</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9F7931" id="_x0000_s1029" type="#_x0000_t202" style="width:449.2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" fillcolor="#cff0f7">
                <v:textbox>
                  <w:txbxContent>
                    <w:p w14:paraId="119430CB" w14:textId="77777777" w:rsidR="000C3B63" w:rsidRPr="00043C86" w:rsidRDefault="000C3B63" w:rsidP="007A52C4">
                      <w:pPr>
                        <w:pStyle w:val="BodyText"/>
                        <w:jc w:val="both"/>
                      </w:pPr>
                      <w:r w:rsidRPr="00043C86">
                        <w:t xml:space="preserve">Prospera will work with an adaptive facility logic, with stable breakthrough outcomes </w:t>
                      </w:r>
                      <w:r>
                        <w:t xml:space="preserve">(end-of-facility outcomes) </w:t>
                      </w:r>
                      <w:r w:rsidRPr="00043C86">
                        <w:t>and flexible intermediate outcomes.</w:t>
                      </w:r>
                    </w:p>
                  </w:txbxContent>
                </v:textbox>
                <w10:anchorlock/>
              </v:shape>
            </w:pict>
          </mc:Fallback>
        </mc:AlternateContent>
      </w:r>
    </w:p>
    <w:p w14:paraId="151F26A1" w14:textId="77777777" w:rsidR="007A52C4" w:rsidRDefault="007A52C4" w:rsidP="007A52C4">
      <w:pPr>
        <w:pStyle w:val="Heading3"/>
        <w:numPr>
          <w:ilvl w:val="0"/>
          <w:numId w:val="0"/>
        </w:numPr>
        <w:ind w:left="851" w:hanging="851"/>
      </w:pPr>
      <w:bookmarkStart w:id="170" w:name="_Toc523408890"/>
      <w:bookmarkStart w:id="171" w:name="_Toc523469589"/>
      <w:bookmarkStart w:id="172" w:name="_Toc525563670"/>
      <w:bookmarkStart w:id="173" w:name="_Toc525743669"/>
      <w:r>
        <w:t>Monitoring and evaluation for facilities has particular challenges</w:t>
      </w:r>
      <w:bookmarkEnd w:id="170"/>
      <w:bookmarkEnd w:id="171"/>
      <w:bookmarkEnd w:id="172"/>
      <w:bookmarkEnd w:id="173"/>
    </w:p>
    <w:p w14:paraId="6719BC90" w14:textId="77777777" w:rsidR="007A52C4" w:rsidRDefault="007A52C4" w:rsidP="007A52C4">
      <w:pPr>
        <w:pStyle w:val="BodyText"/>
      </w:pPr>
      <w:r>
        <w:t>Facilities can be hard to monitor and evaluate, in part due to a lack of cohesion across activities. Good practice guidance for monitoring and evaluation (M&amp;E) of facilities has been developed by DFAT in Indonesia</w:t>
      </w:r>
      <w:r>
        <w:rPr>
          <w:rStyle w:val="FootnoteReference"/>
        </w:rPr>
        <w:footnoteReference w:id="9"/>
      </w:r>
      <w:r>
        <w:t>:</w:t>
      </w:r>
    </w:p>
    <w:p w14:paraId="6163C47D" w14:textId="77777777" w:rsidR="007A52C4" w:rsidRDefault="007A52C4" w:rsidP="007A52C4">
      <w:pPr>
        <w:pStyle w:val="BodyText"/>
        <w:spacing w:line="252" w:lineRule="auto"/>
        <w:ind w:left="567"/>
      </w:pPr>
      <w:r>
        <w:t>“</w:t>
      </w:r>
      <w:r w:rsidRPr="00532EFD">
        <w:t xml:space="preserve">Develop a cascading M&amp;E framework: Have a framework at the facility level PLUS linked M&amp;E plans for each of the key activities. </w:t>
      </w:r>
    </w:p>
    <w:p w14:paraId="4B75E9FE" w14:textId="77777777" w:rsidR="007A52C4" w:rsidRDefault="007A52C4" w:rsidP="007A52C4">
      <w:pPr>
        <w:pStyle w:val="BodyText"/>
        <w:spacing w:line="252" w:lineRule="auto"/>
        <w:ind w:left="567"/>
      </w:pPr>
      <w:r w:rsidRPr="00532EFD">
        <w:t>Embed a culture of learning at both the facility and activity levels. Facilities should use M&amp;E to learn what works, to refine selection criteria and to constantly adapt to the context.</w:t>
      </w:r>
    </w:p>
    <w:p w14:paraId="059E9569" w14:textId="77777777" w:rsidR="007A52C4" w:rsidRDefault="007A52C4" w:rsidP="007A52C4">
      <w:pPr>
        <w:pStyle w:val="BodyText"/>
        <w:spacing w:line="252" w:lineRule="auto"/>
        <w:ind w:left="567"/>
      </w:pPr>
      <w:r w:rsidRPr="00532EFD">
        <w:t>Have a healthy budget for M&amp;E. Facilities need sufficient M&amp;E capability to be able to test and refine their emerging ideas, and to decide what to drop and what to keep</w:t>
      </w:r>
      <w:r>
        <w:t>.”</w:t>
      </w:r>
    </w:p>
    <w:p w14:paraId="2FD69258" w14:textId="77777777" w:rsidR="007A52C4" w:rsidRDefault="007A52C4" w:rsidP="007A52C4">
      <w:pPr>
        <w:spacing w:after="120" w:line="240" w:lineRule="auto"/>
      </w:pPr>
      <w:r>
        <w:rPr>
          <w:noProof/>
          <w:lang w:eastAsia="en-AU"/>
        </w:rPr>
        <mc:AlternateContent>
          <mc:Choice Requires="wps">
            <w:drawing>
              <wp:inline distT="0" distB="0" distL="0" distR="0" wp14:anchorId="40405CBF" wp14:editId="0032F09E">
                <wp:extent cx="5734050" cy="845820"/>
                <wp:effectExtent l="0" t="0" r="19050" b="11430"/>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45820"/>
                        </a:xfrm>
                        <a:prstGeom prst="rect">
                          <a:avLst/>
                        </a:prstGeom>
                        <a:solidFill>
                          <a:srgbClr val="CFF0F7"/>
                        </a:solidFill>
                        <a:ln w="9525">
                          <a:solidFill>
                            <a:srgbClr val="000000"/>
                          </a:solidFill>
                          <a:miter lim="800000"/>
                          <a:headEnd/>
                          <a:tailEnd/>
                        </a:ln>
                      </wps:spPr>
                      <wps:txbx>
                        <w:txbxContent>
                          <w:p w14:paraId="7D209BCE" w14:textId="77777777" w:rsidR="000C3B63" w:rsidRDefault="000C3B63" w:rsidP="007A52C4">
                            <w:pPr>
                              <w:pStyle w:val="BodyText"/>
                            </w:pPr>
                            <w:r>
                              <w:t xml:space="preserve">This Framework describes cascading logics, with ‘facility logic’ for Prospera as a whole, and ‘activity logic’ for designing activities. </w:t>
                            </w:r>
                            <w:r w:rsidRPr="00435725">
                              <w:t>Prospera</w:t>
                            </w:r>
                            <w:r>
                              <w:t xml:space="preserve"> will apply good practice monitoring and evaluation principles for facilities, and procure and expand capability within the Prospera team, which supports co-design, collaboration and participation in reviewing change. </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05CBF" id="_x0000_s1030" type="#_x0000_t202" style="width:451.5pt;height:6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" fillcolor="#cff0f7">
                <v:textbox>
                  <w:txbxContent>
                    <w:p w14:paraId="7D209BCE" w14:textId="77777777" w:rsidR="000C3B63" w:rsidRDefault="000C3B63" w:rsidP="007A52C4">
                      <w:pPr>
                        <w:pStyle w:val="BodyText"/>
                      </w:pPr>
                      <w:r>
                        <w:t xml:space="preserve">This Framework describes cascading logics, with ‘facility logic’ for Prospera as a whole, and ‘activity logic’ for designing activities. </w:t>
                      </w:r>
                      <w:r w:rsidRPr="00435725">
                        <w:t>Prospera</w:t>
                      </w:r>
                      <w:r>
                        <w:t xml:space="preserve"> will apply good practice monitoring and evaluation principles for facilities, and procure and expand capability within the Prospera team, which supports co-design, collaboration and participation in reviewing change. </w:t>
                      </w:r>
                    </w:p>
                  </w:txbxContent>
                </v:textbox>
                <w10:anchorlock/>
              </v:shape>
            </w:pict>
          </mc:Fallback>
        </mc:AlternateContent>
      </w:r>
    </w:p>
    <w:p w14:paraId="55B91275" w14:textId="7F1A2D05" w:rsidR="007A52C4" w:rsidRDefault="007A52C4" w:rsidP="007A52C4">
      <w:pPr>
        <w:pStyle w:val="Heading3"/>
        <w:numPr>
          <w:ilvl w:val="0"/>
          <w:numId w:val="0"/>
        </w:numPr>
        <w:ind w:left="851" w:hanging="851"/>
      </w:pPr>
      <w:bookmarkStart w:id="174" w:name="_Toc523408891"/>
      <w:bookmarkStart w:id="175" w:name="_Toc523469590"/>
      <w:bookmarkStart w:id="176" w:name="_Toc525563671"/>
      <w:bookmarkStart w:id="177" w:name="_Toc525743670"/>
      <w:r>
        <w:t>Prospera is operating in a very large, emerging market system</w:t>
      </w:r>
      <w:bookmarkEnd w:id="174"/>
      <w:bookmarkEnd w:id="175"/>
      <w:bookmarkEnd w:id="176"/>
      <w:bookmarkEnd w:id="177"/>
    </w:p>
    <w:p w14:paraId="38060033" w14:textId="78518950" w:rsidR="007A52C4" w:rsidRDefault="007A52C4" w:rsidP="007A52C4">
      <w:pPr>
        <w:pStyle w:val="BodyText"/>
      </w:pPr>
      <w:r>
        <w:t xml:space="preserve">There is nothing linear and simple about the context in which Prospera operates. It is important that this Framework takes complexity into account. Figure </w:t>
      </w:r>
      <w:r w:rsidR="00C240C9">
        <w:t>9</w:t>
      </w:r>
      <w:r>
        <w:t xml:space="preserve"> illustrates the four quadrants that are described in complex systems thinking</w:t>
      </w:r>
      <w:r>
        <w:rPr>
          <w:rStyle w:val="FootnoteReference"/>
        </w:rPr>
        <w:footnoteReference w:id="10"/>
      </w:r>
      <w:r>
        <w:t>. Prospera delivers activities that fit in each quadrant.</w:t>
      </w:r>
    </w:p>
    <w:p w14:paraId="59427B5E" w14:textId="77777777" w:rsidR="007A52C4" w:rsidRDefault="007A52C4" w:rsidP="007A52C4">
      <w:pPr>
        <w:pStyle w:val="BodyText"/>
      </w:pPr>
    </w:p>
    <w:p w14:paraId="6683B2FE" w14:textId="1EA3E5DA" w:rsidR="007A52C4" w:rsidRPr="005F6634" w:rsidRDefault="007A52C4" w:rsidP="007A52C4">
      <w:pPr>
        <w:pStyle w:val="Tabletext"/>
        <w:jc w:val="left"/>
        <w:rPr>
          <w:b/>
        </w:rPr>
      </w:pPr>
      <w:r w:rsidRPr="007F5F67">
        <w:rPr>
          <w:b/>
        </w:rPr>
        <w:t xml:space="preserve">Figure </w:t>
      </w:r>
      <w:r w:rsidRPr="007F5F67">
        <w:rPr>
          <w:b/>
          <w:noProof/>
        </w:rPr>
        <w:fldChar w:fldCharType="begin"/>
      </w:r>
      <w:r w:rsidRPr="007F5F67">
        <w:rPr>
          <w:b/>
          <w:noProof/>
        </w:rPr>
        <w:instrText xml:space="preserve"> SEQ Figure \* ARABIC </w:instrText>
      </w:r>
      <w:r w:rsidRPr="007F5F67">
        <w:rPr>
          <w:b/>
          <w:noProof/>
        </w:rPr>
        <w:fldChar w:fldCharType="separate"/>
      </w:r>
      <w:r w:rsidR="00C240C9">
        <w:rPr>
          <w:b/>
          <w:noProof/>
        </w:rPr>
        <w:t>9</w:t>
      </w:r>
      <w:r w:rsidRPr="007F5F67">
        <w:rPr>
          <w:b/>
          <w:noProof/>
        </w:rPr>
        <w:fldChar w:fldCharType="end"/>
      </w:r>
      <w:r w:rsidRPr="007F5F67">
        <w:rPr>
          <w:b/>
          <w:noProof/>
          <w:lang w:val="id-ID"/>
        </w:rPr>
        <w:t>.</w:t>
      </w:r>
      <w:r w:rsidRPr="007F5F67">
        <w:rPr>
          <w:b/>
        </w:rPr>
        <w:t xml:space="preserve"> </w:t>
      </w:r>
      <w:r>
        <w:rPr>
          <w:b/>
        </w:rPr>
        <w:t xml:space="preserve">Domains </w:t>
      </w:r>
      <w:r w:rsidRPr="007F5F67">
        <w:rPr>
          <w:b/>
        </w:rPr>
        <w:t>in Prospera</w:t>
      </w:r>
    </w:p>
    <w:p w14:paraId="65769F0D" w14:textId="77777777" w:rsidR="007A52C4" w:rsidRDefault="007A52C4" w:rsidP="007A52C4">
      <w:r w:rsidRPr="00AC4BFC">
        <w:rPr>
          <w:noProof/>
          <w:lang w:eastAsia="en-AU"/>
        </w:rPr>
        <w:drawing>
          <wp:inline distT="0" distB="0" distL="0" distR="0" wp14:anchorId="3D45A016" wp14:editId="331B38CC">
            <wp:extent cx="5731510" cy="2788285"/>
            <wp:effectExtent l="0" t="0" r="2540" b="0"/>
            <wp:docPr id="13" name="Picture 9">
              <a:extLst xmlns:a="http://schemas.openxmlformats.org/drawingml/2006/main">
                <a:ext uri="{FF2B5EF4-FFF2-40B4-BE49-F238E27FC236}">
                  <a16:creationId xmlns:a16="http://schemas.microsoft.com/office/drawing/2014/main" id="{735FCBB1-BDC5-B247-8CFB-54C095573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35FCBB1-BDC5-B247-8CFB-54C095573926}"/>
                        </a:ext>
                      </a:extLst>
                    </pic:cNvPr>
                    <pic:cNvPicPr>
                      <a:picLocks noChangeAspect="1"/>
                    </pic:cNvPicPr>
                  </pic:nvPicPr>
                  <pic:blipFill>
                    <a:blip r:embed="rId32" cstate="screen">
                      <a:extLst>
                        <a:ext uri="{28A0092B-C50C-407E-A947-70E740481C1C}">
                          <a14:useLocalDpi xmlns:a14="http://schemas.microsoft.com/office/drawing/2010/main"/>
                        </a:ext>
                      </a:extLst>
                    </a:blip>
                    <a:stretch>
                      <a:fillRect/>
                    </a:stretch>
                  </pic:blipFill>
                  <pic:spPr>
                    <a:xfrm>
                      <a:off x="0" y="0"/>
                      <a:ext cx="5731510" cy="2788285"/>
                    </a:xfrm>
                    <a:prstGeom prst="rect">
                      <a:avLst/>
                    </a:prstGeom>
                  </pic:spPr>
                </pic:pic>
              </a:graphicData>
            </a:graphic>
          </wp:inline>
        </w:drawing>
      </w:r>
    </w:p>
    <w:p w14:paraId="12C09B54" w14:textId="77777777" w:rsidR="007A52C4" w:rsidRDefault="007A52C4" w:rsidP="007A52C4">
      <w:pPr>
        <w:spacing w:after="40"/>
        <w:rPr>
          <w:sz w:val="18"/>
          <w:szCs w:val="18"/>
        </w:rPr>
      </w:pPr>
    </w:p>
    <w:tbl>
      <w:tblPr>
        <w:tblStyle w:val="TableGrid"/>
        <w:tblW w:w="0" w:type="auto"/>
        <w:tblLook w:val="04A0" w:firstRow="1" w:lastRow="0" w:firstColumn="1" w:lastColumn="0" w:noHBand="0" w:noVBand="1"/>
      </w:tblPr>
      <w:tblGrid>
        <w:gridCol w:w="9040"/>
      </w:tblGrid>
      <w:tr w:rsidR="007A52C4" w14:paraId="46A185C5" w14:textId="77777777" w:rsidTr="007A52C4">
        <w:tc>
          <w:tcPr>
            <w:tcW w:w="9242" w:type="dxa"/>
            <w:shd w:val="clear" w:color="auto" w:fill="CFF0F7"/>
          </w:tcPr>
          <w:p w14:paraId="0213A4AF" w14:textId="30C1C261" w:rsidR="007A52C4" w:rsidRDefault="007A52C4" w:rsidP="007A52C4">
            <w:pPr>
              <w:pStyle w:val="BodyText"/>
            </w:pPr>
            <w:r>
              <w:t xml:space="preserve">Prospera will apply monitoring tools that can capture emergent impacts at activity and facility level to inform decision-making. The tools include Strategy Testing, Outcome Harvesting, Significant Instances of Policy and Systems Improvement and Contribution Analysis (see Annex </w:t>
            </w:r>
            <w:r w:rsidR="00104657">
              <w:t>5</w:t>
            </w:r>
            <w:r>
              <w:t xml:space="preserve">). </w:t>
            </w:r>
          </w:p>
        </w:tc>
      </w:tr>
    </w:tbl>
    <w:p w14:paraId="3D95B940" w14:textId="20221806" w:rsidR="007A52C4" w:rsidRPr="005B28A7" w:rsidRDefault="007A52C4" w:rsidP="007A52C4">
      <w:pPr>
        <w:pStyle w:val="Heading3"/>
        <w:numPr>
          <w:ilvl w:val="0"/>
          <w:numId w:val="0"/>
        </w:numPr>
        <w:ind w:left="851" w:hanging="851"/>
      </w:pPr>
      <w:bookmarkStart w:id="178" w:name="_Toc525563672"/>
      <w:bookmarkStart w:id="179" w:name="_Toc525743671"/>
      <w:r>
        <w:t>Pathways for activities are different</w:t>
      </w:r>
      <w:bookmarkEnd w:id="178"/>
      <w:bookmarkEnd w:id="179"/>
    </w:p>
    <w:p w14:paraId="33F09F32" w14:textId="77777777" w:rsidR="007A52C4" w:rsidRPr="005F6634" w:rsidRDefault="007A52C4" w:rsidP="007A52C4">
      <w:pPr>
        <w:pStyle w:val="BodyText"/>
      </w:pPr>
      <w:r w:rsidRPr="005F6634">
        <w:t>In some cases, Pro</w:t>
      </w:r>
      <w:r>
        <w:t xml:space="preserve">spera activities are ‘simple’. </w:t>
      </w:r>
      <w:r w:rsidRPr="005F6634">
        <w:t xml:space="preserve">For example, although planning and budgeting in Indonesia is complicated because of the multiple agencies involved, there is a formula for preparing good budgets with comparable data. The process is linear.  This type of structured activity lends itself to more investment in multi-year activity design with clearly defined progress markers or ‘steps along the way’ towards an outcome. </w:t>
      </w:r>
    </w:p>
    <w:p w14:paraId="31181DED" w14:textId="33E5DD73" w:rsidR="007A52C4" w:rsidRDefault="007A52C4" w:rsidP="007A52C4">
      <w:pPr>
        <w:pStyle w:val="BodyText"/>
      </w:pPr>
      <w:r>
        <w:rPr>
          <w:lang w:val="en-US"/>
        </w:rPr>
        <w:t>In more complex cases, activities cannot always be tightly designed and a ‘navigation by judgement’</w:t>
      </w:r>
      <w:r>
        <w:rPr>
          <w:rStyle w:val="FootnoteReference"/>
          <w:bCs/>
          <w:color w:val="000000" w:themeColor="text1"/>
          <w:lang w:val="en-US"/>
        </w:rPr>
        <w:footnoteReference w:id="11"/>
      </w:r>
      <w:r>
        <w:rPr>
          <w:lang w:val="en-US"/>
        </w:rPr>
        <w:t xml:space="preserve"> approach is more appropria</w:t>
      </w:r>
      <w:r w:rsidRPr="00CA0503">
        <w:rPr>
          <w:lang w:val="en-US"/>
        </w:rPr>
        <w:t>te.</w:t>
      </w:r>
      <w:r>
        <w:rPr>
          <w:lang w:val="en-US"/>
        </w:rPr>
        <w:t xml:space="preserve"> This is a form of problem driven iterative adaptation</w:t>
      </w:r>
      <w:r>
        <w:rPr>
          <w:rStyle w:val="FootnoteReference"/>
          <w:bCs/>
          <w:color w:val="000000" w:themeColor="text1"/>
          <w:lang w:val="en-US"/>
        </w:rPr>
        <w:footnoteReference w:id="12"/>
      </w:r>
      <w:r>
        <w:rPr>
          <w:lang w:val="en-US"/>
        </w:rPr>
        <w:t xml:space="preserve"> </w:t>
      </w:r>
      <w:r w:rsidRPr="00F61B2D">
        <w:t xml:space="preserve">when the operating context is unpredictable and where performance is difficult to measure. Judgement refers to the scope that advisers have to make their own decisions within the broad parameters set by the facility design. Navigation by judgement is most helpful where the operating environment is unpredictable and the lack of pre-set targets opens up skills, local knowledge and creativity to solve problems. </w:t>
      </w:r>
      <w:r>
        <w:t xml:space="preserve">Both approaches are compared in Figure </w:t>
      </w:r>
      <w:r w:rsidR="00C240C9">
        <w:t>10</w:t>
      </w:r>
      <w:r>
        <w:t>.</w:t>
      </w:r>
    </w:p>
    <w:p w14:paraId="0540E1FF" w14:textId="77777777" w:rsidR="007A52C4" w:rsidRPr="005F6634" w:rsidRDefault="007A52C4" w:rsidP="007A52C4">
      <w:pPr>
        <w:pStyle w:val="BodyText"/>
      </w:pPr>
    </w:p>
    <w:p w14:paraId="252A9F66" w14:textId="4217AD6F" w:rsidR="007A52C4" w:rsidRPr="005F6634" w:rsidRDefault="007A52C4" w:rsidP="007A52C4">
      <w:pPr>
        <w:pStyle w:val="Tabletext"/>
        <w:jc w:val="left"/>
        <w:rPr>
          <w:b/>
        </w:rPr>
      </w:pPr>
      <w:r w:rsidRPr="007F5F67">
        <w:rPr>
          <w:b/>
        </w:rPr>
        <w:t xml:space="preserve">Figure </w:t>
      </w:r>
      <w:r w:rsidRPr="007F5F67">
        <w:rPr>
          <w:b/>
          <w:noProof/>
        </w:rPr>
        <w:fldChar w:fldCharType="begin"/>
      </w:r>
      <w:r w:rsidRPr="007F5F67">
        <w:rPr>
          <w:b/>
          <w:noProof/>
        </w:rPr>
        <w:instrText xml:space="preserve"> SEQ Figure \* ARABIC </w:instrText>
      </w:r>
      <w:r w:rsidRPr="007F5F67">
        <w:rPr>
          <w:b/>
          <w:noProof/>
        </w:rPr>
        <w:fldChar w:fldCharType="separate"/>
      </w:r>
      <w:r w:rsidR="00C240C9">
        <w:rPr>
          <w:b/>
          <w:noProof/>
        </w:rPr>
        <w:t>10</w:t>
      </w:r>
      <w:r w:rsidRPr="007F5F67">
        <w:rPr>
          <w:b/>
          <w:noProof/>
        </w:rPr>
        <w:fldChar w:fldCharType="end"/>
      </w:r>
      <w:r w:rsidRPr="007F5F67">
        <w:rPr>
          <w:b/>
          <w:noProof/>
          <w:lang w:val="id-ID"/>
        </w:rPr>
        <w:t>.</w:t>
      </w:r>
      <w:r w:rsidRPr="007F5F67">
        <w:rPr>
          <w:b/>
        </w:rPr>
        <w:t xml:space="preserve"> </w:t>
      </w:r>
      <w:r w:rsidRPr="007F5F67">
        <w:rPr>
          <w:rFonts w:ascii="Helvetica" w:hAnsi="Helvetica"/>
          <w:b/>
          <w:color w:val="000000" w:themeColor="text1"/>
        </w:rPr>
        <w:t>Different pathways for activities</w:t>
      </w:r>
    </w:p>
    <w:p w14:paraId="6F31C286" w14:textId="77777777" w:rsidR="007A52C4" w:rsidRDefault="007A52C4" w:rsidP="007A52C4">
      <w:pPr>
        <w:rPr>
          <w:b/>
        </w:rPr>
      </w:pPr>
      <w:r w:rsidRPr="007B6960">
        <w:rPr>
          <w:noProof/>
          <w:lang w:eastAsia="en-AU"/>
        </w:rPr>
        <w:drawing>
          <wp:inline distT="0" distB="0" distL="0" distR="0" wp14:anchorId="365EB2F1" wp14:editId="6A03904E">
            <wp:extent cx="5543550" cy="428257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46727" cy="4285026"/>
                    </a:xfrm>
                    <a:prstGeom prst="rect">
                      <a:avLst/>
                    </a:prstGeom>
                    <a:noFill/>
                    <a:ln>
                      <a:noFill/>
                    </a:ln>
                  </pic:spPr>
                </pic:pic>
              </a:graphicData>
            </a:graphic>
          </wp:inline>
        </w:drawing>
      </w:r>
    </w:p>
    <w:p w14:paraId="630090E7" w14:textId="77777777" w:rsidR="007A52C4" w:rsidRDefault="007A52C4" w:rsidP="007A52C4">
      <w:pPr>
        <w:pStyle w:val="BodyText"/>
        <w:rPr>
          <w:rFonts w:ascii="Helvetica" w:hAnsi="Helvetica"/>
          <w:color w:val="000000" w:themeColor="text1"/>
        </w:rPr>
      </w:pPr>
      <w:r w:rsidRPr="007B6960">
        <w:rPr>
          <w:b/>
        </w:rPr>
        <w:t>Structured</w:t>
      </w:r>
      <w:r>
        <w:rPr>
          <w:b/>
        </w:rPr>
        <w:t xml:space="preserve">: </w:t>
      </w:r>
      <w:r>
        <w:t>Many of the Australian agencies and some advisory teams have sets of activities with established milestones and deliverables. The steps to achieve change are known, often set in advance and there are reasonable levels of certainty for what the activity will be doing in the coming week and coming quarter. There remains flexibility in the activity to adapt to partner needs and changes in the political economy.</w:t>
      </w:r>
    </w:p>
    <w:p w14:paraId="27C3E26F" w14:textId="77777777" w:rsidR="007A52C4" w:rsidRDefault="007A52C4" w:rsidP="007A52C4">
      <w:pPr>
        <w:pStyle w:val="BodyText"/>
      </w:pPr>
      <w:r w:rsidRPr="007B6960">
        <w:rPr>
          <w:b/>
        </w:rPr>
        <w:t>Navigation by judgement</w:t>
      </w:r>
      <w:r>
        <w:rPr>
          <w:b/>
        </w:rPr>
        <w:t xml:space="preserve">: </w:t>
      </w:r>
      <w:r w:rsidRPr="007B6960">
        <w:t xml:space="preserve">Prospera’s markets team for example has agreed outcomes but pursues change to achieve </w:t>
      </w:r>
      <w:r>
        <w:t xml:space="preserve">those outcomes through relationships and opportunities to apply expertise. The work cannot be programmed out because there are low levels of certainty, but potential of significant reward.  By aligning Indonesia’s goals and long-term outcomes with evidence-based policy advice the work follows a discipline and control. </w:t>
      </w:r>
    </w:p>
    <w:p w14:paraId="20D2811C" w14:textId="77777777" w:rsidR="007A52C4" w:rsidRDefault="007A52C4" w:rsidP="007A52C4">
      <w:pPr>
        <w:pStyle w:val="BodyText"/>
        <w:spacing w:after="0" w:line="240" w:lineRule="auto"/>
        <w:rPr>
          <w:rFonts w:ascii="Helvetica" w:hAnsi="Helvetica"/>
          <w:color w:val="000000" w:themeColor="text1"/>
        </w:rPr>
      </w:pPr>
      <w:r w:rsidRPr="005F6634">
        <w:rPr>
          <w:noProof/>
          <w:sz w:val="16"/>
          <w:lang w:eastAsia="en-AU"/>
        </w:rPr>
        <mc:AlternateContent>
          <mc:Choice Requires="wps">
            <w:drawing>
              <wp:inline distT="0" distB="0" distL="0" distR="0" wp14:anchorId="25C3E87D" wp14:editId="67BAC951">
                <wp:extent cx="5746750" cy="636983"/>
                <wp:effectExtent l="0" t="0" r="25400" b="1079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636983"/>
                        </a:xfrm>
                        <a:prstGeom prst="rect">
                          <a:avLst/>
                        </a:prstGeom>
                        <a:solidFill>
                          <a:srgbClr val="CFF0F7"/>
                        </a:solidFill>
                        <a:ln w="9525">
                          <a:solidFill>
                            <a:srgbClr val="000000"/>
                          </a:solidFill>
                          <a:miter lim="800000"/>
                          <a:headEnd/>
                          <a:tailEnd/>
                        </a:ln>
                      </wps:spPr>
                      <wps:txbx>
                        <w:txbxContent>
                          <w:p w14:paraId="670639A6" w14:textId="77777777" w:rsidR="000C3B63" w:rsidRDefault="000C3B63" w:rsidP="007A52C4">
                            <w:pPr>
                              <w:pStyle w:val="BodyText"/>
                              <w:jc w:val="both"/>
                            </w:pPr>
                            <w:r>
                              <w:t>In designing activities, Prospera will consider the pathway to change and develop a monitoring and evaluation plan using different tools depending on the intervention approach (‘structured project’ or ‘navigation by judgement’).</w:t>
                            </w:r>
                          </w:p>
                          <w:p w14:paraId="74DE9368" w14:textId="77777777" w:rsidR="000C3B63" w:rsidRDefault="000C3B63" w:rsidP="007A52C4">
                            <w:pPr>
                              <w:pStyle w:val="BodyText"/>
                              <w:jc w:val="both"/>
                              <w:rPr>
                                <w:highlight w:val="yellow"/>
                              </w:rPr>
                            </w:pPr>
                          </w:p>
                          <w:p w14:paraId="19C9F186" w14:textId="77777777" w:rsidR="000C3B63" w:rsidRDefault="000C3B63" w:rsidP="007A52C4">
                            <w:pPr>
                              <w:pStyle w:val="BodyText"/>
                              <w:jc w:val="both"/>
                              <w:rPr>
                                <w:highlight w:val="yellow"/>
                              </w:rPr>
                            </w:pPr>
                          </w:p>
                          <w:p w14:paraId="73435527" w14:textId="77777777" w:rsidR="000C3B63" w:rsidRDefault="000C3B63" w:rsidP="007A52C4">
                            <w:pPr>
                              <w:pStyle w:val="BodyText"/>
                              <w:jc w:val="both"/>
                            </w:pP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C3E87D" id="Text Box 5" o:spid="_x0000_s1031" type="#_x0000_t202" style="width:452.5pt;height: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" fillcolor="#cff0f7">
                <v:textbox>
                  <w:txbxContent>
                    <w:p w14:paraId="670639A6" w14:textId="77777777" w:rsidR="000C3B63" w:rsidRDefault="000C3B63" w:rsidP="007A52C4">
                      <w:pPr>
                        <w:pStyle w:val="BodyText"/>
                        <w:jc w:val="both"/>
                      </w:pPr>
                      <w:r>
                        <w:t>In designing activities, Prospera will consider the pathway to change and develop a monitoring and evaluation plan using different tools depending on the intervention approach (‘structured project’ or ‘navigation by judgement’).</w:t>
                      </w:r>
                    </w:p>
                    <w:p w14:paraId="74DE9368" w14:textId="77777777" w:rsidR="000C3B63" w:rsidRDefault="000C3B63" w:rsidP="007A52C4">
                      <w:pPr>
                        <w:pStyle w:val="BodyText"/>
                        <w:jc w:val="both"/>
                        <w:rPr>
                          <w:highlight w:val="yellow"/>
                        </w:rPr>
                      </w:pPr>
                    </w:p>
                    <w:p w14:paraId="19C9F186" w14:textId="77777777" w:rsidR="000C3B63" w:rsidRDefault="000C3B63" w:rsidP="007A52C4">
                      <w:pPr>
                        <w:pStyle w:val="BodyText"/>
                        <w:jc w:val="both"/>
                        <w:rPr>
                          <w:highlight w:val="yellow"/>
                        </w:rPr>
                      </w:pPr>
                    </w:p>
                    <w:p w14:paraId="73435527" w14:textId="77777777" w:rsidR="000C3B63" w:rsidRDefault="000C3B63" w:rsidP="007A52C4">
                      <w:pPr>
                        <w:pStyle w:val="BodyText"/>
                        <w:jc w:val="both"/>
                      </w:pPr>
                    </w:p>
                  </w:txbxContent>
                </v:textbox>
                <w10:anchorlock/>
              </v:shape>
            </w:pict>
          </mc:Fallback>
        </mc:AlternateContent>
      </w:r>
    </w:p>
    <w:p w14:paraId="46AFDF45" w14:textId="77777777" w:rsidR="007A52C4" w:rsidRPr="00B27D06" w:rsidRDefault="007A52C4" w:rsidP="007A52C4">
      <w:pPr>
        <w:pStyle w:val="Heading3"/>
        <w:numPr>
          <w:ilvl w:val="0"/>
          <w:numId w:val="0"/>
        </w:numPr>
        <w:ind w:left="851" w:hanging="851"/>
      </w:pPr>
      <w:bookmarkStart w:id="180" w:name="_Toc525563673"/>
      <w:bookmarkStart w:id="181" w:name="_Toc525743672"/>
      <w:r w:rsidRPr="00B27D06">
        <w:t>Scale of investment is small compared to the challenges</w:t>
      </w:r>
      <w:bookmarkEnd w:id="180"/>
      <w:bookmarkEnd w:id="181"/>
    </w:p>
    <w:p w14:paraId="64153A92" w14:textId="2497F118" w:rsidR="007A52C4" w:rsidRDefault="007A52C4" w:rsidP="007A52C4">
      <w:pPr>
        <w:pStyle w:val="BodyText"/>
      </w:pPr>
      <w:r w:rsidRPr="00917AA6">
        <w:t>Prospera’s historical success has been realised through demonstrating the approaches of other countries such as Australia</w:t>
      </w:r>
      <w:r w:rsidR="00917AA6">
        <w:t xml:space="preserve"> </w:t>
      </w:r>
      <w:r w:rsidRPr="00917AA6">
        <w:t>targeting effort at points where change is a high priority, and where there is political will to make change. Tracking of the Indonesian economic system, in a global context, is undertaken by collection, collation, analysis and synthesis of system</w:t>
      </w:r>
      <w:r w:rsidRPr="00917AA6">
        <w:noBreakHyphen/>
        <w:t>level data by the Prospera Economics and Inclusion team.</w:t>
      </w:r>
      <w:r>
        <w:t xml:space="preserve"> </w:t>
      </w:r>
    </w:p>
    <w:p w14:paraId="1D74F172" w14:textId="77777777" w:rsidR="007A52C4" w:rsidRDefault="007A52C4" w:rsidP="007A52C4">
      <w:pPr>
        <w:pStyle w:val="BodyText"/>
      </w:pPr>
      <w:r>
        <w:t xml:space="preserve">Prospera has a reasonable level of control over the quality of the activity delivered, but can only hope to influence and contribute to desired changes beyond the activity through the quality of the activity and any ongoing relationships. It has very limited control over what happens beyond the activity. </w:t>
      </w:r>
    </w:p>
    <w:p w14:paraId="2A5F664D" w14:textId="77777777" w:rsidR="007A52C4" w:rsidRDefault="007A52C4" w:rsidP="007A52C4">
      <w:pPr>
        <w:pStyle w:val="BodyText"/>
      </w:pPr>
      <w:r>
        <w:t>Prospera will routinely apply contribution and influence analysis techniques to measure performance. It will not presume to be accountable for achieving entire outcomes. And, it will avoid claiming attribution, unless it is obvious. In a complex system many factors influence change, and the ability to achieve change.</w:t>
      </w:r>
    </w:p>
    <w:p w14:paraId="28E4612E" w14:textId="77777777" w:rsidR="007A52C4" w:rsidRDefault="007A52C4" w:rsidP="007A52C4">
      <w:r>
        <w:rPr>
          <w:noProof/>
          <w:lang w:eastAsia="en-AU"/>
        </w:rPr>
        <mc:AlternateContent>
          <mc:Choice Requires="wps">
            <w:drawing>
              <wp:inline distT="0" distB="0" distL="0" distR="0" wp14:anchorId="03CA1454" wp14:editId="7A7A7D34">
                <wp:extent cx="5649686" cy="800100"/>
                <wp:effectExtent l="0" t="0" r="27305"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686" cy="800100"/>
                        </a:xfrm>
                        <a:prstGeom prst="rect">
                          <a:avLst/>
                        </a:prstGeom>
                        <a:solidFill>
                          <a:srgbClr val="CFF0F7"/>
                        </a:solidFill>
                        <a:ln w="9525">
                          <a:solidFill>
                            <a:srgbClr val="000000"/>
                          </a:solidFill>
                          <a:miter lim="800000"/>
                          <a:headEnd/>
                          <a:tailEnd/>
                        </a:ln>
                      </wps:spPr>
                      <wps:txbx>
                        <w:txbxContent>
                          <w:p w14:paraId="7926B133" w14:textId="77777777" w:rsidR="000C3B63" w:rsidRDefault="000C3B63" w:rsidP="007A52C4">
                            <w:pPr>
                              <w:pStyle w:val="BodyText"/>
                              <w:jc w:val="both"/>
                            </w:pPr>
                            <w:r w:rsidRPr="003D2342">
                              <w:rPr>
                                <w:color w:val="000000" w:themeColor="text1"/>
                              </w:rPr>
                              <w:t xml:space="preserve">Prospera will focus measurement of its facility contribution </w:t>
                            </w:r>
                            <w:r w:rsidRPr="003D2342">
                              <w:t>at and around the point of investment, while being cognisant of the larger system in which change is being sought. Techniques, such as ‘Significant Instances of Policy and Systems Improvement’ and ‘Contribution Analysis’, will be used to measure performance (Refer Annex 3).</w:t>
                            </w:r>
                            <w:r>
                              <w:t xml:space="preserve"> </w:t>
                            </w:r>
                          </w:p>
                          <w:p w14:paraId="5C68F16E" w14:textId="77777777" w:rsidR="000C3B63" w:rsidRDefault="000C3B63" w:rsidP="007A52C4">
                            <w:pPr>
                              <w:pStyle w:val="BodyText"/>
                              <w:jc w:val="both"/>
                              <w:rPr>
                                <w:highlight w:val="yellow"/>
                              </w:rPr>
                            </w:pPr>
                          </w:p>
                          <w:p w14:paraId="4102E533" w14:textId="77777777" w:rsidR="000C3B63" w:rsidRDefault="000C3B63" w:rsidP="007A52C4">
                            <w:pPr>
                              <w:pStyle w:val="BodyText"/>
                              <w:jc w:val="both"/>
                              <w:rPr>
                                <w:highlight w:val="yellow"/>
                              </w:rPr>
                            </w:pPr>
                          </w:p>
                          <w:p w14:paraId="271FA002" w14:textId="77777777" w:rsidR="000C3B63" w:rsidRDefault="000C3B63" w:rsidP="007A52C4">
                            <w:pPr>
                              <w:pStyle w:val="BodyText"/>
                              <w:jc w:val="both"/>
                            </w:pP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CA1454" id="Text Box 7" o:spid="_x0000_s1032" type="#_x0000_t202" style="width:444.8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" fillcolor="#cff0f7">
                <v:textbox>
                  <w:txbxContent>
                    <w:p w14:paraId="7926B133" w14:textId="77777777" w:rsidR="000C3B63" w:rsidRDefault="000C3B63" w:rsidP="007A52C4">
                      <w:pPr>
                        <w:pStyle w:val="BodyText"/>
                        <w:jc w:val="both"/>
                      </w:pPr>
                      <w:r w:rsidRPr="003D2342">
                        <w:rPr>
                          <w:color w:val="000000" w:themeColor="text1"/>
                        </w:rPr>
                        <w:t xml:space="preserve">Prospera will focus measurement of its facility contribution </w:t>
                      </w:r>
                      <w:r w:rsidRPr="003D2342">
                        <w:t>at and around the point of investment, while being cognisant of the larger system in which change is being sought. Techniques, such as ‘Significant Instances of Policy and Systems Improvement’ and ‘Contribution Analysis’, will be used to measure performance (Refer Annex 3).</w:t>
                      </w:r>
                      <w:r>
                        <w:t xml:space="preserve"> </w:t>
                      </w:r>
                    </w:p>
                    <w:p w14:paraId="5C68F16E" w14:textId="77777777" w:rsidR="000C3B63" w:rsidRDefault="000C3B63" w:rsidP="007A52C4">
                      <w:pPr>
                        <w:pStyle w:val="BodyText"/>
                        <w:jc w:val="both"/>
                        <w:rPr>
                          <w:highlight w:val="yellow"/>
                        </w:rPr>
                      </w:pPr>
                    </w:p>
                    <w:p w14:paraId="4102E533" w14:textId="77777777" w:rsidR="000C3B63" w:rsidRDefault="000C3B63" w:rsidP="007A52C4">
                      <w:pPr>
                        <w:pStyle w:val="BodyText"/>
                        <w:jc w:val="both"/>
                        <w:rPr>
                          <w:highlight w:val="yellow"/>
                        </w:rPr>
                      </w:pPr>
                    </w:p>
                    <w:p w14:paraId="271FA002" w14:textId="77777777" w:rsidR="000C3B63" w:rsidRDefault="000C3B63" w:rsidP="007A52C4">
                      <w:pPr>
                        <w:pStyle w:val="BodyText"/>
                        <w:jc w:val="both"/>
                      </w:pPr>
                    </w:p>
                  </w:txbxContent>
                </v:textbox>
                <w10:anchorlock/>
              </v:shape>
            </w:pict>
          </mc:Fallback>
        </mc:AlternateContent>
      </w:r>
    </w:p>
    <w:p w14:paraId="5C70E6F1" w14:textId="77777777" w:rsidR="007A52C4" w:rsidRPr="00B27D06" w:rsidRDefault="007A52C4" w:rsidP="007A52C4">
      <w:pPr>
        <w:pStyle w:val="Heading3"/>
        <w:numPr>
          <w:ilvl w:val="0"/>
          <w:numId w:val="0"/>
        </w:numPr>
        <w:ind w:left="851" w:hanging="851"/>
      </w:pPr>
      <w:bookmarkStart w:id="182" w:name="_Toc525563674"/>
      <w:bookmarkStart w:id="183" w:name="_Toc525743673"/>
      <w:r w:rsidRPr="00B27D06">
        <w:t>Prospera enables change through diverse ‘ways of working’</w:t>
      </w:r>
      <w:bookmarkEnd w:id="182"/>
      <w:bookmarkEnd w:id="183"/>
    </w:p>
    <w:p w14:paraId="7258A575" w14:textId="77777777" w:rsidR="007A52C4" w:rsidRDefault="007A52C4" w:rsidP="007A52C4">
      <w:pPr>
        <w:pStyle w:val="BodyText"/>
      </w:pPr>
      <w:bookmarkStart w:id="184" w:name="_Hlk524977468"/>
      <w:r>
        <w:t xml:space="preserve">Prospera is the first facility to have Australian agencies and advisory support working under the one umbrella, toward a common set of breakthrough outcomes. </w:t>
      </w:r>
      <w:bookmarkStart w:id="185" w:name="_Hlk524977486"/>
      <w:bookmarkEnd w:id="184"/>
      <w:r>
        <w:t>While this adds a new layer of operational complexity, it also introduces a great opportunity for enhanced interdisciplinary activity design and different ways of working in partnership with the Indonesian government.</w:t>
      </w:r>
    </w:p>
    <w:bookmarkEnd w:id="185"/>
    <w:p w14:paraId="4DD067A6" w14:textId="77777777" w:rsidR="007A52C4" w:rsidRDefault="007A52C4" w:rsidP="007A52C4">
      <w:pPr>
        <w:pStyle w:val="BodyText"/>
      </w:pPr>
      <w:r>
        <w:rPr>
          <w:noProof/>
          <w:lang w:eastAsia="en-AU"/>
        </w:rPr>
        <mc:AlternateContent>
          <mc:Choice Requires="wps">
            <w:drawing>
              <wp:anchor distT="45720" distB="45720" distL="114300" distR="114300" simplePos="0" relativeHeight="251684864" behindDoc="0" locked="0" layoutInCell="1" allowOverlap="1" wp14:anchorId="482237EA" wp14:editId="63C7E7F1">
                <wp:simplePos x="0" y="0"/>
                <wp:positionH relativeFrom="margin">
                  <wp:align>right</wp:align>
                </wp:positionH>
                <wp:positionV relativeFrom="paragraph">
                  <wp:posOffset>19685</wp:posOffset>
                </wp:positionV>
                <wp:extent cx="2174240" cy="3179445"/>
                <wp:effectExtent l="0" t="0" r="16510" b="20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3179445"/>
                        </a:xfrm>
                        <a:prstGeom prst="rect">
                          <a:avLst/>
                        </a:prstGeom>
                        <a:solidFill>
                          <a:srgbClr val="CFF0F7"/>
                        </a:solidFill>
                        <a:ln w="9525">
                          <a:solidFill>
                            <a:srgbClr val="000000"/>
                          </a:solidFill>
                          <a:miter lim="800000"/>
                          <a:headEnd/>
                          <a:tailEnd/>
                        </a:ln>
                      </wps:spPr>
                      <wps:txbx>
                        <w:txbxContent>
                          <w:p w14:paraId="034A3556" w14:textId="77777777" w:rsidR="000C3B63" w:rsidRPr="00454D31" w:rsidRDefault="000C3B63" w:rsidP="007A52C4">
                            <w:pPr>
                              <w:pStyle w:val="BodyText"/>
                              <w:rPr>
                                <w:b/>
                                <w:lang w:val="en-US"/>
                              </w:rPr>
                            </w:pPr>
                            <w:r w:rsidRPr="00454D31">
                              <w:rPr>
                                <w:b/>
                                <w:lang w:val="en-US"/>
                              </w:rPr>
                              <w:t>Private sector engagement</w:t>
                            </w:r>
                          </w:p>
                          <w:p w14:paraId="50ECD818" w14:textId="77777777" w:rsidR="000C3B63" w:rsidRPr="007F5A01" w:rsidRDefault="000C3B63" w:rsidP="007A52C4">
                            <w:pPr>
                              <w:pStyle w:val="BodyText"/>
                              <w:rPr>
                                <w:lang w:val="en-US"/>
                              </w:rPr>
                            </w:pPr>
                            <w:r w:rsidRPr="007F5A01">
                              <w:rPr>
                                <w:lang w:val="en-US"/>
                              </w:rPr>
                              <w:t>As an economic governance facility, Prospera primarily works with government agencies</w:t>
                            </w:r>
                            <w:r>
                              <w:rPr>
                                <w:lang w:val="en-US"/>
                              </w:rPr>
                              <w:t xml:space="preserve">; a </w:t>
                            </w:r>
                            <w:r w:rsidRPr="007F5A01">
                              <w:rPr>
                                <w:lang w:val="en-US"/>
                              </w:rPr>
                              <w:t xml:space="preserve">private sector </w:t>
                            </w:r>
                            <w:r>
                              <w:rPr>
                                <w:lang w:val="en-US"/>
                              </w:rPr>
                              <w:t xml:space="preserve">angle </w:t>
                            </w:r>
                            <w:r w:rsidRPr="007F5A01">
                              <w:rPr>
                                <w:lang w:val="en-US"/>
                              </w:rPr>
                              <w:t xml:space="preserve">is applied through three </w:t>
                            </w:r>
                            <w:r>
                              <w:rPr>
                                <w:lang w:val="en-US"/>
                              </w:rPr>
                              <w:t>areas</w:t>
                            </w:r>
                            <w:r w:rsidRPr="007F5A01">
                              <w:rPr>
                                <w:lang w:val="en-US"/>
                              </w:rPr>
                              <w:t xml:space="preserve">: </w:t>
                            </w:r>
                          </w:p>
                          <w:p w14:paraId="292ADEDF" w14:textId="77777777" w:rsidR="000C3B63" w:rsidRPr="007F5A01" w:rsidRDefault="000C3B63" w:rsidP="007A52C4">
                            <w:pPr>
                              <w:pStyle w:val="ListNumber"/>
                              <w:rPr>
                                <w:lang w:val="en-US"/>
                              </w:rPr>
                            </w:pPr>
                            <w:r w:rsidRPr="007F5A01">
                              <w:rPr>
                                <w:lang w:val="en-US"/>
                              </w:rPr>
                              <w:t>Policy and regulatory environment to underpin private sector investment.</w:t>
                            </w:r>
                          </w:p>
                          <w:p w14:paraId="6CB4ECCC" w14:textId="77777777" w:rsidR="000C3B63" w:rsidRPr="007F5A01" w:rsidRDefault="000C3B63" w:rsidP="007A52C4">
                            <w:pPr>
                              <w:pStyle w:val="ListNumber"/>
                              <w:rPr>
                                <w:lang w:val="en-US"/>
                              </w:rPr>
                            </w:pPr>
                            <w:r w:rsidRPr="007F5A01">
                              <w:rPr>
                                <w:lang w:val="en-US"/>
                              </w:rPr>
                              <w:t xml:space="preserve">Private sector contribution to developing evidence-based policy. </w:t>
                            </w:r>
                          </w:p>
                          <w:p w14:paraId="73ED3B80" w14:textId="77777777" w:rsidR="000C3B63" w:rsidRPr="007F5A01" w:rsidRDefault="000C3B63" w:rsidP="007A52C4">
                            <w:pPr>
                              <w:pStyle w:val="ListNumber"/>
                              <w:rPr>
                                <w:lang w:val="en-US"/>
                              </w:rPr>
                            </w:pPr>
                            <w:r w:rsidRPr="007F5A01">
                              <w:rPr>
                                <w:lang w:val="en-US"/>
                              </w:rPr>
                              <w:t>Effective engagement with the private sector as a vehicle to foster better execution of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2237EA" id="_x0000_s1033" type="#_x0000_t202" style="position:absolute;margin-left:120pt;margin-top:1.55pt;width:171.2pt;height:250.3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" fillcolor="#cff0f7">
                <v:textbox>
                  <w:txbxContent>
                    <w:p w14:paraId="034A3556" w14:textId="77777777" w:rsidR="000C3B63" w:rsidRPr="00454D31" w:rsidRDefault="000C3B63" w:rsidP="007A52C4">
                      <w:pPr>
                        <w:pStyle w:val="BodyText"/>
                        <w:rPr>
                          <w:b/>
                          <w:lang w:val="en-US"/>
                        </w:rPr>
                      </w:pPr>
                      <w:r w:rsidRPr="00454D31">
                        <w:rPr>
                          <w:b/>
                          <w:lang w:val="en-US"/>
                        </w:rPr>
                        <w:t>Private sector engagement</w:t>
                      </w:r>
                    </w:p>
                    <w:p w14:paraId="50ECD818" w14:textId="77777777" w:rsidR="000C3B63" w:rsidRPr="007F5A01" w:rsidRDefault="000C3B63" w:rsidP="007A52C4">
                      <w:pPr>
                        <w:pStyle w:val="BodyText"/>
                        <w:rPr>
                          <w:lang w:val="en-US"/>
                        </w:rPr>
                      </w:pPr>
                      <w:r w:rsidRPr="007F5A01">
                        <w:rPr>
                          <w:lang w:val="en-US"/>
                        </w:rPr>
                        <w:t>As an economic governance facility, Prospera primarily works with government agencies</w:t>
                      </w:r>
                      <w:r>
                        <w:rPr>
                          <w:lang w:val="en-US"/>
                        </w:rPr>
                        <w:t xml:space="preserve">; a </w:t>
                      </w:r>
                      <w:r w:rsidRPr="007F5A01">
                        <w:rPr>
                          <w:lang w:val="en-US"/>
                        </w:rPr>
                        <w:t xml:space="preserve">private sector </w:t>
                      </w:r>
                      <w:r>
                        <w:rPr>
                          <w:lang w:val="en-US"/>
                        </w:rPr>
                        <w:t xml:space="preserve">angle </w:t>
                      </w:r>
                      <w:r w:rsidRPr="007F5A01">
                        <w:rPr>
                          <w:lang w:val="en-US"/>
                        </w:rPr>
                        <w:t xml:space="preserve">is applied through three </w:t>
                      </w:r>
                      <w:r>
                        <w:rPr>
                          <w:lang w:val="en-US"/>
                        </w:rPr>
                        <w:t>areas</w:t>
                      </w:r>
                      <w:r w:rsidRPr="007F5A01">
                        <w:rPr>
                          <w:lang w:val="en-US"/>
                        </w:rPr>
                        <w:t xml:space="preserve">: </w:t>
                      </w:r>
                    </w:p>
                    <w:p w14:paraId="292ADEDF" w14:textId="77777777" w:rsidR="000C3B63" w:rsidRPr="007F5A01" w:rsidRDefault="000C3B63" w:rsidP="007A52C4">
                      <w:pPr>
                        <w:pStyle w:val="ListNumber"/>
                        <w:rPr>
                          <w:lang w:val="en-US"/>
                        </w:rPr>
                      </w:pPr>
                      <w:r w:rsidRPr="007F5A01">
                        <w:rPr>
                          <w:lang w:val="en-US"/>
                        </w:rPr>
                        <w:t>Policy and regulatory environment to underpin private sector investment.</w:t>
                      </w:r>
                    </w:p>
                    <w:p w14:paraId="6CB4ECCC" w14:textId="77777777" w:rsidR="000C3B63" w:rsidRPr="007F5A01" w:rsidRDefault="000C3B63" w:rsidP="007A52C4">
                      <w:pPr>
                        <w:pStyle w:val="ListNumber"/>
                        <w:rPr>
                          <w:lang w:val="en-US"/>
                        </w:rPr>
                      </w:pPr>
                      <w:r w:rsidRPr="007F5A01">
                        <w:rPr>
                          <w:lang w:val="en-US"/>
                        </w:rPr>
                        <w:t xml:space="preserve">Private sector contribution to developing evidence-based policy. </w:t>
                      </w:r>
                    </w:p>
                    <w:p w14:paraId="73ED3B80" w14:textId="77777777" w:rsidR="000C3B63" w:rsidRPr="007F5A01" w:rsidRDefault="000C3B63" w:rsidP="007A52C4">
                      <w:pPr>
                        <w:pStyle w:val="ListNumber"/>
                        <w:rPr>
                          <w:lang w:val="en-US"/>
                        </w:rPr>
                      </w:pPr>
                      <w:r w:rsidRPr="007F5A01">
                        <w:rPr>
                          <w:lang w:val="en-US"/>
                        </w:rPr>
                        <w:t>Effective engagement with the private sector as a vehicle to foster better execution of policy.</w:t>
                      </w:r>
                    </w:p>
                  </w:txbxContent>
                </v:textbox>
                <w10:wrap type="square" anchorx="margin"/>
              </v:shape>
            </w:pict>
          </mc:Fallback>
        </mc:AlternateContent>
      </w:r>
      <w:r>
        <w:t xml:space="preserve">These ways of working include: </w:t>
      </w:r>
    </w:p>
    <w:p w14:paraId="4F2525BE" w14:textId="77777777" w:rsidR="007A52C4" w:rsidRDefault="007A52C4" w:rsidP="007A52C4">
      <w:pPr>
        <w:pStyle w:val="ListBullet"/>
      </w:pPr>
      <w:r>
        <w:t xml:space="preserve">Long-term national and international advisers working in Indonesia with a range of Indonesian partners.  </w:t>
      </w:r>
    </w:p>
    <w:p w14:paraId="5F25CD14" w14:textId="77777777" w:rsidR="007A52C4" w:rsidRDefault="007A52C4" w:rsidP="007A52C4">
      <w:pPr>
        <w:pStyle w:val="ListBullet"/>
      </w:pPr>
      <w:r>
        <w:t xml:space="preserve">Long-term advisers and Australian officials embedded in Indonesian agencies. </w:t>
      </w:r>
    </w:p>
    <w:p w14:paraId="4839570D" w14:textId="77777777" w:rsidR="007A52C4" w:rsidRDefault="007A52C4" w:rsidP="007A52C4">
      <w:pPr>
        <w:pStyle w:val="ListBullet"/>
      </w:pPr>
      <w:r>
        <w:t xml:space="preserve">Short-term experts and Australian officials arriving in country for discrete tasks and knowledge-transfer. </w:t>
      </w:r>
    </w:p>
    <w:p w14:paraId="5ACD5EF2" w14:textId="77777777" w:rsidR="007A52C4" w:rsidRDefault="007A52C4" w:rsidP="007A52C4">
      <w:pPr>
        <w:pStyle w:val="ListBullet"/>
      </w:pPr>
      <w:r>
        <w:t>Learning visits for Indonesian government officials to Australian agencies ranging from a few days to up to six</w:t>
      </w:r>
      <w:r>
        <w:noBreakHyphen/>
        <w:t xml:space="preserve">month secondments. </w:t>
      </w:r>
    </w:p>
    <w:p w14:paraId="13C03FDC" w14:textId="77777777" w:rsidR="007A52C4" w:rsidRDefault="007A52C4" w:rsidP="007A52C4">
      <w:pPr>
        <w:pStyle w:val="ListBullet"/>
      </w:pPr>
      <w:r>
        <w:t xml:space="preserve">Benchmarking visits for Indonesian officials to Australia and peer countries. </w:t>
      </w:r>
    </w:p>
    <w:p w14:paraId="515E9B82" w14:textId="77777777" w:rsidR="007A52C4" w:rsidRDefault="007A52C4" w:rsidP="007A52C4">
      <w:pPr>
        <w:pStyle w:val="ListBullet"/>
      </w:pPr>
      <w:r>
        <w:t xml:space="preserve">Consultancy projects for research, analysis or database development. </w:t>
      </w:r>
    </w:p>
    <w:p w14:paraId="3580BA18" w14:textId="77777777" w:rsidR="007A52C4" w:rsidRDefault="007A52C4" w:rsidP="007A52C4">
      <w:pPr>
        <w:pStyle w:val="ListBullet"/>
      </w:pPr>
      <w:r>
        <w:t xml:space="preserve">Tim Asistensi—a group of senior Indonesian policy experts advising ministers. </w:t>
      </w:r>
    </w:p>
    <w:p w14:paraId="26700BD4" w14:textId="77777777" w:rsidR="007A52C4" w:rsidRDefault="007A52C4" w:rsidP="007A52C4">
      <w:pPr>
        <w:pStyle w:val="ListBullet"/>
      </w:pPr>
      <w:r>
        <w:t xml:space="preserve">Private-sector partners including the Indonesian Services Dialogue with industry members to inform policy-making. </w:t>
      </w:r>
    </w:p>
    <w:p w14:paraId="33828714" w14:textId="77777777" w:rsidR="007A52C4" w:rsidRDefault="007A52C4" w:rsidP="007A52C4">
      <w:pPr>
        <w:pStyle w:val="ListBullet"/>
        <w:numPr>
          <w:ilvl w:val="0"/>
          <w:numId w:val="0"/>
        </w:numPr>
      </w:pPr>
    </w:p>
    <w:p w14:paraId="3184D38C" w14:textId="77777777" w:rsidR="007A52C4" w:rsidRDefault="007A52C4" w:rsidP="007A52C4">
      <w:pPr>
        <w:pStyle w:val="ListBullet"/>
        <w:numPr>
          <w:ilvl w:val="0"/>
          <w:numId w:val="0"/>
        </w:numPr>
      </w:pPr>
      <w:r>
        <w:rPr>
          <w:noProof/>
          <w:lang w:eastAsia="en-AU"/>
        </w:rPr>
        <mc:AlternateContent>
          <mc:Choice Requires="wps">
            <w:drawing>
              <wp:inline distT="0" distB="0" distL="0" distR="0" wp14:anchorId="071A03E3" wp14:editId="0C13CE32">
                <wp:extent cx="5725297" cy="1013460"/>
                <wp:effectExtent l="0" t="0" r="27940" b="15240"/>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297" cy="1013460"/>
                        </a:xfrm>
                        <a:prstGeom prst="rect">
                          <a:avLst/>
                        </a:prstGeom>
                        <a:solidFill>
                          <a:srgbClr val="CFF0F7"/>
                        </a:solidFill>
                        <a:ln w="9525">
                          <a:solidFill>
                            <a:srgbClr val="000000"/>
                          </a:solidFill>
                          <a:miter lim="800000"/>
                          <a:headEnd/>
                          <a:tailEnd/>
                        </a:ln>
                      </wps:spPr>
                      <wps:txbx>
                        <w:txbxContent>
                          <w:p w14:paraId="6F10A531" w14:textId="77777777" w:rsidR="000C3B63" w:rsidRDefault="000C3B63" w:rsidP="007A52C4">
                            <w:pPr>
                              <w:pStyle w:val="BodyText"/>
                            </w:pPr>
                            <w:r w:rsidRPr="00190CB0">
                              <w:t xml:space="preserve">Prospera will explore different ways of working through </w:t>
                            </w:r>
                            <w:r>
                              <w:t xml:space="preserve">inter-disciplinary activity design, </w:t>
                            </w:r>
                            <w:r w:rsidRPr="00190CB0">
                              <w:t>and seek ‘join</w:t>
                            </w:r>
                            <w:r>
                              <w:t>ed</w:t>
                            </w:r>
                            <w:r w:rsidRPr="00190CB0">
                              <w:t xml:space="preserve"> up’ activities where possible to maximise efficiency and impact. </w:t>
                            </w:r>
                            <w:r w:rsidRPr="00701AC5">
                              <w:t xml:space="preserve">Prospera will take care to transition to this new way of working, such as </w:t>
                            </w:r>
                            <w:r>
                              <w:t xml:space="preserve">consistent </w:t>
                            </w:r>
                            <w:r w:rsidRPr="00701AC5">
                              <w:t>use of logical design and investment criteria, at an appropriate and well</w:t>
                            </w:r>
                            <w:r>
                              <w:t>-</w:t>
                            </w:r>
                            <w:r w:rsidRPr="00701AC5">
                              <w:t xml:space="preserve">considered pace, with the aim of bringing all Australian agencies and advisers along together, while maximising opportunities for better </w:t>
                            </w:r>
                            <w:r>
                              <w:t>collaboration</w:t>
                            </w:r>
                            <w:r w:rsidRPr="00701AC5">
                              <w:t>.</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A03E3" id="_x0000_s1034" type="#_x0000_t202" style="width:450.8pt;height:7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KvKwIAAE0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" fillcolor="#cff0f7">
                <v:textbox>
                  <w:txbxContent>
                    <w:p w14:paraId="6F10A531" w14:textId="77777777" w:rsidR="000C3B63" w:rsidRDefault="000C3B63" w:rsidP="007A52C4">
                      <w:pPr>
                        <w:pStyle w:val="BodyText"/>
                      </w:pPr>
                      <w:r w:rsidRPr="00190CB0">
                        <w:t xml:space="preserve">Prospera will explore different ways of working through </w:t>
                      </w:r>
                      <w:r>
                        <w:t xml:space="preserve">inter-disciplinary activity design, </w:t>
                      </w:r>
                      <w:r w:rsidRPr="00190CB0">
                        <w:t>and seek ‘join</w:t>
                      </w:r>
                      <w:r>
                        <w:t>ed</w:t>
                      </w:r>
                      <w:r w:rsidRPr="00190CB0">
                        <w:t xml:space="preserve"> up’ activities where possible to maximise efficiency and impact. </w:t>
                      </w:r>
                      <w:r w:rsidRPr="00701AC5">
                        <w:t xml:space="preserve">Prospera will take care to transition to this new way of working, such as </w:t>
                      </w:r>
                      <w:r>
                        <w:t xml:space="preserve">consistent </w:t>
                      </w:r>
                      <w:r w:rsidRPr="00701AC5">
                        <w:t>use of logical design and investment criteria, at an appropriate and well</w:t>
                      </w:r>
                      <w:r>
                        <w:t>-</w:t>
                      </w:r>
                      <w:r w:rsidRPr="00701AC5">
                        <w:t xml:space="preserve">considered pace, with the aim of bringing all Australian agencies and advisers along together, while maximising opportunities for better </w:t>
                      </w:r>
                      <w:r>
                        <w:t>collaboration</w:t>
                      </w:r>
                      <w:r w:rsidRPr="00701AC5">
                        <w:t>.</w:t>
                      </w:r>
                    </w:p>
                  </w:txbxContent>
                </v:textbox>
                <w10:anchorlock/>
              </v:shape>
            </w:pict>
          </mc:Fallback>
        </mc:AlternateContent>
      </w:r>
    </w:p>
    <w:p w14:paraId="4FB46E10" w14:textId="77777777" w:rsidR="007A52C4" w:rsidRPr="00B27D06" w:rsidRDefault="007A52C4" w:rsidP="007A52C4">
      <w:pPr>
        <w:pStyle w:val="Heading3"/>
        <w:numPr>
          <w:ilvl w:val="0"/>
          <w:numId w:val="0"/>
        </w:numPr>
        <w:ind w:left="851" w:hanging="851"/>
      </w:pPr>
      <w:bookmarkStart w:id="186" w:name="_Toc525563675"/>
      <w:bookmarkStart w:id="187" w:name="_Toc525743674"/>
      <w:r w:rsidRPr="00B27D06">
        <w:t>Prospera works through partnerships</w:t>
      </w:r>
      <w:bookmarkEnd w:id="186"/>
      <w:bookmarkEnd w:id="187"/>
      <w:r w:rsidRPr="00B27D06">
        <w:t xml:space="preserve"> </w:t>
      </w:r>
    </w:p>
    <w:p w14:paraId="57EF2B3C" w14:textId="77777777" w:rsidR="007A52C4" w:rsidRDefault="007A52C4" w:rsidP="007A52C4">
      <w:pPr>
        <w:pStyle w:val="BodyText"/>
      </w:pPr>
      <w:r>
        <w:t>Prospera’s success will be founded on effective and right relationships between Australian government officials, advisers and Indonesian government officials. Australian Government agencies in particular acknowledge that their agency-to-agency partnerships with Indonesian Government agencies are of high value and that each individual partnership contributes to the broader partnership between Australia and Indonesia; a direct nation</w:t>
      </w:r>
      <w:r>
        <w:noBreakHyphen/>
        <w:t>to</w:t>
      </w:r>
      <w:r>
        <w:noBreakHyphen/>
        <w:t>nation partnership established between close geographic neighbours.</w:t>
      </w:r>
    </w:p>
    <w:p w14:paraId="0D5A8B52" w14:textId="77777777" w:rsidR="007A52C4" w:rsidRDefault="007A52C4" w:rsidP="007A52C4">
      <w:r>
        <w:rPr>
          <w:noProof/>
          <w:lang w:eastAsia="en-AU"/>
        </w:rPr>
        <mc:AlternateContent>
          <mc:Choice Requires="wps">
            <w:drawing>
              <wp:inline distT="0" distB="0" distL="0" distR="0" wp14:anchorId="6EDA0683" wp14:editId="3D38D231">
                <wp:extent cx="5766486" cy="670560"/>
                <wp:effectExtent l="0" t="0" r="24765" b="1524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86" cy="670560"/>
                        </a:xfrm>
                        <a:prstGeom prst="rect">
                          <a:avLst/>
                        </a:prstGeom>
                        <a:solidFill>
                          <a:srgbClr val="CFF0F7"/>
                        </a:solidFill>
                        <a:ln w="9525">
                          <a:solidFill>
                            <a:srgbClr val="000000"/>
                          </a:solidFill>
                          <a:miter lim="800000"/>
                          <a:headEnd/>
                          <a:tailEnd/>
                        </a:ln>
                      </wps:spPr>
                      <wps:txbx>
                        <w:txbxContent>
                          <w:p w14:paraId="6C9E4734" w14:textId="77777777" w:rsidR="000C3B63" w:rsidRDefault="000C3B63" w:rsidP="007A52C4">
                            <w:pPr>
                              <w:pStyle w:val="BodyText"/>
                            </w:pPr>
                            <w:r w:rsidRPr="00190CB0">
                              <w:t>Prospera will</w:t>
                            </w:r>
                            <w:r>
                              <w:t xml:space="preserve"> seek to evaluate partnerships through a Partnerships Data Collection Plan, using methods such as a Partnership and Collaboration Assessment Tool (refer Component 2 Activity Programming and Reporting Guide). </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DA0683" id="_x0000_s1035" type="#_x0000_t202" style="width:454.05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9XKAIAAEw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" fillcolor="#cff0f7">
                <v:textbox>
                  <w:txbxContent>
                    <w:p w14:paraId="6C9E4734" w14:textId="77777777" w:rsidR="000C3B63" w:rsidRDefault="000C3B63" w:rsidP="007A52C4">
                      <w:pPr>
                        <w:pStyle w:val="BodyText"/>
                      </w:pPr>
                      <w:r w:rsidRPr="00190CB0">
                        <w:t>Prospera will</w:t>
                      </w:r>
                      <w:r>
                        <w:t xml:space="preserve"> seek to evaluate partnerships through a Partnerships Data Collection Plan, using methods such as a Partnership and Collaboration Assessment Tool (refer Component 2 Activity Programming and Reporting Guide). </w:t>
                      </w:r>
                    </w:p>
                  </w:txbxContent>
                </v:textbox>
                <w10:anchorlock/>
              </v:shape>
            </w:pict>
          </mc:Fallback>
        </mc:AlternateContent>
      </w:r>
    </w:p>
    <w:p w14:paraId="7C2227A0" w14:textId="77777777" w:rsidR="007A52C4" w:rsidRDefault="007A52C4" w:rsidP="00BE60F3">
      <w:pPr>
        <w:rPr>
          <w:rFonts w:cs="Arial"/>
          <w:b/>
          <w:sz w:val="26"/>
          <w:szCs w:val="26"/>
        </w:rPr>
      </w:pPr>
    </w:p>
    <w:p w14:paraId="7D83C01F" w14:textId="041D891F" w:rsidR="007A52C4" w:rsidRDefault="007A52C4" w:rsidP="00BE60F3">
      <w:pPr>
        <w:rPr>
          <w:rFonts w:cs="Arial"/>
          <w:b/>
          <w:sz w:val="26"/>
          <w:szCs w:val="26"/>
        </w:rPr>
        <w:sectPr w:rsidR="007A52C4" w:rsidSect="002C3956">
          <w:pgSz w:w="11900" w:h="16840"/>
          <w:pgMar w:top="1440" w:right="1410" w:bottom="1440" w:left="1440" w:header="850" w:footer="850" w:gutter="0"/>
          <w:cols w:space="708"/>
          <w:docGrid w:linePitch="360"/>
        </w:sectPr>
      </w:pPr>
    </w:p>
    <w:p w14:paraId="3B982631" w14:textId="3F73A026" w:rsidR="001304F1" w:rsidRPr="0086146B" w:rsidRDefault="00334B64" w:rsidP="0082195C">
      <w:pPr>
        <w:pStyle w:val="Heading1"/>
        <w:numPr>
          <w:ilvl w:val="0"/>
          <w:numId w:val="0"/>
        </w:numPr>
        <w:ind w:left="851" w:hanging="851"/>
      </w:pPr>
      <w:bookmarkStart w:id="188" w:name="_Toc525743694"/>
      <w:bookmarkStart w:id="189" w:name="_Toc532991080"/>
      <w:r>
        <w:t>Annex 3</w:t>
      </w:r>
      <w:r>
        <w:tab/>
      </w:r>
      <w:r w:rsidR="001304F1" w:rsidRPr="0086146B">
        <w:t>Detailed facility logic and assumptions</w:t>
      </w:r>
      <w:bookmarkEnd w:id="188"/>
      <w:bookmarkEnd w:id="189"/>
    </w:p>
    <w:p w14:paraId="5776C3C5" w14:textId="30E0CCC6" w:rsidR="004D5B4D" w:rsidRDefault="00FE2BFD" w:rsidP="008B5D26">
      <w:pPr>
        <w:pStyle w:val="BodyText"/>
      </w:pPr>
      <w:r w:rsidRPr="00FE2BFD">
        <w:rPr>
          <w:noProof/>
          <w:lang w:eastAsia="en-AU"/>
        </w:rPr>
        <w:drawing>
          <wp:inline distT="0" distB="0" distL="0" distR="0" wp14:anchorId="3B1C9721" wp14:editId="52DEA69A">
            <wp:extent cx="12371428" cy="841904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371428" cy="8419048"/>
                    </a:xfrm>
                    <a:prstGeom prst="rect">
                      <a:avLst/>
                    </a:prstGeom>
                  </pic:spPr>
                </pic:pic>
              </a:graphicData>
            </a:graphic>
          </wp:inline>
        </w:drawing>
      </w:r>
    </w:p>
    <w:p w14:paraId="4ED4A8E4" w14:textId="77777777" w:rsidR="004D5B4D" w:rsidRDefault="004D5B4D" w:rsidP="00BE60F3">
      <w:pPr>
        <w:pStyle w:val="Heading3"/>
        <w:numPr>
          <w:ilvl w:val="0"/>
          <w:numId w:val="0"/>
        </w:numPr>
        <w:sectPr w:rsidR="004D5B4D" w:rsidSect="008B5D26">
          <w:pgSz w:w="23818" w:h="16834" w:orient="landscape" w:code="8"/>
          <w:pgMar w:top="1440" w:right="1440" w:bottom="1440" w:left="1440" w:header="850" w:footer="850" w:gutter="0"/>
          <w:cols w:space="708"/>
          <w:docGrid w:linePitch="360"/>
        </w:sectPr>
      </w:pPr>
    </w:p>
    <w:p w14:paraId="064E3CD9" w14:textId="77777777" w:rsidR="00635E8B" w:rsidRPr="0086146B" w:rsidRDefault="00635E8B" w:rsidP="00BE60F3">
      <w:pPr>
        <w:pStyle w:val="BodyText"/>
        <w:rPr>
          <w:b/>
          <w:sz w:val="22"/>
        </w:rPr>
      </w:pPr>
      <w:r w:rsidRPr="0086146B">
        <w:rPr>
          <w:b/>
          <w:color w:val="20ABCA" w:themeColor="accent6"/>
          <w:sz w:val="22"/>
        </w:rPr>
        <w:t>Explanation of Intermediate outcomes and associated assumptions</w:t>
      </w:r>
    </w:p>
    <w:p w14:paraId="02811625" w14:textId="77777777" w:rsidR="00635E8B" w:rsidRPr="00020592" w:rsidRDefault="00635E8B" w:rsidP="00BE60F3">
      <w:pPr>
        <w:spacing w:after="200" w:line="276" w:lineRule="auto"/>
        <w:rPr>
          <w:rFonts w:eastAsia="Calibri" w:cs="Arial"/>
          <w:sz w:val="20"/>
          <w:szCs w:val="20"/>
        </w:rPr>
      </w:pPr>
      <w:r w:rsidRPr="00020592">
        <w:rPr>
          <w:rFonts w:eastAsia="Calibri" w:cs="Arial"/>
          <w:sz w:val="20"/>
          <w:szCs w:val="20"/>
        </w:rPr>
        <w:t>This section lists and briefly describes the intermediate outcomes for 2018-19 and their associated assumptions.</w:t>
      </w:r>
    </w:p>
    <w:tbl>
      <w:tblPr>
        <w:tblStyle w:val="TableGrid2"/>
        <w:tblW w:w="9209" w:type="dxa"/>
        <w:tblLook w:val="04A0" w:firstRow="1" w:lastRow="0" w:firstColumn="1" w:lastColumn="0" w:noHBand="0" w:noVBand="1"/>
      </w:tblPr>
      <w:tblGrid>
        <w:gridCol w:w="1663"/>
        <w:gridCol w:w="3180"/>
        <w:gridCol w:w="4366"/>
      </w:tblGrid>
      <w:tr w:rsidR="00635E8B" w:rsidRPr="00020592" w14:paraId="5ABF4E4F" w14:textId="77777777" w:rsidTr="00020592">
        <w:trPr>
          <w:cantSplit/>
          <w:tblHeader/>
        </w:trPr>
        <w:tc>
          <w:tcPr>
            <w:tcW w:w="1663" w:type="dxa"/>
            <w:shd w:val="clear" w:color="auto" w:fill="20ABCA"/>
          </w:tcPr>
          <w:p w14:paraId="2D3B3D98" w14:textId="77777777" w:rsidR="00635E8B" w:rsidRPr="00020592" w:rsidRDefault="00635E8B" w:rsidP="00BE60F3">
            <w:pPr>
              <w:spacing w:before="20" w:after="20" w:line="240" w:lineRule="auto"/>
              <w:rPr>
                <w:rFonts w:eastAsia="Calibri" w:cs="Arial"/>
                <w:b/>
                <w:color w:val="FFFFFF"/>
                <w:sz w:val="20"/>
                <w:szCs w:val="20"/>
              </w:rPr>
            </w:pPr>
            <w:bookmarkStart w:id="190" w:name="_Hlk525464772"/>
            <w:r w:rsidRPr="00020592">
              <w:rPr>
                <w:rFonts w:eastAsia="Calibri" w:cs="Arial"/>
                <w:b/>
                <w:color w:val="FFFFFF"/>
                <w:sz w:val="20"/>
                <w:szCs w:val="20"/>
              </w:rPr>
              <w:t>Intermediate Outcome</w:t>
            </w:r>
          </w:p>
        </w:tc>
        <w:tc>
          <w:tcPr>
            <w:tcW w:w="3180" w:type="dxa"/>
            <w:shd w:val="clear" w:color="auto" w:fill="20ABCA"/>
          </w:tcPr>
          <w:p w14:paraId="54B6B3E1" w14:textId="77777777" w:rsidR="00635E8B" w:rsidRPr="00020592" w:rsidRDefault="00635E8B" w:rsidP="00BE60F3">
            <w:pPr>
              <w:spacing w:before="20" w:after="20" w:line="240" w:lineRule="auto"/>
              <w:rPr>
                <w:rFonts w:eastAsia="Calibri" w:cs="Arial"/>
                <w:b/>
                <w:color w:val="FFFFFF"/>
                <w:sz w:val="20"/>
                <w:szCs w:val="20"/>
              </w:rPr>
            </w:pPr>
            <w:r w:rsidRPr="00020592">
              <w:rPr>
                <w:rFonts w:eastAsia="Calibri" w:cs="Arial"/>
                <w:b/>
                <w:color w:val="FFFFFF"/>
                <w:sz w:val="20"/>
                <w:szCs w:val="20"/>
              </w:rPr>
              <w:t>Brief Description</w:t>
            </w:r>
          </w:p>
        </w:tc>
        <w:tc>
          <w:tcPr>
            <w:tcW w:w="4366" w:type="dxa"/>
            <w:shd w:val="clear" w:color="auto" w:fill="20ABCA"/>
          </w:tcPr>
          <w:p w14:paraId="001FB069" w14:textId="77777777" w:rsidR="00635E8B" w:rsidRPr="00020592" w:rsidRDefault="00635E8B" w:rsidP="00BE60F3">
            <w:pPr>
              <w:spacing w:before="20" w:after="20" w:line="240" w:lineRule="auto"/>
              <w:rPr>
                <w:rFonts w:eastAsia="Calibri" w:cs="Arial"/>
                <w:b/>
                <w:color w:val="FFFFFF"/>
                <w:sz w:val="20"/>
                <w:szCs w:val="20"/>
              </w:rPr>
            </w:pPr>
            <w:r w:rsidRPr="00020592">
              <w:rPr>
                <w:rFonts w:eastAsia="Calibri" w:cs="Arial"/>
                <w:b/>
                <w:color w:val="FFFFFF"/>
                <w:sz w:val="20"/>
                <w:szCs w:val="20"/>
              </w:rPr>
              <w:t>Assumptions: To achieve this outcome it is assumed that…..</w:t>
            </w:r>
          </w:p>
        </w:tc>
      </w:tr>
      <w:tr w:rsidR="00635E8B" w:rsidRPr="00020592" w14:paraId="50C6855B" w14:textId="77777777" w:rsidTr="00020592">
        <w:trPr>
          <w:cantSplit/>
        </w:trPr>
        <w:tc>
          <w:tcPr>
            <w:tcW w:w="9209" w:type="dxa"/>
            <w:gridSpan w:val="3"/>
            <w:shd w:val="clear" w:color="auto" w:fill="4BACC6"/>
          </w:tcPr>
          <w:p w14:paraId="782C264E" w14:textId="77777777" w:rsidR="00635E8B" w:rsidRPr="00020592" w:rsidRDefault="00635E8B" w:rsidP="00BE60F3">
            <w:pPr>
              <w:spacing w:before="20" w:after="20" w:line="240" w:lineRule="auto"/>
              <w:rPr>
                <w:rFonts w:eastAsia="Calibri" w:cs="Arial"/>
                <w:b/>
                <w:color w:val="FFFFFF"/>
                <w:sz w:val="20"/>
                <w:szCs w:val="20"/>
              </w:rPr>
            </w:pPr>
            <w:r w:rsidRPr="00635E8B">
              <w:rPr>
                <w:rFonts w:eastAsia="Calibri" w:cs="Arial"/>
                <w:b/>
                <w:color w:val="FFFFFF"/>
                <w:sz w:val="20"/>
                <w:szCs w:val="20"/>
              </w:rPr>
              <w:t xml:space="preserve">Breakthrough 1 Expanding markets, creating jobs </w:t>
            </w:r>
          </w:p>
        </w:tc>
      </w:tr>
      <w:tr w:rsidR="00635E8B" w:rsidRPr="00020592" w14:paraId="1B1D2D05" w14:textId="77777777" w:rsidTr="00020592">
        <w:trPr>
          <w:cantSplit/>
        </w:trPr>
        <w:tc>
          <w:tcPr>
            <w:tcW w:w="9209" w:type="dxa"/>
            <w:gridSpan w:val="3"/>
            <w:shd w:val="clear" w:color="auto" w:fill="4BACC6"/>
          </w:tcPr>
          <w:p w14:paraId="6AF6DA2F" w14:textId="2CE085F1" w:rsidR="00635E8B" w:rsidRPr="00020592" w:rsidRDefault="00635E8B" w:rsidP="00BE60F3">
            <w:pPr>
              <w:spacing w:before="20" w:after="20" w:line="240" w:lineRule="auto"/>
              <w:rPr>
                <w:rFonts w:eastAsia="Calibri" w:cs="Arial"/>
                <w:b/>
                <w:color w:val="FFFFFF"/>
                <w:sz w:val="20"/>
                <w:szCs w:val="20"/>
              </w:rPr>
            </w:pPr>
            <w:r w:rsidRPr="00635E8B">
              <w:rPr>
                <w:rFonts w:eastAsia="Calibri" w:cs="Arial"/>
                <w:b/>
                <w:color w:val="FFFFFF"/>
                <w:sz w:val="20"/>
                <w:szCs w:val="20"/>
              </w:rPr>
              <w:t>1.1 Better regulation for private</w:t>
            </w:r>
            <w:r w:rsidR="005A3535">
              <w:rPr>
                <w:rFonts w:eastAsia="Calibri" w:cs="Arial"/>
                <w:b/>
                <w:color w:val="FFFFFF"/>
                <w:sz w:val="20"/>
                <w:szCs w:val="20"/>
              </w:rPr>
              <w:t>-</w:t>
            </w:r>
            <w:r w:rsidRPr="00635E8B">
              <w:rPr>
                <w:rFonts w:eastAsia="Calibri" w:cs="Arial"/>
                <w:b/>
                <w:color w:val="FFFFFF"/>
                <w:sz w:val="20"/>
                <w:szCs w:val="20"/>
              </w:rPr>
              <w:t xml:space="preserve">sector growth </w:t>
            </w:r>
          </w:p>
        </w:tc>
      </w:tr>
      <w:tr w:rsidR="00635E8B" w:rsidRPr="00020592" w14:paraId="637CF7FF" w14:textId="77777777" w:rsidTr="00020592">
        <w:trPr>
          <w:cantSplit/>
        </w:trPr>
        <w:tc>
          <w:tcPr>
            <w:tcW w:w="1663" w:type="dxa"/>
          </w:tcPr>
          <w:p w14:paraId="4954DAAE"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Reduced barriers to doing business</w:t>
            </w:r>
          </w:p>
        </w:tc>
        <w:tc>
          <w:tcPr>
            <w:tcW w:w="3180" w:type="dxa"/>
          </w:tcPr>
          <w:p w14:paraId="57561216" w14:textId="5832DDE4" w:rsidR="00635E8B" w:rsidRPr="00020592" w:rsidRDefault="00A06F6F" w:rsidP="00BE60F3">
            <w:pPr>
              <w:spacing w:after="0" w:line="240" w:lineRule="auto"/>
              <w:rPr>
                <w:rFonts w:eastAsia="Calibri" w:cs="Arial"/>
                <w:sz w:val="19"/>
                <w:szCs w:val="19"/>
              </w:rPr>
            </w:pPr>
            <w:r>
              <w:rPr>
                <w:rFonts w:eastAsia="Calibri" w:cs="Arial"/>
                <w:sz w:val="19"/>
                <w:szCs w:val="19"/>
              </w:rPr>
              <w:t>R</w:t>
            </w:r>
            <w:r w:rsidR="00635E8B" w:rsidRPr="00020592">
              <w:rPr>
                <w:rFonts w:eastAsia="Calibri" w:cs="Arial"/>
                <w:sz w:val="19"/>
                <w:szCs w:val="19"/>
              </w:rPr>
              <w:t>equirements for starting, operating and closing a business are designed to promote private</w:t>
            </w:r>
            <w:r w:rsidR="005A3535">
              <w:rPr>
                <w:rFonts w:eastAsia="Calibri" w:cs="Arial"/>
                <w:sz w:val="19"/>
                <w:szCs w:val="19"/>
              </w:rPr>
              <w:t>-</w:t>
            </w:r>
            <w:r w:rsidR="00635E8B" w:rsidRPr="00020592">
              <w:rPr>
                <w:rFonts w:eastAsia="Calibri" w:cs="Arial"/>
                <w:sz w:val="19"/>
                <w:szCs w:val="19"/>
              </w:rPr>
              <w:t>sector development</w:t>
            </w:r>
            <w:r w:rsidR="00E31161">
              <w:rPr>
                <w:rFonts w:eastAsia="Calibri" w:cs="Arial"/>
                <w:sz w:val="19"/>
                <w:szCs w:val="19"/>
              </w:rPr>
              <w:t>.</w:t>
            </w:r>
          </w:p>
        </w:tc>
        <w:tc>
          <w:tcPr>
            <w:tcW w:w="4366" w:type="dxa"/>
          </w:tcPr>
          <w:p w14:paraId="1C00BDC5" w14:textId="77777777" w:rsidR="00635E8B" w:rsidRPr="00020592" w:rsidRDefault="00635E8B" w:rsidP="00BE60F3">
            <w:pPr>
              <w:spacing w:after="0" w:line="240" w:lineRule="auto"/>
              <w:rPr>
                <w:rFonts w:eastAsia="Calibri" w:cs="Arial"/>
                <w:sz w:val="19"/>
                <w:szCs w:val="19"/>
              </w:rPr>
            </w:pPr>
            <w:r w:rsidRPr="00020592">
              <w:rPr>
                <w:rFonts w:eastAsia="Calibri" w:cs="Arial"/>
                <w:i/>
                <w:sz w:val="19"/>
                <w:szCs w:val="19"/>
              </w:rPr>
              <w:t>…There is a quality analysis of the business operating environment, including understanding of motivating and influencing factors about how business decisions are made, undertaken with various agencies to design an appropriate program of work.</w:t>
            </w:r>
          </w:p>
        </w:tc>
      </w:tr>
      <w:tr w:rsidR="00635E8B" w:rsidRPr="00020592" w14:paraId="7D31C5CA" w14:textId="77777777" w:rsidTr="00020592">
        <w:trPr>
          <w:cantSplit/>
        </w:trPr>
        <w:tc>
          <w:tcPr>
            <w:tcW w:w="1663" w:type="dxa"/>
          </w:tcPr>
          <w:p w14:paraId="4C42CBC6" w14:textId="1262522B" w:rsidR="00635E8B" w:rsidRPr="00020592" w:rsidRDefault="00635E8B" w:rsidP="00BE60F3">
            <w:pPr>
              <w:spacing w:after="0" w:line="240" w:lineRule="auto"/>
              <w:rPr>
                <w:rFonts w:eastAsia="Calibri" w:cs="Arial"/>
                <w:sz w:val="19"/>
                <w:szCs w:val="19"/>
              </w:rPr>
            </w:pPr>
            <w:r w:rsidRPr="00020592">
              <w:rPr>
                <w:rFonts w:eastAsia="Calibri" w:cs="Arial"/>
                <w:sz w:val="19"/>
                <w:szCs w:val="19"/>
              </w:rPr>
              <w:t>Fit</w:t>
            </w:r>
            <w:r w:rsidR="005A3535">
              <w:rPr>
                <w:rFonts w:eastAsia="Calibri" w:cs="Arial"/>
                <w:sz w:val="19"/>
                <w:szCs w:val="19"/>
              </w:rPr>
              <w:t>-</w:t>
            </w:r>
            <w:r w:rsidRPr="00020592">
              <w:rPr>
                <w:rFonts w:eastAsia="Calibri" w:cs="Arial"/>
                <w:sz w:val="19"/>
                <w:szCs w:val="19"/>
              </w:rPr>
              <w:t>for</w:t>
            </w:r>
            <w:r w:rsidR="005A3535">
              <w:rPr>
                <w:rFonts w:eastAsia="Calibri" w:cs="Arial"/>
                <w:sz w:val="19"/>
                <w:szCs w:val="19"/>
              </w:rPr>
              <w:t>-</w:t>
            </w:r>
            <w:r w:rsidRPr="00020592">
              <w:rPr>
                <w:rFonts w:eastAsia="Calibri" w:cs="Arial"/>
                <w:sz w:val="19"/>
                <w:szCs w:val="19"/>
              </w:rPr>
              <w:t>purpose regulations are prepared and implemented</w:t>
            </w:r>
          </w:p>
        </w:tc>
        <w:tc>
          <w:tcPr>
            <w:tcW w:w="3180" w:type="dxa"/>
          </w:tcPr>
          <w:p w14:paraId="3990587A" w14:textId="438FFE7B" w:rsidR="00635E8B" w:rsidRPr="00020592" w:rsidRDefault="00635E8B" w:rsidP="00BE60F3">
            <w:pPr>
              <w:spacing w:after="0" w:line="240" w:lineRule="auto"/>
              <w:rPr>
                <w:rFonts w:eastAsia="Calibri" w:cs="Arial"/>
                <w:i/>
                <w:sz w:val="19"/>
                <w:szCs w:val="19"/>
              </w:rPr>
            </w:pPr>
            <w:r w:rsidRPr="00020592">
              <w:rPr>
                <w:rFonts w:eastAsia="Calibri" w:cs="Arial"/>
                <w:sz w:val="19"/>
                <w:szCs w:val="19"/>
              </w:rPr>
              <w:t>Regulations help build robust and competitive markets that take account of economic costs and benefits.</w:t>
            </w:r>
            <w:r w:rsidRPr="00020592">
              <w:rPr>
                <w:rFonts w:eastAsia="Calibri" w:cs="Arial"/>
                <w:i/>
                <w:sz w:val="19"/>
                <w:szCs w:val="19"/>
              </w:rPr>
              <w:t xml:space="preserve"> </w:t>
            </w:r>
          </w:p>
        </w:tc>
        <w:tc>
          <w:tcPr>
            <w:tcW w:w="4366" w:type="dxa"/>
          </w:tcPr>
          <w:p w14:paraId="719F0939" w14:textId="77777777"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….Regulators are able to analyse the system, including drivers and motivators to develop a diverse range of good fit policy mechanisms, including to promote private sector development.</w:t>
            </w:r>
          </w:p>
        </w:tc>
      </w:tr>
      <w:tr w:rsidR="00635E8B" w:rsidRPr="00020592" w14:paraId="19BD81F2" w14:textId="77777777" w:rsidTr="00020592">
        <w:trPr>
          <w:cantSplit/>
        </w:trPr>
        <w:tc>
          <w:tcPr>
            <w:tcW w:w="1663" w:type="dxa"/>
          </w:tcPr>
          <w:p w14:paraId="797DE0C6" w14:textId="5AAC482C" w:rsidR="00635E8B" w:rsidRPr="00020592" w:rsidRDefault="00635E8B" w:rsidP="00BE60F3">
            <w:pPr>
              <w:spacing w:after="0" w:line="240" w:lineRule="auto"/>
              <w:rPr>
                <w:rFonts w:eastAsia="Calibri" w:cs="Arial"/>
                <w:sz w:val="19"/>
                <w:szCs w:val="19"/>
              </w:rPr>
            </w:pPr>
            <w:r w:rsidRPr="00A0487B">
              <w:rPr>
                <w:rFonts w:eastAsia="Calibri" w:cs="Arial"/>
                <w:sz w:val="19"/>
                <w:szCs w:val="19"/>
              </w:rPr>
              <w:t>Less informality</w:t>
            </w:r>
            <w:r w:rsidR="006B0CDD">
              <w:rPr>
                <w:rFonts w:eastAsia="Calibri" w:cs="Arial"/>
                <w:sz w:val="19"/>
                <w:szCs w:val="19"/>
              </w:rPr>
              <w:t xml:space="preserve"> </w:t>
            </w:r>
            <w:r w:rsidRPr="00A0487B">
              <w:rPr>
                <w:rFonts w:eastAsia="Calibri" w:cs="Arial"/>
                <w:sz w:val="19"/>
                <w:szCs w:val="19"/>
              </w:rPr>
              <w:t xml:space="preserve">and greater </w:t>
            </w:r>
            <w:r w:rsidR="006B0CDD">
              <w:rPr>
                <w:rFonts w:eastAsia="Calibri" w:cs="Arial"/>
                <w:sz w:val="19"/>
                <w:szCs w:val="19"/>
              </w:rPr>
              <w:t xml:space="preserve">productivity </w:t>
            </w:r>
            <w:r w:rsidRPr="00A0487B">
              <w:rPr>
                <w:rFonts w:eastAsia="Calibri" w:cs="Arial"/>
                <w:sz w:val="19"/>
                <w:szCs w:val="19"/>
              </w:rPr>
              <w:t>for firms and workers</w:t>
            </w:r>
            <w:r w:rsidRPr="00020592">
              <w:rPr>
                <w:rFonts w:eastAsia="Calibri" w:cs="Arial"/>
                <w:sz w:val="19"/>
                <w:szCs w:val="19"/>
              </w:rPr>
              <w:t xml:space="preserve"> </w:t>
            </w:r>
          </w:p>
        </w:tc>
        <w:tc>
          <w:tcPr>
            <w:tcW w:w="3180" w:type="dxa"/>
          </w:tcPr>
          <w:p w14:paraId="6D24F8A6" w14:textId="77777777" w:rsidR="00635E8B" w:rsidRPr="00020592" w:rsidRDefault="00635E8B" w:rsidP="00BE60F3">
            <w:pPr>
              <w:spacing w:after="0" w:line="240" w:lineRule="auto"/>
              <w:rPr>
                <w:rFonts w:eastAsia="Calibri" w:cs="Arial"/>
                <w:sz w:val="19"/>
                <w:szCs w:val="19"/>
                <w:highlight w:val="yellow"/>
              </w:rPr>
            </w:pPr>
            <w:r w:rsidRPr="00020592">
              <w:rPr>
                <w:rFonts w:eastAsia="Calibri" w:cs="Arial"/>
                <w:sz w:val="19"/>
                <w:szCs w:val="19"/>
              </w:rPr>
              <w:t xml:space="preserve">Firms and workers are encouraged to transition to the formal sector by addressing distortions in regulation and incentives. </w:t>
            </w:r>
          </w:p>
        </w:tc>
        <w:tc>
          <w:tcPr>
            <w:tcW w:w="4366" w:type="dxa"/>
          </w:tcPr>
          <w:p w14:paraId="3E63E7B9" w14:textId="1F088C8C" w:rsidR="00635E8B" w:rsidRPr="00020592" w:rsidRDefault="00A0487B" w:rsidP="00BE60F3">
            <w:pPr>
              <w:spacing w:after="0" w:line="240" w:lineRule="auto"/>
              <w:rPr>
                <w:rFonts w:eastAsia="Calibri" w:cs="Arial"/>
                <w:sz w:val="19"/>
                <w:szCs w:val="19"/>
              </w:rPr>
            </w:pPr>
            <w:r>
              <w:rPr>
                <w:rFonts w:eastAsia="Calibri" w:cs="Arial"/>
                <w:i/>
                <w:sz w:val="19"/>
                <w:szCs w:val="19"/>
              </w:rPr>
              <w:t>….There are simple systems for businesses seeking to enter the formal sector</w:t>
            </w:r>
            <w:r w:rsidR="00E31161">
              <w:rPr>
                <w:rFonts w:eastAsia="Calibri" w:cs="Arial"/>
                <w:i/>
                <w:sz w:val="19"/>
                <w:szCs w:val="19"/>
              </w:rPr>
              <w:t>.</w:t>
            </w:r>
          </w:p>
        </w:tc>
      </w:tr>
      <w:tr w:rsidR="00635E8B" w:rsidRPr="00020592" w14:paraId="1EECE29D" w14:textId="77777777" w:rsidTr="00020592">
        <w:trPr>
          <w:cantSplit/>
        </w:trPr>
        <w:tc>
          <w:tcPr>
            <w:tcW w:w="9209" w:type="dxa"/>
            <w:gridSpan w:val="3"/>
            <w:shd w:val="clear" w:color="auto" w:fill="4BACC6"/>
          </w:tcPr>
          <w:p w14:paraId="162EDD4F" w14:textId="77777777" w:rsidR="00635E8B" w:rsidRPr="00020592" w:rsidRDefault="00635E8B" w:rsidP="00BE60F3">
            <w:pPr>
              <w:spacing w:before="20" w:after="20" w:line="240" w:lineRule="auto"/>
              <w:rPr>
                <w:rFonts w:eastAsia="Calibri" w:cs="Arial"/>
                <w:b/>
                <w:color w:val="FFFFFF"/>
                <w:sz w:val="20"/>
                <w:szCs w:val="20"/>
              </w:rPr>
            </w:pPr>
            <w:r w:rsidRPr="00635E8B">
              <w:rPr>
                <w:rFonts w:eastAsia="Calibri" w:cs="Arial"/>
                <w:b/>
                <w:color w:val="FFFFFF"/>
                <w:sz w:val="20"/>
                <w:szCs w:val="20"/>
              </w:rPr>
              <w:t xml:space="preserve">1.2 More open trade and investment </w:t>
            </w:r>
          </w:p>
        </w:tc>
      </w:tr>
      <w:tr w:rsidR="00635E8B" w:rsidRPr="00020592" w14:paraId="66A6C151" w14:textId="77777777" w:rsidTr="00020592">
        <w:trPr>
          <w:cantSplit/>
        </w:trPr>
        <w:tc>
          <w:tcPr>
            <w:tcW w:w="1663" w:type="dxa"/>
          </w:tcPr>
          <w:p w14:paraId="00BE5C62"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Markets are opened through trade agreements and domestic reforms</w:t>
            </w:r>
          </w:p>
          <w:p w14:paraId="21EAC9AF" w14:textId="77777777" w:rsidR="00635E8B" w:rsidRPr="00020592" w:rsidRDefault="00635E8B" w:rsidP="00BE60F3">
            <w:pPr>
              <w:spacing w:after="0" w:line="240" w:lineRule="auto"/>
              <w:rPr>
                <w:rFonts w:eastAsia="Calibri" w:cs="Arial"/>
                <w:sz w:val="19"/>
                <w:szCs w:val="19"/>
              </w:rPr>
            </w:pPr>
          </w:p>
        </w:tc>
        <w:tc>
          <w:tcPr>
            <w:tcW w:w="3180" w:type="dxa"/>
          </w:tcPr>
          <w:p w14:paraId="47480D40"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Increased openness to trade in goods and services through reduced tariff and non-tariff measures (e.g. quotas, local content restrictions). Increased openness to investment.</w:t>
            </w:r>
          </w:p>
        </w:tc>
        <w:tc>
          <w:tcPr>
            <w:tcW w:w="4366" w:type="dxa"/>
          </w:tcPr>
          <w:p w14:paraId="32312AF4" w14:textId="64EA18FA"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….Trade negotiations are conducted on a level playing field</w:t>
            </w:r>
            <w:r w:rsidR="00E31161">
              <w:rPr>
                <w:rFonts w:eastAsia="Calibri" w:cs="Arial"/>
                <w:i/>
                <w:sz w:val="19"/>
                <w:szCs w:val="19"/>
              </w:rPr>
              <w:t>.</w:t>
            </w:r>
          </w:p>
          <w:p w14:paraId="23499494" w14:textId="500C0C1F"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….Indonesia maintains stable government and other nations retain interest in the trade agreements—mutual benefits are described and understood</w:t>
            </w:r>
            <w:r w:rsidR="00E31161">
              <w:rPr>
                <w:rFonts w:eastAsia="Calibri" w:cs="Arial"/>
                <w:i/>
                <w:sz w:val="19"/>
                <w:szCs w:val="19"/>
              </w:rPr>
              <w:t>.</w:t>
            </w:r>
          </w:p>
          <w:p w14:paraId="58D5C59C" w14:textId="572633C5"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….Indonesia is considered to be a predictable and preferred trade partner</w:t>
            </w:r>
            <w:r w:rsidR="00E31161">
              <w:rPr>
                <w:rFonts w:eastAsia="Calibri" w:cs="Arial"/>
                <w:i/>
                <w:sz w:val="19"/>
                <w:szCs w:val="19"/>
              </w:rPr>
              <w:t>.</w:t>
            </w:r>
          </w:p>
          <w:p w14:paraId="1C0AD554" w14:textId="569C5709" w:rsidR="00635E8B" w:rsidRPr="00020592" w:rsidRDefault="00635E8B" w:rsidP="00BE60F3">
            <w:pPr>
              <w:spacing w:after="0" w:line="240" w:lineRule="auto"/>
              <w:rPr>
                <w:rFonts w:eastAsia="Calibri" w:cs="Arial"/>
                <w:sz w:val="19"/>
                <w:szCs w:val="19"/>
              </w:rPr>
            </w:pPr>
            <w:r w:rsidRPr="00020592">
              <w:rPr>
                <w:rFonts w:eastAsia="Calibri" w:cs="Arial"/>
                <w:i/>
                <w:sz w:val="19"/>
                <w:szCs w:val="19"/>
              </w:rPr>
              <w:t>….High</w:t>
            </w:r>
            <w:r w:rsidR="005A3535">
              <w:rPr>
                <w:rFonts w:eastAsia="Calibri" w:cs="Arial"/>
                <w:i/>
                <w:sz w:val="19"/>
                <w:szCs w:val="19"/>
              </w:rPr>
              <w:t>-</w:t>
            </w:r>
            <w:r w:rsidRPr="00020592">
              <w:rPr>
                <w:rFonts w:eastAsia="Calibri" w:cs="Arial"/>
                <w:i/>
                <w:sz w:val="19"/>
                <w:szCs w:val="19"/>
              </w:rPr>
              <w:t>quality analysis and partnership building enables perverse outcomes to be avoided.</w:t>
            </w:r>
          </w:p>
        </w:tc>
      </w:tr>
      <w:tr w:rsidR="00635E8B" w:rsidRPr="00020592" w14:paraId="632CCE06" w14:textId="77777777" w:rsidTr="00020592">
        <w:trPr>
          <w:cantSplit/>
        </w:trPr>
        <w:tc>
          <w:tcPr>
            <w:tcW w:w="1663" w:type="dxa"/>
          </w:tcPr>
          <w:p w14:paraId="26533D68" w14:textId="77777777" w:rsidR="00635E8B" w:rsidRPr="00020592" w:rsidRDefault="00635E8B" w:rsidP="00BE60F3">
            <w:pPr>
              <w:spacing w:after="0" w:line="240" w:lineRule="auto"/>
              <w:rPr>
                <w:rFonts w:eastAsia="Calibri" w:cs="Arial"/>
                <w:sz w:val="19"/>
                <w:szCs w:val="19"/>
                <w:highlight w:val="yellow"/>
              </w:rPr>
            </w:pPr>
            <w:r w:rsidRPr="00020592">
              <w:rPr>
                <w:rFonts w:eastAsia="Calibri" w:cs="Arial"/>
                <w:sz w:val="19"/>
                <w:szCs w:val="19"/>
              </w:rPr>
              <w:t>Private investment in infrastructure is increasingly enabled</w:t>
            </w:r>
          </w:p>
        </w:tc>
        <w:tc>
          <w:tcPr>
            <w:tcW w:w="3180" w:type="dxa"/>
          </w:tcPr>
          <w:p w14:paraId="626797B8"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Better planning and greater certainty in priority infrastructure projects enables private investment. More financing options combine public with private investment.</w:t>
            </w:r>
          </w:p>
        </w:tc>
        <w:tc>
          <w:tcPr>
            <w:tcW w:w="4366" w:type="dxa"/>
          </w:tcPr>
          <w:p w14:paraId="3B345EFC" w14:textId="42918DC7"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….The private sector has sufficient trust in government to co-invest in infrastructure with long lead times and significant investment required</w:t>
            </w:r>
            <w:r w:rsidR="00E31161">
              <w:rPr>
                <w:rFonts w:eastAsia="Calibri" w:cs="Arial"/>
                <w:i/>
                <w:sz w:val="19"/>
                <w:szCs w:val="19"/>
              </w:rPr>
              <w:t>.</w:t>
            </w:r>
          </w:p>
        </w:tc>
      </w:tr>
      <w:tr w:rsidR="00635E8B" w:rsidRPr="00020592" w14:paraId="2D941DEC" w14:textId="77777777" w:rsidTr="00020592">
        <w:trPr>
          <w:cantSplit/>
        </w:trPr>
        <w:tc>
          <w:tcPr>
            <w:tcW w:w="1663" w:type="dxa"/>
          </w:tcPr>
          <w:p w14:paraId="48E8AC46"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Financial markets and products are more diverse</w:t>
            </w:r>
          </w:p>
        </w:tc>
        <w:tc>
          <w:tcPr>
            <w:tcW w:w="3180" w:type="dxa"/>
          </w:tcPr>
          <w:p w14:paraId="2125C915" w14:textId="1EA6D848" w:rsidR="00020592" w:rsidRPr="00020592" w:rsidRDefault="00635E8B" w:rsidP="00BE60F3">
            <w:pPr>
              <w:spacing w:after="0" w:line="240" w:lineRule="auto"/>
              <w:rPr>
                <w:rFonts w:ascii="Calibri" w:eastAsia="Times New Roman" w:hAnsi="Calibri" w:cs="Calibri"/>
                <w:color w:val="212121"/>
                <w:sz w:val="19"/>
                <w:szCs w:val="19"/>
              </w:rPr>
            </w:pPr>
            <w:r w:rsidRPr="00020592">
              <w:rPr>
                <w:rFonts w:eastAsia="Calibri" w:cs="Arial"/>
                <w:sz w:val="19"/>
                <w:szCs w:val="19"/>
              </w:rPr>
              <w:t>Deeper financial sector that intermediates a greater share of national saving towards the productive economy.</w:t>
            </w:r>
            <w:r w:rsidRPr="00020592">
              <w:rPr>
                <w:rFonts w:ascii="Calibri" w:eastAsia="Times New Roman" w:hAnsi="Calibri" w:cs="Calibri"/>
                <w:color w:val="212121"/>
                <w:sz w:val="19"/>
                <w:szCs w:val="19"/>
              </w:rPr>
              <w:t> </w:t>
            </w:r>
          </w:p>
        </w:tc>
        <w:tc>
          <w:tcPr>
            <w:tcW w:w="4366" w:type="dxa"/>
          </w:tcPr>
          <w:p w14:paraId="419FE154" w14:textId="77777777" w:rsidR="00635E8B" w:rsidRPr="00020592" w:rsidRDefault="00635E8B" w:rsidP="00BE60F3">
            <w:pPr>
              <w:spacing w:after="0" w:line="240" w:lineRule="auto"/>
              <w:rPr>
                <w:rFonts w:eastAsia="Calibri" w:cs="Arial"/>
                <w:sz w:val="19"/>
                <w:szCs w:val="19"/>
              </w:rPr>
            </w:pPr>
            <w:r w:rsidRPr="00020592">
              <w:rPr>
                <w:rFonts w:eastAsia="Calibri" w:cs="Arial"/>
                <w:i/>
                <w:sz w:val="19"/>
                <w:szCs w:val="19"/>
              </w:rPr>
              <w:t>….Indonesian financial consumers are able to flexibly adjust to, understand the value of, and adopt unfamiliar and more diverse financial products.</w:t>
            </w:r>
          </w:p>
        </w:tc>
      </w:tr>
      <w:tr w:rsidR="00635E8B" w:rsidRPr="00020592" w14:paraId="65E422D8" w14:textId="77777777" w:rsidTr="00020592">
        <w:trPr>
          <w:cantSplit/>
        </w:trPr>
        <w:tc>
          <w:tcPr>
            <w:tcW w:w="9209" w:type="dxa"/>
            <w:gridSpan w:val="3"/>
            <w:shd w:val="clear" w:color="auto" w:fill="4BACC6"/>
          </w:tcPr>
          <w:p w14:paraId="264CA860" w14:textId="77777777" w:rsidR="00635E8B" w:rsidRPr="00020592" w:rsidRDefault="00635E8B" w:rsidP="00BE60F3">
            <w:pPr>
              <w:spacing w:before="20" w:after="20" w:line="240" w:lineRule="auto"/>
              <w:rPr>
                <w:rFonts w:eastAsia="Calibri" w:cs="Arial"/>
                <w:b/>
                <w:color w:val="FFFFFF"/>
                <w:sz w:val="20"/>
                <w:szCs w:val="20"/>
              </w:rPr>
            </w:pPr>
            <w:r w:rsidRPr="00635E8B">
              <w:rPr>
                <w:rFonts w:eastAsia="Calibri" w:cs="Arial"/>
                <w:b/>
                <w:color w:val="FFFFFF"/>
                <w:sz w:val="20"/>
                <w:szCs w:val="20"/>
              </w:rPr>
              <w:t xml:space="preserve">1.3 Safe and efficient transport to move people and goods </w:t>
            </w:r>
          </w:p>
        </w:tc>
      </w:tr>
      <w:tr w:rsidR="00635E8B" w:rsidRPr="00020592" w14:paraId="0DBCA643" w14:textId="77777777" w:rsidTr="00020592">
        <w:trPr>
          <w:cantSplit/>
        </w:trPr>
        <w:tc>
          <w:tcPr>
            <w:tcW w:w="1663" w:type="dxa"/>
          </w:tcPr>
          <w:p w14:paraId="7C19AC9B"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Transport sector has increased safety technical capability </w:t>
            </w:r>
          </w:p>
        </w:tc>
        <w:tc>
          <w:tcPr>
            <w:tcW w:w="3180" w:type="dxa"/>
          </w:tcPr>
          <w:p w14:paraId="7FFFA4F9"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Technical capability to manage increasing movement of people and goods around Indonesia is enhanced. </w:t>
            </w:r>
          </w:p>
        </w:tc>
        <w:tc>
          <w:tcPr>
            <w:tcW w:w="4366" w:type="dxa"/>
          </w:tcPr>
          <w:p w14:paraId="0D68EF9A" w14:textId="5D1EBA6F" w:rsidR="00635E8B" w:rsidRPr="00020592" w:rsidRDefault="00635E8B" w:rsidP="00BE60F3">
            <w:pPr>
              <w:spacing w:after="0" w:line="240" w:lineRule="auto"/>
              <w:rPr>
                <w:rFonts w:eastAsia="Calibri" w:cs="Arial"/>
                <w:sz w:val="19"/>
                <w:szCs w:val="19"/>
              </w:rPr>
            </w:pPr>
            <w:r w:rsidRPr="00020592">
              <w:rPr>
                <w:rFonts w:eastAsia="Calibri" w:cs="Arial"/>
                <w:i/>
                <w:sz w:val="19"/>
                <w:szCs w:val="19"/>
              </w:rPr>
              <w:t xml:space="preserve">….Indonesian </w:t>
            </w:r>
            <w:r w:rsidR="005A3535">
              <w:rPr>
                <w:rFonts w:eastAsia="Calibri" w:cs="Arial"/>
                <w:i/>
                <w:sz w:val="19"/>
                <w:szCs w:val="19"/>
              </w:rPr>
              <w:t>g</w:t>
            </w:r>
            <w:r w:rsidRPr="00020592">
              <w:rPr>
                <w:rFonts w:eastAsia="Calibri" w:cs="Arial"/>
                <w:i/>
                <w:sz w:val="19"/>
                <w:szCs w:val="19"/>
              </w:rPr>
              <w:t>overnment transport institutions are willing to continue engaging with Australian government partners.</w:t>
            </w:r>
          </w:p>
        </w:tc>
      </w:tr>
      <w:tr w:rsidR="00635E8B" w:rsidRPr="00020592" w14:paraId="7434C12B" w14:textId="77777777" w:rsidTr="00020592">
        <w:trPr>
          <w:cantSplit/>
        </w:trPr>
        <w:tc>
          <w:tcPr>
            <w:tcW w:w="1663" w:type="dxa"/>
          </w:tcPr>
          <w:p w14:paraId="19431E7A"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Indonesia leads aviation and maritime regulation in the region </w:t>
            </w:r>
          </w:p>
        </w:tc>
        <w:tc>
          <w:tcPr>
            <w:tcW w:w="3180" w:type="dxa"/>
          </w:tcPr>
          <w:p w14:paraId="3EF4E265"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Indonesia leads air and maritime safety practice in ASEAN and can transfer knowledge and practice to other countries. </w:t>
            </w:r>
          </w:p>
        </w:tc>
        <w:tc>
          <w:tcPr>
            <w:tcW w:w="4366" w:type="dxa"/>
          </w:tcPr>
          <w:p w14:paraId="539E1FBF" w14:textId="77777777"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 xml:space="preserve">….The Indonesian transport agencies maintain and build their existing level of regional trust. </w:t>
            </w:r>
          </w:p>
        </w:tc>
      </w:tr>
      <w:tr w:rsidR="00635E8B" w:rsidRPr="00020592" w14:paraId="7A22239D" w14:textId="77777777" w:rsidTr="00020592">
        <w:trPr>
          <w:cantSplit/>
        </w:trPr>
        <w:tc>
          <w:tcPr>
            <w:tcW w:w="1663" w:type="dxa"/>
          </w:tcPr>
          <w:p w14:paraId="26E38635"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Transport safety aligned with global standards and practices</w:t>
            </w:r>
          </w:p>
        </w:tc>
        <w:tc>
          <w:tcPr>
            <w:tcW w:w="3180" w:type="dxa"/>
          </w:tcPr>
          <w:p w14:paraId="5F79179D" w14:textId="77777777" w:rsidR="00635E8B" w:rsidRDefault="00635E8B" w:rsidP="00BE60F3">
            <w:pPr>
              <w:spacing w:after="0" w:line="240" w:lineRule="auto"/>
              <w:rPr>
                <w:rFonts w:eastAsia="Calibri" w:cs="Arial"/>
                <w:sz w:val="19"/>
                <w:szCs w:val="19"/>
              </w:rPr>
            </w:pPr>
            <w:r w:rsidRPr="00020592">
              <w:rPr>
                <w:rFonts w:eastAsia="Calibri" w:cs="Arial"/>
                <w:sz w:val="19"/>
                <w:szCs w:val="19"/>
              </w:rPr>
              <w:t xml:space="preserve">Indonesia meets UN global standards including those set by International Civil Aviation Organisation and International Maritime Organisation. </w:t>
            </w:r>
          </w:p>
          <w:p w14:paraId="01A07533" w14:textId="2FD0271C" w:rsidR="00020592" w:rsidRPr="00020592" w:rsidRDefault="00020592" w:rsidP="00BE60F3">
            <w:pPr>
              <w:spacing w:after="0" w:line="240" w:lineRule="auto"/>
              <w:rPr>
                <w:rFonts w:eastAsia="Calibri" w:cs="Arial"/>
                <w:sz w:val="19"/>
                <w:szCs w:val="19"/>
              </w:rPr>
            </w:pPr>
          </w:p>
        </w:tc>
        <w:tc>
          <w:tcPr>
            <w:tcW w:w="4366" w:type="dxa"/>
          </w:tcPr>
          <w:p w14:paraId="03BCE61F" w14:textId="2FB8A1AB"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….The Indonesian transport agencies maintain and build their existing level of commitment to and trust with the global standards regulators</w:t>
            </w:r>
            <w:r w:rsidR="00E31161">
              <w:rPr>
                <w:rFonts w:eastAsia="Calibri" w:cs="Arial"/>
                <w:i/>
                <w:sz w:val="19"/>
                <w:szCs w:val="19"/>
              </w:rPr>
              <w:t>.</w:t>
            </w:r>
            <w:r w:rsidRPr="00020592">
              <w:rPr>
                <w:rFonts w:eastAsia="Calibri" w:cs="Arial"/>
                <w:i/>
                <w:sz w:val="19"/>
                <w:szCs w:val="19"/>
              </w:rPr>
              <w:t xml:space="preserve"> </w:t>
            </w:r>
          </w:p>
          <w:p w14:paraId="13E9CDB0" w14:textId="77777777" w:rsidR="00635E8B" w:rsidRPr="00020592" w:rsidRDefault="00635E8B" w:rsidP="00BE60F3">
            <w:pPr>
              <w:spacing w:after="0" w:line="240" w:lineRule="auto"/>
              <w:rPr>
                <w:rFonts w:eastAsia="Calibri" w:cs="Arial"/>
                <w:i/>
                <w:sz w:val="19"/>
                <w:szCs w:val="19"/>
              </w:rPr>
            </w:pPr>
          </w:p>
          <w:p w14:paraId="0B84A106" w14:textId="77777777" w:rsidR="00635E8B" w:rsidRPr="00020592" w:rsidRDefault="00635E8B" w:rsidP="00BE60F3">
            <w:pPr>
              <w:spacing w:after="0" w:line="240" w:lineRule="auto"/>
              <w:rPr>
                <w:rFonts w:eastAsia="Calibri" w:cs="Arial"/>
                <w:i/>
                <w:sz w:val="19"/>
                <w:szCs w:val="19"/>
              </w:rPr>
            </w:pPr>
          </w:p>
        </w:tc>
      </w:tr>
      <w:tr w:rsidR="00635E8B" w:rsidRPr="00020592" w14:paraId="1A3FEDF1" w14:textId="77777777" w:rsidTr="00020592">
        <w:trPr>
          <w:cantSplit/>
        </w:trPr>
        <w:tc>
          <w:tcPr>
            <w:tcW w:w="9209" w:type="dxa"/>
            <w:gridSpan w:val="3"/>
            <w:shd w:val="clear" w:color="auto" w:fill="4BACC6"/>
          </w:tcPr>
          <w:p w14:paraId="0ABD4655" w14:textId="77777777" w:rsidR="00635E8B" w:rsidRPr="00020592" w:rsidRDefault="00635E8B" w:rsidP="00BE60F3">
            <w:pPr>
              <w:spacing w:before="20" w:after="20" w:line="240" w:lineRule="auto"/>
              <w:rPr>
                <w:rFonts w:eastAsia="Calibri" w:cs="Arial"/>
                <w:b/>
                <w:color w:val="FFFFFF"/>
                <w:sz w:val="20"/>
                <w:szCs w:val="20"/>
              </w:rPr>
            </w:pPr>
            <w:r w:rsidRPr="00635E8B">
              <w:rPr>
                <w:rFonts w:eastAsia="Calibri" w:cs="Arial"/>
                <w:b/>
                <w:color w:val="FFFFFF"/>
                <w:sz w:val="20"/>
                <w:szCs w:val="20"/>
              </w:rPr>
              <w:t xml:space="preserve">Breakthrough 2 Safeguarding economic and financial stability </w:t>
            </w:r>
          </w:p>
        </w:tc>
      </w:tr>
      <w:tr w:rsidR="00635E8B" w:rsidRPr="00020592" w14:paraId="5F3E5A94" w14:textId="77777777" w:rsidTr="00020592">
        <w:trPr>
          <w:cantSplit/>
        </w:trPr>
        <w:tc>
          <w:tcPr>
            <w:tcW w:w="9209" w:type="dxa"/>
            <w:gridSpan w:val="3"/>
            <w:shd w:val="clear" w:color="auto" w:fill="4BACC6"/>
          </w:tcPr>
          <w:p w14:paraId="2197FFD5" w14:textId="77777777" w:rsidR="00635E8B" w:rsidRPr="00020592" w:rsidRDefault="00635E8B" w:rsidP="00BE60F3">
            <w:pPr>
              <w:spacing w:before="20" w:after="20" w:line="240" w:lineRule="auto"/>
              <w:rPr>
                <w:rFonts w:eastAsia="Calibri" w:cs="Arial"/>
                <w:b/>
                <w:color w:val="FFFFFF"/>
                <w:sz w:val="20"/>
                <w:szCs w:val="20"/>
              </w:rPr>
            </w:pPr>
            <w:r w:rsidRPr="00635E8B">
              <w:rPr>
                <w:rFonts w:eastAsia="Calibri" w:cs="Arial"/>
                <w:b/>
                <w:color w:val="FFFFFF"/>
                <w:sz w:val="20"/>
                <w:szCs w:val="20"/>
              </w:rPr>
              <w:t>2.1 Better framework to deliver macro and financial stability</w:t>
            </w:r>
          </w:p>
        </w:tc>
      </w:tr>
      <w:tr w:rsidR="00635E8B" w:rsidRPr="00020592" w14:paraId="624E69C4" w14:textId="77777777" w:rsidTr="00020592">
        <w:trPr>
          <w:cantSplit/>
        </w:trPr>
        <w:tc>
          <w:tcPr>
            <w:tcW w:w="1663" w:type="dxa"/>
          </w:tcPr>
          <w:p w14:paraId="7625D58D"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Macro policy framework drives stability and growth </w:t>
            </w:r>
          </w:p>
        </w:tc>
        <w:tc>
          <w:tcPr>
            <w:tcW w:w="3180" w:type="dxa"/>
          </w:tcPr>
          <w:p w14:paraId="247E70BE"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Economic agencies have a shared framework to assess economic stability and growth policies and move in a coordinated manner. </w:t>
            </w:r>
          </w:p>
        </w:tc>
        <w:tc>
          <w:tcPr>
            <w:tcW w:w="4366" w:type="dxa"/>
          </w:tcPr>
          <w:p w14:paraId="21B7FFDE" w14:textId="77777777" w:rsidR="00635E8B" w:rsidRPr="00020592" w:rsidRDefault="00635E8B" w:rsidP="00BE60F3">
            <w:pPr>
              <w:spacing w:before="20" w:after="20" w:line="240" w:lineRule="auto"/>
              <w:rPr>
                <w:rFonts w:eastAsia="Calibri" w:cs="Arial"/>
                <w:i/>
                <w:sz w:val="19"/>
                <w:szCs w:val="19"/>
              </w:rPr>
            </w:pPr>
            <w:r w:rsidRPr="00020592">
              <w:rPr>
                <w:rFonts w:eastAsia="Calibri" w:cs="Arial"/>
                <w:i/>
                <w:sz w:val="19"/>
                <w:szCs w:val="19"/>
              </w:rPr>
              <w:t xml:space="preserve">….The Indonesian government continues to trust and value Prospera advice and evidence. </w:t>
            </w:r>
          </w:p>
          <w:p w14:paraId="2ADFAF22" w14:textId="77777777" w:rsidR="00635E8B" w:rsidRPr="00020592" w:rsidRDefault="00635E8B" w:rsidP="00BE60F3">
            <w:pPr>
              <w:spacing w:before="20" w:after="20" w:line="240" w:lineRule="auto"/>
              <w:rPr>
                <w:rFonts w:eastAsia="Calibri" w:cs="Arial"/>
                <w:i/>
                <w:sz w:val="19"/>
                <w:szCs w:val="19"/>
              </w:rPr>
            </w:pPr>
            <w:r w:rsidRPr="00020592">
              <w:rPr>
                <w:rFonts w:eastAsia="Calibri" w:cs="Arial"/>
                <w:i/>
                <w:sz w:val="19"/>
                <w:szCs w:val="19"/>
              </w:rPr>
              <w:t>…..Prospera continues to provide accessible and useful evidence to inform the macro policy framework dialogue.</w:t>
            </w:r>
          </w:p>
        </w:tc>
      </w:tr>
      <w:tr w:rsidR="00635E8B" w:rsidRPr="00020592" w14:paraId="6E3E01A6" w14:textId="77777777" w:rsidTr="00020592">
        <w:trPr>
          <w:cantSplit/>
        </w:trPr>
        <w:tc>
          <w:tcPr>
            <w:tcW w:w="1663" w:type="dxa"/>
          </w:tcPr>
          <w:p w14:paraId="753C69CE" w14:textId="77777777" w:rsidR="00635E8B" w:rsidRPr="00020592" w:rsidRDefault="00635E8B" w:rsidP="00BE60F3">
            <w:pPr>
              <w:spacing w:before="20" w:after="20" w:line="240" w:lineRule="auto"/>
              <w:rPr>
                <w:rFonts w:eastAsia="Calibri" w:cs="Arial"/>
                <w:sz w:val="19"/>
                <w:szCs w:val="19"/>
              </w:rPr>
            </w:pPr>
            <w:r w:rsidRPr="00020592">
              <w:rPr>
                <w:rFonts w:eastAsia="Calibri" w:cs="Arial"/>
                <w:sz w:val="19"/>
                <w:szCs w:val="19"/>
              </w:rPr>
              <w:t>Clear legal framework for financial stability describes roles and responsibilities</w:t>
            </w:r>
          </w:p>
        </w:tc>
        <w:tc>
          <w:tcPr>
            <w:tcW w:w="3180" w:type="dxa"/>
          </w:tcPr>
          <w:p w14:paraId="29B3E95E"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Financial law and implementing regulations clearly describe responsibilities of agencies and individuals in the event of a crisis and its aftermath. </w:t>
            </w:r>
          </w:p>
        </w:tc>
        <w:tc>
          <w:tcPr>
            <w:tcW w:w="4366" w:type="dxa"/>
          </w:tcPr>
          <w:p w14:paraId="760C736B" w14:textId="77777777" w:rsidR="00635E8B" w:rsidRPr="00020592" w:rsidRDefault="00635E8B" w:rsidP="00BE60F3">
            <w:pPr>
              <w:spacing w:before="20" w:after="20" w:line="240" w:lineRule="auto"/>
              <w:rPr>
                <w:rFonts w:eastAsia="Calibri" w:cs="Arial"/>
                <w:i/>
                <w:sz w:val="19"/>
                <w:szCs w:val="19"/>
              </w:rPr>
            </w:pPr>
            <w:r w:rsidRPr="00020592">
              <w:rPr>
                <w:rFonts w:eastAsia="Calibri" w:cs="Arial"/>
                <w:i/>
                <w:sz w:val="19"/>
                <w:szCs w:val="19"/>
              </w:rPr>
              <w:t>…..There is bureaucratic and political will to have a clear legal framework for financial stability.</w:t>
            </w:r>
          </w:p>
          <w:p w14:paraId="56B4B985" w14:textId="77777777" w:rsidR="00635E8B" w:rsidRPr="00020592" w:rsidRDefault="00635E8B" w:rsidP="00BE60F3">
            <w:pPr>
              <w:spacing w:after="0" w:line="240" w:lineRule="auto"/>
              <w:rPr>
                <w:rFonts w:eastAsia="Calibri" w:cs="Arial"/>
                <w:b/>
                <w:sz w:val="19"/>
                <w:szCs w:val="19"/>
              </w:rPr>
            </w:pPr>
            <w:r w:rsidRPr="00020592">
              <w:rPr>
                <w:rFonts w:eastAsia="Calibri" w:cs="Arial"/>
                <w:i/>
                <w:sz w:val="19"/>
                <w:szCs w:val="19"/>
              </w:rPr>
              <w:t>There is a lead champion and a law.</w:t>
            </w:r>
          </w:p>
        </w:tc>
      </w:tr>
      <w:tr w:rsidR="00635E8B" w:rsidRPr="00020592" w14:paraId="2A6901D4" w14:textId="77777777" w:rsidTr="00020592">
        <w:trPr>
          <w:cantSplit/>
        </w:trPr>
        <w:tc>
          <w:tcPr>
            <w:tcW w:w="1663" w:type="dxa"/>
          </w:tcPr>
          <w:p w14:paraId="5BD23171"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Financial stability committee is a stronger institution</w:t>
            </w:r>
          </w:p>
        </w:tc>
        <w:tc>
          <w:tcPr>
            <w:tcW w:w="3180" w:type="dxa"/>
          </w:tcPr>
          <w:p w14:paraId="7376301A" w14:textId="77777777" w:rsidR="00635E8B" w:rsidRDefault="00635E8B" w:rsidP="00BE60F3">
            <w:pPr>
              <w:spacing w:after="0" w:line="240" w:lineRule="auto"/>
              <w:rPr>
                <w:rFonts w:ascii="Calibri" w:eastAsia="Times New Roman" w:hAnsi="Calibri" w:cs="Calibri"/>
                <w:color w:val="212121"/>
                <w:sz w:val="19"/>
                <w:szCs w:val="19"/>
              </w:rPr>
            </w:pPr>
            <w:r w:rsidRPr="00020592">
              <w:rPr>
                <w:rFonts w:eastAsia="Calibri" w:cs="Arial"/>
                <w:sz w:val="19"/>
                <w:szCs w:val="19"/>
              </w:rPr>
              <w:t>Four institutions forming the financial stability committee are aligned to prevent a financial crisis and better manage a financial crisis should one occur.</w:t>
            </w:r>
            <w:r w:rsidRPr="00020592">
              <w:rPr>
                <w:rFonts w:ascii="Calibri" w:eastAsia="Times New Roman" w:hAnsi="Calibri" w:cs="Calibri"/>
                <w:color w:val="212121"/>
                <w:sz w:val="19"/>
                <w:szCs w:val="19"/>
              </w:rPr>
              <w:t> </w:t>
            </w:r>
          </w:p>
          <w:p w14:paraId="29BFAADF" w14:textId="49C70777" w:rsidR="00020592" w:rsidRPr="00020592" w:rsidRDefault="00020592" w:rsidP="00BE60F3">
            <w:pPr>
              <w:spacing w:after="0" w:line="240" w:lineRule="auto"/>
              <w:rPr>
                <w:rFonts w:eastAsia="Calibri" w:cs="Arial"/>
                <w:sz w:val="19"/>
                <w:szCs w:val="19"/>
              </w:rPr>
            </w:pPr>
          </w:p>
        </w:tc>
        <w:tc>
          <w:tcPr>
            <w:tcW w:w="4366" w:type="dxa"/>
          </w:tcPr>
          <w:p w14:paraId="390AF94A" w14:textId="2AFAB427" w:rsidR="00635E8B" w:rsidRPr="00020592" w:rsidRDefault="00635E8B" w:rsidP="00BE60F3">
            <w:pPr>
              <w:spacing w:before="20" w:after="20" w:line="240" w:lineRule="auto"/>
              <w:rPr>
                <w:rFonts w:eastAsia="Calibri" w:cs="Arial"/>
                <w:i/>
                <w:sz w:val="19"/>
                <w:szCs w:val="19"/>
              </w:rPr>
            </w:pPr>
            <w:r w:rsidRPr="00020592">
              <w:rPr>
                <w:rFonts w:eastAsia="Calibri" w:cs="Arial"/>
                <w:i/>
                <w:sz w:val="19"/>
                <w:szCs w:val="19"/>
              </w:rPr>
              <w:t xml:space="preserve">….There is bureaucratic and political will to have a strong </w:t>
            </w:r>
            <w:r w:rsidR="005A3535">
              <w:rPr>
                <w:rFonts w:eastAsia="Calibri" w:cs="Arial"/>
                <w:i/>
                <w:sz w:val="19"/>
                <w:szCs w:val="19"/>
              </w:rPr>
              <w:t>f</w:t>
            </w:r>
            <w:r w:rsidRPr="00020592">
              <w:rPr>
                <w:rFonts w:eastAsia="Calibri" w:cs="Arial"/>
                <w:i/>
                <w:sz w:val="19"/>
                <w:szCs w:val="19"/>
              </w:rPr>
              <w:t>inancial stability committee</w:t>
            </w:r>
          </w:p>
          <w:p w14:paraId="750A6246" w14:textId="6965D4BC" w:rsidR="00635E8B" w:rsidRPr="00020592" w:rsidRDefault="005A3535" w:rsidP="00BE60F3">
            <w:pPr>
              <w:spacing w:after="0" w:line="240" w:lineRule="auto"/>
              <w:rPr>
                <w:rFonts w:eastAsia="Calibri" w:cs="Arial"/>
                <w:sz w:val="19"/>
                <w:szCs w:val="19"/>
              </w:rPr>
            </w:pPr>
            <w:r>
              <w:rPr>
                <w:rFonts w:eastAsia="Calibri" w:cs="Arial"/>
                <w:i/>
                <w:sz w:val="19"/>
                <w:szCs w:val="19"/>
              </w:rPr>
              <w:t>f</w:t>
            </w:r>
            <w:r w:rsidR="00635E8B" w:rsidRPr="00020592">
              <w:rPr>
                <w:rFonts w:eastAsia="Calibri" w:cs="Arial"/>
                <w:i/>
                <w:sz w:val="19"/>
                <w:szCs w:val="19"/>
              </w:rPr>
              <w:t>inancial stability committee facilitates agreement on the roles and responsibilities of the Secretariat</w:t>
            </w:r>
            <w:r w:rsidR="00E31161">
              <w:rPr>
                <w:rFonts w:eastAsia="Calibri" w:cs="Arial"/>
                <w:i/>
                <w:sz w:val="19"/>
                <w:szCs w:val="19"/>
              </w:rPr>
              <w:t>.</w:t>
            </w:r>
            <w:r w:rsidR="00635E8B" w:rsidRPr="00020592">
              <w:rPr>
                <w:rFonts w:eastAsia="Calibri" w:cs="Arial"/>
                <w:i/>
                <w:sz w:val="19"/>
                <w:szCs w:val="19"/>
              </w:rPr>
              <w:t xml:space="preserve"> </w:t>
            </w:r>
          </w:p>
        </w:tc>
      </w:tr>
      <w:tr w:rsidR="00635E8B" w:rsidRPr="00020592" w14:paraId="2A9E56E3" w14:textId="77777777" w:rsidTr="00020592">
        <w:trPr>
          <w:cantSplit/>
        </w:trPr>
        <w:tc>
          <w:tcPr>
            <w:tcW w:w="9209" w:type="dxa"/>
            <w:gridSpan w:val="3"/>
            <w:shd w:val="clear" w:color="auto" w:fill="4BACC6"/>
          </w:tcPr>
          <w:p w14:paraId="1977F929" w14:textId="77777777" w:rsidR="00635E8B" w:rsidRPr="00020592" w:rsidRDefault="00635E8B" w:rsidP="00BE60F3">
            <w:pPr>
              <w:spacing w:before="20" w:after="20" w:line="240" w:lineRule="auto"/>
              <w:rPr>
                <w:rFonts w:eastAsia="Calibri" w:cs="Arial"/>
                <w:b/>
                <w:color w:val="FFFFFF"/>
                <w:sz w:val="20"/>
                <w:szCs w:val="20"/>
              </w:rPr>
            </w:pPr>
            <w:r w:rsidRPr="00635E8B">
              <w:rPr>
                <w:rFonts w:eastAsia="Calibri" w:cs="Arial"/>
                <w:b/>
                <w:color w:val="FFFFFF"/>
                <w:sz w:val="20"/>
                <w:szCs w:val="20"/>
              </w:rPr>
              <w:t>2.2 Increased supervision and regulation of financial sector</w:t>
            </w:r>
          </w:p>
        </w:tc>
      </w:tr>
      <w:tr w:rsidR="00635E8B" w:rsidRPr="00020592" w14:paraId="29DD8A32" w14:textId="77777777" w:rsidTr="00020592">
        <w:trPr>
          <w:cantSplit/>
        </w:trPr>
        <w:tc>
          <w:tcPr>
            <w:tcW w:w="1663" w:type="dxa"/>
          </w:tcPr>
          <w:p w14:paraId="177816C3" w14:textId="43AAD04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Local </w:t>
            </w:r>
            <w:r w:rsidR="005A3535">
              <w:rPr>
                <w:rFonts w:eastAsia="Calibri" w:cs="Arial"/>
                <w:sz w:val="19"/>
                <w:szCs w:val="19"/>
              </w:rPr>
              <w:t>a</w:t>
            </w:r>
            <w:r w:rsidRPr="00020592">
              <w:rPr>
                <w:rFonts w:eastAsia="Calibri" w:cs="Arial"/>
                <w:sz w:val="19"/>
                <w:szCs w:val="19"/>
              </w:rPr>
              <w:t>doption of risk</w:t>
            </w:r>
            <w:r w:rsidR="005A3535">
              <w:rPr>
                <w:rFonts w:eastAsia="Calibri" w:cs="Arial"/>
                <w:sz w:val="19"/>
                <w:szCs w:val="19"/>
              </w:rPr>
              <w:t>-</w:t>
            </w:r>
            <w:r w:rsidRPr="00020592">
              <w:rPr>
                <w:rFonts w:eastAsia="Calibri" w:cs="Arial"/>
                <w:sz w:val="19"/>
                <w:szCs w:val="19"/>
              </w:rPr>
              <w:t>based financial supervision</w:t>
            </w:r>
          </w:p>
        </w:tc>
        <w:tc>
          <w:tcPr>
            <w:tcW w:w="3180" w:type="dxa"/>
          </w:tcPr>
          <w:p w14:paraId="750DF793"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Indonesia adopts locally relevant risk-based supervision – assessing risks within the whole financial system and prioritising resolution of those risks. </w:t>
            </w:r>
          </w:p>
        </w:tc>
        <w:tc>
          <w:tcPr>
            <w:tcW w:w="4366" w:type="dxa"/>
          </w:tcPr>
          <w:p w14:paraId="33DFC035" w14:textId="770DEC14" w:rsidR="00635E8B" w:rsidRPr="00020592" w:rsidRDefault="00635E8B" w:rsidP="00BE60F3">
            <w:pPr>
              <w:spacing w:after="0" w:line="240" w:lineRule="auto"/>
              <w:rPr>
                <w:rFonts w:eastAsia="Calibri" w:cs="Arial"/>
                <w:sz w:val="19"/>
                <w:szCs w:val="19"/>
              </w:rPr>
            </w:pPr>
            <w:r w:rsidRPr="00020592">
              <w:rPr>
                <w:rFonts w:eastAsia="Calibri" w:cs="Arial"/>
                <w:i/>
                <w:sz w:val="19"/>
                <w:szCs w:val="19"/>
              </w:rPr>
              <w:t>….There is a political and bureaucratic appetite for risk</w:t>
            </w:r>
            <w:r w:rsidR="005A3535">
              <w:rPr>
                <w:rFonts w:eastAsia="Calibri" w:cs="Arial"/>
                <w:i/>
                <w:sz w:val="19"/>
                <w:szCs w:val="19"/>
              </w:rPr>
              <w:t>-</w:t>
            </w:r>
            <w:r w:rsidRPr="00020592">
              <w:rPr>
                <w:rFonts w:eastAsia="Calibri" w:cs="Arial"/>
                <w:i/>
                <w:sz w:val="19"/>
                <w:szCs w:val="19"/>
              </w:rPr>
              <w:t>based financial supervision approaches, which can be localised</w:t>
            </w:r>
            <w:r w:rsidR="00E31161">
              <w:rPr>
                <w:rFonts w:eastAsia="Calibri" w:cs="Arial"/>
                <w:i/>
                <w:sz w:val="19"/>
                <w:szCs w:val="19"/>
              </w:rPr>
              <w:t>.</w:t>
            </w:r>
          </w:p>
        </w:tc>
      </w:tr>
      <w:tr w:rsidR="00635E8B" w:rsidRPr="00020592" w14:paraId="0F203759" w14:textId="77777777" w:rsidTr="00020592">
        <w:trPr>
          <w:cantSplit/>
        </w:trPr>
        <w:tc>
          <w:tcPr>
            <w:tcW w:w="1663" w:type="dxa"/>
          </w:tcPr>
          <w:p w14:paraId="330B6AF2" w14:textId="77777777" w:rsidR="00635E8B" w:rsidRPr="00020592" w:rsidRDefault="00635E8B" w:rsidP="00BE60F3">
            <w:pPr>
              <w:spacing w:before="20" w:after="20" w:line="240" w:lineRule="auto"/>
              <w:rPr>
                <w:rFonts w:eastAsia="Calibri" w:cs="Arial"/>
                <w:sz w:val="19"/>
                <w:szCs w:val="19"/>
              </w:rPr>
            </w:pPr>
            <w:r w:rsidRPr="00020592">
              <w:rPr>
                <w:rFonts w:eastAsia="Calibri" w:cs="Arial"/>
                <w:sz w:val="19"/>
                <w:szCs w:val="19"/>
              </w:rPr>
              <w:t>Financial regulators have a consistent approach to conduct supervision</w:t>
            </w:r>
          </w:p>
        </w:tc>
        <w:tc>
          <w:tcPr>
            <w:tcW w:w="3180" w:type="dxa"/>
          </w:tcPr>
          <w:p w14:paraId="58128407" w14:textId="498B4FAE" w:rsidR="00635E8B" w:rsidRPr="00020592" w:rsidRDefault="00635E8B" w:rsidP="00BE60F3">
            <w:pPr>
              <w:spacing w:after="0" w:line="240" w:lineRule="auto"/>
              <w:rPr>
                <w:rFonts w:eastAsia="Calibri" w:cs="Arial"/>
                <w:sz w:val="19"/>
                <w:szCs w:val="19"/>
              </w:rPr>
            </w:pPr>
            <w:r w:rsidRPr="00020592">
              <w:rPr>
                <w:rFonts w:eastAsia="Calibri" w:cs="Arial"/>
                <w:sz w:val="19"/>
                <w:szCs w:val="19"/>
              </w:rPr>
              <w:t>Financial regulators cooperate to ensure orderly and transparent financial market processes, proper relationships between banks and others</w:t>
            </w:r>
            <w:r w:rsidR="005A3535">
              <w:rPr>
                <w:rFonts w:eastAsia="Calibri" w:cs="Arial"/>
                <w:sz w:val="19"/>
                <w:szCs w:val="19"/>
              </w:rPr>
              <w:t>,</w:t>
            </w:r>
            <w:r w:rsidRPr="00020592">
              <w:rPr>
                <w:rFonts w:eastAsia="Calibri" w:cs="Arial"/>
                <w:sz w:val="19"/>
                <w:szCs w:val="19"/>
              </w:rPr>
              <w:t xml:space="preserve"> and the exercise of due care in dealing with customers.</w:t>
            </w:r>
          </w:p>
        </w:tc>
        <w:tc>
          <w:tcPr>
            <w:tcW w:w="4366" w:type="dxa"/>
          </w:tcPr>
          <w:p w14:paraId="595FF0A2" w14:textId="77777777"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 xml:space="preserve">…..Financial regulators are collaborating and coordinating, and all hold a similar view of the value of consistent approach to supervision; </w:t>
            </w:r>
          </w:p>
          <w:p w14:paraId="509F6CDD" w14:textId="2FAEB961" w:rsidR="00635E8B" w:rsidRPr="00020592" w:rsidRDefault="00635E8B" w:rsidP="00BE60F3">
            <w:pPr>
              <w:spacing w:after="0" w:line="240" w:lineRule="auto"/>
              <w:rPr>
                <w:rFonts w:eastAsia="Calibri" w:cs="Arial"/>
                <w:sz w:val="19"/>
                <w:szCs w:val="19"/>
              </w:rPr>
            </w:pPr>
            <w:r w:rsidRPr="00020592">
              <w:rPr>
                <w:rFonts w:eastAsia="Calibri" w:cs="Arial"/>
                <w:i/>
                <w:sz w:val="19"/>
                <w:szCs w:val="19"/>
              </w:rPr>
              <w:t>there is no political interference</w:t>
            </w:r>
          </w:p>
        </w:tc>
      </w:tr>
      <w:tr w:rsidR="00635E8B" w:rsidRPr="00020592" w14:paraId="1F9BE9B1" w14:textId="77777777" w:rsidTr="00020592">
        <w:trPr>
          <w:cantSplit/>
        </w:trPr>
        <w:tc>
          <w:tcPr>
            <w:tcW w:w="1663" w:type="dxa"/>
          </w:tcPr>
          <w:p w14:paraId="61F81BBC" w14:textId="62621EF5" w:rsidR="00635E8B" w:rsidRPr="00020592" w:rsidRDefault="00635E8B" w:rsidP="00BE60F3">
            <w:pPr>
              <w:spacing w:before="20" w:after="20" w:line="240" w:lineRule="auto"/>
              <w:rPr>
                <w:rFonts w:eastAsia="Calibri" w:cs="Arial"/>
                <w:sz w:val="19"/>
                <w:szCs w:val="19"/>
              </w:rPr>
            </w:pPr>
            <w:r w:rsidRPr="00020592">
              <w:rPr>
                <w:rFonts w:eastAsia="Calibri" w:cs="Arial"/>
                <w:sz w:val="19"/>
                <w:szCs w:val="19"/>
              </w:rPr>
              <w:t>Increased financial regulation and enforcement capability</w:t>
            </w:r>
          </w:p>
        </w:tc>
        <w:tc>
          <w:tcPr>
            <w:tcW w:w="3180" w:type="dxa"/>
          </w:tcPr>
          <w:p w14:paraId="0204D1DB" w14:textId="77777777" w:rsidR="00635E8B" w:rsidRDefault="00635E8B" w:rsidP="00BE60F3">
            <w:pPr>
              <w:spacing w:after="0" w:line="240" w:lineRule="auto"/>
              <w:rPr>
                <w:rFonts w:eastAsia="Calibri" w:cs="Arial"/>
                <w:sz w:val="19"/>
                <w:szCs w:val="19"/>
              </w:rPr>
            </w:pPr>
            <w:r w:rsidRPr="00020592">
              <w:rPr>
                <w:rFonts w:eastAsia="Calibri" w:cs="Arial"/>
                <w:sz w:val="19"/>
                <w:szCs w:val="19"/>
              </w:rPr>
              <w:t xml:space="preserve">Financial regulators have increased capability in regulating and supervising areas such as conglomerates (very large financial groups). </w:t>
            </w:r>
          </w:p>
          <w:p w14:paraId="064CE34D" w14:textId="0ECA4D51" w:rsidR="00020592" w:rsidRPr="00020592" w:rsidRDefault="00020592" w:rsidP="00BE60F3">
            <w:pPr>
              <w:spacing w:after="0" w:line="240" w:lineRule="auto"/>
              <w:rPr>
                <w:rFonts w:eastAsia="Calibri" w:cs="Arial"/>
                <w:sz w:val="19"/>
                <w:szCs w:val="19"/>
              </w:rPr>
            </w:pPr>
          </w:p>
        </w:tc>
        <w:tc>
          <w:tcPr>
            <w:tcW w:w="4366" w:type="dxa"/>
          </w:tcPr>
          <w:p w14:paraId="154B632D" w14:textId="0D093E9D"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…..The level of inputs provided by Australian agencies is enough to influence improved and sustainable practice change in Indonesian government financial system regulators</w:t>
            </w:r>
            <w:r w:rsidR="00E31161">
              <w:rPr>
                <w:rFonts w:eastAsia="Calibri" w:cs="Arial"/>
                <w:i/>
                <w:sz w:val="19"/>
                <w:szCs w:val="19"/>
              </w:rPr>
              <w:t>.</w:t>
            </w:r>
          </w:p>
          <w:p w14:paraId="4EB8B8F2" w14:textId="60180A2E" w:rsidR="00635E8B" w:rsidRPr="00020592" w:rsidRDefault="00635E8B" w:rsidP="00BE60F3">
            <w:pPr>
              <w:spacing w:after="0" w:line="240" w:lineRule="auto"/>
              <w:rPr>
                <w:rFonts w:eastAsia="Calibri" w:cs="Arial"/>
                <w:sz w:val="19"/>
                <w:szCs w:val="19"/>
              </w:rPr>
            </w:pPr>
          </w:p>
        </w:tc>
      </w:tr>
      <w:tr w:rsidR="00635E8B" w:rsidRPr="00020592" w14:paraId="116E6604" w14:textId="77777777" w:rsidTr="00020592">
        <w:trPr>
          <w:cantSplit/>
        </w:trPr>
        <w:tc>
          <w:tcPr>
            <w:tcW w:w="9209" w:type="dxa"/>
            <w:gridSpan w:val="3"/>
            <w:shd w:val="clear" w:color="auto" w:fill="4BACC6"/>
          </w:tcPr>
          <w:p w14:paraId="3B60F39B" w14:textId="77777777" w:rsidR="00635E8B" w:rsidRPr="00020592" w:rsidRDefault="00635E8B" w:rsidP="00BE60F3">
            <w:pPr>
              <w:spacing w:before="20" w:after="20" w:line="240" w:lineRule="auto"/>
              <w:rPr>
                <w:rFonts w:eastAsia="Calibri" w:cs="Arial"/>
                <w:b/>
                <w:color w:val="FFFFFF"/>
                <w:sz w:val="20"/>
                <w:szCs w:val="20"/>
              </w:rPr>
            </w:pPr>
            <w:r w:rsidRPr="00635E8B">
              <w:rPr>
                <w:rFonts w:eastAsia="Calibri" w:cs="Arial"/>
                <w:b/>
                <w:color w:val="FFFFFF"/>
                <w:sz w:val="20"/>
                <w:szCs w:val="20"/>
              </w:rPr>
              <w:t>2.3 Combatting financial crime</w:t>
            </w:r>
          </w:p>
        </w:tc>
      </w:tr>
      <w:tr w:rsidR="00635E8B" w:rsidRPr="00020592" w14:paraId="0AF2FF3B" w14:textId="77777777" w:rsidTr="00020592">
        <w:trPr>
          <w:cantSplit/>
        </w:trPr>
        <w:tc>
          <w:tcPr>
            <w:tcW w:w="1663" w:type="dxa"/>
          </w:tcPr>
          <w:p w14:paraId="534C5FB9" w14:textId="77777777" w:rsidR="00635E8B" w:rsidRPr="00020592" w:rsidRDefault="00635E8B" w:rsidP="00BE60F3">
            <w:pPr>
              <w:spacing w:after="40" w:line="240" w:lineRule="auto"/>
              <w:rPr>
                <w:rFonts w:eastAsia="Calibri" w:cs="Arial"/>
                <w:sz w:val="19"/>
                <w:szCs w:val="19"/>
              </w:rPr>
            </w:pPr>
            <w:r w:rsidRPr="00020592">
              <w:rPr>
                <w:rFonts w:eastAsia="Calibri" w:cs="Arial"/>
                <w:sz w:val="19"/>
                <w:szCs w:val="19"/>
              </w:rPr>
              <w:t>Enhanced measures to meet international financial crime prevention standards</w:t>
            </w:r>
          </w:p>
        </w:tc>
        <w:tc>
          <w:tcPr>
            <w:tcW w:w="3180" w:type="dxa"/>
          </w:tcPr>
          <w:p w14:paraId="340125DB"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Indonesia is aligned with international standards including those set by the Financial Action Task Force.</w:t>
            </w:r>
          </w:p>
        </w:tc>
        <w:tc>
          <w:tcPr>
            <w:tcW w:w="4366" w:type="dxa"/>
          </w:tcPr>
          <w:p w14:paraId="2B1620BF" w14:textId="3A51D43C" w:rsidR="00635E8B" w:rsidRPr="00020592" w:rsidRDefault="00635E8B" w:rsidP="00BE60F3">
            <w:pPr>
              <w:spacing w:after="0" w:line="240" w:lineRule="auto"/>
              <w:rPr>
                <w:rFonts w:eastAsia="Calibri" w:cs="Arial"/>
                <w:sz w:val="19"/>
                <w:szCs w:val="19"/>
              </w:rPr>
            </w:pPr>
            <w:r w:rsidRPr="00020592">
              <w:rPr>
                <w:rFonts w:eastAsia="Calibri" w:cs="Arial"/>
                <w:i/>
                <w:sz w:val="19"/>
                <w:szCs w:val="19"/>
              </w:rPr>
              <w:t>…..Political and bureaucratic will to meet international financial standards is maintained</w:t>
            </w:r>
            <w:r w:rsidR="00E31161">
              <w:rPr>
                <w:rFonts w:eastAsia="Calibri" w:cs="Arial"/>
                <w:i/>
                <w:sz w:val="19"/>
                <w:szCs w:val="19"/>
              </w:rPr>
              <w:t>.</w:t>
            </w:r>
          </w:p>
        </w:tc>
      </w:tr>
      <w:tr w:rsidR="00635E8B" w:rsidRPr="00020592" w14:paraId="182E5003" w14:textId="77777777" w:rsidTr="00020592">
        <w:trPr>
          <w:cantSplit/>
        </w:trPr>
        <w:tc>
          <w:tcPr>
            <w:tcW w:w="1663" w:type="dxa"/>
          </w:tcPr>
          <w:p w14:paraId="2736249F" w14:textId="77777777" w:rsidR="00635E8B" w:rsidRPr="00020592" w:rsidRDefault="00635E8B" w:rsidP="00BE60F3">
            <w:pPr>
              <w:spacing w:before="20" w:after="20" w:line="240" w:lineRule="auto"/>
              <w:rPr>
                <w:rFonts w:eastAsia="Calibri" w:cs="Arial"/>
                <w:sz w:val="19"/>
                <w:szCs w:val="19"/>
              </w:rPr>
            </w:pPr>
            <w:r w:rsidRPr="00020592">
              <w:rPr>
                <w:rFonts w:eastAsia="Calibri" w:cs="Arial"/>
                <w:sz w:val="19"/>
                <w:szCs w:val="19"/>
              </w:rPr>
              <w:t>Increased capability to prevent money laundering and terrorist financing</w:t>
            </w:r>
          </w:p>
        </w:tc>
        <w:tc>
          <w:tcPr>
            <w:tcW w:w="3180" w:type="dxa"/>
          </w:tcPr>
          <w:p w14:paraId="6327A55A"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Financial transaction agency has increased ability to detect, analyse and prevent money laundering and terrorist financing. </w:t>
            </w:r>
          </w:p>
        </w:tc>
        <w:tc>
          <w:tcPr>
            <w:tcW w:w="4366" w:type="dxa"/>
          </w:tcPr>
          <w:p w14:paraId="02FF5361" w14:textId="64AFB1DF" w:rsidR="00635E8B" w:rsidRPr="00020592" w:rsidRDefault="00635E8B" w:rsidP="00BE60F3">
            <w:pPr>
              <w:spacing w:after="0" w:line="240" w:lineRule="auto"/>
              <w:rPr>
                <w:rFonts w:eastAsia="Calibri" w:cs="Arial"/>
                <w:sz w:val="19"/>
                <w:szCs w:val="19"/>
              </w:rPr>
            </w:pPr>
            <w:r w:rsidRPr="00020592">
              <w:rPr>
                <w:rFonts w:eastAsia="Calibri" w:cs="Arial"/>
                <w:i/>
                <w:sz w:val="19"/>
                <w:szCs w:val="19"/>
              </w:rPr>
              <w:t>….A high level of trust is maintained between the Indonesian and Australian anti</w:t>
            </w:r>
            <w:r w:rsidR="005A3535">
              <w:rPr>
                <w:rFonts w:eastAsia="Calibri" w:cs="Arial"/>
                <w:i/>
                <w:sz w:val="19"/>
                <w:szCs w:val="19"/>
              </w:rPr>
              <w:t>-</w:t>
            </w:r>
            <w:r w:rsidRPr="00020592">
              <w:rPr>
                <w:rFonts w:eastAsia="Calibri" w:cs="Arial"/>
                <w:i/>
                <w:sz w:val="19"/>
                <w:szCs w:val="19"/>
              </w:rPr>
              <w:t>money laundering and counter</w:t>
            </w:r>
            <w:r w:rsidR="005A3535">
              <w:rPr>
                <w:rFonts w:eastAsia="Calibri" w:cs="Arial"/>
                <w:i/>
                <w:sz w:val="19"/>
                <w:szCs w:val="19"/>
              </w:rPr>
              <w:t>-</w:t>
            </w:r>
            <w:r w:rsidRPr="00020592">
              <w:rPr>
                <w:rFonts w:eastAsia="Calibri" w:cs="Arial"/>
                <w:i/>
                <w:sz w:val="19"/>
                <w:szCs w:val="19"/>
              </w:rPr>
              <w:t>terrorism funding institutions</w:t>
            </w:r>
            <w:r w:rsidR="00E31161">
              <w:rPr>
                <w:rFonts w:eastAsia="Calibri" w:cs="Arial"/>
                <w:i/>
                <w:sz w:val="19"/>
                <w:szCs w:val="19"/>
              </w:rPr>
              <w:t>.</w:t>
            </w:r>
          </w:p>
        </w:tc>
      </w:tr>
      <w:tr w:rsidR="00635E8B" w:rsidRPr="00020592" w14:paraId="22EE427B" w14:textId="77777777" w:rsidTr="00020592">
        <w:trPr>
          <w:cantSplit/>
        </w:trPr>
        <w:tc>
          <w:tcPr>
            <w:tcW w:w="1663" w:type="dxa"/>
          </w:tcPr>
          <w:p w14:paraId="43C0372B"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Indonesia leads the region in financial crime prevention</w:t>
            </w:r>
          </w:p>
        </w:tc>
        <w:tc>
          <w:tcPr>
            <w:tcW w:w="3180" w:type="dxa"/>
          </w:tcPr>
          <w:p w14:paraId="40114051"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Indonesia leads financial crime prevention in ASEAN and can transfer knowledge and practice to other countries.</w:t>
            </w:r>
          </w:p>
        </w:tc>
        <w:tc>
          <w:tcPr>
            <w:tcW w:w="4366" w:type="dxa"/>
          </w:tcPr>
          <w:p w14:paraId="134FBA44" w14:textId="119211CD"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…..A high level of trust is maintained between the Indonesian and Australian anti</w:t>
            </w:r>
            <w:r w:rsidR="005A3535">
              <w:rPr>
                <w:rFonts w:eastAsia="Calibri" w:cs="Arial"/>
                <w:i/>
                <w:sz w:val="19"/>
                <w:szCs w:val="19"/>
              </w:rPr>
              <w:t>-</w:t>
            </w:r>
            <w:r w:rsidRPr="00020592">
              <w:rPr>
                <w:rFonts w:eastAsia="Calibri" w:cs="Arial"/>
                <w:i/>
                <w:sz w:val="19"/>
                <w:szCs w:val="19"/>
              </w:rPr>
              <w:t>money laundering and counter</w:t>
            </w:r>
            <w:r w:rsidR="005A3535">
              <w:rPr>
                <w:rFonts w:eastAsia="Calibri" w:cs="Arial"/>
                <w:i/>
                <w:sz w:val="19"/>
                <w:szCs w:val="19"/>
              </w:rPr>
              <w:t>-</w:t>
            </w:r>
            <w:r w:rsidRPr="00020592">
              <w:rPr>
                <w:rFonts w:eastAsia="Calibri" w:cs="Arial"/>
                <w:i/>
                <w:sz w:val="19"/>
                <w:szCs w:val="19"/>
              </w:rPr>
              <w:t>terrorism funding institutions, and they are in turn trusted and respected by other regional stakeholders</w:t>
            </w:r>
            <w:r w:rsidR="00E31161">
              <w:rPr>
                <w:rFonts w:eastAsia="Calibri" w:cs="Arial"/>
                <w:i/>
                <w:sz w:val="19"/>
                <w:szCs w:val="19"/>
              </w:rPr>
              <w:t>.</w:t>
            </w:r>
          </w:p>
          <w:p w14:paraId="4F65AFA2" w14:textId="77777777" w:rsidR="00635E8B" w:rsidRDefault="00635E8B" w:rsidP="00BE60F3">
            <w:pPr>
              <w:spacing w:after="0" w:line="240" w:lineRule="auto"/>
              <w:rPr>
                <w:rFonts w:eastAsia="Calibri" w:cs="Arial"/>
                <w:sz w:val="19"/>
                <w:szCs w:val="19"/>
              </w:rPr>
            </w:pPr>
          </w:p>
          <w:p w14:paraId="74A96E02" w14:textId="23CECB9B" w:rsidR="00020592" w:rsidRPr="00020592" w:rsidRDefault="00020592" w:rsidP="00BE60F3">
            <w:pPr>
              <w:spacing w:after="0" w:line="240" w:lineRule="auto"/>
              <w:rPr>
                <w:rFonts w:eastAsia="Calibri" w:cs="Arial"/>
                <w:sz w:val="19"/>
                <w:szCs w:val="19"/>
              </w:rPr>
            </w:pPr>
          </w:p>
        </w:tc>
      </w:tr>
      <w:tr w:rsidR="00635E8B" w:rsidRPr="00020592" w14:paraId="2A3F3445" w14:textId="77777777" w:rsidTr="00020592">
        <w:trPr>
          <w:cantSplit/>
        </w:trPr>
        <w:tc>
          <w:tcPr>
            <w:tcW w:w="9209" w:type="dxa"/>
            <w:gridSpan w:val="3"/>
            <w:shd w:val="clear" w:color="auto" w:fill="4BACC6"/>
          </w:tcPr>
          <w:p w14:paraId="297936FC" w14:textId="77777777" w:rsidR="00635E8B" w:rsidRPr="00020592" w:rsidRDefault="00635E8B" w:rsidP="00BE60F3">
            <w:pPr>
              <w:spacing w:before="20" w:after="20" w:line="240" w:lineRule="auto"/>
              <w:rPr>
                <w:rFonts w:eastAsia="Calibri" w:cs="Arial"/>
                <w:b/>
                <w:color w:val="FFFFFF"/>
                <w:sz w:val="20"/>
                <w:szCs w:val="20"/>
              </w:rPr>
            </w:pPr>
            <w:r w:rsidRPr="00635E8B">
              <w:rPr>
                <w:rFonts w:eastAsia="Calibri" w:cs="Arial"/>
                <w:b/>
                <w:color w:val="FFFFFF"/>
                <w:sz w:val="20"/>
                <w:szCs w:val="20"/>
              </w:rPr>
              <w:t xml:space="preserve">Breakthrough 3 Improving public finances and government performance </w:t>
            </w:r>
          </w:p>
        </w:tc>
      </w:tr>
      <w:tr w:rsidR="00635E8B" w:rsidRPr="00020592" w14:paraId="020DF8FF" w14:textId="77777777" w:rsidTr="00020592">
        <w:trPr>
          <w:cantSplit/>
        </w:trPr>
        <w:tc>
          <w:tcPr>
            <w:tcW w:w="9209" w:type="dxa"/>
            <w:gridSpan w:val="3"/>
            <w:shd w:val="clear" w:color="auto" w:fill="4BACC6"/>
          </w:tcPr>
          <w:p w14:paraId="55C502EC" w14:textId="77777777" w:rsidR="00635E8B" w:rsidRPr="00020592" w:rsidRDefault="00635E8B" w:rsidP="00BE60F3">
            <w:pPr>
              <w:spacing w:before="20" w:after="20" w:line="240" w:lineRule="auto"/>
              <w:rPr>
                <w:rFonts w:eastAsia="Calibri" w:cs="Arial"/>
                <w:b/>
                <w:color w:val="FFFFFF"/>
                <w:sz w:val="20"/>
                <w:szCs w:val="20"/>
              </w:rPr>
            </w:pPr>
            <w:r w:rsidRPr="00635E8B">
              <w:rPr>
                <w:rFonts w:eastAsia="Calibri" w:cs="Arial"/>
                <w:b/>
                <w:color w:val="FFFFFF"/>
                <w:sz w:val="20"/>
                <w:szCs w:val="20"/>
              </w:rPr>
              <w:t>3.1 More revenue through better tax administration and policy</w:t>
            </w:r>
          </w:p>
        </w:tc>
      </w:tr>
      <w:tr w:rsidR="00635E8B" w:rsidRPr="00020592" w14:paraId="2B00A8B5" w14:textId="77777777" w:rsidTr="00020592">
        <w:trPr>
          <w:cantSplit/>
        </w:trPr>
        <w:tc>
          <w:tcPr>
            <w:tcW w:w="1663" w:type="dxa"/>
          </w:tcPr>
          <w:p w14:paraId="6D15F945" w14:textId="77777777" w:rsidR="00635E8B" w:rsidRPr="00020592" w:rsidRDefault="00635E8B" w:rsidP="00BE60F3">
            <w:pPr>
              <w:spacing w:before="20" w:after="20" w:line="240" w:lineRule="auto"/>
              <w:rPr>
                <w:rFonts w:eastAsia="Calibri" w:cs="Arial"/>
                <w:color w:val="000000"/>
                <w:sz w:val="19"/>
                <w:szCs w:val="19"/>
              </w:rPr>
            </w:pPr>
            <w:r w:rsidRPr="00020592">
              <w:rPr>
                <w:rFonts w:eastAsia="Calibri" w:cs="Arial"/>
                <w:color w:val="000000"/>
                <w:sz w:val="19"/>
                <w:szCs w:val="19"/>
              </w:rPr>
              <w:t>An integrated core tax system (IT and people)</w:t>
            </w:r>
          </w:p>
          <w:p w14:paraId="7F08B377" w14:textId="77777777" w:rsidR="00635E8B" w:rsidRPr="00020592" w:rsidRDefault="00635E8B" w:rsidP="00BE60F3">
            <w:pPr>
              <w:spacing w:after="0" w:line="240" w:lineRule="auto"/>
              <w:rPr>
                <w:rFonts w:eastAsia="Calibri" w:cs="Arial"/>
                <w:sz w:val="19"/>
                <w:szCs w:val="19"/>
              </w:rPr>
            </w:pPr>
          </w:p>
        </w:tc>
        <w:tc>
          <w:tcPr>
            <w:tcW w:w="3180" w:type="dxa"/>
          </w:tcPr>
          <w:p w14:paraId="0BD9E6A0"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A core tax IT system to support key functions of tax administration (registration, filing, payments, audit) together with reorganisation of people and processes to support delivery. </w:t>
            </w:r>
          </w:p>
        </w:tc>
        <w:tc>
          <w:tcPr>
            <w:tcW w:w="4366" w:type="dxa"/>
          </w:tcPr>
          <w:p w14:paraId="41714E7C" w14:textId="77777777" w:rsidR="00635E8B" w:rsidRPr="00020592" w:rsidRDefault="00635E8B" w:rsidP="00BE60F3">
            <w:pPr>
              <w:spacing w:before="20" w:after="20" w:line="240" w:lineRule="auto"/>
              <w:rPr>
                <w:rFonts w:eastAsia="Calibri" w:cs="Arial"/>
                <w:i/>
                <w:sz w:val="19"/>
                <w:szCs w:val="19"/>
              </w:rPr>
            </w:pPr>
            <w:r w:rsidRPr="00020592">
              <w:rPr>
                <w:rFonts w:eastAsia="Calibri" w:cs="Arial"/>
                <w:i/>
                <w:sz w:val="19"/>
                <w:szCs w:val="19"/>
              </w:rPr>
              <w:t xml:space="preserve">…..Core tax system procurement is successful and that appropriate system scoping and design has been included in the Statement of Requirements and the Form of Contract provides for quality assurance, not just cheapness. </w:t>
            </w:r>
          </w:p>
          <w:p w14:paraId="32DCB407" w14:textId="39D962F3" w:rsidR="00635E8B" w:rsidRPr="00020592" w:rsidRDefault="00635E8B" w:rsidP="00BE60F3">
            <w:pPr>
              <w:spacing w:before="20" w:after="20" w:line="240" w:lineRule="auto"/>
              <w:rPr>
                <w:rFonts w:eastAsia="Calibri" w:cs="Arial"/>
                <w:i/>
                <w:sz w:val="19"/>
                <w:szCs w:val="19"/>
              </w:rPr>
            </w:pPr>
            <w:r w:rsidRPr="00020592">
              <w:rPr>
                <w:rFonts w:eastAsia="Calibri" w:cs="Arial"/>
                <w:i/>
                <w:sz w:val="19"/>
                <w:szCs w:val="19"/>
              </w:rPr>
              <w:t>….There is continued political and bureaucratic support for tax reform</w:t>
            </w:r>
            <w:r w:rsidR="00E31161">
              <w:rPr>
                <w:rFonts w:eastAsia="Calibri" w:cs="Arial"/>
                <w:i/>
                <w:sz w:val="19"/>
                <w:szCs w:val="19"/>
              </w:rPr>
              <w:t>.</w:t>
            </w:r>
          </w:p>
          <w:p w14:paraId="57F3473C" w14:textId="77777777"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 Tax officers understand the purpose and elements of the system, how they fit together, and have ownership of and engagement in the process for establishing a new system.</w:t>
            </w:r>
          </w:p>
        </w:tc>
      </w:tr>
      <w:tr w:rsidR="00635E8B" w:rsidRPr="00020592" w14:paraId="5F77E592" w14:textId="77777777" w:rsidTr="00020592">
        <w:trPr>
          <w:cantSplit/>
        </w:trPr>
        <w:tc>
          <w:tcPr>
            <w:tcW w:w="1663" w:type="dxa"/>
          </w:tcPr>
          <w:p w14:paraId="5354EE69" w14:textId="77777777" w:rsidR="00635E8B" w:rsidRPr="00020592" w:rsidRDefault="00635E8B" w:rsidP="00BE60F3">
            <w:pPr>
              <w:spacing w:before="20" w:after="20" w:line="240" w:lineRule="auto"/>
              <w:rPr>
                <w:rFonts w:eastAsia="Calibri" w:cs="Arial"/>
                <w:color w:val="000000"/>
                <w:sz w:val="19"/>
                <w:szCs w:val="19"/>
              </w:rPr>
            </w:pPr>
            <w:r w:rsidRPr="00020592">
              <w:rPr>
                <w:rFonts w:eastAsia="Calibri" w:cs="Arial"/>
                <w:color w:val="000000"/>
                <w:sz w:val="19"/>
                <w:szCs w:val="19"/>
              </w:rPr>
              <w:t>Best-fit business processes to support tax payer compliance</w:t>
            </w:r>
          </w:p>
        </w:tc>
        <w:tc>
          <w:tcPr>
            <w:tcW w:w="3180" w:type="dxa"/>
          </w:tcPr>
          <w:p w14:paraId="7C4B16FF"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Streamline processes for common taxpayer interactions with the system including Value Added Tax payments and refunds together with improved data management. </w:t>
            </w:r>
          </w:p>
        </w:tc>
        <w:tc>
          <w:tcPr>
            <w:tcW w:w="4366" w:type="dxa"/>
          </w:tcPr>
          <w:p w14:paraId="67BE2135" w14:textId="6479D8D0"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 Tax officials are interested in changing their behaviours to support transparent and efficient taxpayer compliance</w:t>
            </w:r>
            <w:r w:rsidR="00E31161">
              <w:rPr>
                <w:rFonts w:eastAsia="Calibri" w:cs="Arial"/>
                <w:i/>
                <w:sz w:val="19"/>
                <w:szCs w:val="19"/>
              </w:rPr>
              <w:t>.</w:t>
            </w:r>
          </w:p>
          <w:p w14:paraId="040CCFBD" w14:textId="36CF618D" w:rsidR="00635E8B" w:rsidRPr="00020592" w:rsidRDefault="00635E8B" w:rsidP="00BE60F3">
            <w:pPr>
              <w:spacing w:before="20" w:after="20" w:line="240" w:lineRule="auto"/>
              <w:rPr>
                <w:rFonts w:eastAsia="Calibri" w:cs="Arial"/>
                <w:i/>
                <w:sz w:val="19"/>
                <w:szCs w:val="19"/>
              </w:rPr>
            </w:pPr>
            <w:r w:rsidRPr="00020592">
              <w:rPr>
                <w:rFonts w:eastAsia="Calibri" w:cs="Arial"/>
                <w:i/>
                <w:sz w:val="19"/>
                <w:szCs w:val="19"/>
              </w:rPr>
              <w:t>….New tax policies and regulations are understood by taxpayers and incentivise compliance; rather than dis-incentivising compliance</w:t>
            </w:r>
            <w:r w:rsidR="00E31161">
              <w:rPr>
                <w:rFonts w:eastAsia="Calibri" w:cs="Arial"/>
                <w:i/>
                <w:sz w:val="19"/>
                <w:szCs w:val="19"/>
              </w:rPr>
              <w:t>.</w:t>
            </w:r>
          </w:p>
          <w:p w14:paraId="7A8A4532" w14:textId="545759DE"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 Tax directorate establishes efficient and user</w:t>
            </w:r>
            <w:r w:rsidR="005A3535">
              <w:rPr>
                <w:rFonts w:eastAsia="Calibri" w:cs="Arial"/>
                <w:i/>
                <w:sz w:val="19"/>
                <w:szCs w:val="19"/>
              </w:rPr>
              <w:t>-</w:t>
            </w:r>
            <w:r w:rsidRPr="00020592">
              <w:rPr>
                <w:rFonts w:eastAsia="Calibri" w:cs="Arial"/>
                <w:i/>
                <w:sz w:val="19"/>
                <w:szCs w:val="19"/>
              </w:rPr>
              <w:t>friendly tax collection systems</w:t>
            </w:r>
            <w:r w:rsidR="00E31161">
              <w:rPr>
                <w:rFonts w:eastAsia="Calibri" w:cs="Arial"/>
                <w:i/>
                <w:sz w:val="19"/>
                <w:szCs w:val="19"/>
              </w:rPr>
              <w:t>.</w:t>
            </w:r>
          </w:p>
          <w:p w14:paraId="258D9091" w14:textId="0EEA7295"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 Tax officers understand good practice in tax administration</w:t>
            </w:r>
            <w:r w:rsidR="00E31161">
              <w:rPr>
                <w:rFonts w:eastAsia="Calibri" w:cs="Arial"/>
                <w:i/>
                <w:sz w:val="19"/>
                <w:szCs w:val="19"/>
              </w:rPr>
              <w:t>.</w:t>
            </w:r>
          </w:p>
          <w:p w14:paraId="42EFD8D3" w14:textId="42ACDC1B" w:rsidR="00635E8B" w:rsidRPr="00020592" w:rsidRDefault="00635E8B" w:rsidP="00BE60F3">
            <w:pPr>
              <w:spacing w:before="20" w:after="20" w:line="240" w:lineRule="auto"/>
              <w:rPr>
                <w:rFonts w:eastAsia="Calibri" w:cs="Arial"/>
                <w:i/>
                <w:sz w:val="19"/>
                <w:szCs w:val="19"/>
              </w:rPr>
            </w:pPr>
            <w:r w:rsidRPr="00020592">
              <w:rPr>
                <w:rFonts w:eastAsia="Calibri" w:cs="Arial"/>
                <w:i/>
                <w:sz w:val="19"/>
                <w:szCs w:val="19"/>
              </w:rPr>
              <w:t>….. Tax officers are motivated and engaged in understanding and owning a new tax system</w:t>
            </w:r>
            <w:r w:rsidR="00E31161">
              <w:rPr>
                <w:rFonts w:eastAsia="Calibri" w:cs="Arial"/>
                <w:i/>
                <w:sz w:val="19"/>
                <w:szCs w:val="19"/>
              </w:rPr>
              <w:t>.</w:t>
            </w:r>
          </w:p>
          <w:p w14:paraId="065E01CE" w14:textId="3544A5CC"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 Tax officials are interested in changing their behaviours to support transparent and efficient taxpayer compliance</w:t>
            </w:r>
            <w:r w:rsidR="00E31161">
              <w:rPr>
                <w:rFonts w:eastAsia="Calibri" w:cs="Arial"/>
                <w:i/>
                <w:sz w:val="19"/>
                <w:szCs w:val="19"/>
              </w:rPr>
              <w:t>.</w:t>
            </w:r>
          </w:p>
        </w:tc>
      </w:tr>
      <w:tr w:rsidR="00635E8B" w:rsidRPr="00020592" w14:paraId="618DA6C2" w14:textId="77777777" w:rsidTr="00020592">
        <w:trPr>
          <w:cantSplit/>
        </w:trPr>
        <w:tc>
          <w:tcPr>
            <w:tcW w:w="1663" w:type="dxa"/>
          </w:tcPr>
          <w:p w14:paraId="15AEF28D" w14:textId="77777777" w:rsidR="00635E8B" w:rsidRPr="00020592" w:rsidRDefault="00635E8B" w:rsidP="00BE60F3">
            <w:pPr>
              <w:spacing w:before="20" w:after="20" w:line="240" w:lineRule="auto"/>
              <w:rPr>
                <w:rFonts w:eastAsia="Calibri" w:cs="Arial"/>
                <w:color w:val="000000"/>
                <w:sz w:val="19"/>
                <w:szCs w:val="19"/>
              </w:rPr>
            </w:pPr>
            <w:r w:rsidRPr="00020592">
              <w:rPr>
                <w:rFonts w:eastAsia="Calibri" w:cs="Arial"/>
                <w:color w:val="000000"/>
                <w:sz w:val="19"/>
                <w:szCs w:val="19"/>
              </w:rPr>
              <w:t>Better tax policy and implementation</w:t>
            </w:r>
          </w:p>
        </w:tc>
        <w:tc>
          <w:tcPr>
            <w:tcW w:w="3180" w:type="dxa"/>
          </w:tcPr>
          <w:p w14:paraId="739BBCE6" w14:textId="72A68388" w:rsidR="00635E8B" w:rsidRPr="00020592" w:rsidRDefault="00635E8B" w:rsidP="00BE60F3">
            <w:pPr>
              <w:spacing w:after="0" w:line="240" w:lineRule="auto"/>
              <w:rPr>
                <w:rFonts w:eastAsia="Calibri" w:cs="Arial"/>
                <w:sz w:val="19"/>
                <w:szCs w:val="19"/>
              </w:rPr>
            </w:pPr>
            <w:r w:rsidRPr="00020592">
              <w:rPr>
                <w:rFonts w:eastAsia="Calibri" w:cs="Arial"/>
                <w:sz w:val="19"/>
                <w:szCs w:val="19"/>
              </w:rPr>
              <w:t>Improvements to tax policy over the medium</w:t>
            </w:r>
            <w:r w:rsidR="005A3535">
              <w:rPr>
                <w:rFonts w:eastAsia="Calibri" w:cs="Arial"/>
                <w:sz w:val="19"/>
                <w:szCs w:val="19"/>
              </w:rPr>
              <w:t xml:space="preserve"> </w:t>
            </w:r>
            <w:r w:rsidRPr="00020592">
              <w:rPr>
                <w:rFonts w:eastAsia="Calibri" w:cs="Arial"/>
                <w:sz w:val="19"/>
                <w:szCs w:val="19"/>
              </w:rPr>
              <w:t xml:space="preserve">term to deliver increased revenue. This could include evaluation of tax rates, tax base (less exemptions) and potentially new taxes. </w:t>
            </w:r>
          </w:p>
        </w:tc>
        <w:tc>
          <w:tcPr>
            <w:tcW w:w="4366" w:type="dxa"/>
          </w:tcPr>
          <w:p w14:paraId="38AAADCE" w14:textId="77777777"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…..Indonesian government institution senior officials (leadership team) are committed to better tax policy and are prepared and supported to stay the course.</w:t>
            </w:r>
          </w:p>
          <w:p w14:paraId="06DA8132" w14:textId="610549CF"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…..Incentives for poor policy are acknowledged and understood</w:t>
            </w:r>
            <w:r w:rsidR="00E31161">
              <w:rPr>
                <w:rFonts w:eastAsia="Calibri" w:cs="Arial"/>
                <w:i/>
                <w:sz w:val="19"/>
                <w:szCs w:val="19"/>
              </w:rPr>
              <w:t>.</w:t>
            </w:r>
          </w:p>
          <w:p w14:paraId="45CFBFD0" w14:textId="2FE7CE0D" w:rsidR="00635E8B" w:rsidRDefault="00635E8B" w:rsidP="00BE60F3">
            <w:pPr>
              <w:spacing w:after="0" w:line="240" w:lineRule="auto"/>
              <w:rPr>
                <w:rFonts w:eastAsia="Calibri" w:cs="Arial"/>
                <w:i/>
                <w:sz w:val="19"/>
                <w:szCs w:val="19"/>
              </w:rPr>
            </w:pPr>
            <w:r w:rsidRPr="00020592">
              <w:rPr>
                <w:rFonts w:eastAsia="Calibri" w:cs="Arial"/>
                <w:i/>
                <w:sz w:val="19"/>
                <w:szCs w:val="19"/>
              </w:rPr>
              <w:t>….Policy development regulations are followed</w:t>
            </w:r>
            <w:r w:rsidR="00E31161">
              <w:rPr>
                <w:rFonts w:eastAsia="Calibri" w:cs="Arial"/>
                <w:i/>
                <w:sz w:val="19"/>
                <w:szCs w:val="19"/>
              </w:rPr>
              <w:t>.</w:t>
            </w:r>
          </w:p>
          <w:p w14:paraId="079B07FA" w14:textId="48A039A1" w:rsidR="00020592" w:rsidRPr="00020592" w:rsidRDefault="00020592" w:rsidP="00BE60F3">
            <w:pPr>
              <w:spacing w:after="0" w:line="240" w:lineRule="auto"/>
              <w:rPr>
                <w:rFonts w:eastAsia="Calibri" w:cs="Arial"/>
                <w:sz w:val="19"/>
                <w:szCs w:val="19"/>
              </w:rPr>
            </w:pPr>
          </w:p>
        </w:tc>
      </w:tr>
      <w:tr w:rsidR="00635E8B" w:rsidRPr="00020592" w14:paraId="3B48C2C2" w14:textId="77777777" w:rsidTr="00020592">
        <w:trPr>
          <w:cantSplit/>
        </w:trPr>
        <w:tc>
          <w:tcPr>
            <w:tcW w:w="9209" w:type="dxa"/>
            <w:gridSpan w:val="3"/>
            <w:shd w:val="clear" w:color="auto" w:fill="4BACC6"/>
          </w:tcPr>
          <w:p w14:paraId="12434F60" w14:textId="77777777" w:rsidR="00635E8B" w:rsidRPr="00020592" w:rsidRDefault="00635E8B" w:rsidP="00BE60F3">
            <w:pPr>
              <w:spacing w:before="20" w:after="20" w:line="240" w:lineRule="auto"/>
              <w:rPr>
                <w:rFonts w:eastAsia="Calibri" w:cs="Arial"/>
                <w:b/>
                <w:color w:val="FFFFFF"/>
                <w:sz w:val="20"/>
                <w:szCs w:val="20"/>
              </w:rPr>
            </w:pPr>
            <w:r w:rsidRPr="00635E8B">
              <w:rPr>
                <w:rFonts w:eastAsia="Calibri" w:cs="Arial"/>
                <w:b/>
                <w:color w:val="FFFFFF"/>
                <w:sz w:val="20"/>
                <w:szCs w:val="20"/>
              </w:rPr>
              <w:t>3.2 More effective spending with better budget systems</w:t>
            </w:r>
          </w:p>
        </w:tc>
      </w:tr>
      <w:tr w:rsidR="00635E8B" w:rsidRPr="00020592" w14:paraId="50BCBE93" w14:textId="77777777" w:rsidTr="00020592">
        <w:trPr>
          <w:cantSplit/>
        </w:trPr>
        <w:tc>
          <w:tcPr>
            <w:tcW w:w="1663" w:type="dxa"/>
          </w:tcPr>
          <w:p w14:paraId="71645EBF" w14:textId="77777777" w:rsidR="00635E8B" w:rsidRPr="00020592" w:rsidRDefault="00635E8B" w:rsidP="00BE60F3">
            <w:pPr>
              <w:spacing w:before="20" w:after="20" w:line="240" w:lineRule="auto"/>
              <w:rPr>
                <w:rFonts w:eastAsia="Calibri" w:cs="Arial"/>
                <w:color w:val="000000"/>
                <w:sz w:val="19"/>
                <w:szCs w:val="19"/>
              </w:rPr>
            </w:pPr>
            <w:r w:rsidRPr="00020592">
              <w:rPr>
                <w:rFonts w:eastAsia="Calibri" w:cs="Arial"/>
                <w:color w:val="000000"/>
                <w:sz w:val="19"/>
                <w:szCs w:val="19"/>
              </w:rPr>
              <w:t>Better spending policy design and implementation</w:t>
            </w:r>
          </w:p>
        </w:tc>
        <w:tc>
          <w:tcPr>
            <w:tcW w:w="3180" w:type="dxa"/>
          </w:tcPr>
          <w:p w14:paraId="3293B029"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Allocation of government spending across line ministries and within portfolios to achieve strong, sustainable inclusive growth. </w:t>
            </w:r>
          </w:p>
        </w:tc>
        <w:tc>
          <w:tcPr>
            <w:tcW w:w="4366" w:type="dxa"/>
          </w:tcPr>
          <w:p w14:paraId="66D9E896" w14:textId="40C8CB1D" w:rsidR="00635E8B" w:rsidRPr="00020592" w:rsidRDefault="00635E8B" w:rsidP="00BE60F3">
            <w:pPr>
              <w:spacing w:after="0" w:line="240" w:lineRule="auto"/>
              <w:rPr>
                <w:rFonts w:eastAsia="Calibri" w:cs="Arial"/>
                <w:sz w:val="19"/>
                <w:szCs w:val="19"/>
              </w:rPr>
            </w:pPr>
            <w:r w:rsidRPr="00020592">
              <w:rPr>
                <w:rFonts w:eastAsia="Calibri" w:cs="Arial"/>
                <w:i/>
                <w:sz w:val="19"/>
                <w:szCs w:val="19"/>
              </w:rPr>
              <w:t>…..Ministry of Finance officers are motivated and supported to design and implement good</w:t>
            </w:r>
            <w:r w:rsidR="005A3535">
              <w:rPr>
                <w:rFonts w:eastAsia="Calibri" w:cs="Arial"/>
                <w:i/>
                <w:sz w:val="19"/>
                <w:szCs w:val="19"/>
              </w:rPr>
              <w:t>-</w:t>
            </w:r>
            <w:r w:rsidRPr="00020592">
              <w:rPr>
                <w:rFonts w:eastAsia="Calibri" w:cs="Arial"/>
                <w:i/>
                <w:sz w:val="19"/>
                <w:szCs w:val="19"/>
              </w:rPr>
              <w:t>fit spending policies</w:t>
            </w:r>
            <w:r w:rsidR="00E31161">
              <w:rPr>
                <w:rFonts w:eastAsia="Calibri" w:cs="Arial"/>
                <w:i/>
                <w:sz w:val="19"/>
                <w:szCs w:val="19"/>
              </w:rPr>
              <w:t>.</w:t>
            </w:r>
          </w:p>
        </w:tc>
      </w:tr>
      <w:tr w:rsidR="00635E8B" w:rsidRPr="00020592" w14:paraId="0015C35C" w14:textId="77777777" w:rsidTr="00020592">
        <w:trPr>
          <w:cantSplit/>
        </w:trPr>
        <w:tc>
          <w:tcPr>
            <w:tcW w:w="1663" w:type="dxa"/>
          </w:tcPr>
          <w:p w14:paraId="73E7DF72" w14:textId="77777777" w:rsidR="00635E8B" w:rsidRPr="00020592" w:rsidRDefault="00635E8B" w:rsidP="00BE60F3">
            <w:pPr>
              <w:spacing w:before="20" w:after="20" w:line="240" w:lineRule="auto"/>
              <w:rPr>
                <w:rFonts w:eastAsia="Calibri" w:cs="Arial"/>
                <w:color w:val="000000"/>
                <w:sz w:val="19"/>
                <w:szCs w:val="19"/>
              </w:rPr>
            </w:pPr>
            <w:r w:rsidRPr="00020592">
              <w:rPr>
                <w:rFonts w:eastAsia="Calibri" w:cs="Arial"/>
                <w:color w:val="000000"/>
                <w:sz w:val="19"/>
                <w:szCs w:val="19"/>
              </w:rPr>
              <w:t xml:space="preserve">Integrated planning and budget system </w:t>
            </w:r>
          </w:p>
        </w:tc>
        <w:tc>
          <w:tcPr>
            <w:tcW w:w="3180" w:type="dxa"/>
          </w:tcPr>
          <w:p w14:paraId="217414A6"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Core IT system for both planning and budgeting that supports a Medium-Term Expenditure Framework together with reorganisation of people and processes to support delivery. </w:t>
            </w:r>
          </w:p>
        </w:tc>
        <w:tc>
          <w:tcPr>
            <w:tcW w:w="4366" w:type="dxa"/>
          </w:tcPr>
          <w:p w14:paraId="7D48DE12" w14:textId="49AFD516"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…Ministry of Finance leadership maintains genuine support for effective planning and public financial management through strong systems</w:t>
            </w:r>
            <w:r w:rsidR="00E31161">
              <w:rPr>
                <w:rFonts w:eastAsia="Calibri" w:cs="Arial"/>
                <w:i/>
                <w:sz w:val="19"/>
                <w:szCs w:val="19"/>
              </w:rPr>
              <w:t>.</w:t>
            </w:r>
          </w:p>
          <w:p w14:paraId="6F7C5A76" w14:textId="1B77E383"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….Ministry of Finance and Ministry of Planning (Bappenas) officers understand the elements of a core integrated spending system and how they fit together and apply that knowledge</w:t>
            </w:r>
            <w:r w:rsidR="00E31161">
              <w:rPr>
                <w:rFonts w:eastAsia="Calibri" w:cs="Arial"/>
                <w:i/>
                <w:sz w:val="19"/>
                <w:szCs w:val="19"/>
              </w:rPr>
              <w:t>.</w:t>
            </w:r>
          </w:p>
          <w:p w14:paraId="10A75FE0" w14:textId="39E0DED9"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….Ministry of Finance and Ministry of Planning (Bappenas) officers are supported by leadership to understand and effectively practice integrated spending</w:t>
            </w:r>
            <w:r w:rsidR="00E31161">
              <w:rPr>
                <w:rFonts w:eastAsia="Calibri" w:cs="Arial"/>
                <w:i/>
                <w:sz w:val="19"/>
                <w:szCs w:val="19"/>
              </w:rPr>
              <w:t>.</w:t>
            </w:r>
          </w:p>
        </w:tc>
      </w:tr>
      <w:tr w:rsidR="00635E8B" w:rsidRPr="00020592" w14:paraId="6DB3B659" w14:textId="77777777" w:rsidTr="00020592">
        <w:trPr>
          <w:cantSplit/>
        </w:trPr>
        <w:tc>
          <w:tcPr>
            <w:tcW w:w="1663" w:type="dxa"/>
          </w:tcPr>
          <w:p w14:paraId="5DF44FA0" w14:textId="77777777" w:rsidR="00635E8B" w:rsidRPr="00020592" w:rsidRDefault="00635E8B" w:rsidP="00BE60F3">
            <w:pPr>
              <w:spacing w:before="20" w:after="20" w:line="240" w:lineRule="auto"/>
              <w:rPr>
                <w:rFonts w:eastAsia="Calibri" w:cs="Arial"/>
                <w:color w:val="000000"/>
                <w:sz w:val="19"/>
                <w:szCs w:val="19"/>
              </w:rPr>
            </w:pPr>
            <w:r w:rsidRPr="00020592">
              <w:rPr>
                <w:rFonts w:eastAsia="Calibri" w:cs="Arial"/>
                <w:color w:val="000000"/>
                <w:sz w:val="19"/>
                <w:szCs w:val="19"/>
              </w:rPr>
              <w:t>Consolidated national – regional accounts</w:t>
            </w:r>
          </w:p>
          <w:p w14:paraId="009F979B" w14:textId="77777777" w:rsidR="00635E8B" w:rsidRPr="00020592" w:rsidRDefault="00635E8B" w:rsidP="00BE60F3">
            <w:pPr>
              <w:spacing w:after="0" w:line="240" w:lineRule="auto"/>
              <w:rPr>
                <w:rFonts w:eastAsia="Calibri" w:cs="Arial"/>
                <w:sz w:val="19"/>
                <w:szCs w:val="19"/>
              </w:rPr>
            </w:pPr>
          </w:p>
        </w:tc>
        <w:tc>
          <w:tcPr>
            <w:tcW w:w="3180" w:type="dxa"/>
          </w:tcPr>
          <w:p w14:paraId="0587B455" w14:textId="4BF87072" w:rsidR="00635E8B" w:rsidRPr="00020592" w:rsidRDefault="00635E8B" w:rsidP="00BE60F3">
            <w:pPr>
              <w:spacing w:after="0" w:line="240" w:lineRule="auto"/>
              <w:rPr>
                <w:rFonts w:eastAsia="Calibri" w:cs="Arial"/>
                <w:sz w:val="19"/>
                <w:szCs w:val="19"/>
              </w:rPr>
            </w:pPr>
            <w:r w:rsidRPr="00020592">
              <w:rPr>
                <w:rFonts w:eastAsia="Calibri" w:cs="Arial"/>
                <w:sz w:val="19"/>
                <w:szCs w:val="19"/>
              </w:rPr>
              <w:t>Consolidated reporting of actual regional and national expenditure to present a comprehensive evidence</w:t>
            </w:r>
            <w:r w:rsidR="005A3535">
              <w:rPr>
                <w:rFonts w:eastAsia="Calibri" w:cs="Arial"/>
                <w:sz w:val="19"/>
                <w:szCs w:val="19"/>
              </w:rPr>
              <w:t xml:space="preserve"> </w:t>
            </w:r>
            <w:r w:rsidRPr="00020592">
              <w:rPr>
                <w:rFonts w:eastAsia="Calibri" w:cs="Arial"/>
                <w:sz w:val="19"/>
                <w:szCs w:val="19"/>
              </w:rPr>
              <w:t xml:space="preserve">base for spending decisions. </w:t>
            </w:r>
          </w:p>
        </w:tc>
        <w:tc>
          <w:tcPr>
            <w:tcW w:w="4366" w:type="dxa"/>
          </w:tcPr>
          <w:p w14:paraId="421DDC00" w14:textId="77777777" w:rsidR="00635E8B" w:rsidRPr="00020592" w:rsidRDefault="00635E8B" w:rsidP="00BE60F3">
            <w:pPr>
              <w:spacing w:before="20" w:after="20" w:line="240" w:lineRule="auto"/>
              <w:rPr>
                <w:rFonts w:eastAsia="Calibri" w:cs="Arial"/>
                <w:i/>
                <w:sz w:val="19"/>
                <w:szCs w:val="19"/>
              </w:rPr>
            </w:pPr>
            <w:r w:rsidRPr="00020592">
              <w:rPr>
                <w:rFonts w:eastAsia="Calibri" w:cs="Arial"/>
                <w:i/>
                <w:sz w:val="19"/>
                <w:szCs w:val="19"/>
              </w:rPr>
              <w:t>…..There is sufficient motivation and capability at central and local government level to collate and share budget data.</w:t>
            </w:r>
          </w:p>
          <w:p w14:paraId="7686996B" w14:textId="77777777" w:rsidR="00635E8B" w:rsidRDefault="00635E8B" w:rsidP="00BE60F3">
            <w:pPr>
              <w:spacing w:after="0" w:line="240" w:lineRule="auto"/>
              <w:rPr>
                <w:rFonts w:eastAsia="Calibri" w:cs="Arial"/>
                <w:i/>
                <w:sz w:val="19"/>
                <w:szCs w:val="19"/>
              </w:rPr>
            </w:pPr>
            <w:r w:rsidRPr="00020592">
              <w:rPr>
                <w:rFonts w:eastAsia="Calibri" w:cs="Arial"/>
                <w:i/>
                <w:sz w:val="19"/>
                <w:szCs w:val="19"/>
              </w:rPr>
              <w:t>….There is an appropriate system in place that enables effective data collection.</w:t>
            </w:r>
          </w:p>
          <w:p w14:paraId="0E8DB70A" w14:textId="14C8CDA9" w:rsidR="00020592" w:rsidRPr="00020592" w:rsidRDefault="00020592" w:rsidP="00BE60F3">
            <w:pPr>
              <w:spacing w:after="0" w:line="240" w:lineRule="auto"/>
              <w:rPr>
                <w:rFonts w:eastAsia="Calibri" w:cs="Arial"/>
                <w:sz w:val="19"/>
                <w:szCs w:val="19"/>
              </w:rPr>
            </w:pPr>
          </w:p>
        </w:tc>
      </w:tr>
      <w:tr w:rsidR="00635E8B" w:rsidRPr="00020592" w14:paraId="74986CD4" w14:textId="77777777" w:rsidTr="00020592">
        <w:trPr>
          <w:cantSplit/>
        </w:trPr>
        <w:tc>
          <w:tcPr>
            <w:tcW w:w="9209" w:type="dxa"/>
            <w:gridSpan w:val="3"/>
            <w:shd w:val="clear" w:color="auto" w:fill="4BACC6"/>
          </w:tcPr>
          <w:p w14:paraId="22676B9F" w14:textId="77777777" w:rsidR="00635E8B" w:rsidRPr="00020592" w:rsidRDefault="00635E8B" w:rsidP="00BE60F3">
            <w:pPr>
              <w:spacing w:before="20" w:after="20" w:line="240" w:lineRule="auto"/>
              <w:rPr>
                <w:rFonts w:eastAsia="Calibri" w:cs="Arial"/>
                <w:b/>
                <w:color w:val="FFFFFF"/>
                <w:sz w:val="20"/>
                <w:szCs w:val="20"/>
              </w:rPr>
            </w:pPr>
            <w:r w:rsidRPr="00635E8B">
              <w:rPr>
                <w:rFonts w:eastAsia="Calibri" w:cs="Arial"/>
                <w:b/>
                <w:color w:val="FFFFFF"/>
                <w:sz w:val="20"/>
                <w:szCs w:val="20"/>
              </w:rPr>
              <w:t>3.3 Greater transparency and accountability of government</w:t>
            </w:r>
          </w:p>
        </w:tc>
      </w:tr>
      <w:tr w:rsidR="00635E8B" w:rsidRPr="00020592" w14:paraId="63D92DC0" w14:textId="77777777" w:rsidTr="00020592">
        <w:trPr>
          <w:cantSplit/>
        </w:trPr>
        <w:tc>
          <w:tcPr>
            <w:tcW w:w="1663" w:type="dxa"/>
          </w:tcPr>
          <w:p w14:paraId="1693F874" w14:textId="7655025B" w:rsidR="00635E8B" w:rsidRPr="00020592" w:rsidRDefault="00635E8B" w:rsidP="00BE60F3">
            <w:pPr>
              <w:spacing w:before="20" w:after="20" w:line="240" w:lineRule="auto"/>
              <w:rPr>
                <w:rFonts w:eastAsia="Calibri" w:cs="Arial"/>
                <w:color w:val="000000"/>
                <w:sz w:val="19"/>
                <w:szCs w:val="19"/>
              </w:rPr>
            </w:pPr>
            <w:r w:rsidRPr="00020592">
              <w:rPr>
                <w:rFonts w:eastAsia="Calibri" w:cs="Arial"/>
                <w:color w:val="000000"/>
                <w:sz w:val="19"/>
                <w:szCs w:val="19"/>
              </w:rPr>
              <w:t>High</w:t>
            </w:r>
            <w:r w:rsidR="005A3535">
              <w:rPr>
                <w:rFonts w:eastAsia="Calibri" w:cs="Arial"/>
                <w:color w:val="000000"/>
                <w:sz w:val="19"/>
                <w:szCs w:val="19"/>
              </w:rPr>
              <w:t>-</w:t>
            </w:r>
            <w:r w:rsidRPr="00020592">
              <w:rPr>
                <w:rFonts w:eastAsia="Calibri" w:cs="Arial"/>
                <w:color w:val="000000"/>
                <w:sz w:val="19"/>
                <w:szCs w:val="19"/>
              </w:rPr>
              <w:t>quality performance and financial audits</w:t>
            </w:r>
          </w:p>
        </w:tc>
        <w:tc>
          <w:tcPr>
            <w:tcW w:w="3180" w:type="dxa"/>
          </w:tcPr>
          <w:p w14:paraId="45AF424C"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Capability of audit agency to conduct and quality assure financial and performance-based audits is enhanced. </w:t>
            </w:r>
          </w:p>
        </w:tc>
        <w:tc>
          <w:tcPr>
            <w:tcW w:w="4366" w:type="dxa"/>
          </w:tcPr>
          <w:p w14:paraId="6F8F3460" w14:textId="6E056329" w:rsidR="00635E8B" w:rsidRPr="00020592" w:rsidRDefault="00635E8B" w:rsidP="00BE60F3">
            <w:pPr>
              <w:spacing w:after="0" w:line="240" w:lineRule="auto"/>
              <w:rPr>
                <w:rFonts w:eastAsia="Calibri" w:cs="Arial"/>
                <w:sz w:val="19"/>
                <w:szCs w:val="19"/>
              </w:rPr>
            </w:pPr>
            <w:r w:rsidRPr="00020592">
              <w:rPr>
                <w:rFonts w:eastAsia="Calibri" w:cs="Arial"/>
                <w:i/>
                <w:sz w:val="19"/>
                <w:szCs w:val="19"/>
              </w:rPr>
              <w:t>….. Audit agency officers are sufficiently trusted by other institutions to enable access for Performance and Financial Audits</w:t>
            </w:r>
            <w:r w:rsidR="00E31161">
              <w:rPr>
                <w:rFonts w:eastAsia="Calibri" w:cs="Arial"/>
                <w:i/>
                <w:sz w:val="19"/>
                <w:szCs w:val="19"/>
              </w:rPr>
              <w:t>.</w:t>
            </w:r>
          </w:p>
        </w:tc>
      </w:tr>
      <w:tr w:rsidR="00635E8B" w:rsidRPr="00020592" w14:paraId="087631CB" w14:textId="77777777" w:rsidTr="00020592">
        <w:trPr>
          <w:cantSplit/>
        </w:trPr>
        <w:tc>
          <w:tcPr>
            <w:tcW w:w="1663" w:type="dxa"/>
          </w:tcPr>
          <w:p w14:paraId="1DBD07BA" w14:textId="77777777" w:rsidR="00635E8B" w:rsidRPr="00020592" w:rsidRDefault="00635E8B" w:rsidP="00BE60F3">
            <w:pPr>
              <w:spacing w:after="0" w:line="240" w:lineRule="auto"/>
              <w:rPr>
                <w:rFonts w:eastAsia="Calibri" w:cs="Arial"/>
                <w:sz w:val="19"/>
                <w:szCs w:val="19"/>
              </w:rPr>
            </w:pPr>
            <w:r w:rsidRPr="00020592">
              <w:rPr>
                <w:rFonts w:eastAsia="Calibri" w:cs="Arial"/>
                <w:color w:val="000000"/>
                <w:sz w:val="19"/>
                <w:szCs w:val="19"/>
              </w:rPr>
              <w:t>Ombudsman supports and guides government agencies</w:t>
            </w:r>
          </w:p>
        </w:tc>
        <w:tc>
          <w:tcPr>
            <w:tcW w:w="3180" w:type="dxa"/>
          </w:tcPr>
          <w:p w14:paraId="77DE3067" w14:textId="20D81045" w:rsidR="00635E8B" w:rsidRPr="00020592" w:rsidRDefault="00635E8B" w:rsidP="00BE60F3">
            <w:pPr>
              <w:spacing w:after="0" w:line="240" w:lineRule="auto"/>
              <w:rPr>
                <w:rFonts w:eastAsia="Calibri" w:cs="Arial"/>
                <w:sz w:val="19"/>
                <w:szCs w:val="19"/>
              </w:rPr>
            </w:pPr>
            <w:r w:rsidRPr="00020592">
              <w:rPr>
                <w:rFonts w:eastAsia="Calibri" w:cs="Arial"/>
                <w:sz w:val="19"/>
                <w:szCs w:val="19"/>
              </w:rPr>
              <w:t>Ombudsman develops goo</w:t>
            </w:r>
            <w:r w:rsidR="005A3535">
              <w:rPr>
                <w:rFonts w:eastAsia="Calibri" w:cs="Arial"/>
                <w:sz w:val="19"/>
                <w:szCs w:val="19"/>
              </w:rPr>
              <w:t xml:space="preserve">d </w:t>
            </w:r>
            <w:r w:rsidRPr="00020592">
              <w:rPr>
                <w:rFonts w:eastAsia="Calibri" w:cs="Arial"/>
                <w:sz w:val="19"/>
                <w:szCs w:val="19"/>
              </w:rPr>
              <w:t xml:space="preserve">practice in complaints handling and helps other agencies adopt this practice. </w:t>
            </w:r>
          </w:p>
        </w:tc>
        <w:tc>
          <w:tcPr>
            <w:tcW w:w="4366" w:type="dxa"/>
          </w:tcPr>
          <w:p w14:paraId="21F3C459" w14:textId="605B9C34"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…..Ombudsman is seen as a trusted institution and has sufficient resources to undertake effective engagement with Indonesian government agencies</w:t>
            </w:r>
            <w:r w:rsidR="00E31161">
              <w:rPr>
                <w:rFonts w:eastAsia="Calibri" w:cs="Arial"/>
                <w:i/>
                <w:sz w:val="19"/>
                <w:szCs w:val="19"/>
              </w:rPr>
              <w:t>.</w:t>
            </w:r>
          </w:p>
          <w:p w14:paraId="1FC05796" w14:textId="77777777"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…..better internal complaint handling changes behaviour in Indonesian agencies.</w:t>
            </w:r>
          </w:p>
          <w:p w14:paraId="30ECD362" w14:textId="26C4FE1C"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…..Whole</w:t>
            </w:r>
            <w:r w:rsidR="005A3535">
              <w:rPr>
                <w:rFonts w:eastAsia="Calibri" w:cs="Arial"/>
                <w:i/>
                <w:sz w:val="19"/>
                <w:szCs w:val="19"/>
              </w:rPr>
              <w:t>-</w:t>
            </w:r>
            <w:r w:rsidRPr="00020592">
              <w:rPr>
                <w:rFonts w:eastAsia="Calibri" w:cs="Arial"/>
                <w:i/>
                <w:sz w:val="19"/>
                <w:szCs w:val="19"/>
              </w:rPr>
              <w:t>of</w:t>
            </w:r>
            <w:r w:rsidR="005A3535">
              <w:rPr>
                <w:rFonts w:eastAsia="Calibri" w:cs="Arial"/>
                <w:i/>
                <w:sz w:val="19"/>
                <w:szCs w:val="19"/>
              </w:rPr>
              <w:t>-g</w:t>
            </w:r>
            <w:r w:rsidRPr="00020592">
              <w:rPr>
                <w:rFonts w:eastAsia="Calibri" w:cs="Arial"/>
                <w:i/>
                <w:sz w:val="19"/>
                <w:szCs w:val="19"/>
              </w:rPr>
              <w:t>overnment internal complaint handling model is developed</w:t>
            </w:r>
            <w:r w:rsidR="00E31161">
              <w:rPr>
                <w:rFonts w:eastAsia="Calibri" w:cs="Arial"/>
                <w:i/>
                <w:sz w:val="19"/>
                <w:szCs w:val="19"/>
              </w:rPr>
              <w:t>.</w:t>
            </w:r>
          </w:p>
        </w:tc>
      </w:tr>
      <w:tr w:rsidR="00635E8B" w:rsidRPr="00020592" w14:paraId="6C3E7697" w14:textId="77777777" w:rsidTr="00020592">
        <w:trPr>
          <w:cantSplit/>
        </w:trPr>
        <w:tc>
          <w:tcPr>
            <w:tcW w:w="1663" w:type="dxa"/>
          </w:tcPr>
          <w:p w14:paraId="3960EE65" w14:textId="77777777" w:rsidR="00635E8B" w:rsidRPr="00020592" w:rsidRDefault="00635E8B" w:rsidP="00BE60F3">
            <w:pPr>
              <w:spacing w:before="20" w:after="20" w:line="240" w:lineRule="auto"/>
              <w:rPr>
                <w:rFonts w:eastAsia="Calibri" w:cs="Arial"/>
                <w:color w:val="FFFFFF"/>
                <w:sz w:val="19"/>
                <w:szCs w:val="19"/>
              </w:rPr>
            </w:pPr>
            <w:r w:rsidRPr="00594F6F">
              <w:rPr>
                <w:rFonts w:eastAsia="Calibri" w:cs="Arial"/>
                <w:sz w:val="19"/>
                <w:szCs w:val="19"/>
              </w:rPr>
              <w:t xml:space="preserve">Stronger public service administration agencies </w:t>
            </w:r>
          </w:p>
        </w:tc>
        <w:tc>
          <w:tcPr>
            <w:tcW w:w="3180" w:type="dxa"/>
          </w:tcPr>
          <w:p w14:paraId="56A674A1"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Capability of public administration agencies to support strong, sustainable and inclusive growth is enhanced. </w:t>
            </w:r>
          </w:p>
        </w:tc>
        <w:tc>
          <w:tcPr>
            <w:tcW w:w="4366" w:type="dxa"/>
          </w:tcPr>
          <w:p w14:paraId="4AD51975" w14:textId="6699907A"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….Australian Public Service Commission remains a trusted form of support to the central public service administration agencies of the Indonesian government (Civil Service Commission, Min. Admin &amp; Bureaucratic Reform, National Institute Public Admin, State Personnel Board)</w:t>
            </w:r>
            <w:r w:rsidR="00E31161">
              <w:rPr>
                <w:rFonts w:eastAsia="Calibri" w:cs="Arial"/>
                <w:i/>
                <w:sz w:val="19"/>
                <w:szCs w:val="19"/>
              </w:rPr>
              <w:t>.</w:t>
            </w:r>
          </w:p>
        </w:tc>
      </w:tr>
      <w:tr w:rsidR="00635E8B" w:rsidRPr="00020592" w14:paraId="64E4160F" w14:textId="77777777" w:rsidTr="00E31161">
        <w:trPr>
          <w:cantSplit/>
        </w:trPr>
        <w:tc>
          <w:tcPr>
            <w:tcW w:w="9209" w:type="dxa"/>
            <w:gridSpan w:val="3"/>
            <w:shd w:val="clear" w:color="auto" w:fill="20ABCA"/>
          </w:tcPr>
          <w:p w14:paraId="33587DEF" w14:textId="0CA8EB52" w:rsidR="00635E8B" w:rsidRPr="00020592" w:rsidRDefault="00635E8B" w:rsidP="00BE60F3">
            <w:pPr>
              <w:spacing w:before="20" w:after="20" w:line="240" w:lineRule="auto"/>
              <w:rPr>
                <w:rFonts w:eastAsia="Calibri" w:cs="Arial"/>
                <w:b/>
                <w:color w:val="FFFFFF"/>
                <w:sz w:val="20"/>
                <w:szCs w:val="20"/>
              </w:rPr>
            </w:pPr>
            <w:r w:rsidRPr="00635E8B">
              <w:rPr>
                <w:rFonts w:eastAsia="Calibri" w:cs="Arial"/>
                <w:b/>
                <w:color w:val="FFFFFF"/>
                <w:sz w:val="20"/>
                <w:szCs w:val="20"/>
              </w:rPr>
              <w:t>Cross</w:t>
            </w:r>
            <w:r w:rsidR="005A3535">
              <w:rPr>
                <w:rFonts w:eastAsia="Calibri" w:cs="Arial"/>
                <w:b/>
                <w:color w:val="FFFFFF"/>
                <w:sz w:val="20"/>
                <w:szCs w:val="20"/>
              </w:rPr>
              <w:t>-</w:t>
            </w:r>
            <w:r w:rsidRPr="00635E8B">
              <w:rPr>
                <w:rFonts w:eastAsia="Calibri" w:cs="Arial"/>
                <w:b/>
                <w:color w:val="FFFFFF"/>
                <w:sz w:val="20"/>
                <w:szCs w:val="20"/>
              </w:rPr>
              <w:t>cutting intermediate outcomes</w:t>
            </w:r>
          </w:p>
        </w:tc>
      </w:tr>
      <w:tr w:rsidR="00635E8B" w:rsidRPr="00020592" w14:paraId="50CCAE4B" w14:textId="77777777" w:rsidTr="00020592">
        <w:trPr>
          <w:cantSplit/>
        </w:trPr>
        <w:tc>
          <w:tcPr>
            <w:tcW w:w="1663" w:type="dxa"/>
          </w:tcPr>
          <w:p w14:paraId="1D2F2E4B" w14:textId="77777777" w:rsidR="00635E8B" w:rsidRPr="00020592" w:rsidRDefault="00635E8B" w:rsidP="00BE60F3">
            <w:pPr>
              <w:spacing w:after="0" w:line="240" w:lineRule="auto"/>
              <w:rPr>
                <w:rFonts w:eastAsia="Calibri" w:cs="Arial"/>
                <w:color w:val="000000"/>
                <w:sz w:val="19"/>
                <w:szCs w:val="19"/>
              </w:rPr>
            </w:pPr>
            <w:r w:rsidRPr="00020592">
              <w:rPr>
                <w:rFonts w:eastAsia="Calibri" w:cs="Arial"/>
                <w:color w:val="000000"/>
                <w:sz w:val="19"/>
                <w:szCs w:val="19"/>
              </w:rPr>
              <w:t>Increasingly capable government institutions</w:t>
            </w:r>
          </w:p>
        </w:tc>
        <w:tc>
          <w:tcPr>
            <w:tcW w:w="3180" w:type="dxa"/>
          </w:tcPr>
          <w:p w14:paraId="360FBBDA"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Increased capability of Indonesia’s institutions to safeguard stability, increase growth and tackle emerging issues in a changing global and domestic landscape. </w:t>
            </w:r>
          </w:p>
        </w:tc>
        <w:tc>
          <w:tcPr>
            <w:tcW w:w="4366" w:type="dxa"/>
          </w:tcPr>
          <w:p w14:paraId="14A67469" w14:textId="05FE7EB2"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….Indonesian government institutions remain interested in engaging with Prospera’s institutional</w:t>
            </w:r>
            <w:r w:rsidR="005A3535">
              <w:rPr>
                <w:rFonts w:eastAsia="Calibri" w:cs="Arial"/>
                <w:i/>
                <w:sz w:val="19"/>
                <w:szCs w:val="19"/>
              </w:rPr>
              <w:t>-</w:t>
            </w:r>
            <w:r w:rsidRPr="00020592">
              <w:rPr>
                <w:rFonts w:eastAsia="Calibri" w:cs="Arial"/>
                <w:i/>
                <w:sz w:val="19"/>
                <w:szCs w:val="19"/>
              </w:rPr>
              <w:t>development efforts</w:t>
            </w:r>
            <w:r w:rsidR="00E31161">
              <w:rPr>
                <w:rFonts w:eastAsia="Calibri" w:cs="Arial"/>
                <w:i/>
                <w:sz w:val="19"/>
                <w:szCs w:val="19"/>
              </w:rPr>
              <w:t>.</w:t>
            </w:r>
          </w:p>
        </w:tc>
      </w:tr>
      <w:tr w:rsidR="00635E8B" w:rsidRPr="00020592" w14:paraId="32D93CF7" w14:textId="77777777" w:rsidTr="00020592">
        <w:trPr>
          <w:cantSplit/>
        </w:trPr>
        <w:tc>
          <w:tcPr>
            <w:tcW w:w="1663" w:type="dxa"/>
          </w:tcPr>
          <w:p w14:paraId="57475E64" w14:textId="77777777" w:rsidR="00635E8B" w:rsidRPr="00020592" w:rsidRDefault="00635E8B" w:rsidP="00BE60F3">
            <w:pPr>
              <w:spacing w:after="0" w:line="240" w:lineRule="auto"/>
              <w:rPr>
                <w:rFonts w:eastAsia="Calibri" w:cs="Arial"/>
                <w:color w:val="000000"/>
                <w:sz w:val="19"/>
                <w:szCs w:val="19"/>
              </w:rPr>
            </w:pPr>
            <w:r w:rsidRPr="00020592">
              <w:rPr>
                <w:rFonts w:eastAsia="Calibri" w:cs="Arial"/>
                <w:color w:val="000000"/>
                <w:sz w:val="19"/>
                <w:szCs w:val="19"/>
              </w:rPr>
              <w:t>Better policy development and coordination across government, particularly economic and financial institutions</w:t>
            </w:r>
          </w:p>
        </w:tc>
        <w:tc>
          <w:tcPr>
            <w:tcW w:w="3180" w:type="dxa"/>
          </w:tcPr>
          <w:p w14:paraId="67FD18CA"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Increased coordination of policies and regulatory settings to deliver strong, sustainable and inclusive growth.</w:t>
            </w:r>
          </w:p>
        </w:tc>
        <w:tc>
          <w:tcPr>
            <w:tcW w:w="4366" w:type="dxa"/>
          </w:tcPr>
          <w:p w14:paraId="73ACDDE3" w14:textId="54E01468" w:rsidR="00635E8B" w:rsidRPr="00020592" w:rsidRDefault="00635E8B" w:rsidP="00BE60F3">
            <w:pPr>
              <w:spacing w:before="20" w:after="20" w:line="240" w:lineRule="auto"/>
              <w:rPr>
                <w:rFonts w:eastAsia="Calibri" w:cs="Arial"/>
                <w:i/>
                <w:sz w:val="19"/>
                <w:szCs w:val="19"/>
              </w:rPr>
            </w:pPr>
            <w:r w:rsidRPr="00020592">
              <w:rPr>
                <w:rFonts w:eastAsia="Calibri" w:cs="Arial"/>
                <w:i/>
                <w:sz w:val="19"/>
                <w:szCs w:val="19"/>
              </w:rPr>
              <w:t>….Indonesian government institutions are enabled to coordinate; they apply and follow the regulation for policy making</w:t>
            </w:r>
            <w:r w:rsidR="00E31161">
              <w:rPr>
                <w:rFonts w:eastAsia="Calibri" w:cs="Arial"/>
                <w:i/>
                <w:sz w:val="19"/>
                <w:szCs w:val="19"/>
              </w:rPr>
              <w:t>.</w:t>
            </w:r>
          </w:p>
          <w:p w14:paraId="49C94BDE" w14:textId="2F7C6AAF" w:rsidR="00635E8B" w:rsidRPr="00020592" w:rsidRDefault="00635E8B" w:rsidP="00BE60F3">
            <w:pPr>
              <w:spacing w:before="20" w:after="20" w:line="240" w:lineRule="auto"/>
              <w:rPr>
                <w:rFonts w:eastAsia="Calibri" w:cs="Arial"/>
                <w:i/>
                <w:sz w:val="19"/>
                <w:szCs w:val="19"/>
              </w:rPr>
            </w:pPr>
            <w:r w:rsidRPr="00020592">
              <w:rPr>
                <w:rFonts w:eastAsia="Calibri" w:cs="Arial"/>
                <w:i/>
                <w:sz w:val="19"/>
                <w:szCs w:val="19"/>
              </w:rPr>
              <w:t>….Indonesian government institution officials are supported to implement evidenc</w:t>
            </w:r>
            <w:r w:rsidR="005A3535">
              <w:rPr>
                <w:rFonts w:eastAsia="Calibri" w:cs="Arial"/>
                <w:i/>
                <w:sz w:val="19"/>
                <w:szCs w:val="19"/>
              </w:rPr>
              <w:t>e-</w:t>
            </w:r>
            <w:r w:rsidRPr="00020592">
              <w:rPr>
                <w:rFonts w:eastAsia="Calibri" w:cs="Arial"/>
                <w:i/>
                <w:sz w:val="19"/>
                <w:szCs w:val="19"/>
              </w:rPr>
              <w:t>based policy development and pathways to implementation.</w:t>
            </w:r>
          </w:p>
          <w:p w14:paraId="4A706DF9" w14:textId="77777777" w:rsidR="00635E8B" w:rsidRPr="00020592" w:rsidRDefault="00635E8B" w:rsidP="00BE60F3">
            <w:pPr>
              <w:spacing w:before="20" w:after="20" w:line="240" w:lineRule="auto"/>
              <w:rPr>
                <w:rFonts w:eastAsia="Calibri" w:cs="Arial"/>
                <w:i/>
                <w:sz w:val="19"/>
                <w:szCs w:val="19"/>
              </w:rPr>
            </w:pPr>
            <w:r w:rsidRPr="00020592">
              <w:rPr>
                <w:rFonts w:eastAsia="Calibri" w:cs="Arial"/>
                <w:i/>
                <w:sz w:val="19"/>
                <w:szCs w:val="19"/>
              </w:rPr>
              <w:t>…..There is community involvement in policy making processes.</w:t>
            </w:r>
          </w:p>
          <w:p w14:paraId="5637B9A1" w14:textId="77777777"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….There is political and bureaucratic will for transparency in policy making.</w:t>
            </w:r>
          </w:p>
        </w:tc>
      </w:tr>
      <w:tr w:rsidR="00635E8B" w:rsidRPr="00020592" w14:paraId="66FFC67B" w14:textId="77777777" w:rsidTr="00020592">
        <w:trPr>
          <w:cantSplit/>
        </w:trPr>
        <w:tc>
          <w:tcPr>
            <w:tcW w:w="1663" w:type="dxa"/>
          </w:tcPr>
          <w:p w14:paraId="5304A3A6" w14:textId="54200C15" w:rsidR="00635E8B" w:rsidRPr="00020592" w:rsidRDefault="00635E8B" w:rsidP="00BE60F3">
            <w:pPr>
              <w:spacing w:after="0" w:line="240" w:lineRule="auto"/>
              <w:rPr>
                <w:rFonts w:eastAsia="Calibri" w:cs="Arial"/>
                <w:sz w:val="19"/>
                <w:szCs w:val="19"/>
              </w:rPr>
            </w:pPr>
            <w:r w:rsidRPr="00020592">
              <w:rPr>
                <w:rFonts w:eastAsia="Calibri" w:cs="Arial"/>
                <w:color w:val="000000"/>
                <w:sz w:val="19"/>
                <w:szCs w:val="19"/>
              </w:rPr>
              <w:t>Increased capability to deliver high</w:t>
            </w:r>
            <w:r w:rsidR="005A3535">
              <w:rPr>
                <w:rFonts w:eastAsia="Calibri" w:cs="Arial"/>
                <w:color w:val="000000"/>
                <w:sz w:val="19"/>
                <w:szCs w:val="19"/>
              </w:rPr>
              <w:t>-</w:t>
            </w:r>
            <w:r w:rsidRPr="00020592">
              <w:rPr>
                <w:rFonts w:eastAsia="Calibri" w:cs="Arial"/>
                <w:color w:val="000000"/>
                <w:sz w:val="19"/>
                <w:szCs w:val="19"/>
              </w:rPr>
              <w:t>quality economic, social statistics and national census</w:t>
            </w:r>
          </w:p>
        </w:tc>
        <w:tc>
          <w:tcPr>
            <w:tcW w:w="3180" w:type="dxa"/>
          </w:tcPr>
          <w:p w14:paraId="740701ED"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Increased capability of the Central Bureau of Statistics to deliver national and regional statistics as a sound evidence-base for public policy.</w:t>
            </w:r>
          </w:p>
        </w:tc>
        <w:tc>
          <w:tcPr>
            <w:tcW w:w="4366" w:type="dxa"/>
          </w:tcPr>
          <w:p w14:paraId="4BE1CD25" w14:textId="057C48FD"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…..Statistics officers are supported to implement better statistical practice in their institution</w:t>
            </w:r>
            <w:r w:rsidR="00E31161">
              <w:rPr>
                <w:rFonts w:eastAsia="Calibri" w:cs="Arial"/>
                <w:i/>
                <w:sz w:val="19"/>
                <w:szCs w:val="19"/>
              </w:rPr>
              <w:t>.</w:t>
            </w:r>
          </w:p>
          <w:p w14:paraId="3087DB96" w14:textId="11F20BE4" w:rsidR="00635E8B" w:rsidRPr="00020592" w:rsidRDefault="00635E8B" w:rsidP="00BE60F3">
            <w:pPr>
              <w:spacing w:after="0" w:line="240" w:lineRule="auto"/>
              <w:rPr>
                <w:rFonts w:eastAsia="Calibri" w:cs="Arial"/>
                <w:sz w:val="19"/>
                <w:szCs w:val="19"/>
              </w:rPr>
            </w:pPr>
            <w:r w:rsidRPr="00020592">
              <w:rPr>
                <w:rFonts w:eastAsia="Calibri" w:cs="Arial"/>
                <w:i/>
                <w:sz w:val="19"/>
                <w:szCs w:val="19"/>
              </w:rPr>
              <w:t>…..The national census in 2020 is appropriately resourced by Indonesian government</w:t>
            </w:r>
            <w:r w:rsidR="00E31161">
              <w:rPr>
                <w:rFonts w:eastAsia="Calibri" w:cs="Arial"/>
                <w:i/>
                <w:sz w:val="19"/>
                <w:szCs w:val="19"/>
              </w:rPr>
              <w:t>.</w:t>
            </w:r>
          </w:p>
        </w:tc>
      </w:tr>
      <w:tr w:rsidR="00635E8B" w:rsidRPr="00020592" w14:paraId="5A2F37B7" w14:textId="77777777" w:rsidTr="00020592">
        <w:trPr>
          <w:cantSplit/>
        </w:trPr>
        <w:tc>
          <w:tcPr>
            <w:tcW w:w="1663" w:type="dxa"/>
          </w:tcPr>
          <w:p w14:paraId="7D6E5756" w14:textId="77777777" w:rsidR="00635E8B" w:rsidRPr="00020592" w:rsidRDefault="00635E8B" w:rsidP="00BE60F3">
            <w:pPr>
              <w:spacing w:before="20" w:after="20" w:line="240" w:lineRule="auto"/>
              <w:rPr>
                <w:rFonts w:eastAsia="Calibri" w:cs="Arial"/>
                <w:color w:val="000000"/>
                <w:sz w:val="19"/>
                <w:szCs w:val="19"/>
              </w:rPr>
            </w:pPr>
            <w:r w:rsidRPr="00020592">
              <w:rPr>
                <w:rFonts w:eastAsia="Calibri" w:cs="Arial"/>
                <w:color w:val="000000"/>
                <w:sz w:val="19"/>
                <w:szCs w:val="19"/>
              </w:rPr>
              <w:t>Gender equality and inclusion outcomes are described and being achieved</w:t>
            </w:r>
          </w:p>
        </w:tc>
        <w:tc>
          <w:tcPr>
            <w:tcW w:w="3180" w:type="dxa"/>
          </w:tcPr>
          <w:p w14:paraId="0D198BB6"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Gender equality, disability inclusion and other inclusion activities are significant and contributing to Prospera’s outcomes. </w:t>
            </w:r>
          </w:p>
        </w:tc>
        <w:tc>
          <w:tcPr>
            <w:tcW w:w="4366" w:type="dxa"/>
          </w:tcPr>
          <w:p w14:paraId="28117632" w14:textId="541F691B" w:rsidR="00635E8B" w:rsidRPr="00020592" w:rsidRDefault="00635E8B" w:rsidP="00BE60F3">
            <w:pPr>
              <w:spacing w:before="20" w:after="20" w:line="240" w:lineRule="auto"/>
              <w:rPr>
                <w:rFonts w:eastAsia="Calibri" w:cs="Arial"/>
                <w:i/>
                <w:sz w:val="19"/>
                <w:szCs w:val="19"/>
              </w:rPr>
            </w:pPr>
            <w:r w:rsidRPr="00020592">
              <w:rPr>
                <w:rFonts w:eastAsia="Calibri" w:cs="Arial"/>
                <w:i/>
                <w:sz w:val="19"/>
                <w:szCs w:val="19"/>
              </w:rPr>
              <w:t>……Indonesian government institutions are understand the benefits of engaging around gender and inclusion</w:t>
            </w:r>
            <w:r w:rsidR="00E31161">
              <w:rPr>
                <w:rFonts w:eastAsia="Calibri" w:cs="Arial"/>
                <w:i/>
                <w:sz w:val="19"/>
                <w:szCs w:val="19"/>
              </w:rPr>
              <w:t>.</w:t>
            </w:r>
          </w:p>
          <w:p w14:paraId="40F03507" w14:textId="77777777" w:rsidR="00635E8B" w:rsidRPr="00020592" w:rsidRDefault="00635E8B" w:rsidP="00BE60F3">
            <w:pPr>
              <w:spacing w:before="20" w:after="20" w:line="240" w:lineRule="auto"/>
              <w:rPr>
                <w:rFonts w:eastAsia="Calibri" w:cs="Arial"/>
                <w:sz w:val="19"/>
                <w:szCs w:val="19"/>
              </w:rPr>
            </w:pPr>
            <w:r w:rsidRPr="00020592">
              <w:rPr>
                <w:rFonts w:eastAsia="Calibri" w:cs="Arial"/>
                <w:i/>
                <w:sz w:val="19"/>
                <w:szCs w:val="19"/>
              </w:rPr>
              <w:t>….Prospera implementation teams are resourced and committed to integrating gender equality and inclusion outcomes into their activities and work plans.</w:t>
            </w:r>
            <w:r w:rsidRPr="00020592">
              <w:rPr>
                <w:rFonts w:eastAsia="Calibri" w:cs="Arial"/>
                <w:sz w:val="19"/>
                <w:szCs w:val="19"/>
              </w:rPr>
              <w:t xml:space="preserve"> </w:t>
            </w:r>
          </w:p>
        </w:tc>
      </w:tr>
      <w:tr w:rsidR="00635E8B" w:rsidRPr="00020592" w14:paraId="1B4EE7AF" w14:textId="77777777" w:rsidTr="00020592">
        <w:trPr>
          <w:cantSplit/>
        </w:trPr>
        <w:tc>
          <w:tcPr>
            <w:tcW w:w="1663" w:type="dxa"/>
          </w:tcPr>
          <w:p w14:paraId="60795014" w14:textId="77777777" w:rsidR="00635E8B" w:rsidRPr="00020592" w:rsidRDefault="00635E8B" w:rsidP="00BE60F3">
            <w:pPr>
              <w:spacing w:before="20" w:after="20" w:line="240" w:lineRule="auto"/>
              <w:rPr>
                <w:rFonts w:eastAsia="Calibri" w:cs="Arial"/>
                <w:color w:val="000000"/>
                <w:sz w:val="19"/>
                <w:szCs w:val="19"/>
              </w:rPr>
            </w:pPr>
            <w:r w:rsidRPr="00020592">
              <w:rPr>
                <w:rFonts w:eastAsia="Calibri" w:cs="Arial"/>
                <w:color w:val="000000"/>
                <w:sz w:val="19"/>
                <w:szCs w:val="19"/>
              </w:rPr>
              <w:t>Effective government of Indonesia and government of Australia partnership</w:t>
            </w:r>
          </w:p>
        </w:tc>
        <w:tc>
          <w:tcPr>
            <w:tcW w:w="3180" w:type="dxa"/>
          </w:tcPr>
          <w:p w14:paraId="2901FEFC" w14:textId="77777777" w:rsidR="00635E8B" w:rsidRPr="00020592" w:rsidRDefault="00635E8B" w:rsidP="00BE60F3">
            <w:pPr>
              <w:spacing w:after="0" w:line="240" w:lineRule="auto"/>
              <w:rPr>
                <w:rFonts w:eastAsia="Calibri" w:cs="Arial"/>
                <w:sz w:val="19"/>
                <w:szCs w:val="19"/>
              </w:rPr>
            </w:pPr>
            <w:r w:rsidRPr="00020592">
              <w:rPr>
                <w:rFonts w:eastAsia="Calibri" w:cs="Arial"/>
                <w:sz w:val="19"/>
                <w:szCs w:val="19"/>
              </w:rPr>
              <w:t xml:space="preserve">Institutional partnerships between Indonesian and Australian agencies are strong and deliver mutual benefits. </w:t>
            </w:r>
          </w:p>
        </w:tc>
        <w:tc>
          <w:tcPr>
            <w:tcW w:w="4366" w:type="dxa"/>
          </w:tcPr>
          <w:p w14:paraId="4C9FDCB8" w14:textId="3DB4746B" w:rsidR="00635E8B" w:rsidRPr="00020592" w:rsidRDefault="00635E8B" w:rsidP="00BE60F3">
            <w:pPr>
              <w:spacing w:after="0" w:line="240" w:lineRule="auto"/>
              <w:rPr>
                <w:rFonts w:eastAsia="Calibri" w:cs="Arial"/>
                <w:i/>
                <w:sz w:val="19"/>
                <w:szCs w:val="19"/>
              </w:rPr>
            </w:pPr>
            <w:r w:rsidRPr="00020592">
              <w:rPr>
                <w:rFonts w:eastAsia="Calibri" w:cs="Arial"/>
                <w:i/>
                <w:color w:val="000000"/>
                <w:sz w:val="19"/>
                <w:szCs w:val="19"/>
              </w:rPr>
              <w:t>…..Alliance continues to be politically feasible and valued by both governments</w:t>
            </w:r>
            <w:r w:rsidR="00E31161">
              <w:rPr>
                <w:rFonts w:eastAsia="Calibri" w:cs="Arial"/>
                <w:i/>
                <w:color w:val="000000"/>
                <w:sz w:val="19"/>
                <w:szCs w:val="19"/>
              </w:rPr>
              <w:t>.</w:t>
            </w:r>
          </w:p>
          <w:p w14:paraId="2BE34A26" w14:textId="77777777" w:rsidR="00635E8B" w:rsidRPr="00020592" w:rsidRDefault="00635E8B" w:rsidP="00BE60F3">
            <w:pPr>
              <w:spacing w:after="0" w:line="240" w:lineRule="auto"/>
              <w:rPr>
                <w:rFonts w:eastAsia="Calibri" w:cs="Arial"/>
                <w:i/>
                <w:sz w:val="19"/>
                <w:szCs w:val="19"/>
              </w:rPr>
            </w:pPr>
            <w:r w:rsidRPr="00020592">
              <w:rPr>
                <w:rFonts w:eastAsia="Calibri" w:cs="Arial"/>
                <w:i/>
                <w:sz w:val="19"/>
                <w:szCs w:val="19"/>
              </w:rPr>
              <w:t xml:space="preserve">….Each partner understands, commits to and practices partnership principles. </w:t>
            </w:r>
          </w:p>
          <w:p w14:paraId="49A05C56" w14:textId="66E5A3A9" w:rsidR="00635E8B" w:rsidRPr="00020592" w:rsidRDefault="00635E8B" w:rsidP="00BE60F3">
            <w:pPr>
              <w:spacing w:before="20" w:after="20" w:line="240" w:lineRule="auto"/>
              <w:rPr>
                <w:rFonts w:eastAsia="Calibri" w:cs="Arial"/>
                <w:i/>
                <w:color w:val="000000"/>
                <w:sz w:val="19"/>
                <w:szCs w:val="19"/>
              </w:rPr>
            </w:pPr>
            <w:r w:rsidRPr="00020592">
              <w:rPr>
                <w:rFonts w:eastAsia="Calibri" w:cs="Arial"/>
                <w:i/>
                <w:color w:val="000000"/>
                <w:sz w:val="19"/>
                <w:szCs w:val="19"/>
              </w:rPr>
              <w:t>…..Indonesian institutions continue to trust Prospera and value the type of support that Prospera can provide</w:t>
            </w:r>
            <w:r w:rsidR="00E31161">
              <w:rPr>
                <w:rFonts w:eastAsia="Calibri" w:cs="Arial"/>
                <w:i/>
                <w:color w:val="000000"/>
                <w:sz w:val="19"/>
                <w:szCs w:val="19"/>
              </w:rPr>
              <w:t>.</w:t>
            </w:r>
          </w:p>
          <w:p w14:paraId="2803227D" w14:textId="77777777" w:rsidR="00635E8B" w:rsidRPr="00020592" w:rsidRDefault="00635E8B" w:rsidP="00BE60F3">
            <w:pPr>
              <w:spacing w:after="0" w:line="240" w:lineRule="auto"/>
              <w:rPr>
                <w:rFonts w:eastAsia="Calibri" w:cs="Arial"/>
                <w:sz w:val="19"/>
                <w:szCs w:val="19"/>
              </w:rPr>
            </w:pPr>
          </w:p>
        </w:tc>
      </w:tr>
      <w:bookmarkEnd w:id="190"/>
    </w:tbl>
    <w:p w14:paraId="3D1AE8FC" w14:textId="77777777" w:rsidR="00635E8B" w:rsidRPr="00635E8B" w:rsidRDefault="00635E8B" w:rsidP="00BE60F3">
      <w:pPr>
        <w:keepNext/>
        <w:keepLines/>
        <w:spacing w:after="200" w:line="276" w:lineRule="auto"/>
        <w:ind w:left="360" w:hanging="360"/>
        <w:outlineLvl w:val="0"/>
        <w:rPr>
          <w:rFonts w:eastAsia="Times New Roman" w:cs="Arial"/>
          <w:b/>
          <w:bCs/>
          <w:color w:val="000000"/>
          <w:sz w:val="28"/>
          <w:szCs w:val="28"/>
        </w:rPr>
      </w:pPr>
    </w:p>
    <w:p w14:paraId="4C68DF2B" w14:textId="77777777" w:rsidR="00635E8B" w:rsidRPr="00635E8B" w:rsidRDefault="00635E8B" w:rsidP="00BE60F3">
      <w:pPr>
        <w:spacing w:after="200" w:line="276" w:lineRule="auto"/>
        <w:rPr>
          <w:rFonts w:eastAsia="Calibri" w:cs="Arial"/>
          <w:sz w:val="22"/>
        </w:rPr>
        <w:sectPr w:rsidR="00635E8B" w:rsidRPr="00635E8B">
          <w:pgSz w:w="11906" w:h="16838"/>
          <w:pgMar w:top="1440" w:right="1440" w:bottom="1440" w:left="1440" w:header="708" w:footer="708" w:gutter="0"/>
          <w:cols w:space="708"/>
          <w:docGrid w:linePitch="360"/>
        </w:sectPr>
      </w:pPr>
    </w:p>
    <w:p w14:paraId="10FCA147" w14:textId="50886D0E" w:rsidR="004D5B4D" w:rsidRPr="00020592" w:rsidRDefault="00334B64" w:rsidP="0082195C">
      <w:pPr>
        <w:pStyle w:val="Heading1"/>
        <w:numPr>
          <w:ilvl w:val="0"/>
          <w:numId w:val="0"/>
        </w:numPr>
        <w:ind w:left="851" w:hanging="851"/>
      </w:pPr>
      <w:bookmarkStart w:id="191" w:name="_Toc525743695"/>
      <w:bookmarkStart w:id="192" w:name="_Toc532991081"/>
      <w:bookmarkStart w:id="193" w:name="_Hlk525646255"/>
      <w:r>
        <w:t>Annex 4</w:t>
      </w:r>
      <w:r>
        <w:tab/>
      </w:r>
      <w:r w:rsidR="004D5B4D" w:rsidRPr="00020592">
        <w:t xml:space="preserve">Prospera </w:t>
      </w:r>
      <w:r w:rsidR="0082195C">
        <w:t>i</w:t>
      </w:r>
      <w:r w:rsidR="004D5B4D" w:rsidRPr="00020592">
        <w:t>nvestments 2018-19</w:t>
      </w:r>
      <w:bookmarkEnd w:id="191"/>
      <w:bookmarkEnd w:id="192"/>
    </w:p>
    <w:bookmarkEnd w:id="193"/>
    <w:p w14:paraId="5E9F5666" w14:textId="77777777" w:rsidR="00635E8B" w:rsidRPr="00020592" w:rsidRDefault="00635E8B" w:rsidP="00BE60F3">
      <w:pPr>
        <w:pStyle w:val="Heading3"/>
        <w:numPr>
          <w:ilvl w:val="0"/>
          <w:numId w:val="0"/>
        </w:numPr>
        <w:rPr>
          <w:sz w:val="22"/>
          <w:szCs w:val="22"/>
          <w:lang w:val="en-US"/>
        </w:rPr>
      </w:pPr>
      <w:r w:rsidRPr="00020592">
        <w:rPr>
          <w:sz w:val="22"/>
          <w:szCs w:val="22"/>
          <w:lang w:val="en-US"/>
        </w:rPr>
        <w:t xml:space="preserve">Advisory </w:t>
      </w:r>
    </w:p>
    <w:p w14:paraId="21C268EA" w14:textId="1226B7FA" w:rsidR="00635E8B" w:rsidRPr="00051FC1" w:rsidRDefault="00635E8B" w:rsidP="00BE60F3">
      <w:pPr>
        <w:pStyle w:val="BodyText"/>
        <w:rPr>
          <w:lang w:val="en-US"/>
        </w:rPr>
      </w:pPr>
      <w:r w:rsidRPr="002B57A8">
        <w:rPr>
          <w:lang w:val="en-US"/>
        </w:rPr>
        <w:t xml:space="preserve">Prospera’s advisory work transitioned with </w:t>
      </w:r>
      <w:r>
        <w:rPr>
          <w:lang w:val="en-US"/>
        </w:rPr>
        <w:t>six thematic areas over March 2018 – June 2019 (16</w:t>
      </w:r>
      <w:r w:rsidR="00E31161">
        <w:rPr>
          <w:lang w:val="en-US"/>
        </w:rPr>
        <w:t> </w:t>
      </w:r>
      <w:r>
        <w:rPr>
          <w:lang w:val="en-US"/>
        </w:rPr>
        <w:t>months). Below is</w:t>
      </w:r>
      <w:r w:rsidR="009B18DE">
        <w:rPr>
          <w:lang w:val="en-US"/>
        </w:rPr>
        <w:t xml:space="preserve"> the</w:t>
      </w:r>
      <w:r>
        <w:rPr>
          <w:lang w:val="en-US"/>
        </w:rPr>
        <w:t xml:space="preserve"> breakdown of six thematic areas. From a total of </w:t>
      </w:r>
      <w:r w:rsidRPr="00343634">
        <w:rPr>
          <w:lang w:val="en-US"/>
        </w:rPr>
        <w:t xml:space="preserve">A$16 million apportioned over </w:t>
      </w:r>
      <w:r>
        <w:rPr>
          <w:lang w:val="en-US"/>
        </w:rPr>
        <w:t>July 2018 to June 2019 (</w:t>
      </w:r>
      <w:r w:rsidRPr="00343634">
        <w:rPr>
          <w:lang w:val="en-US"/>
        </w:rPr>
        <w:t>12 months</w:t>
      </w:r>
      <w:r>
        <w:rPr>
          <w:lang w:val="en-US"/>
        </w:rPr>
        <w:t>)</w:t>
      </w:r>
      <w:r w:rsidRPr="00343634">
        <w:rPr>
          <w:lang w:val="en-US"/>
        </w:rPr>
        <w:t xml:space="preserve">, the </w:t>
      </w:r>
      <w:r>
        <w:rPr>
          <w:lang w:val="en-US"/>
        </w:rPr>
        <w:t xml:space="preserve">economics and inclusion theme is the largest investment area (26% of total), supporting work on growth, stability &amp; inclusion, and also other thematic areas. The markets, revenue and finance areas </w:t>
      </w:r>
      <w:r w:rsidR="009B18DE">
        <w:rPr>
          <w:lang w:val="en-US"/>
        </w:rPr>
        <w:t>have</w:t>
      </w:r>
      <w:r>
        <w:rPr>
          <w:lang w:val="en-US"/>
        </w:rPr>
        <w:t xml:space="preserve"> around the same budget (18-19%), followed by spending (15%) and initial resources for the new public sector area (4%).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635E8B" w14:paraId="54508DC5" w14:textId="77777777" w:rsidTr="00635E8B">
        <w:tc>
          <w:tcPr>
            <w:tcW w:w="9242" w:type="dxa"/>
          </w:tcPr>
          <w:p w14:paraId="3A3F9507" w14:textId="206BB0A6" w:rsidR="00635E8B" w:rsidRPr="00020592" w:rsidRDefault="00C240C9" w:rsidP="00263C60">
            <w:pPr>
              <w:pStyle w:val="Tabletext"/>
              <w:jc w:val="left"/>
              <w:rPr>
                <w:b/>
                <w:lang w:val="en-US"/>
              </w:rPr>
            </w:pPr>
            <w:bookmarkStart w:id="194" w:name="_Hlk525646279"/>
            <w:r w:rsidRPr="001E7AC6">
              <w:rPr>
                <w:b/>
              </w:rPr>
              <w:t xml:space="preserve">Figure </w:t>
            </w:r>
            <w:r w:rsidRPr="001E7AC6">
              <w:rPr>
                <w:b/>
                <w:noProof/>
              </w:rPr>
              <w:fldChar w:fldCharType="begin"/>
            </w:r>
            <w:r w:rsidRPr="001E7AC6">
              <w:rPr>
                <w:b/>
                <w:noProof/>
              </w:rPr>
              <w:instrText xml:space="preserve"> SEQ Figure \* ARABIC </w:instrText>
            </w:r>
            <w:r w:rsidRPr="001E7AC6">
              <w:rPr>
                <w:b/>
                <w:noProof/>
              </w:rPr>
              <w:fldChar w:fldCharType="separate"/>
            </w:r>
            <w:r>
              <w:rPr>
                <w:b/>
                <w:noProof/>
              </w:rPr>
              <w:t>11</w:t>
            </w:r>
            <w:r w:rsidRPr="001E7AC6">
              <w:rPr>
                <w:b/>
                <w:noProof/>
              </w:rPr>
              <w:fldChar w:fldCharType="end"/>
            </w:r>
            <w:r>
              <w:rPr>
                <w:b/>
                <w:noProof/>
              </w:rPr>
              <w:t xml:space="preserve">. </w:t>
            </w:r>
            <w:r w:rsidR="00635E8B" w:rsidRPr="00020592">
              <w:rPr>
                <w:b/>
                <w:lang w:val="en-US"/>
              </w:rPr>
              <w:t>Budget for advisory thematic areas 2018-19</w:t>
            </w:r>
          </w:p>
          <w:bookmarkEnd w:id="194"/>
          <w:p w14:paraId="3444F3FA" w14:textId="5496BBFA" w:rsidR="00635E8B" w:rsidRDefault="00635E8B" w:rsidP="00BE60F3">
            <w:pPr>
              <w:rPr>
                <w:b/>
                <w:lang w:val="en-US"/>
              </w:rPr>
            </w:pPr>
          </w:p>
        </w:tc>
      </w:tr>
    </w:tbl>
    <w:p w14:paraId="6D5872C6" w14:textId="55863ACB" w:rsidR="009F4D29" w:rsidRDefault="009F4D29" w:rsidP="00BE60F3">
      <w:pPr>
        <w:rPr>
          <w:b/>
          <w:lang w:val="en-US"/>
        </w:rPr>
      </w:pPr>
      <w:r>
        <w:rPr>
          <w:noProof/>
          <w:lang w:eastAsia="en-AU"/>
        </w:rPr>
        <w:drawing>
          <wp:inline distT="0" distB="0" distL="0" distR="0" wp14:anchorId="198A58B6" wp14:editId="6B7A0539">
            <wp:extent cx="5676900" cy="3567430"/>
            <wp:effectExtent l="0" t="0" r="0" b="0"/>
            <wp:docPr id="15" name="Chart 15">
              <a:extLst xmlns:a="http://schemas.openxmlformats.org/drawingml/2006/main">
                <a:ext uri="{FF2B5EF4-FFF2-40B4-BE49-F238E27FC236}">
                  <a16:creationId xmlns:a16="http://schemas.microsoft.com/office/drawing/2014/main" id="{749288C4-11D4-414A-8DD5-F2F9F21AF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E12996" w14:textId="77777777" w:rsidR="0095558D" w:rsidRDefault="0095558D" w:rsidP="00BE60F3">
      <w:pPr>
        <w:spacing w:after="0" w:line="240" w:lineRule="auto"/>
        <w:rPr>
          <w:rFonts w:eastAsiaTheme="majorEastAsia" w:cstheme="majorBidi"/>
          <w:b/>
          <w:color w:val="20ABCA" w:themeColor="accent6"/>
          <w:sz w:val="22"/>
          <w:lang w:val="en-US"/>
        </w:rPr>
      </w:pPr>
      <w:r>
        <w:rPr>
          <w:sz w:val="22"/>
          <w:lang w:val="en-US"/>
        </w:rPr>
        <w:br w:type="page"/>
      </w:r>
    </w:p>
    <w:p w14:paraId="20DBCC00" w14:textId="5EB8D571" w:rsidR="00635E8B" w:rsidRPr="00020592" w:rsidRDefault="00635E8B" w:rsidP="00BE60F3">
      <w:pPr>
        <w:pStyle w:val="Heading3"/>
        <w:numPr>
          <w:ilvl w:val="0"/>
          <w:numId w:val="0"/>
        </w:numPr>
        <w:rPr>
          <w:sz w:val="22"/>
          <w:szCs w:val="22"/>
          <w:lang w:val="en-US"/>
        </w:rPr>
      </w:pPr>
      <w:r w:rsidRPr="00020592">
        <w:rPr>
          <w:sz w:val="22"/>
          <w:szCs w:val="22"/>
          <w:lang w:val="en-US"/>
        </w:rPr>
        <w:t xml:space="preserve">Australian agencies </w:t>
      </w:r>
    </w:p>
    <w:p w14:paraId="2B2DDF23" w14:textId="23BB2314" w:rsidR="00635E8B" w:rsidRDefault="00635E8B" w:rsidP="00BE60F3">
      <w:pPr>
        <w:pStyle w:val="BodyText"/>
        <w:rPr>
          <w:lang w:val="en-US"/>
        </w:rPr>
      </w:pPr>
      <w:r>
        <w:rPr>
          <w:lang w:val="en-US"/>
        </w:rPr>
        <w:t xml:space="preserve">Prospera has 16 participating Australian agencies of which 15 are currently funded. Below is a breakdown of Australian agency budgets for July 2018 – June 2019 (12 months). From a total of A$14.5 million, the maritime safety partnership is the largest (25% of the total) followed by the Austrac-PPATK partnership on combatting financial crime (13%), and Treasury partnership with Indonesia’s fiscal policy agency in the Finance Ministry (11%).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635E8B" w14:paraId="54C49B6B" w14:textId="77777777" w:rsidTr="00635E8B">
        <w:trPr>
          <w:cantSplit/>
        </w:trPr>
        <w:tc>
          <w:tcPr>
            <w:tcW w:w="9242" w:type="dxa"/>
          </w:tcPr>
          <w:p w14:paraId="19D611F7" w14:textId="6CECA89A" w:rsidR="00635E8B" w:rsidRPr="00020592" w:rsidRDefault="00C240C9" w:rsidP="00263C60">
            <w:pPr>
              <w:pStyle w:val="Tabletext"/>
              <w:jc w:val="left"/>
              <w:rPr>
                <w:b/>
                <w:lang w:val="en-US"/>
              </w:rPr>
            </w:pPr>
            <w:bookmarkStart w:id="195" w:name="_Hlk525646294"/>
            <w:r w:rsidRPr="001E7AC6">
              <w:rPr>
                <w:b/>
              </w:rPr>
              <w:t xml:space="preserve">Figure </w:t>
            </w:r>
            <w:r w:rsidRPr="001E7AC6">
              <w:rPr>
                <w:b/>
                <w:noProof/>
              </w:rPr>
              <w:fldChar w:fldCharType="begin"/>
            </w:r>
            <w:r w:rsidRPr="001E7AC6">
              <w:rPr>
                <w:b/>
                <w:noProof/>
              </w:rPr>
              <w:instrText xml:space="preserve"> SEQ Figure \* ARABIC </w:instrText>
            </w:r>
            <w:r w:rsidRPr="001E7AC6">
              <w:rPr>
                <w:b/>
                <w:noProof/>
              </w:rPr>
              <w:fldChar w:fldCharType="separate"/>
            </w:r>
            <w:r>
              <w:rPr>
                <w:b/>
                <w:noProof/>
              </w:rPr>
              <w:t>12</w:t>
            </w:r>
            <w:r w:rsidRPr="001E7AC6">
              <w:rPr>
                <w:b/>
                <w:noProof/>
              </w:rPr>
              <w:fldChar w:fldCharType="end"/>
            </w:r>
            <w:r>
              <w:rPr>
                <w:b/>
                <w:noProof/>
              </w:rPr>
              <w:t xml:space="preserve">. </w:t>
            </w:r>
            <w:r w:rsidR="00635E8B" w:rsidRPr="00020592">
              <w:rPr>
                <w:b/>
                <w:lang w:val="en-US"/>
              </w:rPr>
              <w:t>Budget for Australian agency partnerships 2018-19</w:t>
            </w:r>
          </w:p>
          <w:bookmarkEnd w:id="195"/>
          <w:p w14:paraId="447BF8D0" w14:textId="61371B8A" w:rsidR="00635E8B" w:rsidRDefault="009F4D29" w:rsidP="00BE60F3">
            <w:pPr>
              <w:rPr>
                <w:lang w:val="en-US"/>
              </w:rPr>
            </w:pPr>
            <w:r>
              <w:rPr>
                <w:noProof/>
                <w:lang w:eastAsia="en-AU"/>
              </w:rPr>
              <w:drawing>
                <wp:inline distT="0" distB="0" distL="0" distR="0" wp14:anchorId="1A285913" wp14:editId="1503BA6F">
                  <wp:extent cx="5554980" cy="5448300"/>
                  <wp:effectExtent l="0" t="0" r="7620" b="0"/>
                  <wp:docPr id="1" name="Chart 1">
                    <a:extLst xmlns:a="http://schemas.openxmlformats.org/drawingml/2006/main">
                      <a:ext uri="{FF2B5EF4-FFF2-40B4-BE49-F238E27FC236}">
                        <a16:creationId xmlns:a16="http://schemas.microsoft.com/office/drawing/2014/main" id="{AB960238-C57C-4B4D-81E4-F63F9E51B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305135C" w14:textId="77777777" w:rsidR="00635E8B" w:rsidRDefault="00635E8B" w:rsidP="00BE60F3">
            <w:pPr>
              <w:rPr>
                <w:lang w:val="en-US"/>
              </w:rPr>
            </w:pPr>
          </w:p>
        </w:tc>
      </w:tr>
    </w:tbl>
    <w:p w14:paraId="2E329294" w14:textId="08B12F5B" w:rsidR="00635E8B" w:rsidRPr="0095558D" w:rsidRDefault="00635E8B" w:rsidP="00BE60F3">
      <w:pPr>
        <w:pStyle w:val="BodyText"/>
        <w:rPr>
          <w:lang w:val="en-US"/>
        </w:rPr>
      </w:pPr>
      <w:r w:rsidRPr="008B0C13">
        <w:rPr>
          <w:b/>
          <w:lang w:val="en-US"/>
        </w:rPr>
        <w:t>Note:</w:t>
      </w:r>
      <w:r w:rsidRPr="00ED3B9A">
        <w:rPr>
          <w:lang w:val="en-US"/>
        </w:rPr>
        <w:t xml:space="preserve"> Australian Department of Finance not shown here as budget yet to be allocated.</w:t>
      </w:r>
      <w:r w:rsidR="009F4D29">
        <w:rPr>
          <w:lang w:val="id-ID"/>
        </w:rPr>
        <w:t xml:space="preserve"> </w:t>
      </w:r>
      <w:r>
        <w:rPr>
          <w:lang w:val="en-US"/>
        </w:rPr>
        <w:t>Transport agencies have one agreement reflecting the partnerships of AMSA, ATSB, Air Services Australia, CASA and Department of Infrastructure (</w:t>
      </w:r>
      <w:r w:rsidRPr="002B57A8">
        <w:rPr>
          <w:i/>
          <w:lang w:val="en-US"/>
        </w:rPr>
        <w:t>Indonesia Transport Safety Assistance Package</w:t>
      </w:r>
      <w:r>
        <w:rPr>
          <w:lang w:val="en-US"/>
        </w:rPr>
        <w:t xml:space="preserve">), shown separately here to highlight focus areas.  </w:t>
      </w:r>
    </w:p>
    <w:p w14:paraId="70AA93D7" w14:textId="77777777" w:rsidR="0095558D" w:rsidRDefault="0095558D" w:rsidP="00BE60F3">
      <w:pPr>
        <w:spacing w:after="0" w:line="240" w:lineRule="auto"/>
        <w:rPr>
          <w:rFonts w:eastAsiaTheme="majorEastAsia" w:cstheme="majorBidi"/>
          <w:b/>
          <w:color w:val="20ABCA" w:themeColor="accent6"/>
          <w:sz w:val="22"/>
        </w:rPr>
      </w:pPr>
      <w:r>
        <w:rPr>
          <w:sz w:val="22"/>
        </w:rPr>
        <w:br w:type="page"/>
      </w:r>
    </w:p>
    <w:p w14:paraId="1A324B72" w14:textId="4CA4FDD4" w:rsidR="00635E8B" w:rsidRPr="00020592" w:rsidRDefault="00635E8B" w:rsidP="00BE60F3">
      <w:pPr>
        <w:pStyle w:val="Heading3"/>
        <w:numPr>
          <w:ilvl w:val="0"/>
          <w:numId w:val="0"/>
        </w:numPr>
        <w:ind w:left="851" w:hanging="851"/>
        <w:rPr>
          <w:sz w:val="22"/>
          <w:szCs w:val="22"/>
        </w:rPr>
      </w:pPr>
      <w:r w:rsidRPr="00020592">
        <w:rPr>
          <w:sz w:val="22"/>
          <w:szCs w:val="22"/>
        </w:rPr>
        <w:t>Prospera’s new breakthroughs</w:t>
      </w:r>
    </w:p>
    <w:p w14:paraId="16850558" w14:textId="77777777" w:rsidR="00635E8B" w:rsidRDefault="00635E8B" w:rsidP="00BE60F3">
      <w:pPr>
        <w:pStyle w:val="BodyText"/>
      </w:pPr>
      <w:r>
        <w:t xml:space="preserve">Below is an illustrative budget breakdown of the combined advisory and Australian agency work across Prospera’s three ‘breakthrough’ outcomes, along with cross-cutting areas.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2"/>
      </w:tblGrid>
      <w:tr w:rsidR="00635E8B" w14:paraId="427C3BFD" w14:textId="77777777" w:rsidTr="00635E8B">
        <w:trPr>
          <w:cantSplit/>
          <w:trHeight w:val="4395"/>
        </w:trPr>
        <w:tc>
          <w:tcPr>
            <w:tcW w:w="8534" w:type="dxa"/>
          </w:tcPr>
          <w:p w14:paraId="082ACBE7" w14:textId="3E23EBAE" w:rsidR="00635E8B" w:rsidRPr="00020592" w:rsidRDefault="00C240C9" w:rsidP="00263C60">
            <w:pPr>
              <w:pStyle w:val="Tabletext"/>
              <w:jc w:val="left"/>
              <w:rPr>
                <w:b/>
                <w:lang w:val="en-US"/>
              </w:rPr>
            </w:pPr>
            <w:bookmarkStart w:id="196" w:name="_Hlk525646305"/>
            <w:r w:rsidRPr="001E7AC6">
              <w:rPr>
                <w:b/>
              </w:rPr>
              <w:t xml:space="preserve">Figure </w:t>
            </w:r>
            <w:r w:rsidRPr="001E7AC6">
              <w:rPr>
                <w:b/>
                <w:noProof/>
              </w:rPr>
              <w:fldChar w:fldCharType="begin"/>
            </w:r>
            <w:r w:rsidRPr="001E7AC6">
              <w:rPr>
                <w:b/>
                <w:noProof/>
              </w:rPr>
              <w:instrText xml:space="preserve"> SEQ Figure \* ARABIC </w:instrText>
            </w:r>
            <w:r w:rsidRPr="001E7AC6">
              <w:rPr>
                <w:b/>
                <w:noProof/>
              </w:rPr>
              <w:fldChar w:fldCharType="separate"/>
            </w:r>
            <w:r>
              <w:rPr>
                <w:b/>
                <w:noProof/>
              </w:rPr>
              <w:t>13</w:t>
            </w:r>
            <w:r w:rsidRPr="001E7AC6">
              <w:rPr>
                <w:b/>
                <w:noProof/>
              </w:rPr>
              <w:fldChar w:fldCharType="end"/>
            </w:r>
            <w:r>
              <w:rPr>
                <w:b/>
                <w:noProof/>
              </w:rPr>
              <w:t xml:space="preserve">. </w:t>
            </w:r>
            <w:r w:rsidR="00635E8B" w:rsidRPr="00020592">
              <w:rPr>
                <w:b/>
                <w:lang w:val="en-US"/>
              </w:rPr>
              <w:t xml:space="preserve">Budget according to </w:t>
            </w:r>
            <w:r w:rsidR="009B18DE">
              <w:rPr>
                <w:b/>
                <w:lang w:val="en-US"/>
              </w:rPr>
              <w:t>b</w:t>
            </w:r>
            <w:r w:rsidR="00635E8B" w:rsidRPr="00020592">
              <w:rPr>
                <w:b/>
                <w:lang w:val="en-US"/>
              </w:rPr>
              <w:t>reakthrough outcomes 2018-19</w:t>
            </w:r>
            <w:r w:rsidR="009E3972">
              <w:rPr>
                <w:b/>
                <w:lang w:val="en-US"/>
              </w:rPr>
              <w:t xml:space="preserve"> </w:t>
            </w:r>
          </w:p>
          <w:bookmarkEnd w:id="196"/>
          <w:p w14:paraId="6CDD029B" w14:textId="439CA84F" w:rsidR="00635E8B" w:rsidRDefault="009F4D29" w:rsidP="00BE60F3">
            <w:pPr>
              <w:rPr>
                <w:highlight w:val="yellow"/>
                <w:lang w:val="en-US"/>
              </w:rPr>
            </w:pPr>
            <w:r>
              <w:rPr>
                <w:noProof/>
                <w:lang w:eastAsia="en-AU"/>
              </w:rPr>
              <w:drawing>
                <wp:inline distT="0" distB="0" distL="0" distR="0" wp14:anchorId="6BF1A49B" wp14:editId="4A630925">
                  <wp:extent cx="5433112" cy="3276600"/>
                  <wp:effectExtent l="0" t="0" r="0" b="0"/>
                  <wp:docPr id="17" name="Chart 17">
                    <a:extLst xmlns:a="http://schemas.openxmlformats.org/drawingml/2006/main">
                      <a:ext uri="{FF2B5EF4-FFF2-40B4-BE49-F238E27FC236}">
                        <a16:creationId xmlns:a16="http://schemas.microsoft.com/office/drawing/2014/main" id="{63A16A3C-5311-42F4-95E5-A7E39AA29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3FE171" w14:textId="6D6A297C" w:rsidR="00635E8B" w:rsidRDefault="00635E8B" w:rsidP="00BE60F3">
            <w:pPr>
              <w:rPr>
                <w:sz w:val="20"/>
                <w:szCs w:val="20"/>
              </w:rPr>
            </w:pPr>
            <w:r w:rsidRPr="00BE430A">
              <w:rPr>
                <w:sz w:val="20"/>
                <w:szCs w:val="20"/>
              </w:rPr>
              <w:t>* Cross-cutting = Gender &amp; social inclusion, Knowledge &amp; performance</w:t>
            </w:r>
            <w:r>
              <w:rPr>
                <w:sz w:val="20"/>
                <w:szCs w:val="20"/>
              </w:rPr>
              <w:t>, P</w:t>
            </w:r>
            <w:r w:rsidRPr="00BE430A">
              <w:rPr>
                <w:sz w:val="20"/>
                <w:szCs w:val="20"/>
              </w:rPr>
              <w:t xml:space="preserve">ublic sector, </w:t>
            </w:r>
            <w:r>
              <w:rPr>
                <w:sz w:val="20"/>
                <w:szCs w:val="20"/>
              </w:rPr>
              <w:t>S</w:t>
            </w:r>
            <w:r w:rsidRPr="00BE430A">
              <w:rPr>
                <w:sz w:val="20"/>
                <w:szCs w:val="20"/>
              </w:rPr>
              <w:t xml:space="preserve">tatistics capability, </w:t>
            </w:r>
            <w:r>
              <w:rPr>
                <w:sz w:val="20"/>
                <w:szCs w:val="20"/>
              </w:rPr>
              <w:t>and P</w:t>
            </w:r>
            <w:r w:rsidRPr="00BE430A">
              <w:rPr>
                <w:sz w:val="20"/>
                <w:szCs w:val="20"/>
              </w:rPr>
              <w:t>olicy leadership</w:t>
            </w:r>
            <w:r>
              <w:rPr>
                <w:sz w:val="20"/>
                <w:szCs w:val="20"/>
              </w:rPr>
              <w:t>.</w:t>
            </w:r>
            <w:r w:rsidRPr="00BE430A">
              <w:rPr>
                <w:sz w:val="20"/>
                <w:szCs w:val="20"/>
              </w:rPr>
              <w:t xml:space="preserve"> </w:t>
            </w:r>
          </w:p>
          <w:p w14:paraId="0BB89015" w14:textId="77777777" w:rsidR="00635E8B" w:rsidRDefault="00635E8B" w:rsidP="00BE60F3">
            <w:pPr>
              <w:rPr>
                <w:b/>
                <w:highlight w:val="yellow"/>
                <w:lang w:val="en-US"/>
              </w:rPr>
            </w:pPr>
          </w:p>
        </w:tc>
      </w:tr>
    </w:tbl>
    <w:p w14:paraId="4BCADEA5" w14:textId="77777777" w:rsidR="00635E8B" w:rsidRDefault="00635E8B" w:rsidP="00BE60F3">
      <w:pPr>
        <w:pStyle w:val="AnnexHeading"/>
        <w:numPr>
          <w:ilvl w:val="0"/>
          <w:numId w:val="0"/>
        </w:numPr>
        <w:ind w:left="851" w:hanging="851"/>
        <w:sectPr w:rsidR="00635E8B" w:rsidSect="004D5B4D">
          <w:pgSz w:w="11900" w:h="16840"/>
          <w:pgMar w:top="1440" w:right="1440" w:bottom="1440" w:left="1440" w:header="850" w:footer="850" w:gutter="0"/>
          <w:cols w:space="708"/>
          <w:docGrid w:linePitch="360"/>
        </w:sectPr>
      </w:pPr>
    </w:p>
    <w:p w14:paraId="06BCE4B3" w14:textId="05D1FC2E" w:rsidR="004D5B4D" w:rsidRPr="00020592" w:rsidRDefault="00334B64" w:rsidP="0082195C">
      <w:pPr>
        <w:pStyle w:val="Heading1"/>
        <w:numPr>
          <w:ilvl w:val="0"/>
          <w:numId w:val="0"/>
        </w:numPr>
        <w:ind w:left="851" w:hanging="851"/>
      </w:pPr>
      <w:bookmarkStart w:id="197" w:name="_Toc525743696"/>
      <w:bookmarkStart w:id="198" w:name="_Toc532991082"/>
      <w:r>
        <w:t>Annex 5</w:t>
      </w:r>
      <w:r>
        <w:tab/>
      </w:r>
      <w:r w:rsidR="004D5B4D" w:rsidRPr="00020592">
        <w:t>A selection of methods to support monitoring and evaluation</w:t>
      </w:r>
      <w:bookmarkEnd w:id="197"/>
      <w:bookmarkEnd w:id="198"/>
    </w:p>
    <w:tbl>
      <w:tblPr>
        <w:tblStyle w:val="TableGrid3"/>
        <w:tblW w:w="0" w:type="auto"/>
        <w:tblLook w:val="04A0" w:firstRow="1" w:lastRow="0" w:firstColumn="1" w:lastColumn="0" w:noHBand="0" w:noVBand="1"/>
      </w:tblPr>
      <w:tblGrid>
        <w:gridCol w:w="5940"/>
        <w:gridCol w:w="3026"/>
        <w:gridCol w:w="4984"/>
      </w:tblGrid>
      <w:tr w:rsidR="00635E8B" w:rsidRPr="00635E8B" w14:paraId="27EDC217" w14:textId="77777777" w:rsidTr="00F87E8A">
        <w:trPr>
          <w:cantSplit/>
          <w:tblHeader/>
        </w:trPr>
        <w:tc>
          <w:tcPr>
            <w:tcW w:w="5940" w:type="dxa"/>
            <w:shd w:val="clear" w:color="auto" w:fill="20ABCA"/>
            <w:vAlign w:val="center"/>
          </w:tcPr>
          <w:p w14:paraId="09CC9F19" w14:textId="77777777" w:rsidR="00635E8B" w:rsidRPr="00635E8B" w:rsidRDefault="00635E8B" w:rsidP="00BE60F3">
            <w:pPr>
              <w:spacing w:before="60" w:after="60" w:line="240" w:lineRule="auto"/>
              <w:rPr>
                <w:rFonts w:eastAsia="Calibri" w:cs="Arial"/>
                <w:b/>
                <w:color w:val="FFFFFF"/>
                <w:sz w:val="20"/>
                <w:szCs w:val="20"/>
              </w:rPr>
            </w:pPr>
            <w:r w:rsidRPr="00635E8B">
              <w:rPr>
                <w:rFonts w:eastAsia="Calibri" w:cs="Arial"/>
                <w:b/>
                <w:color w:val="FFFFFF"/>
                <w:sz w:val="20"/>
                <w:szCs w:val="20"/>
              </w:rPr>
              <w:t>Method / Description</w:t>
            </w:r>
          </w:p>
        </w:tc>
        <w:tc>
          <w:tcPr>
            <w:tcW w:w="3026" w:type="dxa"/>
            <w:shd w:val="clear" w:color="auto" w:fill="20ABCA"/>
            <w:vAlign w:val="center"/>
          </w:tcPr>
          <w:p w14:paraId="0A0037A9" w14:textId="77777777" w:rsidR="00635E8B" w:rsidRPr="00635E8B" w:rsidRDefault="00635E8B" w:rsidP="00BE60F3">
            <w:pPr>
              <w:spacing w:before="60" w:after="60" w:line="240" w:lineRule="auto"/>
              <w:rPr>
                <w:rFonts w:eastAsia="Calibri" w:cs="Arial"/>
                <w:b/>
                <w:color w:val="FFFFFF"/>
                <w:sz w:val="20"/>
                <w:szCs w:val="20"/>
              </w:rPr>
            </w:pPr>
            <w:r w:rsidRPr="00635E8B">
              <w:rPr>
                <w:rFonts w:eastAsia="Calibri" w:cs="Arial"/>
                <w:b/>
                <w:color w:val="FFFFFF"/>
                <w:sz w:val="20"/>
                <w:szCs w:val="20"/>
              </w:rPr>
              <w:t>What performance questions can be answered through this method?</w:t>
            </w:r>
          </w:p>
        </w:tc>
        <w:tc>
          <w:tcPr>
            <w:tcW w:w="4984" w:type="dxa"/>
            <w:shd w:val="clear" w:color="auto" w:fill="20ABCA"/>
            <w:vAlign w:val="center"/>
          </w:tcPr>
          <w:p w14:paraId="4563FD00" w14:textId="77777777" w:rsidR="00635E8B" w:rsidRPr="00635E8B" w:rsidRDefault="00635E8B" w:rsidP="00BE60F3">
            <w:pPr>
              <w:spacing w:before="60" w:after="60" w:line="240" w:lineRule="auto"/>
              <w:rPr>
                <w:rFonts w:eastAsia="Calibri" w:cs="Arial"/>
                <w:b/>
                <w:color w:val="FFFFFF"/>
                <w:sz w:val="20"/>
                <w:szCs w:val="20"/>
              </w:rPr>
            </w:pPr>
            <w:r w:rsidRPr="00635E8B">
              <w:rPr>
                <w:rFonts w:eastAsia="Calibri" w:cs="Arial"/>
                <w:b/>
                <w:color w:val="FFFFFF"/>
                <w:sz w:val="20"/>
                <w:szCs w:val="20"/>
              </w:rPr>
              <w:t>When is it a good fit?</w:t>
            </w:r>
          </w:p>
        </w:tc>
      </w:tr>
      <w:tr w:rsidR="00635E8B" w:rsidRPr="00635E8B" w14:paraId="5BCA117A" w14:textId="77777777" w:rsidTr="00F87E8A">
        <w:trPr>
          <w:cantSplit/>
        </w:trPr>
        <w:tc>
          <w:tcPr>
            <w:tcW w:w="5940" w:type="dxa"/>
          </w:tcPr>
          <w:p w14:paraId="673BC512" w14:textId="5A7C7B3A" w:rsidR="00635E8B" w:rsidRPr="00635E8B" w:rsidRDefault="00635E8B" w:rsidP="00BE60F3">
            <w:pPr>
              <w:spacing w:before="60" w:after="60" w:line="240" w:lineRule="auto"/>
              <w:rPr>
                <w:rFonts w:eastAsia="Calibri" w:cs="Arial"/>
                <w:b/>
                <w:sz w:val="20"/>
                <w:szCs w:val="20"/>
              </w:rPr>
            </w:pPr>
            <w:r w:rsidRPr="00635E8B">
              <w:rPr>
                <w:rFonts w:eastAsia="Calibri" w:cs="Arial"/>
                <w:b/>
                <w:sz w:val="20"/>
                <w:szCs w:val="20"/>
              </w:rPr>
              <w:t xml:space="preserve">1. Strategy Testing: </w:t>
            </w:r>
            <w:r w:rsidRPr="00635E8B">
              <w:rPr>
                <w:rFonts w:eastAsia="Calibri" w:cs="Arial"/>
                <w:sz w:val="20"/>
                <w:szCs w:val="20"/>
              </w:rPr>
              <w:t>requires activity teams to take periodic, structured breaks from day-to-day program implementation to collectively reflect on what they have learned and to ask whether the assumptions underpinning their activity strategies are still valid in light of new information, insights, and shifts in local context. Based on such reflection, teams adjust their activities as needed with the aim of increasing the likelihood of achieving desired results, or of redefining desired results</w:t>
            </w:r>
            <w:r w:rsidR="00215416">
              <w:rPr>
                <w:rStyle w:val="FootnoteReference"/>
                <w:rFonts w:eastAsia="Calibri" w:cs="Arial"/>
                <w:sz w:val="20"/>
                <w:szCs w:val="20"/>
              </w:rPr>
              <w:footnoteReference w:id="13"/>
            </w:r>
            <w:r w:rsidRPr="00635E8B">
              <w:rPr>
                <w:rFonts w:eastAsia="Calibri" w:cs="Arial"/>
                <w:sz w:val="20"/>
                <w:szCs w:val="20"/>
              </w:rPr>
              <w:t>.</w:t>
            </w:r>
          </w:p>
        </w:tc>
        <w:tc>
          <w:tcPr>
            <w:tcW w:w="3026" w:type="dxa"/>
          </w:tcPr>
          <w:p w14:paraId="7B041FC6" w14:textId="77777777" w:rsidR="00635E8B" w:rsidRPr="00635E8B" w:rsidRDefault="00635E8B" w:rsidP="00BE60F3">
            <w:pPr>
              <w:spacing w:before="60" w:after="60" w:line="240" w:lineRule="auto"/>
              <w:rPr>
                <w:rFonts w:eastAsia="Calibri" w:cs="Arial"/>
                <w:i/>
                <w:sz w:val="20"/>
                <w:szCs w:val="20"/>
              </w:rPr>
            </w:pPr>
            <w:r w:rsidRPr="00635E8B">
              <w:rPr>
                <w:rFonts w:eastAsia="Calibri" w:cs="Arial"/>
                <w:b/>
                <w:i/>
                <w:sz w:val="20"/>
                <w:szCs w:val="20"/>
              </w:rPr>
              <w:t>Monitoring:</w:t>
            </w:r>
            <w:r w:rsidRPr="00635E8B">
              <w:rPr>
                <w:rFonts w:eastAsia="Calibri" w:cs="Arial"/>
                <w:i/>
                <w:sz w:val="20"/>
                <w:szCs w:val="20"/>
              </w:rPr>
              <w:t xml:space="preserve"> What’s happening? Are we on track? What new information do we have? How have political, social, economic and institutional factors changed? How do we need to refine our approach? What should we stop doing? </w:t>
            </w:r>
          </w:p>
        </w:tc>
        <w:tc>
          <w:tcPr>
            <w:tcW w:w="4984" w:type="dxa"/>
          </w:tcPr>
          <w:p w14:paraId="6843DFC5" w14:textId="77777777" w:rsidR="00635E8B" w:rsidRPr="00635E8B" w:rsidRDefault="00635E8B" w:rsidP="00BE60F3">
            <w:pPr>
              <w:numPr>
                <w:ilvl w:val="0"/>
                <w:numId w:val="16"/>
              </w:numPr>
              <w:spacing w:before="60" w:after="60" w:line="240" w:lineRule="auto"/>
              <w:rPr>
                <w:rFonts w:eastAsia="Calibri" w:cs="Arial"/>
                <w:sz w:val="20"/>
                <w:szCs w:val="20"/>
              </w:rPr>
            </w:pPr>
            <w:r w:rsidRPr="00635E8B">
              <w:rPr>
                <w:rFonts w:eastAsia="Calibri" w:cs="Arial"/>
                <w:sz w:val="20"/>
                <w:szCs w:val="20"/>
              </w:rPr>
              <w:t xml:space="preserve">Useful to apply to activities that are being implemented through ‘navigation by judgement’ pathways, rather than strongly structured programming. </w:t>
            </w:r>
          </w:p>
          <w:p w14:paraId="0EEC77B0" w14:textId="77777777" w:rsidR="00635E8B" w:rsidRPr="00635E8B" w:rsidRDefault="00635E8B" w:rsidP="00BE60F3">
            <w:pPr>
              <w:numPr>
                <w:ilvl w:val="0"/>
                <w:numId w:val="16"/>
              </w:numPr>
              <w:spacing w:before="60" w:after="60" w:line="240" w:lineRule="auto"/>
              <w:rPr>
                <w:rFonts w:eastAsia="Calibri" w:cs="Arial"/>
                <w:sz w:val="20"/>
                <w:szCs w:val="20"/>
              </w:rPr>
            </w:pPr>
            <w:r w:rsidRPr="00635E8B">
              <w:rPr>
                <w:rFonts w:eastAsia="Calibri" w:cs="Arial"/>
                <w:sz w:val="20"/>
                <w:szCs w:val="20"/>
              </w:rPr>
              <w:t>Supports learning and interdisciplinary approaches through structured dialogue.</w:t>
            </w:r>
          </w:p>
          <w:p w14:paraId="20B85CBA" w14:textId="77777777" w:rsidR="00635E8B" w:rsidRPr="00635E8B" w:rsidRDefault="00635E8B" w:rsidP="00BE60F3">
            <w:pPr>
              <w:numPr>
                <w:ilvl w:val="0"/>
                <w:numId w:val="16"/>
              </w:numPr>
              <w:spacing w:before="60" w:after="60" w:line="240" w:lineRule="auto"/>
              <w:rPr>
                <w:rFonts w:eastAsia="Calibri" w:cs="Arial"/>
                <w:sz w:val="20"/>
                <w:szCs w:val="20"/>
              </w:rPr>
            </w:pPr>
            <w:r w:rsidRPr="00635E8B">
              <w:rPr>
                <w:rFonts w:eastAsia="Calibri" w:cs="Arial"/>
                <w:sz w:val="20"/>
                <w:szCs w:val="20"/>
              </w:rPr>
              <w:t>Requires effective facilitation.</w:t>
            </w:r>
          </w:p>
        </w:tc>
      </w:tr>
      <w:tr w:rsidR="00635E8B" w:rsidRPr="00635E8B" w14:paraId="681D6024" w14:textId="77777777" w:rsidTr="00F87E8A">
        <w:trPr>
          <w:cantSplit/>
        </w:trPr>
        <w:tc>
          <w:tcPr>
            <w:tcW w:w="5940" w:type="dxa"/>
          </w:tcPr>
          <w:p w14:paraId="720D6137" w14:textId="22D0B5E0" w:rsidR="00635E8B" w:rsidRPr="00635E8B" w:rsidRDefault="00635E8B" w:rsidP="00BE60F3">
            <w:pPr>
              <w:autoSpaceDE w:val="0"/>
              <w:autoSpaceDN w:val="0"/>
              <w:adjustRightInd w:val="0"/>
              <w:spacing w:before="60" w:after="60" w:line="240" w:lineRule="auto"/>
              <w:rPr>
                <w:rFonts w:eastAsia="Calibri" w:cs="Arial"/>
                <w:sz w:val="20"/>
                <w:szCs w:val="20"/>
              </w:rPr>
            </w:pPr>
            <w:r w:rsidRPr="00635E8B">
              <w:rPr>
                <w:rFonts w:eastAsia="Calibri" w:cs="Arial"/>
                <w:b/>
                <w:sz w:val="20"/>
                <w:szCs w:val="20"/>
              </w:rPr>
              <w:t xml:space="preserve">2. Outcome Mapping: </w:t>
            </w:r>
            <w:r w:rsidRPr="00635E8B">
              <w:rPr>
                <w:rFonts w:eastAsia="Calibri" w:cs="Arial"/>
                <w:sz w:val="20"/>
                <w:szCs w:val="20"/>
              </w:rPr>
              <w:t>is a methodology for planning, monitoring and evaluating initiatives that aim</w:t>
            </w:r>
            <w:r w:rsidR="009B18DE">
              <w:rPr>
                <w:rFonts w:eastAsia="Calibri" w:cs="Arial"/>
                <w:sz w:val="20"/>
                <w:szCs w:val="20"/>
              </w:rPr>
              <w:t>s</w:t>
            </w:r>
            <w:r w:rsidRPr="00635E8B">
              <w:rPr>
                <w:rFonts w:eastAsia="Calibri" w:cs="Arial"/>
                <w:sz w:val="20"/>
                <w:szCs w:val="20"/>
              </w:rPr>
              <w:t xml:space="preserve"> to bring about social change. The process of outcome mapping helps a team or program to be specific about the actors it targets, the changes it expects to see</w:t>
            </w:r>
            <w:r w:rsidR="009B18DE">
              <w:rPr>
                <w:rFonts w:eastAsia="Calibri" w:cs="Arial"/>
                <w:sz w:val="20"/>
                <w:szCs w:val="20"/>
              </w:rPr>
              <w:t>,</w:t>
            </w:r>
            <w:r w:rsidRPr="00635E8B">
              <w:rPr>
                <w:rFonts w:eastAsia="Calibri" w:cs="Arial"/>
                <w:sz w:val="20"/>
                <w:szCs w:val="20"/>
              </w:rPr>
              <w:t xml:space="preserve"> and the strategies it employs. Results are measured in terms of the changes in behaviour, actions or relationships that can be influenced by the team or program. The methodology is comprised of several tools, which can be adapted to different contexts</w:t>
            </w:r>
            <w:r w:rsidR="00215416">
              <w:rPr>
                <w:rStyle w:val="FootnoteReference"/>
                <w:rFonts w:eastAsia="Calibri" w:cs="Arial"/>
                <w:sz w:val="20"/>
                <w:szCs w:val="20"/>
              </w:rPr>
              <w:footnoteReference w:id="14"/>
            </w:r>
            <w:r w:rsidRPr="00635E8B">
              <w:rPr>
                <w:rFonts w:eastAsia="Calibri" w:cs="Arial"/>
                <w:sz w:val="20"/>
                <w:szCs w:val="20"/>
              </w:rPr>
              <w:t>.</w:t>
            </w:r>
          </w:p>
          <w:p w14:paraId="06576A67" w14:textId="77777777" w:rsidR="00635E8B" w:rsidRPr="00635E8B" w:rsidRDefault="00635E8B" w:rsidP="00BE60F3">
            <w:pPr>
              <w:autoSpaceDE w:val="0"/>
              <w:autoSpaceDN w:val="0"/>
              <w:adjustRightInd w:val="0"/>
              <w:spacing w:before="60" w:after="60" w:line="240" w:lineRule="auto"/>
              <w:rPr>
                <w:rFonts w:eastAsia="Calibri" w:cs="Arial"/>
                <w:b/>
                <w:sz w:val="20"/>
                <w:szCs w:val="20"/>
              </w:rPr>
            </w:pPr>
          </w:p>
        </w:tc>
        <w:tc>
          <w:tcPr>
            <w:tcW w:w="3026" w:type="dxa"/>
          </w:tcPr>
          <w:p w14:paraId="6299A8CA" w14:textId="77777777" w:rsidR="00635E8B" w:rsidRPr="00635E8B" w:rsidRDefault="00635E8B" w:rsidP="00BE60F3">
            <w:pPr>
              <w:spacing w:before="60" w:after="60" w:line="240" w:lineRule="auto"/>
              <w:rPr>
                <w:rFonts w:eastAsia="Calibri" w:cs="Arial"/>
                <w:i/>
                <w:sz w:val="20"/>
                <w:szCs w:val="20"/>
              </w:rPr>
            </w:pPr>
            <w:r w:rsidRPr="00635E8B">
              <w:rPr>
                <w:rFonts w:eastAsia="Calibri" w:cs="Arial"/>
                <w:b/>
                <w:i/>
                <w:sz w:val="20"/>
                <w:szCs w:val="20"/>
              </w:rPr>
              <w:t>Design, Monitoring and Evaluation:</w:t>
            </w:r>
            <w:r w:rsidRPr="00635E8B">
              <w:rPr>
                <w:rFonts w:eastAsia="Calibri" w:cs="Arial"/>
                <w:i/>
                <w:sz w:val="20"/>
                <w:szCs w:val="20"/>
              </w:rPr>
              <w:t xml:space="preserve"> What is the system we are working in? Who are the actors and influencers? </w:t>
            </w:r>
          </w:p>
          <w:p w14:paraId="3BED3024" w14:textId="77777777" w:rsidR="00635E8B" w:rsidRPr="00635E8B" w:rsidRDefault="00635E8B" w:rsidP="00BE60F3">
            <w:pPr>
              <w:spacing w:before="60" w:after="60" w:line="240" w:lineRule="auto"/>
              <w:rPr>
                <w:rFonts w:eastAsia="Calibri" w:cs="Arial"/>
                <w:i/>
                <w:sz w:val="20"/>
                <w:szCs w:val="20"/>
              </w:rPr>
            </w:pPr>
            <w:r w:rsidRPr="00635E8B">
              <w:rPr>
                <w:rFonts w:eastAsia="Calibri" w:cs="Arial"/>
                <w:i/>
                <w:sz w:val="20"/>
                <w:szCs w:val="20"/>
              </w:rPr>
              <w:t>What changed behaviours or systems are we seeking to influence?</w:t>
            </w:r>
            <w:r w:rsidRPr="00635E8B">
              <w:rPr>
                <w:rFonts w:eastAsia="Calibri" w:cs="Arial"/>
                <w:sz w:val="20"/>
                <w:szCs w:val="20"/>
              </w:rPr>
              <w:t xml:space="preserve"> </w:t>
            </w:r>
            <w:r w:rsidRPr="00635E8B">
              <w:rPr>
                <w:rFonts w:eastAsia="Calibri" w:cs="Arial"/>
                <w:i/>
                <w:sz w:val="20"/>
                <w:szCs w:val="20"/>
              </w:rPr>
              <w:t>What can we do to influence change?</w:t>
            </w:r>
          </w:p>
          <w:p w14:paraId="155C97FE" w14:textId="77777777" w:rsidR="00635E8B" w:rsidRPr="00635E8B" w:rsidRDefault="00635E8B" w:rsidP="00BE60F3">
            <w:pPr>
              <w:spacing w:before="60" w:after="60" w:line="240" w:lineRule="auto"/>
              <w:rPr>
                <w:rFonts w:eastAsia="Calibri" w:cs="Arial"/>
                <w:sz w:val="20"/>
                <w:szCs w:val="20"/>
              </w:rPr>
            </w:pPr>
            <w:r w:rsidRPr="00635E8B">
              <w:rPr>
                <w:rFonts w:eastAsia="Calibri" w:cs="Arial"/>
                <w:i/>
                <w:sz w:val="20"/>
                <w:szCs w:val="20"/>
              </w:rPr>
              <w:t>What has changed? How did we contribute?</w:t>
            </w:r>
          </w:p>
        </w:tc>
        <w:tc>
          <w:tcPr>
            <w:tcW w:w="4984" w:type="dxa"/>
          </w:tcPr>
          <w:p w14:paraId="1C3FA69F" w14:textId="3DF83D8B" w:rsidR="00635E8B" w:rsidRPr="00635E8B" w:rsidRDefault="00635E8B" w:rsidP="00BE60F3">
            <w:pPr>
              <w:numPr>
                <w:ilvl w:val="0"/>
                <w:numId w:val="15"/>
              </w:numPr>
              <w:spacing w:before="60" w:after="60" w:line="240" w:lineRule="auto"/>
              <w:rPr>
                <w:rFonts w:eastAsia="Calibri" w:cs="Arial"/>
                <w:sz w:val="20"/>
                <w:szCs w:val="20"/>
              </w:rPr>
            </w:pPr>
            <w:r w:rsidRPr="00635E8B">
              <w:rPr>
                <w:rFonts w:eastAsia="Calibri" w:cs="Arial"/>
                <w:sz w:val="20"/>
                <w:szCs w:val="20"/>
              </w:rPr>
              <w:t>Most useful to apply to designing and evaluating activities through structured programming; somewhat useful to apply to activities that are being implemented through ‘navigation by judgement’.</w:t>
            </w:r>
          </w:p>
          <w:p w14:paraId="50E7CFD8" w14:textId="77777777" w:rsidR="00635E8B" w:rsidRPr="00635E8B" w:rsidRDefault="00635E8B" w:rsidP="00BE60F3">
            <w:pPr>
              <w:numPr>
                <w:ilvl w:val="0"/>
                <w:numId w:val="15"/>
              </w:numPr>
              <w:spacing w:before="60" w:after="60" w:line="240" w:lineRule="auto"/>
              <w:rPr>
                <w:rFonts w:eastAsia="Calibri" w:cs="Arial"/>
                <w:sz w:val="20"/>
                <w:szCs w:val="20"/>
              </w:rPr>
            </w:pPr>
            <w:r w:rsidRPr="00635E8B">
              <w:rPr>
                <w:rFonts w:eastAsia="Calibri" w:cs="Arial"/>
                <w:sz w:val="20"/>
                <w:szCs w:val="20"/>
              </w:rPr>
              <w:t>Enables interdisciplinary approaches through structured dialogue.</w:t>
            </w:r>
          </w:p>
        </w:tc>
      </w:tr>
      <w:tr w:rsidR="00635E8B" w:rsidRPr="00635E8B" w14:paraId="16D7B659" w14:textId="77777777" w:rsidTr="00F87E8A">
        <w:trPr>
          <w:cantSplit/>
        </w:trPr>
        <w:tc>
          <w:tcPr>
            <w:tcW w:w="5940" w:type="dxa"/>
          </w:tcPr>
          <w:p w14:paraId="49FE3AA4" w14:textId="28AD09BE" w:rsidR="00635E8B" w:rsidRPr="00635E8B" w:rsidRDefault="00635E8B" w:rsidP="00BE60F3">
            <w:pPr>
              <w:spacing w:before="60" w:after="60" w:line="240" w:lineRule="auto"/>
              <w:rPr>
                <w:rFonts w:eastAsia="Calibri" w:cs="Arial"/>
                <w:sz w:val="20"/>
                <w:szCs w:val="20"/>
              </w:rPr>
            </w:pPr>
            <w:r w:rsidRPr="00635E8B">
              <w:rPr>
                <w:rFonts w:eastAsia="Calibri" w:cs="Arial"/>
                <w:b/>
                <w:sz w:val="20"/>
                <w:szCs w:val="20"/>
              </w:rPr>
              <w:t>3. Outcome Harvesting:</w:t>
            </w:r>
            <w:r w:rsidRPr="00635E8B">
              <w:rPr>
                <w:rFonts w:eastAsia="Calibri" w:cs="Arial"/>
                <w:sz w:val="20"/>
                <w:szCs w:val="20"/>
              </w:rPr>
              <w:t xml:space="preserve"> </w:t>
            </w:r>
            <w:r w:rsidRPr="00635E8B">
              <w:rPr>
                <w:rFonts w:eastAsia="Calibri" w:cs="Arial"/>
                <w:sz w:val="20"/>
                <w:szCs w:val="20"/>
                <w:lang w:val="en"/>
              </w:rPr>
              <w:t xml:space="preserve">enables evaluators and managers to identify, verify, and make sense of outcomes they have influenced when relationships of cause-effect are unknown or less certain. Outcome </w:t>
            </w:r>
            <w:r w:rsidR="009B18DE">
              <w:rPr>
                <w:rFonts w:eastAsia="Calibri" w:cs="Arial"/>
                <w:sz w:val="20"/>
                <w:szCs w:val="20"/>
                <w:lang w:val="en"/>
              </w:rPr>
              <w:t>h</w:t>
            </w:r>
            <w:r w:rsidRPr="00635E8B">
              <w:rPr>
                <w:rFonts w:eastAsia="Calibri" w:cs="Arial"/>
                <w:sz w:val="20"/>
                <w:szCs w:val="20"/>
                <w:lang w:val="en"/>
              </w:rPr>
              <w:t>arvesting collects evidence of what has been achieved, and works backward to determine whether and how the program contributed to the change</w:t>
            </w:r>
            <w:r w:rsidR="00215416">
              <w:rPr>
                <w:rStyle w:val="FootnoteReference"/>
                <w:rFonts w:eastAsia="Calibri" w:cs="Arial"/>
                <w:sz w:val="20"/>
                <w:szCs w:val="20"/>
                <w:lang w:val="en"/>
              </w:rPr>
              <w:footnoteReference w:id="15"/>
            </w:r>
            <w:r w:rsidRPr="00635E8B">
              <w:rPr>
                <w:rFonts w:eastAsia="Calibri" w:cs="Arial"/>
                <w:sz w:val="20"/>
                <w:szCs w:val="20"/>
                <w:lang w:val="en"/>
              </w:rPr>
              <w:t xml:space="preserve">. </w:t>
            </w:r>
          </w:p>
        </w:tc>
        <w:tc>
          <w:tcPr>
            <w:tcW w:w="3026" w:type="dxa"/>
          </w:tcPr>
          <w:p w14:paraId="391C7F31" w14:textId="77777777" w:rsidR="00635E8B" w:rsidRPr="00635E8B" w:rsidRDefault="00635E8B" w:rsidP="00BE60F3">
            <w:pPr>
              <w:spacing w:before="60" w:after="60" w:line="240" w:lineRule="auto"/>
              <w:rPr>
                <w:rFonts w:eastAsia="Calibri" w:cs="Arial"/>
                <w:i/>
                <w:sz w:val="20"/>
                <w:szCs w:val="20"/>
              </w:rPr>
            </w:pPr>
            <w:r w:rsidRPr="00635E8B">
              <w:rPr>
                <w:rFonts w:eastAsia="Calibri" w:cs="Arial"/>
                <w:b/>
                <w:sz w:val="20"/>
                <w:szCs w:val="20"/>
              </w:rPr>
              <w:t>Evaluation:</w:t>
            </w:r>
            <w:r w:rsidRPr="00635E8B">
              <w:rPr>
                <w:rFonts w:eastAsia="Calibri" w:cs="Arial"/>
                <w:sz w:val="20"/>
                <w:szCs w:val="20"/>
              </w:rPr>
              <w:t xml:space="preserve"> </w:t>
            </w:r>
            <w:r w:rsidRPr="00635E8B">
              <w:rPr>
                <w:rFonts w:eastAsia="Calibri" w:cs="Arial"/>
                <w:i/>
                <w:sz w:val="20"/>
                <w:szCs w:val="20"/>
              </w:rPr>
              <w:t xml:space="preserve">To what extent has Prospera contributed to an observed outcome? </w:t>
            </w:r>
          </w:p>
          <w:p w14:paraId="15485DEF" w14:textId="77777777" w:rsidR="00635E8B" w:rsidRPr="00635E8B" w:rsidRDefault="00635E8B" w:rsidP="00BE60F3">
            <w:pPr>
              <w:spacing w:before="60" w:after="60" w:line="240" w:lineRule="auto"/>
              <w:rPr>
                <w:rFonts w:eastAsia="Calibri" w:cs="Arial"/>
                <w:i/>
                <w:sz w:val="20"/>
                <w:szCs w:val="20"/>
              </w:rPr>
            </w:pPr>
            <w:r w:rsidRPr="00635E8B">
              <w:rPr>
                <w:rFonts w:eastAsia="Calibri" w:cs="Arial"/>
                <w:i/>
                <w:sz w:val="20"/>
                <w:szCs w:val="20"/>
              </w:rPr>
              <w:t xml:space="preserve">What else has contributed to the change? </w:t>
            </w:r>
          </w:p>
          <w:p w14:paraId="14485937" w14:textId="77777777" w:rsidR="00635E8B" w:rsidRPr="00635E8B" w:rsidRDefault="00635E8B" w:rsidP="00BE60F3">
            <w:pPr>
              <w:spacing w:before="60" w:after="60" w:line="240" w:lineRule="auto"/>
              <w:rPr>
                <w:rFonts w:eastAsia="Calibri" w:cs="Arial"/>
                <w:i/>
                <w:sz w:val="20"/>
                <w:szCs w:val="20"/>
              </w:rPr>
            </w:pPr>
            <w:r w:rsidRPr="00635E8B">
              <w:rPr>
                <w:rFonts w:eastAsia="Calibri" w:cs="Arial"/>
                <w:i/>
                <w:sz w:val="20"/>
                <w:szCs w:val="20"/>
              </w:rPr>
              <w:t>What has worked and why? For whom and in what context?</w:t>
            </w:r>
          </w:p>
        </w:tc>
        <w:tc>
          <w:tcPr>
            <w:tcW w:w="4984" w:type="dxa"/>
          </w:tcPr>
          <w:p w14:paraId="36936015" w14:textId="77777777" w:rsidR="00635E8B" w:rsidRPr="00635E8B" w:rsidRDefault="00635E8B" w:rsidP="00BE60F3">
            <w:pPr>
              <w:numPr>
                <w:ilvl w:val="0"/>
                <w:numId w:val="14"/>
              </w:numPr>
              <w:spacing w:before="60" w:after="60" w:line="240" w:lineRule="auto"/>
              <w:rPr>
                <w:rFonts w:eastAsia="Calibri" w:cs="Arial"/>
                <w:sz w:val="20"/>
                <w:szCs w:val="20"/>
              </w:rPr>
            </w:pPr>
            <w:r w:rsidRPr="00635E8B">
              <w:rPr>
                <w:rFonts w:eastAsia="Calibri" w:cs="Arial"/>
                <w:sz w:val="20"/>
                <w:szCs w:val="20"/>
              </w:rPr>
              <w:t xml:space="preserve">Useful to apply to activities that are being implemented through navigation by judgement pathways, rather than strongly structured programming. </w:t>
            </w:r>
          </w:p>
          <w:p w14:paraId="4ED9DBF2" w14:textId="77777777" w:rsidR="00635E8B" w:rsidRPr="00635E8B" w:rsidRDefault="00635E8B" w:rsidP="00BE60F3">
            <w:pPr>
              <w:numPr>
                <w:ilvl w:val="0"/>
                <w:numId w:val="14"/>
              </w:numPr>
              <w:spacing w:before="60" w:after="60" w:line="240" w:lineRule="auto"/>
              <w:rPr>
                <w:rFonts w:eastAsia="Calibri" w:cs="Arial"/>
                <w:sz w:val="20"/>
                <w:szCs w:val="20"/>
              </w:rPr>
            </w:pPr>
            <w:r w:rsidRPr="00635E8B">
              <w:rPr>
                <w:rFonts w:eastAsia="Calibri" w:cs="Arial"/>
                <w:sz w:val="20"/>
                <w:szCs w:val="20"/>
              </w:rPr>
              <w:t xml:space="preserve">Supports learning and interdisciplinary approaches. </w:t>
            </w:r>
          </w:p>
        </w:tc>
      </w:tr>
      <w:tr w:rsidR="00635E8B" w:rsidRPr="00635E8B" w14:paraId="449E4421" w14:textId="77777777" w:rsidTr="00F87E8A">
        <w:trPr>
          <w:cantSplit/>
        </w:trPr>
        <w:tc>
          <w:tcPr>
            <w:tcW w:w="5940" w:type="dxa"/>
          </w:tcPr>
          <w:p w14:paraId="6C7B293B" w14:textId="458A770B" w:rsidR="00635E8B" w:rsidRPr="00635E8B" w:rsidRDefault="00635E8B" w:rsidP="00BE60F3">
            <w:pPr>
              <w:spacing w:before="60" w:after="60" w:line="240" w:lineRule="auto"/>
              <w:rPr>
                <w:rFonts w:eastAsia="Calibri" w:cs="Arial"/>
                <w:color w:val="000000"/>
                <w:sz w:val="20"/>
                <w:szCs w:val="20"/>
              </w:rPr>
            </w:pPr>
            <w:r w:rsidRPr="00635E8B">
              <w:rPr>
                <w:rFonts w:eastAsia="Calibri" w:cs="Arial"/>
                <w:b/>
                <w:color w:val="000000"/>
                <w:sz w:val="20"/>
                <w:szCs w:val="20"/>
              </w:rPr>
              <w:t>4.</w:t>
            </w:r>
            <w:r w:rsidRPr="00635E8B">
              <w:rPr>
                <w:rFonts w:eastAsia="Calibri" w:cs="Arial"/>
                <w:color w:val="000000"/>
                <w:sz w:val="20"/>
                <w:szCs w:val="20"/>
              </w:rPr>
              <w:t xml:space="preserve"> </w:t>
            </w:r>
            <w:r w:rsidRPr="00635E8B">
              <w:rPr>
                <w:rFonts w:eastAsia="Calibri" w:cs="Arial"/>
                <w:b/>
                <w:color w:val="000000"/>
                <w:sz w:val="20"/>
                <w:szCs w:val="20"/>
              </w:rPr>
              <w:t>Significant Instances of Policy and Systems Improvement:</w:t>
            </w:r>
            <w:r w:rsidRPr="00635E8B">
              <w:rPr>
                <w:rFonts w:eastAsia="Calibri" w:cs="Arial"/>
                <w:color w:val="000000"/>
                <w:sz w:val="20"/>
                <w:szCs w:val="20"/>
              </w:rPr>
              <w:t xml:space="preserve"> a relatively new technique that combines two different tools:</w:t>
            </w:r>
          </w:p>
          <w:p w14:paraId="4BE99F6A" w14:textId="77777777" w:rsidR="00635E8B" w:rsidRPr="00635E8B" w:rsidRDefault="00635E8B" w:rsidP="00BE60F3">
            <w:pPr>
              <w:numPr>
                <w:ilvl w:val="0"/>
                <w:numId w:val="8"/>
              </w:numPr>
              <w:spacing w:before="60" w:after="60" w:line="240" w:lineRule="auto"/>
              <w:ind w:left="426" w:hanging="284"/>
              <w:rPr>
                <w:rFonts w:eastAsia="Calibri" w:cs="Arial"/>
                <w:color w:val="000000"/>
                <w:sz w:val="20"/>
                <w:szCs w:val="20"/>
              </w:rPr>
            </w:pPr>
            <w:r w:rsidRPr="00635E8B">
              <w:rPr>
                <w:rFonts w:eastAsia="Calibri" w:cs="Arial"/>
                <w:color w:val="000000"/>
                <w:sz w:val="20"/>
                <w:szCs w:val="20"/>
              </w:rPr>
              <w:t>Outcome harvesting (above)</w:t>
            </w:r>
          </w:p>
          <w:p w14:paraId="5C957D66" w14:textId="77777777" w:rsidR="00635E8B" w:rsidRPr="00635E8B" w:rsidRDefault="00635E8B" w:rsidP="00BE60F3">
            <w:pPr>
              <w:numPr>
                <w:ilvl w:val="0"/>
                <w:numId w:val="8"/>
              </w:numPr>
              <w:spacing w:before="60" w:after="60" w:line="240" w:lineRule="auto"/>
              <w:ind w:left="426" w:hanging="284"/>
              <w:rPr>
                <w:rFonts w:eastAsia="Calibri" w:cs="Arial"/>
                <w:color w:val="000000"/>
                <w:sz w:val="20"/>
                <w:szCs w:val="20"/>
              </w:rPr>
            </w:pPr>
            <w:r w:rsidRPr="00635E8B">
              <w:rPr>
                <w:rFonts w:eastAsia="Calibri" w:cs="Arial"/>
                <w:color w:val="000000"/>
                <w:sz w:val="20"/>
                <w:szCs w:val="20"/>
              </w:rPr>
              <w:t xml:space="preserve">Most Significant Change Technique (below) </w:t>
            </w:r>
          </w:p>
          <w:p w14:paraId="6DF88E5D" w14:textId="77777777" w:rsidR="00635E8B" w:rsidRPr="00635E8B" w:rsidRDefault="00635E8B" w:rsidP="00BE60F3">
            <w:pPr>
              <w:spacing w:before="60" w:after="60" w:line="240" w:lineRule="auto"/>
              <w:rPr>
                <w:rFonts w:eastAsia="Calibri" w:cs="Arial"/>
                <w:color w:val="000000"/>
                <w:sz w:val="20"/>
                <w:szCs w:val="20"/>
              </w:rPr>
            </w:pPr>
            <w:r w:rsidRPr="00635E8B">
              <w:rPr>
                <w:rFonts w:eastAsia="Calibri" w:cs="Arial"/>
                <w:color w:val="000000"/>
                <w:sz w:val="20"/>
                <w:szCs w:val="20"/>
              </w:rPr>
              <w:t xml:space="preserve">It is specifically designed for measuring and reporting on emergent instances of policy and systems improvement that have been supported by Prospera, and to then enable understanding of Prospera’s contribution to the improvement. </w:t>
            </w:r>
          </w:p>
          <w:p w14:paraId="737A7D98" w14:textId="77777777" w:rsidR="00635E8B" w:rsidRPr="00635E8B" w:rsidRDefault="00635E8B" w:rsidP="00BE60F3">
            <w:pPr>
              <w:numPr>
                <w:ilvl w:val="0"/>
                <w:numId w:val="13"/>
              </w:numPr>
              <w:spacing w:before="60" w:after="60" w:line="240" w:lineRule="auto"/>
              <w:rPr>
                <w:rFonts w:eastAsia="Calibri" w:cs="Arial"/>
                <w:color w:val="000000"/>
                <w:sz w:val="20"/>
                <w:szCs w:val="20"/>
              </w:rPr>
            </w:pPr>
            <w:r w:rsidRPr="00635E8B">
              <w:rPr>
                <w:rFonts w:eastAsia="Calibri" w:cs="Arial"/>
                <w:b/>
                <w:color w:val="000000"/>
                <w:sz w:val="20"/>
                <w:szCs w:val="20"/>
              </w:rPr>
              <w:t>Significant:</w:t>
            </w:r>
            <w:r w:rsidRPr="00635E8B">
              <w:rPr>
                <w:rFonts w:eastAsia="Calibri" w:cs="Arial"/>
                <w:color w:val="000000"/>
                <w:sz w:val="20"/>
                <w:szCs w:val="20"/>
              </w:rPr>
              <w:t xml:space="preserve"> means that the result will make or has potential to make a substantial difference, it should be a newsworthy result. </w:t>
            </w:r>
          </w:p>
          <w:p w14:paraId="3D311B24" w14:textId="77777777" w:rsidR="00635E8B" w:rsidRPr="00635E8B" w:rsidRDefault="00635E8B" w:rsidP="00BE60F3">
            <w:pPr>
              <w:numPr>
                <w:ilvl w:val="0"/>
                <w:numId w:val="13"/>
              </w:numPr>
              <w:spacing w:before="60" w:after="60" w:line="240" w:lineRule="auto"/>
              <w:rPr>
                <w:rFonts w:eastAsia="Calibri" w:cs="Arial"/>
                <w:color w:val="000000"/>
                <w:sz w:val="20"/>
                <w:szCs w:val="20"/>
              </w:rPr>
            </w:pPr>
            <w:r w:rsidRPr="00635E8B">
              <w:rPr>
                <w:rFonts w:eastAsia="Calibri" w:cs="Arial"/>
                <w:b/>
                <w:color w:val="000000"/>
                <w:sz w:val="20"/>
                <w:szCs w:val="20"/>
              </w:rPr>
              <w:t>Instance:</w:t>
            </w:r>
            <w:r w:rsidRPr="00635E8B">
              <w:rPr>
                <w:rFonts w:eastAsia="Calibri" w:cs="Arial"/>
                <w:color w:val="000000"/>
                <w:sz w:val="20"/>
                <w:szCs w:val="20"/>
              </w:rPr>
              <w:t xml:space="preserve"> means a specific result, it should be distinguishable from other instances that have been already reported.</w:t>
            </w:r>
          </w:p>
          <w:p w14:paraId="45092FCF" w14:textId="44820FEA" w:rsidR="000E7A9A" w:rsidRPr="000E7A9A" w:rsidRDefault="00635E8B" w:rsidP="00BE60F3">
            <w:pPr>
              <w:numPr>
                <w:ilvl w:val="0"/>
                <w:numId w:val="13"/>
              </w:numPr>
              <w:spacing w:before="60" w:after="60" w:line="240" w:lineRule="auto"/>
              <w:rPr>
                <w:rFonts w:eastAsia="Calibri" w:cs="Arial"/>
                <w:sz w:val="20"/>
                <w:szCs w:val="20"/>
              </w:rPr>
            </w:pPr>
            <w:r w:rsidRPr="00635E8B">
              <w:rPr>
                <w:rFonts w:eastAsia="Calibri" w:cs="Arial"/>
                <w:b/>
                <w:color w:val="000000"/>
                <w:sz w:val="20"/>
                <w:szCs w:val="20"/>
              </w:rPr>
              <w:t>Policy or systems improvement:</w:t>
            </w:r>
            <w:r w:rsidRPr="00635E8B">
              <w:rPr>
                <w:rFonts w:eastAsia="Calibri" w:cs="Arial"/>
                <w:color w:val="000000"/>
                <w:sz w:val="20"/>
                <w:szCs w:val="20"/>
              </w:rPr>
              <w:t xml:space="preserve"> infers that the policy/system in question is improved in some manner in alignment with Prospera’s breakthroughs</w:t>
            </w:r>
            <w:r w:rsidR="00215416">
              <w:rPr>
                <w:rStyle w:val="FootnoteReference"/>
                <w:rFonts w:eastAsia="Calibri" w:cs="Arial"/>
                <w:color w:val="000000"/>
                <w:sz w:val="20"/>
                <w:szCs w:val="20"/>
              </w:rPr>
              <w:footnoteReference w:id="16"/>
            </w:r>
            <w:r w:rsidRPr="00635E8B">
              <w:rPr>
                <w:rFonts w:eastAsia="Calibri" w:cs="Arial"/>
                <w:color w:val="000000"/>
                <w:sz w:val="20"/>
                <w:szCs w:val="20"/>
              </w:rPr>
              <w:t>.</w:t>
            </w:r>
          </w:p>
          <w:p w14:paraId="1FEB15B6" w14:textId="75E3F3B4" w:rsidR="000E7A9A" w:rsidRPr="000E7A9A" w:rsidRDefault="000E7A9A" w:rsidP="00BE60F3">
            <w:pPr>
              <w:spacing w:before="60" w:after="60" w:line="240" w:lineRule="auto"/>
              <w:rPr>
                <w:rFonts w:eastAsia="Calibri" w:cs="Arial"/>
                <w:sz w:val="20"/>
                <w:szCs w:val="20"/>
              </w:rPr>
            </w:pPr>
          </w:p>
        </w:tc>
        <w:tc>
          <w:tcPr>
            <w:tcW w:w="3026" w:type="dxa"/>
          </w:tcPr>
          <w:p w14:paraId="18ACB499" w14:textId="77777777" w:rsidR="00635E8B" w:rsidRPr="00635E8B" w:rsidRDefault="00635E8B" w:rsidP="00BE60F3">
            <w:pPr>
              <w:spacing w:before="60" w:after="60" w:line="240" w:lineRule="auto"/>
              <w:rPr>
                <w:rFonts w:eastAsia="Calibri" w:cs="Arial"/>
                <w:i/>
                <w:sz w:val="20"/>
                <w:szCs w:val="20"/>
              </w:rPr>
            </w:pPr>
            <w:r w:rsidRPr="00635E8B">
              <w:rPr>
                <w:rFonts w:eastAsia="Calibri" w:cs="Arial"/>
                <w:b/>
                <w:i/>
                <w:sz w:val="20"/>
                <w:szCs w:val="20"/>
              </w:rPr>
              <w:t xml:space="preserve">Evaluation: </w:t>
            </w:r>
            <w:r w:rsidRPr="00635E8B">
              <w:rPr>
                <w:rFonts w:eastAsia="Calibri" w:cs="Arial"/>
                <w:i/>
                <w:sz w:val="20"/>
                <w:szCs w:val="20"/>
              </w:rPr>
              <w:t xml:space="preserve">What has changed or improved within Prospera’s outcome set? </w:t>
            </w:r>
          </w:p>
          <w:p w14:paraId="3498FE04" w14:textId="77777777" w:rsidR="00635E8B" w:rsidRPr="00635E8B" w:rsidRDefault="00635E8B" w:rsidP="00BE60F3">
            <w:pPr>
              <w:spacing w:before="60" w:after="60" w:line="240" w:lineRule="auto"/>
              <w:rPr>
                <w:rFonts w:eastAsia="Calibri" w:cs="Arial"/>
                <w:i/>
                <w:sz w:val="20"/>
                <w:szCs w:val="20"/>
              </w:rPr>
            </w:pPr>
            <w:r w:rsidRPr="00635E8B">
              <w:rPr>
                <w:rFonts w:eastAsia="Calibri" w:cs="Arial"/>
                <w:i/>
                <w:sz w:val="20"/>
                <w:szCs w:val="20"/>
              </w:rPr>
              <w:t>To what extent has Prospera’s effort contributed to this change or improvement? What else has enabled the change?</w:t>
            </w:r>
          </w:p>
        </w:tc>
        <w:tc>
          <w:tcPr>
            <w:tcW w:w="4984" w:type="dxa"/>
          </w:tcPr>
          <w:p w14:paraId="6C55AE46" w14:textId="5A5E8672" w:rsidR="00635E8B" w:rsidRPr="00635E8B" w:rsidRDefault="00635E8B" w:rsidP="00BE60F3">
            <w:pPr>
              <w:numPr>
                <w:ilvl w:val="0"/>
                <w:numId w:val="17"/>
              </w:numPr>
              <w:spacing w:before="60" w:after="60" w:line="240" w:lineRule="auto"/>
              <w:rPr>
                <w:rFonts w:eastAsia="Calibri" w:cs="Arial"/>
                <w:sz w:val="20"/>
                <w:szCs w:val="20"/>
              </w:rPr>
            </w:pPr>
            <w:r w:rsidRPr="00635E8B">
              <w:rPr>
                <w:rFonts w:eastAsia="Calibri" w:cs="Arial"/>
                <w:sz w:val="20"/>
                <w:szCs w:val="20"/>
              </w:rPr>
              <w:t xml:space="preserve">Has been effectively applied by AIPEG / </w:t>
            </w:r>
            <w:r w:rsidR="00365600">
              <w:rPr>
                <w:rFonts w:eastAsia="Calibri" w:cs="Arial"/>
                <w:sz w:val="20"/>
                <w:szCs w:val="20"/>
              </w:rPr>
              <w:t xml:space="preserve">GPF and </w:t>
            </w:r>
            <w:r w:rsidRPr="00635E8B">
              <w:rPr>
                <w:rFonts w:eastAsia="Calibri" w:cs="Arial"/>
                <w:sz w:val="20"/>
                <w:szCs w:val="20"/>
              </w:rPr>
              <w:t>Prospera</w:t>
            </w:r>
          </w:p>
          <w:p w14:paraId="2E0BB6EE" w14:textId="77777777" w:rsidR="00635E8B" w:rsidRPr="00635E8B" w:rsidRDefault="00635E8B" w:rsidP="00BE60F3">
            <w:pPr>
              <w:numPr>
                <w:ilvl w:val="0"/>
                <w:numId w:val="17"/>
              </w:numPr>
              <w:spacing w:before="60" w:after="60" w:line="240" w:lineRule="auto"/>
              <w:rPr>
                <w:rFonts w:eastAsia="Calibri" w:cs="Arial"/>
                <w:sz w:val="20"/>
                <w:szCs w:val="20"/>
              </w:rPr>
            </w:pPr>
            <w:r w:rsidRPr="00635E8B">
              <w:rPr>
                <w:rFonts w:eastAsia="Calibri" w:cs="Arial"/>
                <w:sz w:val="20"/>
                <w:szCs w:val="20"/>
              </w:rPr>
              <w:t>Very useful for capturing instances of policy change for reporting against the DFAT Performance Assessment Framework and more broadly.</w:t>
            </w:r>
          </w:p>
          <w:p w14:paraId="127599E9" w14:textId="77777777" w:rsidR="00635E8B" w:rsidRPr="00635E8B" w:rsidRDefault="00635E8B" w:rsidP="00BE60F3">
            <w:pPr>
              <w:numPr>
                <w:ilvl w:val="0"/>
                <w:numId w:val="17"/>
              </w:numPr>
              <w:spacing w:before="60" w:after="60" w:line="240" w:lineRule="auto"/>
              <w:rPr>
                <w:rFonts w:eastAsia="Calibri" w:cs="Arial"/>
                <w:sz w:val="20"/>
                <w:szCs w:val="20"/>
              </w:rPr>
            </w:pPr>
            <w:r w:rsidRPr="00635E8B">
              <w:rPr>
                <w:rFonts w:eastAsia="Calibri" w:cs="Arial"/>
                <w:sz w:val="20"/>
                <w:szCs w:val="20"/>
              </w:rPr>
              <w:t xml:space="preserve">Each instance captured will contribute to a cumulative set of evidence of contribution to outcomes over the life of the facility. </w:t>
            </w:r>
          </w:p>
        </w:tc>
      </w:tr>
      <w:tr w:rsidR="00635E8B" w:rsidRPr="00635E8B" w14:paraId="6964763D" w14:textId="77777777" w:rsidTr="00F87E8A">
        <w:trPr>
          <w:cantSplit/>
          <w:trHeight w:val="2284"/>
        </w:trPr>
        <w:tc>
          <w:tcPr>
            <w:tcW w:w="5940" w:type="dxa"/>
          </w:tcPr>
          <w:p w14:paraId="06A88095" w14:textId="796C5E03" w:rsidR="00635E8B" w:rsidRPr="00635E8B" w:rsidRDefault="00635E8B" w:rsidP="00BE60F3">
            <w:pPr>
              <w:spacing w:before="60" w:after="60" w:line="240" w:lineRule="auto"/>
              <w:rPr>
                <w:rFonts w:eastAsia="Calibri" w:cs="Arial"/>
                <w:color w:val="000000"/>
                <w:sz w:val="20"/>
                <w:szCs w:val="20"/>
              </w:rPr>
            </w:pPr>
            <w:r w:rsidRPr="00635E8B">
              <w:rPr>
                <w:rFonts w:eastAsia="Calibri" w:cs="Arial"/>
                <w:b/>
                <w:sz w:val="20"/>
                <w:szCs w:val="20"/>
              </w:rPr>
              <w:t xml:space="preserve">5. Case Study: </w:t>
            </w:r>
            <w:r w:rsidRPr="00635E8B">
              <w:rPr>
                <w:rFonts w:eastAsia="Calibri" w:cs="Arial"/>
                <w:color w:val="000000"/>
                <w:sz w:val="20"/>
                <w:szCs w:val="20"/>
              </w:rPr>
              <w:t>Extensive description and analysis of a change taken as a whole and in its context. A case study is focused on specifics, not generalisation. Often used when interventions are too complex for survey or experimental strategies.</w:t>
            </w:r>
            <w:r w:rsidRPr="00635E8B">
              <w:rPr>
                <w:rFonts w:eastAsia="Calibri" w:cs="Arial"/>
                <w:sz w:val="20"/>
                <w:szCs w:val="20"/>
                <w:vertAlign w:val="superscript"/>
              </w:rPr>
              <w:footnoteReference w:id="17"/>
            </w:r>
          </w:p>
          <w:p w14:paraId="09597866" w14:textId="77777777" w:rsidR="00635E8B" w:rsidRPr="00635E8B" w:rsidRDefault="00635E8B" w:rsidP="00BE60F3">
            <w:pPr>
              <w:spacing w:before="60" w:after="60" w:line="240" w:lineRule="auto"/>
              <w:rPr>
                <w:rFonts w:eastAsia="Calibri" w:cs="Arial"/>
                <w:b/>
                <w:color w:val="000000"/>
                <w:sz w:val="20"/>
                <w:szCs w:val="20"/>
              </w:rPr>
            </w:pPr>
          </w:p>
        </w:tc>
        <w:tc>
          <w:tcPr>
            <w:tcW w:w="3026" w:type="dxa"/>
          </w:tcPr>
          <w:p w14:paraId="486C913C" w14:textId="77777777" w:rsidR="00635E8B" w:rsidRPr="00635E8B" w:rsidRDefault="00635E8B" w:rsidP="00BE60F3">
            <w:pPr>
              <w:spacing w:before="60" w:after="60" w:line="240" w:lineRule="auto"/>
              <w:rPr>
                <w:rFonts w:eastAsia="Calibri" w:cs="Arial"/>
                <w:b/>
                <w:sz w:val="20"/>
                <w:szCs w:val="20"/>
              </w:rPr>
            </w:pPr>
            <w:r w:rsidRPr="00635E8B">
              <w:rPr>
                <w:rFonts w:eastAsia="Calibri" w:cs="Arial"/>
                <w:b/>
                <w:sz w:val="20"/>
                <w:szCs w:val="20"/>
              </w:rPr>
              <w:t xml:space="preserve">Evaluation: Effectiveness / Appropriateness </w:t>
            </w:r>
          </w:p>
          <w:p w14:paraId="080C7CC6" w14:textId="77777777" w:rsidR="00635E8B" w:rsidRPr="00635E8B" w:rsidRDefault="00635E8B" w:rsidP="00BE60F3">
            <w:pPr>
              <w:spacing w:before="60" w:after="60" w:line="240" w:lineRule="auto"/>
              <w:rPr>
                <w:rFonts w:eastAsia="Calibri" w:cs="Arial"/>
                <w:b/>
                <w:i/>
                <w:sz w:val="20"/>
                <w:szCs w:val="20"/>
              </w:rPr>
            </w:pPr>
            <w:r w:rsidRPr="00635E8B">
              <w:rPr>
                <w:rFonts w:eastAsia="Calibri" w:cs="Arial"/>
                <w:i/>
                <w:sz w:val="20"/>
                <w:szCs w:val="20"/>
              </w:rPr>
              <w:t>What has worked? Why? And for whom and in what context?</w:t>
            </w:r>
            <w:r w:rsidRPr="00635E8B">
              <w:rPr>
                <w:rFonts w:eastAsia="Calibri" w:cs="Arial"/>
                <w:b/>
                <w:i/>
                <w:sz w:val="20"/>
                <w:szCs w:val="20"/>
              </w:rPr>
              <w:t xml:space="preserve"> </w:t>
            </w:r>
          </w:p>
          <w:p w14:paraId="621B6077" w14:textId="77777777" w:rsidR="00635E8B" w:rsidRPr="00635E8B" w:rsidRDefault="00635E8B" w:rsidP="00BE60F3">
            <w:pPr>
              <w:spacing w:before="60" w:after="60" w:line="240" w:lineRule="auto"/>
              <w:rPr>
                <w:rFonts w:eastAsia="Calibri" w:cs="Arial"/>
                <w:b/>
                <w:i/>
                <w:sz w:val="20"/>
                <w:szCs w:val="20"/>
                <w:highlight w:val="yellow"/>
              </w:rPr>
            </w:pPr>
            <w:r w:rsidRPr="00635E8B">
              <w:rPr>
                <w:rFonts w:eastAsia="Calibri" w:cs="Arial"/>
                <w:i/>
                <w:sz w:val="20"/>
                <w:szCs w:val="20"/>
              </w:rPr>
              <w:t>To what extent has Prospera’s effort contributed to change or improvement?</w:t>
            </w:r>
          </w:p>
        </w:tc>
        <w:tc>
          <w:tcPr>
            <w:tcW w:w="4984" w:type="dxa"/>
          </w:tcPr>
          <w:p w14:paraId="4F509956" w14:textId="77777777" w:rsidR="00635E8B" w:rsidRPr="00635E8B" w:rsidRDefault="00635E8B" w:rsidP="00BE60F3">
            <w:pPr>
              <w:numPr>
                <w:ilvl w:val="0"/>
                <w:numId w:val="19"/>
              </w:numPr>
              <w:spacing w:before="60" w:after="60" w:line="240" w:lineRule="auto"/>
              <w:rPr>
                <w:rFonts w:eastAsia="Calibri" w:cs="Arial"/>
                <w:sz w:val="20"/>
                <w:szCs w:val="20"/>
              </w:rPr>
            </w:pPr>
            <w:r w:rsidRPr="00635E8B">
              <w:rPr>
                <w:rFonts w:eastAsia="Calibri" w:cs="Arial"/>
                <w:sz w:val="20"/>
                <w:szCs w:val="20"/>
              </w:rPr>
              <w:t xml:space="preserve">Useful when research questions are in the ‘how’ and ‘why’ form. </w:t>
            </w:r>
          </w:p>
          <w:p w14:paraId="6217457E" w14:textId="77777777" w:rsidR="00635E8B" w:rsidRPr="00635E8B" w:rsidRDefault="00635E8B" w:rsidP="00BE60F3">
            <w:pPr>
              <w:numPr>
                <w:ilvl w:val="0"/>
                <w:numId w:val="19"/>
              </w:numPr>
              <w:spacing w:before="60" w:after="60" w:line="240" w:lineRule="auto"/>
              <w:rPr>
                <w:rFonts w:eastAsia="Calibri" w:cs="Arial"/>
                <w:sz w:val="20"/>
                <w:szCs w:val="20"/>
              </w:rPr>
            </w:pPr>
            <w:r w:rsidRPr="00635E8B">
              <w:rPr>
                <w:rFonts w:eastAsia="Calibri" w:cs="Arial"/>
                <w:sz w:val="20"/>
                <w:szCs w:val="20"/>
              </w:rPr>
              <w:t xml:space="preserve">A case study approach was applied in the AIPEG end of facility evaluation. This set of case studies formed the evidence base to answer performance questions across the facility.  </w:t>
            </w:r>
          </w:p>
          <w:p w14:paraId="02F76EDB" w14:textId="18DEB28D" w:rsidR="00365600" w:rsidRPr="00365600" w:rsidRDefault="00635E8B" w:rsidP="00365600">
            <w:pPr>
              <w:numPr>
                <w:ilvl w:val="0"/>
                <w:numId w:val="17"/>
              </w:numPr>
              <w:spacing w:before="60" w:after="60" w:line="240" w:lineRule="auto"/>
              <w:rPr>
                <w:rFonts w:eastAsia="Calibri" w:cs="Arial"/>
                <w:sz w:val="20"/>
                <w:szCs w:val="20"/>
              </w:rPr>
            </w:pPr>
            <w:r w:rsidRPr="00635E8B">
              <w:rPr>
                <w:rFonts w:eastAsia="Calibri" w:cs="Arial"/>
                <w:sz w:val="20"/>
                <w:szCs w:val="20"/>
              </w:rPr>
              <w:t xml:space="preserve">Prospera will adopt a similar approach to build evidence over the life of the facility. </w:t>
            </w:r>
          </w:p>
        </w:tc>
      </w:tr>
      <w:tr w:rsidR="00635E8B" w:rsidRPr="00635E8B" w14:paraId="2BAB69F1" w14:textId="77777777" w:rsidTr="00635E8B">
        <w:trPr>
          <w:cantSplit/>
        </w:trPr>
        <w:tc>
          <w:tcPr>
            <w:tcW w:w="0" w:type="auto"/>
            <w:gridSpan w:val="3"/>
            <w:shd w:val="clear" w:color="auto" w:fill="4BACC6"/>
          </w:tcPr>
          <w:p w14:paraId="4E18E238" w14:textId="77777777" w:rsidR="00635E8B" w:rsidRPr="00635E8B" w:rsidRDefault="00635E8B" w:rsidP="00BE60F3">
            <w:pPr>
              <w:spacing w:before="60" w:after="60" w:line="240" w:lineRule="auto"/>
              <w:rPr>
                <w:rFonts w:eastAsia="Calibri" w:cs="Arial"/>
                <w:b/>
                <w:color w:val="FFFFFF"/>
                <w:sz w:val="20"/>
                <w:szCs w:val="20"/>
              </w:rPr>
            </w:pPr>
            <w:r w:rsidRPr="00635E8B">
              <w:rPr>
                <w:rFonts w:eastAsia="Calibri" w:cs="Arial"/>
                <w:b/>
                <w:color w:val="FFFFFF"/>
                <w:sz w:val="20"/>
                <w:szCs w:val="20"/>
              </w:rPr>
              <w:t xml:space="preserve">Being rigorous about understanding contribution </w:t>
            </w:r>
          </w:p>
        </w:tc>
      </w:tr>
      <w:tr w:rsidR="00F87E8A" w:rsidRPr="00635E8B" w14:paraId="22ECB293" w14:textId="77777777" w:rsidTr="00F87E8A">
        <w:trPr>
          <w:cantSplit/>
          <w:trHeight w:val="3149"/>
        </w:trPr>
        <w:tc>
          <w:tcPr>
            <w:tcW w:w="5940" w:type="dxa"/>
          </w:tcPr>
          <w:p w14:paraId="6A0C1618" w14:textId="05CFBB20" w:rsidR="00F87E8A" w:rsidRPr="00635E8B" w:rsidRDefault="00F87E8A" w:rsidP="00BE60F3">
            <w:pPr>
              <w:spacing w:before="60" w:after="60" w:line="240" w:lineRule="auto"/>
              <w:rPr>
                <w:rFonts w:eastAsia="Calibri" w:cs="Arial"/>
                <w:b/>
                <w:sz w:val="20"/>
                <w:szCs w:val="20"/>
              </w:rPr>
            </w:pPr>
            <w:r w:rsidRPr="00635E8B">
              <w:rPr>
                <w:rFonts w:eastAsia="Calibri" w:cs="Arial"/>
                <w:b/>
                <w:sz w:val="20"/>
                <w:szCs w:val="20"/>
              </w:rPr>
              <w:t>6. Contribution Analysis</w:t>
            </w:r>
            <w:r>
              <w:rPr>
                <w:rStyle w:val="FootnoteReference"/>
                <w:rFonts w:eastAsia="Calibri" w:cs="Arial"/>
                <w:b/>
                <w:sz w:val="20"/>
                <w:szCs w:val="20"/>
              </w:rPr>
              <w:footnoteReference w:id="18"/>
            </w:r>
          </w:p>
          <w:p w14:paraId="6CB884DC" w14:textId="07D0BBC5" w:rsidR="00F87E8A" w:rsidRPr="001F2EF5" w:rsidRDefault="00F87E8A" w:rsidP="00BE60F3">
            <w:pPr>
              <w:spacing w:before="60" w:after="60" w:line="240" w:lineRule="auto"/>
              <w:rPr>
                <w:rFonts w:eastAsia="Calibri" w:cs="Arial"/>
                <w:sz w:val="20"/>
                <w:szCs w:val="20"/>
              </w:rPr>
            </w:pPr>
            <w:r w:rsidRPr="00635E8B">
              <w:rPr>
                <w:rFonts w:eastAsia="Calibri" w:cs="Arial"/>
                <w:sz w:val="20"/>
                <w:szCs w:val="20"/>
              </w:rPr>
              <w:t xml:space="preserve">Contribution Analysis is an approach to evaluation that aims to compare an intervention’s postulated theory of change against the evidence in order to come to robust conclusions about the contribution that it has made to observed outcomes. The aim is to critically construct a “contribution story” which builds up evidence to demonstrate the contribution made by an intervention, while also establishing the relative importance of other influences on outcomes. </w:t>
            </w:r>
          </w:p>
        </w:tc>
        <w:tc>
          <w:tcPr>
            <w:tcW w:w="3026" w:type="dxa"/>
          </w:tcPr>
          <w:p w14:paraId="0B9180F3" w14:textId="77777777" w:rsidR="00F87E8A" w:rsidRDefault="00F87E8A" w:rsidP="00BE60F3">
            <w:pPr>
              <w:spacing w:before="60" w:after="60" w:line="240" w:lineRule="auto"/>
              <w:rPr>
                <w:rFonts w:eastAsia="Calibri" w:cs="Arial"/>
                <w:i/>
                <w:sz w:val="20"/>
                <w:szCs w:val="20"/>
              </w:rPr>
            </w:pPr>
            <w:r w:rsidRPr="00635E8B">
              <w:rPr>
                <w:rFonts w:eastAsia="Calibri" w:cs="Arial"/>
                <w:b/>
                <w:sz w:val="20"/>
                <w:szCs w:val="20"/>
              </w:rPr>
              <w:t xml:space="preserve">Evaluation: </w:t>
            </w:r>
            <w:r w:rsidRPr="00635E8B">
              <w:rPr>
                <w:rFonts w:eastAsia="Calibri" w:cs="Arial"/>
                <w:i/>
                <w:sz w:val="20"/>
                <w:szCs w:val="20"/>
              </w:rPr>
              <w:t>To what extent has Prospera’s contributed to an observed change?</w:t>
            </w:r>
          </w:p>
          <w:p w14:paraId="10B56B3E" w14:textId="77777777" w:rsidR="00F87E8A" w:rsidRDefault="00F87E8A" w:rsidP="00BE60F3">
            <w:pPr>
              <w:spacing w:before="60" w:after="60" w:line="240" w:lineRule="auto"/>
              <w:rPr>
                <w:rFonts w:eastAsia="Calibri" w:cs="Arial"/>
                <w:sz w:val="20"/>
                <w:szCs w:val="20"/>
              </w:rPr>
            </w:pPr>
          </w:p>
          <w:p w14:paraId="471E9E99" w14:textId="77777777" w:rsidR="00F87E8A" w:rsidRDefault="00F87E8A" w:rsidP="00BE60F3">
            <w:pPr>
              <w:spacing w:before="60" w:after="60" w:line="240" w:lineRule="auto"/>
              <w:rPr>
                <w:rFonts w:eastAsia="Calibri" w:cs="Arial"/>
                <w:sz w:val="20"/>
                <w:szCs w:val="20"/>
              </w:rPr>
            </w:pPr>
          </w:p>
          <w:p w14:paraId="017147A2" w14:textId="77777777" w:rsidR="00F87E8A" w:rsidRDefault="00F87E8A" w:rsidP="00BE60F3">
            <w:pPr>
              <w:spacing w:before="60" w:after="60" w:line="240" w:lineRule="auto"/>
              <w:rPr>
                <w:rFonts w:eastAsia="Calibri" w:cs="Arial"/>
                <w:sz w:val="20"/>
                <w:szCs w:val="20"/>
              </w:rPr>
            </w:pPr>
          </w:p>
          <w:p w14:paraId="2F0860ED" w14:textId="77777777" w:rsidR="00F87E8A" w:rsidRDefault="00F87E8A" w:rsidP="00BE60F3">
            <w:pPr>
              <w:spacing w:before="60" w:after="60" w:line="240" w:lineRule="auto"/>
              <w:rPr>
                <w:rFonts w:eastAsia="Calibri" w:cs="Arial"/>
                <w:sz w:val="20"/>
                <w:szCs w:val="20"/>
              </w:rPr>
            </w:pPr>
          </w:p>
          <w:p w14:paraId="2D570A3C" w14:textId="77777777" w:rsidR="00F87E8A" w:rsidRDefault="00F87E8A" w:rsidP="00BE60F3">
            <w:pPr>
              <w:spacing w:before="60" w:after="60" w:line="240" w:lineRule="auto"/>
              <w:rPr>
                <w:rFonts w:eastAsia="Calibri" w:cs="Arial"/>
                <w:sz w:val="20"/>
                <w:szCs w:val="20"/>
              </w:rPr>
            </w:pPr>
          </w:p>
          <w:p w14:paraId="2A96CAA9" w14:textId="77777777" w:rsidR="00F87E8A" w:rsidRDefault="00F87E8A" w:rsidP="00BE60F3">
            <w:pPr>
              <w:spacing w:before="60" w:after="60" w:line="240" w:lineRule="auto"/>
              <w:rPr>
                <w:rFonts w:eastAsia="Calibri" w:cs="Arial"/>
                <w:sz w:val="20"/>
                <w:szCs w:val="20"/>
              </w:rPr>
            </w:pPr>
          </w:p>
          <w:p w14:paraId="077EFF1C" w14:textId="77777777" w:rsidR="00F87E8A" w:rsidRDefault="00F87E8A" w:rsidP="00BE60F3">
            <w:pPr>
              <w:spacing w:before="60" w:after="60" w:line="240" w:lineRule="auto"/>
              <w:rPr>
                <w:rFonts w:eastAsia="Calibri" w:cs="Arial"/>
                <w:sz w:val="20"/>
                <w:szCs w:val="20"/>
              </w:rPr>
            </w:pPr>
          </w:p>
          <w:p w14:paraId="67CFB7F8" w14:textId="77777777" w:rsidR="00F87E8A" w:rsidRDefault="00F87E8A" w:rsidP="00BE60F3">
            <w:pPr>
              <w:spacing w:before="60" w:after="60" w:line="240" w:lineRule="auto"/>
              <w:rPr>
                <w:rFonts w:eastAsia="Calibri" w:cs="Arial"/>
                <w:sz w:val="20"/>
                <w:szCs w:val="20"/>
              </w:rPr>
            </w:pPr>
          </w:p>
          <w:p w14:paraId="7DCDEC92" w14:textId="3C59C156" w:rsidR="00F87E8A" w:rsidRPr="00635E8B" w:rsidRDefault="00F87E8A" w:rsidP="00BE60F3">
            <w:pPr>
              <w:spacing w:before="60" w:after="60" w:line="240" w:lineRule="auto"/>
              <w:rPr>
                <w:rFonts w:eastAsia="Calibri" w:cs="Arial"/>
                <w:sz w:val="20"/>
                <w:szCs w:val="20"/>
              </w:rPr>
            </w:pPr>
          </w:p>
        </w:tc>
        <w:tc>
          <w:tcPr>
            <w:tcW w:w="4984" w:type="dxa"/>
          </w:tcPr>
          <w:p w14:paraId="5FF99898" w14:textId="77777777" w:rsidR="00F87E8A" w:rsidRPr="00635E8B" w:rsidRDefault="00F87E8A" w:rsidP="00BE60F3">
            <w:pPr>
              <w:numPr>
                <w:ilvl w:val="0"/>
                <w:numId w:val="18"/>
              </w:numPr>
              <w:spacing w:before="60" w:after="60" w:line="240" w:lineRule="auto"/>
              <w:rPr>
                <w:rFonts w:eastAsia="Calibri" w:cs="Arial"/>
                <w:color w:val="000000"/>
                <w:sz w:val="20"/>
                <w:szCs w:val="20"/>
              </w:rPr>
            </w:pPr>
            <w:r w:rsidRPr="00635E8B">
              <w:rPr>
                <w:rFonts w:eastAsia="Calibri" w:cs="Arial"/>
                <w:color w:val="000000"/>
                <w:sz w:val="20"/>
                <w:szCs w:val="20"/>
              </w:rPr>
              <w:t>Needed to develop Significant Policy and Systems Improvement (above).</w:t>
            </w:r>
          </w:p>
          <w:p w14:paraId="055FED4B" w14:textId="77777777" w:rsidR="00F87E8A" w:rsidRPr="00635E8B" w:rsidRDefault="00F87E8A" w:rsidP="00BE60F3">
            <w:pPr>
              <w:numPr>
                <w:ilvl w:val="0"/>
                <w:numId w:val="18"/>
              </w:numPr>
              <w:spacing w:before="60" w:after="60" w:line="240" w:lineRule="auto"/>
              <w:rPr>
                <w:rFonts w:eastAsia="Calibri" w:cs="Arial"/>
                <w:sz w:val="20"/>
                <w:szCs w:val="20"/>
              </w:rPr>
            </w:pPr>
            <w:r w:rsidRPr="00635E8B">
              <w:rPr>
                <w:rFonts w:eastAsia="Calibri" w:cs="Arial"/>
                <w:sz w:val="20"/>
                <w:szCs w:val="20"/>
              </w:rPr>
              <w:t>Supports learning and interdisciplinary approaches.</w:t>
            </w:r>
          </w:p>
          <w:p w14:paraId="4C1F0334" w14:textId="77777777" w:rsidR="00F87E8A" w:rsidRPr="00635E8B" w:rsidRDefault="00F87E8A" w:rsidP="00BE60F3">
            <w:pPr>
              <w:numPr>
                <w:ilvl w:val="0"/>
                <w:numId w:val="18"/>
              </w:numPr>
              <w:spacing w:before="60" w:after="60" w:line="240" w:lineRule="auto"/>
              <w:rPr>
                <w:rFonts w:eastAsia="Calibri" w:cs="Arial"/>
                <w:sz w:val="20"/>
                <w:szCs w:val="20"/>
              </w:rPr>
            </w:pPr>
            <w:r w:rsidRPr="00635E8B">
              <w:rPr>
                <w:rFonts w:eastAsia="Calibri" w:cs="Arial"/>
                <w:sz w:val="20"/>
                <w:szCs w:val="20"/>
              </w:rPr>
              <w:t>Draws on tacit and explicit knowledge of teams to make sense of what happened, as well as documented evidence.</w:t>
            </w:r>
          </w:p>
          <w:p w14:paraId="5CCABB21" w14:textId="77777777" w:rsidR="00F87E8A" w:rsidRDefault="00F87E8A" w:rsidP="00BE60F3">
            <w:pPr>
              <w:numPr>
                <w:ilvl w:val="0"/>
                <w:numId w:val="18"/>
              </w:numPr>
              <w:spacing w:before="60" w:after="60" w:line="240" w:lineRule="auto"/>
              <w:rPr>
                <w:rFonts w:eastAsia="Calibri" w:cs="Arial"/>
                <w:sz w:val="20"/>
                <w:szCs w:val="20"/>
              </w:rPr>
            </w:pPr>
            <w:r w:rsidRPr="00635E8B">
              <w:rPr>
                <w:rFonts w:eastAsia="Calibri" w:cs="Arial"/>
                <w:sz w:val="20"/>
                <w:szCs w:val="20"/>
              </w:rPr>
              <w:t xml:space="preserve">‘Performance Stories’ were used as a practical way to apply contribution analysis in the AIPEG end of facility evaluation. </w:t>
            </w:r>
          </w:p>
          <w:p w14:paraId="6879C7A3" w14:textId="67177BE4" w:rsidR="00F87E8A" w:rsidRPr="001F2EF5" w:rsidRDefault="00F87E8A" w:rsidP="00BE60F3">
            <w:pPr>
              <w:pStyle w:val="ListParagraph"/>
              <w:numPr>
                <w:ilvl w:val="0"/>
                <w:numId w:val="18"/>
              </w:numPr>
              <w:spacing w:before="60" w:after="60" w:line="240" w:lineRule="auto"/>
              <w:contextualSpacing w:val="0"/>
              <w:rPr>
                <w:sz w:val="20"/>
                <w:szCs w:val="20"/>
              </w:rPr>
            </w:pPr>
            <w:r>
              <w:rPr>
                <w:sz w:val="20"/>
                <w:szCs w:val="20"/>
              </w:rPr>
              <w:t>Builds evidence in relation to outcomes</w:t>
            </w:r>
          </w:p>
        </w:tc>
      </w:tr>
      <w:tr w:rsidR="00F87E8A" w:rsidRPr="00635E8B" w14:paraId="211C9B32" w14:textId="77777777" w:rsidTr="00F87E8A">
        <w:trPr>
          <w:cantSplit/>
        </w:trPr>
        <w:tc>
          <w:tcPr>
            <w:tcW w:w="5940" w:type="dxa"/>
          </w:tcPr>
          <w:p w14:paraId="6D8B7CA1" w14:textId="23D4A1CA" w:rsidR="00F87E8A" w:rsidRPr="00635E8B" w:rsidRDefault="00F87E8A" w:rsidP="00BE60F3">
            <w:pPr>
              <w:spacing w:before="60" w:after="60" w:line="240" w:lineRule="auto"/>
              <w:rPr>
                <w:rFonts w:eastAsia="Calibri" w:cs="Arial"/>
                <w:b/>
                <w:sz w:val="20"/>
                <w:szCs w:val="20"/>
              </w:rPr>
            </w:pPr>
            <w:r>
              <w:rPr>
                <w:rFonts w:eastAsia="Calibri" w:cs="Arial"/>
                <w:b/>
                <w:sz w:val="20"/>
                <w:szCs w:val="20"/>
              </w:rPr>
              <w:t>7</w:t>
            </w:r>
            <w:r w:rsidRPr="00635E8B">
              <w:rPr>
                <w:rFonts w:eastAsia="Calibri" w:cs="Arial"/>
                <w:b/>
                <w:sz w:val="20"/>
                <w:szCs w:val="20"/>
              </w:rPr>
              <w:t xml:space="preserve">. General Elimination Methodology </w:t>
            </w:r>
            <w:r>
              <w:rPr>
                <w:rStyle w:val="FootnoteReference"/>
                <w:rFonts w:eastAsia="Calibri" w:cs="Arial"/>
                <w:b/>
                <w:sz w:val="20"/>
                <w:szCs w:val="20"/>
              </w:rPr>
              <w:footnoteReference w:id="19"/>
            </w:r>
          </w:p>
          <w:p w14:paraId="50F7EA04" w14:textId="6B18343D" w:rsidR="00F87E8A" w:rsidRPr="00365600" w:rsidRDefault="00F87E8A" w:rsidP="00365600">
            <w:pPr>
              <w:spacing w:before="60" w:after="60" w:line="240" w:lineRule="auto"/>
              <w:rPr>
                <w:rFonts w:eastAsia="Calibri" w:cs="Arial"/>
                <w:sz w:val="20"/>
                <w:szCs w:val="20"/>
                <w:highlight w:val="yellow"/>
              </w:rPr>
            </w:pPr>
            <w:r w:rsidRPr="00635E8B">
              <w:rPr>
                <w:rFonts w:eastAsia="Calibri" w:cs="Arial"/>
                <w:sz w:val="20"/>
                <w:szCs w:val="20"/>
              </w:rPr>
              <w:t>General Elimination Methodology is based on the idea that for any event it is possible to draw up ‘l</w:t>
            </w:r>
            <w:r w:rsidRPr="00635E8B">
              <w:rPr>
                <w:rFonts w:eastAsia="Calibri" w:cs="Arial"/>
                <w:iCs/>
                <w:sz w:val="20"/>
                <w:szCs w:val="20"/>
              </w:rPr>
              <w:t>ists of possible causes’</w:t>
            </w:r>
            <w:r w:rsidRPr="00635E8B">
              <w:rPr>
                <w:rFonts w:eastAsia="Calibri" w:cs="Arial"/>
                <w:i/>
                <w:iCs/>
                <w:sz w:val="20"/>
                <w:szCs w:val="20"/>
              </w:rPr>
              <w:t xml:space="preserve"> </w:t>
            </w:r>
            <w:r w:rsidRPr="00635E8B">
              <w:rPr>
                <w:rFonts w:eastAsia="Calibri" w:cs="Arial"/>
                <w:sz w:val="20"/>
                <w:szCs w:val="20"/>
              </w:rPr>
              <w:t xml:space="preserve">or alternative explanations for an outcome of interest. The method sets out to identify potential causes of effects (outcomes) by examining the facts of a case and establishing which ‘modus operandi’ are present and which are not. Any cause for which the ‘modus operandi’ is not present can be dismissed, leaving only genuine causal explanations. General Elimination Methodology is intended to provide a framework for evaluation which can establish causal claims beyond reasonable doubt. </w:t>
            </w:r>
          </w:p>
        </w:tc>
        <w:tc>
          <w:tcPr>
            <w:tcW w:w="3026" w:type="dxa"/>
          </w:tcPr>
          <w:p w14:paraId="51D97089" w14:textId="7511A6EB" w:rsidR="00F87E8A" w:rsidRPr="00635E8B" w:rsidRDefault="00F87E8A" w:rsidP="00BE60F3">
            <w:pPr>
              <w:spacing w:before="60" w:after="60" w:line="240" w:lineRule="auto"/>
              <w:rPr>
                <w:rFonts w:eastAsia="Calibri" w:cs="Arial"/>
                <w:sz w:val="20"/>
                <w:szCs w:val="20"/>
              </w:rPr>
            </w:pPr>
            <w:r w:rsidRPr="00635E8B">
              <w:rPr>
                <w:rFonts w:eastAsia="Calibri" w:cs="Arial"/>
                <w:b/>
                <w:sz w:val="20"/>
                <w:szCs w:val="20"/>
              </w:rPr>
              <w:t xml:space="preserve">Evaluation: </w:t>
            </w:r>
            <w:r w:rsidRPr="00635E8B">
              <w:rPr>
                <w:rFonts w:eastAsia="Calibri" w:cs="Arial"/>
                <w:i/>
                <w:sz w:val="20"/>
                <w:szCs w:val="20"/>
              </w:rPr>
              <w:t>To what extent has Prospera’s contributed to an observed change</w:t>
            </w:r>
            <w:r>
              <w:rPr>
                <w:rFonts w:eastAsia="Calibri" w:cs="Arial"/>
                <w:i/>
                <w:sz w:val="20"/>
                <w:szCs w:val="20"/>
              </w:rPr>
              <w:t>?</w:t>
            </w:r>
          </w:p>
        </w:tc>
        <w:tc>
          <w:tcPr>
            <w:tcW w:w="4984" w:type="dxa"/>
          </w:tcPr>
          <w:p w14:paraId="1DBF0818" w14:textId="77777777" w:rsidR="00F87E8A" w:rsidRPr="00635E8B" w:rsidRDefault="00F87E8A" w:rsidP="00BE60F3">
            <w:pPr>
              <w:numPr>
                <w:ilvl w:val="0"/>
                <w:numId w:val="18"/>
              </w:numPr>
              <w:spacing w:before="60" w:after="60" w:line="240" w:lineRule="auto"/>
              <w:rPr>
                <w:rFonts w:eastAsia="Calibri" w:cs="Arial"/>
                <w:color w:val="000000"/>
                <w:sz w:val="20"/>
                <w:szCs w:val="20"/>
              </w:rPr>
            </w:pPr>
            <w:r w:rsidRPr="00635E8B">
              <w:rPr>
                <w:rFonts w:eastAsia="Calibri" w:cs="Arial"/>
                <w:color w:val="000000"/>
                <w:sz w:val="20"/>
                <w:szCs w:val="20"/>
              </w:rPr>
              <w:t>Needed to develop Significant Policy and Systems Improvement (above).</w:t>
            </w:r>
          </w:p>
          <w:p w14:paraId="44A64FC5" w14:textId="77777777" w:rsidR="00F87E8A" w:rsidRPr="00635E8B" w:rsidRDefault="00F87E8A" w:rsidP="00BE60F3">
            <w:pPr>
              <w:numPr>
                <w:ilvl w:val="0"/>
                <w:numId w:val="18"/>
              </w:numPr>
              <w:spacing w:before="60" w:after="60" w:line="240" w:lineRule="auto"/>
              <w:rPr>
                <w:rFonts w:eastAsia="Calibri" w:cs="Arial"/>
                <w:sz w:val="20"/>
                <w:szCs w:val="20"/>
              </w:rPr>
            </w:pPr>
            <w:r w:rsidRPr="00635E8B">
              <w:rPr>
                <w:rFonts w:eastAsia="Calibri" w:cs="Arial"/>
                <w:sz w:val="20"/>
                <w:szCs w:val="20"/>
              </w:rPr>
              <w:t>Supports learning and interdisciplinary approaches.</w:t>
            </w:r>
          </w:p>
          <w:p w14:paraId="668EAE84" w14:textId="77777777" w:rsidR="00F87E8A" w:rsidRPr="001F2EF5" w:rsidRDefault="00F87E8A" w:rsidP="00BE60F3">
            <w:pPr>
              <w:numPr>
                <w:ilvl w:val="0"/>
                <w:numId w:val="18"/>
              </w:numPr>
              <w:spacing w:before="60" w:after="60" w:line="240" w:lineRule="auto"/>
              <w:rPr>
                <w:rFonts w:eastAsia="Calibri" w:cs="Arial"/>
                <w:sz w:val="20"/>
                <w:szCs w:val="20"/>
              </w:rPr>
            </w:pPr>
            <w:r w:rsidRPr="00635E8B">
              <w:rPr>
                <w:rFonts w:eastAsia="Calibri" w:cs="Arial"/>
                <w:sz w:val="20"/>
                <w:szCs w:val="20"/>
              </w:rPr>
              <w:t xml:space="preserve">Draws on tacit and explicit knowledge of teams to make sense of what happened, as well as </w:t>
            </w:r>
            <w:r w:rsidRPr="001F2EF5">
              <w:rPr>
                <w:rFonts w:eastAsia="Calibri" w:cs="Arial"/>
                <w:sz w:val="20"/>
                <w:szCs w:val="20"/>
              </w:rPr>
              <w:t>documented evidence.</w:t>
            </w:r>
          </w:p>
          <w:p w14:paraId="6162A9E5" w14:textId="0FE2D25E" w:rsidR="00F87E8A" w:rsidRPr="001F2EF5" w:rsidRDefault="00F87E8A" w:rsidP="00BE60F3">
            <w:pPr>
              <w:numPr>
                <w:ilvl w:val="0"/>
                <w:numId w:val="18"/>
              </w:numPr>
              <w:spacing w:before="60" w:after="60" w:line="240" w:lineRule="auto"/>
              <w:rPr>
                <w:rFonts w:eastAsia="Calibri" w:cs="Arial"/>
                <w:sz w:val="20"/>
                <w:szCs w:val="20"/>
              </w:rPr>
            </w:pPr>
            <w:r w:rsidRPr="001F2EF5">
              <w:rPr>
                <w:sz w:val="20"/>
                <w:szCs w:val="20"/>
              </w:rPr>
              <w:t>Tests and dismisses weak evidence or non</w:t>
            </w:r>
            <w:r>
              <w:rPr>
                <w:sz w:val="20"/>
                <w:szCs w:val="20"/>
              </w:rPr>
              <w:t>-</w:t>
            </w:r>
            <w:r w:rsidRPr="001F2EF5">
              <w:rPr>
                <w:sz w:val="20"/>
                <w:szCs w:val="20"/>
              </w:rPr>
              <w:t xml:space="preserve"> plausible theories</w:t>
            </w:r>
          </w:p>
        </w:tc>
      </w:tr>
      <w:tr w:rsidR="00635E8B" w:rsidRPr="00635E8B" w14:paraId="388B2CDD" w14:textId="77777777" w:rsidTr="00635E8B">
        <w:trPr>
          <w:cantSplit/>
        </w:trPr>
        <w:tc>
          <w:tcPr>
            <w:tcW w:w="0" w:type="auto"/>
            <w:gridSpan w:val="3"/>
            <w:shd w:val="clear" w:color="auto" w:fill="4BACC6"/>
          </w:tcPr>
          <w:p w14:paraId="617AA14F" w14:textId="77777777" w:rsidR="00635E8B" w:rsidRPr="00635E8B" w:rsidRDefault="00635E8B" w:rsidP="00BE60F3">
            <w:pPr>
              <w:spacing w:before="60" w:after="60" w:line="240" w:lineRule="auto"/>
              <w:rPr>
                <w:rFonts w:eastAsia="Calibri" w:cs="Arial"/>
                <w:b/>
                <w:color w:val="FFFFFF"/>
                <w:sz w:val="20"/>
                <w:szCs w:val="20"/>
              </w:rPr>
            </w:pPr>
            <w:r w:rsidRPr="00635E8B">
              <w:rPr>
                <w:rFonts w:eastAsia="Calibri" w:cs="Arial"/>
                <w:b/>
                <w:color w:val="FFFFFF"/>
                <w:sz w:val="20"/>
                <w:szCs w:val="20"/>
              </w:rPr>
              <w:t>Investing wisely</w:t>
            </w:r>
          </w:p>
        </w:tc>
      </w:tr>
      <w:tr w:rsidR="00635E8B" w:rsidRPr="00635E8B" w14:paraId="77B12D58" w14:textId="77777777" w:rsidTr="00F87E8A">
        <w:trPr>
          <w:cantSplit/>
        </w:trPr>
        <w:tc>
          <w:tcPr>
            <w:tcW w:w="5940" w:type="dxa"/>
          </w:tcPr>
          <w:p w14:paraId="4E44F9F8" w14:textId="145014EC" w:rsidR="00635E8B" w:rsidRPr="00635E8B" w:rsidRDefault="009B18DE" w:rsidP="00BE60F3">
            <w:pPr>
              <w:spacing w:before="60" w:after="60" w:line="240" w:lineRule="auto"/>
              <w:rPr>
                <w:rFonts w:eastAsia="Calibri" w:cs="Arial"/>
                <w:b/>
                <w:sz w:val="20"/>
                <w:szCs w:val="20"/>
              </w:rPr>
            </w:pPr>
            <w:r>
              <w:rPr>
                <w:rFonts w:eastAsia="Calibri" w:cs="Arial"/>
                <w:b/>
                <w:sz w:val="20"/>
                <w:szCs w:val="20"/>
              </w:rPr>
              <w:t>8</w:t>
            </w:r>
            <w:r w:rsidR="00635E8B" w:rsidRPr="00635E8B">
              <w:rPr>
                <w:rFonts w:eastAsia="Calibri" w:cs="Arial"/>
                <w:b/>
                <w:sz w:val="20"/>
                <w:szCs w:val="20"/>
              </w:rPr>
              <w:t>. Value for Money</w:t>
            </w:r>
            <w:r w:rsidR="00635E8B" w:rsidRPr="00635E8B">
              <w:rPr>
                <w:rFonts w:eastAsia="Calibri" w:cs="Arial"/>
                <w:sz w:val="20"/>
                <w:szCs w:val="20"/>
              </w:rPr>
              <w:t xml:space="preserve"> </w:t>
            </w:r>
            <w:r w:rsidR="00635E8B" w:rsidRPr="00635E8B">
              <w:rPr>
                <w:rFonts w:eastAsia="Calibri" w:cs="Arial"/>
                <w:b/>
                <w:sz w:val="20"/>
                <w:szCs w:val="20"/>
              </w:rPr>
              <w:t>Assessment</w:t>
            </w:r>
          </w:p>
          <w:p w14:paraId="47367736" w14:textId="17FC31D5" w:rsidR="00635E8B" w:rsidRPr="00635E8B" w:rsidRDefault="00635E8B" w:rsidP="00BE60F3">
            <w:pPr>
              <w:spacing w:before="60" w:after="60" w:line="240" w:lineRule="auto"/>
              <w:rPr>
                <w:rFonts w:eastAsia="Calibri" w:cs="Arial"/>
                <w:sz w:val="20"/>
                <w:szCs w:val="20"/>
              </w:rPr>
            </w:pPr>
            <w:r w:rsidRPr="00635E8B">
              <w:rPr>
                <w:rFonts w:eastAsia="Calibri" w:cs="Arial"/>
                <w:sz w:val="20"/>
                <w:szCs w:val="20"/>
              </w:rPr>
              <w:t>A value for money assessment can determine if resources are efficiently invested in outcomes or if more could be done for less. There are many methods including cost</w:t>
            </w:r>
            <w:r w:rsidR="009B18DE">
              <w:rPr>
                <w:rFonts w:eastAsia="Calibri" w:cs="Arial"/>
                <w:sz w:val="20"/>
                <w:szCs w:val="20"/>
              </w:rPr>
              <w:t>-</w:t>
            </w:r>
            <w:r w:rsidRPr="00635E8B">
              <w:rPr>
                <w:rFonts w:eastAsia="Calibri" w:cs="Arial"/>
                <w:sz w:val="20"/>
                <w:szCs w:val="20"/>
              </w:rPr>
              <w:t>effectiveness analysis, cost-benefit analysis, and social return on investment.</w:t>
            </w:r>
            <w:r w:rsidRPr="00635E8B">
              <w:rPr>
                <w:rFonts w:eastAsia="Calibri" w:cs="Arial"/>
                <w:sz w:val="20"/>
                <w:szCs w:val="20"/>
                <w:vertAlign w:val="superscript"/>
              </w:rPr>
              <w:footnoteReference w:id="20"/>
            </w:r>
            <w:r w:rsidRPr="00635E8B">
              <w:rPr>
                <w:rFonts w:eastAsia="Calibri" w:cs="Arial"/>
                <w:sz w:val="20"/>
                <w:szCs w:val="20"/>
              </w:rPr>
              <w:t xml:space="preserve"> </w:t>
            </w:r>
            <w:r w:rsidR="001F2EF5" w:rsidRPr="001F2EF5">
              <w:rPr>
                <w:sz w:val="20"/>
                <w:szCs w:val="20"/>
              </w:rPr>
              <w:t xml:space="preserve">DFAT’s value for money criteria are: </w:t>
            </w:r>
            <w:r w:rsidR="001F2EF5" w:rsidRPr="001F2EF5">
              <w:rPr>
                <w:rStyle w:val="FootnoteReference"/>
                <w:sz w:val="20"/>
                <w:szCs w:val="20"/>
              </w:rPr>
              <w:footnoteReference w:id="21"/>
            </w:r>
            <w:r w:rsidR="001F2EF5">
              <w:rPr>
                <w:sz w:val="20"/>
                <w:szCs w:val="20"/>
              </w:rPr>
              <w:t xml:space="preserve"> </w:t>
            </w:r>
          </w:p>
          <w:p w14:paraId="0F881D79" w14:textId="77777777" w:rsidR="00635E8B" w:rsidRPr="00635E8B" w:rsidRDefault="00635E8B" w:rsidP="00BE60F3">
            <w:pPr>
              <w:numPr>
                <w:ilvl w:val="0"/>
                <w:numId w:val="20"/>
              </w:numPr>
              <w:spacing w:before="60" w:after="60" w:line="240" w:lineRule="auto"/>
              <w:rPr>
                <w:rFonts w:eastAsia="Calibri" w:cs="Arial"/>
                <w:sz w:val="20"/>
                <w:szCs w:val="20"/>
              </w:rPr>
            </w:pPr>
            <w:r w:rsidRPr="00635E8B">
              <w:rPr>
                <w:rFonts w:eastAsia="Calibri" w:cs="Arial"/>
                <w:b/>
                <w:sz w:val="20"/>
                <w:szCs w:val="20"/>
              </w:rPr>
              <w:t>Economy:</w:t>
            </w:r>
            <w:r w:rsidRPr="00635E8B">
              <w:rPr>
                <w:rFonts w:eastAsia="Calibri" w:cs="Arial"/>
                <w:sz w:val="20"/>
                <w:szCs w:val="20"/>
              </w:rPr>
              <w:t xml:space="preserve"> Cost consciousness | Encouraging completion</w:t>
            </w:r>
          </w:p>
          <w:p w14:paraId="73DF700A" w14:textId="77777777" w:rsidR="00635E8B" w:rsidRPr="00635E8B" w:rsidRDefault="00635E8B" w:rsidP="00BE60F3">
            <w:pPr>
              <w:numPr>
                <w:ilvl w:val="0"/>
                <w:numId w:val="20"/>
              </w:numPr>
              <w:spacing w:before="60" w:after="60" w:line="240" w:lineRule="auto"/>
              <w:rPr>
                <w:rFonts w:eastAsia="Calibri" w:cs="Arial"/>
                <w:sz w:val="20"/>
                <w:szCs w:val="20"/>
              </w:rPr>
            </w:pPr>
            <w:r w:rsidRPr="00635E8B">
              <w:rPr>
                <w:rFonts w:eastAsia="Calibri" w:cs="Arial"/>
                <w:b/>
                <w:sz w:val="20"/>
                <w:szCs w:val="20"/>
              </w:rPr>
              <w:t xml:space="preserve">Efficiency: </w:t>
            </w:r>
            <w:r w:rsidRPr="00635E8B">
              <w:rPr>
                <w:rFonts w:eastAsia="Calibri" w:cs="Arial"/>
                <w:sz w:val="20"/>
                <w:szCs w:val="20"/>
              </w:rPr>
              <w:t>Evidence based decision making | Proportionality</w:t>
            </w:r>
          </w:p>
          <w:p w14:paraId="5DDA1B9A" w14:textId="77777777" w:rsidR="00635E8B" w:rsidRPr="00635E8B" w:rsidRDefault="00635E8B" w:rsidP="00BE60F3">
            <w:pPr>
              <w:numPr>
                <w:ilvl w:val="0"/>
                <w:numId w:val="20"/>
              </w:numPr>
              <w:spacing w:before="60" w:after="60" w:line="240" w:lineRule="auto"/>
              <w:rPr>
                <w:rFonts w:eastAsia="Calibri" w:cs="Arial"/>
                <w:sz w:val="20"/>
                <w:szCs w:val="20"/>
              </w:rPr>
            </w:pPr>
            <w:r w:rsidRPr="00635E8B">
              <w:rPr>
                <w:rFonts w:eastAsia="Calibri" w:cs="Arial"/>
                <w:b/>
                <w:sz w:val="20"/>
                <w:szCs w:val="20"/>
              </w:rPr>
              <w:t>Effectiveness:</w:t>
            </w:r>
            <w:r w:rsidRPr="00635E8B">
              <w:rPr>
                <w:rFonts w:eastAsia="Calibri" w:cs="Arial"/>
                <w:sz w:val="20"/>
                <w:szCs w:val="20"/>
              </w:rPr>
              <w:t xml:space="preserve"> Performance &amp; risk management | Results focus | Experimentation and innovation</w:t>
            </w:r>
          </w:p>
          <w:p w14:paraId="5B648468" w14:textId="77777777" w:rsidR="00635E8B" w:rsidRDefault="00635E8B" w:rsidP="00BE60F3">
            <w:pPr>
              <w:numPr>
                <w:ilvl w:val="0"/>
                <w:numId w:val="20"/>
              </w:numPr>
              <w:spacing w:before="60" w:after="60" w:line="240" w:lineRule="auto"/>
              <w:rPr>
                <w:rFonts w:eastAsia="Calibri" w:cs="Arial"/>
                <w:sz w:val="20"/>
                <w:szCs w:val="20"/>
              </w:rPr>
            </w:pPr>
            <w:r w:rsidRPr="00635E8B">
              <w:rPr>
                <w:rFonts w:eastAsia="Calibri" w:cs="Arial"/>
                <w:b/>
                <w:sz w:val="20"/>
                <w:szCs w:val="20"/>
              </w:rPr>
              <w:t xml:space="preserve">Ethics: </w:t>
            </w:r>
            <w:r w:rsidRPr="00635E8B">
              <w:rPr>
                <w:rFonts w:eastAsia="Calibri" w:cs="Arial"/>
                <w:sz w:val="20"/>
                <w:szCs w:val="20"/>
              </w:rPr>
              <w:t>Accountability and Transparency</w:t>
            </w:r>
          </w:p>
          <w:p w14:paraId="1361D969" w14:textId="77A04ADA" w:rsidR="000E7A9A" w:rsidRPr="00635E8B" w:rsidRDefault="000E7A9A" w:rsidP="00BE60F3">
            <w:pPr>
              <w:spacing w:before="60" w:after="60" w:line="240" w:lineRule="auto"/>
              <w:rPr>
                <w:rFonts w:eastAsia="Calibri" w:cs="Arial"/>
                <w:sz w:val="20"/>
                <w:szCs w:val="20"/>
              </w:rPr>
            </w:pPr>
          </w:p>
        </w:tc>
        <w:tc>
          <w:tcPr>
            <w:tcW w:w="3026" w:type="dxa"/>
          </w:tcPr>
          <w:p w14:paraId="2BDE4B4A" w14:textId="77777777" w:rsidR="00635E8B" w:rsidRPr="00635E8B" w:rsidRDefault="00635E8B" w:rsidP="00BE60F3">
            <w:pPr>
              <w:spacing w:before="60" w:after="60" w:line="240" w:lineRule="auto"/>
              <w:rPr>
                <w:rFonts w:eastAsia="Calibri" w:cs="Arial"/>
                <w:b/>
                <w:sz w:val="20"/>
                <w:szCs w:val="20"/>
              </w:rPr>
            </w:pPr>
            <w:r w:rsidRPr="00635E8B">
              <w:rPr>
                <w:rFonts w:eastAsia="Calibri" w:cs="Arial"/>
                <w:b/>
                <w:sz w:val="20"/>
                <w:szCs w:val="20"/>
              </w:rPr>
              <w:t>Monitoring and Evaluation: Efficiency / Value</w:t>
            </w:r>
          </w:p>
          <w:p w14:paraId="09FB2DED" w14:textId="77777777" w:rsidR="00635E8B" w:rsidRPr="00635E8B" w:rsidRDefault="00635E8B" w:rsidP="00BE60F3">
            <w:pPr>
              <w:spacing w:before="60" w:after="60" w:line="240" w:lineRule="auto"/>
              <w:rPr>
                <w:rFonts w:eastAsia="Calibri" w:cs="Arial"/>
                <w:i/>
                <w:sz w:val="20"/>
                <w:szCs w:val="20"/>
              </w:rPr>
            </w:pPr>
            <w:r w:rsidRPr="00635E8B">
              <w:rPr>
                <w:rFonts w:eastAsia="Calibri" w:cs="Arial"/>
                <w:i/>
                <w:sz w:val="20"/>
                <w:szCs w:val="20"/>
              </w:rPr>
              <w:t xml:space="preserve">Did we make the best possible use of resources to achieve highly valued outcomes? </w:t>
            </w:r>
          </w:p>
        </w:tc>
        <w:tc>
          <w:tcPr>
            <w:tcW w:w="4984" w:type="dxa"/>
          </w:tcPr>
          <w:p w14:paraId="041DA0FD" w14:textId="77777777" w:rsidR="00635E8B" w:rsidRPr="00635E8B" w:rsidRDefault="00635E8B" w:rsidP="00BE60F3">
            <w:pPr>
              <w:numPr>
                <w:ilvl w:val="0"/>
                <w:numId w:val="18"/>
              </w:numPr>
              <w:spacing w:before="60" w:after="60" w:line="240" w:lineRule="auto"/>
              <w:rPr>
                <w:rFonts w:eastAsia="Calibri" w:cs="Arial"/>
                <w:sz w:val="20"/>
                <w:szCs w:val="20"/>
              </w:rPr>
            </w:pPr>
            <w:r w:rsidRPr="00635E8B">
              <w:rPr>
                <w:rFonts w:eastAsia="Calibri" w:cs="Arial"/>
                <w:sz w:val="20"/>
                <w:szCs w:val="20"/>
              </w:rPr>
              <w:t>Useful to apply to individual activities (value for money in procurement).</w:t>
            </w:r>
          </w:p>
          <w:p w14:paraId="7FB5ACC0" w14:textId="77777777" w:rsidR="00635E8B" w:rsidRPr="00635E8B" w:rsidRDefault="00635E8B" w:rsidP="00BE60F3">
            <w:pPr>
              <w:numPr>
                <w:ilvl w:val="0"/>
                <w:numId w:val="18"/>
              </w:numPr>
              <w:spacing w:before="60" w:after="60" w:line="240" w:lineRule="auto"/>
              <w:rPr>
                <w:rFonts w:eastAsia="Calibri" w:cs="Arial"/>
                <w:sz w:val="20"/>
                <w:szCs w:val="20"/>
              </w:rPr>
            </w:pPr>
            <w:r w:rsidRPr="00635E8B">
              <w:rPr>
                <w:rFonts w:eastAsia="Calibri" w:cs="Arial"/>
                <w:sz w:val="20"/>
                <w:szCs w:val="20"/>
              </w:rPr>
              <w:t xml:space="preserve">Also useful to apply across a portfolio of activities to consider if costs are proportional to outcomes. </w:t>
            </w:r>
          </w:p>
        </w:tc>
      </w:tr>
    </w:tbl>
    <w:p w14:paraId="2EB2AABA" w14:textId="77777777" w:rsidR="00635E8B" w:rsidRDefault="00635E8B" w:rsidP="00BE60F3">
      <w:pPr>
        <w:pStyle w:val="AnnexHeading"/>
        <w:numPr>
          <w:ilvl w:val="0"/>
          <w:numId w:val="0"/>
        </w:numPr>
        <w:ind w:left="851" w:hanging="851"/>
        <w:sectPr w:rsidR="00635E8B" w:rsidSect="00635E8B">
          <w:pgSz w:w="16840" w:h="11900" w:orient="landscape"/>
          <w:pgMar w:top="1440" w:right="1440" w:bottom="1440" w:left="1440" w:header="850" w:footer="850" w:gutter="0"/>
          <w:cols w:space="708"/>
          <w:docGrid w:linePitch="360"/>
        </w:sectPr>
      </w:pPr>
    </w:p>
    <w:p w14:paraId="37943A55" w14:textId="440361D1" w:rsidR="0083335F" w:rsidRDefault="0083335F" w:rsidP="0082195C">
      <w:pPr>
        <w:pStyle w:val="Heading1"/>
        <w:numPr>
          <w:ilvl w:val="0"/>
          <w:numId w:val="0"/>
        </w:numPr>
        <w:ind w:left="851" w:hanging="851"/>
      </w:pPr>
      <w:bookmarkStart w:id="199" w:name="_Toc532991083"/>
      <w:bookmarkStart w:id="200" w:name="_Toc525743697"/>
      <w:r>
        <w:t>Annex 6</w:t>
      </w:r>
      <w:r>
        <w:tab/>
        <w:t>Facility-level data collection plans</w:t>
      </w:r>
      <w:bookmarkEnd w:id="199"/>
      <w:r>
        <w:t xml:space="preserve"> </w:t>
      </w:r>
    </w:p>
    <w:p w14:paraId="55456A1E" w14:textId="7DFB9880" w:rsidR="0083335F" w:rsidRPr="00910BA1" w:rsidRDefault="0083335F" w:rsidP="0083335F">
      <w:pPr>
        <w:pStyle w:val="BodyText"/>
        <w:rPr>
          <w:b/>
        </w:rPr>
      </w:pPr>
      <w:bookmarkStart w:id="201" w:name="_Toc522890112"/>
      <w:bookmarkStart w:id="202" w:name="_Toc525377570"/>
      <w:r w:rsidRPr="00910BA1">
        <w:rPr>
          <w:b/>
        </w:rPr>
        <w:t>Facility</w:t>
      </w:r>
      <w:r>
        <w:rPr>
          <w:b/>
        </w:rPr>
        <w:t xml:space="preserve"> </w:t>
      </w:r>
      <w:r w:rsidRPr="00910BA1">
        <w:rPr>
          <w:b/>
        </w:rPr>
        <w:t>performance</w:t>
      </w:r>
      <w:bookmarkEnd w:id="201"/>
      <w:bookmarkEnd w:id="202"/>
      <w:r>
        <w:rPr>
          <w:b/>
        </w:rPr>
        <w:t xml:space="preserve"> | Data collection plan </w:t>
      </w:r>
    </w:p>
    <w:tbl>
      <w:tblPr>
        <w:tblStyle w:val="TableGrid3"/>
        <w:tblW w:w="14125" w:type="dxa"/>
        <w:tblLook w:val="04A0" w:firstRow="1" w:lastRow="0" w:firstColumn="1" w:lastColumn="0" w:noHBand="0" w:noVBand="1"/>
      </w:tblPr>
      <w:tblGrid>
        <w:gridCol w:w="2695"/>
        <w:gridCol w:w="2610"/>
        <w:gridCol w:w="2700"/>
        <w:gridCol w:w="2430"/>
        <w:gridCol w:w="1890"/>
        <w:gridCol w:w="1800"/>
      </w:tblGrid>
      <w:tr w:rsidR="004965A9" w:rsidRPr="004965A9" w14:paraId="4BC428A7" w14:textId="77777777" w:rsidTr="004965A9">
        <w:trPr>
          <w:cantSplit/>
          <w:trHeight w:val="877"/>
          <w:tblHeader/>
        </w:trPr>
        <w:tc>
          <w:tcPr>
            <w:tcW w:w="2695" w:type="dxa"/>
            <w:shd w:val="clear" w:color="auto" w:fill="20ABCA"/>
          </w:tcPr>
          <w:p w14:paraId="6304D843" w14:textId="77777777" w:rsidR="004965A9" w:rsidRPr="004965A9" w:rsidRDefault="004965A9" w:rsidP="0083335F">
            <w:pPr>
              <w:spacing w:before="20" w:after="20" w:line="240" w:lineRule="auto"/>
              <w:rPr>
                <w:rFonts w:eastAsia="Calibri" w:cs="Arial"/>
                <w:b/>
                <w:color w:val="FFFFFF"/>
                <w:sz w:val="18"/>
                <w:szCs w:val="18"/>
              </w:rPr>
            </w:pPr>
            <w:r w:rsidRPr="004965A9">
              <w:rPr>
                <w:rFonts w:eastAsia="Calibri" w:cs="Arial"/>
                <w:b/>
                <w:color w:val="FFFFFF"/>
                <w:sz w:val="18"/>
                <w:szCs w:val="18"/>
              </w:rPr>
              <w:t>PROSPERA End of Facility outcome</w:t>
            </w:r>
          </w:p>
          <w:p w14:paraId="4BE97A99" w14:textId="77777777" w:rsidR="004965A9" w:rsidRPr="004965A9" w:rsidRDefault="004965A9" w:rsidP="0083335F">
            <w:pPr>
              <w:spacing w:before="20" w:after="20" w:line="240" w:lineRule="auto"/>
              <w:rPr>
                <w:rFonts w:eastAsia="Calibri" w:cs="Arial"/>
                <w:i/>
                <w:color w:val="FFFFFF"/>
                <w:sz w:val="18"/>
                <w:szCs w:val="18"/>
              </w:rPr>
            </w:pPr>
          </w:p>
          <w:p w14:paraId="57112DE0" w14:textId="77777777" w:rsidR="004965A9" w:rsidRPr="004965A9" w:rsidRDefault="004965A9" w:rsidP="0083335F">
            <w:pPr>
              <w:spacing w:before="20" w:after="20" w:line="240" w:lineRule="auto"/>
              <w:rPr>
                <w:rFonts w:eastAsia="Calibri" w:cs="Arial"/>
                <w:b/>
                <w:i/>
                <w:color w:val="FFFFFF"/>
                <w:sz w:val="18"/>
                <w:szCs w:val="18"/>
              </w:rPr>
            </w:pPr>
            <w:r w:rsidRPr="004965A9">
              <w:rPr>
                <w:rFonts w:eastAsia="Calibri" w:cs="Arial"/>
                <w:b/>
                <w:i/>
                <w:color w:val="FFFFFF"/>
                <w:sz w:val="18"/>
                <w:szCs w:val="18"/>
              </w:rPr>
              <w:t>Assumption</w:t>
            </w:r>
          </w:p>
        </w:tc>
        <w:tc>
          <w:tcPr>
            <w:tcW w:w="2610" w:type="dxa"/>
            <w:shd w:val="clear" w:color="auto" w:fill="20ABCA"/>
          </w:tcPr>
          <w:p w14:paraId="4919D29A" w14:textId="77777777" w:rsidR="004965A9" w:rsidRPr="004965A9" w:rsidRDefault="004965A9" w:rsidP="0083335F">
            <w:pPr>
              <w:spacing w:before="20" w:after="20" w:line="240" w:lineRule="auto"/>
              <w:rPr>
                <w:rFonts w:eastAsia="Calibri" w:cs="Arial"/>
                <w:b/>
                <w:color w:val="FFFFFF"/>
                <w:sz w:val="18"/>
                <w:szCs w:val="18"/>
              </w:rPr>
            </w:pPr>
            <w:r w:rsidRPr="004965A9">
              <w:rPr>
                <w:rFonts w:eastAsia="Calibri" w:cs="Arial"/>
                <w:b/>
                <w:color w:val="FFFFFF"/>
                <w:sz w:val="18"/>
                <w:szCs w:val="18"/>
              </w:rPr>
              <w:t>Performance Questions</w:t>
            </w:r>
          </w:p>
        </w:tc>
        <w:tc>
          <w:tcPr>
            <w:tcW w:w="2700" w:type="dxa"/>
            <w:shd w:val="clear" w:color="auto" w:fill="20ABCA"/>
          </w:tcPr>
          <w:p w14:paraId="7EB12AD1" w14:textId="77777777" w:rsidR="004965A9" w:rsidRPr="004965A9" w:rsidRDefault="004965A9" w:rsidP="0083335F">
            <w:pPr>
              <w:spacing w:before="20" w:after="20" w:line="240" w:lineRule="auto"/>
              <w:rPr>
                <w:rFonts w:eastAsia="Calibri" w:cs="Arial"/>
                <w:color w:val="FFFFFF"/>
                <w:sz w:val="18"/>
                <w:szCs w:val="18"/>
              </w:rPr>
            </w:pPr>
            <w:r w:rsidRPr="004965A9">
              <w:rPr>
                <w:rFonts w:eastAsia="Calibri" w:cs="Arial"/>
                <w:b/>
                <w:color w:val="FFFFFF"/>
                <w:sz w:val="18"/>
                <w:szCs w:val="18"/>
              </w:rPr>
              <w:t xml:space="preserve">What: </w:t>
            </w:r>
            <w:r w:rsidRPr="004965A9">
              <w:rPr>
                <w:rFonts w:eastAsia="Calibri" w:cs="Arial"/>
                <w:color w:val="FFFFFF"/>
                <w:sz w:val="18"/>
                <w:szCs w:val="18"/>
              </w:rPr>
              <w:t>Data to answer the Performance Question [Indicator]/ or Test the Assumption</w:t>
            </w:r>
          </w:p>
        </w:tc>
        <w:tc>
          <w:tcPr>
            <w:tcW w:w="2430" w:type="dxa"/>
            <w:shd w:val="clear" w:color="auto" w:fill="20ABCA"/>
          </w:tcPr>
          <w:p w14:paraId="6DC4A210" w14:textId="77777777" w:rsidR="004965A9" w:rsidRPr="004965A9" w:rsidRDefault="004965A9" w:rsidP="0083335F">
            <w:pPr>
              <w:spacing w:before="20" w:after="20" w:line="240" w:lineRule="auto"/>
              <w:rPr>
                <w:rFonts w:eastAsia="Calibri" w:cs="Arial"/>
                <w:color w:val="FFFFFF"/>
                <w:sz w:val="18"/>
                <w:szCs w:val="18"/>
              </w:rPr>
            </w:pPr>
            <w:r w:rsidRPr="004965A9">
              <w:rPr>
                <w:rFonts w:eastAsia="Calibri" w:cs="Arial"/>
                <w:b/>
                <w:color w:val="FFFFFF"/>
                <w:sz w:val="18"/>
                <w:szCs w:val="18"/>
              </w:rPr>
              <w:t>How:</w:t>
            </w:r>
            <w:r w:rsidRPr="004965A9">
              <w:rPr>
                <w:rFonts w:eastAsia="Calibri" w:cs="Arial"/>
                <w:color w:val="FFFFFF"/>
                <w:sz w:val="18"/>
                <w:szCs w:val="18"/>
              </w:rPr>
              <w:t xml:space="preserve"> Method to collect data</w:t>
            </w:r>
          </w:p>
        </w:tc>
        <w:tc>
          <w:tcPr>
            <w:tcW w:w="1890" w:type="dxa"/>
            <w:shd w:val="clear" w:color="auto" w:fill="20ABCA"/>
          </w:tcPr>
          <w:p w14:paraId="5D87A960" w14:textId="6DBF93AD" w:rsidR="004965A9" w:rsidRDefault="004965A9" w:rsidP="0083335F">
            <w:pPr>
              <w:spacing w:before="20" w:after="20" w:line="240" w:lineRule="auto"/>
              <w:rPr>
                <w:rFonts w:eastAsia="Calibri" w:cs="Arial"/>
                <w:color w:val="FFFFFF"/>
                <w:sz w:val="18"/>
                <w:szCs w:val="18"/>
              </w:rPr>
            </w:pPr>
            <w:r w:rsidRPr="004965A9">
              <w:rPr>
                <w:rFonts w:eastAsia="Calibri" w:cs="Arial"/>
                <w:b/>
                <w:color w:val="FFFFFF"/>
                <w:sz w:val="18"/>
                <w:szCs w:val="18"/>
              </w:rPr>
              <w:t>Who?</w:t>
            </w:r>
            <w:r w:rsidRPr="004965A9">
              <w:rPr>
                <w:rFonts w:eastAsia="Calibri" w:cs="Arial"/>
                <w:color w:val="FFFFFF"/>
                <w:sz w:val="18"/>
                <w:szCs w:val="18"/>
              </w:rPr>
              <w:t xml:space="preserve"> Responsibility to collect data</w:t>
            </w:r>
          </w:p>
          <w:p w14:paraId="69914F8D" w14:textId="77777777" w:rsidR="004965A9" w:rsidRPr="004965A9" w:rsidRDefault="004965A9" w:rsidP="0083335F">
            <w:pPr>
              <w:spacing w:before="20" w:after="20" w:line="240" w:lineRule="auto"/>
              <w:rPr>
                <w:rFonts w:eastAsia="Calibri" w:cs="Arial"/>
                <w:color w:val="FFFFFF"/>
                <w:sz w:val="18"/>
                <w:szCs w:val="18"/>
              </w:rPr>
            </w:pPr>
          </w:p>
          <w:p w14:paraId="3879A1F1" w14:textId="77777777" w:rsidR="004965A9" w:rsidRPr="004965A9" w:rsidRDefault="004965A9" w:rsidP="004965A9">
            <w:pPr>
              <w:spacing w:before="20" w:after="20" w:line="240" w:lineRule="auto"/>
              <w:rPr>
                <w:rFonts w:eastAsia="Calibri" w:cs="Arial"/>
                <w:b/>
                <w:color w:val="FFFFFF"/>
                <w:sz w:val="18"/>
                <w:szCs w:val="18"/>
              </w:rPr>
            </w:pPr>
            <w:r w:rsidRPr="004965A9">
              <w:rPr>
                <w:rFonts w:eastAsia="Calibri" w:cs="Arial"/>
                <w:b/>
                <w:color w:val="FFFFFF"/>
                <w:sz w:val="18"/>
                <w:szCs w:val="18"/>
              </w:rPr>
              <w:t>When? How often?</w:t>
            </w:r>
          </w:p>
          <w:p w14:paraId="0CC917BB" w14:textId="2D465AC4" w:rsidR="004965A9" w:rsidRPr="004965A9" w:rsidRDefault="004965A9" w:rsidP="0083335F">
            <w:pPr>
              <w:spacing w:before="20" w:after="20" w:line="240" w:lineRule="auto"/>
              <w:rPr>
                <w:rFonts w:eastAsia="Calibri" w:cs="Arial"/>
                <w:color w:val="FFFFFF"/>
                <w:sz w:val="18"/>
                <w:szCs w:val="18"/>
              </w:rPr>
            </w:pPr>
            <w:r w:rsidRPr="004965A9">
              <w:rPr>
                <w:rFonts w:eastAsia="Calibri" w:cs="Arial"/>
                <w:color w:val="FFFFFF"/>
                <w:sz w:val="18"/>
                <w:szCs w:val="18"/>
              </w:rPr>
              <w:t>Frequency/ Commencement</w:t>
            </w:r>
          </w:p>
        </w:tc>
        <w:tc>
          <w:tcPr>
            <w:tcW w:w="1800" w:type="dxa"/>
            <w:shd w:val="clear" w:color="auto" w:fill="20ABCA"/>
          </w:tcPr>
          <w:p w14:paraId="19A0067A" w14:textId="77777777" w:rsidR="004965A9" w:rsidRPr="004965A9" w:rsidRDefault="004965A9" w:rsidP="0083335F">
            <w:pPr>
              <w:spacing w:before="20" w:after="20" w:line="240" w:lineRule="auto"/>
              <w:rPr>
                <w:rFonts w:eastAsia="Calibri" w:cs="Arial"/>
                <w:b/>
                <w:color w:val="FFFFFF"/>
                <w:sz w:val="18"/>
                <w:szCs w:val="18"/>
              </w:rPr>
            </w:pPr>
            <w:r w:rsidRPr="004965A9">
              <w:rPr>
                <w:rFonts w:eastAsia="Calibri" w:cs="Arial"/>
                <w:b/>
                <w:color w:val="FFFFFF"/>
                <w:sz w:val="18"/>
                <w:szCs w:val="18"/>
              </w:rPr>
              <w:t>Where will it be used?</w:t>
            </w:r>
          </w:p>
          <w:p w14:paraId="2B2529DF" w14:textId="77777777" w:rsidR="004965A9" w:rsidRPr="004965A9" w:rsidRDefault="004965A9" w:rsidP="0083335F">
            <w:pPr>
              <w:spacing w:before="20" w:after="20" w:line="240" w:lineRule="auto"/>
              <w:rPr>
                <w:rFonts w:eastAsia="Calibri" w:cs="Arial"/>
                <w:color w:val="FFFFFF"/>
                <w:sz w:val="18"/>
                <w:szCs w:val="18"/>
              </w:rPr>
            </w:pPr>
            <w:r w:rsidRPr="004965A9">
              <w:rPr>
                <w:rFonts w:eastAsia="Calibri" w:cs="Arial"/>
                <w:color w:val="FFFFFF"/>
                <w:sz w:val="18"/>
                <w:szCs w:val="18"/>
              </w:rPr>
              <w:t xml:space="preserve">Reporting / Learning / Improvement </w:t>
            </w:r>
          </w:p>
        </w:tc>
      </w:tr>
      <w:tr w:rsidR="004965A9" w:rsidRPr="004965A9" w14:paraId="0781751A" w14:textId="77777777" w:rsidTr="004965A9">
        <w:trPr>
          <w:cantSplit/>
          <w:trHeight w:val="3174"/>
        </w:trPr>
        <w:tc>
          <w:tcPr>
            <w:tcW w:w="2695" w:type="dxa"/>
          </w:tcPr>
          <w:p w14:paraId="3F5863F0"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 xml:space="preserve">The Facility is practicing good governance, transparently and effectively prioritising and allocating investment to activities; through application of agreed investment criteria and transparent decision making models. </w:t>
            </w:r>
          </w:p>
          <w:p w14:paraId="3CFEBCCA"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Assumption: </w:t>
            </w:r>
          </w:p>
          <w:p w14:paraId="139D599E"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A clear governance structure is in place; oversight bodies meet regularly and understand their role.</w:t>
            </w:r>
          </w:p>
        </w:tc>
        <w:tc>
          <w:tcPr>
            <w:tcW w:w="2610" w:type="dxa"/>
          </w:tcPr>
          <w:p w14:paraId="1683B9C6"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To what extent is the Facility practicing good governance and transparency:</w:t>
            </w:r>
          </w:p>
          <w:p w14:paraId="567A9D52" w14:textId="77777777" w:rsidR="004965A9" w:rsidRPr="004965A9" w:rsidRDefault="004965A9" w:rsidP="004C4273">
            <w:pPr>
              <w:numPr>
                <w:ilvl w:val="0"/>
                <w:numId w:val="27"/>
              </w:numPr>
              <w:spacing w:before="40" w:after="40" w:line="240" w:lineRule="auto"/>
              <w:contextualSpacing/>
              <w:rPr>
                <w:rFonts w:eastAsia="Calibri" w:cs="Arial"/>
                <w:i/>
                <w:color w:val="000000"/>
                <w:sz w:val="18"/>
                <w:szCs w:val="18"/>
              </w:rPr>
            </w:pPr>
            <w:r w:rsidRPr="004965A9">
              <w:rPr>
                <w:rFonts w:eastAsia="Calibri" w:cs="Arial"/>
                <w:i/>
                <w:color w:val="000000"/>
                <w:sz w:val="18"/>
                <w:szCs w:val="18"/>
              </w:rPr>
              <w:t xml:space="preserve">prioritising and allocating investment through agreed investment criteria, </w:t>
            </w:r>
          </w:p>
          <w:p w14:paraId="38F23C10" w14:textId="77777777" w:rsidR="004965A9" w:rsidRPr="004965A9" w:rsidRDefault="004965A9" w:rsidP="004C4273">
            <w:pPr>
              <w:numPr>
                <w:ilvl w:val="0"/>
                <w:numId w:val="27"/>
              </w:numPr>
              <w:spacing w:before="40" w:after="40" w:line="240" w:lineRule="auto"/>
              <w:contextualSpacing/>
              <w:rPr>
                <w:rFonts w:eastAsia="Calibri" w:cs="Arial"/>
                <w:i/>
                <w:color w:val="000000"/>
                <w:sz w:val="18"/>
                <w:szCs w:val="18"/>
              </w:rPr>
            </w:pPr>
            <w:r w:rsidRPr="004965A9">
              <w:rPr>
                <w:rFonts w:eastAsia="Calibri" w:cs="Arial"/>
                <w:i/>
                <w:color w:val="000000"/>
                <w:sz w:val="18"/>
                <w:szCs w:val="18"/>
              </w:rPr>
              <w:t>applying consultative decision making?</w:t>
            </w:r>
          </w:p>
          <w:p w14:paraId="3FF71385"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i/>
                <w:color w:val="000000"/>
                <w:sz w:val="18"/>
                <w:szCs w:val="18"/>
              </w:rPr>
              <w:t>To what extent is the oversight body operating in accordance with their terms of reference?</w:t>
            </w:r>
            <w:r w:rsidRPr="004965A9">
              <w:rPr>
                <w:rFonts w:eastAsia="Calibri" w:cs="Arial"/>
                <w:color w:val="000000"/>
                <w:sz w:val="18"/>
                <w:szCs w:val="18"/>
              </w:rPr>
              <w:t xml:space="preserve"> </w:t>
            </w:r>
          </w:p>
        </w:tc>
        <w:tc>
          <w:tcPr>
            <w:tcW w:w="2700" w:type="dxa"/>
          </w:tcPr>
          <w:p w14:paraId="04B4A9C4" w14:textId="77777777" w:rsidR="004965A9" w:rsidRPr="004965A9" w:rsidRDefault="004965A9" w:rsidP="004C4273">
            <w:pPr>
              <w:numPr>
                <w:ilvl w:val="0"/>
                <w:numId w:val="28"/>
              </w:numPr>
              <w:spacing w:before="40" w:after="40" w:line="240" w:lineRule="auto"/>
              <w:contextualSpacing/>
              <w:rPr>
                <w:rFonts w:eastAsia="Calibri" w:cs="Arial"/>
                <w:color w:val="000000"/>
                <w:sz w:val="18"/>
                <w:szCs w:val="18"/>
              </w:rPr>
            </w:pPr>
            <w:r w:rsidRPr="004965A9">
              <w:rPr>
                <w:rFonts w:eastAsia="Calibri" w:cs="Arial"/>
                <w:color w:val="000000"/>
                <w:sz w:val="18"/>
                <w:szCs w:val="18"/>
              </w:rPr>
              <w:t>Proper consideration of investment criteria in decision making and investment allocation</w:t>
            </w:r>
          </w:p>
          <w:p w14:paraId="21E16C84" w14:textId="77777777" w:rsidR="004965A9" w:rsidRPr="004965A9" w:rsidRDefault="004965A9" w:rsidP="004C4273">
            <w:pPr>
              <w:numPr>
                <w:ilvl w:val="0"/>
                <w:numId w:val="28"/>
              </w:numPr>
              <w:spacing w:before="40" w:after="40" w:line="240" w:lineRule="auto"/>
              <w:contextualSpacing/>
              <w:rPr>
                <w:rFonts w:eastAsia="Calibri" w:cs="Arial"/>
                <w:color w:val="000000"/>
                <w:sz w:val="18"/>
                <w:szCs w:val="18"/>
              </w:rPr>
            </w:pPr>
            <w:r w:rsidRPr="004965A9">
              <w:rPr>
                <w:rFonts w:eastAsia="Calibri" w:cs="Arial"/>
                <w:color w:val="000000"/>
                <w:sz w:val="18"/>
                <w:szCs w:val="18"/>
              </w:rPr>
              <w:t>Consultative approaches used in facility decision making</w:t>
            </w:r>
          </w:p>
          <w:p w14:paraId="600CD327" w14:textId="77777777" w:rsidR="004965A9" w:rsidRPr="004965A9" w:rsidRDefault="004965A9" w:rsidP="004C4273">
            <w:pPr>
              <w:numPr>
                <w:ilvl w:val="0"/>
                <w:numId w:val="28"/>
              </w:numPr>
              <w:spacing w:before="40" w:after="40" w:line="240" w:lineRule="auto"/>
              <w:contextualSpacing/>
              <w:rPr>
                <w:rFonts w:eastAsia="Calibri" w:cs="Arial"/>
                <w:color w:val="000000"/>
                <w:sz w:val="18"/>
                <w:szCs w:val="18"/>
              </w:rPr>
            </w:pPr>
            <w:r w:rsidRPr="004965A9">
              <w:rPr>
                <w:rFonts w:eastAsia="Calibri" w:cs="Arial"/>
                <w:color w:val="000000"/>
                <w:sz w:val="18"/>
                <w:szCs w:val="18"/>
              </w:rPr>
              <w:t>Activity of the oversight body</w:t>
            </w:r>
          </w:p>
          <w:p w14:paraId="670D58C8" w14:textId="77777777" w:rsidR="004965A9" w:rsidRPr="004965A9" w:rsidRDefault="004965A9" w:rsidP="004C4273">
            <w:pPr>
              <w:numPr>
                <w:ilvl w:val="0"/>
                <w:numId w:val="28"/>
              </w:numPr>
              <w:spacing w:before="40" w:after="40" w:line="240" w:lineRule="auto"/>
              <w:contextualSpacing/>
              <w:rPr>
                <w:rFonts w:eastAsia="Calibri" w:cs="Arial"/>
                <w:color w:val="000000"/>
                <w:sz w:val="18"/>
                <w:szCs w:val="18"/>
              </w:rPr>
            </w:pPr>
            <w:r w:rsidRPr="004965A9">
              <w:rPr>
                <w:rFonts w:eastAsia="Calibri" w:cs="Arial"/>
                <w:color w:val="000000"/>
                <w:sz w:val="18"/>
                <w:szCs w:val="18"/>
              </w:rPr>
              <w:t>Publication of Prospera decision making documents, work plans and reports on the Prospera website.</w:t>
            </w:r>
          </w:p>
        </w:tc>
        <w:tc>
          <w:tcPr>
            <w:tcW w:w="2430" w:type="dxa"/>
          </w:tcPr>
          <w:p w14:paraId="0613D3CA" w14:textId="77777777" w:rsidR="004965A9" w:rsidRPr="004965A9" w:rsidRDefault="004965A9" w:rsidP="004C4273">
            <w:pPr>
              <w:numPr>
                <w:ilvl w:val="0"/>
                <w:numId w:val="29"/>
              </w:numPr>
              <w:spacing w:before="40" w:after="40" w:line="240" w:lineRule="auto"/>
              <w:contextualSpacing/>
              <w:rPr>
                <w:rFonts w:eastAsia="Calibri" w:cs="Arial"/>
                <w:color w:val="000000"/>
                <w:sz w:val="18"/>
                <w:szCs w:val="18"/>
              </w:rPr>
            </w:pPr>
            <w:r w:rsidRPr="004965A9">
              <w:rPr>
                <w:rFonts w:eastAsia="Calibri" w:cs="Arial"/>
                <w:color w:val="000000"/>
                <w:sz w:val="18"/>
                <w:szCs w:val="18"/>
              </w:rPr>
              <w:t>Documented Records of investment decision making</w:t>
            </w:r>
          </w:p>
          <w:p w14:paraId="41B0ABC6" w14:textId="77777777" w:rsidR="004965A9" w:rsidRPr="004965A9" w:rsidRDefault="004965A9" w:rsidP="004C4273">
            <w:pPr>
              <w:numPr>
                <w:ilvl w:val="0"/>
                <w:numId w:val="29"/>
              </w:numPr>
              <w:spacing w:before="40" w:after="40" w:line="240" w:lineRule="auto"/>
              <w:contextualSpacing/>
              <w:rPr>
                <w:rFonts w:eastAsia="Calibri" w:cs="Arial"/>
                <w:color w:val="000000"/>
                <w:sz w:val="18"/>
                <w:szCs w:val="18"/>
              </w:rPr>
            </w:pPr>
            <w:r w:rsidRPr="004965A9">
              <w:rPr>
                <w:rFonts w:eastAsia="Calibri" w:cs="Arial"/>
                <w:color w:val="000000"/>
                <w:sz w:val="18"/>
                <w:szCs w:val="18"/>
              </w:rPr>
              <w:t>Documented records of consultation</w:t>
            </w:r>
          </w:p>
          <w:p w14:paraId="31BA9808" w14:textId="77777777" w:rsidR="004965A9" w:rsidRPr="004965A9" w:rsidRDefault="004965A9" w:rsidP="004C4273">
            <w:pPr>
              <w:numPr>
                <w:ilvl w:val="0"/>
                <w:numId w:val="29"/>
              </w:numPr>
              <w:spacing w:before="40" w:after="40" w:line="240" w:lineRule="auto"/>
              <w:contextualSpacing/>
              <w:rPr>
                <w:rFonts w:eastAsia="Calibri" w:cs="Arial"/>
                <w:color w:val="000000"/>
                <w:sz w:val="18"/>
                <w:szCs w:val="18"/>
              </w:rPr>
            </w:pPr>
            <w:r w:rsidRPr="004965A9">
              <w:rPr>
                <w:rFonts w:eastAsia="Calibri" w:cs="Arial"/>
                <w:color w:val="000000"/>
                <w:sz w:val="18"/>
                <w:szCs w:val="18"/>
              </w:rPr>
              <w:t>Minutes and agendas of oversight body; % of decisions implemented</w:t>
            </w:r>
          </w:p>
          <w:p w14:paraId="5E674139" w14:textId="77777777" w:rsidR="004965A9" w:rsidRPr="004965A9" w:rsidRDefault="004965A9" w:rsidP="004C4273">
            <w:pPr>
              <w:numPr>
                <w:ilvl w:val="0"/>
                <w:numId w:val="29"/>
              </w:numPr>
              <w:spacing w:before="40" w:after="40" w:line="240" w:lineRule="auto"/>
              <w:contextualSpacing/>
              <w:rPr>
                <w:rFonts w:eastAsia="Calibri" w:cs="Arial"/>
                <w:color w:val="000000"/>
                <w:sz w:val="18"/>
                <w:szCs w:val="18"/>
              </w:rPr>
            </w:pPr>
            <w:r w:rsidRPr="004965A9">
              <w:rPr>
                <w:rFonts w:eastAsia="Calibri" w:cs="Arial"/>
                <w:color w:val="000000"/>
                <w:sz w:val="18"/>
                <w:szCs w:val="18"/>
              </w:rPr>
              <w:t># and proportion of Prospera documents that should be in the public domain uploaded to the Prospera website</w:t>
            </w:r>
          </w:p>
        </w:tc>
        <w:tc>
          <w:tcPr>
            <w:tcW w:w="1890" w:type="dxa"/>
          </w:tcPr>
          <w:p w14:paraId="1303508F" w14:textId="701FF24D" w:rsidR="004965A9" w:rsidRPr="004965A9" w:rsidRDefault="004965A9" w:rsidP="0083335F">
            <w:pPr>
              <w:spacing w:before="40" w:after="40" w:line="240" w:lineRule="auto"/>
              <w:rPr>
                <w:rFonts w:eastAsia="Calibri" w:cs="Arial"/>
                <w:color w:val="000000"/>
                <w:sz w:val="18"/>
                <w:szCs w:val="18"/>
              </w:rPr>
            </w:pPr>
            <w:r>
              <w:rPr>
                <w:rFonts w:eastAsia="Calibri" w:cs="Arial"/>
                <w:color w:val="000000"/>
                <w:sz w:val="18"/>
                <w:szCs w:val="18"/>
              </w:rPr>
              <w:t xml:space="preserve">Prospera KPL </w:t>
            </w:r>
            <w:r w:rsidRPr="004965A9">
              <w:rPr>
                <w:rFonts w:eastAsia="Calibri" w:cs="Arial"/>
                <w:color w:val="000000"/>
                <w:sz w:val="18"/>
                <w:szCs w:val="18"/>
              </w:rPr>
              <w:t xml:space="preserve">team </w:t>
            </w:r>
          </w:p>
          <w:p w14:paraId="0136267D" w14:textId="77777777" w:rsidR="004965A9" w:rsidRPr="004965A9" w:rsidRDefault="004965A9" w:rsidP="0083335F">
            <w:pPr>
              <w:spacing w:before="40" w:after="40" w:line="240" w:lineRule="auto"/>
              <w:rPr>
                <w:rFonts w:eastAsia="Calibri" w:cs="Arial"/>
                <w:color w:val="000000"/>
                <w:sz w:val="18"/>
                <w:szCs w:val="18"/>
              </w:rPr>
            </w:pPr>
          </w:p>
          <w:p w14:paraId="5E5111CD" w14:textId="156F472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Annual</w:t>
            </w:r>
          </w:p>
        </w:tc>
        <w:tc>
          <w:tcPr>
            <w:tcW w:w="1800" w:type="dxa"/>
          </w:tcPr>
          <w:p w14:paraId="6724BD5D"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 xml:space="preserve">Preparation of Prospera Partner Performance Assessment; Aid Quality Check </w:t>
            </w:r>
          </w:p>
        </w:tc>
      </w:tr>
      <w:tr w:rsidR="004965A9" w:rsidRPr="004965A9" w14:paraId="7378CF27" w14:textId="77777777" w:rsidTr="004965A9">
        <w:trPr>
          <w:cantSplit/>
          <w:trHeight w:val="2822"/>
        </w:trPr>
        <w:tc>
          <w:tcPr>
            <w:tcW w:w="2695" w:type="dxa"/>
          </w:tcPr>
          <w:p w14:paraId="0C761188"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 xml:space="preserve">APS and advisors are collaborating effectively and applying interdisciplinary approaches to design and implement better activities: across themes and within portfolios. </w:t>
            </w:r>
          </w:p>
          <w:p w14:paraId="288B52E4"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Assumption: </w:t>
            </w:r>
          </w:p>
          <w:p w14:paraId="03F7CF6C"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That APS agency officers and advisers all see themselves as part of a new Prospera and are willing explore different ways of working </w:t>
            </w:r>
          </w:p>
        </w:tc>
        <w:tc>
          <w:tcPr>
            <w:tcW w:w="2610" w:type="dxa"/>
          </w:tcPr>
          <w:p w14:paraId="54DD0680"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To what extent is the Facility providing opportunities and setting out an expectation for APS and adviser collaboration and interdisciplinary practice? </w:t>
            </w:r>
          </w:p>
          <w:p w14:paraId="3E4F330B"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i/>
                <w:color w:val="000000"/>
                <w:sz w:val="18"/>
                <w:szCs w:val="18"/>
              </w:rPr>
              <w:t>To what extent are APS and advisers participating in these opportunities?</w:t>
            </w:r>
            <w:r w:rsidRPr="004965A9">
              <w:rPr>
                <w:rFonts w:eastAsia="Calibri" w:cs="Arial"/>
                <w:color w:val="000000"/>
                <w:sz w:val="18"/>
                <w:szCs w:val="18"/>
              </w:rPr>
              <w:t xml:space="preserve"> </w:t>
            </w:r>
          </w:p>
        </w:tc>
        <w:tc>
          <w:tcPr>
            <w:tcW w:w="2700" w:type="dxa"/>
          </w:tcPr>
          <w:p w14:paraId="7F65FEF7" w14:textId="77777777" w:rsidR="004965A9" w:rsidRPr="004965A9" w:rsidRDefault="004965A9" w:rsidP="004C4273">
            <w:pPr>
              <w:numPr>
                <w:ilvl w:val="0"/>
                <w:numId w:val="30"/>
              </w:numPr>
              <w:spacing w:before="40" w:after="40" w:line="240" w:lineRule="auto"/>
              <w:contextualSpacing/>
              <w:rPr>
                <w:rFonts w:eastAsia="Calibri" w:cs="Arial"/>
                <w:color w:val="000000"/>
                <w:sz w:val="18"/>
                <w:szCs w:val="18"/>
              </w:rPr>
            </w:pPr>
            <w:r w:rsidRPr="004965A9">
              <w:rPr>
                <w:rFonts w:eastAsia="Calibri" w:cs="Arial"/>
                <w:color w:val="000000"/>
                <w:sz w:val="18"/>
                <w:szCs w:val="18"/>
              </w:rPr>
              <w:t># and type of workshops and events facilitated by Prospera that bring APS agency officers and advisers together to collaborate on activities</w:t>
            </w:r>
          </w:p>
          <w:p w14:paraId="06F33EFF" w14:textId="77777777" w:rsidR="004965A9" w:rsidRPr="004965A9" w:rsidRDefault="004965A9" w:rsidP="004C4273">
            <w:pPr>
              <w:numPr>
                <w:ilvl w:val="0"/>
                <w:numId w:val="30"/>
              </w:numPr>
              <w:spacing w:before="40" w:after="40" w:line="240" w:lineRule="auto"/>
              <w:contextualSpacing/>
              <w:rPr>
                <w:rFonts w:eastAsia="Calibri" w:cs="Arial"/>
                <w:color w:val="000000"/>
                <w:sz w:val="18"/>
                <w:szCs w:val="18"/>
              </w:rPr>
            </w:pPr>
            <w:r w:rsidRPr="004965A9">
              <w:rPr>
                <w:rFonts w:eastAsia="Calibri" w:cs="Arial"/>
                <w:color w:val="000000"/>
                <w:sz w:val="18"/>
                <w:szCs w:val="18"/>
              </w:rPr>
              <w:t>Extent of APS and adviser participation in these events</w:t>
            </w:r>
          </w:p>
          <w:p w14:paraId="3CC47A74" w14:textId="77777777" w:rsidR="004965A9" w:rsidRPr="004965A9" w:rsidRDefault="004965A9" w:rsidP="004C4273">
            <w:pPr>
              <w:numPr>
                <w:ilvl w:val="0"/>
                <w:numId w:val="30"/>
              </w:numPr>
              <w:spacing w:before="40" w:after="40" w:line="240" w:lineRule="auto"/>
              <w:contextualSpacing/>
              <w:rPr>
                <w:rFonts w:eastAsia="Calibri" w:cs="Arial"/>
                <w:color w:val="000000"/>
                <w:sz w:val="18"/>
                <w:szCs w:val="18"/>
              </w:rPr>
            </w:pPr>
            <w:r w:rsidRPr="004965A9">
              <w:rPr>
                <w:rFonts w:eastAsia="Calibri" w:cs="Arial"/>
                <w:color w:val="000000"/>
                <w:sz w:val="18"/>
                <w:szCs w:val="18"/>
              </w:rPr>
              <w:t>Reaction feedback on events</w:t>
            </w:r>
          </w:p>
          <w:p w14:paraId="589A885C" w14:textId="77777777" w:rsidR="004965A9" w:rsidRPr="004965A9" w:rsidRDefault="004965A9" w:rsidP="004C4273">
            <w:pPr>
              <w:numPr>
                <w:ilvl w:val="0"/>
                <w:numId w:val="30"/>
              </w:numPr>
              <w:spacing w:before="40" w:after="40" w:line="240" w:lineRule="auto"/>
              <w:contextualSpacing/>
              <w:rPr>
                <w:rFonts w:eastAsia="Calibri" w:cs="Arial"/>
                <w:color w:val="000000"/>
                <w:sz w:val="18"/>
                <w:szCs w:val="18"/>
              </w:rPr>
            </w:pPr>
            <w:r w:rsidRPr="004965A9">
              <w:rPr>
                <w:rFonts w:eastAsia="Calibri" w:cs="Arial"/>
                <w:color w:val="000000"/>
                <w:sz w:val="18"/>
                <w:szCs w:val="18"/>
              </w:rPr>
              <w:t># of activities where APS agencies and advisers are co-designing the activities</w:t>
            </w:r>
          </w:p>
        </w:tc>
        <w:tc>
          <w:tcPr>
            <w:tcW w:w="2430" w:type="dxa"/>
          </w:tcPr>
          <w:p w14:paraId="3B6E118E" w14:textId="77777777" w:rsidR="004965A9" w:rsidRPr="004965A9" w:rsidRDefault="004965A9" w:rsidP="004C4273">
            <w:pPr>
              <w:numPr>
                <w:ilvl w:val="0"/>
                <w:numId w:val="31"/>
              </w:numPr>
              <w:spacing w:before="40" w:after="40" w:line="240" w:lineRule="auto"/>
              <w:contextualSpacing/>
              <w:rPr>
                <w:rFonts w:eastAsia="Calibri" w:cs="Arial"/>
                <w:color w:val="000000"/>
                <w:sz w:val="18"/>
                <w:szCs w:val="18"/>
              </w:rPr>
            </w:pPr>
            <w:r w:rsidRPr="004965A9">
              <w:rPr>
                <w:rFonts w:eastAsia="Calibri" w:cs="Arial"/>
                <w:color w:val="000000"/>
                <w:sz w:val="18"/>
                <w:szCs w:val="18"/>
              </w:rPr>
              <w:t>Workshop reports</w:t>
            </w:r>
          </w:p>
          <w:p w14:paraId="08A45027" w14:textId="77777777" w:rsidR="004965A9" w:rsidRPr="004965A9" w:rsidRDefault="004965A9" w:rsidP="004C4273">
            <w:pPr>
              <w:numPr>
                <w:ilvl w:val="0"/>
                <w:numId w:val="31"/>
              </w:numPr>
              <w:spacing w:before="40" w:after="40" w:line="240" w:lineRule="auto"/>
              <w:contextualSpacing/>
              <w:rPr>
                <w:rFonts w:eastAsia="Calibri" w:cs="Arial"/>
                <w:color w:val="000000"/>
                <w:sz w:val="18"/>
                <w:szCs w:val="18"/>
              </w:rPr>
            </w:pPr>
            <w:r w:rsidRPr="004965A9">
              <w:rPr>
                <w:rFonts w:eastAsia="Calibri" w:cs="Arial"/>
                <w:color w:val="000000"/>
                <w:sz w:val="18"/>
                <w:szCs w:val="18"/>
              </w:rPr>
              <w:t>Workshop attendance records</w:t>
            </w:r>
          </w:p>
          <w:p w14:paraId="22A39A4C" w14:textId="77777777" w:rsidR="004965A9" w:rsidRPr="004965A9" w:rsidRDefault="004965A9" w:rsidP="004C4273">
            <w:pPr>
              <w:numPr>
                <w:ilvl w:val="0"/>
                <w:numId w:val="31"/>
              </w:numPr>
              <w:spacing w:before="40" w:after="40" w:line="240" w:lineRule="auto"/>
              <w:contextualSpacing/>
              <w:rPr>
                <w:rFonts w:eastAsia="Calibri" w:cs="Arial"/>
                <w:color w:val="000000"/>
                <w:sz w:val="18"/>
                <w:szCs w:val="18"/>
              </w:rPr>
            </w:pPr>
            <w:r w:rsidRPr="004965A9">
              <w:rPr>
                <w:rFonts w:eastAsia="Calibri" w:cs="Arial"/>
                <w:color w:val="000000"/>
                <w:sz w:val="18"/>
                <w:szCs w:val="18"/>
              </w:rPr>
              <w:t>Workshop evaluations</w:t>
            </w:r>
          </w:p>
          <w:p w14:paraId="79631CF0" w14:textId="77777777" w:rsidR="004965A9" w:rsidRPr="004965A9" w:rsidRDefault="004965A9" w:rsidP="004C4273">
            <w:pPr>
              <w:numPr>
                <w:ilvl w:val="0"/>
                <w:numId w:val="31"/>
              </w:numPr>
              <w:spacing w:before="40" w:after="40" w:line="240" w:lineRule="auto"/>
              <w:contextualSpacing/>
              <w:rPr>
                <w:rFonts w:eastAsia="Calibri" w:cs="Arial"/>
                <w:color w:val="000000"/>
                <w:sz w:val="18"/>
                <w:szCs w:val="18"/>
              </w:rPr>
            </w:pPr>
            <w:r w:rsidRPr="004965A9">
              <w:rPr>
                <w:rFonts w:eastAsia="Calibri" w:cs="Arial"/>
                <w:color w:val="000000"/>
                <w:sz w:val="18"/>
                <w:szCs w:val="18"/>
              </w:rPr>
              <w:t xml:space="preserve">Adviser and APS reports </w:t>
            </w:r>
          </w:p>
          <w:p w14:paraId="6A5A2064" w14:textId="77777777" w:rsidR="004965A9" w:rsidRPr="004965A9" w:rsidRDefault="004965A9" w:rsidP="004C4273">
            <w:pPr>
              <w:numPr>
                <w:ilvl w:val="0"/>
                <w:numId w:val="31"/>
              </w:numPr>
              <w:spacing w:before="40" w:after="40" w:line="240" w:lineRule="auto"/>
              <w:contextualSpacing/>
              <w:rPr>
                <w:rFonts w:eastAsia="Calibri" w:cs="Arial"/>
                <w:color w:val="000000"/>
                <w:sz w:val="18"/>
                <w:szCs w:val="18"/>
              </w:rPr>
            </w:pPr>
            <w:r w:rsidRPr="004965A9">
              <w:rPr>
                <w:rFonts w:eastAsia="Calibri" w:cs="Arial"/>
                <w:color w:val="000000"/>
                <w:sz w:val="18"/>
                <w:szCs w:val="18"/>
              </w:rPr>
              <w:t xml:space="preserve">Annual Survey of APS and advisers </w:t>
            </w:r>
          </w:p>
        </w:tc>
        <w:tc>
          <w:tcPr>
            <w:tcW w:w="1890" w:type="dxa"/>
          </w:tcPr>
          <w:p w14:paraId="0DBEB133" w14:textId="77777777" w:rsidR="004965A9" w:rsidRPr="004965A9" w:rsidRDefault="004965A9" w:rsidP="004965A9">
            <w:pPr>
              <w:spacing w:before="40" w:after="40" w:line="240" w:lineRule="auto"/>
              <w:rPr>
                <w:rFonts w:eastAsia="Calibri" w:cs="Arial"/>
                <w:color w:val="000000"/>
                <w:sz w:val="18"/>
                <w:szCs w:val="18"/>
              </w:rPr>
            </w:pPr>
            <w:r>
              <w:rPr>
                <w:rFonts w:eastAsia="Calibri" w:cs="Arial"/>
                <w:color w:val="000000"/>
                <w:sz w:val="18"/>
                <w:szCs w:val="18"/>
              </w:rPr>
              <w:t xml:space="preserve">Prospera KPL </w:t>
            </w:r>
            <w:r w:rsidRPr="004965A9">
              <w:rPr>
                <w:rFonts w:eastAsia="Calibri" w:cs="Arial"/>
                <w:color w:val="000000"/>
                <w:sz w:val="18"/>
                <w:szCs w:val="18"/>
              </w:rPr>
              <w:t xml:space="preserve">team </w:t>
            </w:r>
          </w:p>
          <w:p w14:paraId="7CABA5FF" w14:textId="77777777" w:rsidR="004965A9" w:rsidRPr="004965A9" w:rsidRDefault="004965A9" w:rsidP="0083335F">
            <w:pPr>
              <w:spacing w:before="40" w:after="40" w:line="240" w:lineRule="auto"/>
              <w:rPr>
                <w:rFonts w:eastAsia="Calibri" w:cs="Arial"/>
                <w:color w:val="000000"/>
                <w:sz w:val="18"/>
                <w:szCs w:val="18"/>
              </w:rPr>
            </w:pPr>
          </w:p>
          <w:p w14:paraId="600C24C4"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Annual</w:t>
            </w:r>
          </w:p>
          <w:p w14:paraId="4CEB5A3B" w14:textId="77777777" w:rsidR="004965A9" w:rsidRPr="004965A9" w:rsidRDefault="004965A9" w:rsidP="0083335F">
            <w:pPr>
              <w:spacing w:before="40" w:after="40" w:line="240" w:lineRule="auto"/>
              <w:rPr>
                <w:rFonts w:eastAsia="Calibri" w:cs="Arial"/>
                <w:color w:val="000000"/>
                <w:sz w:val="18"/>
                <w:szCs w:val="18"/>
              </w:rPr>
            </w:pPr>
          </w:p>
          <w:p w14:paraId="5AE2ABD7" w14:textId="7095E18D" w:rsidR="004965A9" w:rsidRPr="004965A9" w:rsidRDefault="004965A9" w:rsidP="0083335F">
            <w:pPr>
              <w:spacing w:before="40" w:after="40" w:line="240" w:lineRule="auto"/>
              <w:rPr>
                <w:rFonts w:eastAsia="Calibri" w:cs="Arial"/>
                <w:color w:val="000000"/>
                <w:sz w:val="18"/>
                <w:szCs w:val="18"/>
              </w:rPr>
            </w:pPr>
          </w:p>
        </w:tc>
        <w:tc>
          <w:tcPr>
            <w:tcW w:w="1800" w:type="dxa"/>
          </w:tcPr>
          <w:p w14:paraId="44E72B66"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Preparation of Prospera Partner Performance Assessment; Aid Quality Check</w:t>
            </w:r>
          </w:p>
        </w:tc>
      </w:tr>
      <w:tr w:rsidR="004965A9" w:rsidRPr="004965A9" w14:paraId="06631D78" w14:textId="77777777" w:rsidTr="004965A9">
        <w:trPr>
          <w:cantSplit/>
          <w:trHeight w:val="2253"/>
        </w:trPr>
        <w:tc>
          <w:tcPr>
            <w:tcW w:w="2695" w:type="dxa"/>
          </w:tcPr>
          <w:p w14:paraId="7CB008F8"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Technical advisers are adding interdisciplinary value to peer exchanges with and between government (APS) officials.</w:t>
            </w:r>
          </w:p>
          <w:p w14:paraId="08551167"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Assumption: </w:t>
            </w:r>
          </w:p>
          <w:p w14:paraId="428940E9"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That APS officers are available to spend enough time with relevant advisers to build trust and relationship</w:t>
            </w:r>
          </w:p>
        </w:tc>
        <w:tc>
          <w:tcPr>
            <w:tcW w:w="2610" w:type="dxa"/>
          </w:tcPr>
          <w:p w14:paraId="268BEFBB"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To what extent are technical advisers adding interdisciplinary value to peer exchanges with and between government officials?</w:t>
            </w:r>
          </w:p>
          <w:p w14:paraId="61789E8A" w14:textId="77777777" w:rsidR="004965A9" w:rsidRPr="004965A9" w:rsidRDefault="004965A9" w:rsidP="0083335F">
            <w:pPr>
              <w:spacing w:before="40" w:after="40" w:line="240" w:lineRule="auto"/>
              <w:rPr>
                <w:rFonts w:eastAsia="Calibri" w:cs="Arial"/>
                <w:color w:val="000000"/>
                <w:sz w:val="18"/>
                <w:szCs w:val="18"/>
              </w:rPr>
            </w:pPr>
          </w:p>
        </w:tc>
        <w:tc>
          <w:tcPr>
            <w:tcW w:w="2700" w:type="dxa"/>
          </w:tcPr>
          <w:p w14:paraId="6B670A84" w14:textId="77777777" w:rsidR="004965A9" w:rsidRPr="004965A9" w:rsidRDefault="004965A9" w:rsidP="004C4273">
            <w:pPr>
              <w:numPr>
                <w:ilvl w:val="0"/>
                <w:numId w:val="32"/>
              </w:numPr>
              <w:spacing w:before="40" w:after="40" w:line="240" w:lineRule="auto"/>
              <w:contextualSpacing/>
              <w:rPr>
                <w:rFonts w:eastAsia="Calibri" w:cs="Arial"/>
                <w:color w:val="000000"/>
                <w:sz w:val="18"/>
                <w:szCs w:val="18"/>
              </w:rPr>
            </w:pPr>
            <w:r w:rsidRPr="004965A9">
              <w:rPr>
                <w:rFonts w:eastAsia="Calibri" w:cs="Arial"/>
                <w:color w:val="000000"/>
                <w:sz w:val="18"/>
                <w:szCs w:val="18"/>
              </w:rPr>
              <w:t># and type of Instances of adviser participation in APS discussions</w:t>
            </w:r>
          </w:p>
          <w:p w14:paraId="6B0B69DA" w14:textId="77777777" w:rsidR="004965A9" w:rsidRPr="004965A9" w:rsidRDefault="004965A9" w:rsidP="004C4273">
            <w:pPr>
              <w:numPr>
                <w:ilvl w:val="0"/>
                <w:numId w:val="32"/>
              </w:numPr>
              <w:spacing w:before="40" w:after="40" w:line="240" w:lineRule="auto"/>
              <w:contextualSpacing/>
              <w:rPr>
                <w:rFonts w:eastAsia="Calibri" w:cs="Arial"/>
                <w:color w:val="000000"/>
                <w:sz w:val="18"/>
                <w:szCs w:val="18"/>
              </w:rPr>
            </w:pPr>
            <w:r w:rsidRPr="004965A9">
              <w:rPr>
                <w:rFonts w:eastAsia="Calibri" w:cs="Arial"/>
                <w:color w:val="000000"/>
                <w:sz w:val="18"/>
                <w:szCs w:val="18"/>
              </w:rPr>
              <w:t># of requests from APS for adviser collaboration</w:t>
            </w:r>
          </w:p>
        </w:tc>
        <w:tc>
          <w:tcPr>
            <w:tcW w:w="2430" w:type="dxa"/>
          </w:tcPr>
          <w:p w14:paraId="2FE8D2CC" w14:textId="77777777" w:rsidR="004965A9" w:rsidRPr="004965A9" w:rsidRDefault="004965A9" w:rsidP="004C4273">
            <w:pPr>
              <w:numPr>
                <w:ilvl w:val="0"/>
                <w:numId w:val="33"/>
              </w:numPr>
              <w:spacing w:before="40" w:after="40" w:line="240" w:lineRule="auto"/>
              <w:contextualSpacing/>
              <w:rPr>
                <w:rFonts w:eastAsia="Calibri" w:cs="Arial"/>
                <w:color w:val="000000"/>
                <w:sz w:val="18"/>
                <w:szCs w:val="18"/>
              </w:rPr>
            </w:pPr>
            <w:r w:rsidRPr="004965A9">
              <w:rPr>
                <w:rFonts w:eastAsia="Calibri" w:cs="Arial"/>
                <w:color w:val="000000"/>
                <w:sz w:val="18"/>
                <w:szCs w:val="18"/>
              </w:rPr>
              <w:t>APS and Adviser reports</w:t>
            </w:r>
          </w:p>
          <w:p w14:paraId="11EBA6AB" w14:textId="77777777" w:rsidR="004965A9" w:rsidRPr="004965A9" w:rsidRDefault="004965A9" w:rsidP="004C4273">
            <w:pPr>
              <w:numPr>
                <w:ilvl w:val="0"/>
                <w:numId w:val="33"/>
              </w:numPr>
              <w:spacing w:before="40" w:after="40" w:line="240" w:lineRule="auto"/>
              <w:contextualSpacing/>
              <w:rPr>
                <w:rFonts w:eastAsia="Calibri" w:cs="Arial"/>
                <w:color w:val="000000"/>
                <w:sz w:val="18"/>
                <w:szCs w:val="18"/>
              </w:rPr>
            </w:pPr>
            <w:r w:rsidRPr="004965A9">
              <w:rPr>
                <w:rFonts w:eastAsia="Calibri" w:cs="Arial"/>
                <w:color w:val="000000"/>
                <w:sz w:val="18"/>
                <w:szCs w:val="18"/>
              </w:rPr>
              <w:t>APS and Adviser reports</w:t>
            </w:r>
          </w:p>
          <w:p w14:paraId="18659756" w14:textId="77777777" w:rsidR="004965A9" w:rsidRPr="004965A9" w:rsidRDefault="004965A9" w:rsidP="004C4273">
            <w:pPr>
              <w:numPr>
                <w:ilvl w:val="0"/>
                <w:numId w:val="33"/>
              </w:numPr>
              <w:spacing w:before="40" w:after="40" w:line="240" w:lineRule="auto"/>
              <w:contextualSpacing/>
              <w:rPr>
                <w:rFonts w:eastAsia="Calibri" w:cs="Arial"/>
                <w:color w:val="000000"/>
                <w:sz w:val="18"/>
                <w:szCs w:val="18"/>
              </w:rPr>
            </w:pPr>
            <w:r w:rsidRPr="004965A9">
              <w:rPr>
                <w:rFonts w:eastAsia="Calibri" w:cs="Arial"/>
                <w:color w:val="000000"/>
                <w:sz w:val="18"/>
                <w:szCs w:val="18"/>
              </w:rPr>
              <w:t>Annual Survey of APS and advisers</w:t>
            </w:r>
          </w:p>
        </w:tc>
        <w:tc>
          <w:tcPr>
            <w:tcW w:w="1890" w:type="dxa"/>
          </w:tcPr>
          <w:p w14:paraId="18CB53D6" w14:textId="77777777" w:rsidR="004965A9" w:rsidRPr="004965A9" w:rsidRDefault="004965A9" w:rsidP="004965A9">
            <w:pPr>
              <w:spacing w:before="40" w:after="40" w:line="240" w:lineRule="auto"/>
              <w:rPr>
                <w:rFonts w:eastAsia="Calibri" w:cs="Arial"/>
                <w:color w:val="000000"/>
                <w:sz w:val="18"/>
                <w:szCs w:val="18"/>
              </w:rPr>
            </w:pPr>
            <w:r>
              <w:rPr>
                <w:rFonts w:eastAsia="Calibri" w:cs="Arial"/>
                <w:color w:val="000000"/>
                <w:sz w:val="18"/>
                <w:szCs w:val="18"/>
              </w:rPr>
              <w:t xml:space="preserve">Prospera KPL </w:t>
            </w:r>
            <w:r w:rsidRPr="004965A9">
              <w:rPr>
                <w:rFonts w:eastAsia="Calibri" w:cs="Arial"/>
                <w:color w:val="000000"/>
                <w:sz w:val="18"/>
                <w:szCs w:val="18"/>
              </w:rPr>
              <w:t xml:space="preserve">team </w:t>
            </w:r>
          </w:p>
          <w:p w14:paraId="393F77DF" w14:textId="77777777" w:rsidR="004965A9" w:rsidRPr="004965A9" w:rsidRDefault="004965A9" w:rsidP="0083335F">
            <w:pPr>
              <w:spacing w:before="40" w:after="40" w:line="240" w:lineRule="auto"/>
              <w:rPr>
                <w:rFonts w:eastAsia="Calibri" w:cs="Arial"/>
                <w:color w:val="000000"/>
                <w:sz w:val="18"/>
                <w:szCs w:val="18"/>
              </w:rPr>
            </w:pPr>
          </w:p>
          <w:p w14:paraId="4FACFFCF" w14:textId="3C6BFB28"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 xml:space="preserve">Annual </w:t>
            </w:r>
          </w:p>
        </w:tc>
        <w:tc>
          <w:tcPr>
            <w:tcW w:w="1800" w:type="dxa"/>
          </w:tcPr>
          <w:p w14:paraId="3ADE8A0E"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Preparation of Prospera Partner Performance Assessment; Aid Quality Check</w:t>
            </w:r>
          </w:p>
        </w:tc>
      </w:tr>
      <w:tr w:rsidR="004965A9" w:rsidRPr="004965A9" w14:paraId="4D98F378" w14:textId="77777777" w:rsidTr="004965A9">
        <w:trPr>
          <w:cantSplit/>
          <w:trHeight w:val="145"/>
        </w:trPr>
        <w:tc>
          <w:tcPr>
            <w:tcW w:w="2695" w:type="dxa"/>
          </w:tcPr>
          <w:p w14:paraId="236E4B07"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Australian Government officials are enabling technical advisers to work more effectively in bureaucracies</w:t>
            </w:r>
          </w:p>
          <w:p w14:paraId="59411B7E"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Assumption: </w:t>
            </w:r>
          </w:p>
          <w:p w14:paraId="31C88358"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That advisers are willing to expand their knowledge of working in bureaucratic systems</w:t>
            </w:r>
          </w:p>
        </w:tc>
        <w:tc>
          <w:tcPr>
            <w:tcW w:w="2610" w:type="dxa"/>
          </w:tcPr>
          <w:p w14:paraId="7463A740"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To what extent are Australian Government officials supporting advisers to work in bureaucracies?</w:t>
            </w:r>
          </w:p>
        </w:tc>
        <w:tc>
          <w:tcPr>
            <w:tcW w:w="2700" w:type="dxa"/>
          </w:tcPr>
          <w:p w14:paraId="2E142BC0" w14:textId="77777777" w:rsidR="004965A9" w:rsidRPr="004965A9" w:rsidRDefault="004965A9" w:rsidP="004C4273">
            <w:pPr>
              <w:numPr>
                <w:ilvl w:val="0"/>
                <w:numId w:val="34"/>
              </w:numPr>
              <w:spacing w:before="40" w:after="40" w:line="240" w:lineRule="auto"/>
              <w:contextualSpacing/>
              <w:rPr>
                <w:rFonts w:eastAsia="Calibri" w:cs="Arial"/>
                <w:color w:val="000000"/>
                <w:sz w:val="18"/>
                <w:szCs w:val="18"/>
              </w:rPr>
            </w:pPr>
            <w:r w:rsidRPr="004965A9">
              <w:rPr>
                <w:rFonts w:eastAsia="Calibri" w:cs="Arial"/>
                <w:color w:val="000000"/>
                <w:sz w:val="18"/>
                <w:szCs w:val="18"/>
              </w:rPr>
              <w:t># and type of instances of APS support for advisers to better understand bureaucracy</w:t>
            </w:r>
          </w:p>
          <w:p w14:paraId="56DF34FF" w14:textId="77777777" w:rsidR="004965A9" w:rsidRPr="004965A9" w:rsidRDefault="004965A9" w:rsidP="004C4273">
            <w:pPr>
              <w:numPr>
                <w:ilvl w:val="0"/>
                <w:numId w:val="34"/>
              </w:numPr>
              <w:spacing w:before="40" w:after="40" w:line="240" w:lineRule="auto"/>
              <w:contextualSpacing/>
              <w:rPr>
                <w:rFonts w:eastAsia="Calibri" w:cs="Arial"/>
                <w:color w:val="000000"/>
                <w:sz w:val="18"/>
                <w:szCs w:val="18"/>
              </w:rPr>
            </w:pPr>
            <w:r w:rsidRPr="004965A9">
              <w:rPr>
                <w:rFonts w:eastAsia="Calibri" w:cs="Arial"/>
                <w:color w:val="000000"/>
                <w:sz w:val="18"/>
                <w:szCs w:val="18"/>
              </w:rPr>
              <w:t xml:space="preserve">Change in practice and approach of advisers </w:t>
            </w:r>
          </w:p>
        </w:tc>
        <w:tc>
          <w:tcPr>
            <w:tcW w:w="2430" w:type="dxa"/>
          </w:tcPr>
          <w:p w14:paraId="4C010915" w14:textId="77777777" w:rsidR="004965A9" w:rsidRPr="004965A9" w:rsidRDefault="004965A9" w:rsidP="004C4273">
            <w:pPr>
              <w:numPr>
                <w:ilvl w:val="0"/>
                <w:numId w:val="35"/>
              </w:numPr>
              <w:spacing w:before="40" w:after="40" w:line="240" w:lineRule="auto"/>
              <w:contextualSpacing/>
              <w:rPr>
                <w:rFonts w:eastAsia="Calibri" w:cs="Arial"/>
                <w:color w:val="000000"/>
                <w:sz w:val="18"/>
                <w:szCs w:val="18"/>
              </w:rPr>
            </w:pPr>
            <w:r w:rsidRPr="004965A9">
              <w:rPr>
                <w:rFonts w:eastAsia="Calibri" w:cs="Arial"/>
                <w:color w:val="000000"/>
                <w:sz w:val="18"/>
                <w:szCs w:val="18"/>
              </w:rPr>
              <w:t>APS and Adviser reports</w:t>
            </w:r>
          </w:p>
          <w:p w14:paraId="5EC63A6D" w14:textId="77777777" w:rsidR="004965A9" w:rsidRPr="004965A9" w:rsidRDefault="004965A9" w:rsidP="004C4273">
            <w:pPr>
              <w:numPr>
                <w:ilvl w:val="0"/>
                <w:numId w:val="35"/>
              </w:numPr>
              <w:spacing w:before="40" w:after="40" w:line="240" w:lineRule="auto"/>
              <w:contextualSpacing/>
              <w:rPr>
                <w:rFonts w:eastAsia="Calibri" w:cs="Arial"/>
                <w:color w:val="000000"/>
                <w:sz w:val="18"/>
                <w:szCs w:val="18"/>
              </w:rPr>
            </w:pPr>
            <w:r w:rsidRPr="004965A9">
              <w:rPr>
                <w:rFonts w:eastAsia="Calibri" w:cs="Arial"/>
                <w:color w:val="000000"/>
                <w:sz w:val="18"/>
                <w:szCs w:val="18"/>
              </w:rPr>
              <w:t>Adviser reports</w:t>
            </w:r>
          </w:p>
          <w:p w14:paraId="75BC5298" w14:textId="77777777" w:rsidR="004965A9" w:rsidRPr="004965A9" w:rsidRDefault="004965A9" w:rsidP="004C4273">
            <w:pPr>
              <w:numPr>
                <w:ilvl w:val="0"/>
                <w:numId w:val="35"/>
              </w:numPr>
              <w:spacing w:before="40" w:after="40" w:line="240" w:lineRule="auto"/>
              <w:contextualSpacing/>
              <w:rPr>
                <w:rFonts w:eastAsia="Calibri" w:cs="Arial"/>
                <w:color w:val="000000"/>
                <w:sz w:val="18"/>
                <w:szCs w:val="18"/>
              </w:rPr>
            </w:pPr>
            <w:r w:rsidRPr="004965A9">
              <w:rPr>
                <w:rFonts w:eastAsia="Calibri" w:cs="Arial"/>
                <w:color w:val="000000"/>
                <w:sz w:val="18"/>
                <w:szCs w:val="18"/>
              </w:rPr>
              <w:t>Annual Survey of APS and advisers</w:t>
            </w:r>
          </w:p>
        </w:tc>
        <w:tc>
          <w:tcPr>
            <w:tcW w:w="1890" w:type="dxa"/>
          </w:tcPr>
          <w:p w14:paraId="214EA105" w14:textId="77777777" w:rsidR="004965A9" w:rsidRPr="004965A9" w:rsidRDefault="004965A9" w:rsidP="004965A9">
            <w:pPr>
              <w:spacing w:before="40" w:after="40" w:line="240" w:lineRule="auto"/>
              <w:rPr>
                <w:rFonts w:eastAsia="Calibri" w:cs="Arial"/>
                <w:color w:val="000000"/>
                <w:sz w:val="18"/>
                <w:szCs w:val="18"/>
              </w:rPr>
            </w:pPr>
            <w:r>
              <w:rPr>
                <w:rFonts w:eastAsia="Calibri" w:cs="Arial"/>
                <w:color w:val="000000"/>
                <w:sz w:val="18"/>
                <w:szCs w:val="18"/>
              </w:rPr>
              <w:t xml:space="preserve">Prospera KPL </w:t>
            </w:r>
            <w:r w:rsidRPr="004965A9">
              <w:rPr>
                <w:rFonts w:eastAsia="Calibri" w:cs="Arial"/>
                <w:color w:val="000000"/>
                <w:sz w:val="18"/>
                <w:szCs w:val="18"/>
              </w:rPr>
              <w:t xml:space="preserve">team </w:t>
            </w:r>
          </w:p>
          <w:p w14:paraId="7DE02D30" w14:textId="77777777" w:rsidR="004965A9" w:rsidRPr="004965A9" w:rsidRDefault="004965A9" w:rsidP="0083335F">
            <w:pPr>
              <w:spacing w:before="40" w:after="40" w:line="240" w:lineRule="auto"/>
              <w:rPr>
                <w:rFonts w:eastAsia="Calibri" w:cs="Arial"/>
                <w:color w:val="000000"/>
                <w:sz w:val="18"/>
                <w:szCs w:val="18"/>
              </w:rPr>
            </w:pPr>
          </w:p>
          <w:p w14:paraId="5890A117" w14:textId="64484DA3"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Annual</w:t>
            </w:r>
          </w:p>
        </w:tc>
        <w:tc>
          <w:tcPr>
            <w:tcW w:w="1800" w:type="dxa"/>
          </w:tcPr>
          <w:p w14:paraId="3F80DC87"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Preparation of Prospera Partner Performance Assessment; Aid Quality Check</w:t>
            </w:r>
          </w:p>
        </w:tc>
      </w:tr>
      <w:tr w:rsidR="004965A9" w:rsidRPr="004965A9" w14:paraId="6EFB91B6" w14:textId="77777777" w:rsidTr="004965A9">
        <w:trPr>
          <w:cantSplit/>
          <w:trHeight w:val="145"/>
        </w:trPr>
        <w:tc>
          <w:tcPr>
            <w:tcW w:w="2695" w:type="dxa"/>
          </w:tcPr>
          <w:p w14:paraId="7FC126EB"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Knowledge is being effectively managed, shared and used across Prospera</w:t>
            </w:r>
          </w:p>
          <w:p w14:paraId="2FFF0DE4"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Assumption: </w:t>
            </w:r>
          </w:p>
          <w:p w14:paraId="66C4BBDE"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A high-usage knowledge system is delivered in a timely manner. </w:t>
            </w:r>
          </w:p>
          <w:p w14:paraId="24681DE6"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That the Prospera knowledge system is able to be interoperable with GoA systems. </w:t>
            </w:r>
          </w:p>
        </w:tc>
        <w:tc>
          <w:tcPr>
            <w:tcW w:w="2610" w:type="dxa"/>
          </w:tcPr>
          <w:p w14:paraId="494FC9C2"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To what extent is knowledge being effectively managed, shared and used across Prospera? </w:t>
            </w:r>
          </w:p>
          <w:p w14:paraId="14FC0314" w14:textId="77777777" w:rsidR="004965A9" w:rsidRPr="004965A9" w:rsidRDefault="004965A9" w:rsidP="0083335F">
            <w:pPr>
              <w:spacing w:before="40" w:after="40" w:line="240" w:lineRule="auto"/>
              <w:rPr>
                <w:rFonts w:eastAsia="Calibri" w:cs="Arial"/>
                <w:i/>
                <w:color w:val="000000"/>
                <w:sz w:val="18"/>
                <w:szCs w:val="18"/>
              </w:rPr>
            </w:pPr>
          </w:p>
        </w:tc>
        <w:tc>
          <w:tcPr>
            <w:tcW w:w="2700" w:type="dxa"/>
          </w:tcPr>
          <w:p w14:paraId="230EC373" w14:textId="77777777" w:rsidR="004965A9" w:rsidRPr="004965A9" w:rsidRDefault="004965A9" w:rsidP="004C4273">
            <w:pPr>
              <w:numPr>
                <w:ilvl w:val="0"/>
                <w:numId w:val="36"/>
              </w:numPr>
              <w:spacing w:before="40" w:after="40" w:line="240" w:lineRule="auto"/>
              <w:contextualSpacing/>
              <w:rPr>
                <w:rFonts w:eastAsia="Calibri" w:cs="Arial"/>
                <w:color w:val="000000"/>
                <w:sz w:val="18"/>
                <w:szCs w:val="18"/>
              </w:rPr>
            </w:pPr>
            <w:r w:rsidRPr="004965A9">
              <w:rPr>
                <w:rFonts w:eastAsia="Calibri" w:cs="Arial"/>
                <w:color w:val="000000"/>
                <w:sz w:val="18"/>
                <w:szCs w:val="18"/>
              </w:rPr>
              <w:t>Proportion of Prospera documents being held on the knowledge system</w:t>
            </w:r>
          </w:p>
          <w:p w14:paraId="086CDA90" w14:textId="77777777" w:rsidR="004965A9" w:rsidRPr="004965A9" w:rsidRDefault="004965A9" w:rsidP="004C4273">
            <w:pPr>
              <w:numPr>
                <w:ilvl w:val="0"/>
                <w:numId w:val="36"/>
              </w:numPr>
              <w:spacing w:before="40" w:after="40" w:line="240" w:lineRule="auto"/>
              <w:contextualSpacing/>
              <w:rPr>
                <w:rFonts w:eastAsia="Calibri" w:cs="Arial"/>
                <w:color w:val="000000"/>
                <w:sz w:val="18"/>
                <w:szCs w:val="18"/>
              </w:rPr>
            </w:pPr>
            <w:r w:rsidRPr="004965A9">
              <w:rPr>
                <w:rFonts w:eastAsia="Calibri" w:cs="Arial"/>
                <w:color w:val="000000"/>
                <w:sz w:val="18"/>
                <w:szCs w:val="18"/>
              </w:rPr>
              <w:t>Amount of system use</w:t>
            </w:r>
          </w:p>
          <w:p w14:paraId="53097A3D" w14:textId="77777777" w:rsidR="004965A9" w:rsidRPr="004965A9" w:rsidRDefault="004965A9" w:rsidP="004C4273">
            <w:pPr>
              <w:numPr>
                <w:ilvl w:val="0"/>
                <w:numId w:val="36"/>
              </w:numPr>
              <w:spacing w:before="40" w:after="40" w:line="240" w:lineRule="auto"/>
              <w:contextualSpacing/>
              <w:rPr>
                <w:rFonts w:eastAsia="Calibri" w:cs="Arial"/>
                <w:color w:val="000000"/>
                <w:sz w:val="18"/>
                <w:szCs w:val="18"/>
              </w:rPr>
            </w:pPr>
            <w:r w:rsidRPr="004965A9">
              <w:rPr>
                <w:rFonts w:eastAsia="Calibri" w:cs="Arial"/>
                <w:color w:val="000000"/>
                <w:sz w:val="18"/>
                <w:szCs w:val="18"/>
              </w:rPr>
              <w:t xml:space="preserve">System user satisfaction </w:t>
            </w:r>
          </w:p>
        </w:tc>
        <w:tc>
          <w:tcPr>
            <w:tcW w:w="2430" w:type="dxa"/>
          </w:tcPr>
          <w:p w14:paraId="2DA34B48" w14:textId="77777777" w:rsidR="004965A9" w:rsidRPr="004965A9" w:rsidRDefault="004965A9" w:rsidP="004C4273">
            <w:pPr>
              <w:numPr>
                <w:ilvl w:val="0"/>
                <w:numId w:val="37"/>
              </w:numPr>
              <w:spacing w:before="40" w:after="40" w:line="240" w:lineRule="auto"/>
              <w:contextualSpacing/>
              <w:rPr>
                <w:rFonts w:eastAsia="Calibri" w:cs="Arial"/>
                <w:color w:val="000000"/>
                <w:sz w:val="18"/>
                <w:szCs w:val="18"/>
              </w:rPr>
            </w:pPr>
            <w:r w:rsidRPr="004965A9">
              <w:rPr>
                <w:rFonts w:eastAsia="Calibri" w:cs="Arial"/>
                <w:color w:val="000000"/>
                <w:sz w:val="18"/>
                <w:szCs w:val="18"/>
              </w:rPr>
              <w:t>Knowledge System storage statistics</w:t>
            </w:r>
          </w:p>
          <w:p w14:paraId="6C8BC9D1" w14:textId="77777777" w:rsidR="004965A9" w:rsidRPr="004965A9" w:rsidRDefault="004965A9" w:rsidP="004C4273">
            <w:pPr>
              <w:numPr>
                <w:ilvl w:val="0"/>
                <w:numId w:val="37"/>
              </w:numPr>
              <w:spacing w:before="40" w:after="40" w:line="240" w:lineRule="auto"/>
              <w:contextualSpacing/>
              <w:rPr>
                <w:rFonts w:eastAsia="Calibri" w:cs="Arial"/>
                <w:color w:val="000000"/>
                <w:sz w:val="18"/>
                <w:szCs w:val="18"/>
              </w:rPr>
            </w:pPr>
            <w:r w:rsidRPr="004965A9">
              <w:rPr>
                <w:rFonts w:eastAsia="Calibri" w:cs="Arial"/>
                <w:color w:val="000000"/>
                <w:sz w:val="18"/>
                <w:szCs w:val="18"/>
              </w:rPr>
              <w:t>Knowledge system usage statistics</w:t>
            </w:r>
          </w:p>
          <w:p w14:paraId="49CA4DC3" w14:textId="77777777" w:rsidR="004965A9" w:rsidRPr="004965A9" w:rsidRDefault="004965A9" w:rsidP="004C4273">
            <w:pPr>
              <w:numPr>
                <w:ilvl w:val="0"/>
                <w:numId w:val="37"/>
              </w:numPr>
              <w:spacing w:before="40" w:after="40" w:line="240" w:lineRule="auto"/>
              <w:contextualSpacing/>
              <w:rPr>
                <w:rFonts w:eastAsia="Calibri" w:cs="Arial"/>
                <w:color w:val="000000"/>
                <w:sz w:val="18"/>
                <w:szCs w:val="18"/>
              </w:rPr>
            </w:pPr>
            <w:r w:rsidRPr="004965A9">
              <w:rPr>
                <w:rFonts w:eastAsia="Calibri" w:cs="Arial"/>
                <w:color w:val="000000"/>
                <w:sz w:val="18"/>
                <w:szCs w:val="18"/>
              </w:rPr>
              <w:t xml:space="preserve">Satisfaction and Ease of use Survey of knowledge system users, particularly accessibility by APS </w:t>
            </w:r>
          </w:p>
        </w:tc>
        <w:tc>
          <w:tcPr>
            <w:tcW w:w="1890" w:type="dxa"/>
          </w:tcPr>
          <w:p w14:paraId="674AB966" w14:textId="77777777" w:rsidR="004965A9" w:rsidRPr="004965A9" w:rsidRDefault="004965A9" w:rsidP="004965A9">
            <w:pPr>
              <w:spacing w:before="40" w:after="40" w:line="240" w:lineRule="auto"/>
              <w:rPr>
                <w:rFonts w:eastAsia="Calibri" w:cs="Arial"/>
                <w:color w:val="000000"/>
                <w:sz w:val="18"/>
                <w:szCs w:val="18"/>
              </w:rPr>
            </w:pPr>
            <w:r>
              <w:rPr>
                <w:rFonts w:eastAsia="Calibri" w:cs="Arial"/>
                <w:color w:val="000000"/>
                <w:sz w:val="18"/>
                <w:szCs w:val="18"/>
              </w:rPr>
              <w:t xml:space="preserve">Prospera KPL </w:t>
            </w:r>
            <w:r w:rsidRPr="004965A9">
              <w:rPr>
                <w:rFonts w:eastAsia="Calibri" w:cs="Arial"/>
                <w:color w:val="000000"/>
                <w:sz w:val="18"/>
                <w:szCs w:val="18"/>
              </w:rPr>
              <w:t xml:space="preserve">team </w:t>
            </w:r>
          </w:p>
          <w:p w14:paraId="027DCD6A" w14:textId="77777777" w:rsidR="004965A9" w:rsidRPr="004965A9" w:rsidRDefault="004965A9" w:rsidP="0083335F">
            <w:pPr>
              <w:spacing w:before="40" w:after="40" w:line="240" w:lineRule="auto"/>
              <w:rPr>
                <w:rFonts w:eastAsia="Calibri" w:cs="Arial"/>
                <w:color w:val="000000"/>
                <w:sz w:val="18"/>
                <w:szCs w:val="18"/>
              </w:rPr>
            </w:pPr>
          </w:p>
          <w:p w14:paraId="77AF61D4" w14:textId="508FC476"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Annual</w:t>
            </w:r>
          </w:p>
        </w:tc>
        <w:tc>
          <w:tcPr>
            <w:tcW w:w="1800" w:type="dxa"/>
          </w:tcPr>
          <w:p w14:paraId="1E48EEBD"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Preparation of Prospera Partner Performance Assessment; Aid Quality Check</w:t>
            </w:r>
          </w:p>
        </w:tc>
      </w:tr>
      <w:tr w:rsidR="004965A9" w:rsidRPr="004965A9" w14:paraId="51BB47C3" w14:textId="77777777" w:rsidTr="004965A9">
        <w:trPr>
          <w:cantSplit/>
          <w:trHeight w:val="145"/>
        </w:trPr>
        <w:tc>
          <w:tcPr>
            <w:tcW w:w="2695" w:type="dxa"/>
          </w:tcPr>
          <w:p w14:paraId="4411F724"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 xml:space="preserve">Gender and social inclusion is being effectively integrated into Prospera activities. </w:t>
            </w:r>
          </w:p>
          <w:p w14:paraId="0042FC05"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Assumption:</w:t>
            </w:r>
          </w:p>
          <w:p w14:paraId="24CAFA6C"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i/>
                <w:color w:val="000000"/>
                <w:sz w:val="18"/>
                <w:szCs w:val="18"/>
              </w:rPr>
              <w:t>A gender and social inclusion strategy is produced and sufficiently resourced to help activity areas inform better design</w:t>
            </w:r>
            <w:r w:rsidRPr="004965A9">
              <w:rPr>
                <w:rFonts w:eastAsia="Calibri" w:cs="Arial"/>
                <w:color w:val="000000"/>
                <w:sz w:val="18"/>
                <w:szCs w:val="18"/>
              </w:rPr>
              <w:t xml:space="preserve">. </w:t>
            </w:r>
          </w:p>
        </w:tc>
        <w:tc>
          <w:tcPr>
            <w:tcW w:w="2610" w:type="dxa"/>
          </w:tcPr>
          <w:p w14:paraId="19F5DA54"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To what extent is gender and social inclusion being effectively integrated in Prospera activities? </w:t>
            </w:r>
          </w:p>
          <w:p w14:paraId="07C58942"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i/>
                <w:color w:val="000000"/>
                <w:sz w:val="18"/>
                <w:szCs w:val="18"/>
              </w:rPr>
              <w:t>To what extent are gender and social inclusion outcomes are being realised?</w:t>
            </w:r>
            <w:r w:rsidRPr="004965A9">
              <w:rPr>
                <w:rFonts w:eastAsia="Calibri" w:cs="Arial"/>
                <w:color w:val="000000"/>
                <w:sz w:val="18"/>
                <w:szCs w:val="18"/>
              </w:rPr>
              <w:t xml:space="preserve"> </w:t>
            </w:r>
          </w:p>
        </w:tc>
        <w:tc>
          <w:tcPr>
            <w:tcW w:w="2700" w:type="dxa"/>
          </w:tcPr>
          <w:p w14:paraId="402F5A0E" w14:textId="77777777" w:rsidR="004965A9" w:rsidRPr="004965A9" w:rsidRDefault="004965A9" w:rsidP="004C4273">
            <w:pPr>
              <w:numPr>
                <w:ilvl w:val="0"/>
                <w:numId w:val="38"/>
              </w:numPr>
              <w:spacing w:before="40" w:after="40" w:line="240" w:lineRule="auto"/>
              <w:contextualSpacing/>
              <w:rPr>
                <w:rFonts w:eastAsia="Calibri" w:cs="Arial"/>
                <w:color w:val="000000"/>
                <w:sz w:val="18"/>
                <w:szCs w:val="18"/>
              </w:rPr>
            </w:pPr>
            <w:r w:rsidRPr="004965A9">
              <w:rPr>
                <w:rFonts w:eastAsia="Calibri" w:cs="Arial"/>
                <w:color w:val="000000"/>
                <w:sz w:val="18"/>
                <w:szCs w:val="18"/>
              </w:rPr>
              <w:t xml:space="preserve">% of Prospera activities (APS and advisory) with high quality gender programming </w:t>
            </w:r>
          </w:p>
          <w:p w14:paraId="739EA3F3" w14:textId="77777777" w:rsidR="004965A9" w:rsidRPr="004965A9" w:rsidRDefault="004965A9" w:rsidP="004C4273">
            <w:pPr>
              <w:numPr>
                <w:ilvl w:val="0"/>
                <w:numId w:val="38"/>
              </w:numPr>
              <w:spacing w:before="40" w:after="40" w:line="240" w:lineRule="auto"/>
              <w:contextualSpacing/>
              <w:rPr>
                <w:rFonts w:eastAsia="Calibri" w:cs="Arial"/>
                <w:color w:val="000000"/>
                <w:sz w:val="18"/>
                <w:szCs w:val="18"/>
              </w:rPr>
            </w:pPr>
            <w:r w:rsidRPr="004965A9">
              <w:rPr>
                <w:rFonts w:eastAsia="Calibri" w:cs="Arial"/>
                <w:color w:val="000000"/>
                <w:sz w:val="18"/>
                <w:szCs w:val="18"/>
              </w:rPr>
              <w:t>Effective implementation of Gender and Inclusion strategy</w:t>
            </w:r>
          </w:p>
          <w:p w14:paraId="28048B74" w14:textId="77777777" w:rsidR="004965A9" w:rsidRPr="004965A9" w:rsidRDefault="004965A9" w:rsidP="004C4273">
            <w:pPr>
              <w:numPr>
                <w:ilvl w:val="0"/>
                <w:numId w:val="38"/>
              </w:numPr>
              <w:spacing w:before="40" w:after="40" w:line="240" w:lineRule="auto"/>
              <w:contextualSpacing/>
              <w:rPr>
                <w:rFonts w:eastAsia="Calibri" w:cs="Arial"/>
                <w:color w:val="000000"/>
                <w:sz w:val="18"/>
                <w:szCs w:val="18"/>
              </w:rPr>
            </w:pPr>
            <w:r w:rsidRPr="004965A9">
              <w:rPr>
                <w:rFonts w:eastAsia="Calibri" w:cs="Arial"/>
                <w:color w:val="000000"/>
                <w:sz w:val="18"/>
                <w:szCs w:val="18"/>
              </w:rPr>
              <w:t xml:space="preserve">Evidence of Gender and Inclusion outcomes </w:t>
            </w:r>
          </w:p>
        </w:tc>
        <w:tc>
          <w:tcPr>
            <w:tcW w:w="2430" w:type="dxa"/>
          </w:tcPr>
          <w:p w14:paraId="5166A374" w14:textId="77777777" w:rsidR="004965A9" w:rsidRPr="004965A9" w:rsidRDefault="004965A9" w:rsidP="004C4273">
            <w:pPr>
              <w:numPr>
                <w:ilvl w:val="0"/>
                <w:numId w:val="39"/>
              </w:numPr>
              <w:spacing w:before="40" w:after="40" w:line="240" w:lineRule="auto"/>
              <w:contextualSpacing/>
              <w:rPr>
                <w:rFonts w:eastAsia="Calibri" w:cs="Arial"/>
                <w:color w:val="000000"/>
                <w:sz w:val="18"/>
                <w:szCs w:val="18"/>
              </w:rPr>
            </w:pPr>
            <w:r w:rsidRPr="004965A9">
              <w:rPr>
                <w:rFonts w:eastAsia="Calibri" w:cs="Arial"/>
                <w:color w:val="000000"/>
                <w:sz w:val="18"/>
                <w:szCs w:val="18"/>
              </w:rPr>
              <w:t>QUIK (refer M&amp;E toolkit) Review of activities</w:t>
            </w:r>
          </w:p>
          <w:p w14:paraId="69996976" w14:textId="77777777" w:rsidR="004965A9" w:rsidRPr="004965A9" w:rsidRDefault="004965A9" w:rsidP="004C4273">
            <w:pPr>
              <w:numPr>
                <w:ilvl w:val="0"/>
                <w:numId w:val="39"/>
              </w:numPr>
              <w:spacing w:before="40" w:after="40" w:line="240" w:lineRule="auto"/>
              <w:contextualSpacing/>
              <w:rPr>
                <w:rFonts w:eastAsia="Calibri" w:cs="Arial"/>
                <w:color w:val="000000"/>
                <w:sz w:val="18"/>
                <w:szCs w:val="18"/>
              </w:rPr>
            </w:pPr>
            <w:r w:rsidRPr="004965A9">
              <w:rPr>
                <w:rFonts w:eastAsia="Calibri" w:cs="Arial"/>
                <w:color w:val="000000"/>
                <w:sz w:val="18"/>
                <w:szCs w:val="18"/>
              </w:rPr>
              <w:t>Gender and Inclusion Strategy Progress Report</w:t>
            </w:r>
          </w:p>
          <w:p w14:paraId="3D6FC948" w14:textId="77777777" w:rsidR="004965A9" w:rsidRPr="004965A9" w:rsidRDefault="004965A9" w:rsidP="004C4273">
            <w:pPr>
              <w:numPr>
                <w:ilvl w:val="0"/>
                <w:numId w:val="39"/>
              </w:numPr>
              <w:spacing w:before="40" w:after="40" w:line="240" w:lineRule="auto"/>
              <w:contextualSpacing/>
              <w:rPr>
                <w:rFonts w:eastAsia="Calibri" w:cs="Arial"/>
                <w:color w:val="000000"/>
                <w:sz w:val="18"/>
                <w:szCs w:val="18"/>
              </w:rPr>
            </w:pPr>
            <w:r w:rsidRPr="004965A9">
              <w:rPr>
                <w:rFonts w:eastAsia="Calibri" w:cs="Arial"/>
                <w:color w:val="000000"/>
                <w:sz w:val="18"/>
                <w:szCs w:val="18"/>
              </w:rPr>
              <w:t>All APS and Adviser reports</w:t>
            </w:r>
          </w:p>
          <w:p w14:paraId="04899AD6" w14:textId="77777777" w:rsidR="004965A9" w:rsidRPr="004965A9" w:rsidRDefault="004965A9" w:rsidP="004C4273">
            <w:pPr>
              <w:numPr>
                <w:ilvl w:val="0"/>
                <w:numId w:val="39"/>
              </w:numPr>
              <w:spacing w:before="40" w:after="40" w:line="240" w:lineRule="auto"/>
              <w:contextualSpacing/>
              <w:rPr>
                <w:rFonts w:eastAsia="Calibri" w:cs="Arial"/>
                <w:color w:val="000000"/>
                <w:sz w:val="18"/>
                <w:szCs w:val="18"/>
              </w:rPr>
            </w:pPr>
            <w:r w:rsidRPr="004965A9">
              <w:rPr>
                <w:rFonts w:eastAsia="Calibri" w:cs="Arial"/>
                <w:color w:val="000000"/>
                <w:sz w:val="18"/>
                <w:szCs w:val="18"/>
              </w:rPr>
              <w:t>Gender Case Study Year 3</w:t>
            </w:r>
          </w:p>
        </w:tc>
        <w:tc>
          <w:tcPr>
            <w:tcW w:w="1890" w:type="dxa"/>
          </w:tcPr>
          <w:p w14:paraId="2299C88F" w14:textId="77777777" w:rsidR="004965A9" w:rsidRPr="004965A9" w:rsidRDefault="004965A9" w:rsidP="004965A9">
            <w:pPr>
              <w:spacing w:before="40" w:after="40" w:line="240" w:lineRule="auto"/>
              <w:rPr>
                <w:rFonts w:eastAsia="Calibri" w:cs="Arial"/>
                <w:color w:val="000000"/>
                <w:sz w:val="18"/>
                <w:szCs w:val="18"/>
              </w:rPr>
            </w:pPr>
            <w:r>
              <w:rPr>
                <w:rFonts w:eastAsia="Calibri" w:cs="Arial"/>
                <w:color w:val="000000"/>
                <w:sz w:val="18"/>
                <w:szCs w:val="18"/>
              </w:rPr>
              <w:t xml:space="preserve">Prospera KPL </w:t>
            </w:r>
            <w:r w:rsidRPr="004965A9">
              <w:rPr>
                <w:rFonts w:eastAsia="Calibri" w:cs="Arial"/>
                <w:color w:val="000000"/>
                <w:sz w:val="18"/>
                <w:szCs w:val="18"/>
              </w:rPr>
              <w:t xml:space="preserve">team </w:t>
            </w:r>
          </w:p>
          <w:p w14:paraId="5CE84966" w14:textId="77777777" w:rsidR="004965A9" w:rsidRPr="004965A9" w:rsidRDefault="004965A9" w:rsidP="0083335F">
            <w:pPr>
              <w:spacing w:before="40" w:after="40" w:line="240" w:lineRule="auto"/>
              <w:rPr>
                <w:rFonts w:eastAsia="Calibri" w:cs="Arial"/>
                <w:color w:val="000000"/>
                <w:sz w:val="18"/>
                <w:szCs w:val="18"/>
              </w:rPr>
            </w:pPr>
          </w:p>
          <w:p w14:paraId="47BA8A42" w14:textId="2A86D5AE"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Annual</w:t>
            </w:r>
          </w:p>
        </w:tc>
        <w:tc>
          <w:tcPr>
            <w:tcW w:w="1800" w:type="dxa"/>
          </w:tcPr>
          <w:p w14:paraId="5A56DF24"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Preparation of Prospera Partner Performance Assessment; Aid Quality Check</w:t>
            </w:r>
          </w:p>
        </w:tc>
      </w:tr>
      <w:tr w:rsidR="004965A9" w:rsidRPr="004965A9" w14:paraId="025623FA" w14:textId="77777777" w:rsidTr="004965A9">
        <w:trPr>
          <w:cantSplit/>
          <w:trHeight w:val="145"/>
        </w:trPr>
        <w:tc>
          <w:tcPr>
            <w:tcW w:w="2695" w:type="dxa"/>
          </w:tcPr>
          <w:p w14:paraId="18BCDBF5"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 xml:space="preserve">Value for Money is delivered across Prospera </w:t>
            </w:r>
          </w:p>
          <w:p w14:paraId="204F10DC"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Assumption: </w:t>
            </w:r>
          </w:p>
          <w:p w14:paraId="14468D02"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A framework to effectively describe and measure value, as well as price is used. </w:t>
            </w:r>
          </w:p>
        </w:tc>
        <w:tc>
          <w:tcPr>
            <w:tcW w:w="2610" w:type="dxa"/>
          </w:tcPr>
          <w:p w14:paraId="719C4B55"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To what extent is Prospera delivering Value for Money?</w:t>
            </w:r>
          </w:p>
        </w:tc>
        <w:tc>
          <w:tcPr>
            <w:tcW w:w="2700" w:type="dxa"/>
          </w:tcPr>
          <w:p w14:paraId="1402F245" w14:textId="77777777" w:rsidR="004965A9" w:rsidRPr="004965A9" w:rsidRDefault="004965A9" w:rsidP="004C4273">
            <w:pPr>
              <w:numPr>
                <w:ilvl w:val="0"/>
                <w:numId w:val="40"/>
              </w:numPr>
              <w:spacing w:before="40" w:after="40" w:line="240" w:lineRule="auto"/>
              <w:contextualSpacing/>
              <w:rPr>
                <w:rFonts w:eastAsia="Calibri" w:cs="Arial"/>
                <w:color w:val="000000"/>
                <w:sz w:val="18"/>
                <w:szCs w:val="18"/>
              </w:rPr>
            </w:pPr>
            <w:r w:rsidRPr="004965A9">
              <w:rPr>
                <w:rFonts w:eastAsia="Calibri" w:cs="Arial"/>
                <w:color w:val="000000"/>
                <w:sz w:val="18"/>
                <w:szCs w:val="18"/>
              </w:rPr>
              <w:t>Cost consciousness</w:t>
            </w:r>
          </w:p>
          <w:p w14:paraId="5014F43E" w14:textId="77777777" w:rsidR="004965A9" w:rsidRPr="004965A9" w:rsidRDefault="004965A9" w:rsidP="004C4273">
            <w:pPr>
              <w:numPr>
                <w:ilvl w:val="0"/>
                <w:numId w:val="40"/>
              </w:numPr>
              <w:spacing w:before="40" w:after="40" w:line="240" w:lineRule="auto"/>
              <w:contextualSpacing/>
              <w:rPr>
                <w:rFonts w:eastAsia="Calibri" w:cs="Arial"/>
                <w:color w:val="000000"/>
                <w:sz w:val="18"/>
                <w:szCs w:val="18"/>
              </w:rPr>
            </w:pPr>
            <w:r w:rsidRPr="004965A9">
              <w:rPr>
                <w:rFonts w:eastAsia="Calibri" w:cs="Arial"/>
                <w:color w:val="000000"/>
                <w:sz w:val="18"/>
                <w:szCs w:val="18"/>
              </w:rPr>
              <w:t>Encouraging competition</w:t>
            </w:r>
          </w:p>
          <w:p w14:paraId="4EEACAAF" w14:textId="77777777" w:rsidR="004965A9" w:rsidRPr="004965A9" w:rsidRDefault="004965A9" w:rsidP="004C4273">
            <w:pPr>
              <w:numPr>
                <w:ilvl w:val="0"/>
                <w:numId w:val="40"/>
              </w:numPr>
              <w:spacing w:before="40" w:after="40" w:line="240" w:lineRule="auto"/>
              <w:contextualSpacing/>
              <w:rPr>
                <w:rFonts w:eastAsia="Calibri" w:cs="Arial"/>
                <w:color w:val="000000"/>
                <w:sz w:val="18"/>
                <w:szCs w:val="18"/>
              </w:rPr>
            </w:pPr>
            <w:r w:rsidRPr="004965A9">
              <w:rPr>
                <w:rFonts w:eastAsia="Calibri" w:cs="Arial"/>
                <w:color w:val="000000"/>
                <w:sz w:val="18"/>
                <w:szCs w:val="18"/>
              </w:rPr>
              <w:t>Evidence based decision making</w:t>
            </w:r>
          </w:p>
          <w:p w14:paraId="206E8573" w14:textId="77777777" w:rsidR="004965A9" w:rsidRPr="004965A9" w:rsidRDefault="004965A9" w:rsidP="004C4273">
            <w:pPr>
              <w:numPr>
                <w:ilvl w:val="0"/>
                <w:numId w:val="40"/>
              </w:numPr>
              <w:spacing w:before="40" w:after="40" w:line="240" w:lineRule="auto"/>
              <w:contextualSpacing/>
              <w:rPr>
                <w:rFonts w:eastAsia="Calibri" w:cs="Arial"/>
                <w:color w:val="000000"/>
                <w:sz w:val="18"/>
                <w:szCs w:val="18"/>
              </w:rPr>
            </w:pPr>
            <w:r w:rsidRPr="004965A9">
              <w:rPr>
                <w:rFonts w:eastAsia="Calibri" w:cs="Arial"/>
                <w:color w:val="000000"/>
                <w:sz w:val="18"/>
                <w:szCs w:val="18"/>
              </w:rPr>
              <w:t>Proportionality</w:t>
            </w:r>
          </w:p>
          <w:p w14:paraId="4B025981" w14:textId="77777777" w:rsidR="004965A9" w:rsidRPr="004965A9" w:rsidRDefault="004965A9" w:rsidP="004C4273">
            <w:pPr>
              <w:numPr>
                <w:ilvl w:val="0"/>
                <w:numId w:val="40"/>
              </w:numPr>
              <w:spacing w:before="40" w:after="40" w:line="240" w:lineRule="auto"/>
              <w:contextualSpacing/>
              <w:rPr>
                <w:rFonts w:eastAsia="Calibri" w:cs="Arial"/>
                <w:color w:val="000000"/>
                <w:sz w:val="18"/>
                <w:szCs w:val="18"/>
              </w:rPr>
            </w:pPr>
            <w:r w:rsidRPr="004965A9">
              <w:rPr>
                <w:rFonts w:eastAsia="Calibri" w:cs="Arial"/>
                <w:color w:val="000000"/>
                <w:sz w:val="18"/>
                <w:szCs w:val="18"/>
              </w:rPr>
              <w:t>Performance and Risk Management</w:t>
            </w:r>
          </w:p>
          <w:p w14:paraId="343083B4" w14:textId="77777777" w:rsidR="004965A9" w:rsidRPr="004965A9" w:rsidRDefault="004965A9" w:rsidP="004C4273">
            <w:pPr>
              <w:numPr>
                <w:ilvl w:val="0"/>
                <w:numId w:val="40"/>
              </w:numPr>
              <w:spacing w:before="40" w:after="40" w:line="240" w:lineRule="auto"/>
              <w:contextualSpacing/>
              <w:rPr>
                <w:rFonts w:eastAsia="Calibri" w:cs="Arial"/>
                <w:color w:val="000000"/>
                <w:sz w:val="18"/>
                <w:szCs w:val="18"/>
              </w:rPr>
            </w:pPr>
            <w:r w:rsidRPr="004965A9">
              <w:rPr>
                <w:rFonts w:eastAsia="Calibri" w:cs="Arial"/>
                <w:color w:val="000000"/>
                <w:sz w:val="18"/>
                <w:szCs w:val="18"/>
              </w:rPr>
              <w:t>Results focus</w:t>
            </w:r>
          </w:p>
          <w:p w14:paraId="44396210" w14:textId="77777777" w:rsidR="004965A9" w:rsidRPr="004965A9" w:rsidRDefault="004965A9" w:rsidP="004C4273">
            <w:pPr>
              <w:numPr>
                <w:ilvl w:val="0"/>
                <w:numId w:val="40"/>
              </w:numPr>
              <w:spacing w:before="40" w:after="40" w:line="240" w:lineRule="auto"/>
              <w:contextualSpacing/>
              <w:rPr>
                <w:rFonts w:eastAsia="Calibri" w:cs="Arial"/>
                <w:color w:val="000000"/>
                <w:sz w:val="18"/>
                <w:szCs w:val="18"/>
              </w:rPr>
            </w:pPr>
            <w:r w:rsidRPr="004965A9">
              <w:rPr>
                <w:rFonts w:eastAsia="Calibri" w:cs="Arial"/>
                <w:color w:val="000000"/>
                <w:sz w:val="18"/>
                <w:szCs w:val="18"/>
              </w:rPr>
              <w:t>Experimentation and Innovation</w:t>
            </w:r>
          </w:p>
          <w:p w14:paraId="6873D933" w14:textId="77777777" w:rsidR="004965A9" w:rsidRPr="004965A9" w:rsidRDefault="004965A9" w:rsidP="004C4273">
            <w:pPr>
              <w:numPr>
                <w:ilvl w:val="0"/>
                <w:numId w:val="40"/>
              </w:numPr>
              <w:spacing w:before="40" w:after="40" w:line="240" w:lineRule="auto"/>
              <w:contextualSpacing/>
              <w:rPr>
                <w:rFonts w:eastAsia="Calibri" w:cs="Arial"/>
                <w:color w:val="000000"/>
                <w:sz w:val="18"/>
                <w:szCs w:val="18"/>
              </w:rPr>
            </w:pPr>
            <w:r w:rsidRPr="004965A9">
              <w:rPr>
                <w:rFonts w:eastAsia="Calibri" w:cs="Arial"/>
                <w:color w:val="000000"/>
                <w:sz w:val="18"/>
                <w:szCs w:val="18"/>
              </w:rPr>
              <w:t>Accountability and transparency</w:t>
            </w:r>
          </w:p>
        </w:tc>
        <w:tc>
          <w:tcPr>
            <w:tcW w:w="2430" w:type="dxa"/>
          </w:tcPr>
          <w:p w14:paraId="3F606E1E" w14:textId="711177AC" w:rsidR="004965A9" w:rsidRPr="004965A9" w:rsidRDefault="004965A9" w:rsidP="004C4273">
            <w:pPr>
              <w:numPr>
                <w:ilvl w:val="0"/>
                <w:numId w:val="41"/>
              </w:numPr>
              <w:spacing w:before="40" w:after="40" w:line="240" w:lineRule="auto"/>
              <w:contextualSpacing/>
              <w:rPr>
                <w:rFonts w:eastAsia="Calibri" w:cs="Arial"/>
                <w:color w:val="000000"/>
                <w:sz w:val="18"/>
                <w:szCs w:val="18"/>
              </w:rPr>
            </w:pPr>
            <w:r w:rsidRPr="004965A9">
              <w:rPr>
                <w:rFonts w:eastAsia="Calibri" w:cs="Arial"/>
                <w:color w:val="000000"/>
                <w:sz w:val="18"/>
                <w:szCs w:val="18"/>
              </w:rPr>
              <w:t>All Data collected and reported against a good practice framework</w:t>
            </w:r>
          </w:p>
          <w:p w14:paraId="716D40A6" w14:textId="77777777" w:rsidR="004965A9" w:rsidRPr="004965A9" w:rsidRDefault="004965A9" w:rsidP="004C4273">
            <w:pPr>
              <w:numPr>
                <w:ilvl w:val="0"/>
                <w:numId w:val="41"/>
              </w:numPr>
              <w:spacing w:before="40" w:after="40" w:line="240" w:lineRule="auto"/>
              <w:contextualSpacing/>
              <w:rPr>
                <w:rFonts w:eastAsia="Calibri" w:cs="Arial"/>
                <w:color w:val="000000"/>
                <w:sz w:val="18"/>
                <w:szCs w:val="18"/>
              </w:rPr>
            </w:pPr>
            <w:r w:rsidRPr="004965A9">
              <w:rPr>
                <w:rFonts w:eastAsia="Calibri" w:cs="Arial"/>
                <w:color w:val="000000"/>
                <w:sz w:val="18"/>
                <w:szCs w:val="18"/>
              </w:rPr>
              <w:t xml:space="preserve">Data contested by Expert Panel </w:t>
            </w:r>
          </w:p>
        </w:tc>
        <w:tc>
          <w:tcPr>
            <w:tcW w:w="1890" w:type="dxa"/>
          </w:tcPr>
          <w:p w14:paraId="6E1D743B" w14:textId="77777777" w:rsidR="004965A9" w:rsidRPr="004965A9" w:rsidRDefault="004965A9" w:rsidP="004965A9">
            <w:pPr>
              <w:spacing w:before="40" w:after="40" w:line="240" w:lineRule="auto"/>
              <w:rPr>
                <w:rFonts w:eastAsia="Calibri" w:cs="Arial"/>
                <w:color w:val="000000"/>
                <w:sz w:val="18"/>
                <w:szCs w:val="18"/>
              </w:rPr>
            </w:pPr>
            <w:r w:rsidRPr="004965A9">
              <w:rPr>
                <w:rFonts w:eastAsia="Calibri" w:cs="Arial"/>
                <w:color w:val="000000"/>
                <w:sz w:val="18"/>
                <w:szCs w:val="18"/>
              </w:rPr>
              <w:t>Knowledge &amp; Performance team</w:t>
            </w:r>
          </w:p>
          <w:p w14:paraId="3351A076" w14:textId="55FF308E"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Value for Money specialist</w:t>
            </w:r>
          </w:p>
          <w:p w14:paraId="2BBF823A" w14:textId="77777777" w:rsidR="004965A9" w:rsidRPr="004965A9" w:rsidRDefault="004965A9" w:rsidP="0083335F">
            <w:pPr>
              <w:spacing w:before="40" w:after="40" w:line="240" w:lineRule="auto"/>
              <w:rPr>
                <w:rFonts w:eastAsia="Calibri" w:cs="Arial"/>
                <w:color w:val="000000"/>
                <w:sz w:val="18"/>
                <w:szCs w:val="18"/>
              </w:rPr>
            </w:pPr>
          </w:p>
          <w:p w14:paraId="489546EA" w14:textId="5D770ACF"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 xml:space="preserve">Annual </w:t>
            </w:r>
          </w:p>
        </w:tc>
        <w:tc>
          <w:tcPr>
            <w:tcW w:w="1800" w:type="dxa"/>
          </w:tcPr>
          <w:p w14:paraId="21CE4C69"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Preparation of Prospera Partner Performance Assessment; Aid Quality Check</w:t>
            </w:r>
          </w:p>
        </w:tc>
      </w:tr>
      <w:tr w:rsidR="004965A9" w:rsidRPr="004965A9" w14:paraId="2E55589C" w14:textId="77777777" w:rsidTr="004965A9">
        <w:trPr>
          <w:cantSplit/>
          <w:trHeight w:val="145"/>
        </w:trPr>
        <w:tc>
          <w:tcPr>
            <w:tcW w:w="2695" w:type="dxa"/>
          </w:tcPr>
          <w:p w14:paraId="3DAEDA67"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Prospera operates in a ‘Navigation by Judgement’ style to design and implement interventions, where best suited.</w:t>
            </w:r>
          </w:p>
          <w:p w14:paraId="77FD7E2E"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Assumption: </w:t>
            </w:r>
          </w:p>
          <w:p w14:paraId="52DE969B"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That the Prospera management team are able to maintain the confidence and trust of DFAT to support this way of working</w:t>
            </w:r>
          </w:p>
        </w:tc>
        <w:tc>
          <w:tcPr>
            <w:tcW w:w="2610" w:type="dxa"/>
          </w:tcPr>
          <w:p w14:paraId="4044A7BA"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To what extent is Prospera navigating by judgement when it is appropriate? How are decisions made to work this way? And, how does this align with investment criteria? How does this way of working contribute to program effectiveness?  </w:t>
            </w:r>
          </w:p>
        </w:tc>
        <w:tc>
          <w:tcPr>
            <w:tcW w:w="2700" w:type="dxa"/>
          </w:tcPr>
          <w:p w14:paraId="24E3683C"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[Aligns with point 7 in VfM]</w:t>
            </w:r>
          </w:p>
          <w:p w14:paraId="43227B39" w14:textId="77777777" w:rsidR="004965A9" w:rsidRPr="004965A9" w:rsidRDefault="004965A9" w:rsidP="004C4273">
            <w:pPr>
              <w:numPr>
                <w:ilvl w:val="0"/>
                <w:numId w:val="42"/>
              </w:numPr>
              <w:spacing w:before="40" w:after="40" w:line="240" w:lineRule="auto"/>
              <w:contextualSpacing/>
              <w:rPr>
                <w:rFonts w:eastAsia="Calibri" w:cs="Arial"/>
                <w:color w:val="000000"/>
                <w:sz w:val="18"/>
                <w:szCs w:val="18"/>
              </w:rPr>
            </w:pPr>
            <w:r w:rsidRPr="004965A9">
              <w:rPr>
                <w:rFonts w:eastAsia="Calibri" w:cs="Arial"/>
                <w:color w:val="000000"/>
                <w:sz w:val="18"/>
                <w:szCs w:val="18"/>
              </w:rPr>
              <w:t>Examples of navigation by judgement, how it works and why the decision is made to work that way.</w:t>
            </w:r>
          </w:p>
          <w:p w14:paraId="1CDE00BE" w14:textId="77777777" w:rsidR="004965A9" w:rsidRPr="004965A9" w:rsidRDefault="004965A9" w:rsidP="004C4273">
            <w:pPr>
              <w:numPr>
                <w:ilvl w:val="0"/>
                <w:numId w:val="42"/>
              </w:numPr>
              <w:spacing w:before="40" w:after="40" w:line="240" w:lineRule="auto"/>
              <w:contextualSpacing/>
              <w:rPr>
                <w:rFonts w:eastAsia="Calibri" w:cs="Arial"/>
                <w:color w:val="000000"/>
                <w:sz w:val="18"/>
                <w:szCs w:val="18"/>
              </w:rPr>
            </w:pPr>
            <w:r w:rsidRPr="004965A9">
              <w:rPr>
                <w:rFonts w:eastAsia="Calibri" w:cs="Arial"/>
                <w:color w:val="000000"/>
                <w:sz w:val="18"/>
                <w:szCs w:val="18"/>
              </w:rPr>
              <w:t>Results achieved through navigation by judgement</w:t>
            </w:r>
          </w:p>
          <w:p w14:paraId="0BCF33FF" w14:textId="77777777" w:rsidR="004965A9" w:rsidRPr="004965A9" w:rsidRDefault="004965A9" w:rsidP="004C4273">
            <w:pPr>
              <w:numPr>
                <w:ilvl w:val="0"/>
                <w:numId w:val="42"/>
              </w:numPr>
              <w:spacing w:before="40" w:after="40" w:line="240" w:lineRule="auto"/>
              <w:contextualSpacing/>
              <w:rPr>
                <w:rFonts w:eastAsia="Calibri" w:cs="Arial"/>
                <w:color w:val="000000"/>
                <w:sz w:val="18"/>
                <w:szCs w:val="18"/>
              </w:rPr>
            </w:pPr>
            <w:r w:rsidRPr="004965A9">
              <w:rPr>
                <w:rFonts w:eastAsia="Calibri" w:cs="Arial"/>
                <w:color w:val="000000"/>
                <w:sz w:val="18"/>
                <w:szCs w:val="18"/>
              </w:rPr>
              <w:t>Alignment with investment criteria</w:t>
            </w:r>
          </w:p>
        </w:tc>
        <w:tc>
          <w:tcPr>
            <w:tcW w:w="2430" w:type="dxa"/>
          </w:tcPr>
          <w:p w14:paraId="270A6F3E" w14:textId="77777777" w:rsidR="004965A9" w:rsidRPr="004965A9" w:rsidRDefault="004965A9" w:rsidP="004C4273">
            <w:pPr>
              <w:numPr>
                <w:ilvl w:val="0"/>
                <w:numId w:val="43"/>
              </w:numPr>
              <w:spacing w:before="40" w:after="40" w:line="240" w:lineRule="auto"/>
              <w:contextualSpacing/>
              <w:rPr>
                <w:rFonts w:eastAsia="Calibri" w:cs="Arial"/>
                <w:color w:val="000000"/>
                <w:sz w:val="18"/>
                <w:szCs w:val="18"/>
              </w:rPr>
            </w:pPr>
            <w:r w:rsidRPr="004965A9">
              <w:rPr>
                <w:rFonts w:eastAsia="Calibri" w:cs="Arial"/>
                <w:color w:val="000000"/>
                <w:sz w:val="18"/>
                <w:szCs w:val="18"/>
              </w:rPr>
              <w:t>Prospera activity design documents and records</w:t>
            </w:r>
          </w:p>
          <w:p w14:paraId="565A5A70" w14:textId="77777777" w:rsidR="004965A9" w:rsidRPr="004965A9" w:rsidRDefault="004965A9" w:rsidP="004C4273">
            <w:pPr>
              <w:numPr>
                <w:ilvl w:val="0"/>
                <w:numId w:val="43"/>
              </w:numPr>
              <w:spacing w:before="40" w:after="40" w:line="240" w:lineRule="auto"/>
              <w:contextualSpacing/>
              <w:rPr>
                <w:rFonts w:eastAsia="Calibri" w:cs="Arial"/>
                <w:color w:val="000000"/>
                <w:sz w:val="18"/>
                <w:szCs w:val="18"/>
              </w:rPr>
            </w:pPr>
            <w:r w:rsidRPr="004965A9">
              <w:rPr>
                <w:rFonts w:eastAsia="Calibri" w:cs="Arial"/>
                <w:color w:val="000000"/>
                <w:sz w:val="18"/>
                <w:szCs w:val="18"/>
              </w:rPr>
              <w:t>Records of programming decisions</w:t>
            </w:r>
          </w:p>
          <w:p w14:paraId="634C6E60" w14:textId="77777777" w:rsidR="004965A9" w:rsidRPr="004965A9" w:rsidRDefault="004965A9" w:rsidP="004C4273">
            <w:pPr>
              <w:numPr>
                <w:ilvl w:val="0"/>
                <w:numId w:val="43"/>
              </w:numPr>
              <w:spacing w:before="40" w:after="40" w:line="240" w:lineRule="auto"/>
              <w:contextualSpacing/>
              <w:rPr>
                <w:rFonts w:eastAsia="Calibri" w:cs="Arial"/>
                <w:color w:val="000000"/>
                <w:sz w:val="18"/>
                <w:szCs w:val="18"/>
              </w:rPr>
            </w:pPr>
            <w:r w:rsidRPr="004965A9">
              <w:rPr>
                <w:rFonts w:eastAsia="Calibri" w:cs="Arial"/>
                <w:color w:val="000000"/>
                <w:sz w:val="18"/>
                <w:szCs w:val="18"/>
              </w:rPr>
              <w:t>Results through this approach</w:t>
            </w:r>
          </w:p>
          <w:p w14:paraId="0633441A" w14:textId="77777777" w:rsidR="004965A9" w:rsidRPr="004965A9" w:rsidRDefault="004965A9" w:rsidP="004C4273">
            <w:pPr>
              <w:numPr>
                <w:ilvl w:val="0"/>
                <w:numId w:val="43"/>
              </w:numPr>
              <w:spacing w:before="40" w:after="40" w:line="240" w:lineRule="auto"/>
              <w:contextualSpacing/>
              <w:rPr>
                <w:rFonts w:eastAsia="Calibri" w:cs="Arial"/>
                <w:color w:val="000000"/>
                <w:sz w:val="18"/>
                <w:szCs w:val="18"/>
              </w:rPr>
            </w:pPr>
            <w:r w:rsidRPr="004965A9">
              <w:rPr>
                <w:rFonts w:eastAsia="Calibri" w:cs="Arial"/>
                <w:color w:val="000000"/>
                <w:sz w:val="18"/>
                <w:szCs w:val="18"/>
              </w:rPr>
              <w:t>Assessment against investment criteria</w:t>
            </w:r>
          </w:p>
        </w:tc>
        <w:tc>
          <w:tcPr>
            <w:tcW w:w="1890" w:type="dxa"/>
          </w:tcPr>
          <w:p w14:paraId="14D2C867" w14:textId="77777777" w:rsidR="004965A9" w:rsidRPr="004965A9" w:rsidRDefault="004965A9" w:rsidP="004965A9">
            <w:pPr>
              <w:spacing w:before="40" w:after="40" w:line="240" w:lineRule="auto"/>
              <w:rPr>
                <w:rFonts w:eastAsia="Calibri" w:cs="Arial"/>
                <w:color w:val="000000"/>
                <w:sz w:val="18"/>
                <w:szCs w:val="18"/>
              </w:rPr>
            </w:pPr>
            <w:r>
              <w:rPr>
                <w:rFonts w:eastAsia="Calibri" w:cs="Arial"/>
                <w:color w:val="000000"/>
                <w:sz w:val="18"/>
                <w:szCs w:val="18"/>
              </w:rPr>
              <w:t xml:space="preserve">Prospera KPL </w:t>
            </w:r>
            <w:r w:rsidRPr="004965A9">
              <w:rPr>
                <w:rFonts w:eastAsia="Calibri" w:cs="Arial"/>
                <w:color w:val="000000"/>
                <w:sz w:val="18"/>
                <w:szCs w:val="18"/>
              </w:rPr>
              <w:t xml:space="preserve">team </w:t>
            </w:r>
          </w:p>
          <w:p w14:paraId="503071D9" w14:textId="77777777" w:rsidR="004965A9" w:rsidRPr="004965A9" w:rsidRDefault="004965A9" w:rsidP="004965A9">
            <w:pPr>
              <w:spacing w:before="40" w:after="40" w:line="240" w:lineRule="auto"/>
              <w:rPr>
                <w:rFonts w:eastAsia="Calibri" w:cs="Arial"/>
                <w:color w:val="000000"/>
                <w:sz w:val="18"/>
                <w:szCs w:val="18"/>
              </w:rPr>
            </w:pPr>
          </w:p>
          <w:p w14:paraId="52C9E04A" w14:textId="6D8C752F" w:rsidR="004965A9" w:rsidRPr="004965A9" w:rsidRDefault="004965A9" w:rsidP="004965A9">
            <w:pPr>
              <w:spacing w:before="40" w:after="40" w:line="240" w:lineRule="auto"/>
              <w:rPr>
                <w:rFonts w:eastAsia="Calibri" w:cs="Arial"/>
                <w:color w:val="000000"/>
                <w:sz w:val="18"/>
                <w:szCs w:val="18"/>
              </w:rPr>
            </w:pPr>
            <w:r w:rsidRPr="004965A9">
              <w:rPr>
                <w:rFonts w:eastAsia="Calibri" w:cs="Arial"/>
                <w:color w:val="000000"/>
                <w:sz w:val="18"/>
                <w:szCs w:val="18"/>
              </w:rPr>
              <w:t>Annual</w:t>
            </w:r>
          </w:p>
        </w:tc>
        <w:tc>
          <w:tcPr>
            <w:tcW w:w="1800" w:type="dxa"/>
          </w:tcPr>
          <w:p w14:paraId="25AE6494"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Preparation of Prospera Partner Performance Assessment; Aid Quality Check</w:t>
            </w:r>
          </w:p>
        </w:tc>
      </w:tr>
      <w:tr w:rsidR="004965A9" w:rsidRPr="004965A9" w14:paraId="44CB3AB6" w14:textId="77777777" w:rsidTr="004965A9">
        <w:trPr>
          <w:cantSplit/>
          <w:trHeight w:val="145"/>
        </w:trPr>
        <w:tc>
          <w:tcPr>
            <w:tcW w:w="2695" w:type="dxa"/>
          </w:tcPr>
          <w:p w14:paraId="1B352028"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 xml:space="preserve">Prospera remains a trusted partner of the Indonesian government. </w:t>
            </w:r>
          </w:p>
          <w:p w14:paraId="601F5CF2"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 xml:space="preserve">Assumption: </w:t>
            </w:r>
          </w:p>
          <w:p w14:paraId="2E3D9585" w14:textId="77777777" w:rsidR="004965A9" w:rsidRPr="004965A9" w:rsidRDefault="004965A9" w:rsidP="0083335F">
            <w:pPr>
              <w:spacing w:before="40" w:after="40" w:line="240" w:lineRule="auto"/>
              <w:rPr>
                <w:rFonts w:eastAsia="Calibri" w:cs="Arial"/>
                <w:b/>
                <w:i/>
                <w:color w:val="000000"/>
                <w:sz w:val="18"/>
                <w:szCs w:val="18"/>
              </w:rPr>
            </w:pPr>
            <w:r w:rsidRPr="004965A9">
              <w:rPr>
                <w:rFonts w:eastAsia="Calibri" w:cs="Arial"/>
                <w:i/>
                <w:color w:val="000000"/>
                <w:sz w:val="18"/>
                <w:szCs w:val="18"/>
              </w:rPr>
              <w:t>That the senior managers in Prospera continue to nurture valued and positive relationships and have a strong understanding of the Indonesian political economy, and that any new team members have the ability to build relationships and networks</w:t>
            </w:r>
          </w:p>
        </w:tc>
        <w:tc>
          <w:tcPr>
            <w:tcW w:w="2610" w:type="dxa"/>
          </w:tcPr>
          <w:p w14:paraId="0B9DCE7C" w14:textId="77777777" w:rsidR="004965A9" w:rsidRPr="004965A9" w:rsidRDefault="004965A9" w:rsidP="0083335F">
            <w:pPr>
              <w:spacing w:before="40" w:after="40" w:line="240" w:lineRule="auto"/>
              <w:rPr>
                <w:rFonts w:eastAsia="Calibri" w:cs="Arial"/>
                <w:i/>
                <w:color w:val="000000"/>
                <w:sz w:val="18"/>
                <w:szCs w:val="18"/>
              </w:rPr>
            </w:pPr>
            <w:r w:rsidRPr="004965A9">
              <w:rPr>
                <w:rFonts w:eastAsia="Calibri" w:cs="Arial"/>
                <w:i/>
                <w:color w:val="000000"/>
                <w:sz w:val="18"/>
                <w:szCs w:val="18"/>
              </w:rPr>
              <w:t>To what extent is Prospera trusted partner of the Indonesian government? What are the critical factors in maintaining this partnership?</w:t>
            </w:r>
          </w:p>
        </w:tc>
        <w:tc>
          <w:tcPr>
            <w:tcW w:w="2700" w:type="dxa"/>
          </w:tcPr>
          <w:p w14:paraId="4007233E" w14:textId="77777777" w:rsidR="004965A9" w:rsidRPr="004965A9" w:rsidRDefault="004965A9" w:rsidP="004C4273">
            <w:pPr>
              <w:numPr>
                <w:ilvl w:val="0"/>
                <w:numId w:val="44"/>
              </w:numPr>
              <w:spacing w:before="40" w:after="40" w:line="240" w:lineRule="auto"/>
              <w:contextualSpacing/>
              <w:rPr>
                <w:rFonts w:eastAsia="Calibri" w:cs="Arial"/>
                <w:color w:val="000000"/>
                <w:sz w:val="18"/>
                <w:szCs w:val="18"/>
              </w:rPr>
            </w:pPr>
            <w:r w:rsidRPr="004965A9">
              <w:rPr>
                <w:rFonts w:eastAsia="Calibri" w:cs="Arial"/>
                <w:color w:val="000000"/>
                <w:sz w:val="18"/>
                <w:szCs w:val="18"/>
              </w:rPr>
              <w:t>Indonesian government officials views of Prospera</w:t>
            </w:r>
          </w:p>
          <w:p w14:paraId="6CDFE434" w14:textId="77777777" w:rsidR="004965A9" w:rsidRPr="004965A9" w:rsidRDefault="004965A9" w:rsidP="004C4273">
            <w:pPr>
              <w:numPr>
                <w:ilvl w:val="0"/>
                <w:numId w:val="44"/>
              </w:numPr>
              <w:spacing w:before="40" w:after="40" w:line="240" w:lineRule="auto"/>
              <w:contextualSpacing/>
              <w:rPr>
                <w:rFonts w:eastAsia="Calibri" w:cs="Arial"/>
                <w:color w:val="000000"/>
                <w:sz w:val="18"/>
                <w:szCs w:val="18"/>
              </w:rPr>
            </w:pPr>
            <w:r w:rsidRPr="004965A9">
              <w:rPr>
                <w:rFonts w:eastAsia="Calibri" w:cs="Arial"/>
                <w:color w:val="000000"/>
                <w:sz w:val="18"/>
                <w:szCs w:val="18"/>
              </w:rPr>
              <w:t>Prospera senior management and implementers views of the level of trust by Indonesian government for Prospera</w:t>
            </w:r>
          </w:p>
          <w:p w14:paraId="64428132" w14:textId="77777777" w:rsidR="004965A9" w:rsidRPr="004965A9" w:rsidRDefault="004965A9" w:rsidP="004C4273">
            <w:pPr>
              <w:numPr>
                <w:ilvl w:val="0"/>
                <w:numId w:val="44"/>
              </w:numPr>
              <w:spacing w:before="40" w:after="40" w:line="240" w:lineRule="auto"/>
              <w:contextualSpacing/>
              <w:rPr>
                <w:rFonts w:eastAsia="Calibri" w:cs="Arial"/>
                <w:color w:val="000000"/>
                <w:sz w:val="18"/>
                <w:szCs w:val="18"/>
              </w:rPr>
            </w:pPr>
            <w:r w:rsidRPr="004965A9">
              <w:rPr>
                <w:rFonts w:eastAsia="Calibri" w:cs="Arial"/>
                <w:color w:val="000000"/>
                <w:sz w:val="18"/>
                <w:szCs w:val="18"/>
              </w:rPr>
              <w:t>Level of access to officials</w:t>
            </w:r>
          </w:p>
          <w:p w14:paraId="666340FD" w14:textId="77777777" w:rsidR="004965A9" w:rsidRPr="004965A9" w:rsidRDefault="004965A9" w:rsidP="004C4273">
            <w:pPr>
              <w:numPr>
                <w:ilvl w:val="0"/>
                <w:numId w:val="44"/>
              </w:numPr>
              <w:spacing w:before="40" w:after="40" w:line="240" w:lineRule="auto"/>
              <w:contextualSpacing/>
              <w:rPr>
                <w:rFonts w:eastAsia="Calibri" w:cs="Arial"/>
                <w:color w:val="000000"/>
                <w:sz w:val="18"/>
                <w:szCs w:val="18"/>
              </w:rPr>
            </w:pPr>
            <w:r w:rsidRPr="004965A9">
              <w:rPr>
                <w:rFonts w:eastAsia="Calibri" w:cs="Arial"/>
                <w:color w:val="000000"/>
                <w:sz w:val="18"/>
                <w:szCs w:val="18"/>
              </w:rPr>
              <w:t>Level of participation of officials in Prospera related activities</w:t>
            </w:r>
          </w:p>
        </w:tc>
        <w:tc>
          <w:tcPr>
            <w:tcW w:w="2430" w:type="dxa"/>
          </w:tcPr>
          <w:p w14:paraId="08C12459" w14:textId="77777777" w:rsidR="004965A9" w:rsidRPr="004965A9" w:rsidRDefault="004965A9" w:rsidP="004C4273">
            <w:pPr>
              <w:numPr>
                <w:ilvl w:val="0"/>
                <w:numId w:val="45"/>
              </w:numPr>
              <w:spacing w:before="40" w:after="40" w:line="240" w:lineRule="auto"/>
              <w:contextualSpacing/>
              <w:rPr>
                <w:rFonts w:eastAsia="Calibri" w:cs="Arial"/>
                <w:color w:val="000000"/>
                <w:sz w:val="18"/>
                <w:szCs w:val="18"/>
              </w:rPr>
            </w:pPr>
            <w:r w:rsidRPr="004965A9">
              <w:rPr>
                <w:rFonts w:eastAsia="Calibri" w:cs="Arial"/>
                <w:color w:val="000000"/>
                <w:sz w:val="18"/>
                <w:szCs w:val="18"/>
              </w:rPr>
              <w:t>Interviews with key Indonesian government officials</w:t>
            </w:r>
          </w:p>
          <w:p w14:paraId="749C162A" w14:textId="77777777" w:rsidR="004965A9" w:rsidRPr="004965A9" w:rsidRDefault="004965A9" w:rsidP="004C4273">
            <w:pPr>
              <w:numPr>
                <w:ilvl w:val="0"/>
                <w:numId w:val="45"/>
              </w:numPr>
              <w:spacing w:before="40" w:after="40" w:line="240" w:lineRule="auto"/>
              <w:contextualSpacing/>
              <w:rPr>
                <w:rFonts w:eastAsia="Calibri" w:cs="Arial"/>
                <w:color w:val="000000"/>
                <w:sz w:val="18"/>
                <w:szCs w:val="18"/>
              </w:rPr>
            </w:pPr>
            <w:r w:rsidRPr="004965A9">
              <w:rPr>
                <w:rFonts w:eastAsia="Calibri" w:cs="Arial"/>
                <w:color w:val="000000"/>
                <w:sz w:val="18"/>
                <w:szCs w:val="18"/>
              </w:rPr>
              <w:t>Focus group with Prospera Senior managers and lead advisers, and APS agencies</w:t>
            </w:r>
          </w:p>
          <w:p w14:paraId="230B2D10" w14:textId="77777777" w:rsidR="004965A9" w:rsidRPr="004965A9" w:rsidRDefault="004965A9" w:rsidP="004C4273">
            <w:pPr>
              <w:numPr>
                <w:ilvl w:val="0"/>
                <w:numId w:val="45"/>
              </w:numPr>
              <w:spacing w:before="40" w:after="40" w:line="240" w:lineRule="auto"/>
              <w:contextualSpacing/>
              <w:rPr>
                <w:rFonts w:eastAsia="Calibri" w:cs="Arial"/>
                <w:color w:val="000000"/>
                <w:sz w:val="18"/>
                <w:szCs w:val="18"/>
              </w:rPr>
            </w:pPr>
            <w:r w:rsidRPr="004965A9">
              <w:rPr>
                <w:rFonts w:eastAsia="Calibri" w:cs="Arial"/>
                <w:color w:val="000000"/>
                <w:sz w:val="18"/>
                <w:szCs w:val="18"/>
              </w:rPr>
              <w:t>Activity records- examples of trust</w:t>
            </w:r>
          </w:p>
          <w:p w14:paraId="7ECC968D" w14:textId="77777777" w:rsidR="004965A9" w:rsidRPr="004965A9" w:rsidRDefault="004965A9" w:rsidP="004C4273">
            <w:pPr>
              <w:numPr>
                <w:ilvl w:val="0"/>
                <w:numId w:val="45"/>
              </w:numPr>
              <w:spacing w:before="40" w:after="40" w:line="240" w:lineRule="auto"/>
              <w:contextualSpacing/>
              <w:rPr>
                <w:rFonts w:eastAsia="Calibri" w:cs="Arial"/>
                <w:color w:val="000000"/>
                <w:sz w:val="18"/>
                <w:szCs w:val="18"/>
              </w:rPr>
            </w:pPr>
            <w:r w:rsidRPr="004965A9">
              <w:rPr>
                <w:rFonts w:eastAsia="Calibri" w:cs="Arial"/>
                <w:color w:val="000000"/>
                <w:sz w:val="18"/>
                <w:szCs w:val="18"/>
              </w:rPr>
              <w:t>Presentation, Workshop and meeting attendance records</w:t>
            </w:r>
          </w:p>
        </w:tc>
        <w:tc>
          <w:tcPr>
            <w:tcW w:w="1890" w:type="dxa"/>
          </w:tcPr>
          <w:p w14:paraId="4D9D90A1" w14:textId="77777777" w:rsidR="004965A9" w:rsidRPr="004965A9" w:rsidRDefault="004965A9" w:rsidP="004965A9">
            <w:pPr>
              <w:spacing w:before="40" w:after="40" w:line="240" w:lineRule="auto"/>
              <w:rPr>
                <w:rFonts w:eastAsia="Calibri" w:cs="Arial"/>
                <w:color w:val="000000"/>
                <w:sz w:val="18"/>
                <w:szCs w:val="18"/>
              </w:rPr>
            </w:pPr>
            <w:r>
              <w:rPr>
                <w:rFonts w:eastAsia="Calibri" w:cs="Arial"/>
                <w:color w:val="000000"/>
                <w:sz w:val="18"/>
                <w:szCs w:val="18"/>
              </w:rPr>
              <w:t xml:space="preserve">Prospera KPL </w:t>
            </w:r>
            <w:r w:rsidRPr="004965A9">
              <w:rPr>
                <w:rFonts w:eastAsia="Calibri" w:cs="Arial"/>
                <w:color w:val="000000"/>
                <w:sz w:val="18"/>
                <w:szCs w:val="18"/>
              </w:rPr>
              <w:t xml:space="preserve">team </w:t>
            </w:r>
          </w:p>
          <w:p w14:paraId="179C5507" w14:textId="77777777" w:rsidR="004965A9" w:rsidRPr="004965A9" w:rsidRDefault="004965A9" w:rsidP="004965A9">
            <w:pPr>
              <w:spacing w:before="40" w:after="40" w:line="240" w:lineRule="auto"/>
              <w:rPr>
                <w:rFonts w:eastAsia="Calibri" w:cs="Arial"/>
                <w:color w:val="000000"/>
                <w:sz w:val="18"/>
                <w:szCs w:val="18"/>
              </w:rPr>
            </w:pPr>
          </w:p>
          <w:p w14:paraId="70C0A8EC" w14:textId="6376A151" w:rsidR="004965A9" w:rsidRPr="004965A9" w:rsidRDefault="004965A9" w:rsidP="004965A9">
            <w:pPr>
              <w:spacing w:before="40" w:after="40" w:line="240" w:lineRule="auto"/>
              <w:rPr>
                <w:rFonts w:eastAsia="Calibri" w:cs="Arial"/>
                <w:color w:val="000000"/>
                <w:sz w:val="18"/>
                <w:szCs w:val="18"/>
              </w:rPr>
            </w:pPr>
            <w:r w:rsidRPr="004965A9">
              <w:rPr>
                <w:rFonts w:eastAsia="Calibri" w:cs="Arial"/>
                <w:color w:val="000000"/>
                <w:sz w:val="18"/>
                <w:szCs w:val="18"/>
              </w:rPr>
              <w:t>Annual</w:t>
            </w:r>
          </w:p>
        </w:tc>
        <w:tc>
          <w:tcPr>
            <w:tcW w:w="1800" w:type="dxa"/>
          </w:tcPr>
          <w:p w14:paraId="2A1D657D" w14:textId="77777777" w:rsidR="004965A9" w:rsidRPr="004965A9" w:rsidRDefault="004965A9" w:rsidP="0083335F">
            <w:pPr>
              <w:spacing w:before="40" w:after="40" w:line="240" w:lineRule="auto"/>
              <w:rPr>
                <w:rFonts w:eastAsia="Calibri" w:cs="Arial"/>
                <w:color w:val="000000"/>
                <w:sz w:val="18"/>
                <w:szCs w:val="18"/>
              </w:rPr>
            </w:pPr>
            <w:r w:rsidRPr="004965A9">
              <w:rPr>
                <w:rFonts w:eastAsia="Calibri" w:cs="Arial"/>
                <w:color w:val="000000"/>
                <w:sz w:val="18"/>
                <w:szCs w:val="18"/>
              </w:rPr>
              <w:t>Preparation of Prospera Partner Performance Assessment; Aid Quality Check</w:t>
            </w:r>
          </w:p>
        </w:tc>
      </w:tr>
      <w:tr w:rsidR="004965A9" w:rsidRPr="004965A9" w14:paraId="24A6C26E" w14:textId="77777777" w:rsidTr="004965A9">
        <w:trPr>
          <w:cantSplit/>
          <w:trHeight w:val="145"/>
        </w:trPr>
        <w:tc>
          <w:tcPr>
            <w:tcW w:w="2695" w:type="dxa"/>
          </w:tcPr>
          <w:p w14:paraId="43982AD7" w14:textId="77777777" w:rsidR="004965A9" w:rsidRPr="004965A9" w:rsidRDefault="004965A9" w:rsidP="0083335F">
            <w:pPr>
              <w:spacing w:before="20" w:after="20" w:line="240" w:lineRule="auto"/>
              <w:rPr>
                <w:rFonts w:eastAsia="Calibri" w:cs="Arial"/>
                <w:color w:val="000000"/>
                <w:sz w:val="18"/>
                <w:szCs w:val="18"/>
              </w:rPr>
            </w:pPr>
            <w:r w:rsidRPr="004965A9">
              <w:rPr>
                <w:rFonts w:eastAsia="Calibri" w:cs="Arial"/>
                <w:color w:val="000000"/>
                <w:sz w:val="18"/>
                <w:szCs w:val="18"/>
              </w:rPr>
              <w:t xml:space="preserve">Prospera uses internal and external learning and M&amp;E to support program improvement. Evaluative thinking and high quality facilitation is routinely applied to test and refine strategies. </w:t>
            </w:r>
          </w:p>
          <w:p w14:paraId="3FB041F6" w14:textId="77777777" w:rsidR="004965A9" w:rsidRPr="004965A9" w:rsidRDefault="004965A9" w:rsidP="0083335F">
            <w:pPr>
              <w:spacing w:before="20" w:after="20" w:line="240" w:lineRule="auto"/>
              <w:rPr>
                <w:rFonts w:eastAsia="Calibri" w:cs="Arial"/>
                <w:i/>
                <w:color w:val="000000"/>
                <w:sz w:val="18"/>
                <w:szCs w:val="18"/>
              </w:rPr>
            </w:pPr>
            <w:r w:rsidRPr="004965A9">
              <w:rPr>
                <w:rFonts w:eastAsia="Calibri" w:cs="Arial"/>
                <w:i/>
                <w:color w:val="000000"/>
                <w:sz w:val="18"/>
                <w:szCs w:val="18"/>
              </w:rPr>
              <w:t xml:space="preserve">Assumption: </w:t>
            </w:r>
          </w:p>
          <w:p w14:paraId="67DF5B9F" w14:textId="77777777" w:rsidR="004965A9" w:rsidRPr="004965A9" w:rsidRDefault="004965A9" w:rsidP="0083335F">
            <w:pPr>
              <w:spacing w:before="20" w:after="20" w:line="240" w:lineRule="auto"/>
              <w:rPr>
                <w:rFonts w:eastAsia="Calibri" w:cs="Arial"/>
                <w:i/>
                <w:color w:val="000000"/>
                <w:sz w:val="18"/>
                <w:szCs w:val="18"/>
              </w:rPr>
            </w:pPr>
            <w:r w:rsidRPr="004965A9">
              <w:rPr>
                <w:rFonts w:eastAsia="Calibri" w:cs="Arial"/>
                <w:i/>
                <w:color w:val="000000"/>
                <w:sz w:val="18"/>
                <w:szCs w:val="18"/>
              </w:rPr>
              <w:t xml:space="preserve">That the entire Prospera team is prepared to learn new ways of working, thinking collaboratively and communicating </w:t>
            </w:r>
          </w:p>
        </w:tc>
        <w:tc>
          <w:tcPr>
            <w:tcW w:w="2610" w:type="dxa"/>
          </w:tcPr>
          <w:p w14:paraId="7ECADA1E" w14:textId="77777777" w:rsidR="004965A9" w:rsidRPr="004965A9" w:rsidRDefault="004965A9" w:rsidP="0083335F">
            <w:pPr>
              <w:spacing w:before="20" w:after="20" w:line="240" w:lineRule="auto"/>
              <w:rPr>
                <w:rFonts w:eastAsia="Calibri" w:cs="Arial"/>
                <w:i/>
                <w:color w:val="000000"/>
                <w:sz w:val="18"/>
                <w:szCs w:val="18"/>
              </w:rPr>
            </w:pPr>
            <w:r w:rsidRPr="004965A9">
              <w:rPr>
                <w:rFonts w:eastAsia="Calibri" w:cs="Arial"/>
                <w:i/>
                <w:color w:val="000000"/>
                <w:sz w:val="18"/>
                <w:szCs w:val="18"/>
              </w:rPr>
              <w:t xml:space="preserve">To what extent does Prospera use internal and external learning and M&amp;E to support program improvement? </w:t>
            </w:r>
          </w:p>
        </w:tc>
        <w:tc>
          <w:tcPr>
            <w:tcW w:w="2700" w:type="dxa"/>
          </w:tcPr>
          <w:p w14:paraId="471EBEAA" w14:textId="77777777" w:rsidR="004965A9" w:rsidRPr="004965A9" w:rsidRDefault="004965A9" w:rsidP="004C4273">
            <w:pPr>
              <w:numPr>
                <w:ilvl w:val="0"/>
                <w:numId w:val="46"/>
              </w:numPr>
              <w:spacing w:before="20" w:after="20" w:line="240" w:lineRule="auto"/>
              <w:contextualSpacing/>
              <w:rPr>
                <w:rFonts w:eastAsia="Calibri" w:cs="Arial"/>
                <w:color w:val="000000"/>
                <w:sz w:val="18"/>
                <w:szCs w:val="18"/>
              </w:rPr>
            </w:pPr>
            <w:r w:rsidRPr="004965A9">
              <w:rPr>
                <w:rFonts w:eastAsia="Calibri" w:cs="Arial"/>
                <w:color w:val="000000"/>
                <w:sz w:val="18"/>
                <w:szCs w:val="18"/>
              </w:rPr>
              <w:t>#, type and quality of learning events</w:t>
            </w:r>
          </w:p>
          <w:p w14:paraId="01854CB7" w14:textId="77777777" w:rsidR="004965A9" w:rsidRPr="004965A9" w:rsidRDefault="004965A9" w:rsidP="004C4273">
            <w:pPr>
              <w:numPr>
                <w:ilvl w:val="0"/>
                <w:numId w:val="46"/>
              </w:numPr>
              <w:spacing w:before="20" w:after="20" w:line="240" w:lineRule="auto"/>
              <w:contextualSpacing/>
              <w:rPr>
                <w:rFonts w:eastAsia="Calibri" w:cs="Arial"/>
                <w:color w:val="000000"/>
                <w:sz w:val="18"/>
                <w:szCs w:val="18"/>
              </w:rPr>
            </w:pPr>
            <w:r w:rsidRPr="004965A9">
              <w:rPr>
                <w:rFonts w:eastAsia="Calibri" w:cs="Arial"/>
                <w:color w:val="000000"/>
                <w:sz w:val="18"/>
                <w:szCs w:val="18"/>
              </w:rPr>
              <w:t>Attendance at learning events (Internal and external; APS and advisory)</w:t>
            </w:r>
          </w:p>
          <w:p w14:paraId="71DCAA7F" w14:textId="77777777" w:rsidR="004965A9" w:rsidRPr="004965A9" w:rsidRDefault="004965A9" w:rsidP="004C4273">
            <w:pPr>
              <w:numPr>
                <w:ilvl w:val="0"/>
                <w:numId w:val="46"/>
              </w:numPr>
              <w:spacing w:before="20" w:after="20" w:line="240" w:lineRule="auto"/>
              <w:contextualSpacing/>
              <w:rPr>
                <w:rFonts w:eastAsia="Calibri" w:cs="Arial"/>
                <w:color w:val="000000"/>
                <w:sz w:val="18"/>
                <w:szCs w:val="18"/>
              </w:rPr>
            </w:pPr>
            <w:r w:rsidRPr="004965A9">
              <w:rPr>
                <w:rFonts w:eastAsia="Calibri" w:cs="Arial"/>
                <w:color w:val="000000"/>
                <w:sz w:val="18"/>
                <w:szCs w:val="18"/>
              </w:rPr>
              <w:t># and type of instances where monitoring and evaluation information has led to refining programming</w:t>
            </w:r>
          </w:p>
        </w:tc>
        <w:tc>
          <w:tcPr>
            <w:tcW w:w="2430" w:type="dxa"/>
          </w:tcPr>
          <w:p w14:paraId="3985B5D0" w14:textId="77777777" w:rsidR="004965A9" w:rsidRPr="004965A9" w:rsidRDefault="004965A9" w:rsidP="004C4273">
            <w:pPr>
              <w:numPr>
                <w:ilvl w:val="0"/>
                <w:numId w:val="47"/>
              </w:numPr>
              <w:spacing w:before="20" w:after="20" w:line="240" w:lineRule="auto"/>
              <w:contextualSpacing/>
              <w:rPr>
                <w:rFonts w:eastAsia="Calibri" w:cs="Arial"/>
                <w:color w:val="000000"/>
                <w:sz w:val="18"/>
                <w:szCs w:val="18"/>
              </w:rPr>
            </w:pPr>
            <w:r w:rsidRPr="004965A9">
              <w:rPr>
                <w:rFonts w:eastAsia="Calibri" w:cs="Arial"/>
                <w:color w:val="000000"/>
                <w:sz w:val="18"/>
                <w:szCs w:val="18"/>
              </w:rPr>
              <w:t>Learning event reports and conversation trackers; workshop evaluations; APS and adviser and partner Annual Participation Survey</w:t>
            </w:r>
          </w:p>
          <w:p w14:paraId="599CAC53" w14:textId="77777777" w:rsidR="004965A9" w:rsidRPr="004965A9" w:rsidRDefault="004965A9" w:rsidP="004C4273">
            <w:pPr>
              <w:numPr>
                <w:ilvl w:val="0"/>
                <w:numId w:val="47"/>
              </w:numPr>
              <w:spacing w:before="20" w:after="20" w:line="240" w:lineRule="auto"/>
              <w:contextualSpacing/>
              <w:rPr>
                <w:rFonts w:eastAsia="Calibri" w:cs="Arial"/>
                <w:color w:val="000000"/>
                <w:sz w:val="18"/>
                <w:szCs w:val="18"/>
              </w:rPr>
            </w:pPr>
            <w:r w:rsidRPr="004965A9">
              <w:rPr>
                <w:rFonts w:eastAsia="Calibri" w:cs="Arial"/>
                <w:color w:val="000000"/>
                <w:sz w:val="18"/>
                <w:szCs w:val="18"/>
              </w:rPr>
              <w:t>Learning event attendance forms and Prospera activity reports</w:t>
            </w:r>
          </w:p>
          <w:p w14:paraId="6A8BDC18" w14:textId="77777777" w:rsidR="004965A9" w:rsidRPr="004965A9" w:rsidRDefault="004965A9" w:rsidP="004C4273">
            <w:pPr>
              <w:numPr>
                <w:ilvl w:val="0"/>
                <w:numId w:val="47"/>
              </w:numPr>
              <w:spacing w:before="20" w:after="20" w:line="240" w:lineRule="auto"/>
              <w:contextualSpacing/>
              <w:rPr>
                <w:rFonts w:eastAsia="Calibri" w:cs="Arial"/>
                <w:color w:val="000000"/>
                <w:sz w:val="18"/>
                <w:szCs w:val="18"/>
              </w:rPr>
            </w:pPr>
            <w:r w:rsidRPr="004965A9">
              <w:rPr>
                <w:rFonts w:eastAsia="Calibri" w:cs="Arial"/>
                <w:color w:val="000000"/>
                <w:sz w:val="18"/>
                <w:szCs w:val="18"/>
              </w:rPr>
              <w:t>Learning Decision Tracker Tool</w:t>
            </w:r>
          </w:p>
        </w:tc>
        <w:tc>
          <w:tcPr>
            <w:tcW w:w="1890" w:type="dxa"/>
          </w:tcPr>
          <w:p w14:paraId="758A9BC5" w14:textId="77777777" w:rsidR="004965A9" w:rsidRPr="004965A9" w:rsidRDefault="004965A9" w:rsidP="004965A9">
            <w:pPr>
              <w:spacing w:before="40" w:after="40" w:line="240" w:lineRule="auto"/>
              <w:rPr>
                <w:rFonts w:eastAsia="Calibri" w:cs="Arial"/>
                <w:color w:val="000000"/>
                <w:sz w:val="18"/>
                <w:szCs w:val="18"/>
              </w:rPr>
            </w:pPr>
            <w:r>
              <w:rPr>
                <w:rFonts w:eastAsia="Calibri" w:cs="Arial"/>
                <w:color w:val="000000"/>
                <w:sz w:val="18"/>
                <w:szCs w:val="18"/>
              </w:rPr>
              <w:t xml:space="preserve">Prospera KPL </w:t>
            </w:r>
            <w:r w:rsidRPr="004965A9">
              <w:rPr>
                <w:rFonts w:eastAsia="Calibri" w:cs="Arial"/>
                <w:color w:val="000000"/>
                <w:sz w:val="18"/>
                <w:szCs w:val="18"/>
              </w:rPr>
              <w:t xml:space="preserve">team </w:t>
            </w:r>
          </w:p>
          <w:p w14:paraId="77F5A449" w14:textId="77777777" w:rsidR="004965A9" w:rsidRPr="004965A9" w:rsidRDefault="004965A9" w:rsidP="004965A9">
            <w:pPr>
              <w:spacing w:before="40" w:after="40" w:line="240" w:lineRule="auto"/>
              <w:rPr>
                <w:rFonts w:eastAsia="Calibri" w:cs="Arial"/>
                <w:color w:val="000000"/>
                <w:sz w:val="18"/>
                <w:szCs w:val="18"/>
              </w:rPr>
            </w:pPr>
          </w:p>
          <w:p w14:paraId="02E0F562" w14:textId="25AC8014" w:rsidR="004965A9" w:rsidRPr="004965A9" w:rsidRDefault="004965A9" w:rsidP="004965A9">
            <w:pPr>
              <w:spacing w:before="20" w:after="20" w:line="240" w:lineRule="auto"/>
              <w:rPr>
                <w:rFonts w:eastAsia="Calibri" w:cs="Arial"/>
                <w:color w:val="000000"/>
                <w:sz w:val="18"/>
                <w:szCs w:val="18"/>
              </w:rPr>
            </w:pPr>
            <w:r w:rsidRPr="004965A9">
              <w:rPr>
                <w:rFonts w:eastAsia="Calibri" w:cs="Arial"/>
                <w:color w:val="000000"/>
                <w:sz w:val="18"/>
                <w:szCs w:val="18"/>
              </w:rPr>
              <w:t>Annual</w:t>
            </w:r>
          </w:p>
        </w:tc>
        <w:tc>
          <w:tcPr>
            <w:tcW w:w="1800" w:type="dxa"/>
          </w:tcPr>
          <w:p w14:paraId="0B3252FF" w14:textId="77777777" w:rsidR="004965A9" w:rsidRPr="004965A9" w:rsidRDefault="004965A9" w:rsidP="0083335F">
            <w:pPr>
              <w:spacing w:before="20" w:after="20" w:line="240" w:lineRule="auto"/>
              <w:rPr>
                <w:rFonts w:eastAsia="Calibri" w:cs="Arial"/>
                <w:color w:val="000000"/>
                <w:sz w:val="18"/>
                <w:szCs w:val="18"/>
              </w:rPr>
            </w:pPr>
            <w:r w:rsidRPr="004965A9">
              <w:rPr>
                <w:rFonts w:eastAsia="Calibri" w:cs="Arial"/>
                <w:color w:val="000000"/>
                <w:sz w:val="18"/>
                <w:szCs w:val="18"/>
              </w:rPr>
              <w:t>Preparation of Prospera Partner Performance Assessment; Aid Quality Check</w:t>
            </w:r>
          </w:p>
        </w:tc>
      </w:tr>
      <w:tr w:rsidR="004965A9" w:rsidRPr="004965A9" w14:paraId="71E54B61" w14:textId="77777777" w:rsidTr="004965A9">
        <w:trPr>
          <w:cantSplit/>
          <w:trHeight w:val="145"/>
        </w:trPr>
        <w:tc>
          <w:tcPr>
            <w:tcW w:w="2695" w:type="dxa"/>
          </w:tcPr>
          <w:p w14:paraId="2C7DAC80" w14:textId="77777777" w:rsidR="004965A9" w:rsidRPr="004965A9" w:rsidRDefault="004965A9" w:rsidP="0083335F">
            <w:pPr>
              <w:spacing w:before="20" w:after="20" w:line="240" w:lineRule="auto"/>
              <w:rPr>
                <w:rFonts w:eastAsia="Calibri" w:cs="Arial"/>
                <w:color w:val="000000"/>
                <w:sz w:val="18"/>
                <w:szCs w:val="18"/>
              </w:rPr>
            </w:pPr>
            <w:r w:rsidRPr="004965A9">
              <w:rPr>
                <w:rFonts w:eastAsia="Calibri" w:cs="Arial"/>
                <w:color w:val="000000"/>
                <w:sz w:val="18"/>
                <w:szCs w:val="18"/>
              </w:rPr>
              <w:t>Prospera practices effective Performance Monitoring and Evaluation</w:t>
            </w:r>
          </w:p>
          <w:p w14:paraId="6C4F7E15" w14:textId="05F3624F" w:rsidR="004965A9" w:rsidRPr="004965A9" w:rsidRDefault="004965A9" w:rsidP="0083335F">
            <w:pPr>
              <w:spacing w:before="20" w:after="20" w:line="240" w:lineRule="auto"/>
              <w:rPr>
                <w:rFonts w:eastAsia="Calibri" w:cs="Arial"/>
                <w:i/>
                <w:color w:val="000000"/>
                <w:sz w:val="18"/>
                <w:szCs w:val="18"/>
              </w:rPr>
            </w:pPr>
            <w:r w:rsidRPr="004965A9">
              <w:rPr>
                <w:rFonts w:eastAsia="Calibri" w:cs="Arial"/>
                <w:i/>
                <w:color w:val="000000"/>
                <w:sz w:val="18"/>
                <w:szCs w:val="18"/>
              </w:rPr>
              <w:t>Assumption: That the Prospera team is fully resourced with capable M&amp;E officers</w:t>
            </w:r>
          </w:p>
          <w:p w14:paraId="40A4CA14" w14:textId="77777777" w:rsidR="004965A9" w:rsidRPr="004965A9" w:rsidRDefault="004965A9" w:rsidP="0083335F">
            <w:pPr>
              <w:spacing w:before="20" w:after="20" w:line="240" w:lineRule="auto"/>
              <w:rPr>
                <w:rFonts w:eastAsia="Calibri" w:cs="Arial"/>
                <w:color w:val="000000"/>
                <w:sz w:val="18"/>
                <w:szCs w:val="18"/>
              </w:rPr>
            </w:pPr>
            <w:r w:rsidRPr="004965A9">
              <w:rPr>
                <w:rFonts w:eastAsia="Calibri" w:cs="Arial"/>
                <w:i/>
                <w:color w:val="000000"/>
                <w:sz w:val="18"/>
                <w:szCs w:val="18"/>
              </w:rPr>
              <w:t>That the KPL Framework is supported by DFAT and implemented.</w:t>
            </w:r>
            <w:r w:rsidRPr="004965A9">
              <w:rPr>
                <w:rFonts w:eastAsia="Calibri" w:cs="Arial"/>
                <w:color w:val="000000"/>
                <w:sz w:val="18"/>
                <w:szCs w:val="18"/>
              </w:rPr>
              <w:t xml:space="preserve"> </w:t>
            </w:r>
          </w:p>
        </w:tc>
        <w:tc>
          <w:tcPr>
            <w:tcW w:w="2610" w:type="dxa"/>
          </w:tcPr>
          <w:p w14:paraId="0CE9266E" w14:textId="77777777" w:rsidR="004965A9" w:rsidRPr="004965A9" w:rsidRDefault="004965A9" w:rsidP="0083335F">
            <w:pPr>
              <w:spacing w:before="20" w:after="20" w:line="240" w:lineRule="auto"/>
              <w:rPr>
                <w:rFonts w:eastAsia="Calibri" w:cs="Arial"/>
                <w:i/>
                <w:color w:val="000000"/>
                <w:sz w:val="18"/>
                <w:szCs w:val="18"/>
              </w:rPr>
            </w:pPr>
            <w:r w:rsidRPr="004965A9">
              <w:rPr>
                <w:rFonts w:eastAsia="Calibri" w:cs="Arial"/>
                <w:i/>
                <w:color w:val="000000"/>
                <w:sz w:val="18"/>
                <w:szCs w:val="18"/>
              </w:rPr>
              <w:t>To what extent is Prospera practicing effective monitoring and evaluation?</w:t>
            </w:r>
          </w:p>
          <w:p w14:paraId="6773F02C" w14:textId="77777777" w:rsidR="004965A9" w:rsidRPr="004965A9" w:rsidRDefault="004965A9" w:rsidP="0083335F">
            <w:pPr>
              <w:spacing w:before="20" w:after="20" w:line="240" w:lineRule="auto"/>
              <w:rPr>
                <w:rFonts w:eastAsia="Calibri" w:cs="Arial"/>
                <w:i/>
                <w:color w:val="000000"/>
                <w:sz w:val="18"/>
                <w:szCs w:val="18"/>
              </w:rPr>
            </w:pPr>
            <w:r w:rsidRPr="004965A9">
              <w:rPr>
                <w:rFonts w:eastAsia="Calibri" w:cs="Arial"/>
                <w:i/>
                <w:color w:val="000000"/>
                <w:sz w:val="18"/>
                <w:szCs w:val="18"/>
              </w:rPr>
              <w:t xml:space="preserve">To what extent is Prospera resourced to practice effective M&amp;E in line with the KPL framework? </w:t>
            </w:r>
          </w:p>
        </w:tc>
        <w:tc>
          <w:tcPr>
            <w:tcW w:w="2700" w:type="dxa"/>
          </w:tcPr>
          <w:p w14:paraId="65D1BA3F" w14:textId="77777777" w:rsidR="004965A9" w:rsidRPr="004965A9" w:rsidRDefault="004965A9" w:rsidP="004C4273">
            <w:pPr>
              <w:numPr>
                <w:ilvl w:val="0"/>
                <w:numId w:val="48"/>
              </w:numPr>
              <w:spacing w:before="20" w:after="20" w:line="240" w:lineRule="auto"/>
              <w:contextualSpacing/>
              <w:rPr>
                <w:rFonts w:eastAsia="Calibri" w:cs="Arial"/>
                <w:color w:val="000000"/>
                <w:sz w:val="18"/>
                <w:szCs w:val="18"/>
              </w:rPr>
            </w:pPr>
            <w:r w:rsidRPr="004965A9">
              <w:rPr>
                <w:rFonts w:eastAsia="Calibri" w:cs="Arial"/>
                <w:color w:val="000000"/>
                <w:sz w:val="18"/>
                <w:szCs w:val="18"/>
              </w:rPr>
              <w:t>Records of M&amp;E effort</w:t>
            </w:r>
          </w:p>
          <w:p w14:paraId="39E3032A" w14:textId="77777777" w:rsidR="004965A9" w:rsidRPr="004965A9" w:rsidRDefault="004965A9" w:rsidP="004C4273">
            <w:pPr>
              <w:numPr>
                <w:ilvl w:val="0"/>
                <w:numId w:val="48"/>
              </w:numPr>
              <w:spacing w:before="20" w:after="20" w:line="240" w:lineRule="auto"/>
              <w:contextualSpacing/>
              <w:rPr>
                <w:rFonts w:eastAsia="Calibri" w:cs="Arial"/>
                <w:color w:val="000000"/>
                <w:sz w:val="18"/>
                <w:szCs w:val="18"/>
              </w:rPr>
            </w:pPr>
            <w:r w:rsidRPr="004965A9">
              <w:rPr>
                <w:rFonts w:eastAsia="Calibri" w:cs="Arial"/>
                <w:color w:val="000000"/>
                <w:sz w:val="18"/>
                <w:szCs w:val="18"/>
              </w:rPr>
              <w:t>Records of use of M&amp;E products</w:t>
            </w:r>
          </w:p>
          <w:p w14:paraId="54FD3AE6" w14:textId="77777777" w:rsidR="004965A9" w:rsidRPr="004965A9" w:rsidRDefault="004965A9" w:rsidP="004C4273">
            <w:pPr>
              <w:numPr>
                <w:ilvl w:val="0"/>
                <w:numId w:val="48"/>
              </w:numPr>
              <w:spacing w:before="20" w:after="20" w:line="240" w:lineRule="auto"/>
              <w:contextualSpacing/>
              <w:rPr>
                <w:rFonts w:eastAsia="Calibri" w:cs="Arial"/>
                <w:color w:val="000000"/>
                <w:sz w:val="18"/>
                <w:szCs w:val="18"/>
              </w:rPr>
            </w:pPr>
            <w:r w:rsidRPr="004965A9">
              <w:rPr>
                <w:rFonts w:eastAsia="Calibri" w:cs="Arial"/>
                <w:color w:val="000000"/>
                <w:sz w:val="18"/>
                <w:szCs w:val="18"/>
              </w:rPr>
              <w:t>Record of level of resources allocated and maintained</w:t>
            </w:r>
          </w:p>
        </w:tc>
        <w:tc>
          <w:tcPr>
            <w:tcW w:w="2430" w:type="dxa"/>
          </w:tcPr>
          <w:p w14:paraId="11C95ED4" w14:textId="77777777" w:rsidR="004965A9" w:rsidRPr="004965A9" w:rsidRDefault="004965A9" w:rsidP="004C4273">
            <w:pPr>
              <w:numPr>
                <w:ilvl w:val="0"/>
                <w:numId w:val="49"/>
              </w:numPr>
              <w:spacing w:before="20" w:after="20" w:line="240" w:lineRule="auto"/>
              <w:contextualSpacing/>
              <w:rPr>
                <w:rFonts w:eastAsia="Calibri" w:cs="Arial"/>
                <w:color w:val="000000"/>
                <w:sz w:val="18"/>
                <w:szCs w:val="18"/>
              </w:rPr>
            </w:pPr>
            <w:r w:rsidRPr="004965A9">
              <w:rPr>
                <w:rFonts w:eastAsia="Calibri" w:cs="Arial"/>
                <w:color w:val="000000"/>
                <w:sz w:val="18"/>
                <w:szCs w:val="18"/>
              </w:rPr>
              <w:t>Prospera KPL Team Activity report</w:t>
            </w:r>
          </w:p>
          <w:p w14:paraId="75479340" w14:textId="77777777" w:rsidR="004965A9" w:rsidRPr="004965A9" w:rsidRDefault="004965A9" w:rsidP="004C4273">
            <w:pPr>
              <w:numPr>
                <w:ilvl w:val="0"/>
                <w:numId w:val="49"/>
              </w:numPr>
              <w:spacing w:before="20" w:after="20" w:line="240" w:lineRule="auto"/>
              <w:contextualSpacing/>
              <w:rPr>
                <w:rFonts w:eastAsia="Calibri" w:cs="Arial"/>
                <w:color w:val="000000"/>
                <w:sz w:val="18"/>
                <w:szCs w:val="18"/>
              </w:rPr>
            </w:pPr>
            <w:r w:rsidRPr="004965A9">
              <w:rPr>
                <w:rFonts w:eastAsia="Calibri" w:cs="Arial"/>
                <w:color w:val="000000"/>
                <w:sz w:val="18"/>
                <w:szCs w:val="18"/>
              </w:rPr>
              <w:t>Survey of M&amp;E product users and how they have used products; DFAT, internally and externally</w:t>
            </w:r>
          </w:p>
          <w:p w14:paraId="55E8ECD8" w14:textId="61591128" w:rsidR="004965A9" w:rsidRPr="004965A9" w:rsidRDefault="004965A9" w:rsidP="004C4273">
            <w:pPr>
              <w:numPr>
                <w:ilvl w:val="0"/>
                <w:numId w:val="49"/>
              </w:numPr>
              <w:spacing w:before="20" w:after="20" w:line="240" w:lineRule="auto"/>
              <w:contextualSpacing/>
              <w:rPr>
                <w:rFonts w:eastAsia="Calibri" w:cs="Arial"/>
                <w:color w:val="000000"/>
                <w:sz w:val="18"/>
                <w:szCs w:val="18"/>
              </w:rPr>
            </w:pPr>
            <w:r w:rsidRPr="004965A9">
              <w:rPr>
                <w:rFonts w:eastAsia="Calibri" w:cs="Arial"/>
                <w:color w:val="000000"/>
                <w:sz w:val="18"/>
                <w:szCs w:val="18"/>
              </w:rPr>
              <w:t>Prospera Resourcing Reports: Budget / Expenditure against intended team resources levels</w:t>
            </w:r>
          </w:p>
        </w:tc>
        <w:tc>
          <w:tcPr>
            <w:tcW w:w="1890" w:type="dxa"/>
          </w:tcPr>
          <w:p w14:paraId="438CB05C" w14:textId="77777777" w:rsidR="004965A9" w:rsidRPr="004965A9" w:rsidRDefault="004965A9" w:rsidP="004965A9">
            <w:pPr>
              <w:spacing w:before="40" w:after="40" w:line="240" w:lineRule="auto"/>
              <w:rPr>
                <w:rFonts w:eastAsia="Calibri" w:cs="Arial"/>
                <w:color w:val="000000"/>
                <w:sz w:val="18"/>
                <w:szCs w:val="18"/>
              </w:rPr>
            </w:pPr>
            <w:r>
              <w:rPr>
                <w:rFonts w:eastAsia="Calibri" w:cs="Arial"/>
                <w:color w:val="000000"/>
                <w:sz w:val="18"/>
                <w:szCs w:val="18"/>
              </w:rPr>
              <w:t xml:space="preserve">Prospera KPL </w:t>
            </w:r>
            <w:r w:rsidRPr="004965A9">
              <w:rPr>
                <w:rFonts w:eastAsia="Calibri" w:cs="Arial"/>
                <w:color w:val="000000"/>
                <w:sz w:val="18"/>
                <w:szCs w:val="18"/>
              </w:rPr>
              <w:t xml:space="preserve">team </w:t>
            </w:r>
          </w:p>
          <w:p w14:paraId="0CB59347" w14:textId="77777777" w:rsidR="004965A9" w:rsidRPr="004965A9" w:rsidRDefault="004965A9" w:rsidP="004965A9">
            <w:pPr>
              <w:spacing w:before="40" w:after="40" w:line="240" w:lineRule="auto"/>
              <w:rPr>
                <w:rFonts w:eastAsia="Calibri" w:cs="Arial"/>
                <w:color w:val="000000"/>
                <w:sz w:val="18"/>
                <w:szCs w:val="18"/>
              </w:rPr>
            </w:pPr>
          </w:p>
          <w:p w14:paraId="2D133438" w14:textId="2CDFC623" w:rsidR="004965A9" w:rsidRPr="004965A9" w:rsidRDefault="004965A9" w:rsidP="004965A9">
            <w:pPr>
              <w:spacing w:before="20" w:after="20" w:line="240" w:lineRule="auto"/>
              <w:rPr>
                <w:rFonts w:eastAsia="Calibri" w:cs="Arial"/>
                <w:color w:val="000000"/>
                <w:sz w:val="18"/>
                <w:szCs w:val="18"/>
              </w:rPr>
            </w:pPr>
            <w:r w:rsidRPr="004965A9">
              <w:rPr>
                <w:rFonts w:eastAsia="Calibri" w:cs="Arial"/>
                <w:color w:val="000000"/>
                <w:sz w:val="18"/>
                <w:szCs w:val="18"/>
              </w:rPr>
              <w:t>Annual</w:t>
            </w:r>
          </w:p>
        </w:tc>
        <w:tc>
          <w:tcPr>
            <w:tcW w:w="1800" w:type="dxa"/>
          </w:tcPr>
          <w:p w14:paraId="54C703B0" w14:textId="77777777" w:rsidR="004965A9" w:rsidRPr="004965A9" w:rsidRDefault="004965A9" w:rsidP="0083335F">
            <w:pPr>
              <w:spacing w:before="20" w:after="20" w:line="240" w:lineRule="auto"/>
              <w:rPr>
                <w:rFonts w:eastAsia="Calibri" w:cs="Arial"/>
                <w:color w:val="000000"/>
                <w:sz w:val="18"/>
                <w:szCs w:val="18"/>
              </w:rPr>
            </w:pPr>
            <w:r w:rsidRPr="004965A9">
              <w:rPr>
                <w:rFonts w:eastAsia="Calibri" w:cs="Arial"/>
                <w:color w:val="000000"/>
                <w:sz w:val="18"/>
                <w:szCs w:val="18"/>
              </w:rPr>
              <w:t>Preparation of Prospera Partner Performance Assessment; Aid Quality Check</w:t>
            </w:r>
          </w:p>
        </w:tc>
      </w:tr>
    </w:tbl>
    <w:p w14:paraId="7A05F0B0" w14:textId="77777777" w:rsidR="0083335F" w:rsidRDefault="0083335F" w:rsidP="0083335F"/>
    <w:p w14:paraId="7FD01108" w14:textId="77777777" w:rsidR="0083335F" w:rsidRDefault="0083335F" w:rsidP="0083335F">
      <w:pPr>
        <w:sectPr w:rsidR="0083335F" w:rsidSect="0083335F">
          <w:pgSz w:w="16840" w:h="11900" w:orient="landscape"/>
          <w:pgMar w:top="1440" w:right="1440" w:bottom="1440" w:left="1440" w:header="850" w:footer="850" w:gutter="0"/>
          <w:cols w:space="708"/>
          <w:docGrid w:linePitch="360"/>
        </w:sectPr>
      </w:pPr>
    </w:p>
    <w:p w14:paraId="46C59C6B" w14:textId="4ED969D3" w:rsidR="0083335F" w:rsidRPr="00910BA1" w:rsidRDefault="004D68E0" w:rsidP="0083335F">
      <w:pPr>
        <w:pStyle w:val="BodyText"/>
        <w:rPr>
          <w:b/>
        </w:rPr>
      </w:pPr>
      <w:bookmarkStart w:id="203" w:name="_Toc525377569"/>
      <w:r>
        <w:rPr>
          <w:b/>
        </w:rPr>
        <w:t>P</w:t>
      </w:r>
      <w:r w:rsidR="0083335F" w:rsidRPr="00910BA1">
        <w:rPr>
          <w:b/>
        </w:rPr>
        <w:t>artnerships | Data collection plan</w:t>
      </w:r>
      <w:bookmarkEnd w:id="203"/>
      <w:r w:rsidR="0083335F" w:rsidRPr="00910BA1">
        <w:rPr>
          <w:b/>
        </w:rPr>
        <w:t xml:space="preserve"> </w:t>
      </w:r>
    </w:p>
    <w:p w14:paraId="260E832C" w14:textId="65CAAA0A" w:rsidR="0083335F" w:rsidRPr="00BB1619" w:rsidRDefault="0083335F" w:rsidP="0083335F">
      <w:pPr>
        <w:spacing w:before="20" w:after="20" w:line="240" w:lineRule="auto"/>
        <w:rPr>
          <w:rFonts w:eastAsia="Calibri" w:cs="Arial"/>
          <w:sz w:val="20"/>
          <w:szCs w:val="20"/>
        </w:rPr>
      </w:pPr>
    </w:p>
    <w:tbl>
      <w:tblPr>
        <w:tblStyle w:val="TableGrid3"/>
        <w:tblW w:w="14125" w:type="dxa"/>
        <w:tblLook w:val="04A0" w:firstRow="1" w:lastRow="0" w:firstColumn="1" w:lastColumn="0" w:noHBand="0" w:noVBand="1"/>
      </w:tblPr>
      <w:tblGrid>
        <w:gridCol w:w="2425"/>
        <w:gridCol w:w="1890"/>
        <w:gridCol w:w="3150"/>
        <w:gridCol w:w="2880"/>
        <w:gridCol w:w="1980"/>
        <w:gridCol w:w="1800"/>
      </w:tblGrid>
      <w:tr w:rsidR="00076E02" w:rsidRPr="00076E02" w14:paraId="091EB49F" w14:textId="77777777" w:rsidTr="00076E02">
        <w:trPr>
          <w:cantSplit/>
          <w:tblHeader/>
        </w:trPr>
        <w:tc>
          <w:tcPr>
            <w:tcW w:w="2425" w:type="dxa"/>
            <w:shd w:val="clear" w:color="auto" w:fill="20ABCA"/>
          </w:tcPr>
          <w:p w14:paraId="15CB01B5" w14:textId="77777777" w:rsidR="00076E02" w:rsidRPr="00076E02" w:rsidRDefault="00076E02" w:rsidP="0083335F">
            <w:pPr>
              <w:spacing w:before="20" w:after="20" w:line="240" w:lineRule="auto"/>
              <w:rPr>
                <w:rFonts w:eastAsia="Calibri" w:cs="Arial"/>
                <w:b/>
                <w:color w:val="FFFFFF"/>
                <w:sz w:val="18"/>
                <w:szCs w:val="18"/>
              </w:rPr>
            </w:pPr>
            <w:r w:rsidRPr="00076E02">
              <w:rPr>
                <w:rFonts w:eastAsia="Calibri" w:cs="Arial"/>
                <w:b/>
                <w:color w:val="FFFFFF"/>
                <w:sz w:val="18"/>
                <w:szCs w:val="18"/>
              </w:rPr>
              <w:t>PROSPERA outcome</w:t>
            </w:r>
          </w:p>
          <w:p w14:paraId="280D449D" w14:textId="77777777" w:rsidR="00076E02" w:rsidRPr="00076E02" w:rsidRDefault="00076E02" w:rsidP="0083335F">
            <w:pPr>
              <w:spacing w:before="20" w:after="20" w:line="240" w:lineRule="auto"/>
              <w:rPr>
                <w:rFonts w:eastAsia="Calibri" w:cs="Arial"/>
                <w:i/>
                <w:color w:val="FFFFFF"/>
                <w:sz w:val="18"/>
                <w:szCs w:val="18"/>
              </w:rPr>
            </w:pPr>
          </w:p>
          <w:p w14:paraId="200DF5EE" w14:textId="77777777" w:rsidR="00076E02" w:rsidRPr="00076E02" w:rsidRDefault="00076E02" w:rsidP="0083335F">
            <w:pPr>
              <w:spacing w:before="20" w:after="20" w:line="240" w:lineRule="auto"/>
              <w:rPr>
                <w:rFonts w:eastAsia="Calibri" w:cs="Arial"/>
                <w:b/>
                <w:i/>
                <w:color w:val="FFFFFF"/>
                <w:sz w:val="18"/>
                <w:szCs w:val="18"/>
              </w:rPr>
            </w:pPr>
            <w:r w:rsidRPr="00076E02">
              <w:rPr>
                <w:rFonts w:eastAsia="Calibri" w:cs="Arial"/>
                <w:b/>
                <w:i/>
                <w:color w:val="FFFFFF"/>
                <w:sz w:val="18"/>
                <w:szCs w:val="18"/>
              </w:rPr>
              <w:t>Assumption</w:t>
            </w:r>
          </w:p>
        </w:tc>
        <w:tc>
          <w:tcPr>
            <w:tcW w:w="1890" w:type="dxa"/>
            <w:shd w:val="clear" w:color="auto" w:fill="20ABCA"/>
          </w:tcPr>
          <w:p w14:paraId="52A07C75" w14:textId="77777777" w:rsidR="00076E02" w:rsidRPr="00076E02" w:rsidRDefault="00076E02" w:rsidP="0083335F">
            <w:pPr>
              <w:spacing w:before="20" w:after="20" w:line="240" w:lineRule="auto"/>
              <w:rPr>
                <w:rFonts w:eastAsia="Calibri" w:cs="Arial"/>
                <w:b/>
                <w:color w:val="FFFFFF"/>
                <w:sz w:val="18"/>
                <w:szCs w:val="18"/>
              </w:rPr>
            </w:pPr>
            <w:r w:rsidRPr="00076E02">
              <w:rPr>
                <w:rFonts w:eastAsia="Calibri" w:cs="Arial"/>
                <w:b/>
                <w:color w:val="FFFFFF"/>
                <w:sz w:val="18"/>
                <w:szCs w:val="18"/>
              </w:rPr>
              <w:t>Performance Questions</w:t>
            </w:r>
          </w:p>
        </w:tc>
        <w:tc>
          <w:tcPr>
            <w:tcW w:w="3150" w:type="dxa"/>
            <w:shd w:val="clear" w:color="auto" w:fill="20ABCA"/>
          </w:tcPr>
          <w:p w14:paraId="71D37BE7" w14:textId="77777777" w:rsidR="00076E02" w:rsidRPr="00076E02" w:rsidRDefault="00076E02" w:rsidP="0083335F">
            <w:pPr>
              <w:spacing w:before="20" w:after="20" w:line="240" w:lineRule="auto"/>
              <w:rPr>
                <w:rFonts w:eastAsia="Calibri" w:cs="Arial"/>
                <w:color w:val="FFFFFF"/>
                <w:sz w:val="18"/>
                <w:szCs w:val="18"/>
              </w:rPr>
            </w:pPr>
            <w:r w:rsidRPr="00076E02">
              <w:rPr>
                <w:rFonts w:eastAsia="Calibri" w:cs="Arial"/>
                <w:b/>
                <w:color w:val="FFFFFF"/>
                <w:sz w:val="18"/>
                <w:szCs w:val="18"/>
              </w:rPr>
              <w:t xml:space="preserve">What: </w:t>
            </w:r>
            <w:r w:rsidRPr="00076E02">
              <w:rPr>
                <w:rFonts w:eastAsia="Calibri" w:cs="Arial"/>
                <w:color w:val="FFFFFF"/>
                <w:sz w:val="18"/>
                <w:szCs w:val="18"/>
              </w:rPr>
              <w:t>Data to answer the Performance Question [Indicator]/ or Test the Assumption</w:t>
            </w:r>
          </w:p>
        </w:tc>
        <w:tc>
          <w:tcPr>
            <w:tcW w:w="2880" w:type="dxa"/>
            <w:shd w:val="clear" w:color="auto" w:fill="20ABCA"/>
          </w:tcPr>
          <w:p w14:paraId="5945403B" w14:textId="77777777" w:rsidR="00076E02" w:rsidRPr="00076E02" w:rsidRDefault="00076E02" w:rsidP="0083335F">
            <w:pPr>
              <w:spacing w:before="20" w:after="20" w:line="240" w:lineRule="auto"/>
              <w:rPr>
                <w:rFonts w:eastAsia="Calibri" w:cs="Arial"/>
                <w:color w:val="FFFFFF"/>
                <w:sz w:val="18"/>
                <w:szCs w:val="18"/>
              </w:rPr>
            </w:pPr>
            <w:r w:rsidRPr="00076E02">
              <w:rPr>
                <w:rFonts w:eastAsia="Calibri" w:cs="Arial"/>
                <w:b/>
                <w:color w:val="FFFFFF"/>
                <w:sz w:val="18"/>
                <w:szCs w:val="18"/>
              </w:rPr>
              <w:t>How:</w:t>
            </w:r>
            <w:r w:rsidRPr="00076E02">
              <w:rPr>
                <w:rFonts w:eastAsia="Calibri" w:cs="Arial"/>
                <w:color w:val="FFFFFF"/>
                <w:sz w:val="18"/>
                <w:szCs w:val="18"/>
              </w:rPr>
              <w:t xml:space="preserve"> Method to collect data</w:t>
            </w:r>
          </w:p>
        </w:tc>
        <w:tc>
          <w:tcPr>
            <w:tcW w:w="1980" w:type="dxa"/>
            <w:shd w:val="clear" w:color="auto" w:fill="20ABCA"/>
          </w:tcPr>
          <w:p w14:paraId="158251C4" w14:textId="77777777" w:rsidR="00076E02" w:rsidRPr="00076E02" w:rsidRDefault="00076E02" w:rsidP="0083335F">
            <w:pPr>
              <w:spacing w:before="20" w:after="20" w:line="240" w:lineRule="auto"/>
              <w:rPr>
                <w:rFonts w:eastAsia="Calibri" w:cs="Arial"/>
                <w:color w:val="FFFFFF"/>
                <w:sz w:val="18"/>
                <w:szCs w:val="18"/>
              </w:rPr>
            </w:pPr>
            <w:r w:rsidRPr="00076E02">
              <w:rPr>
                <w:rFonts w:eastAsia="Calibri" w:cs="Arial"/>
                <w:b/>
                <w:color w:val="FFFFFF"/>
                <w:sz w:val="18"/>
                <w:szCs w:val="18"/>
              </w:rPr>
              <w:t>Who?</w:t>
            </w:r>
            <w:r w:rsidRPr="00076E02">
              <w:rPr>
                <w:rFonts w:eastAsia="Calibri" w:cs="Arial"/>
                <w:color w:val="FFFFFF"/>
                <w:sz w:val="18"/>
                <w:szCs w:val="18"/>
              </w:rPr>
              <w:t xml:space="preserve"> Responsibility to collect data</w:t>
            </w:r>
          </w:p>
          <w:p w14:paraId="42BA7AF7" w14:textId="77777777" w:rsidR="00076E02" w:rsidRPr="00076E02" w:rsidRDefault="00076E02" w:rsidP="004965A9">
            <w:pPr>
              <w:spacing w:before="20" w:after="20" w:line="240" w:lineRule="auto"/>
              <w:rPr>
                <w:rFonts w:eastAsia="Calibri" w:cs="Arial"/>
                <w:b/>
                <w:color w:val="FFFFFF"/>
                <w:sz w:val="18"/>
                <w:szCs w:val="18"/>
              </w:rPr>
            </w:pPr>
          </w:p>
          <w:p w14:paraId="4387902A" w14:textId="7EBA0E10" w:rsidR="00076E02" w:rsidRPr="00076E02" w:rsidRDefault="00076E02" w:rsidP="004965A9">
            <w:pPr>
              <w:spacing w:before="20" w:after="20" w:line="240" w:lineRule="auto"/>
              <w:rPr>
                <w:rFonts w:eastAsia="Calibri" w:cs="Arial"/>
                <w:b/>
                <w:color w:val="FFFFFF"/>
                <w:sz w:val="18"/>
                <w:szCs w:val="18"/>
              </w:rPr>
            </w:pPr>
            <w:r w:rsidRPr="00076E02">
              <w:rPr>
                <w:rFonts w:eastAsia="Calibri" w:cs="Arial"/>
                <w:b/>
                <w:color w:val="FFFFFF"/>
                <w:sz w:val="18"/>
                <w:szCs w:val="18"/>
              </w:rPr>
              <w:t>When? How often?</w:t>
            </w:r>
          </w:p>
          <w:p w14:paraId="1325022B" w14:textId="42B26B6E" w:rsidR="00076E02" w:rsidRPr="00076E02" w:rsidRDefault="00076E02" w:rsidP="0083335F">
            <w:pPr>
              <w:spacing w:before="20" w:after="20" w:line="240" w:lineRule="auto"/>
              <w:rPr>
                <w:rFonts w:eastAsia="Calibri" w:cs="Arial"/>
                <w:color w:val="FFFFFF"/>
                <w:sz w:val="18"/>
                <w:szCs w:val="18"/>
              </w:rPr>
            </w:pPr>
            <w:r w:rsidRPr="00076E02">
              <w:rPr>
                <w:rFonts w:eastAsia="Calibri" w:cs="Arial"/>
                <w:color w:val="FFFFFF"/>
                <w:sz w:val="18"/>
                <w:szCs w:val="18"/>
              </w:rPr>
              <w:t>Frequency/ Commencement</w:t>
            </w:r>
          </w:p>
        </w:tc>
        <w:tc>
          <w:tcPr>
            <w:tcW w:w="1800" w:type="dxa"/>
            <w:shd w:val="clear" w:color="auto" w:fill="20ABCA"/>
          </w:tcPr>
          <w:p w14:paraId="0DD0E89E" w14:textId="77777777" w:rsidR="00076E02" w:rsidRPr="00076E02" w:rsidRDefault="00076E02" w:rsidP="0083335F">
            <w:pPr>
              <w:spacing w:before="20" w:after="20" w:line="240" w:lineRule="auto"/>
              <w:rPr>
                <w:rFonts w:eastAsia="Calibri" w:cs="Arial"/>
                <w:b/>
                <w:color w:val="FFFFFF"/>
                <w:sz w:val="18"/>
                <w:szCs w:val="18"/>
              </w:rPr>
            </w:pPr>
            <w:r w:rsidRPr="00076E02">
              <w:rPr>
                <w:rFonts w:eastAsia="Calibri" w:cs="Arial"/>
                <w:b/>
                <w:color w:val="FFFFFF"/>
                <w:sz w:val="18"/>
                <w:szCs w:val="18"/>
              </w:rPr>
              <w:t>Where will it be used?</w:t>
            </w:r>
          </w:p>
          <w:p w14:paraId="2278A355" w14:textId="77777777" w:rsidR="00076E02" w:rsidRPr="00076E02" w:rsidRDefault="00076E02" w:rsidP="0083335F">
            <w:pPr>
              <w:spacing w:before="20" w:after="20" w:line="240" w:lineRule="auto"/>
              <w:rPr>
                <w:rFonts w:eastAsia="Calibri" w:cs="Arial"/>
                <w:color w:val="FFFFFF"/>
                <w:sz w:val="18"/>
                <w:szCs w:val="18"/>
              </w:rPr>
            </w:pPr>
            <w:r w:rsidRPr="00076E02">
              <w:rPr>
                <w:rFonts w:eastAsia="Calibri" w:cs="Arial"/>
                <w:color w:val="FFFFFF"/>
                <w:sz w:val="18"/>
                <w:szCs w:val="18"/>
              </w:rPr>
              <w:t xml:space="preserve">Reporting / Learning / Improvement </w:t>
            </w:r>
          </w:p>
        </w:tc>
      </w:tr>
      <w:tr w:rsidR="00076E02" w:rsidRPr="00076E02" w14:paraId="7C3A19BE" w14:textId="77777777" w:rsidTr="00076E02">
        <w:trPr>
          <w:cantSplit/>
        </w:trPr>
        <w:tc>
          <w:tcPr>
            <w:tcW w:w="2425" w:type="dxa"/>
          </w:tcPr>
          <w:p w14:paraId="7A03E8D6" w14:textId="77777777" w:rsidR="00076E02" w:rsidRPr="00076E02" w:rsidRDefault="00076E02" w:rsidP="0083335F">
            <w:pPr>
              <w:spacing w:before="20" w:after="20" w:line="240" w:lineRule="auto"/>
              <w:rPr>
                <w:rFonts w:eastAsia="Calibri" w:cs="Arial"/>
                <w:color w:val="000000"/>
                <w:sz w:val="18"/>
                <w:szCs w:val="18"/>
              </w:rPr>
            </w:pPr>
            <w:r w:rsidRPr="00076E02">
              <w:rPr>
                <w:rFonts w:eastAsia="Calibri" w:cs="Arial"/>
                <w:color w:val="000000"/>
                <w:sz w:val="18"/>
                <w:szCs w:val="18"/>
              </w:rPr>
              <w:t>Government of Indonesia and Government of Australia are both committed to a strong overall, and particularly economic, partnership</w:t>
            </w:r>
          </w:p>
          <w:p w14:paraId="030858F9" w14:textId="77777777" w:rsidR="00076E02" w:rsidRPr="00076E02" w:rsidRDefault="00076E02" w:rsidP="0083335F">
            <w:pPr>
              <w:spacing w:before="20" w:after="20" w:line="240" w:lineRule="auto"/>
              <w:rPr>
                <w:rFonts w:eastAsia="Calibri" w:cs="Arial"/>
                <w:b/>
                <w:i/>
                <w:color w:val="000000"/>
                <w:sz w:val="18"/>
                <w:szCs w:val="18"/>
              </w:rPr>
            </w:pPr>
          </w:p>
          <w:p w14:paraId="724A0C6A" w14:textId="77777777" w:rsidR="00076E02" w:rsidRPr="00076E02" w:rsidRDefault="00076E02" w:rsidP="0083335F">
            <w:pPr>
              <w:spacing w:before="20" w:after="20" w:line="240" w:lineRule="auto"/>
              <w:rPr>
                <w:rFonts w:eastAsia="Calibri" w:cs="Arial"/>
                <w:i/>
                <w:color w:val="000000"/>
                <w:sz w:val="18"/>
                <w:szCs w:val="18"/>
              </w:rPr>
            </w:pPr>
            <w:r w:rsidRPr="00076E02">
              <w:rPr>
                <w:rFonts w:eastAsia="Calibri" w:cs="Arial"/>
                <w:i/>
                <w:color w:val="000000"/>
                <w:sz w:val="18"/>
                <w:szCs w:val="18"/>
              </w:rPr>
              <w:t xml:space="preserve">Assumption: </w:t>
            </w:r>
          </w:p>
          <w:p w14:paraId="1DCB350D" w14:textId="77777777" w:rsidR="00076E02" w:rsidRPr="00076E02" w:rsidRDefault="00076E02" w:rsidP="0083335F">
            <w:pPr>
              <w:spacing w:before="20" w:after="20" w:line="240" w:lineRule="auto"/>
              <w:rPr>
                <w:rFonts w:eastAsia="Calibri" w:cs="Arial"/>
                <w:i/>
                <w:color w:val="000000"/>
                <w:sz w:val="18"/>
                <w:szCs w:val="18"/>
              </w:rPr>
            </w:pPr>
            <w:r w:rsidRPr="00076E02">
              <w:rPr>
                <w:rFonts w:eastAsia="Calibri" w:cs="Arial"/>
                <w:i/>
                <w:color w:val="000000"/>
                <w:sz w:val="18"/>
                <w:szCs w:val="18"/>
              </w:rPr>
              <w:t>That the alliance continues to be politically feasible and important</w:t>
            </w:r>
          </w:p>
        </w:tc>
        <w:tc>
          <w:tcPr>
            <w:tcW w:w="1890" w:type="dxa"/>
          </w:tcPr>
          <w:p w14:paraId="17BEE58E" w14:textId="77777777" w:rsidR="00076E02" w:rsidRPr="00076E02" w:rsidRDefault="00076E02" w:rsidP="0083335F">
            <w:pPr>
              <w:spacing w:before="20" w:after="20" w:line="240" w:lineRule="auto"/>
              <w:rPr>
                <w:rFonts w:eastAsia="Calibri" w:cs="Arial"/>
                <w:i/>
                <w:color w:val="000000"/>
                <w:sz w:val="18"/>
                <w:szCs w:val="18"/>
              </w:rPr>
            </w:pPr>
            <w:r w:rsidRPr="00076E02">
              <w:rPr>
                <w:rFonts w:eastAsia="Calibri" w:cs="Arial"/>
                <w:i/>
                <w:color w:val="000000"/>
                <w:sz w:val="18"/>
                <w:szCs w:val="18"/>
              </w:rPr>
              <w:t xml:space="preserve">To what extent are </w:t>
            </w:r>
            <w:r w:rsidRPr="00332C28">
              <w:rPr>
                <w:rFonts w:eastAsia="Calibri" w:cs="Arial"/>
                <w:i/>
                <w:color w:val="000000"/>
                <w:sz w:val="18"/>
                <w:szCs w:val="18"/>
              </w:rPr>
              <w:t>both parties</w:t>
            </w:r>
            <w:r w:rsidRPr="00076E02">
              <w:rPr>
                <w:rFonts w:eastAsia="Calibri" w:cs="Arial"/>
                <w:i/>
                <w:color w:val="000000"/>
                <w:sz w:val="18"/>
                <w:szCs w:val="18"/>
              </w:rPr>
              <w:t xml:space="preserve"> committed to a strong economic partnership? </w:t>
            </w:r>
          </w:p>
          <w:p w14:paraId="1179240C" w14:textId="77777777" w:rsidR="00076E02" w:rsidRPr="00076E02" w:rsidRDefault="00076E02" w:rsidP="0083335F">
            <w:pPr>
              <w:spacing w:before="20" w:after="20" w:line="240" w:lineRule="auto"/>
              <w:rPr>
                <w:rFonts w:eastAsia="Calibri" w:cs="Arial"/>
                <w:i/>
                <w:color w:val="000000"/>
                <w:sz w:val="18"/>
                <w:szCs w:val="18"/>
              </w:rPr>
            </w:pPr>
            <w:r w:rsidRPr="00076E02">
              <w:rPr>
                <w:rFonts w:eastAsia="Calibri" w:cs="Arial"/>
                <w:i/>
                <w:color w:val="000000"/>
                <w:sz w:val="18"/>
                <w:szCs w:val="18"/>
              </w:rPr>
              <w:t xml:space="preserve">What is enabled by or achieved through this partnership? </w:t>
            </w:r>
          </w:p>
        </w:tc>
        <w:tc>
          <w:tcPr>
            <w:tcW w:w="3150" w:type="dxa"/>
          </w:tcPr>
          <w:p w14:paraId="6F68A152" w14:textId="77777777" w:rsidR="00076E02" w:rsidRPr="00076E02" w:rsidRDefault="00076E02" w:rsidP="004C4273">
            <w:pPr>
              <w:numPr>
                <w:ilvl w:val="0"/>
                <w:numId w:val="50"/>
              </w:numPr>
              <w:spacing w:before="20" w:after="20" w:line="240" w:lineRule="auto"/>
              <w:contextualSpacing/>
              <w:rPr>
                <w:rFonts w:eastAsia="Calibri" w:cs="Arial"/>
                <w:color w:val="000000"/>
                <w:sz w:val="18"/>
                <w:szCs w:val="18"/>
              </w:rPr>
            </w:pPr>
            <w:r w:rsidRPr="00076E02">
              <w:rPr>
                <w:rFonts w:eastAsia="Calibri" w:cs="Arial"/>
                <w:color w:val="000000"/>
                <w:sz w:val="18"/>
                <w:szCs w:val="18"/>
              </w:rPr>
              <w:t xml:space="preserve">Quality and function of the partnership </w:t>
            </w:r>
          </w:p>
          <w:p w14:paraId="1C01B323" w14:textId="77777777" w:rsidR="00076E02" w:rsidRPr="00076E02" w:rsidRDefault="00076E02" w:rsidP="004C4273">
            <w:pPr>
              <w:numPr>
                <w:ilvl w:val="0"/>
                <w:numId w:val="50"/>
              </w:numPr>
              <w:spacing w:before="20" w:after="20" w:line="240" w:lineRule="auto"/>
              <w:contextualSpacing/>
              <w:rPr>
                <w:rFonts w:eastAsia="Calibri" w:cs="Arial"/>
                <w:color w:val="000000"/>
                <w:sz w:val="18"/>
                <w:szCs w:val="18"/>
              </w:rPr>
            </w:pPr>
            <w:r w:rsidRPr="00076E02">
              <w:rPr>
                <w:rFonts w:eastAsia="Calibri" w:cs="Arial"/>
                <w:color w:val="000000"/>
                <w:sz w:val="18"/>
                <w:szCs w:val="18"/>
              </w:rPr>
              <w:t>Levels of commitment to the partnership</w:t>
            </w:r>
          </w:p>
          <w:p w14:paraId="0842125F" w14:textId="77777777" w:rsidR="00076E02" w:rsidRPr="00076E02" w:rsidRDefault="00076E02" w:rsidP="004C4273">
            <w:pPr>
              <w:numPr>
                <w:ilvl w:val="0"/>
                <w:numId w:val="50"/>
              </w:numPr>
              <w:spacing w:before="20" w:after="20" w:line="240" w:lineRule="auto"/>
              <w:contextualSpacing/>
              <w:rPr>
                <w:rFonts w:eastAsia="Calibri" w:cs="Arial"/>
                <w:color w:val="000000"/>
                <w:sz w:val="18"/>
                <w:szCs w:val="18"/>
              </w:rPr>
            </w:pPr>
            <w:r w:rsidRPr="00076E02">
              <w:rPr>
                <w:rFonts w:eastAsia="Calibri" w:cs="Arial"/>
                <w:color w:val="000000"/>
                <w:sz w:val="18"/>
                <w:szCs w:val="18"/>
              </w:rPr>
              <w:t>Outcomes achieved or opportunities realised through the partnership</w:t>
            </w:r>
          </w:p>
        </w:tc>
        <w:tc>
          <w:tcPr>
            <w:tcW w:w="2880" w:type="dxa"/>
          </w:tcPr>
          <w:p w14:paraId="69C77304" w14:textId="77777777" w:rsidR="00076E02" w:rsidRPr="00076E02" w:rsidRDefault="00076E02" w:rsidP="004C4273">
            <w:pPr>
              <w:numPr>
                <w:ilvl w:val="0"/>
                <w:numId w:val="51"/>
              </w:numPr>
              <w:spacing w:before="20" w:after="20" w:line="240" w:lineRule="auto"/>
              <w:contextualSpacing/>
              <w:rPr>
                <w:rFonts w:eastAsia="Calibri" w:cs="Arial"/>
                <w:color w:val="000000"/>
                <w:sz w:val="18"/>
                <w:szCs w:val="18"/>
              </w:rPr>
            </w:pPr>
            <w:r w:rsidRPr="00076E02">
              <w:rPr>
                <w:rFonts w:eastAsia="Calibri" w:cs="Arial"/>
                <w:color w:val="000000"/>
                <w:sz w:val="18"/>
                <w:szCs w:val="18"/>
              </w:rPr>
              <w:t>Dialogue or rating  based assessment of ‘the partnership’; by Indonesian and Australian government officials, against a set of agreed partnership principles – Partnership and Collaboration Analysis Tool</w:t>
            </w:r>
          </w:p>
          <w:p w14:paraId="23945C9D" w14:textId="77777777" w:rsidR="00076E02" w:rsidRPr="00076E02" w:rsidRDefault="00076E02" w:rsidP="004C4273">
            <w:pPr>
              <w:numPr>
                <w:ilvl w:val="0"/>
                <w:numId w:val="51"/>
              </w:numPr>
              <w:spacing w:before="20" w:after="20" w:line="240" w:lineRule="auto"/>
              <w:contextualSpacing/>
              <w:rPr>
                <w:rFonts w:eastAsia="Calibri" w:cs="Arial"/>
                <w:color w:val="000000"/>
                <w:sz w:val="18"/>
                <w:szCs w:val="18"/>
              </w:rPr>
            </w:pPr>
            <w:r w:rsidRPr="00076E02">
              <w:rPr>
                <w:rFonts w:eastAsia="Calibri" w:cs="Arial"/>
                <w:color w:val="000000"/>
                <w:sz w:val="18"/>
                <w:szCs w:val="18"/>
              </w:rPr>
              <w:t xml:space="preserve">Documents that express the intent of the partnership signed by both partners </w:t>
            </w:r>
          </w:p>
          <w:p w14:paraId="0DB1A5B1" w14:textId="77777777" w:rsidR="00076E02" w:rsidRPr="00076E02" w:rsidRDefault="00076E02" w:rsidP="004C4273">
            <w:pPr>
              <w:numPr>
                <w:ilvl w:val="0"/>
                <w:numId w:val="51"/>
              </w:numPr>
              <w:spacing w:before="20" w:after="20" w:line="240" w:lineRule="auto"/>
              <w:contextualSpacing/>
              <w:rPr>
                <w:rFonts w:eastAsia="Calibri" w:cs="Arial"/>
                <w:color w:val="000000"/>
                <w:sz w:val="18"/>
                <w:szCs w:val="18"/>
              </w:rPr>
            </w:pPr>
            <w:r w:rsidRPr="00076E02">
              <w:rPr>
                <w:rFonts w:eastAsia="Calibri" w:cs="Arial"/>
                <w:color w:val="000000"/>
                <w:sz w:val="18"/>
                <w:szCs w:val="18"/>
              </w:rPr>
              <w:t>APS workplan reports</w:t>
            </w:r>
          </w:p>
        </w:tc>
        <w:tc>
          <w:tcPr>
            <w:tcW w:w="1980" w:type="dxa"/>
          </w:tcPr>
          <w:p w14:paraId="5B036706" w14:textId="77777777" w:rsidR="00076E02" w:rsidRPr="00076E02" w:rsidRDefault="00076E02" w:rsidP="0083335F">
            <w:pPr>
              <w:spacing w:before="20" w:after="20" w:line="240" w:lineRule="auto"/>
              <w:rPr>
                <w:rFonts w:eastAsia="Calibri" w:cs="Arial"/>
                <w:color w:val="000000"/>
                <w:sz w:val="18"/>
                <w:szCs w:val="18"/>
              </w:rPr>
            </w:pPr>
            <w:r w:rsidRPr="00076E02">
              <w:rPr>
                <w:rFonts w:eastAsia="Calibri" w:cs="Arial"/>
                <w:color w:val="000000"/>
                <w:sz w:val="18"/>
                <w:szCs w:val="18"/>
              </w:rPr>
              <w:t>Knowledge and Performance team supporting APS agencies</w:t>
            </w:r>
          </w:p>
          <w:p w14:paraId="2C942DB8" w14:textId="77777777" w:rsidR="00076E02" w:rsidRPr="00076E02" w:rsidRDefault="00076E02" w:rsidP="0083335F">
            <w:pPr>
              <w:spacing w:before="20" w:after="20" w:line="240" w:lineRule="auto"/>
              <w:rPr>
                <w:rFonts w:eastAsia="Calibri" w:cs="Arial"/>
                <w:color w:val="000000"/>
                <w:sz w:val="18"/>
                <w:szCs w:val="18"/>
              </w:rPr>
            </w:pPr>
          </w:p>
          <w:p w14:paraId="226D6215" w14:textId="51AE5731" w:rsidR="00076E02" w:rsidRPr="00076E02" w:rsidRDefault="00076E02" w:rsidP="0083335F">
            <w:pPr>
              <w:spacing w:before="20" w:after="20" w:line="240" w:lineRule="auto"/>
              <w:rPr>
                <w:rFonts w:eastAsia="Calibri" w:cs="Arial"/>
                <w:color w:val="000000"/>
                <w:sz w:val="18"/>
                <w:szCs w:val="18"/>
              </w:rPr>
            </w:pPr>
            <w:r w:rsidRPr="00076E02">
              <w:rPr>
                <w:rFonts w:eastAsia="Calibri" w:cs="Arial"/>
                <w:color w:val="000000"/>
                <w:sz w:val="18"/>
                <w:szCs w:val="18"/>
              </w:rPr>
              <w:t>Annual - as realistically practical</w:t>
            </w:r>
          </w:p>
        </w:tc>
        <w:tc>
          <w:tcPr>
            <w:tcW w:w="1800" w:type="dxa"/>
          </w:tcPr>
          <w:p w14:paraId="59587354" w14:textId="77777777" w:rsidR="00076E02" w:rsidRPr="00076E02" w:rsidRDefault="00076E02" w:rsidP="0083335F">
            <w:pPr>
              <w:spacing w:before="40" w:after="40" w:line="240" w:lineRule="auto"/>
              <w:rPr>
                <w:rFonts w:eastAsia="Calibri" w:cs="Arial"/>
                <w:color w:val="000000"/>
                <w:sz w:val="18"/>
                <w:szCs w:val="18"/>
              </w:rPr>
            </w:pPr>
            <w:r w:rsidRPr="00076E02">
              <w:rPr>
                <w:rFonts w:eastAsia="Calibri" w:cs="Arial"/>
                <w:color w:val="000000"/>
                <w:sz w:val="18"/>
                <w:szCs w:val="18"/>
              </w:rPr>
              <w:t>Annual Activity / Work Plan Progress Reports</w:t>
            </w:r>
          </w:p>
          <w:p w14:paraId="314D4418" w14:textId="77777777" w:rsidR="00076E02" w:rsidRPr="00076E02" w:rsidRDefault="00076E02" w:rsidP="0083335F">
            <w:pPr>
              <w:spacing w:before="40" w:after="40" w:line="240" w:lineRule="auto"/>
              <w:rPr>
                <w:rFonts w:eastAsia="Calibri" w:cs="Arial"/>
                <w:color w:val="000000"/>
                <w:sz w:val="18"/>
                <w:szCs w:val="18"/>
              </w:rPr>
            </w:pPr>
            <w:r w:rsidRPr="00076E02">
              <w:rPr>
                <w:rFonts w:eastAsia="Calibri" w:cs="Arial"/>
                <w:color w:val="000000"/>
                <w:sz w:val="18"/>
                <w:szCs w:val="18"/>
              </w:rPr>
              <w:t>Facility level six month and Annual Progress Reports</w:t>
            </w:r>
          </w:p>
        </w:tc>
      </w:tr>
      <w:tr w:rsidR="00076E02" w:rsidRPr="00076E02" w14:paraId="2367D21B" w14:textId="77777777" w:rsidTr="00076E02">
        <w:trPr>
          <w:cantSplit/>
        </w:trPr>
        <w:tc>
          <w:tcPr>
            <w:tcW w:w="2425" w:type="dxa"/>
          </w:tcPr>
          <w:p w14:paraId="5BFA83BC" w14:textId="77777777" w:rsidR="00076E02" w:rsidRPr="00076E02" w:rsidRDefault="00076E02" w:rsidP="0083335F">
            <w:pPr>
              <w:spacing w:before="20" w:after="20" w:line="240" w:lineRule="auto"/>
              <w:rPr>
                <w:rFonts w:eastAsia="Calibri" w:cs="Arial"/>
                <w:color w:val="000000"/>
                <w:sz w:val="18"/>
                <w:szCs w:val="18"/>
              </w:rPr>
            </w:pPr>
            <w:r w:rsidRPr="00076E02">
              <w:rPr>
                <w:rFonts w:eastAsia="Calibri" w:cs="Arial"/>
                <w:color w:val="000000"/>
                <w:sz w:val="18"/>
                <w:szCs w:val="18"/>
              </w:rPr>
              <w:t>Prospera and associated Indonesian government and other institutions maintain an effective working partnership</w:t>
            </w:r>
          </w:p>
          <w:p w14:paraId="349CAAEC" w14:textId="77777777" w:rsidR="00076E02" w:rsidRPr="00076E02" w:rsidRDefault="00076E02" w:rsidP="0083335F">
            <w:pPr>
              <w:spacing w:before="20" w:after="20" w:line="240" w:lineRule="auto"/>
              <w:rPr>
                <w:rFonts w:eastAsia="Calibri" w:cs="Arial"/>
                <w:b/>
                <w:i/>
                <w:color w:val="000000"/>
                <w:sz w:val="18"/>
                <w:szCs w:val="18"/>
              </w:rPr>
            </w:pPr>
          </w:p>
          <w:p w14:paraId="79560196" w14:textId="77777777" w:rsidR="00076E02" w:rsidRPr="00076E02" w:rsidRDefault="00076E02" w:rsidP="0083335F">
            <w:pPr>
              <w:spacing w:before="20" w:after="20" w:line="240" w:lineRule="auto"/>
              <w:rPr>
                <w:rFonts w:eastAsia="Calibri" w:cs="Arial"/>
                <w:i/>
                <w:color w:val="000000"/>
                <w:sz w:val="18"/>
                <w:szCs w:val="18"/>
              </w:rPr>
            </w:pPr>
            <w:r w:rsidRPr="00076E02">
              <w:rPr>
                <w:rFonts w:eastAsia="Calibri" w:cs="Arial"/>
                <w:i/>
                <w:color w:val="000000"/>
                <w:sz w:val="18"/>
                <w:szCs w:val="18"/>
              </w:rPr>
              <w:t xml:space="preserve">Assumption: </w:t>
            </w:r>
          </w:p>
          <w:p w14:paraId="7387E03C" w14:textId="77777777" w:rsidR="00076E02" w:rsidRPr="00076E02" w:rsidRDefault="00076E02" w:rsidP="0083335F">
            <w:pPr>
              <w:spacing w:before="20" w:after="20" w:line="240" w:lineRule="auto"/>
              <w:rPr>
                <w:rFonts w:eastAsia="Calibri" w:cs="Arial"/>
                <w:i/>
                <w:color w:val="000000"/>
                <w:sz w:val="18"/>
                <w:szCs w:val="18"/>
              </w:rPr>
            </w:pPr>
            <w:r w:rsidRPr="00076E02">
              <w:rPr>
                <w:rFonts w:eastAsia="Calibri" w:cs="Arial"/>
                <w:i/>
                <w:color w:val="000000"/>
                <w:sz w:val="18"/>
                <w:szCs w:val="18"/>
              </w:rPr>
              <w:t>That Indonesian institutions continue to trust Prospera and value the type of support that Prospera can provide</w:t>
            </w:r>
          </w:p>
          <w:p w14:paraId="3EB24AAB" w14:textId="77777777" w:rsidR="00076E02" w:rsidRPr="00076E02" w:rsidRDefault="00076E02" w:rsidP="0083335F">
            <w:pPr>
              <w:spacing w:before="20" w:after="20" w:line="240" w:lineRule="auto"/>
              <w:rPr>
                <w:rFonts w:eastAsia="Calibri" w:cs="Arial"/>
                <w:color w:val="000000"/>
                <w:sz w:val="18"/>
                <w:szCs w:val="18"/>
              </w:rPr>
            </w:pPr>
            <w:r w:rsidRPr="00076E02">
              <w:rPr>
                <w:rFonts w:eastAsia="Calibri" w:cs="Arial"/>
                <w:i/>
                <w:color w:val="000000"/>
                <w:sz w:val="18"/>
                <w:szCs w:val="18"/>
              </w:rPr>
              <w:t>That politics do not substantially interfere with bureaucratic intent and engagement</w:t>
            </w:r>
          </w:p>
        </w:tc>
        <w:tc>
          <w:tcPr>
            <w:tcW w:w="1890" w:type="dxa"/>
          </w:tcPr>
          <w:p w14:paraId="58E7591D" w14:textId="77777777" w:rsidR="00076E02" w:rsidRPr="00076E02" w:rsidRDefault="00076E02" w:rsidP="0083335F">
            <w:pPr>
              <w:spacing w:before="20" w:after="20" w:line="240" w:lineRule="auto"/>
              <w:rPr>
                <w:rFonts w:eastAsia="Calibri" w:cs="Arial"/>
                <w:i/>
                <w:color w:val="000000"/>
                <w:sz w:val="18"/>
                <w:szCs w:val="18"/>
              </w:rPr>
            </w:pPr>
            <w:r w:rsidRPr="00076E02">
              <w:rPr>
                <w:rFonts w:eastAsia="Calibri" w:cs="Arial"/>
                <w:i/>
                <w:color w:val="000000"/>
                <w:sz w:val="18"/>
                <w:szCs w:val="18"/>
              </w:rPr>
              <w:t xml:space="preserve">To what extent are Prospera and relevant Indonesian government and other institutions working effectively together to contribute to intended outcomes for Indonesia? </w:t>
            </w:r>
          </w:p>
        </w:tc>
        <w:tc>
          <w:tcPr>
            <w:tcW w:w="3150" w:type="dxa"/>
          </w:tcPr>
          <w:p w14:paraId="3E5282F4" w14:textId="77777777" w:rsidR="00076E02" w:rsidRPr="00076E02" w:rsidRDefault="00076E02" w:rsidP="004C4273">
            <w:pPr>
              <w:numPr>
                <w:ilvl w:val="0"/>
                <w:numId w:val="52"/>
              </w:numPr>
              <w:spacing w:before="20" w:after="20" w:line="240" w:lineRule="auto"/>
              <w:contextualSpacing/>
              <w:rPr>
                <w:rFonts w:eastAsia="Calibri" w:cs="Arial"/>
                <w:color w:val="000000"/>
                <w:sz w:val="18"/>
                <w:szCs w:val="18"/>
              </w:rPr>
            </w:pPr>
            <w:r w:rsidRPr="00076E02">
              <w:rPr>
                <w:rFonts w:eastAsia="Calibri" w:cs="Arial"/>
                <w:color w:val="000000"/>
                <w:sz w:val="18"/>
                <w:szCs w:val="18"/>
              </w:rPr>
              <w:t>Quality and function of the working partnerships / relationships</w:t>
            </w:r>
          </w:p>
          <w:p w14:paraId="7E76A72C" w14:textId="77777777" w:rsidR="00076E02" w:rsidRPr="00076E02" w:rsidRDefault="00076E02" w:rsidP="004C4273">
            <w:pPr>
              <w:numPr>
                <w:ilvl w:val="0"/>
                <w:numId w:val="52"/>
              </w:numPr>
              <w:spacing w:before="20" w:after="20" w:line="240" w:lineRule="auto"/>
              <w:contextualSpacing/>
              <w:rPr>
                <w:rFonts w:eastAsia="Calibri" w:cs="Arial"/>
                <w:color w:val="000000"/>
                <w:sz w:val="18"/>
                <w:szCs w:val="18"/>
              </w:rPr>
            </w:pPr>
            <w:r w:rsidRPr="00076E02">
              <w:rPr>
                <w:rFonts w:eastAsia="Calibri" w:cs="Arial"/>
                <w:color w:val="000000"/>
                <w:sz w:val="18"/>
                <w:szCs w:val="18"/>
              </w:rPr>
              <w:t>Ways in which the partnerships/ relationships are supported by Prospera and Indonesian institutions</w:t>
            </w:r>
          </w:p>
          <w:p w14:paraId="28F84FB4" w14:textId="77777777" w:rsidR="00076E02" w:rsidRPr="00076E02" w:rsidRDefault="00076E02" w:rsidP="004C4273">
            <w:pPr>
              <w:numPr>
                <w:ilvl w:val="0"/>
                <w:numId w:val="52"/>
              </w:numPr>
              <w:spacing w:before="20" w:after="20" w:line="240" w:lineRule="auto"/>
              <w:contextualSpacing/>
              <w:rPr>
                <w:rFonts w:eastAsia="Calibri" w:cs="Arial"/>
                <w:color w:val="000000"/>
                <w:sz w:val="18"/>
                <w:szCs w:val="18"/>
              </w:rPr>
            </w:pPr>
            <w:r w:rsidRPr="00076E02">
              <w:rPr>
                <w:rFonts w:eastAsia="Calibri" w:cs="Arial"/>
                <w:color w:val="000000"/>
                <w:sz w:val="18"/>
                <w:szCs w:val="18"/>
              </w:rPr>
              <w:t>Contribution of the partnerships/ relationships to End of Facility Outcomes</w:t>
            </w:r>
          </w:p>
        </w:tc>
        <w:tc>
          <w:tcPr>
            <w:tcW w:w="2880" w:type="dxa"/>
          </w:tcPr>
          <w:p w14:paraId="591664A9" w14:textId="77777777" w:rsidR="00076E02" w:rsidRPr="00076E02" w:rsidRDefault="00076E02" w:rsidP="004C4273">
            <w:pPr>
              <w:numPr>
                <w:ilvl w:val="0"/>
                <w:numId w:val="53"/>
              </w:numPr>
              <w:spacing w:before="20" w:after="20" w:line="240" w:lineRule="auto"/>
              <w:contextualSpacing/>
              <w:rPr>
                <w:rFonts w:eastAsia="Calibri" w:cs="Arial"/>
                <w:color w:val="000000"/>
                <w:sz w:val="18"/>
                <w:szCs w:val="18"/>
              </w:rPr>
            </w:pPr>
            <w:r w:rsidRPr="00076E02">
              <w:rPr>
                <w:rFonts w:eastAsia="Calibri" w:cs="Arial"/>
                <w:color w:val="000000"/>
                <w:sz w:val="18"/>
                <w:szCs w:val="18"/>
              </w:rPr>
              <w:t>Dialogue or rating based assessment of the ‘partnerships/ relationships between Prospera senior managers and lead advisers and Indonesian officials: Partnership and Collaboration Analysis Tool</w:t>
            </w:r>
          </w:p>
          <w:p w14:paraId="4B20910B" w14:textId="77777777" w:rsidR="00076E02" w:rsidRPr="00076E02" w:rsidRDefault="00076E02" w:rsidP="004C4273">
            <w:pPr>
              <w:numPr>
                <w:ilvl w:val="0"/>
                <w:numId w:val="53"/>
              </w:numPr>
              <w:spacing w:before="20" w:after="20" w:line="240" w:lineRule="auto"/>
              <w:contextualSpacing/>
              <w:rPr>
                <w:rFonts w:eastAsia="Calibri" w:cs="Arial"/>
                <w:color w:val="000000"/>
                <w:sz w:val="18"/>
                <w:szCs w:val="18"/>
              </w:rPr>
            </w:pPr>
            <w:r w:rsidRPr="00076E02">
              <w:rPr>
                <w:rFonts w:eastAsia="Calibri" w:cs="Arial"/>
                <w:color w:val="000000"/>
                <w:sz w:val="18"/>
                <w:szCs w:val="18"/>
              </w:rPr>
              <w:t>Survey of officials and advisers – rating elements of the partnership – what they contribute and how they benefit</w:t>
            </w:r>
          </w:p>
          <w:p w14:paraId="3B69312E" w14:textId="77777777" w:rsidR="00076E02" w:rsidRPr="00076E02" w:rsidRDefault="00076E02" w:rsidP="004C4273">
            <w:pPr>
              <w:numPr>
                <w:ilvl w:val="0"/>
                <w:numId w:val="53"/>
              </w:numPr>
              <w:spacing w:before="20" w:after="20" w:line="240" w:lineRule="auto"/>
              <w:contextualSpacing/>
              <w:rPr>
                <w:rFonts w:eastAsia="Calibri" w:cs="Arial"/>
                <w:color w:val="000000"/>
                <w:sz w:val="18"/>
                <w:szCs w:val="18"/>
              </w:rPr>
            </w:pPr>
            <w:r w:rsidRPr="00076E02">
              <w:rPr>
                <w:rFonts w:eastAsia="Calibri" w:cs="Arial"/>
                <w:color w:val="000000"/>
                <w:sz w:val="18"/>
                <w:szCs w:val="18"/>
              </w:rPr>
              <w:t>Analysis of activity success in relation to partnership quality</w:t>
            </w:r>
          </w:p>
        </w:tc>
        <w:tc>
          <w:tcPr>
            <w:tcW w:w="1980" w:type="dxa"/>
          </w:tcPr>
          <w:p w14:paraId="76B99EA5" w14:textId="77777777" w:rsidR="00076E02" w:rsidRPr="00076E02" w:rsidRDefault="00076E02" w:rsidP="0083335F">
            <w:pPr>
              <w:spacing w:before="20" w:after="20" w:line="240" w:lineRule="auto"/>
              <w:rPr>
                <w:rFonts w:eastAsia="Calibri" w:cs="Arial"/>
                <w:color w:val="000000"/>
                <w:sz w:val="18"/>
                <w:szCs w:val="18"/>
              </w:rPr>
            </w:pPr>
            <w:r w:rsidRPr="00076E02">
              <w:rPr>
                <w:rFonts w:eastAsia="Calibri" w:cs="Arial"/>
                <w:color w:val="000000"/>
                <w:sz w:val="18"/>
                <w:szCs w:val="18"/>
              </w:rPr>
              <w:t xml:space="preserve">Knowledge and Performance team working with Prospera Senior Management </w:t>
            </w:r>
          </w:p>
          <w:p w14:paraId="4A08058B" w14:textId="77777777" w:rsidR="00076E02" w:rsidRPr="00076E02" w:rsidRDefault="00076E02" w:rsidP="0083335F">
            <w:pPr>
              <w:spacing w:before="20" w:after="20" w:line="240" w:lineRule="auto"/>
              <w:rPr>
                <w:rFonts w:eastAsia="Calibri" w:cs="Arial"/>
                <w:color w:val="000000"/>
                <w:sz w:val="18"/>
                <w:szCs w:val="18"/>
              </w:rPr>
            </w:pPr>
          </w:p>
          <w:p w14:paraId="65EE778A" w14:textId="30C98B06" w:rsidR="00076E02" w:rsidRPr="00076E02" w:rsidRDefault="00076E02" w:rsidP="0083335F">
            <w:pPr>
              <w:spacing w:before="20" w:after="20" w:line="240" w:lineRule="auto"/>
              <w:rPr>
                <w:rFonts w:eastAsia="Calibri" w:cs="Arial"/>
                <w:color w:val="000000"/>
                <w:sz w:val="18"/>
                <w:szCs w:val="18"/>
              </w:rPr>
            </w:pPr>
            <w:r w:rsidRPr="00076E02">
              <w:rPr>
                <w:rFonts w:eastAsia="Calibri" w:cs="Arial"/>
                <w:color w:val="000000"/>
                <w:sz w:val="18"/>
                <w:szCs w:val="18"/>
              </w:rPr>
              <w:t>Annual-as realistically practical, sometimes opportunistic</w:t>
            </w:r>
          </w:p>
        </w:tc>
        <w:tc>
          <w:tcPr>
            <w:tcW w:w="1800" w:type="dxa"/>
          </w:tcPr>
          <w:p w14:paraId="086CCED0" w14:textId="77777777" w:rsidR="00076E02" w:rsidRPr="00076E02" w:rsidRDefault="00076E02" w:rsidP="0083335F">
            <w:pPr>
              <w:spacing w:before="40" w:after="40" w:line="240" w:lineRule="auto"/>
              <w:rPr>
                <w:rFonts w:eastAsia="Calibri" w:cs="Arial"/>
                <w:color w:val="000000"/>
                <w:sz w:val="18"/>
                <w:szCs w:val="18"/>
              </w:rPr>
            </w:pPr>
            <w:r w:rsidRPr="00076E02">
              <w:rPr>
                <w:rFonts w:eastAsia="Calibri" w:cs="Arial"/>
                <w:color w:val="000000"/>
                <w:sz w:val="18"/>
                <w:szCs w:val="18"/>
              </w:rPr>
              <w:t>Annual Activity / Work Plan Progress Reports</w:t>
            </w:r>
          </w:p>
          <w:p w14:paraId="5146C7B2" w14:textId="77777777" w:rsidR="00076E02" w:rsidRPr="00076E02" w:rsidRDefault="00076E02" w:rsidP="0083335F">
            <w:pPr>
              <w:spacing w:before="40" w:after="40" w:line="240" w:lineRule="auto"/>
              <w:rPr>
                <w:rFonts w:eastAsia="Calibri" w:cs="Arial"/>
                <w:color w:val="000000"/>
                <w:sz w:val="18"/>
                <w:szCs w:val="18"/>
              </w:rPr>
            </w:pPr>
            <w:r w:rsidRPr="00076E02">
              <w:rPr>
                <w:rFonts w:eastAsia="Calibri" w:cs="Arial"/>
                <w:color w:val="000000"/>
                <w:sz w:val="18"/>
                <w:szCs w:val="18"/>
              </w:rPr>
              <w:t>Facility level six month and Annual Progress Reports</w:t>
            </w:r>
          </w:p>
        </w:tc>
      </w:tr>
    </w:tbl>
    <w:p w14:paraId="3D3EBA76" w14:textId="77777777" w:rsidR="0083335F" w:rsidRDefault="0083335F" w:rsidP="0083335F"/>
    <w:p w14:paraId="2277630F" w14:textId="77777777" w:rsidR="00735CA1" w:rsidRDefault="00735CA1" w:rsidP="0083335F">
      <w:pPr>
        <w:sectPr w:rsidR="00735CA1" w:rsidSect="0083335F">
          <w:pgSz w:w="16840" w:h="11900" w:orient="landscape"/>
          <w:pgMar w:top="1440" w:right="1440" w:bottom="1440" w:left="1440" w:header="850" w:footer="850" w:gutter="0"/>
          <w:cols w:space="708"/>
          <w:docGrid w:linePitch="360"/>
        </w:sectPr>
      </w:pPr>
    </w:p>
    <w:p w14:paraId="7C977CAF" w14:textId="7E2FC2AD" w:rsidR="00735CA1" w:rsidRDefault="00735CA1" w:rsidP="00735CA1">
      <w:pPr>
        <w:pStyle w:val="Heading1"/>
        <w:numPr>
          <w:ilvl w:val="0"/>
          <w:numId w:val="0"/>
        </w:numPr>
        <w:ind w:left="851" w:hanging="851"/>
      </w:pPr>
      <w:bookmarkStart w:id="204" w:name="_Toc532991084"/>
      <w:r>
        <w:t>Annex 7</w:t>
      </w:r>
      <w:r>
        <w:tab/>
        <w:t xml:space="preserve">Gender and </w:t>
      </w:r>
      <w:r w:rsidR="00D60BBF">
        <w:t>s</w:t>
      </w:r>
      <w:r>
        <w:t xml:space="preserve">ocial </w:t>
      </w:r>
      <w:r w:rsidR="00D60BBF">
        <w:t>i</w:t>
      </w:r>
      <w:r>
        <w:t xml:space="preserve">nclusion – </w:t>
      </w:r>
      <w:r w:rsidR="00D60BBF">
        <w:t>p</w:t>
      </w:r>
      <w:r>
        <w:t xml:space="preserve">rogress </w:t>
      </w:r>
      <w:r w:rsidR="00D60BBF">
        <w:t>m</w:t>
      </w:r>
      <w:r>
        <w:t>arkers</w:t>
      </w:r>
      <w:bookmarkEnd w:id="204"/>
      <w:r>
        <w:t xml:space="preserve"> </w:t>
      </w:r>
    </w:p>
    <w:tbl>
      <w:tblPr>
        <w:tblStyle w:val="TableGrid"/>
        <w:tblW w:w="0" w:type="auto"/>
        <w:tblLook w:val="04A0" w:firstRow="1" w:lastRow="0" w:firstColumn="1" w:lastColumn="0" w:noHBand="0" w:noVBand="1"/>
      </w:tblPr>
      <w:tblGrid>
        <w:gridCol w:w="3105"/>
        <w:gridCol w:w="2732"/>
        <w:gridCol w:w="3209"/>
        <w:gridCol w:w="1753"/>
        <w:gridCol w:w="3151"/>
      </w:tblGrid>
      <w:tr w:rsidR="00735CA1" w:rsidRPr="000906BD" w14:paraId="7D62D42B" w14:textId="77777777" w:rsidTr="008B4001">
        <w:trPr>
          <w:cantSplit/>
          <w:trHeight w:val="540"/>
          <w:tblHeader/>
        </w:trPr>
        <w:tc>
          <w:tcPr>
            <w:tcW w:w="0" w:type="auto"/>
            <w:shd w:val="clear" w:color="auto" w:fill="20ABCA"/>
          </w:tcPr>
          <w:p w14:paraId="7E822653" w14:textId="77777777" w:rsidR="00735CA1" w:rsidRPr="000906BD" w:rsidRDefault="00735CA1" w:rsidP="008B4001">
            <w:pPr>
              <w:jc w:val="center"/>
              <w:rPr>
                <w:b/>
                <w:color w:val="FFFFFF" w:themeColor="background1"/>
                <w:sz w:val="18"/>
                <w:szCs w:val="18"/>
              </w:rPr>
            </w:pPr>
            <w:r w:rsidRPr="000906BD">
              <w:rPr>
                <w:b/>
                <w:color w:val="FFFFFF" w:themeColor="background1"/>
                <w:sz w:val="18"/>
                <w:szCs w:val="18"/>
              </w:rPr>
              <w:t>Approach/ Outcomes</w:t>
            </w:r>
          </w:p>
        </w:tc>
        <w:tc>
          <w:tcPr>
            <w:tcW w:w="0" w:type="auto"/>
            <w:shd w:val="clear" w:color="auto" w:fill="20ABCA"/>
          </w:tcPr>
          <w:p w14:paraId="62052FAB" w14:textId="77777777" w:rsidR="00735CA1" w:rsidRPr="000906BD" w:rsidRDefault="00735CA1" w:rsidP="008B4001">
            <w:pPr>
              <w:jc w:val="center"/>
              <w:rPr>
                <w:b/>
                <w:color w:val="FFFFFF" w:themeColor="background1"/>
                <w:sz w:val="18"/>
                <w:szCs w:val="18"/>
              </w:rPr>
            </w:pPr>
            <w:r w:rsidRPr="000906BD">
              <w:rPr>
                <w:b/>
                <w:color w:val="FFFFFF" w:themeColor="background1"/>
                <w:sz w:val="18"/>
                <w:szCs w:val="18"/>
              </w:rPr>
              <w:t>Resources</w:t>
            </w:r>
          </w:p>
        </w:tc>
        <w:tc>
          <w:tcPr>
            <w:tcW w:w="0" w:type="auto"/>
            <w:shd w:val="clear" w:color="auto" w:fill="20ABCA"/>
          </w:tcPr>
          <w:p w14:paraId="7C029426" w14:textId="77777777" w:rsidR="00735CA1" w:rsidRPr="000906BD" w:rsidRDefault="00735CA1" w:rsidP="008B4001">
            <w:pPr>
              <w:jc w:val="center"/>
              <w:rPr>
                <w:b/>
                <w:color w:val="FFFFFF" w:themeColor="background1"/>
                <w:sz w:val="18"/>
                <w:szCs w:val="18"/>
              </w:rPr>
            </w:pPr>
            <w:r w:rsidRPr="000906BD">
              <w:rPr>
                <w:b/>
                <w:color w:val="FFFFFF" w:themeColor="background1"/>
                <w:sz w:val="18"/>
                <w:szCs w:val="18"/>
              </w:rPr>
              <w:t xml:space="preserve">How </w:t>
            </w:r>
          </w:p>
        </w:tc>
        <w:tc>
          <w:tcPr>
            <w:tcW w:w="1753" w:type="dxa"/>
            <w:shd w:val="clear" w:color="auto" w:fill="20ABCA"/>
          </w:tcPr>
          <w:p w14:paraId="09FA7EA1" w14:textId="77777777" w:rsidR="00735CA1" w:rsidRPr="000906BD" w:rsidRDefault="00735CA1" w:rsidP="008B4001">
            <w:pPr>
              <w:jc w:val="center"/>
              <w:rPr>
                <w:b/>
                <w:color w:val="FFFFFF" w:themeColor="background1"/>
                <w:sz w:val="18"/>
                <w:szCs w:val="18"/>
              </w:rPr>
            </w:pPr>
            <w:r w:rsidRPr="000906BD">
              <w:rPr>
                <w:b/>
                <w:color w:val="FFFFFF" w:themeColor="background1"/>
                <w:sz w:val="18"/>
                <w:szCs w:val="18"/>
              </w:rPr>
              <w:t>When</w:t>
            </w:r>
          </w:p>
          <w:p w14:paraId="69D88DAC" w14:textId="77777777" w:rsidR="00735CA1" w:rsidRPr="000906BD" w:rsidRDefault="00735CA1" w:rsidP="008B4001">
            <w:pPr>
              <w:jc w:val="center"/>
              <w:rPr>
                <w:b/>
                <w:color w:val="FFFFFF" w:themeColor="background1"/>
                <w:sz w:val="18"/>
                <w:szCs w:val="18"/>
              </w:rPr>
            </w:pPr>
          </w:p>
        </w:tc>
        <w:tc>
          <w:tcPr>
            <w:tcW w:w="3151" w:type="dxa"/>
            <w:shd w:val="clear" w:color="auto" w:fill="20ABCA"/>
          </w:tcPr>
          <w:p w14:paraId="33BFFF9D" w14:textId="77777777" w:rsidR="00735CA1" w:rsidRPr="000906BD" w:rsidRDefault="00735CA1" w:rsidP="008B4001">
            <w:pPr>
              <w:spacing w:after="0"/>
              <w:jc w:val="center"/>
              <w:rPr>
                <w:b/>
                <w:color w:val="FFFFFF" w:themeColor="background1"/>
                <w:sz w:val="18"/>
                <w:szCs w:val="18"/>
              </w:rPr>
            </w:pPr>
            <w:r w:rsidRPr="000906BD">
              <w:rPr>
                <w:b/>
                <w:color w:val="FFFFFF" w:themeColor="background1"/>
                <w:sz w:val="18"/>
                <w:szCs w:val="18"/>
              </w:rPr>
              <w:t>Measuring GESI Performance</w:t>
            </w:r>
          </w:p>
          <w:p w14:paraId="67BDF4BD" w14:textId="77777777" w:rsidR="00735CA1" w:rsidRPr="000906BD" w:rsidRDefault="00735CA1" w:rsidP="008B4001">
            <w:pPr>
              <w:spacing w:after="0"/>
              <w:jc w:val="center"/>
              <w:rPr>
                <w:b/>
                <w:color w:val="FFFFFF" w:themeColor="background1"/>
                <w:sz w:val="18"/>
                <w:szCs w:val="18"/>
              </w:rPr>
            </w:pPr>
          </w:p>
        </w:tc>
      </w:tr>
      <w:tr w:rsidR="00735CA1" w:rsidRPr="000906BD" w14:paraId="771D87E7" w14:textId="77777777" w:rsidTr="008B4001">
        <w:trPr>
          <w:cantSplit/>
          <w:trHeight w:val="974"/>
        </w:trPr>
        <w:tc>
          <w:tcPr>
            <w:tcW w:w="13950" w:type="dxa"/>
            <w:gridSpan w:val="5"/>
            <w:shd w:val="clear" w:color="auto" w:fill="D9D9D9" w:themeFill="background1" w:themeFillShade="D9"/>
          </w:tcPr>
          <w:p w14:paraId="537269D6" w14:textId="226D4089" w:rsidR="00735CA1" w:rsidRPr="000906BD" w:rsidRDefault="00735CA1" w:rsidP="008B4001">
            <w:pPr>
              <w:spacing w:before="120" w:after="0"/>
              <w:rPr>
                <w:b/>
                <w:sz w:val="18"/>
                <w:szCs w:val="18"/>
              </w:rPr>
            </w:pPr>
            <w:r w:rsidRPr="000906BD">
              <w:rPr>
                <w:b/>
                <w:sz w:val="18"/>
                <w:szCs w:val="18"/>
              </w:rPr>
              <w:t>Prospera as an organisation and its people</w:t>
            </w:r>
          </w:p>
          <w:p w14:paraId="67530617" w14:textId="77777777" w:rsidR="00735CA1" w:rsidRPr="000906BD" w:rsidRDefault="00735CA1" w:rsidP="008B4001">
            <w:pPr>
              <w:spacing w:before="120" w:after="120" w:line="240" w:lineRule="auto"/>
              <w:rPr>
                <w:sz w:val="18"/>
                <w:szCs w:val="18"/>
              </w:rPr>
            </w:pPr>
            <w:r w:rsidRPr="000906BD">
              <w:rPr>
                <w:i/>
                <w:sz w:val="18"/>
                <w:szCs w:val="18"/>
              </w:rPr>
              <w:t>To what extent is Prospera gender aware and becoming more so over time with management leadership, targeted training and learning by doing? Are Prospera teams (advisers and Australian agencies) gender and socially aware?</w:t>
            </w:r>
          </w:p>
        </w:tc>
      </w:tr>
      <w:tr w:rsidR="00735CA1" w:rsidRPr="000906BD" w14:paraId="08FB5CEF" w14:textId="77777777" w:rsidTr="008B4001">
        <w:trPr>
          <w:cantSplit/>
          <w:trHeight w:val="974"/>
        </w:trPr>
        <w:tc>
          <w:tcPr>
            <w:tcW w:w="0" w:type="auto"/>
          </w:tcPr>
          <w:p w14:paraId="42F3AA2B" w14:textId="77777777" w:rsidR="00735CA1" w:rsidRPr="000906BD" w:rsidRDefault="00735CA1" w:rsidP="008B4001">
            <w:pPr>
              <w:spacing w:before="120" w:after="120"/>
              <w:rPr>
                <w:b/>
                <w:sz w:val="18"/>
                <w:szCs w:val="18"/>
              </w:rPr>
            </w:pPr>
            <w:r w:rsidRPr="000906BD">
              <w:rPr>
                <w:sz w:val="18"/>
                <w:szCs w:val="18"/>
              </w:rPr>
              <w:t xml:space="preserve">Prospera has diversity across teams </w:t>
            </w:r>
          </w:p>
        </w:tc>
        <w:tc>
          <w:tcPr>
            <w:tcW w:w="0" w:type="auto"/>
          </w:tcPr>
          <w:p w14:paraId="18D41A33" w14:textId="77777777" w:rsidR="00735CA1" w:rsidRPr="000906BD" w:rsidRDefault="00735CA1" w:rsidP="008B4001">
            <w:pPr>
              <w:spacing w:before="120" w:after="120"/>
              <w:rPr>
                <w:sz w:val="18"/>
                <w:szCs w:val="18"/>
              </w:rPr>
            </w:pPr>
            <w:r w:rsidRPr="000906BD">
              <w:rPr>
                <w:sz w:val="18"/>
                <w:szCs w:val="18"/>
              </w:rPr>
              <w:t xml:space="preserve">Prospera GESI team work with GESI Management Committee, Prospera Senior Management Team and Operations (HR teams). </w:t>
            </w:r>
          </w:p>
          <w:p w14:paraId="1BFDE38E" w14:textId="77777777" w:rsidR="00735CA1" w:rsidRPr="000906BD" w:rsidRDefault="00735CA1" w:rsidP="008B4001">
            <w:pPr>
              <w:spacing w:before="120" w:after="120"/>
              <w:rPr>
                <w:sz w:val="18"/>
                <w:szCs w:val="18"/>
              </w:rPr>
            </w:pPr>
            <w:r w:rsidRPr="000906BD">
              <w:rPr>
                <w:sz w:val="18"/>
                <w:szCs w:val="18"/>
              </w:rPr>
              <w:t xml:space="preserve">Prospera GESI team support Australian agencies. </w:t>
            </w:r>
          </w:p>
        </w:tc>
        <w:tc>
          <w:tcPr>
            <w:tcW w:w="0" w:type="auto"/>
          </w:tcPr>
          <w:p w14:paraId="760F8DEF" w14:textId="77777777" w:rsidR="00735CA1" w:rsidRPr="000906BD" w:rsidRDefault="00735CA1" w:rsidP="008B4001">
            <w:pPr>
              <w:spacing w:before="120" w:after="120" w:line="240" w:lineRule="auto"/>
              <w:rPr>
                <w:sz w:val="18"/>
                <w:szCs w:val="18"/>
              </w:rPr>
            </w:pPr>
            <w:r w:rsidRPr="000906BD">
              <w:rPr>
                <w:sz w:val="18"/>
                <w:szCs w:val="18"/>
              </w:rPr>
              <w:t xml:space="preserve">GESI Management Committee prioritises diversity across Prospera. </w:t>
            </w:r>
          </w:p>
          <w:p w14:paraId="4DC4F160" w14:textId="77777777" w:rsidR="00735CA1" w:rsidRPr="000906BD" w:rsidRDefault="00735CA1" w:rsidP="008B4001">
            <w:pPr>
              <w:spacing w:before="120" w:after="120" w:line="240" w:lineRule="auto"/>
              <w:rPr>
                <w:sz w:val="18"/>
                <w:szCs w:val="18"/>
              </w:rPr>
            </w:pPr>
            <w:r w:rsidRPr="000906BD">
              <w:rPr>
                <w:sz w:val="18"/>
                <w:szCs w:val="18"/>
              </w:rPr>
              <w:t xml:space="preserve">Prospera operations embed equal opportunity in recruitment and human resource management.  </w:t>
            </w:r>
          </w:p>
          <w:p w14:paraId="176CCAEA" w14:textId="77777777" w:rsidR="00735CA1" w:rsidRPr="000906BD" w:rsidRDefault="00735CA1" w:rsidP="008B4001">
            <w:pPr>
              <w:spacing w:before="120" w:after="120" w:line="240" w:lineRule="auto"/>
              <w:rPr>
                <w:sz w:val="18"/>
                <w:szCs w:val="18"/>
              </w:rPr>
            </w:pPr>
            <w:r w:rsidRPr="000906BD">
              <w:rPr>
                <w:sz w:val="18"/>
                <w:szCs w:val="18"/>
              </w:rPr>
              <w:t xml:space="preserve">Affirmative action measures are considered where appropriate. </w:t>
            </w:r>
          </w:p>
        </w:tc>
        <w:tc>
          <w:tcPr>
            <w:tcW w:w="1753" w:type="dxa"/>
          </w:tcPr>
          <w:p w14:paraId="43B14115" w14:textId="77777777" w:rsidR="00735CA1" w:rsidRPr="000906BD" w:rsidRDefault="00735CA1" w:rsidP="008B4001">
            <w:pPr>
              <w:spacing w:before="120" w:after="120"/>
              <w:rPr>
                <w:sz w:val="18"/>
                <w:szCs w:val="18"/>
              </w:rPr>
            </w:pPr>
            <w:r w:rsidRPr="000906BD">
              <w:rPr>
                <w:sz w:val="18"/>
                <w:szCs w:val="18"/>
              </w:rPr>
              <w:t>Years 1 to 5 of Prospera</w:t>
            </w:r>
          </w:p>
        </w:tc>
        <w:tc>
          <w:tcPr>
            <w:tcW w:w="3151" w:type="dxa"/>
          </w:tcPr>
          <w:p w14:paraId="021AA6D0" w14:textId="77777777" w:rsidR="00735CA1" w:rsidRPr="000906BD" w:rsidRDefault="00735CA1" w:rsidP="008B4001">
            <w:pPr>
              <w:spacing w:before="120" w:after="120" w:line="240" w:lineRule="auto"/>
              <w:rPr>
                <w:sz w:val="18"/>
                <w:szCs w:val="18"/>
              </w:rPr>
            </w:pPr>
            <w:r w:rsidRPr="000906BD">
              <w:rPr>
                <w:sz w:val="18"/>
                <w:szCs w:val="18"/>
              </w:rPr>
              <w:t xml:space="preserve">% women: % men in the Prospera team (Advisory, Australian agency and DFAT program staff). </w:t>
            </w:r>
          </w:p>
          <w:p w14:paraId="537E276B" w14:textId="77777777" w:rsidR="00735CA1" w:rsidRPr="000906BD" w:rsidRDefault="00735CA1" w:rsidP="008B4001">
            <w:pPr>
              <w:spacing w:before="120" w:after="120" w:line="240" w:lineRule="auto"/>
              <w:rPr>
                <w:sz w:val="18"/>
                <w:szCs w:val="18"/>
              </w:rPr>
            </w:pPr>
            <w:r w:rsidRPr="000906BD">
              <w:rPr>
                <w:sz w:val="18"/>
                <w:szCs w:val="18"/>
              </w:rPr>
              <w:t>% women: % men at each level of the organisation; including decision makers.</w:t>
            </w:r>
          </w:p>
          <w:p w14:paraId="29BB1402" w14:textId="77777777" w:rsidR="00735CA1" w:rsidRPr="000906BD" w:rsidRDefault="00735CA1" w:rsidP="008B4001">
            <w:pPr>
              <w:spacing w:before="120" w:after="120" w:line="240" w:lineRule="auto"/>
              <w:rPr>
                <w:sz w:val="18"/>
                <w:szCs w:val="18"/>
              </w:rPr>
            </w:pPr>
            <w:r w:rsidRPr="000906BD">
              <w:rPr>
                <w:sz w:val="18"/>
                <w:szCs w:val="18"/>
              </w:rPr>
              <w:t xml:space="preserve"># People with a disability participating in Prospera teams. </w:t>
            </w:r>
          </w:p>
        </w:tc>
      </w:tr>
      <w:tr w:rsidR="00735CA1" w:rsidRPr="000906BD" w14:paraId="18177814" w14:textId="77777777" w:rsidTr="008B4001">
        <w:trPr>
          <w:cantSplit/>
          <w:trHeight w:val="974"/>
        </w:trPr>
        <w:tc>
          <w:tcPr>
            <w:tcW w:w="0" w:type="auto"/>
          </w:tcPr>
          <w:p w14:paraId="2E28E5E3" w14:textId="77777777" w:rsidR="00735CA1" w:rsidRPr="000906BD" w:rsidRDefault="00735CA1" w:rsidP="008B4001">
            <w:pPr>
              <w:spacing w:before="120" w:after="120"/>
              <w:rPr>
                <w:b/>
                <w:sz w:val="18"/>
                <w:szCs w:val="18"/>
              </w:rPr>
            </w:pPr>
            <w:r w:rsidRPr="000906BD">
              <w:rPr>
                <w:sz w:val="18"/>
                <w:szCs w:val="18"/>
              </w:rPr>
              <w:t xml:space="preserve">Prospera teams are gender and socially aware  </w:t>
            </w:r>
          </w:p>
        </w:tc>
        <w:tc>
          <w:tcPr>
            <w:tcW w:w="0" w:type="auto"/>
          </w:tcPr>
          <w:p w14:paraId="7207FD9E" w14:textId="77777777" w:rsidR="00735CA1" w:rsidRPr="000906BD" w:rsidRDefault="00735CA1" w:rsidP="008B4001">
            <w:pPr>
              <w:spacing w:before="120" w:after="120"/>
              <w:rPr>
                <w:sz w:val="18"/>
                <w:szCs w:val="18"/>
              </w:rPr>
            </w:pPr>
            <w:r w:rsidRPr="000906BD">
              <w:rPr>
                <w:sz w:val="18"/>
                <w:szCs w:val="18"/>
              </w:rPr>
              <w:t xml:space="preserve">Prospera GESI team to work with all Prospera advisory teams and Australian agencies.  </w:t>
            </w:r>
          </w:p>
        </w:tc>
        <w:tc>
          <w:tcPr>
            <w:tcW w:w="0" w:type="auto"/>
          </w:tcPr>
          <w:p w14:paraId="37999388" w14:textId="77777777" w:rsidR="00735CA1" w:rsidRPr="000906BD" w:rsidRDefault="00735CA1" w:rsidP="008B4001">
            <w:pPr>
              <w:spacing w:before="120" w:after="120" w:line="240" w:lineRule="auto"/>
              <w:rPr>
                <w:sz w:val="18"/>
                <w:szCs w:val="18"/>
              </w:rPr>
            </w:pPr>
            <w:r w:rsidRPr="000906BD">
              <w:rPr>
                <w:sz w:val="18"/>
                <w:szCs w:val="18"/>
              </w:rPr>
              <w:t xml:space="preserve">GESI team develop and deliver training on gender and social inclusion theory and practice in economic development. GESI community of practice shares good approaches. </w:t>
            </w:r>
          </w:p>
        </w:tc>
        <w:tc>
          <w:tcPr>
            <w:tcW w:w="1753" w:type="dxa"/>
          </w:tcPr>
          <w:p w14:paraId="19BD8912" w14:textId="77777777" w:rsidR="00735CA1" w:rsidRPr="000906BD" w:rsidRDefault="00735CA1" w:rsidP="008B4001">
            <w:pPr>
              <w:spacing w:before="120" w:after="120"/>
              <w:rPr>
                <w:sz w:val="18"/>
                <w:szCs w:val="18"/>
              </w:rPr>
            </w:pPr>
            <w:r w:rsidRPr="000906BD">
              <w:rPr>
                <w:sz w:val="18"/>
                <w:szCs w:val="18"/>
              </w:rPr>
              <w:t>Year 1-2 (and ongoing opportunities)</w:t>
            </w:r>
          </w:p>
        </w:tc>
        <w:tc>
          <w:tcPr>
            <w:tcW w:w="3151" w:type="dxa"/>
          </w:tcPr>
          <w:p w14:paraId="17404804" w14:textId="77777777" w:rsidR="00735CA1" w:rsidRPr="000906BD" w:rsidRDefault="00735CA1" w:rsidP="008B4001">
            <w:pPr>
              <w:spacing w:before="120" w:after="120" w:line="240" w:lineRule="auto"/>
              <w:rPr>
                <w:sz w:val="18"/>
                <w:szCs w:val="18"/>
              </w:rPr>
            </w:pPr>
            <w:r w:rsidRPr="000906BD">
              <w:rPr>
                <w:sz w:val="18"/>
                <w:szCs w:val="18"/>
              </w:rPr>
              <w:t xml:space="preserve"># advisers / Australian agency advisers reporting improved knowledge and practice.  </w:t>
            </w:r>
          </w:p>
        </w:tc>
      </w:tr>
      <w:tr w:rsidR="00735CA1" w:rsidRPr="000906BD" w14:paraId="36A9DC80" w14:textId="77777777" w:rsidTr="008B4001">
        <w:trPr>
          <w:cantSplit/>
          <w:trHeight w:val="296"/>
        </w:trPr>
        <w:tc>
          <w:tcPr>
            <w:tcW w:w="13950" w:type="dxa"/>
            <w:gridSpan w:val="5"/>
            <w:shd w:val="clear" w:color="auto" w:fill="D9D9D9" w:themeFill="background1" w:themeFillShade="D9"/>
          </w:tcPr>
          <w:p w14:paraId="57665AB3" w14:textId="1569CA9D" w:rsidR="00735CA1" w:rsidRPr="000906BD" w:rsidRDefault="00735CA1" w:rsidP="008B4001">
            <w:pPr>
              <w:rPr>
                <w:b/>
                <w:sz w:val="18"/>
                <w:szCs w:val="18"/>
              </w:rPr>
            </w:pPr>
            <w:r w:rsidRPr="000906BD">
              <w:rPr>
                <w:b/>
                <w:sz w:val="18"/>
                <w:szCs w:val="18"/>
              </w:rPr>
              <w:t xml:space="preserve">Partner Government Agencies; Activities and Results </w:t>
            </w:r>
          </w:p>
          <w:p w14:paraId="0CB27127" w14:textId="77777777" w:rsidR="00735CA1" w:rsidRPr="000906BD" w:rsidRDefault="00735CA1" w:rsidP="008B4001">
            <w:pPr>
              <w:spacing w:after="0"/>
              <w:rPr>
                <w:i/>
                <w:sz w:val="18"/>
                <w:szCs w:val="18"/>
              </w:rPr>
            </w:pPr>
            <w:r w:rsidRPr="000906BD">
              <w:rPr>
                <w:i/>
                <w:sz w:val="18"/>
                <w:szCs w:val="18"/>
              </w:rPr>
              <w:t xml:space="preserve">Are Prospera’s Indonesian partners becoming more gender aware?  Are officials prioritising gender in their work?  Has Prospera contributed to this? </w:t>
            </w:r>
          </w:p>
          <w:p w14:paraId="34AB9CC4" w14:textId="77777777" w:rsidR="00735CA1" w:rsidRPr="000906BD" w:rsidRDefault="00735CA1" w:rsidP="008B4001">
            <w:pPr>
              <w:spacing w:after="120"/>
              <w:rPr>
                <w:sz w:val="18"/>
                <w:szCs w:val="18"/>
              </w:rPr>
            </w:pPr>
            <w:r w:rsidRPr="000906BD">
              <w:rPr>
                <w:i/>
                <w:sz w:val="18"/>
                <w:szCs w:val="18"/>
              </w:rPr>
              <w:t>Is Prospera contributing to change that is meaningful for women and girls and people living with a disability?</w:t>
            </w:r>
          </w:p>
        </w:tc>
      </w:tr>
      <w:tr w:rsidR="00735CA1" w:rsidRPr="000906BD" w14:paraId="2A12B772" w14:textId="77777777" w:rsidTr="008B4001">
        <w:trPr>
          <w:cantSplit/>
          <w:trHeight w:val="296"/>
        </w:trPr>
        <w:tc>
          <w:tcPr>
            <w:tcW w:w="0" w:type="auto"/>
            <w:vMerge w:val="restart"/>
          </w:tcPr>
          <w:p w14:paraId="2D7CF76A" w14:textId="77777777" w:rsidR="00735CA1" w:rsidRPr="000906BD" w:rsidRDefault="00735CA1" w:rsidP="008B4001">
            <w:pPr>
              <w:spacing w:before="120" w:after="120"/>
              <w:rPr>
                <w:sz w:val="18"/>
                <w:szCs w:val="18"/>
              </w:rPr>
            </w:pPr>
            <w:r w:rsidRPr="000906BD">
              <w:rPr>
                <w:b/>
                <w:sz w:val="18"/>
                <w:szCs w:val="18"/>
              </w:rPr>
              <w:t xml:space="preserve">Existing activities </w:t>
            </w:r>
            <w:r w:rsidRPr="000906BD">
              <w:rPr>
                <w:sz w:val="18"/>
                <w:szCs w:val="18"/>
              </w:rPr>
              <w:t>Prospera GESI activities have been identified to utilise Prospera’s comparative advantage (Section 2 Illustrative Activities in this Strategy).</w:t>
            </w:r>
          </w:p>
          <w:p w14:paraId="2E2C59FA" w14:textId="77777777" w:rsidR="00735CA1" w:rsidRPr="000906BD" w:rsidRDefault="00735CA1" w:rsidP="008B4001">
            <w:pPr>
              <w:spacing w:before="120"/>
              <w:rPr>
                <w:sz w:val="18"/>
                <w:szCs w:val="18"/>
              </w:rPr>
            </w:pPr>
            <w:r w:rsidRPr="000906BD">
              <w:rPr>
                <w:b/>
                <w:sz w:val="18"/>
                <w:szCs w:val="18"/>
              </w:rPr>
              <w:t xml:space="preserve">New activities </w:t>
            </w:r>
            <w:r w:rsidRPr="000906BD">
              <w:rPr>
                <w:sz w:val="18"/>
                <w:szCs w:val="18"/>
              </w:rPr>
              <w:t>Prospera activity plans</w:t>
            </w:r>
            <w:r w:rsidRPr="000906BD">
              <w:rPr>
                <w:b/>
                <w:sz w:val="18"/>
                <w:szCs w:val="18"/>
              </w:rPr>
              <w:t xml:space="preserve"> </w:t>
            </w:r>
            <w:r w:rsidRPr="000906BD">
              <w:rPr>
                <w:sz w:val="18"/>
                <w:szCs w:val="18"/>
              </w:rPr>
              <w:t xml:space="preserve">contain analysis, design and implementation of GESI opportunities. </w:t>
            </w:r>
          </w:p>
          <w:p w14:paraId="768495B2" w14:textId="77777777" w:rsidR="00735CA1" w:rsidRPr="000906BD" w:rsidRDefault="00735CA1" w:rsidP="008B4001">
            <w:pPr>
              <w:spacing w:before="120" w:after="120"/>
              <w:rPr>
                <w:sz w:val="18"/>
                <w:szCs w:val="18"/>
              </w:rPr>
            </w:pPr>
            <w:r w:rsidRPr="000906BD">
              <w:rPr>
                <w:sz w:val="18"/>
                <w:szCs w:val="18"/>
              </w:rPr>
              <w:t>Note: Prospera is aware that it will not necessarily be appropriate or relevant for all activities to include GESI actions</w:t>
            </w:r>
          </w:p>
        </w:tc>
        <w:tc>
          <w:tcPr>
            <w:tcW w:w="0" w:type="auto"/>
            <w:vMerge w:val="restart"/>
          </w:tcPr>
          <w:p w14:paraId="576FD19D" w14:textId="77777777" w:rsidR="00735CA1" w:rsidRPr="000906BD" w:rsidRDefault="00735CA1" w:rsidP="008B4001">
            <w:pPr>
              <w:spacing w:before="120" w:after="120"/>
              <w:rPr>
                <w:sz w:val="18"/>
                <w:szCs w:val="18"/>
              </w:rPr>
            </w:pPr>
            <w:r w:rsidRPr="000906BD">
              <w:rPr>
                <w:sz w:val="18"/>
                <w:szCs w:val="18"/>
              </w:rPr>
              <w:t xml:space="preserve">Prospera GESI team to work with all Prospera advisory teams and Australian agencies.  </w:t>
            </w:r>
          </w:p>
          <w:p w14:paraId="15C7F7D8" w14:textId="77777777" w:rsidR="00F94BE8" w:rsidRDefault="00F94BE8" w:rsidP="008B4001">
            <w:pPr>
              <w:spacing w:before="120"/>
              <w:rPr>
                <w:sz w:val="18"/>
                <w:szCs w:val="18"/>
              </w:rPr>
            </w:pPr>
          </w:p>
          <w:p w14:paraId="77C948ED" w14:textId="52F308B6" w:rsidR="00735CA1" w:rsidRPr="000906BD" w:rsidRDefault="00735CA1" w:rsidP="008B4001">
            <w:pPr>
              <w:spacing w:before="120"/>
              <w:rPr>
                <w:sz w:val="18"/>
                <w:szCs w:val="18"/>
              </w:rPr>
            </w:pPr>
            <w:r w:rsidRPr="000906BD">
              <w:rPr>
                <w:sz w:val="18"/>
                <w:szCs w:val="18"/>
              </w:rPr>
              <w:t>Resources include specialist advisers (existing long term and short term to be recruited) and experts from Prospera’s Australian agency teams.</w:t>
            </w:r>
          </w:p>
        </w:tc>
        <w:tc>
          <w:tcPr>
            <w:tcW w:w="0" w:type="auto"/>
          </w:tcPr>
          <w:p w14:paraId="7FFFA494" w14:textId="77777777" w:rsidR="00735CA1" w:rsidRPr="000906BD" w:rsidRDefault="00735CA1" w:rsidP="008B4001">
            <w:pPr>
              <w:spacing w:before="120" w:after="120" w:line="240" w:lineRule="auto"/>
              <w:rPr>
                <w:sz w:val="18"/>
                <w:szCs w:val="18"/>
              </w:rPr>
            </w:pPr>
            <w:r w:rsidRPr="000906BD">
              <w:rPr>
                <w:sz w:val="18"/>
                <w:szCs w:val="18"/>
              </w:rPr>
              <w:t>Interdisciplinary teams secure appropriate resources to implement each identified activity.</w:t>
            </w:r>
          </w:p>
          <w:p w14:paraId="0D59C4F8" w14:textId="77777777" w:rsidR="00735CA1" w:rsidRPr="000906BD" w:rsidRDefault="00735CA1" w:rsidP="008B4001">
            <w:pPr>
              <w:spacing w:before="120" w:after="120" w:line="240" w:lineRule="auto"/>
              <w:rPr>
                <w:sz w:val="18"/>
                <w:szCs w:val="18"/>
              </w:rPr>
            </w:pPr>
            <w:r w:rsidRPr="000906BD">
              <w:rPr>
                <w:sz w:val="18"/>
                <w:szCs w:val="18"/>
              </w:rPr>
              <w:t>Buy in from appropriate ministries is obtained in the implementation of each activity.</w:t>
            </w:r>
          </w:p>
        </w:tc>
        <w:tc>
          <w:tcPr>
            <w:tcW w:w="1753" w:type="dxa"/>
          </w:tcPr>
          <w:p w14:paraId="47E613AB" w14:textId="77777777" w:rsidR="00735CA1" w:rsidRPr="000906BD" w:rsidRDefault="00735CA1" w:rsidP="008B4001">
            <w:pPr>
              <w:spacing w:before="120" w:after="120"/>
              <w:rPr>
                <w:sz w:val="18"/>
                <w:szCs w:val="18"/>
              </w:rPr>
            </w:pPr>
            <w:r w:rsidRPr="000906BD">
              <w:rPr>
                <w:sz w:val="18"/>
                <w:szCs w:val="18"/>
              </w:rPr>
              <w:t xml:space="preserve">Years 1 to 5 of Prospera </w:t>
            </w:r>
          </w:p>
        </w:tc>
        <w:tc>
          <w:tcPr>
            <w:tcW w:w="3151" w:type="dxa"/>
            <w:shd w:val="clear" w:color="auto" w:fill="FFFFFF" w:themeFill="background1"/>
          </w:tcPr>
          <w:p w14:paraId="608D5C17" w14:textId="77777777" w:rsidR="00735CA1" w:rsidRPr="000906BD" w:rsidRDefault="00735CA1" w:rsidP="008B4001">
            <w:pPr>
              <w:spacing w:before="120"/>
              <w:rPr>
                <w:sz w:val="18"/>
                <w:szCs w:val="18"/>
              </w:rPr>
            </w:pPr>
            <w:r w:rsidRPr="000906BD">
              <w:rPr>
                <w:sz w:val="18"/>
                <w:szCs w:val="18"/>
              </w:rPr>
              <w:t xml:space="preserve">GESI integrated into activity M&amp;E plans developed through the Prospera Knowledge Performance and Learning Framework. </w:t>
            </w:r>
          </w:p>
        </w:tc>
      </w:tr>
      <w:tr w:rsidR="00735CA1" w:rsidRPr="000906BD" w14:paraId="76D6D348" w14:textId="77777777" w:rsidTr="008B4001">
        <w:trPr>
          <w:cantSplit/>
          <w:trHeight w:val="974"/>
        </w:trPr>
        <w:tc>
          <w:tcPr>
            <w:tcW w:w="0" w:type="auto"/>
            <w:vMerge/>
          </w:tcPr>
          <w:p w14:paraId="2B146921" w14:textId="77777777" w:rsidR="00735CA1" w:rsidRPr="000906BD" w:rsidRDefault="00735CA1" w:rsidP="008B4001">
            <w:pPr>
              <w:rPr>
                <w:sz w:val="18"/>
                <w:szCs w:val="18"/>
              </w:rPr>
            </w:pPr>
          </w:p>
        </w:tc>
        <w:tc>
          <w:tcPr>
            <w:tcW w:w="0" w:type="auto"/>
            <w:vMerge/>
          </w:tcPr>
          <w:p w14:paraId="4911F33A" w14:textId="77777777" w:rsidR="00735CA1" w:rsidRPr="000906BD" w:rsidRDefault="00735CA1" w:rsidP="008B4001">
            <w:pPr>
              <w:rPr>
                <w:sz w:val="18"/>
                <w:szCs w:val="18"/>
              </w:rPr>
            </w:pPr>
          </w:p>
        </w:tc>
        <w:tc>
          <w:tcPr>
            <w:tcW w:w="0" w:type="auto"/>
          </w:tcPr>
          <w:p w14:paraId="50ACC28C" w14:textId="77777777" w:rsidR="00735CA1" w:rsidRPr="000906BD" w:rsidRDefault="00735CA1" w:rsidP="008B4001">
            <w:pPr>
              <w:spacing w:before="120"/>
              <w:rPr>
                <w:sz w:val="18"/>
                <w:szCs w:val="18"/>
              </w:rPr>
            </w:pPr>
            <w:r w:rsidRPr="000906BD">
              <w:rPr>
                <w:sz w:val="18"/>
                <w:szCs w:val="18"/>
              </w:rPr>
              <w:t>All Prospera advisors and Australian agencies provided capability development in:</w:t>
            </w:r>
          </w:p>
          <w:p w14:paraId="0EB063D5" w14:textId="77777777" w:rsidR="00735CA1" w:rsidRPr="000906BD" w:rsidRDefault="00735CA1" w:rsidP="00735CA1">
            <w:pPr>
              <w:pStyle w:val="ListParagraph"/>
              <w:numPr>
                <w:ilvl w:val="0"/>
                <w:numId w:val="55"/>
              </w:numPr>
              <w:spacing w:before="120" w:after="0" w:line="240" w:lineRule="auto"/>
              <w:rPr>
                <w:sz w:val="18"/>
                <w:szCs w:val="18"/>
              </w:rPr>
            </w:pPr>
            <w:r w:rsidRPr="000906BD">
              <w:rPr>
                <w:sz w:val="18"/>
                <w:szCs w:val="18"/>
              </w:rPr>
              <w:t>Application of simple GESI analysis tools.</w:t>
            </w:r>
          </w:p>
          <w:p w14:paraId="1FF2963B" w14:textId="77777777" w:rsidR="00735CA1" w:rsidRPr="000906BD" w:rsidRDefault="00735CA1" w:rsidP="00735CA1">
            <w:pPr>
              <w:pStyle w:val="ListParagraph"/>
              <w:numPr>
                <w:ilvl w:val="0"/>
                <w:numId w:val="55"/>
              </w:numPr>
              <w:spacing w:before="120" w:after="0" w:line="240" w:lineRule="auto"/>
              <w:rPr>
                <w:sz w:val="18"/>
                <w:szCs w:val="18"/>
              </w:rPr>
            </w:pPr>
            <w:r w:rsidRPr="000906BD">
              <w:rPr>
                <w:sz w:val="18"/>
                <w:szCs w:val="18"/>
              </w:rPr>
              <w:t>Ways of working with partner agencies to promote GESI practices and principles for social development</w:t>
            </w:r>
          </w:p>
          <w:p w14:paraId="387A2396" w14:textId="77777777" w:rsidR="00735CA1" w:rsidRPr="000906BD" w:rsidRDefault="00735CA1" w:rsidP="00735CA1">
            <w:pPr>
              <w:pStyle w:val="ListParagraph"/>
              <w:numPr>
                <w:ilvl w:val="0"/>
                <w:numId w:val="55"/>
              </w:numPr>
              <w:spacing w:before="120" w:after="120" w:line="240" w:lineRule="auto"/>
              <w:rPr>
                <w:sz w:val="18"/>
                <w:szCs w:val="18"/>
              </w:rPr>
            </w:pPr>
            <w:r w:rsidRPr="000906BD">
              <w:rPr>
                <w:sz w:val="18"/>
                <w:szCs w:val="18"/>
              </w:rPr>
              <w:t>Ways of working with Indonesian partners to own GESI policies and practices</w:t>
            </w:r>
          </w:p>
        </w:tc>
        <w:tc>
          <w:tcPr>
            <w:tcW w:w="1753" w:type="dxa"/>
          </w:tcPr>
          <w:p w14:paraId="40B3F647" w14:textId="77777777" w:rsidR="00735CA1" w:rsidRPr="000906BD" w:rsidRDefault="00735CA1" w:rsidP="008B4001">
            <w:pPr>
              <w:spacing w:before="120"/>
              <w:rPr>
                <w:sz w:val="18"/>
                <w:szCs w:val="18"/>
              </w:rPr>
            </w:pPr>
            <w:r w:rsidRPr="000906BD">
              <w:rPr>
                <w:sz w:val="18"/>
                <w:szCs w:val="18"/>
              </w:rPr>
              <w:t>Year 1-2 (and ongoing opportunities)</w:t>
            </w:r>
          </w:p>
        </w:tc>
        <w:tc>
          <w:tcPr>
            <w:tcW w:w="3151" w:type="dxa"/>
          </w:tcPr>
          <w:p w14:paraId="52FBD1E4" w14:textId="77777777" w:rsidR="00735CA1" w:rsidRPr="000906BD" w:rsidRDefault="00735CA1" w:rsidP="008B4001">
            <w:pPr>
              <w:spacing w:before="120"/>
              <w:rPr>
                <w:sz w:val="18"/>
                <w:szCs w:val="18"/>
              </w:rPr>
            </w:pPr>
            <w:r w:rsidRPr="000906BD">
              <w:rPr>
                <w:sz w:val="18"/>
                <w:szCs w:val="18"/>
              </w:rPr>
              <w:t># advisers / Australian agency officers trained in Prospera specific GESI practices and analysis tools.</w:t>
            </w:r>
          </w:p>
          <w:p w14:paraId="21AFF857" w14:textId="77777777" w:rsidR="00735CA1" w:rsidRPr="000906BD" w:rsidRDefault="00735CA1" w:rsidP="008B4001">
            <w:pPr>
              <w:spacing w:before="120"/>
              <w:rPr>
                <w:sz w:val="18"/>
                <w:szCs w:val="18"/>
              </w:rPr>
            </w:pPr>
            <w:r w:rsidRPr="000906BD">
              <w:rPr>
                <w:sz w:val="18"/>
                <w:szCs w:val="18"/>
              </w:rPr>
              <w:t># of Indonesian government agency officers (men and women) who participate in these learning events.</w:t>
            </w:r>
          </w:p>
        </w:tc>
      </w:tr>
      <w:tr w:rsidR="00735CA1" w:rsidRPr="000906BD" w14:paraId="5CFD1B88" w14:textId="77777777" w:rsidTr="008B4001">
        <w:trPr>
          <w:cantSplit/>
          <w:trHeight w:val="974"/>
        </w:trPr>
        <w:tc>
          <w:tcPr>
            <w:tcW w:w="0" w:type="auto"/>
            <w:vMerge/>
          </w:tcPr>
          <w:p w14:paraId="2A745B68" w14:textId="77777777" w:rsidR="00735CA1" w:rsidRPr="000906BD" w:rsidRDefault="00735CA1" w:rsidP="008B4001">
            <w:pPr>
              <w:rPr>
                <w:sz w:val="18"/>
                <w:szCs w:val="18"/>
              </w:rPr>
            </w:pPr>
          </w:p>
        </w:tc>
        <w:tc>
          <w:tcPr>
            <w:tcW w:w="0" w:type="auto"/>
            <w:vMerge/>
          </w:tcPr>
          <w:p w14:paraId="4CE36E23" w14:textId="77777777" w:rsidR="00735CA1" w:rsidRPr="000906BD" w:rsidRDefault="00735CA1" w:rsidP="008B4001">
            <w:pPr>
              <w:rPr>
                <w:sz w:val="18"/>
                <w:szCs w:val="18"/>
              </w:rPr>
            </w:pPr>
          </w:p>
        </w:tc>
        <w:tc>
          <w:tcPr>
            <w:tcW w:w="0" w:type="auto"/>
          </w:tcPr>
          <w:p w14:paraId="4C0507E3" w14:textId="77777777" w:rsidR="00735CA1" w:rsidRPr="000906BD" w:rsidRDefault="00735CA1" w:rsidP="008B4001">
            <w:pPr>
              <w:spacing w:before="120" w:after="0" w:line="240" w:lineRule="auto"/>
              <w:rPr>
                <w:sz w:val="18"/>
                <w:szCs w:val="18"/>
              </w:rPr>
            </w:pPr>
            <w:r w:rsidRPr="000906BD">
              <w:rPr>
                <w:sz w:val="18"/>
                <w:szCs w:val="18"/>
              </w:rPr>
              <w:t>GESI analysis conducted routinely, and where meaningful GESI work can be implemented, integrated into annual activity / workplan design and implementation processes.</w:t>
            </w:r>
          </w:p>
          <w:p w14:paraId="780C5AC4" w14:textId="77777777" w:rsidR="00735CA1" w:rsidRPr="000906BD" w:rsidRDefault="00735CA1" w:rsidP="008B4001">
            <w:pPr>
              <w:spacing w:before="120" w:after="0" w:line="240" w:lineRule="auto"/>
              <w:rPr>
                <w:sz w:val="18"/>
                <w:szCs w:val="18"/>
              </w:rPr>
            </w:pPr>
            <w:r w:rsidRPr="000906BD">
              <w:rPr>
                <w:sz w:val="18"/>
                <w:szCs w:val="18"/>
              </w:rPr>
              <w:t xml:space="preserve">All Australian agency workplans refreshed with a GESI lens applied to workplan development. </w:t>
            </w:r>
          </w:p>
          <w:p w14:paraId="0D03001A" w14:textId="77777777" w:rsidR="00735CA1" w:rsidRPr="000906BD" w:rsidRDefault="00735CA1" w:rsidP="008B4001">
            <w:pPr>
              <w:spacing w:before="120" w:after="0" w:line="240" w:lineRule="auto"/>
              <w:rPr>
                <w:sz w:val="18"/>
                <w:szCs w:val="18"/>
              </w:rPr>
            </w:pPr>
            <w:r w:rsidRPr="000906BD">
              <w:rPr>
                <w:sz w:val="18"/>
                <w:szCs w:val="18"/>
              </w:rPr>
              <w:t>Prospera activities integrating and leveraging GESI opportunities in other Australian government funded programs.</w:t>
            </w:r>
          </w:p>
        </w:tc>
        <w:tc>
          <w:tcPr>
            <w:tcW w:w="1753" w:type="dxa"/>
          </w:tcPr>
          <w:p w14:paraId="47279254" w14:textId="77777777" w:rsidR="00735CA1" w:rsidRPr="000906BD" w:rsidRDefault="00735CA1" w:rsidP="008B4001">
            <w:pPr>
              <w:spacing w:before="120"/>
              <w:rPr>
                <w:sz w:val="18"/>
                <w:szCs w:val="18"/>
              </w:rPr>
            </w:pPr>
            <w:r w:rsidRPr="000906BD">
              <w:rPr>
                <w:sz w:val="18"/>
                <w:szCs w:val="18"/>
              </w:rPr>
              <w:t>Years 2-5</w:t>
            </w:r>
          </w:p>
        </w:tc>
        <w:tc>
          <w:tcPr>
            <w:tcW w:w="3151" w:type="dxa"/>
          </w:tcPr>
          <w:p w14:paraId="542572C9" w14:textId="77777777" w:rsidR="00735CA1" w:rsidRPr="000906BD" w:rsidRDefault="00735CA1" w:rsidP="008B4001">
            <w:pPr>
              <w:spacing w:before="120" w:after="0" w:line="240" w:lineRule="auto"/>
              <w:rPr>
                <w:sz w:val="18"/>
                <w:szCs w:val="18"/>
              </w:rPr>
            </w:pPr>
            <w:r w:rsidRPr="000906BD">
              <w:rPr>
                <w:sz w:val="18"/>
                <w:szCs w:val="18"/>
              </w:rPr>
              <w:t>By Year 2: All advisers and Australian agency officers trained in valid GESI analysis and applying approaches.</w:t>
            </w:r>
          </w:p>
          <w:p w14:paraId="3BB173CB" w14:textId="77777777" w:rsidR="00735CA1" w:rsidRPr="000906BD" w:rsidRDefault="00735CA1" w:rsidP="008B4001">
            <w:pPr>
              <w:spacing w:before="120" w:after="0" w:line="240" w:lineRule="auto"/>
              <w:rPr>
                <w:sz w:val="18"/>
                <w:szCs w:val="18"/>
              </w:rPr>
            </w:pPr>
            <w:r w:rsidRPr="000906BD">
              <w:rPr>
                <w:sz w:val="18"/>
                <w:szCs w:val="18"/>
              </w:rPr>
              <w:t>By Year 3: 100% of activity design processes applying GESI analysis tools.</w:t>
            </w:r>
          </w:p>
          <w:p w14:paraId="21B4065E" w14:textId="77777777" w:rsidR="00735CA1" w:rsidRPr="000906BD" w:rsidRDefault="00735CA1" w:rsidP="008B4001">
            <w:pPr>
              <w:spacing w:before="120" w:after="0" w:line="240" w:lineRule="auto"/>
              <w:rPr>
                <w:sz w:val="18"/>
                <w:szCs w:val="18"/>
              </w:rPr>
            </w:pPr>
            <w:r w:rsidRPr="000906BD">
              <w:rPr>
                <w:sz w:val="18"/>
                <w:szCs w:val="18"/>
              </w:rPr>
              <w:t>By Year 3 all Australian agency workplans refreshed, with a GESI lens applied.</w:t>
            </w:r>
          </w:p>
          <w:p w14:paraId="126512E7" w14:textId="77777777" w:rsidR="00735CA1" w:rsidRPr="000906BD" w:rsidRDefault="00735CA1" w:rsidP="008B4001">
            <w:pPr>
              <w:spacing w:before="120" w:after="0" w:line="240" w:lineRule="auto"/>
              <w:rPr>
                <w:sz w:val="18"/>
                <w:szCs w:val="18"/>
              </w:rPr>
            </w:pPr>
            <w:r w:rsidRPr="000906BD">
              <w:rPr>
                <w:sz w:val="18"/>
                <w:szCs w:val="18"/>
              </w:rPr>
              <w:t>Ongoing: % of Prospera activities with meaningful GESI outcomes included and successfully implemented.</w:t>
            </w:r>
          </w:p>
          <w:p w14:paraId="4A92D7B9" w14:textId="77777777" w:rsidR="00735CA1" w:rsidRPr="000906BD" w:rsidRDefault="00735CA1" w:rsidP="008B4001">
            <w:pPr>
              <w:spacing w:before="120" w:after="0" w:line="240" w:lineRule="auto"/>
              <w:rPr>
                <w:sz w:val="18"/>
                <w:szCs w:val="18"/>
              </w:rPr>
            </w:pPr>
            <w:r w:rsidRPr="000906BD">
              <w:rPr>
                <w:sz w:val="18"/>
                <w:szCs w:val="18"/>
              </w:rPr>
              <w:t>Year 4: % of Prospera activity-level reports evidence meaningful / authentic and validly measured GESI outcomes.</w:t>
            </w:r>
          </w:p>
          <w:p w14:paraId="7E6AA9B2" w14:textId="77777777" w:rsidR="00735CA1" w:rsidRPr="000906BD" w:rsidRDefault="00735CA1" w:rsidP="008B4001">
            <w:pPr>
              <w:spacing w:before="120" w:after="0" w:line="240" w:lineRule="auto"/>
              <w:rPr>
                <w:sz w:val="18"/>
                <w:szCs w:val="18"/>
              </w:rPr>
            </w:pPr>
            <w:r w:rsidRPr="000906BD">
              <w:rPr>
                <w:sz w:val="18"/>
                <w:szCs w:val="18"/>
              </w:rPr>
              <w:t>Years 2-5: # of opportunities taken to leverage other DFAT programs with authentic GESI initiatives.</w:t>
            </w:r>
          </w:p>
        </w:tc>
      </w:tr>
      <w:tr w:rsidR="00735CA1" w:rsidRPr="000906BD" w14:paraId="2EF27D5C" w14:textId="77777777" w:rsidTr="008B4001">
        <w:trPr>
          <w:cantSplit/>
          <w:trHeight w:val="437"/>
        </w:trPr>
        <w:tc>
          <w:tcPr>
            <w:tcW w:w="0" w:type="auto"/>
            <w:gridSpan w:val="5"/>
            <w:shd w:val="clear" w:color="auto" w:fill="D9D9D9" w:themeFill="background1" w:themeFillShade="D9"/>
          </w:tcPr>
          <w:p w14:paraId="751612A2" w14:textId="65BD798E" w:rsidR="00735CA1" w:rsidRPr="000906BD" w:rsidRDefault="00735CA1" w:rsidP="008B4001">
            <w:pPr>
              <w:rPr>
                <w:b/>
                <w:sz w:val="18"/>
                <w:szCs w:val="18"/>
              </w:rPr>
            </w:pPr>
            <w:r w:rsidRPr="000906BD">
              <w:rPr>
                <w:b/>
                <w:sz w:val="18"/>
                <w:szCs w:val="18"/>
              </w:rPr>
              <w:t xml:space="preserve">Partner Government Agencies; Activities and Results </w:t>
            </w:r>
          </w:p>
          <w:p w14:paraId="6AD5D612" w14:textId="77777777" w:rsidR="00735CA1" w:rsidRPr="000906BD" w:rsidRDefault="00735CA1" w:rsidP="008B4001">
            <w:pPr>
              <w:spacing w:after="0"/>
              <w:rPr>
                <w:i/>
                <w:sz w:val="18"/>
                <w:szCs w:val="18"/>
              </w:rPr>
            </w:pPr>
            <w:r w:rsidRPr="000906BD">
              <w:rPr>
                <w:i/>
                <w:sz w:val="18"/>
                <w:szCs w:val="18"/>
              </w:rPr>
              <w:t xml:space="preserve">Are Prospera’s Indonesian partners becoming more gender aware?  Are officials prioritising gender in their work?  Has Prospera contributed to this? </w:t>
            </w:r>
          </w:p>
          <w:p w14:paraId="28826F3F" w14:textId="77777777" w:rsidR="00735CA1" w:rsidRPr="000906BD" w:rsidRDefault="00735CA1" w:rsidP="008B4001">
            <w:pPr>
              <w:spacing w:after="120"/>
              <w:rPr>
                <w:i/>
                <w:sz w:val="18"/>
                <w:szCs w:val="18"/>
              </w:rPr>
            </w:pPr>
            <w:r w:rsidRPr="000906BD">
              <w:rPr>
                <w:i/>
                <w:sz w:val="18"/>
                <w:szCs w:val="18"/>
              </w:rPr>
              <w:t xml:space="preserve">Is Prospera contributing to change that is meaningful for women and girls and people living with a disability? </w:t>
            </w:r>
          </w:p>
        </w:tc>
      </w:tr>
      <w:tr w:rsidR="00735CA1" w:rsidRPr="000906BD" w14:paraId="641FF893" w14:textId="77777777" w:rsidTr="008B4001">
        <w:trPr>
          <w:cantSplit/>
          <w:trHeight w:val="311"/>
        </w:trPr>
        <w:tc>
          <w:tcPr>
            <w:tcW w:w="0" w:type="auto"/>
          </w:tcPr>
          <w:p w14:paraId="27BFF21D" w14:textId="77777777" w:rsidR="00735CA1" w:rsidRPr="000906BD" w:rsidRDefault="00735CA1" w:rsidP="008B4001">
            <w:pPr>
              <w:spacing w:before="120" w:after="120"/>
              <w:rPr>
                <w:b/>
                <w:sz w:val="18"/>
                <w:szCs w:val="18"/>
              </w:rPr>
            </w:pPr>
            <w:r w:rsidRPr="000906BD">
              <w:rPr>
                <w:b/>
                <w:sz w:val="18"/>
                <w:szCs w:val="18"/>
              </w:rPr>
              <w:t xml:space="preserve">Application of Prospera’s Inclusive Growth framework </w:t>
            </w:r>
          </w:p>
          <w:p w14:paraId="09B80526" w14:textId="77777777" w:rsidR="00735CA1" w:rsidRPr="000906BD" w:rsidRDefault="00735CA1" w:rsidP="00735CA1">
            <w:pPr>
              <w:pStyle w:val="ListParagraph"/>
              <w:numPr>
                <w:ilvl w:val="0"/>
                <w:numId w:val="54"/>
              </w:numPr>
              <w:spacing w:before="120" w:after="120" w:line="240" w:lineRule="auto"/>
              <w:contextualSpacing w:val="0"/>
              <w:rPr>
                <w:sz w:val="18"/>
                <w:szCs w:val="18"/>
              </w:rPr>
            </w:pPr>
            <w:r w:rsidRPr="000906BD">
              <w:rPr>
                <w:sz w:val="18"/>
                <w:szCs w:val="18"/>
              </w:rPr>
              <w:t>Benefits Incidence Tool</w:t>
            </w:r>
          </w:p>
          <w:p w14:paraId="73AA48A3" w14:textId="77777777" w:rsidR="00735CA1" w:rsidRPr="000906BD" w:rsidRDefault="00735CA1" w:rsidP="00735CA1">
            <w:pPr>
              <w:pStyle w:val="ListParagraph"/>
              <w:numPr>
                <w:ilvl w:val="0"/>
                <w:numId w:val="54"/>
              </w:numPr>
              <w:spacing w:before="120" w:after="120" w:line="240" w:lineRule="auto"/>
              <w:contextualSpacing w:val="0"/>
              <w:rPr>
                <w:sz w:val="18"/>
                <w:szCs w:val="18"/>
              </w:rPr>
            </w:pPr>
            <w:r w:rsidRPr="000906BD">
              <w:rPr>
                <w:sz w:val="18"/>
                <w:szCs w:val="18"/>
              </w:rPr>
              <w:t>Inclusive Growth Matrix</w:t>
            </w:r>
          </w:p>
          <w:p w14:paraId="66B17A24" w14:textId="77777777" w:rsidR="00735CA1" w:rsidRPr="000906BD" w:rsidRDefault="00735CA1" w:rsidP="00735CA1">
            <w:pPr>
              <w:pStyle w:val="ListParagraph"/>
              <w:numPr>
                <w:ilvl w:val="0"/>
                <w:numId w:val="54"/>
              </w:numPr>
              <w:spacing w:before="120" w:after="120" w:line="240" w:lineRule="auto"/>
              <w:contextualSpacing w:val="0"/>
              <w:rPr>
                <w:sz w:val="18"/>
                <w:szCs w:val="18"/>
              </w:rPr>
            </w:pPr>
            <w:r w:rsidRPr="000906BD">
              <w:rPr>
                <w:sz w:val="18"/>
                <w:szCs w:val="18"/>
              </w:rPr>
              <w:t>Inclusiveness Index</w:t>
            </w:r>
          </w:p>
        </w:tc>
        <w:tc>
          <w:tcPr>
            <w:tcW w:w="0" w:type="auto"/>
          </w:tcPr>
          <w:p w14:paraId="41A7AAB1" w14:textId="77777777" w:rsidR="00735CA1" w:rsidRPr="000906BD" w:rsidRDefault="00735CA1" w:rsidP="008B4001">
            <w:pPr>
              <w:spacing w:before="120"/>
              <w:rPr>
                <w:sz w:val="18"/>
                <w:szCs w:val="18"/>
              </w:rPr>
            </w:pPr>
            <w:r w:rsidRPr="000906BD">
              <w:rPr>
                <w:sz w:val="18"/>
                <w:szCs w:val="18"/>
              </w:rPr>
              <w:t>Prospera Economics and Inclusion team and policy advisers understanding, owning and advocating for the framework</w:t>
            </w:r>
          </w:p>
        </w:tc>
        <w:tc>
          <w:tcPr>
            <w:tcW w:w="0" w:type="auto"/>
          </w:tcPr>
          <w:p w14:paraId="584C2C8E" w14:textId="77777777" w:rsidR="00735CA1" w:rsidRPr="000906BD" w:rsidRDefault="00735CA1" w:rsidP="008B4001">
            <w:pPr>
              <w:spacing w:before="120" w:after="120" w:line="240" w:lineRule="auto"/>
              <w:rPr>
                <w:sz w:val="18"/>
                <w:szCs w:val="18"/>
              </w:rPr>
            </w:pPr>
            <w:r w:rsidRPr="000906BD">
              <w:rPr>
                <w:sz w:val="18"/>
                <w:szCs w:val="18"/>
              </w:rPr>
              <w:t>Economics &amp; Inclusion team applying the framework to all feasible policy analysis opportunities</w:t>
            </w:r>
          </w:p>
          <w:p w14:paraId="7D561EC5" w14:textId="77777777" w:rsidR="00735CA1" w:rsidRPr="000906BD" w:rsidRDefault="00735CA1" w:rsidP="008B4001">
            <w:pPr>
              <w:spacing w:before="120" w:after="120" w:line="240" w:lineRule="auto"/>
              <w:rPr>
                <w:sz w:val="18"/>
                <w:szCs w:val="18"/>
              </w:rPr>
            </w:pPr>
            <w:r w:rsidRPr="000906BD">
              <w:rPr>
                <w:sz w:val="18"/>
                <w:szCs w:val="18"/>
              </w:rPr>
              <w:t>Developing the capability of government economists to apply this framework in economic planning and resource allocation</w:t>
            </w:r>
          </w:p>
          <w:p w14:paraId="6BE76DF0" w14:textId="77777777" w:rsidR="00735CA1" w:rsidRPr="000906BD" w:rsidRDefault="00735CA1" w:rsidP="008B4001">
            <w:pPr>
              <w:spacing w:before="120" w:after="120" w:line="240" w:lineRule="auto"/>
              <w:rPr>
                <w:sz w:val="18"/>
                <w:szCs w:val="18"/>
              </w:rPr>
            </w:pPr>
            <w:r w:rsidRPr="000906BD">
              <w:rPr>
                <w:sz w:val="18"/>
                <w:szCs w:val="18"/>
              </w:rPr>
              <w:t>Applying this framework to build inclusion into Indonesia’s economic framework</w:t>
            </w:r>
          </w:p>
          <w:p w14:paraId="2871927D" w14:textId="77777777" w:rsidR="00735CA1" w:rsidRPr="000906BD" w:rsidRDefault="00735CA1" w:rsidP="008B4001">
            <w:pPr>
              <w:spacing w:before="120" w:after="120" w:line="240" w:lineRule="auto"/>
              <w:rPr>
                <w:sz w:val="18"/>
                <w:szCs w:val="18"/>
              </w:rPr>
            </w:pPr>
          </w:p>
          <w:p w14:paraId="280D9A75" w14:textId="77777777" w:rsidR="00735CA1" w:rsidRPr="000906BD" w:rsidRDefault="00735CA1" w:rsidP="008B4001">
            <w:pPr>
              <w:spacing w:before="120" w:after="120" w:line="240" w:lineRule="auto"/>
              <w:rPr>
                <w:sz w:val="18"/>
                <w:szCs w:val="18"/>
              </w:rPr>
            </w:pPr>
          </w:p>
          <w:p w14:paraId="2CEB3433" w14:textId="77777777" w:rsidR="00735CA1" w:rsidRPr="000906BD" w:rsidRDefault="00735CA1" w:rsidP="008B4001">
            <w:pPr>
              <w:spacing w:before="120" w:after="120" w:line="240" w:lineRule="auto"/>
              <w:rPr>
                <w:sz w:val="18"/>
                <w:szCs w:val="18"/>
              </w:rPr>
            </w:pPr>
          </w:p>
          <w:p w14:paraId="563E5D1F" w14:textId="77777777" w:rsidR="00735CA1" w:rsidRPr="000906BD" w:rsidRDefault="00735CA1" w:rsidP="008B4001">
            <w:pPr>
              <w:spacing w:before="120"/>
              <w:rPr>
                <w:sz w:val="18"/>
                <w:szCs w:val="18"/>
              </w:rPr>
            </w:pPr>
          </w:p>
        </w:tc>
        <w:tc>
          <w:tcPr>
            <w:tcW w:w="1753" w:type="dxa"/>
          </w:tcPr>
          <w:p w14:paraId="31874AE0" w14:textId="77777777" w:rsidR="00735CA1" w:rsidRPr="000906BD" w:rsidRDefault="00735CA1" w:rsidP="008B4001">
            <w:pPr>
              <w:spacing w:before="120"/>
              <w:rPr>
                <w:sz w:val="18"/>
                <w:szCs w:val="18"/>
              </w:rPr>
            </w:pPr>
            <w:r w:rsidRPr="000906BD">
              <w:rPr>
                <w:sz w:val="18"/>
                <w:szCs w:val="18"/>
              </w:rPr>
              <w:t>Throughout the life of Prospera - at the right times when the Indonesian government needs it and can benefit</w:t>
            </w:r>
          </w:p>
        </w:tc>
        <w:tc>
          <w:tcPr>
            <w:tcW w:w="3151" w:type="dxa"/>
          </w:tcPr>
          <w:p w14:paraId="2E503A55" w14:textId="77777777" w:rsidR="00735CA1" w:rsidRPr="000906BD" w:rsidRDefault="00735CA1" w:rsidP="008B4001">
            <w:pPr>
              <w:spacing w:before="120" w:after="120" w:line="240" w:lineRule="auto"/>
              <w:rPr>
                <w:sz w:val="18"/>
                <w:szCs w:val="18"/>
              </w:rPr>
            </w:pPr>
            <w:r w:rsidRPr="000906BD">
              <w:rPr>
                <w:sz w:val="18"/>
                <w:szCs w:val="18"/>
              </w:rPr>
              <w:t># of instances of use of the Inclusive Growth framework</w:t>
            </w:r>
          </w:p>
          <w:p w14:paraId="56DAA93E" w14:textId="77777777" w:rsidR="00735CA1" w:rsidRPr="000906BD" w:rsidRDefault="00735CA1" w:rsidP="008B4001">
            <w:pPr>
              <w:spacing w:before="120" w:after="120" w:line="240" w:lineRule="auto"/>
              <w:rPr>
                <w:sz w:val="18"/>
                <w:szCs w:val="18"/>
              </w:rPr>
            </w:pPr>
            <w:r w:rsidRPr="000906BD">
              <w:rPr>
                <w:sz w:val="18"/>
                <w:szCs w:val="18"/>
              </w:rPr>
              <w:t># of Indonesians trained in applying the framework</w:t>
            </w:r>
          </w:p>
          <w:p w14:paraId="1D9B8B9D" w14:textId="77777777" w:rsidR="00735CA1" w:rsidRPr="000906BD" w:rsidRDefault="00735CA1" w:rsidP="008B4001">
            <w:pPr>
              <w:spacing w:before="120" w:after="120" w:line="240" w:lineRule="auto"/>
              <w:rPr>
                <w:sz w:val="18"/>
                <w:szCs w:val="18"/>
              </w:rPr>
            </w:pPr>
            <w:r w:rsidRPr="000906BD">
              <w:rPr>
                <w:sz w:val="18"/>
                <w:szCs w:val="18"/>
              </w:rPr>
              <w:t># of policies that have been developed using the framework</w:t>
            </w:r>
          </w:p>
          <w:p w14:paraId="7347C293" w14:textId="77777777" w:rsidR="00735CA1" w:rsidRPr="000906BD" w:rsidRDefault="00735CA1" w:rsidP="008B4001">
            <w:pPr>
              <w:spacing w:before="120" w:after="120" w:line="240" w:lineRule="auto"/>
              <w:rPr>
                <w:sz w:val="18"/>
                <w:szCs w:val="18"/>
              </w:rPr>
            </w:pPr>
            <w:r w:rsidRPr="000906BD">
              <w:rPr>
                <w:sz w:val="18"/>
                <w:szCs w:val="18"/>
              </w:rPr>
              <w:t>Policies are being implemented (stakeholders verify this).</w:t>
            </w:r>
          </w:p>
          <w:p w14:paraId="2300789E" w14:textId="77777777" w:rsidR="00735CA1" w:rsidRPr="000906BD" w:rsidRDefault="00735CA1" w:rsidP="008B4001">
            <w:pPr>
              <w:spacing w:before="120" w:after="120"/>
              <w:rPr>
                <w:sz w:val="18"/>
                <w:szCs w:val="18"/>
              </w:rPr>
            </w:pPr>
          </w:p>
        </w:tc>
      </w:tr>
    </w:tbl>
    <w:p w14:paraId="398FFB91" w14:textId="77777777" w:rsidR="00735CA1" w:rsidRPr="00735CA1" w:rsidRDefault="00735CA1" w:rsidP="00735CA1">
      <w:pPr>
        <w:pStyle w:val="BodyText"/>
        <w:rPr>
          <w:sz w:val="18"/>
          <w:szCs w:val="18"/>
        </w:rPr>
      </w:pPr>
      <w:r w:rsidRPr="00735CA1">
        <w:rPr>
          <w:sz w:val="18"/>
          <w:szCs w:val="18"/>
        </w:rPr>
        <w:t>GESI = Gender and Social Inclusion</w:t>
      </w:r>
    </w:p>
    <w:p w14:paraId="787122EE" w14:textId="77777777" w:rsidR="00735CA1" w:rsidRPr="00735CA1" w:rsidRDefault="00735CA1" w:rsidP="00735CA1"/>
    <w:p w14:paraId="421239FF" w14:textId="6B7FD766" w:rsidR="0083335F" w:rsidRPr="0083335F" w:rsidRDefault="0083335F" w:rsidP="0083335F">
      <w:pPr>
        <w:sectPr w:rsidR="0083335F" w:rsidRPr="0083335F" w:rsidSect="0083335F">
          <w:pgSz w:w="16840" w:h="11900" w:orient="landscape"/>
          <w:pgMar w:top="1440" w:right="1440" w:bottom="1440" w:left="1440" w:header="850" w:footer="850" w:gutter="0"/>
          <w:cols w:space="708"/>
          <w:docGrid w:linePitch="360"/>
        </w:sectPr>
      </w:pPr>
    </w:p>
    <w:p w14:paraId="3962DAD5" w14:textId="3D890690" w:rsidR="004D5B4D" w:rsidRPr="000E7A9A" w:rsidRDefault="00334B64" w:rsidP="0082195C">
      <w:pPr>
        <w:pStyle w:val="Heading1"/>
        <w:numPr>
          <w:ilvl w:val="0"/>
          <w:numId w:val="0"/>
        </w:numPr>
        <w:ind w:left="851" w:hanging="851"/>
      </w:pPr>
      <w:bookmarkStart w:id="205" w:name="_Toc532991085"/>
      <w:r>
        <w:t xml:space="preserve">Annex </w:t>
      </w:r>
      <w:r w:rsidR="00735CA1">
        <w:t>8</w:t>
      </w:r>
      <w:r>
        <w:tab/>
      </w:r>
      <w:r w:rsidR="004D5B4D" w:rsidRPr="000E7A9A">
        <w:t>Glossary</w:t>
      </w:r>
      <w:bookmarkEnd w:id="200"/>
      <w:bookmarkEnd w:id="205"/>
    </w:p>
    <w:tbl>
      <w:tblPr>
        <w:tblStyle w:val="TableGrid4"/>
        <w:tblW w:w="9209" w:type="dxa"/>
        <w:tblLook w:val="04A0" w:firstRow="1" w:lastRow="0" w:firstColumn="1" w:lastColumn="0" w:noHBand="0" w:noVBand="1"/>
      </w:tblPr>
      <w:tblGrid>
        <w:gridCol w:w="2402"/>
        <w:gridCol w:w="6807"/>
      </w:tblGrid>
      <w:tr w:rsidR="000E7A9A" w:rsidRPr="00635E8B" w14:paraId="4B7F9197" w14:textId="77777777" w:rsidTr="000E7A9A">
        <w:trPr>
          <w:cantSplit/>
          <w:trHeight w:val="404"/>
          <w:tblHeader/>
        </w:trPr>
        <w:tc>
          <w:tcPr>
            <w:tcW w:w="2402" w:type="dxa"/>
            <w:shd w:val="clear" w:color="auto" w:fill="20ABCA"/>
            <w:vAlign w:val="center"/>
          </w:tcPr>
          <w:p w14:paraId="4A99617B" w14:textId="0986882B" w:rsidR="000E7A9A" w:rsidRPr="00635E8B" w:rsidRDefault="000E7A9A" w:rsidP="00BE60F3">
            <w:pPr>
              <w:spacing w:before="120" w:after="120" w:line="240" w:lineRule="auto"/>
              <w:rPr>
                <w:rFonts w:eastAsia="Franklin Gothic Book" w:cs="Arial"/>
                <w:b/>
                <w:color w:val="FFFFFF"/>
                <w:sz w:val="20"/>
                <w:szCs w:val="20"/>
              </w:rPr>
            </w:pPr>
            <w:r w:rsidRPr="00635E8B">
              <w:rPr>
                <w:rFonts w:eastAsia="Franklin Gothic Book" w:cs="Arial"/>
                <w:b/>
                <w:color w:val="FFFFFF"/>
                <w:sz w:val="20"/>
                <w:szCs w:val="20"/>
              </w:rPr>
              <w:t xml:space="preserve">Term </w:t>
            </w:r>
          </w:p>
        </w:tc>
        <w:tc>
          <w:tcPr>
            <w:tcW w:w="6807" w:type="dxa"/>
            <w:shd w:val="clear" w:color="auto" w:fill="20ABCA"/>
            <w:vAlign w:val="center"/>
          </w:tcPr>
          <w:p w14:paraId="793D9B66" w14:textId="0922805D" w:rsidR="000E7A9A" w:rsidRPr="00635E8B" w:rsidRDefault="000E7A9A" w:rsidP="00BE60F3">
            <w:pPr>
              <w:spacing w:before="120" w:after="120" w:line="240" w:lineRule="auto"/>
              <w:rPr>
                <w:rFonts w:eastAsia="Franklin Gothic Book" w:cs="Arial"/>
                <w:b/>
                <w:color w:val="FFFFFF"/>
                <w:sz w:val="20"/>
                <w:szCs w:val="20"/>
              </w:rPr>
            </w:pPr>
            <w:r w:rsidRPr="00635E8B">
              <w:rPr>
                <w:rFonts w:eastAsia="Franklin Gothic Book" w:cs="Arial"/>
                <w:b/>
                <w:color w:val="FFFFFF"/>
                <w:sz w:val="20"/>
                <w:szCs w:val="20"/>
              </w:rPr>
              <w:t>Meaning</w:t>
            </w:r>
          </w:p>
        </w:tc>
      </w:tr>
      <w:tr w:rsidR="000E7A9A" w:rsidRPr="00635E8B" w14:paraId="212E2128" w14:textId="77777777" w:rsidTr="000E7A9A">
        <w:trPr>
          <w:cantSplit/>
        </w:trPr>
        <w:tc>
          <w:tcPr>
            <w:tcW w:w="2402" w:type="dxa"/>
            <w:vAlign w:val="center"/>
          </w:tcPr>
          <w:p w14:paraId="4EE8BD9C"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b/>
                <w:sz w:val="20"/>
                <w:szCs w:val="20"/>
              </w:rPr>
              <w:t>Activity</w:t>
            </w:r>
          </w:p>
        </w:tc>
        <w:tc>
          <w:tcPr>
            <w:tcW w:w="6807" w:type="dxa"/>
            <w:vAlign w:val="center"/>
          </w:tcPr>
          <w:p w14:paraId="51BED63F"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sz w:val="20"/>
                <w:szCs w:val="20"/>
              </w:rPr>
              <w:t xml:space="preserve">Actions taken or work performed through which inputs, such as funds, technical assistance and other types of resources, are mobilised to produce specific outputs or outcomes. </w:t>
            </w:r>
          </w:p>
        </w:tc>
      </w:tr>
      <w:tr w:rsidR="000E7A9A" w:rsidRPr="00635E8B" w14:paraId="0F60D957" w14:textId="77777777" w:rsidTr="000E7A9A">
        <w:trPr>
          <w:cantSplit/>
        </w:trPr>
        <w:tc>
          <w:tcPr>
            <w:tcW w:w="2402" w:type="dxa"/>
            <w:vAlign w:val="center"/>
          </w:tcPr>
          <w:p w14:paraId="01BAAF16"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b/>
                <w:sz w:val="20"/>
                <w:szCs w:val="20"/>
              </w:rPr>
              <w:t>Agreement</w:t>
            </w:r>
          </w:p>
        </w:tc>
        <w:tc>
          <w:tcPr>
            <w:tcW w:w="6807" w:type="dxa"/>
            <w:vAlign w:val="center"/>
          </w:tcPr>
          <w:p w14:paraId="71DB9144"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sz w:val="20"/>
                <w:szCs w:val="20"/>
              </w:rPr>
              <w:t xml:space="preserve">An agreement between two or more authorised persons on behalf of themselves or their organisations to perform specific acts that are enforceable in law (referred in AidWorks as an Agreement). This agreement gives effect to the actions being undertaken by an aid investment. It may be a commercial contract (or purchase order) to procure goods and services for the Australian Government or a grant agreement. </w:t>
            </w:r>
          </w:p>
        </w:tc>
      </w:tr>
      <w:tr w:rsidR="000E7A9A" w:rsidRPr="00635E8B" w14:paraId="7A2F1B15" w14:textId="77777777" w:rsidTr="000E7A9A">
        <w:trPr>
          <w:cantSplit/>
        </w:trPr>
        <w:tc>
          <w:tcPr>
            <w:tcW w:w="2402" w:type="dxa"/>
            <w:vAlign w:val="center"/>
          </w:tcPr>
          <w:p w14:paraId="117E9DEC"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b/>
                <w:sz w:val="20"/>
                <w:szCs w:val="20"/>
              </w:rPr>
              <w:t>Aid Investment Plan (AIP)</w:t>
            </w:r>
          </w:p>
        </w:tc>
        <w:tc>
          <w:tcPr>
            <w:tcW w:w="6807" w:type="dxa"/>
            <w:vAlign w:val="center"/>
          </w:tcPr>
          <w:p w14:paraId="417D2CDE"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sz w:val="20"/>
                <w:szCs w:val="20"/>
              </w:rPr>
              <w:t>Aid Investment Plans set out the direction for a country or regional aid program and link the strategic objectives with programming choices and expected results.</w:t>
            </w:r>
          </w:p>
        </w:tc>
      </w:tr>
      <w:tr w:rsidR="000E7A9A" w:rsidRPr="00635E8B" w14:paraId="08726847" w14:textId="77777777" w:rsidTr="000E7A9A">
        <w:trPr>
          <w:cantSplit/>
        </w:trPr>
        <w:tc>
          <w:tcPr>
            <w:tcW w:w="2402" w:type="dxa"/>
            <w:vAlign w:val="center"/>
          </w:tcPr>
          <w:p w14:paraId="7C2EFE0B"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Aid Quality Checks (AQC)</w:t>
            </w:r>
          </w:p>
          <w:p w14:paraId="31D4F14B" w14:textId="77777777" w:rsidR="000E7A9A" w:rsidRPr="00635E8B" w:rsidRDefault="000E7A9A" w:rsidP="00BE60F3">
            <w:pPr>
              <w:spacing w:before="120" w:after="120" w:line="240" w:lineRule="auto"/>
              <w:rPr>
                <w:rFonts w:eastAsia="Calibri" w:cs="Arial"/>
                <w:sz w:val="20"/>
                <w:szCs w:val="20"/>
                <w:highlight w:val="yellow"/>
              </w:rPr>
            </w:pPr>
          </w:p>
        </w:tc>
        <w:tc>
          <w:tcPr>
            <w:tcW w:w="6807" w:type="dxa"/>
            <w:vAlign w:val="center"/>
          </w:tcPr>
          <w:p w14:paraId="5139A97B" w14:textId="77777777" w:rsidR="000E7A9A" w:rsidRPr="00635E8B" w:rsidRDefault="000E7A9A" w:rsidP="00BE60F3">
            <w:pPr>
              <w:spacing w:before="120" w:after="120" w:line="240" w:lineRule="auto"/>
              <w:rPr>
                <w:rFonts w:eastAsia="Franklin Gothic Book" w:cs="Arial"/>
                <w:noProof/>
                <w:sz w:val="20"/>
                <w:szCs w:val="20"/>
                <w:lang w:eastAsia="en-AU"/>
              </w:rPr>
            </w:pPr>
            <w:r w:rsidRPr="00635E8B">
              <w:rPr>
                <w:rFonts w:eastAsia="Franklin Gothic Book" w:cs="Arial"/>
                <w:noProof/>
                <w:sz w:val="20"/>
                <w:szCs w:val="20"/>
                <w:lang w:eastAsia="en-AU"/>
              </w:rPr>
              <w:t>Aid Quality Checks (AQCs) are the main mechanism for assessing the annual performance of individual aid investments. They are mandatory for all aid investments that have a total value of $3 million or more over their lifetime, or investments requiring improvement (IRIs), except for investments of an administrative nature or for core contributions to multilateral organisations.</w:t>
            </w:r>
          </w:p>
          <w:p w14:paraId="2C27A85B"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sz w:val="20"/>
                <w:szCs w:val="20"/>
              </w:rPr>
              <w:t>Final Aid Quality Checks (FAQCs) are completed in the final year of an investment and cover the entire lifetime of the investment, not only the previous year.</w:t>
            </w:r>
          </w:p>
        </w:tc>
      </w:tr>
      <w:tr w:rsidR="000E7A9A" w:rsidRPr="00635E8B" w14:paraId="5DEFD6A2" w14:textId="77777777" w:rsidTr="000E7A9A">
        <w:trPr>
          <w:cantSplit/>
        </w:trPr>
        <w:tc>
          <w:tcPr>
            <w:tcW w:w="2402" w:type="dxa"/>
            <w:vAlign w:val="center"/>
          </w:tcPr>
          <w:p w14:paraId="28172EA1"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b/>
                <w:sz w:val="20"/>
                <w:szCs w:val="20"/>
              </w:rPr>
              <w:t>Aid Programming Guide (APG)</w:t>
            </w:r>
          </w:p>
        </w:tc>
        <w:tc>
          <w:tcPr>
            <w:tcW w:w="6807" w:type="dxa"/>
            <w:vAlign w:val="center"/>
          </w:tcPr>
          <w:p w14:paraId="1C64B13B"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sz w:val="20"/>
                <w:szCs w:val="20"/>
              </w:rPr>
              <w:t>The Aid Programming Guide (APG) is an operational resource for Department of Foreign Affairs and Trade (DFAT) staff with aid management responsibilities. It will also help external stakeholders better understand DFAT’s aid management processes, and enable delivery partners to work alongside us with greater insight and improved efficiency. The APG contains many links to more detailed internal and external documents.</w:t>
            </w:r>
          </w:p>
        </w:tc>
      </w:tr>
      <w:tr w:rsidR="000E7A9A" w:rsidRPr="00635E8B" w14:paraId="358427B4" w14:textId="77777777" w:rsidTr="000E7A9A">
        <w:trPr>
          <w:cantSplit/>
        </w:trPr>
        <w:tc>
          <w:tcPr>
            <w:tcW w:w="2402" w:type="dxa"/>
            <w:vAlign w:val="center"/>
          </w:tcPr>
          <w:p w14:paraId="5509F984"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b/>
                <w:sz w:val="20"/>
                <w:szCs w:val="20"/>
              </w:rPr>
              <w:t>Aid Program Performance Report (APPR)</w:t>
            </w:r>
          </w:p>
        </w:tc>
        <w:tc>
          <w:tcPr>
            <w:tcW w:w="6807" w:type="dxa"/>
            <w:vAlign w:val="center"/>
          </w:tcPr>
          <w:p w14:paraId="7AB60FAC"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sz w:val="20"/>
                <w:szCs w:val="20"/>
              </w:rPr>
              <w:t>Annual Aid Program Performance Reports (APPRs) are the main mechanism for assessing the performance of country and regional aid programs.</w:t>
            </w:r>
          </w:p>
        </w:tc>
      </w:tr>
      <w:tr w:rsidR="000E7A9A" w:rsidRPr="00635E8B" w14:paraId="519F1543" w14:textId="77777777" w:rsidTr="000E7A9A">
        <w:trPr>
          <w:cantSplit/>
        </w:trPr>
        <w:tc>
          <w:tcPr>
            <w:tcW w:w="2402" w:type="dxa"/>
            <w:vAlign w:val="center"/>
          </w:tcPr>
          <w:p w14:paraId="29F405B9"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b/>
                <w:sz w:val="20"/>
                <w:szCs w:val="20"/>
              </w:rPr>
              <w:t>Assumption</w:t>
            </w:r>
          </w:p>
        </w:tc>
        <w:tc>
          <w:tcPr>
            <w:tcW w:w="6807" w:type="dxa"/>
            <w:vAlign w:val="center"/>
          </w:tcPr>
          <w:p w14:paraId="118C622D"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sz w:val="20"/>
                <w:szCs w:val="20"/>
              </w:rPr>
              <w:t>Hypotheses about factors or risks that could affect the progress or success of an aid investment.</w:t>
            </w:r>
          </w:p>
        </w:tc>
      </w:tr>
      <w:tr w:rsidR="000E7A9A" w:rsidRPr="00635E8B" w14:paraId="71FDC844" w14:textId="77777777" w:rsidTr="000E7A9A">
        <w:trPr>
          <w:cantSplit/>
        </w:trPr>
        <w:tc>
          <w:tcPr>
            <w:tcW w:w="2402" w:type="dxa"/>
            <w:vAlign w:val="center"/>
          </w:tcPr>
          <w:p w14:paraId="5EFF9F07"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b/>
                <w:sz w:val="20"/>
                <w:szCs w:val="20"/>
              </w:rPr>
              <w:t>BAST</w:t>
            </w:r>
          </w:p>
        </w:tc>
        <w:tc>
          <w:tcPr>
            <w:tcW w:w="6807" w:type="dxa"/>
            <w:vAlign w:val="center"/>
          </w:tcPr>
          <w:p w14:paraId="0F84BAC5"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i/>
                <w:sz w:val="20"/>
                <w:szCs w:val="20"/>
              </w:rPr>
              <w:t>Berita Acara Serah Terima</w:t>
            </w:r>
            <w:r w:rsidRPr="00635E8B">
              <w:rPr>
                <w:rFonts w:eastAsia="Franklin Gothic Book" w:cs="Arial"/>
                <w:sz w:val="20"/>
                <w:szCs w:val="20"/>
              </w:rPr>
              <w:t xml:space="preserve"> or BAST is a handover note that reports on development partners’ non-cash (goods and services) contributions to the Government of Indonesia, signed by both the development partner and the government institution as recipient, and reported to the Indonesian Ministry of Finance.</w:t>
            </w:r>
          </w:p>
        </w:tc>
      </w:tr>
      <w:tr w:rsidR="000E7A9A" w:rsidRPr="00635E8B" w14:paraId="3ACF132F" w14:textId="77777777" w:rsidTr="000E7A9A">
        <w:trPr>
          <w:cantSplit/>
        </w:trPr>
        <w:tc>
          <w:tcPr>
            <w:tcW w:w="2402" w:type="dxa"/>
            <w:vAlign w:val="center"/>
          </w:tcPr>
          <w:p w14:paraId="2FF8DB74"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b/>
                <w:sz w:val="20"/>
                <w:szCs w:val="20"/>
              </w:rPr>
              <w:t>Baseline (study)</w:t>
            </w:r>
          </w:p>
        </w:tc>
        <w:tc>
          <w:tcPr>
            <w:tcW w:w="6807" w:type="dxa"/>
            <w:vAlign w:val="center"/>
          </w:tcPr>
          <w:p w14:paraId="7907C9A1" w14:textId="77777777" w:rsidR="000E7A9A" w:rsidRPr="00635E8B" w:rsidRDefault="000E7A9A" w:rsidP="00BE60F3">
            <w:pPr>
              <w:spacing w:before="120" w:after="120" w:line="240" w:lineRule="auto"/>
              <w:rPr>
                <w:rFonts w:eastAsia="Calibri" w:cs="Arial"/>
                <w:sz w:val="20"/>
                <w:szCs w:val="20"/>
                <w:highlight w:val="yellow"/>
              </w:rPr>
            </w:pPr>
            <w:r w:rsidRPr="00635E8B">
              <w:rPr>
                <w:rFonts w:eastAsia="Franklin Gothic Book" w:cs="Arial"/>
                <w:sz w:val="20"/>
                <w:szCs w:val="20"/>
              </w:rPr>
              <w:t>An analysis describing the situation before aid is invested, against which progress can be assessed or comparisons made.</w:t>
            </w:r>
          </w:p>
        </w:tc>
      </w:tr>
      <w:tr w:rsidR="000E7A9A" w:rsidRPr="00635E8B" w14:paraId="7FECDDF8" w14:textId="77777777" w:rsidTr="000E7A9A">
        <w:trPr>
          <w:cantSplit/>
        </w:trPr>
        <w:tc>
          <w:tcPr>
            <w:tcW w:w="2402" w:type="dxa"/>
            <w:vAlign w:val="center"/>
          </w:tcPr>
          <w:p w14:paraId="351FC8EB" w14:textId="77777777" w:rsidR="000E7A9A" w:rsidRPr="00635E8B" w:rsidRDefault="000E7A9A" w:rsidP="00BE60F3">
            <w:pPr>
              <w:spacing w:before="120" w:after="120" w:line="240" w:lineRule="auto"/>
              <w:rPr>
                <w:rFonts w:eastAsia="Franklin Gothic Book" w:cs="Arial"/>
                <w:b/>
                <w:sz w:val="20"/>
                <w:szCs w:val="20"/>
                <w:lang w:val="id-ID"/>
              </w:rPr>
            </w:pPr>
            <w:r w:rsidRPr="00635E8B">
              <w:rPr>
                <w:rFonts w:eastAsia="Franklin Gothic Book" w:cs="Arial"/>
                <w:b/>
                <w:sz w:val="20"/>
                <w:szCs w:val="20"/>
                <w:lang w:val="id-ID"/>
              </w:rPr>
              <w:t>Breakthrough</w:t>
            </w:r>
          </w:p>
        </w:tc>
        <w:tc>
          <w:tcPr>
            <w:tcW w:w="6807" w:type="dxa"/>
            <w:vAlign w:val="center"/>
          </w:tcPr>
          <w:p w14:paraId="1F6BA6DB" w14:textId="77777777" w:rsidR="000E7A9A" w:rsidRPr="00635E8B" w:rsidRDefault="000E7A9A" w:rsidP="00BE60F3">
            <w:pPr>
              <w:spacing w:before="120" w:after="120" w:line="240" w:lineRule="auto"/>
              <w:rPr>
                <w:rFonts w:eastAsia="Franklin Gothic Book" w:cs="Arial"/>
                <w:sz w:val="20"/>
                <w:szCs w:val="20"/>
                <w:lang w:val="id-ID"/>
              </w:rPr>
            </w:pPr>
            <w:r w:rsidRPr="00635E8B">
              <w:rPr>
                <w:rFonts w:eastAsia="Franklin Gothic Book" w:cs="Arial"/>
                <w:sz w:val="20"/>
                <w:szCs w:val="20"/>
                <w:lang w:val="id-ID"/>
              </w:rPr>
              <w:t xml:space="preserve">Major achievement or success that </w:t>
            </w:r>
            <w:r w:rsidRPr="00635E8B">
              <w:rPr>
                <w:rFonts w:eastAsia="Franklin Gothic Book" w:cs="Arial"/>
                <w:sz w:val="20"/>
                <w:szCs w:val="20"/>
              </w:rPr>
              <w:t xml:space="preserve">enables </w:t>
            </w:r>
            <w:r w:rsidRPr="00635E8B">
              <w:rPr>
                <w:rFonts w:eastAsia="Franklin Gothic Book" w:cs="Arial"/>
                <w:sz w:val="20"/>
                <w:szCs w:val="20"/>
                <w:lang w:val="id-ID"/>
              </w:rPr>
              <w:t>further progress.</w:t>
            </w:r>
          </w:p>
        </w:tc>
      </w:tr>
      <w:tr w:rsidR="000E7A9A" w:rsidRPr="00635E8B" w14:paraId="189D2062" w14:textId="77777777" w:rsidTr="000E7A9A">
        <w:trPr>
          <w:cantSplit/>
        </w:trPr>
        <w:tc>
          <w:tcPr>
            <w:tcW w:w="2402" w:type="dxa"/>
            <w:vAlign w:val="center"/>
          </w:tcPr>
          <w:p w14:paraId="3D0C7F0F"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Breakthrough area</w:t>
            </w:r>
          </w:p>
        </w:tc>
        <w:tc>
          <w:tcPr>
            <w:tcW w:w="6807" w:type="dxa"/>
            <w:vAlign w:val="center"/>
          </w:tcPr>
          <w:p w14:paraId="237347FB"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 xml:space="preserve">A description that encompasses and aggregates a set of breakthrough outcomes to which Prospera expects to significantly contribute by the end of the Facility investment period (2023).  </w:t>
            </w:r>
          </w:p>
        </w:tc>
      </w:tr>
      <w:tr w:rsidR="000E7A9A" w:rsidRPr="00635E8B" w14:paraId="16ED8AAE" w14:textId="77777777" w:rsidTr="000E7A9A">
        <w:trPr>
          <w:cantSplit/>
        </w:trPr>
        <w:tc>
          <w:tcPr>
            <w:tcW w:w="2402" w:type="dxa"/>
            <w:vAlign w:val="center"/>
          </w:tcPr>
          <w:p w14:paraId="5EF00BEB"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Breakthrough outcomes</w:t>
            </w:r>
          </w:p>
        </w:tc>
        <w:tc>
          <w:tcPr>
            <w:tcW w:w="6807" w:type="dxa"/>
            <w:vAlign w:val="center"/>
          </w:tcPr>
          <w:p w14:paraId="3A0618AD"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Are a set of potential outcomes, which the activities that the facility invests in will contribute towards along with other influences. Under Prospera each activity needs to clearly contribute toward at least one of the breakthrough outcomes. They provide a framework for building the Prospera narrative.</w:t>
            </w:r>
          </w:p>
        </w:tc>
      </w:tr>
      <w:tr w:rsidR="000E7A9A" w:rsidRPr="00635E8B" w14:paraId="0E8C557C" w14:textId="77777777" w:rsidTr="000E7A9A">
        <w:trPr>
          <w:cantSplit/>
        </w:trPr>
        <w:tc>
          <w:tcPr>
            <w:tcW w:w="2402" w:type="dxa"/>
            <w:vAlign w:val="center"/>
          </w:tcPr>
          <w:p w14:paraId="31EDE2EB"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Capacity and capability development</w:t>
            </w:r>
          </w:p>
        </w:tc>
        <w:tc>
          <w:tcPr>
            <w:tcW w:w="6807" w:type="dxa"/>
            <w:vAlign w:val="center"/>
          </w:tcPr>
          <w:p w14:paraId="0E272392" w14:textId="343C9A70" w:rsidR="000E7A9A" w:rsidRPr="001F2EF5" w:rsidRDefault="009B18DE" w:rsidP="009B18DE">
            <w:pPr>
              <w:spacing w:after="20"/>
              <w:rPr>
                <w:rFonts w:eastAsia="Franklin Gothic Book" w:cs="Arial"/>
                <w:sz w:val="20"/>
                <w:szCs w:val="20"/>
              </w:rPr>
            </w:pPr>
            <w:r w:rsidRPr="009B18DE">
              <w:rPr>
                <w:rFonts w:eastAsia="Times New Roman"/>
                <w:sz w:val="20"/>
                <w:szCs w:val="20"/>
                <w:lang w:val="en-US"/>
              </w:rPr>
              <w:t>The term ‘capability development’ is preferred over ‘capacity development’ in the context Prospera works: “In order to deliver the outcomes set by their government, agencies draw on a combination of their people, processes, systems, structures, and culture. These, together, define organisational capability for both the public sector as a whole and for individual agencies.”  In many activities Prospera contributes to developing a range of these elements, but particularly people, processes and systems.</w:t>
            </w:r>
            <w:r>
              <w:rPr>
                <w:rFonts w:eastAsia="Times New Roman"/>
                <w:sz w:val="20"/>
                <w:szCs w:val="20"/>
                <w:lang w:val="en-US"/>
              </w:rPr>
              <w:t xml:space="preserve"> </w:t>
            </w:r>
            <w:r w:rsidR="001F2EF5" w:rsidRPr="001F2EF5">
              <w:rPr>
                <w:rFonts w:eastAsia="Calibri"/>
                <w:sz w:val="20"/>
                <w:szCs w:val="20"/>
              </w:rPr>
              <w:t>Under Prospera capability and capacity developments are grounded in the institutional context and the desired economic and financial reforms.</w:t>
            </w:r>
          </w:p>
        </w:tc>
      </w:tr>
      <w:tr w:rsidR="000E7A9A" w:rsidRPr="00635E8B" w14:paraId="5E5B8025" w14:textId="77777777" w:rsidTr="000E7A9A">
        <w:trPr>
          <w:cantSplit/>
        </w:trPr>
        <w:tc>
          <w:tcPr>
            <w:tcW w:w="2402" w:type="dxa"/>
            <w:vAlign w:val="center"/>
          </w:tcPr>
          <w:p w14:paraId="38B8276D"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Contribution (of Australian aid)</w:t>
            </w:r>
          </w:p>
        </w:tc>
        <w:tc>
          <w:tcPr>
            <w:tcW w:w="6807" w:type="dxa"/>
            <w:vAlign w:val="center"/>
          </w:tcPr>
          <w:p w14:paraId="0BCD4EFA"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Contribution analysis aims to demonstrate whether the evaluated investment is a likely cause of an observed change. In the departmental context, Australia’s aid objectives contribute to the attainment of a partner government’s development goals.</w:t>
            </w:r>
          </w:p>
        </w:tc>
      </w:tr>
      <w:tr w:rsidR="000E7A9A" w:rsidRPr="00635E8B" w14:paraId="723D7CC0" w14:textId="77777777" w:rsidTr="000E7A9A">
        <w:trPr>
          <w:cantSplit/>
        </w:trPr>
        <w:tc>
          <w:tcPr>
            <w:tcW w:w="2402" w:type="dxa"/>
            <w:vAlign w:val="center"/>
          </w:tcPr>
          <w:p w14:paraId="774FF589"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Cross-cutting</w:t>
            </w:r>
          </w:p>
        </w:tc>
        <w:tc>
          <w:tcPr>
            <w:tcW w:w="6807" w:type="dxa"/>
            <w:vAlign w:val="center"/>
          </w:tcPr>
          <w:p w14:paraId="518B90C3"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Cross-cutting issues are matters to be considered throughout the aid management cycle and across the range of the department’s aid program work. Examples of cross-cutting issues include gender equality, disability-inclusive development, private sector engagement, innovation, indigenous peoples and climate change.</w:t>
            </w:r>
          </w:p>
        </w:tc>
      </w:tr>
      <w:tr w:rsidR="000E7A9A" w:rsidRPr="00635E8B" w14:paraId="7FA4DF4D" w14:textId="77777777" w:rsidTr="000E7A9A">
        <w:trPr>
          <w:cantSplit/>
        </w:trPr>
        <w:tc>
          <w:tcPr>
            <w:tcW w:w="2402" w:type="dxa"/>
            <w:vAlign w:val="center"/>
          </w:tcPr>
          <w:p w14:paraId="3BE7D1E1"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DAC quality standards for development evaluation</w:t>
            </w:r>
          </w:p>
        </w:tc>
        <w:tc>
          <w:tcPr>
            <w:tcW w:w="6807" w:type="dxa"/>
            <w:vAlign w:val="center"/>
          </w:tcPr>
          <w:p w14:paraId="476B6F97"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 xml:space="preserve">Provide a guide to good practice in </w:t>
            </w:r>
            <w:r w:rsidRPr="00635E8B">
              <w:rPr>
                <w:rFonts w:eastAsia="Franklin Gothic Book" w:cs="Arial"/>
                <w:bCs/>
                <w:sz w:val="20"/>
                <w:szCs w:val="20"/>
              </w:rPr>
              <w:t>development evaluation</w:t>
            </w:r>
            <w:r w:rsidRPr="00635E8B">
              <w:rPr>
                <w:rFonts w:eastAsia="Franklin Gothic Book" w:cs="Arial"/>
                <w:sz w:val="20"/>
                <w:szCs w:val="20"/>
              </w:rPr>
              <w:t>. They are intended to improve the </w:t>
            </w:r>
            <w:r w:rsidRPr="00635E8B">
              <w:rPr>
                <w:rFonts w:eastAsia="Franklin Gothic Book" w:cs="Arial"/>
                <w:bCs/>
                <w:sz w:val="20"/>
                <w:szCs w:val="20"/>
              </w:rPr>
              <w:t>quality</w:t>
            </w:r>
            <w:r w:rsidRPr="00635E8B">
              <w:rPr>
                <w:rFonts w:eastAsia="Franklin Gothic Book" w:cs="Arial"/>
                <w:sz w:val="20"/>
                <w:szCs w:val="20"/>
              </w:rPr>
              <w:t> of </w:t>
            </w:r>
            <w:r w:rsidRPr="00635E8B">
              <w:rPr>
                <w:rFonts w:eastAsia="Franklin Gothic Book" w:cs="Arial"/>
                <w:bCs/>
                <w:sz w:val="20"/>
                <w:szCs w:val="20"/>
              </w:rPr>
              <w:t>evaluation</w:t>
            </w:r>
            <w:r w:rsidRPr="00635E8B">
              <w:rPr>
                <w:rFonts w:eastAsia="Franklin Gothic Book" w:cs="Arial"/>
                <w:sz w:val="20"/>
                <w:szCs w:val="20"/>
              </w:rPr>
              <w:t> processes and products and to facilitate collaboration. Introduced by Development Assistance Committee (DAC) at the Organisation for Economic Cooperation and Development (OECD).</w:t>
            </w:r>
          </w:p>
        </w:tc>
      </w:tr>
      <w:tr w:rsidR="000E7A9A" w:rsidRPr="00635E8B" w14:paraId="7DDECFAB" w14:textId="77777777" w:rsidTr="000E7A9A">
        <w:trPr>
          <w:cantSplit/>
        </w:trPr>
        <w:tc>
          <w:tcPr>
            <w:tcW w:w="2402" w:type="dxa"/>
            <w:vAlign w:val="center"/>
          </w:tcPr>
          <w:p w14:paraId="731778F1"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Effectiveness</w:t>
            </w:r>
          </w:p>
        </w:tc>
        <w:tc>
          <w:tcPr>
            <w:tcW w:w="6807" w:type="dxa"/>
            <w:vAlign w:val="center"/>
          </w:tcPr>
          <w:p w14:paraId="6687AC03"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The extent to which an investment or a program’s outcomes and objectives were achieved, relative to progress expected.</w:t>
            </w:r>
          </w:p>
        </w:tc>
      </w:tr>
      <w:tr w:rsidR="000E7A9A" w:rsidRPr="00635E8B" w14:paraId="457F4A7F" w14:textId="77777777" w:rsidTr="000E7A9A">
        <w:trPr>
          <w:cantSplit/>
        </w:trPr>
        <w:tc>
          <w:tcPr>
            <w:tcW w:w="2402" w:type="dxa"/>
            <w:vAlign w:val="center"/>
          </w:tcPr>
          <w:p w14:paraId="67D1D87E"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Efficiency</w:t>
            </w:r>
          </w:p>
        </w:tc>
        <w:tc>
          <w:tcPr>
            <w:tcW w:w="6807" w:type="dxa"/>
            <w:vAlign w:val="center"/>
          </w:tcPr>
          <w:p w14:paraId="786B3FE6"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 xml:space="preserve">A measure of how well resources (for example, funds, expertise and time) are converted into output. </w:t>
            </w:r>
          </w:p>
        </w:tc>
      </w:tr>
      <w:tr w:rsidR="000E7A9A" w:rsidRPr="00635E8B" w14:paraId="2754692C" w14:textId="77777777" w:rsidTr="000E7A9A">
        <w:trPr>
          <w:cantSplit/>
        </w:trPr>
        <w:tc>
          <w:tcPr>
            <w:tcW w:w="2402" w:type="dxa"/>
            <w:vAlign w:val="center"/>
          </w:tcPr>
          <w:p w14:paraId="3F59D25D"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End of Facility outcome</w:t>
            </w:r>
          </w:p>
        </w:tc>
        <w:tc>
          <w:tcPr>
            <w:tcW w:w="6807" w:type="dxa"/>
            <w:vAlign w:val="center"/>
          </w:tcPr>
          <w:p w14:paraId="73E806A9"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Equivalent to Breakthrough outcome</w:t>
            </w:r>
          </w:p>
        </w:tc>
      </w:tr>
      <w:tr w:rsidR="000E7A9A" w:rsidRPr="00635E8B" w14:paraId="58469360" w14:textId="77777777" w:rsidTr="000E7A9A">
        <w:trPr>
          <w:cantSplit/>
        </w:trPr>
        <w:tc>
          <w:tcPr>
            <w:tcW w:w="2402" w:type="dxa"/>
            <w:vAlign w:val="center"/>
          </w:tcPr>
          <w:p w14:paraId="6C53867D"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Evaluation</w:t>
            </w:r>
          </w:p>
        </w:tc>
        <w:tc>
          <w:tcPr>
            <w:tcW w:w="6807" w:type="dxa"/>
            <w:vAlign w:val="center"/>
          </w:tcPr>
          <w:p w14:paraId="5B5B4A84" w14:textId="06332B53"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The systematic and objective assessment of an ongoing or completed investment or policy. It is an in-depth process which takes place on a periodic basis.  Evaluation aims to provide credible evidence which can inform major program management and policy decisions and highlight important development lessons. However, thinking evaluatively is a way of working and is particularly important when Prospera is conducting activities through ‘navigation by judgement</w:t>
            </w:r>
            <w:r w:rsidR="007D1A32">
              <w:rPr>
                <w:rFonts w:eastAsia="Franklin Gothic Book" w:cs="Arial"/>
                <w:sz w:val="20"/>
                <w:szCs w:val="20"/>
                <w:lang w:val="id-ID"/>
              </w:rPr>
              <w:t>’</w:t>
            </w:r>
            <w:r w:rsidRPr="00635E8B">
              <w:rPr>
                <w:rFonts w:eastAsia="Franklin Gothic Book" w:cs="Arial"/>
                <w:sz w:val="20"/>
                <w:szCs w:val="20"/>
              </w:rPr>
              <w:t>.</w:t>
            </w:r>
          </w:p>
        </w:tc>
      </w:tr>
      <w:tr w:rsidR="000E7A9A" w:rsidRPr="00635E8B" w14:paraId="26F0F53F" w14:textId="77777777" w:rsidTr="000E7A9A">
        <w:trPr>
          <w:cantSplit/>
        </w:trPr>
        <w:tc>
          <w:tcPr>
            <w:tcW w:w="2402" w:type="dxa"/>
            <w:vAlign w:val="center"/>
          </w:tcPr>
          <w:p w14:paraId="2690B985"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Facility modality</w:t>
            </w:r>
          </w:p>
        </w:tc>
        <w:tc>
          <w:tcPr>
            <w:tcW w:w="6807" w:type="dxa"/>
            <w:vAlign w:val="center"/>
          </w:tcPr>
          <w:p w14:paraId="1929EF85" w14:textId="3D6A5828" w:rsidR="000E7A9A" w:rsidRPr="00635E8B" w:rsidRDefault="000E7A9A" w:rsidP="00BE60F3">
            <w:pPr>
              <w:spacing w:before="120" w:after="120" w:line="240" w:lineRule="auto"/>
              <w:rPr>
                <w:rFonts w:eastAsia="Calibri" w:cs="Arial"/>
                <w:sz w:val="20"/>
                <w:szCs w:val="20"/>
              </w:rPr>
            </w:pPr>
            <w:r w:rsidRPr="00635E8B">
              <w:rPr>
                <w:rFonts w:eastAsia="Calibri" w:cs="Arial"/>
                <w:sz w:val="20"/>
                <w:szCs w:val="20"/>
              </w:rPr>
              <w:t>A facility is one modality of delivering aid that incorporates a flexible approach. It is an imprecise term which can refer to different types of aid investments with varying purposes. It can focus on a single sector or multiple sectors to deliver development outcomes or perform administrative or enabling functions. A facility is usually delivered by a managing contractor or a multilateral partner.</w:t>
            </w:r>
          </w:p>
          <w:p w14:paraId="78D690BD" w14:textId="77777777" w:rsidR="000E7A9A" w:rsidRPr="00635E8B" w:rsidRDefault="000E7A9A" w:rsidP="00BE60F3">
            <w:pPr>
              <w:spacing w:after="0" w:line="240" w:lineRule="auto"/>
              <w:rPr>
                <w:rFonts w:eastAsia="Calibri" w:cs="Arial"/>
                <w:sz w:val="20"/>
                <w:szCs w:val="20"/>
              </w:rPr>
            </w:pPr>
            <w:r w:rsidRPr="00635E8B">
              <w:rPr>
                <w:rFonts w:eastAsia="Calibri" w:cs="Arial"/>
                <w:sz w:val="20"/>
                <w:szCs w:val="20"/>
              </w:rPr>
              <w:t>There are several common elements of a facility:</w:t>
            </w:r>
          </w:p>
          <w:p w14:paraId="5A7B912E" w14:textId="77777777" w:rsidR="000E7A9A" w:rsidRPr="00635E8B" w:rsidRDefault="000E7A9A" w:rsidP="00BE60F3">
            <w:pPr>
              <w:numPr>
                <w:ilvl w:val="0"/>
                <w:numId w:val="23"/>
              </w:numPr>
              <w:suppressAutoHyphens/>
              <w:spacing w:before="120" w:after="60" w:line="260" w:lineRule="atLeast"/>
              <w:rPr>
                <w:rFonts w:eastAsia="Calibri" w:cs="Arial"/>
                <w:sz w:val="20"/>
                <w:szCs w:val="20"/>
              </w:rPr>
            </w:pPr>
            <w:r w:rsidRPr="00635E8B">
              <w:rPr>
                <w:rFonts w:eastAsia="Calibri" w:cs="Arial"/>
                <w:sz w:val="20"/>
                <w:szCs w:val="20"/>
              </w:rPr>
              <w:t xml:space="preserve">While they should have clear end-of-investment outcomes defined, facilities do not specify at the outset the activities and the outputs required to achieve them. These are developed during implementation. </w:t>
            </w:r>
          </w:p>
          <w:p w14:paraId="517D688D" w14:textId="77777777" w:rsidR="000E7A9A" w:rsidRPr="00635E8B" w:rsidRDefault="000E7A9A" w:rsidP="00BE60F3">
            <w:pPr>
              <w:numPr>
                <w:ilvl w:val="0"/>
                <w:numId w:val="23"/>
              </w:numPr>
              <w:suppressAutoHyphens/>
              <w:spacing w:before="120" w:after="60" w:line="260" w:lineRule="atLeast"/>
              <w:rPr>
                <w:rFonts w:eastAsia="Calibri" w:cs="Arial"/>
                <w:sz w:val="20"/>
                <w:szCs w:val="20"/>
              </w:rPr>
            </w:pPr>
            <w:r w:rsidRPr="00635E8B">
              <w:rPr>
                <w:rFonts w:eastAsia="Calibri" w:cs="Arial"/>
                <w:sz w:val="20"/>
                <w:szCs w:val="20"/>
              </w:rPr>
              <w:t xml:space="preserve">Reform pathways and strategies to achieve outcomes are not defined upfront and are developed during implementation. </w:t>
            </w:r>
          </w:p>
          <w:p w14:paraId="5320D711" w14:textId="77777777" w:rsidR="000E7A9A" w:rsidRPr="00635E8B" w:rsidRDefault="000E7A9A" w:rsidP="00BE60F3">
            <w:pPr>
              <w:numPr>
                <w:ilvl w:val="0"/>
                <w:numId w:val="23"/>
              </w:numPr>
              <w:suppressAutoHyphens/>
              <w:spacing w:before="120" w:after="60" w:line="260" w:lineRule="atLeast"/>
              <w:rPr>
                <w:rFonts w:eastAsia="Calibri" w:cs="Arial"/>
                <w:sz w:val="20"/>
                <w:szCs w:val="20"/>
              </w:rPr>
            </w:pPr>
            <w:r w:rsidRPr="00635E8B">
              <w:rPr>
                <w:rFonts w:eastAsia="Calibri" w:cs="Arial"/>
                <w:sz w:val="20"/>
                <w:szCs w:val="20"/>
              </w:rPr>
              <w:t>There is usually a large pool of unallocated funds which is designed/programmed during implementation. Investments may be planned from year to year to respond to changing needs.</w:t>
            </w:r>
          </w:p>
          <w:p w14:paraId="2DE78BF5" w14:textId="77777777" w:rsidR="000E7A9A" w:rsidRPr="00635E8B" w:rsidRDefault="000E7A9A" w:rsidP="00BE60F3">
            <w:pPr>
              <w:numPr>
                <w:ilvl w:val="0"/>
                <w:numId w:val="23"/>
              </w:numPr>
              <w:suppressAutoHyphens/>
              <w:spacing w:before="120" w:after="60" w:line="260" w:lineRule="atLeast"/>
              <w:rPr>
                <w:rFonts w:eastAsia="Calibri" w:cs="Arial"/>
                <w:sz w:val="20"/>
                <w:szCs w:val="20"/>
              </w:rPr>
            </w:pPr>
            <w:r w:rsidRPr="00635E8B">
              <w:rPr>
                <w:rFonts w:eastAsia="Calibri" w:cs="Arial"/>
                <w:sz w:val="20"/>
                <w:szCs w:val="20"/>
              </w:rPr>
              <w:t>Facilities have many activities, partners, and funding flows to manage, making them significantly more complex than other investment types.</w:t>
            </w:r>
          </w:p>
        </w:tc>
      </w:tr>
      <w:tr w:rsidR="000E7A9A" w:rsidRPr="00635E8B" w14:paraId="097812D7" w14:textId="77777777" w:rsidTr="000E7A9A">
        <w:trPr>
          <w:cantSplit/>
        </w:trPr>
        <w:tc>
          <w:tcPr>
            <w:tcW w:w="2402" w:type="dxa"/>
            <w:vAlign w:val="center"/>
          </w:tcPr>
          <w:p w14:paraId="04FD310E" w14:textId="77777777" w:rsidR="000E7A9A" w:rsidRPr="00635E8B" w:rsidRDefault="000E7A9A" w:rsidP="00BE60F3">
            <w:pPr>
              <w:spacing w:before="120" w:after="120" w:line="240" w:lineRule="auto"/>
              <w:rPr>
                <w:rFonts w:eastAsia="Franklin Gothic Book" w:cs="Arial"/>
                <w:b/>
                <w:sz w:val="20"/>
                <w:szCs w:val="20"/>
              </w:rPr>
            </w:pPr>
            <w:r w:rsidRPr="00735CA1">
              <w:rPr>
                <w:rFonts w:eastAsia="Franklin Gothic Book" w:cs="Arial"/>
                <w:b/>
                <w:sz w:val="20"/>
                <w:szCs w:val="20"/>
              </w:rPr>
              <w:t>Gender equality</w:t>
            </w:r>
          </w:p>
        </w:tc>
        <w:tc>
          <w:tcPr>
            <w:tcW w:w="6807" w:type="dxa"/>
            <w:vAlign w:val="center"/>
          </w:tcPr>
          <w:p w14:paraId="004F9E49" w14:textId="3F6724F9" w:rsidR="000E7A9A" w:rsidRPr="00635E8B" w:rsidRDefault="00735CA1" w:rsidP="00BE60F3">
            <w:pPr>
              <w:spacing w:before="120" w:after="120" w:line="240" w:lineRule="auto"/>
              <w:rPr>
                <w:rFonts w:eastAsia="Franklin Gothic Book" w:cs="Arial"/>
                <w:sz w:val="20"/>
                <w:szCs w:val="20"/>
              </w:rPr>
            </w:pPr>
            <w:r>
              <w:rPr>
                <w:rFonts w:eastAsia="Franklin Gothic Book" w:cs="Arial"/>
                <w:sz w:val="20"/>
                <w:szCs w:val="20"/>
              </w:rPr>
              <w:t>Refers to e</w:t>
            </w:r>
            <w:r w:rsidRPr="00735CA1">
              <w:rPr>
                <w:rFonts w:eastAsia="Franklin Gothic Book" w:cs="Arial"/>
                <w:sz w:val="20"/>
                <w:szCs w:val="20"/>
              </w:rPr>
              <w:t>qual access to resources or opportunities, regardless of gender. It does not mean that men and women are the same; rather that women and men enjoy the same rights and opportunities across all aspects of the economy and society.</w:t>
            </w:r>
          </w:p>
        </w:tc>
      </w:tr>
      <w:tr w:rsidR="000E7A9A" w:rsidRPr="00635E8B" w14:paraId="05D628AB" w14:textId="77777777" w:rsidTr="000E7A9A">
        <w:trPr>
          <w:cantSplit/>
        </w:trPr>
        <w:tc>
          <w:tcPr>
            <w:tcW w:w="2402" w:type="dxa"/>
            <w:vAlign w:val="center"/>
          </w:tcPr>
          <w:p w14:paraId="5E777E0C"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Goal</w:t>
            </w:r>
          </w:p>
        </w:tc>
        <w:tc>
          <w:tcPr>
            <w:tcW w:w="6807" w:type="dxa"/>
            <w:vAlign w:val="center"/>
          </w:tcPr>
          <w:p w14:paraId="292B8691"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The higher-order purpose to which an objective is intended to contribute. Goals are normally specified in national development plans and shared goals may also be identified in agreements between the Australian Government and a development partner.</w:t>
            </w:r>
          </w:p>
        </w:tc>
      </w:tr>
      <w:tr w:rsidR="000E7A9A" w:rsidRPr="00635E8B" w14:paraId="68479239" w14:textId="77777777" w:rsidTr="000E7A9A">
        <w:trPr>
          <w:cantSplit/>
        </w:trPr>
        <w:tc>
          <w:tcPr>
            <w:tcW w:w="2402" w:type="dxa"/>
            <w:vAlign w:val="center"/>
          </w:tcPr>
          <w:p w14:paraId="03E2E03F"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Impact</w:t>
            </w:r>
          </w:p>
        </w:tc>
        <w:tc>
          <w:tcPr>
            <w:tcW w:w="6807" w:type="dxa"/>
            <w:vAlign w:val="center"/>
          </w:tcPr>
          <w:p w14:paraId="31C1863D"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The overall long-term effect produced by an investment. This includes positive and negative changes produced by a development investment (directly or indirectly, intended or unintended).</w:t>
            </w:r>
          </w:p>
        </w:tc>
      </w:tr>
      <w:tr w:rsidR="000E7A9A" w:rsidRPr="00635E8B" w14:paraId="3367D1D9" w14:textId="77777777" w:rsidTr="000E7A9A">
        <w:trPr>
          <w:cantSplit/>
        </w:trPr>
        <w:tc>
          <w:tcPr>
            <w:tcW w:w="2402" w:type="dxa"/>
            <w:vAlign w:val="center"/>
          </w:tcPr>
          <w:p w14:paraId="1CC17A2A"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Indicator</w:t>
            </w:r>
          </w:p>
        </w:tc>
        <w:tc>
          <w:tcPr>
            <w:tcW w:w="6807" w:type="dxa"/>
            <w:vAlign w:val="center"/>
          </w:tcPr>
          <w:p w14:paraId="45784E7C"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A quantitative or qualitative variable that forms a simple and reliable means to measure achievement, to reflect the changes expected from an investment, or to help assess the performance of a development actor.</w:t>
            </w:r>
          </w:p>
        </w:tc>
      </w:tr>
      <w:tr w:rsidR="000E7A9A" w:rsidRPr="00635E8B" w14:paraId="0EB09F1E" w14:textId="77777777" w:rsidTr="000E7A9A">
        <w:trPr>
          <w:cantSplit/>
        </w:trPr>
        <w:tc>
          <w:tcPr>
            <w:tcW w:w="2402" w:type="dxa"/>
            <w:vAlign w:val="center"/>
          </w:tcPr>
          <w:p w14:paraId="30EA53C4"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Input</w:t>
            </w:r>
          </w:p>
        </w:tc>
        <w:tc>
          <w:tcPr>
            <w:tcW w:w="6807" w:type="dxa"/>
            <w:vAlign w:val="center"/>
          </w:tcPr>
          <w:p w14:paraId="289C4931"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The financial, human, material and intellectual resources used in the aid investment’s implementation.</w:t>
            </w:r>
          </w:p>
        </w:tc>
      </w:tr>
      <w:tr w:rsidR="000E7A9A" w:rsidRPr="00635E8B" w14:paraId="5BE28D22" w14:textId="77777777" w:rsidTr="000E7A9A">
        <w:trPr>
          <w:cantSplit/>
        </w:trPr>
        <w:tc>
          <w:tcPr>
            <w:tcW w:w="2402" w:type="dxa"/>
            <w:vAlign w:val="center"/>
          </w:tcPr>
          <w:p w14:paraId="28D4EBDC"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Intermediate outcome</w:t>
            </w:r>
          </w:p>
        </w:tc>
        <w:tc>
          <w:tcPr>
            <w:tcW w:w="6807" w:type="dxa"/>
            <w:vAlign w:val="center"/>
          </w:tcPr>
          <w:p w14:paraId="0B6925FA"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The short and medium-term effects of an investment’s outputs. Short term outcomes include changes in knowledge, attitudes, skills, while medium term outcomes often reflect changes in behaviour, practice and decisions.</w:t>
            </w:r>
          </w:p>
        </w:tc>
      </w:tr>
      <w:tr w:rsidR="000E7A9A" w:rsidRPr="00635E8B" w14:paraId="4B3A6DC3" w14:textId="77777777" w:rsidTr="000E7A9A">
        <w:trPr>
          <w:cantSplit/>
        </w:trPr>
        <w:tc>
          <w:tcPr>
            <w:tcW w:w="2402" w:type="dxa"/>
            <w:vAlign w:val="center"/>
          </w:tcPr>
          <w:p w14:paraId="1D4D3CBA"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Investment</w:t>
            </w:r>
          </w:p>
        </w:tc>
        <w:tc>
          <w:tcPr>
            <w:tcW w:w="6807" w:type="dxa"/>
            <w:vAlign w:val="center"/>
          </w:tcPr>
          <w:p w14:paraId="371F6A36"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A commitment of resources to achieve defined outputs and outcomes. An investment may have multiple components called activities.</w:t>
            </w:r>
          </w:p>
        </w:tc>
      </w:tr>
      <w:tr w:rsidR="000E7A9A" w:rsidRPr="00635E8B" w14:paraId="234C157A" w14:textId="77777777" w:rsidTr="000E7A9A">
        <w:trPr>
          <w:cantSplit/>
        </w:trPr>
        <w:tc>
          <w:tcPr>
            <w:tcW w:w="2402" w:type="dxa"/>
            <w:vAlign w:val="center"/>
          </w:tcPr>
          <w:p w14:paraId="1B91AB02"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Investment criteria</w:t>
            </w:r>
          </w:p>
        </w:tc>
        <w:tc>
          <w:tcPr>
            <w:tcW w:w="6807" w:type="dxa"/>
            <w:vAlign w:val="center"/>
          </w:tcPr>
          <w:p w14:paraId="3E5A250C"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These are a set of criteria that are used to decide what activities should be funded.</w:t>
            </w:r>
          </w:p>
        </w:tc>
      </w:tr>
      <w:tr w:rsidR="000E7A9A" w:rsidRPr="00635E8B" w14:paraId="2FF752EF" w14:textId="77777777" w:rsidTr="000E7A9A">
        <w:trPr>
          <w:cantSplit/>
        </w:trPr>
        <w:tc>
          <w:tcPr>
            <w:tcW w:w="2402" w:type="dxa"/>
            <w:vAlign w:val="center"/>
          </w:tcPr>
          <w:p w14:paraId="38E0B42D"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Logic</w:t>
            </w:r>
          </w:p>
        </w:tc>
        <w:tc>
          <w:tcPr>
            <w:tcW w:w="6807" w:type="dxa"/>
            <w:vAlign w:val="center"/>
          </w:tcPr>
          <w:p w14:paraId="1F6CE76F"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 xml:space="preserve">The causal sequence for an investment that stipulates the proposed sequence to achieve desired objectives—beginning with inputs, moving through activities, outputs and outcomes and culminating in impacts. This is also sometimes referred to as a theory of change. Prospera works through linking facility logic to activity level logic. </w:t>
            </w:r>
          </w:p>
        </w:tc>
      </w:tr>
      <w:tr w:rsidR="000E7A9A" w:rsidRPr="00635E8B" w14:paraId="13BC78AD" w14:textId="77777777" w:rsidTr="000E7A9A">
        <w:trPr>
          <w:cantSplit/>
        </w:trPr>
        <w:tc>
          <w:tcPr>
            <w:tcW w:w="2402" w:type="dxa"/>
            <w:vAlign w:val="center"/>
          </w:tcPr>
          <w:p w14:paraId="3E356AD9"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Monitoring</w:t>
            </w:r>
          </w:p>
        </w:tc>
        <w:tc>
          <w:tcPr>
            <w:tcW w:w="6807" w:type="dxa"/>
            <w:vAlign w:val="center"/>
          </w:tcPr>
          <w:p w14:paraId="2250E060"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The ongoing systematic collection of data on specified indicators to enable tracking of investment progress. It is common to monitor expenditure, commitments, activities, the achievement of milestones and results.</w:t>
            </w:r>
          </w:p>
        </w:tc>
      </w:tr>
      <w:tr w:rsidR="000E7A9A" w:rsidRPr="00635E8B" w14:paraId="1FBD91A5" w14:textId="77777777" w:rsidTr="000E7A9A">
        <w:trPr>
          <w:cantSplit/>
        </w:trPr>
        <w:tc>
          <w:tcPr>
            <w:tcW w:w="2402" w:type="dxa"/>
            <w:vAlign w:val="center"/>
          </w:tcPr>
          <w:p w14:paraId="406E485C"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Monitoring and evaluation plan</w:t>
            </w:r>
          </w:p>
        </w:tc>
        <w:tc>
          <w:tcPr>
            <w:tcW w:w="6807" w:type="dxa"/>
            <w:vAlign w:val="center"/>
          </w:tcPr>
          <w:p w14:paraId="61DABE26"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A stand-alone document prepared during the investment design or start-up phase of an investment that specifies arrangements for monitoring and evaluating the investment.</w:t>
            </w:r>
          </w:p>
        </w:tc>
      </w:tr>
      <w:tr w:rsidR="000E7A9A" w:rsidRPr="00635E8B" w14:paraId="55A8FBD2" w14:textId="77777777" w:rsidTr="000E7A9A">
        <w:trPr>
          <w:cantSplit/>
        </w:trPr>
        <w:tc>
          <w:tcPr>
            <w:tcW w:w="2402" w:type="dxa"/>
            <w:vAlign w:val="center"/>
          </w:tcPr>
          <w:p w14:paraId="4689389D" w14:textId="77777777" w:rsidR="000E7A9A" w:rsidRPr="00635E8B" w:rsidRDefault="000E7A9A" w:rsidP="00BE60F3">
            <w:pPr>
              <w:spacing w:before="120" w:after="120" w:line="240" w:lineRule="auto"/>
              <w:rPr>
                <w:rFonts w:eastAsia="Franklin Gothic Book" w:cs="Arial"/>
                <w:b/>
                <w:sz w:val="20"/>
                <w:szCs w:val="20"/>
                <w:highlight w:val="yellow"/>
                <w:lang w:val="id-ID"/>
              </w:rPr>
            </w:pPr>
            <w:r w:rsidRPr="00635E8B">
              <w:rPr>
                <w:rFonts w:eastAsia="Franklin Gothic Book" w:cs="Arial"/>
                <w:b/>
                <w:sz w:val="20"/>
                <w:szCs w:val="20"/>
                <w:lang w:val="id-ID"/>
              </w:rPr>
              <w:t>Navigation by judgement</w:t>
            </w:r>
          </w:p>
        </w:tc>
        <w:tc>
          <w:tcPr>
            <w:tcW w:w="6807" w:type="dxa"/>
            <w:vAlign w:val="center"/>
          </w:tcPr>
          <w:p w14:paraId="194DB86D" w14:textId="77777777" w:rsidR="000E7A9A" w:rsidRPr="00635E8B" w:rsidRDefault="000E7A9A" w:rsidP="00BE60F3">
            <w:pPr>
              <w:spacing w:before="120" w:after="120" w:line="240" w:lineRule="auto"/>
              <w:rPr>
                <w:rFonts w:eastAsia="Franklin Gothic Book" w:cs="Arial"/>
                <w:sz w:val="20"/>
                <w:szCs w:val="20"/>
                <w:highlight w:val="yellow"/>
              </w:rPr>
            </w:pPr>
            <w:r w:rsidRPr="008F339D">
              <w:rPr>
                <w:rFonts w:eastAsia="Franklin Gothic Book" w:cs="Arial"/>
                <w:sz w:val="20"/>
                <w:szCs w:val="20"/>
              </w:rPr>
              <w:t>This is a form of problem driven iterative adaptation when the operating context is unpredictable and where performance is difficult to measure. Judgement refers to the scope that advisers have to make their own decisions within the broad parameters set by the facility design. Navigation by judgement is most helpful where the operating environment is unpredictable and the lack of pre-set targets opens up skills, local knowledge and creativity to solve problems.</w:t>
            </w:r>
          </w:p>
        </w:tc>
      </w:tr>
      <w:tr w:rsidR="000E7A9A" w:rsidRPr="00635E8B" w14:paraId="7265515B" w14:textId="77777777" w:rsidTr="000E7A9A">
        <w:trPr>
          <w:cantSplit/>
        </w:trPr>
        <w:tc>
          <w:tcPr>
            <w:tcW w:w="2402" w:type="dxa"/>
            <w:vAlign w:val="center"/>
          </w:tcPr>
          <w:p w14:paraId="4ED19967" w14:textId="77777777" w:rsidR="000E7A9A" w:rsidRPr="00635E8B" w:rsidRDefault="000E7A9A" w:rsidP="00BE60F3">
            <w:pPr>
              <w:spacing w:before="120" w:after="120" w:line="240" w:lineRule="auto"/>
              <w:rPr>
                <w:rFonts w:eastAsia="Franklin Gothic Book" w:cs="Arial"/>
                <w:b/>
                <w:sz w:val="20"/>
                <w:szCs w:val="20"/>
              </w:rPr>
            </w:pPr>
            <w:r w:rsidRPr="00635E8B">
              <w:rPr>
                <w:rFonts w:eastAsia="Franklin Gothic Book" w:cs="Arial"/>
                <w:b/>
                <w:sz w:val="20"/>
                <w:szCs w:val="20"/>
              </w:rPr>
              <w:t>Objective</w:t>
            </w:r>
          </w:p>
        </w:tc>
        <w:tc>
          <w:tcPr>
            <w:tcW w:w="6807" w:type="dxa"/>
            <w:vAlign w:val="center"/>
          </w:tcPr>
          <w:p w14:paraId="59F6F6C2"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The physical, financial, institutional, social, environmental, or other benefits to a society, community, or group of people produced through one or more aid investments. Australia’s aid objectives contribute to the achievement of higher-level national development goals.</w:t>
            </w:r>
          </w:p>
        </w:tc>
      </w:tr>
      <w:tr w:rsidR="000E7A9A" w:rsidRPr="00635E8B" w14:paraId="76FF6A3D" w14:textId="77777777" w:rsidTr="000E7A9A">
        <w:trPr>
          <w:cantSplit/>
        </w:trPr>
        <w:tc>
          <w:tcPr>
            <w:tcW w:w="2402" w:type="dxa"/>
            <w:vAlign w:val="center"/>
          </w:tcPr>
          <w:p w14:paraId="33EF0AF1"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Outcome</w:t>
            </w:r>
          </w:p>
        </w:tc>
        <w:tc>
          <w:tcPr>
            <w:tcW w:w="6807" w:type="dxa"/>
            <w:vAlign w:val="center"/>
          </w:tcPr>
          <w:p w14:paraId="74839531"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DFAT’s standards require outcomes to define: an ‘end state’ when the outcome has been achieved; who or what is expected to change; the type of change expected to occur: knowledge (awareness of new ideas, techniques or strategies); action (behaviour change based upon new information/ideas); or condition (organisational or societal conditions changes due to the stakeholder’s actions); and the time by which the change is expected to occur.</w:t>
            </w:r>
          </w:p>
        </w:tc>
      </w:tr>
      <w:tr w:rsidR="000E7A9A" w:rsidRPr="00635E8B" w14:paraId="5A5C5C53" w14:textId="77777777" w:rsidTr="000E7A9A">
        <w:trPr>
          <w:cantSplit/>
        </w:trPr>
        <w:tc>
          <w:tcPr>
            <w:tcW w:w="2402" w:type="dxa"/>
            <w:vAlign w:val="center"/>
          </w:tcPr>
          <w:p w14:paraId="3F9BA6AA"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Output</w:t>
            </w:r>
          </w:p>
        </w:tc>
        <w:tc>
          <w:tcPr>
            <w:tcW w:w="6807" w:type="dxa"/>
            <w:vAlign w:val="center"/>
          </w:tcPr>
          <w:p w14:paraId="51558F04"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The products, goods and services that result from a development investment.</w:t>
            </w:r>
          </w:p>
        </w:tc>
      </w:tr>
      <w:tr w:rsidR="000E7A9A" w:rsidRPr="00635E8B" w14:paraId="54E1D9C0" w14:textId="77777777" w:rsidTr="000E7A9A">
        <w:trPr>
          <w:cantSplit/>
        </w:trPr>
        <w:tc>
          <w:tcPr>
            <w:tcW w:w="2402" w:type="dxa"/>
            <w:vAlign w:val="center"/>
          </w:tcPr>
          <w:p w14:paraId="244ECE1F"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Partnerships</w:t>
            </w:r>
          </w:p>
          <w:p w14:paraId="7E46394D"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Partnership capital</w:t>
            </w:r>
          </w:p>
        </w:tc>
        <w:tc>
          <w:tcPr>
            <w:tcW w:w="6807" w:type="dxa"/>
            <w:vAlign w:val="center"/>
          </w:tcPr>
          <w:p w14:paraId="67112818" w14:textId="77777777" w:rsidR="000E7A9A" w:rsidRPr="00635E8B" w:rsidRDefault="000E7A9A" w:rsidP="00BE60F3">
            <w:pPr>
              <w:spacing w:after="0" w:line="240" w:lineRule="auto"/>
              <w:rPr>
                <w:rFonts w:eastAsia="Calibri" w:cs="Arial"/>
                <w:color w:val="221E1F"/>
                <w:sz w:val="20"/>
                <w:szCs w:val="20"/>
              </w:rPr>
            </w:pPr>
            <w:r w:rsidRPr="00635E8B">
              <w:rPr>
                <w:rFonts w:eastAsia="Calibri" w:cs="Arial"/>
                <w:color w:val="221E1F"/>
                <w:sz w:val="20"/>
                <w:szCs w:val="20"/>
              </w:rPr>
              <w:t>Partnerships are an important vehicle for bringing together diverse skills and resources for more effective outcomes. Partnerships can increase the efficiency of systems that have an impact by making the best use of different but complementary resources. Collaborations, joint resourcing and planned action can also potentially make a bigger impact on outcomes across diverse sectors. If partnerships are to be successful, however, they must have a clear purpose, add value to the work of the partners, and be carefully planned and monitored.</w:t>
            </w:r>
          </w:p>
          <w:p w14:paraId="183C1AEE"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 xml:space="preserve">Partnership capital is the value that is implicit or explicit in a partnership. Well-managed partnerships can build partnership capital. </w:t>
            </w:r>
          </w:p>
        </w:tc>
      </w:tr>
      <w:tr w:rsidR="000E7A9A" w:rsidRPr="00635E8B" w14:paraId="3BE6D5DA" w14:textId="77777777" w:rsidTr="000E7A9A">
        <w:trPr>
          <w:cantSplit/>
        </w:trPr>
        <w:tc>
          <w:tcPr>
            <w:tcW w:w="2402" w:type="dxa"/>
            <w:vAlign w:val="center"/>
          </w:tcPr>
          <w:p w14:paraId="776B8AEA" w14:textId="77777777" w:rsidR="000E7A9A" w:rsidRPr="00635E8B" w:rsidRDefault="000E7A9A" w:rsidP="00BE60F3">
            <w:pPr>
              <w:spacing w:before="120" w:after="120" w:line="240" w:lineRule="auto"/>
              <w:rPr>
                <w:rFonts w:eastAsia="Franklin Gothic Book" w:cs="Arial"/>
                <w:b/>
                <w:noProof/>
                <w:sz w:val="20"/>
                <w:szCs w:val="20"/>
                <w:lang w:val="id-ID" w:eastAsia="en-AU"/>
              </w:rPr>
            </w:pPr>
            <w:r w:rsidRPr="00635E8B">
              <w:rPr>
                <w:rFonts w:eastAsia="Franklin Gothic Book" w:cs="Arial"/>
                <w:b/>
                <w:bCs/>
                <w:noProof/>
                <w:sz w:val="20"/>
                <w:szCs w:val="20"/>
                <w:lang w:val="id-ID" w:eastAsia="en-AU"/>
              </w:rPr>
              <w:t>Problem Driven Iterative Adaptation (</w:t>
            </w:r>
            <w:r w:rsidRPr="00635E8B">
              <w:rPr>
                <w:rFonts w:eastAsia="Franklin Gothic Book" w:cs="Arial"/>
                <w:b/>
                <w:noProof/>
                <w:sz w:val="20"/>
                <w:szCs w:val="20"/>
                <w:lang w:val="id-ID" w:eastAsia="en-AU"/>
              </w:rPr>
              <w:t xml:space="preserve">PDIA) </w:t>
            </w:r>
          </w:p>
        </w:tc>
        <w:tc>
          <w:tcPr>
            <w:tcW w:w="6807" w:type="dxa"/>
            <w:vAlign w:val="center"/>
          </w:tcPr>
          <w:p w14:paraId="73BD2FFC" w14:textId="77777777" w:rsidR="000E7A9A" w:rsidRPr="00635E8B" w:rsidRDefault="000E7A9A" w:rsidP="00BE60F3">
            <w:pPr>
              <w:spacing w:before="120" w:after="120" w:line="240" w:lineRule="auto"/>
              <w:rPr>
                <w:rFonts w:eastAsia="Franklin Gothic Book" w:cs="Arial"/>
                <w:sz w:val="20"/>
                <w:szCs w:val="20"/>
                <w:lang w:val="id-ID"/>
              </w:rPr>
            </w:pPr>
            <w:r w:rsidRPr="00635E8B">
              <w:rPr>
                <w:rFonts w:eastAsia="Franklin Gothic Book" w:cs="Arial"/>
                <w:sz w:val="20"/>
                <w:szCs w:val="20"/>
                <w:lang w:val="id-ID"/>
              </w:rPr>
              <w:t>PDIA is a learning by doing approach that helps organisations develop the capability to solve complex problems while they are actually solving such problems. PDIA is a process that allows for flexible learning and adaptation. In application, organisations generates, tests and refines context-specific solutions in response to locally nominated and prioritised problems, within systems that tolerate (even encourage) failure as the necessary price of success.</w:t>
            </w:r>
          </w:p>
        </w:tc>
      </w:tr>
      <w:tr w:rsidR="000E7A9A" w:rsidRPr="00635E8B" w14:paraId="206814CF" w14:textId="77777777" w:rsidTr="000E7A9A">
        <w:trPr>
          <w:cantSplit/>
        </w:trPr>
        <w:tc>
          <w:tcPr>
            <w:tcW w:w="2402" w:type="dxa"/>
            <w:vAlign w:val="center"/>
          </w:tcPr>
          <w:p w14:paraId="21A6D70D"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Performance Assessment Framework (PAF)</w:t>
            </w:r>
          </w:p>
        </w:tc>
        <w:tc>
          <w:tcPr>
            <w:tcW w:w="6807" w:type="dxa"/>
            <w:vAlign w:val="center"/>
          </w:tcPr>
          <w:p w14:paraId="1894D2CF"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A planning and management tool to help programs manage for and report on results. Fulfils the same function as a monitoring and evaluation framework for an aid investment, but is for country and regional programs. A Performance Assessment Framework should set out, in a concise way, a program’s objectives, the cause-and-effect logic underlying the program and how progress will be monitored and evaluated.</w:t>
            </w:r>
          </w:p>
        </w:tc>
      </w:tr>
      <w:tr w:rsidR="000E7A9A" w:rsidRPr="00635E8B" w14:paraId="2907420D" w14:textId="77777777" w:rsidTr="000E7A9A">
        <w:trPr>
          <w:cantSplit/>
        </w:trPr>
        <w:tc>
          <w:tcPr>
            <w:tcW w:w="2402" w:type="dxa"/>
            <w:vAlign w:val="center"/>
          </w:tcPr>
          <w:p w14:paraId="53F31939"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Program</w:t>
            </w:r>
          </w:p>
        </w:tc>
        <w:tc>
          <w:tcPr>
            <w:tcW w:w="6807" w:type="dxa"/>
            <w:vAlign w:val="center"/>
          </w:tcPr>
          <w:p w14:paraId="301B793F"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A group of related investments managed in a coordinated way to achieve objectives and outcomes. The department has regional, country, global and thematic programs.</w:t>
            </w:r>
          </w:p>
        </w:tc>
      </w:tr>
      <w:tr w:rsidR="000E7A9A" w:rsidRPr="00635E8B" w14:paraId="71A68084" w14:textId="77777777" w:rsidTr="000E7A9A">
        <w:trPr>
          <w:cantSplit/>
        </w:trPr>
        <w:tc>
          <w:tcPr>
            <w:tcW w:w="2402" w:type="dxa"/>
            <w:vAlign w:val="center"/>
          </w:tcPr>
          <w:p w14:paraId="167DB03C"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Purpose</w:t>
            </w:r>
          </w:p>
        </w:tc>
        <w:tc>
          <w:tcPr>
            <w:tcW w:w="6807" w:type="dxa"/>
            <w:vAlign w:val="center"/>
          </w:tcPr>
          <w:p w14:paraId="6EDEBA85"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The purpose of the aid program is to promote Australia’s national interests by contributing to sustainable economic growth and poverty reduction.</w:t>
            </w:r>
          </w:p>
        </w:tc>
      </w:tr>
      <w:tr w:rsidR="000E7A9A" w:rsidRPr="00635E8B" w14:paraId="3ABDEFF6" w14:textId="77777777" w:rsidTr="000E7A9A">
        <w:trPr>
          <w:cantSplit/>
        </w:trPr>
        <w:tc>
          <w:tcPr>
            <w:tcW w:w="2402" w:type="dxa"/>
            <w:vAlign w:val="center"/>
          </w:tcPr>
          <w:p w14:paraId="1B9D4011"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Quality assurance</w:t>
            </w:r>
          </w:p>
        </w:tc>
        <w:tc>
          <w:tcPr>
            <w:tcW w:w="6807" w:type="dxa"/>
            <w:vAlign w:val="center"/>
          </w:tcPr>
          <w:p w14:paraId="7AAF863E"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Any activity concerned with assessing and improving the merit or worth of an aid management process or individual aid investment or its compliance with accepted standards. Peer review and appraisal are the most common forms of aid quality assurance.</w:t>
            </w:r>
          </w:p>
        </w:tc>
      </w:tr>
      <w:tr w:rsidR="000E7A9A" w:rsidRPr="00635E8B" w14:paraId="7A2E934A" w14:textId="77777777" w:rsidTr="000E7A9A">
        <w:trPr>
          <w:cantSplit/>
        </w:trPr>
        <w:tc>
          <w:tcPr>
            <w:tcW w:w="2402" w:type="dxa"/>
            <w:vAlign w:val="center"/>
          </w:tcPr>
          <w:p w14:paraId="23AB7886"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Relevance</w:t>
            </w:r>
          </w:p>
        </w:tc>
        <w:tc>
          <w:tcPr>
            <w:tcW w:w="6807" w:type="dxa"/>
            <w:vAlign w:val="center"/>
          </w:tcPr>
          <w:p w14:paraId="043B8373"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An investment is relevant if it is consistent with beneficiary requirements, country needs, national priorities and partner and donor policies.</w:t>
            </w:r>
          </w:p>
        </w:tc>
      </w:tr>
      <w:tr w:rsidR="000E7A9A" w:rsidRPr="00635E8B" w14:paraId="036A2628" w14:textId="77777777" w:rsidTr="000E7A9A">
        <w:trPr>
          <w:cantSplit/>
        </w:trPr>
        <w:tc>
          <w:tcPr>
            <w:tcW w:w="2402" w:type="dxa"/>
            <w:vAlign w:val="center"/>
          </w:tcPr>
          <w:p w14:paraId="67D566C8"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Results</w:t>
            </w:r>
          </w:p>
        </w:tc>
        <w:tc>
          <w:tcPr>
            <w:tcW w:w="6807" w:type="dxa"/>
            <w:vAlign w:val="center"/>
          </w:tcPr>
          <w:p w14:paraId="00D4EBE3"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A generic term for an investment’s outputs, outcomes and long-term impacts.</w:t>
            </w:r>
          </w:p>
        </w:tc>
      </w:tr>
      <w:tr w:rsidR="000E7A9A" w:rsidRPr="00635E8B" w14:paraId="1D0B9DA2" w14:textId="77777777" w:rsidTr="000E7A9A">
        <w:trPr>
          <w:cantSplit/>
        </w:trPr>
        <w:tc>
          <w:tcPr>
            <w:tcW w:w="2402" w:type="dxa"/>
            <w:vAlign w:val="center"/>
          </w:tcPr>
          <w:p w14:paraId="1A4672F9"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Review</w:t>
            </w:r>
          </w:p>
        </w:tc>
        <w:tc>
          <w:tcPr>
            <w:tcW w:w="6807" w:type="dxa"/>
            <w:vAlign w:val="center"/>
          </w:tcPr>
          <w:p w14:paraId="1BB58067"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An evaluation with limited scope and scale. A review is a constrained evaluation, undertaken at a point of time using existing data, or data that can be quickly gathered.</w:t>
            </w:r>
          </w:p>
        </w:tc>
      </w:tr>
      <w:tr w:rsidR="000E7A9A" w:rsidRPr="00635E8B" w14:paraId="1149EA4E" w14:textId="77777777" w:rsidTr="000E7A9A">
        <w:trPr>
          <w:cantSplit/>
        </w:trPr>
        <w:tc>
          <w:tcPr>
            <w:tcW w:w="2402" w:type="dxa"/>
            <w:vAlign w:val="center"/>
          </w:tcPr>
          <w:p w14:paraId="61AB0DF7"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Risk</w:t>
            </w:r>
          </w:p>
        </w:tc>
        <w:tc>
          <w:tcPr>
            <w:tcW w:w="6807" w:type="dxa"/>
            <w:vAlign w:val="center"/>
          </w:tcPr>
          <w:p w14:paraId="7A43ACD2"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The effect of uncertainty on the achievement of results.</w:t>
            </w:r>
          </w:p>
        </w:tc>
      </w:tr>
      <w:tr w:rsidR="000E7A9A" w:rsidRPr="00635E8B" w14:paraId="0D374061" w14:textId="77777777" w:rsidTr="000E7A9A">
        <w:trPr>
          <w:cantSplit/>
        </w:trPr>
        <w:tc>
          <w:tcPr>
            <w:tcW w:w="2402" w:type="dxa"/>
            <w:vAlign w:val="center"/>
          </w:tcPr>
          <w:p w14:paraId="5BAE691B"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Risk management</w:t>
            </w:r>
          </w:p>
        </w:tc>
        <w:tc>
          <w:tcPr>
            <w:tcW w:w="6807" w:type="dxa"/>
            <w:vAlign w:val="center"/>
          </w:tcPr>
          <w:p w14:paraId="4D03288B"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Identifying and analysing potential risks and opportunities and developing proportionate, defensible management strategies that balance risk and treatments against the benefits of the investment.</w:t>
            </w:r>
          </w:p>
        </w:tc>
      </w:tr>
      <w:tr w:rsidR="000E7A9A" w:rsidRPr="00635E8B" w14:paraId="45887673" w14:textId="77777777" w:rsidTr="000E7A9A">
        <w:trPr>
          <w:cantSplit/>
        </w:trPr>
        <w:tc>
          <w:tcPr>
            <w:tcW w:w="2402" w:type="dxa"/>
            <w:vAlign w:val="center"/>
          </w:tcPr>
          <w:p w14:paraId="1BAD8196"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 xml:space="preserve">Significant Instances of Policy Change and System Improvement (SIPSI) </w:t>
            </w:r>
          </w:p>
        </w:tc>
        <w:tc>
          <w:tcPr>
            <w:tcW w:w="6807" w:type="dxa"/>
            <w:vAlign w:val="center"/>
          </w:tcPr>
          <w:p w14:paraId="6A5121BE"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 xml:space="preserve">Significant policy change (SPC) is an approach that was adopted in the 2016 DFAT Indonesia performance assessment framework (PAF). This has since been expanded as a concept to include systems improvements—now SIPSI! The technique involves building a carefully crafted narrative about an emergent policy change or system improvement and showing how the facility contributed to this. </w:t>
            </w:r>
          </w:p>
        </w:tc>
      </w:tr>
      <w:tr w:rsidR="000E7A9A" w:rsidRPr="00635E8B" w14:paraId="01E7CB58" w14:textId="77777777" w:rsidTr="000E7A9A">
        <w:trPr>
          <w:cantSplit/>
        </w:trPr>
        <w:tc>
          <w:tcPr>
            <w:tcW w:w="2402" w:type="dxa"/>
            <w:vAlign w:val="center"/>
          </w:tcPr>
          <w:p w14:paraId="1F35005B" w14:textId="77777777" w:rsidR="000E7A9A" w:rsidRPr="00635E8B" w:rsidRDefault="000E7A9A" w:rsidP="00BE60F3">
            <w:pPr>
              <w:spacing w:before="120" w:after="120" w:line="240" w:lineRule="auto"/>
              <w:rPr>
                <w:rFonts w:eastAsia="Franklin Gothic Book" w:cs="Arial"/>
                <w:b/>
                <w:noProof/>
                <w:sz w:val="20"/>
                <w:szCs w:val="20"/>
                <w:lang w:eastAsia="en-AU"/>
              </w:rPr>
            </w:pPr>
            <w:r w:rsidRPr="00735CA1">
              <w:rPr>
                <w:rFonts w:eastAsia="Franklin Gothic Book" w:cs="Arial"/>
                <w:b/>
                <w:noProof/>
                <w:sz w:val="20"/>
                <w:szCs w:val="20"/>
                <w:lang w:eastAsia="en-AU"/>
              </w:rPr>
              <w:t>Social inclusion</w:t>
            </w:r>
          </w:p>
        </w:tc>
        <w:tc>
          <w:tcPr>
            <w:tcW w:w="6807" w:type="dxa"/>
            <w:vAlign w:val="center"/>
          </w:tcPr>
          <w:p w14:paraId="4F5B7016" w14:textId="295CB108" w:rsidR="00735CA1" w:rsidRPr="00635E8B" w:rsidRDefault="00735CA1" w:rsidP="00BE60F3">
            <w:pPr>
              <w:spacing w:before="120" w:after="120" w:line="240" w:lineRule="auto"/>
              <w:rPr>
                <w:rFonts w:eastAsia="Franklin Gothic Book" w:cs="Arial"/>
                <w:sz w:val="20"/>
                <w:szCs w:val="20"/>
              </w:rPr>
            </w:pPr>
            <w:r>
              <w:rPr>
                <w:rFonts w:eastAsia="Franklin Gothic Book" w:cs="Arial"/>
                <w:sz w:val="20"/>
                <w:szCs w:val="20"/>
              </w:rPr>
              <w:t>A</w:t>
            </w:r>
            <w:r w:rsidRPr="00735CA1">
              <w:rPr>
                <w:rFonts w:eastAsia="Franklin Gothic Book" w:cs="Arial"/>
                <w:sz w:val="20"/>
                <w:szCs w:val="20"/>
              </w:rPr>
              <w:t>ll groups participating fully in economic and social life through access to resources, opportunities and decision-making processes.</w:t>
            </w:r>
          </w:p>
        </w:tc>
      </w:tr>
      <w:tr w:rsidR="000E7A9A" w:rsidRPr="00635E8B" w14:paraId="6B960B60" w14:textId="77777777" w:rsidTr="000E7A9A">
        <w:trPr>
          <w:cantSplit/>
        </w:trPr>
        <w:tc>
          <w:tcPr>
            <w:tcW w:w="2402" w:type="dxa"/>
            <w:vAlign w:val="center"/>
          </w:tcPr>
          <w:p w14:paraId="3470B028"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Sustainability</w:t>
            </w:r>
          </w:p>
        </w:tc>
        <w:tc>
          <w:tcPr>
            <w:tcW w:w="6807" w:type="dxa"/>
            <w:vAlign w:val="center"/>
          </w:tcPr>
          <w:p w14:paraId="6222C96B"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Whether the benefits of the activity will continue after Australia’s funding has ceased, with due account of partner government systems, stakeholder ownership and the phase-out strategy.</w:t>
            </w:r>
          </w:p>
        </w:tc>
      </w:tr>
      <w:tr w:rsidR="000E7A9A" w:rsidRPr="00635E8B" w14:paraId="5750DBA7" w14:textId="77777777" w:rsidTr="000E7A9A">
        <w:trPr>
          <w:cantSplit/>
        </w:trPr>
        <w:tc>
          <w:tcPr>
            <w:tcW w:w="2402" w:type="dxa"/>
            <w:vAlign w:val="center"/>
          </w:tcPr>
          <w:p w14:paraId="763F453A"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Theory of change</w:t>
            </w:r>
          </w:p>
        </w:tc>
        <w:tc>
          <w:tcPr>
            <w:tcW w:w="6807" w:type="dxa"/>
            <w:vAlign w:val="center"/>
          </w:tcPr>
          <w:p w14:paraId="744FBCE0" w14:textId="77777777" w:rsidR="000E7A9A" w:rsidRPr="00635E8B" w:rsidRDefault="000E7A9A" w:rsidP="00BE60F3">
            <w:pPr>
              <w:spacing w:before="120" w:after="120" w:line="240" w:lineRule="auto"/>
              <w:rPr>
                <w:rFonts w:eastAsia="Franklin Gothic Book" w:cs="Arial"/>
                <w:noProof/>
                <w:sz w:val="20"/>
                <w:szCs w:val="20"/>
                <w:lang w:eastAsia="en-AU"/>
              </w:rPr>
            </w:pPr>
            <w:r w:rsidRPr="00635E8B">
              <w:rPr>
                <w:rFonts w:eastAsia="Franklin Gothic Book" w:cs="Arial"/>
                <w:noProof/>
                <w:sz w:val="20"/>
                <w:szCs w:val="20"/>
                <w:lang w:eastAsia="en-AU"/>
              </w:rPr>
              <w:t>A description of how change is understood to occur in a particular context, sometimes represented by a diagram. For an investment, theory of change explains the mechanism of change by specifying the causal linkages in the investment (the relationship between outputs, intermediate outcomes and end of investment outcomes). In an aid investment plan, theory of change explains how a group of related investments work together to support the attainment of a higher-level objective.</w:t>
            </w:r>
          </w:p>
          <w:p w14:paraId="320DD27D" w14:textId="77777777" w:rsidR="000E7A9A" w:rsidRPr="00635E8B" w:rsidRDefault="000E7A9A" w:rsidP="00BE60F3">
            <w:pPr>
              <w:spacing w:before="120" w:after="120" w:line="240" w:lineRule="auto"/>
              <w:rPr>
                <w:rFonts w:eastAsia="Franklin Gothic Book" w:cs="Arial"/>
                <w:sz w:val="20"/>
                <w:szCs w:val="20"/>
              </w:rPr>
            </w:pPr>
            <w:r w:rsidRPr="00635E8B">
              <w:rPr>
                <w:rFonts w:eastAsia="Franklin Gothic Book" w:cs="Arial"/>
                <w:sz w:val="20"/>
                <w:szCs w:val="20"/>
              </w:rPr>
              <w:t>See also facility logic.</w:t>
            </w:r>
          </w:p>
        </w:tc>
      </w:tr>
      <w:tr w:rsidR="000E7A9A" w:rsidRPr="00635E8B" w14:paraId="1C9C8E1F" w14:textId="77777777" w:rsidTr="000E7A9A">
        <w:trPr>
          <w:cantSplit/>
        </w:trPr>
        <w:tc>
          <w:tcPr>
            <w:tcW w:w="2402" w:type="dxa"/>
            <w:vAlign w:val="center"/>
          </w:tcPr>
          <w:p w14:paraId="54077221" w14:textId="77777777"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Transparency</w:t>
            </w:r>
          </w:p>
        </w:tc>
        <w:tc>
          <w:tcPr>
            <w:tcW w:w="6807" w:type="dxa"/>
            <w:vAlign w:val="center"/>
          </w:tcPr>
          <w:p w14:paraId="3CB23B5F" w14:textId="77777777" w:rsidR="000E7A9A" w:rsidRPr="00635E8B" w:rsidRDefault="000E7A9A" w:rsidP="00BE60F3">
            <w:pPr>
              <w:spacing w:before="120" w:after="120" w:line="240" w:lineRule="auto"/>
              <w:rPr>
                <w:rFonts w:eastAsia="Franklin Gothic Book" w:cs="Arial"/>
                <w:noProof/>
                <w:sz w:val="20"/>
                <w:szCs w:val="20"/>
                <w:lang w:eastAsia="en-AU"/>
              </w:rPr>
            </w:pPr>
            <w:r w:rsidRPr="00635E8B">
              <w:rPr>
                <w:rFonts w:eastAsia="Franklin Gothic Book" w:cs="Arial"/>
                <w:noProof/>
                <w:sz w:val="20"/>
                <w:szCs w:val="20"/>
                <w:lang w:eastAsia="en-AU"/>
              </w:rPr>
              <w:t xml:space="preserve">Quality of being </w:t>
            </w:r>
            <w:hyperlink r:id="rId38" w:tooltip="Definition of easily" w:history="1">
              <w:r w:rsidRPr="00635E8B">
                <w:rPr>
                  <w:rFonts w:ascii="Franklin Gothic Book" w:eastAsia="Times New Roman" w:hAnsi="Franklin Gothic Book" w:cs="Times New Roman"/>
                  <w:noProof/>
                  <w:sz w:val="20"/>
                  <w:szCs w:val="20"/>
                  <w:lang w:eastAsia="en-AU"/>
                </w:rPr>
                <w:t>easily</w:t>
              </w:r>
            </w:hyperlink>
            <w:r w:rsidRPr="00635E8B">
              <w:rPr>
                <w:rFonts w:eastAsia="Franklin Gothic Book" w:cs="Arial"/>
                <w:noProof/>
                <w:sz w:val="20"/>
                <w:szCs w:val="20"/>
                <w:lang w:eastAsia="en-AU"/>
              </w:rPr>
              <w:t xml:space="preserve"> </w:t>
            </w:r>
            <w:hyperlink r:id="rId39" w:tooltip="Definition of understood" w:history="1">
              <w:r w:rsidRPr="00635E8B">
                <w:rPr>
                  <w:rFonts w:ascii="Franklin Gothic Book" w:eastAsia="Times New Roman" w:hAnsi="Franklin Gothic Book" w:cs="Times New Roman"/>
                  <w:noProof/>
                  <w:sz w:val="20"/>
                  <w:szCs w:val="20"/>
                  <w:lang w:eastAsia="en-AU"/>
                </w:rPr>
                <w:t>understood</w:t>
              </w:r>
            </w:hyperlink>
            <w:r w:rsidRPr="00635E8B">
              <w:rPr>
                <w:rFonts w:eastAsia="Franklin Gothic Book" w:cs="Arial"/>
                <w:noProof/>
                <w:sz w:val="20"/>
                <w:szCs w:val="20"/>
                <w:lang w:eastAsia="en-AU"/>
              </w:rPr>
              <w:t xml:space="preserve"> or </w:t>
            </w:r>
            <w:hyperlink r:id="rId40" w:tooltip="Definition of recognized" w:history="1">
              <w:r w:rsidRPr="00635E8B">
                <w:rPr>
                  <w:rFonts w:ascii="Franklin Gothic Book" w:eastAsia="Times New Roman" w:hAnsi="Franklin Gothic Book" w:cs="Times New Roman"/>
                  <w:noProof/>
                  <w:sz w:val="20"/>
                  <w:szCs w:val="20"/>
                  <w:lang w:eastAsia="en-AU"/>
                </w:rPr>
                <w:t>recognised</w:t>
              </w:r>
            </w:hyperlink>
            <w:r w:rsidRPr="00635E8B">
              <w:rPr>
                <w:rFonts w:eastAsia="Franklin Gothic Book" w:cs="Arial"/>
                <w:noProof/>
                <w:sz w:val="20"/>
                <w:szCs w:val="20"/>
                <w:lang w:eastAsia="en-AU"/>
              </w:rPr>
              <w:t xml:space="preserve"> because it is presented openly or </w:t>
            </w:r>
            <w:hyperlink r:id="rId41" w:tooltip="Definition of expressed" w:history="1">
              <w:r w:rsidRPr="00635E8B">
                <w:rPr>
                  <w:rFonts w:ascii="Franklin Gothic Book" w:eastAsia="Times New Roman" w:hAnsi="Franklin Gothic Book" w:cs="Times New Roman"/>
                  <w:noProof/>
                  <w:sz w:val="20"/>
                  <w:szCs w:val="20"/>
                  <w:lang w:eastAsia="en-AU"/>
                </w:rPr>
                <w:t>expressed</w:t>
              </w:r>
            </w:hyperlink>
            <w:r w:rsidRPr="00635E8B">
              <w:rPr>
                <w:rFonts w:eastAsia="Franklin Gothic Book" w:cs="Arial"/>
                <w:noProof/>
                <w:sz w:val="20"/>
                <w:szCs w:val="20"/>
                <w:lang w:eastAsia="en-AU"/>
              </w:rPr>
              <w:t xml:space="preserve"> in a </w:t>
            </w:r>
            <w:hyperlink r:id="rId42" w:tooltip="Definition of clear" w:history="1">
              <w:r w:rsidRPr="00635E8B">
                <w:rPr>
                  <w:rFonts w:ascii="Franklin Gothic Book" w:eastAsia="Times New Roman" w:hAnsi="Franklin Gothic Book" w:cs="Times New Roman"/>
                  <w:noProof/>
                  <w:sz w:val="20"/>
                  <w:szCs w:val="20"/>
                  <w:lang w:eastAsia="en-AU"/>
                </w:rPr>
                <w:t>clear</w:t>
              </w:r>
            </w:hyperlink>
            <w:r w:rsidRPr="00635E8B">
              <w:rPr>
                <w:rFonts w:eastAsia="Franklin Gothic Book" w:cs="Arial"/>
                <w:noProof/>
                <w:sz w:val="20"/>
                <w:szCs w:val="20"/>
                <w:lang w:eastAsia="en-AU"/>
              </w:rPr>
              <w:t xml:space="preserve"> way. The implication of transparency is that certain actions should be scrupulous enough to bear public scrutiny.</w:t>
            </w:r>
          </w:p>
        </w:tc>
      </w:tr>
      <w:tr w:rsidR="000E7A9A" w:rsidRPr="00635E8B" w14:paraId="5078CE15" w14:textId="77777777" w:rsidTr="000E7A9A">
        <w:trPr>
          <w:cantSplit/>
        </w:trPr>
        <w:tc>
          <w:tcPr>
            <w:tcW w:w="2402" w:type="dxa"/>
            <w:vAlign w:val="center"/>
          </w:tcPr>
          <w:p w14:paraId="3D04F03D" w14:textId="173B4E7A" w:rsidR="000E7A9A" w:rsidRPr="00635E8B" w:rsidRDefault="000E7A9A" w:rsidP="00BE60F3">
            <w:pPr>
              <w:spacing w:before="120" w:after="120" w:line="240" w:lineRule="auto"/>
              <w:rPr>
                <w:rFonts w:eastAsia="Franklin Gothic Book" w:cs="Arial"/>
                <w:b/>
                <w:noProof/>
                <w:sz w:val="20"/>
                <w:szCs w:val="20"/>
                <w:lang w:eastAsia="en-AU"/>
              </w:rPr>
            </w:pPr>
            <w:r w:rsidRPr="00635E8B">
              <w:rPr>
                <w:rFonts w:eastAsia="Franklin Gothic Book" w:cs="Arial"/>
                <w:b/>
                <w:noProof/>
                <w:sz w:val="20"/>
                <w:szCs w:val="20"/>
                <w:lang w:eastAsia="en-AU"/>
              </w:rPr>
              <w:t>Value for money</w:t>
            </w:r>
          </w:p>
        </w:tc>
        <w:tc>
          <w:tcPr>
            <w:tcW w:w="6807" w:type="dxa"/>
            <w:vAlign w:val="center"/>
          </w:tcPr>
          <w:p w14:paraId="018117C0" w14:textId="77777777" w:rsidR="000E7A9A" w:rsidRPr="00635E8B" w:rsidRDefault="000E7A9A" w:rsidP="00BE60F3">
            <w:pPr>
              <w:spacing w:before="120" w:after="120" w:line="240" w:lineRule="auto"/>
              <w:rPr>
                <w:rFonts w:eastAsia="Franklin Gothic Book" w:cs="Arial"/>
                <w:noProof/>
                <w:sz w:val="20"/>
                <w:szCs w:val="20"/>
                <w:lang w:eastAsia="en-AU"/>
              </w:rPr>
            </w:pPr>
            <w:r w:rsidRPr="00635E8B">
              <w:rPr>
                <w:rFonts w:eastAsia="Franklin Gothic Book" w:cs="Arial"/>
                <w:noProof/>
                <w:sz w:val="20"/>
                <w:szCs w:val="20"/>
                <w:lang w:eastAsia="en-AU"/>
              </w:rPr>
              <w:t>In the context of the Australian aid program and consistent with the Public Governance, Performance and Accountability (PGPA) Act, value for money refers to maximising the results achieved from tax payer-funded aid spending. It involves the systematic application of nine key principles across the entire aid management cycle : (a) cost consciousness; (b) encouraging competition; (c) evidence-based decision making; (d) proportionality; (e) performance and risk management; (f) results focus; (g) experimentation and innovation; (h) accountability and transparency ; and (i) ensuring there are no conflicts of interest.</w:t>
            </w:r>
          </w:p>
        </w:tc>
      </w:tr>
    </w:tbl>
    <w:p w14:paraId="41C7CC97" w14:textId="77777777" w:rsidR="00A648CA" w:rsidRDefault="00A648CA" w:rsidP="00BE60F3">
      <w:pPr>
        <w:pStyle w:val="AnnexHeading"/>
        <w:numPr>
          <w:ilvl w:val="0"/>
          <w:numId w:val="0"/>
        </w:numPr>
        <w:ind w:left="851" w:hanging="851"/>
        <w:sectPr w:rsidR="00A648CA" w:rsidSect="00635E8B">
          <w:pgSz w:w="11900" w:h="16840"/>
          <w:pgMar w:top="1440" w:right="1440" w:bottom="1440" w:left="1440" w:header="850" w:footer="850" w:gutter="0"/>
          <w:cols w:space="708"/>
          <w:docGrid w:linePitch="360"/>
        </w:sectPr>
      </w:pPr>
    </w:p>
    <w:p w14:paraId="1BC47BAD" w14:textId="0C504914" w:rsidR="004D5B4D" w:rsidRPr="000E7A9A" w:rsidRDefault="00334B64" w:rsidP="0082195C">
      <w:pPr>
        <w:pStyle w:val="Heading1"/>
        <w:numPr>
          <w:ilvl w:val="0"/>
          <w:numId w:val="0"/>
        </w:numPr>
        <w:ind w:left="851" w:hanging="851"/>
      </w:pPr>
      <w:bookmarkStart w:id="206" w:name="_Toc525743698"/>
      <w:bookmarkStart w:id="207" w:name="_Toc532991086"/>
      <w:r>
        <w:t xml:space="preserve">Annex </w:t>
      </w:r>
      <w:r w:rsidR="00735CA1">
        <w:t>9</w:t>
      </w:r>
      <w:r>
        <w:tab/>
      </w:r>
      <w:r w:rsidR="004D5B4D" w:rsidRPr="000E7A9A">
        <w:t>People consulted</w:t>
      </w:r>
      <w:bookmarkEnd w:id="206"/>
      <w:bookmarkEnd w:id="207"/>
    </w:p>
    <w:tbl>
      <w:tblPr>
        <w:tblW w:w="8633" w:type="dxa"/>
        <w:tblInd w:w="108" w:type="dxa"/>
        <w:tblLayout w:type="fixed"/>
        <w:tblLook w:val="04A0" w:firstRow="1" w:lastRow="0" w:firstColumn="1" w:lastColumn="0" w:noHBand="0" w:noVBand="1"/>
      </w:tblPr>
      <w:tblGrid>
        <w:gridCol w:w="538"/>
        <w:gridCol w:w="3962"/>
        <w:gridCol w:w="2610"/>
        <w:gridCol w:w="686"/>
        <w:gridCol w:w="837"/>
      </w:tblGrid>
      <w:tr w:rsidR="00635E8B" w:rsidRPr="00635E8B" w14:paraId="6969A112" w14:textId="77777777" w:rsidTr="00635E8B">
        <w:trPr>
          <w:cantSplit/>
          <w:trHeight w:hRule="exact" w:val="432"/>
          <w:tblHeader/>
        </w:trPr>
        <w:tc>
          <w:tcPr>
            <w:tcW w:w="538" w:type="dxa"/>
            <w:tcBorders>
              <w:top w:val="single" w:sz="4" w:space="0" w:color="auto"/>
              <w:left w:val="single" w:sz="4" w:space="0" w:color="auto"/>
              <w:bottom w:val="single" w:sz="4" w:space="0" w:color="auto"/>
              <w:right w:val="single" w:sz="4" w:space="0" w:color="auto"/>
            </w:tcBorders>
            <w:shd w:val="clear" w:color="auto" w:fill="20ABCA"/>
            <w:vAlign w:val="center"/>
            <w:hideMark/>
          </w:tcPr>
          <w:p w14:paraId="47B3099D" w14:textId="77777777" w:rsidR="00635E8B" w:rsidRPr="00635E8B" w:rsidRDefault="00635E8B" w:rsidP="00BE60F3">
            <w:pPr>
              <w:spacing w:after="0" w:line="240" w:lineRule="auto"/>
              <w:rPr>
                <w:rFonts w:eastAsia="Times New Roman" w:cs="Arial"/>
                <w:b/>
                <w:bCs/>
                <w:color w:val="FFFFFF"/>
                <w:sz w:val="18"/>
                <w:szCs w:val="18"/>
                <w:lang w:eastAsia="id-ID"/>
              </w:rPr>
            </w:pPr>
          </w:p>
        </w:tc>
        <w:tc>
          <w:tcPr>
            <w:tcW w:w="3962" w:type="dxa"/>
            <w:tcBorders>
              <w:top w:val="single" w:sz="4" w:space="0" w:color="auto"/>
              <w:left w:val="nil"/>
              <w:bottom w:val="single" w:sz="4" w:space="0" w:color="auto"/>
              <w:right w:val="single" w:sz="4" w:space="0" w:color="auto"/>
            </w:tcBorders>
            <w:shd w:val="clear" w:color="auto" w:fill="20ABCA"/>
            <w:vAlign w:val="center"/>
            <w:hideMark/>
          </w:tcPr>
          <w:p w14:paraId="3A8498C3" w14:textId="77777777" w:rsidR="00635E8B" w:rsidRPr="00635E8B" w:rsidRDefault="00635E8B" w:rsidP="00BE60F3">
            <w:pPr>
              <w:spacing w:after="0" w:line="240" w:lineRule="auto"/>
              <w:rPr>
                <w:rFonts w:eastAsia="Times New Roman" w:cs="Arial"/>
                <w:b/>
                <w:bCs/>
                <w:color w:val="FFFFFF"/>
                <w:sz w:val="18"/>
                <w:szCs w:val="18"/>
                <w:lang w:eastAsia="id-ID"/>
              </w:rPr>
            </w:pPr>
            <w:r w:rsidRPr="00635E8B">
              <w:rPr>
                <w:rFonts w:eastAsia="Times New Roman" w:cs="Arial"/>
                <w:b/>
                <w:bCs/>
                <w:color w:val="FFFFFF"/>
                <w:sz w:val="18"/>
                <w:szCs w:val="18"/>
                <w:lang w:eastAsia="id-ID"/>
              </w:rPr>
              <w:t>Organisation</w:t>
            </w:r>
          </w:p>
        </w:tc>
        <w:tc>
          <w:tcPr>
            <w:tcW w:w="2610" w:type="dxa"/>
            <w:tcBorders>
              <w:top w:val="single" w:sz="4" w:space="0" w:color="auto"/>
              <w:left w:val="nil"/>
              <w:bottom w:val="single" w:sz="4" w:space="0" w:color="auto"/>
              <w:right w:val="single" w:sz="4" w:space="0" w:color="auto"/>
            </w:tcBorders>
            <w:shd w:val="clear" w:color="auto" w:fill="20ABCA"/>
            <w:vAlign w:val="center"/>
            <w:hideMark/>
          </w:tcPr>
          <w:p w14:paraId="0BE54AAF" w14:textId="77777777" w:rsidR="00635E8B" w:rsidRPr="00635E8B" w:rsidRDefault="00635E8B" w:rsidP="00BE60F3">
            <w:pPr>
              <w:spacing w:after="0" w:line="240" w:lineRule="auto"/>
              <w:rPr>
                <w:rFonts w:eastAsia="Times New Roman" w:cs="Arial"/>
                <w:b/>
                <w:bCs/>
                <w:color w:val="FFFFFF"/>
                <w:sz w:val="18"/>
                <w:szCs w:val="18"/>
                <w:lang w:eastAsia="id-ID"/>
              </w:rPr>
            </w:pPr>
            <w:r w:rsidRPr="00635E8B">
              <w:rPr>
                <w:rFonts w:eastAsia="Times New Roman" w:cs="Arial"/>
                <w:b/>
                <w:bCs/>
                <w:color w:val="FFFFFF"/>
                <w:sz w:val="18"/>
                <w:szCs w:val="18"/>
                <w:lang w:eastAsia="id-ID"/>
              </w:rPr>
              <w:t>Full Name</w:t>
            </w:r>
          </w:p>
        </w:tc>
        <w:tc>
          <w:tcPr>
            <w:tcW w:w="686" w:type="dxa"/>
            <w:tcBorders>
              <w:top w:val="single" w:sz="4" w:space="0" w:color="auto"/>
              <w:left w:val="nil"/>
              <w:bottom w:val="single" w:sz="4" w:space="0" w:color="auto"/>
              <w:right w:val="single" w:sz="4" w:space="0" w:color="auto"/>
            </w:tcBorders>
            <w:shd w:val="clear" w:color="auto" w:fill="20ABCA"/>
            <w:vAlign w:val="center"/>
          </w:tcPr>
          <w:p w14:paraId="766EC6E1" w14:textId="77777777" w:rsidR="00635E8B" w:rsidRPr="00635E8B" w:rsidRDefault="00635E8B" w:rsidP="00BE60F3">
            <w:pPr>
              <w:spacing w:after="0" w:line="240" w:lineRule="auto"/>
              <w:rPr>
                <w:rFonts w:eastAsia="Times New Roman" w:cs="Arial"/>
                <w:b/>
                <w:bCs/>
                <w:color w:val="FFFFFF"/>
                <w:sz w:val="18"/>
                <w:szCs w:val="18"/>
                <w:lang w:eastAsia="id-ID"/>
              </w:rPr>
            </w:pPr>
            <w:r w:rsidRPr="00635E8B">
              <w:rPr>
                <w:rFonts w:eastAsia="Times New Roman" w:cs="Arial"/>
                <w:b/>
                <w:bCs/>
                <w:color w:val="FFFFFF"/>
                <w:sz w:val="18"/>
                <w:szCs w:val="18"/>
                <w:lang w:eastAsia="id-ID"/>
              </w:rPr>
              <w:t>Male</w:t>
            </w:r>
          </w:p>
        </w:tc>
        <w:tc>
          <w:tcPr>
            <w:tcW w:w="837" w:type="dxa"/>
            <w:tcBorders>
              <w:top w:val="single" w:sz="4" w:space="0" w:color="auto"/>
              <w:left w:val="single" w:sz="4" w:space="0" w:color="auto"/>
              <w:bottom w:val="single" w:sz="4" w:space="0" w:color="auto"/>
              <w:right w:val="single" w:sz="4" w:space="0" w:color="auto"/>
            </w:tcBorders>
            <w:shd w:val="clear" w:color="auto" w:fill="20ABCA"/>
            <w:vAlign w:val="center"/>
            <w:hideMark/>
          </w:tcPr>
          <w:p w14:paraId="12D0A57E" w14:textId="77777777" w:rsidR="00635E8B" w:rsidRPr="00635E8B" w:rsidRDefault="00635E8B" w:rsidP="00BE60F3">
            <w:pPr>
              <w:spacing w:after="0" w:line="240" w:lineRule="auto"/>
              <w:rPr>
                <w:rFonts w:eastAsia="Times New Roman" w:cs="Arial"/>
                <w:b/>
                <w:bCs/>
                <w:color w:val="FFFFFF"/>
                <w:sz w:val="18"/>
                <w:szCs w:val="18"/>
                <w:lang w:eastAsia="id-ID"/>
              </w:rPr>
            </w:pPr>
            <w:r w:rsidRPr="00635E8B">
              <w:rPr>
                <w:rFonts w:eastAsia="Times New Roman" w:cs="Arial"/>
                <w:b/>
                <w:bCs/>
                <w:color w:val="FFFFFF"/>
                <w:sz w:val="18"/>
                <w:szCs w:val="18"/>
                <w:lang w:eastAsia="id-ID"/>
              </w:rPr>
              <w:t>Female</w:t>
            </w:r>
          </w:p>
        </w:tc>
      </w:tr>
      <w:tr w:rsidR="00635E8B" w:rsidRPr="00635E8B" w14:paraId="1279DBCB"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45528A0"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1</w:t>
            </w:r>
          </w:p>
        </w:tc>
        <w:tc>
          <w:tcPr>
            <w:tcW w:w="3962" w:type="dxa"/>
            <w:tcBorders>
              <w:top w:val="nil"/>
              <w:left w:val="nil"/>
              <w:bottom w:val="single" w:sz="4" w:space="0" w:color="auto"/>
              <w:right w:val="single" w:sz="4" w:space="0" w:color="auto"/>
            </w:tcBorders>
            <w:shd w:val="clear" w:color="auto" w:fill="auto"/>
            <w:vAlign w:val="center"/>
            <w:hideMark/>
          </w:tcPr>
          <w:p w14:paraId="220449F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DFAT Canberra</w:t>
            </w:r>
          </w:p>
        </w:tc>
        <w:tc>
          <w:tcPr>
            <w:tcW w:w="2610" w:type="dxa"/>
            <w:tcBorders>
              <w:top w:val="nil"/>
              <w:left w:val="nil"/>
              <w:bottom w:val="single" w:sz="4" w:space="0" w:color="auto"/>
              <w:right w:val="single" w:sz="4" w:space="0" w:color="auto"/>
            </w:tcBorders>
            <w:shd w:val="clear" w:color="auto" w:fill="auto"/>
            <w:vAlign w:val="center"/>
            <w:hideMark/>
          </w:tcPr>
          <w:p w14:paraId="1997037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Scott Bayley</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14:paraId="516BD70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3125CEC3"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5F3D06AB"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7F1C320"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2</w:t>
            </w:r>
          </w:p>
        </w:tc>
        <w:tc>
          <w:tcPr>
            <w:tcW w:w="3962" w:type="dxa"/>
            <w:tcBorders>
              <w:top w:val="nil"/>
              <w:left w:val="nil"/>
              <w:bottom w:val="single" w:sz="4" w:space="0" w:color="auto"/>
              <w:right w:val="single" w:sz="4" w:space="0" w:color="auto"/>
            </w:tcBorders>
            <w:shd w:val="clear" w:color="auto" w:fill="auto"/>
            <w:vAlign w:val="center"/>
            <w:hideMark/>
          </w:tcPr>
          <w:p w14:paraId="40D78E4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DFAT Canberra</w:t>
            </w:r>
          </w:p>
        </w:tc>
        <w:tc>
          <w:tcPr>
            <w:tcW w:w="2610" w:type="dxa"/>
            <w:tcBorders>
              <w:top w:val="nil"/>
              <w:left w:val="nil"/>
              <w:bottom w:val="single" w:sz="4" w:space="0" w:color="auto"/>
              <w:right w:val="single" w:sz="4" w:space="0" w:color="auto"/>
            </w:tcBorders>
            <w:shd w:val="clear" w:color="auto" w:fill="auto"/>
            <w:vAlign w:val="center"/>
            <w:hideMark/>
          </w:tcPr>
          <w:p w14:paraId="287AD420" w14:textId="77777777" w:rsidR="00635E8B" w:rsidRPr="00635E8B" w:rsidRDefault="00635E8B" w:rsidP="00BE60F3">
            <w:pPr>
              <w:spacing w:after="0" w:line="240" w:lineRule="auto"/>
              <w:rPr>
                <w:rFonts w:eastAsia="Times New Roman" w:cs="Arial"/>
                <w:sz w:val="18"/>
                <w:szCs w:val="18"/>
                <w:lang w:eastAsia="id-ID"/>
              </w:rPr>
            </w:pPr>
            <w:r w:rsidRPr="00635E8B">
              <w:rPr>
                <w:rFonts w:eastAsia="Times New Roman" w:cs="Arial"/>
                <w:sz w:val="18"/>
                <w:szCs w:val="18"/>
                <w:lang w:eastAsia="id-ID"/>
              </w:rPr>
              <w:t>Dan Heldon</w:t>
            </w:r>
          </w:p>
        </w:tc>
        <w:tc>
          <w:tcPr>
            <w:tcW w:w="686" w:type="dxa"/>
            <w:tcBorders>
              <w:top w:val="nil"/>
              <w:left w:val="single" w:sz="4" w:space="0" w:color="auto"/>
              <w:bottom w:val="single" w:sz="4" w:space="0" w:color="auto"/>
              <w:right w:val="single" w:sz="4" w:space="0" w:color="auto"/>
            </w:tcBorders>
            <w:shd w:val="clear" w:color="auto" w:fill="auto"/>
            <w:vAlign w:val="center"/>
          </w:tcPr>
          <w:p w14:paraId="0B28934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2EA7322F"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6B46D851"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335C6E8"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3</w:t>
            </w:r>
          </w:p>
        </w:tc>
        <w:tc>
          <w:tcPr>
            <w:tcW w:w="3962" w:type="dxa"/>
            <w:tcBorders>
              <w:top w:val="nil"/>
              <w:left w:val="nil"/>
              <w:bottom w:val="single" w:sz="4" w:space="0" w:color="auto"/>
              <w:right w:val="single" w:sz="4" w:space="0" w:color="auto"/>
            </w:tcBorders>
            <w:shd w:val="clear" w:color="auto" w:fill="auto"/>
            <w:vAlign w:val="center"/>
            <w:hideMark/>
          </w:tcPr>
          <w:p w14:paraId="011C84A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DFAT Canberra</w:t>
            </w:r>
          </w:p>
        </w:tc>
        <w:tc>
          <w:tcPr>
            <w:tcW w:w="2610" w:type="dxa"/>
            <w:tcBorders>
              <w:top w:val="nil"/>
              <w:left w:val="nil"/>
              <w:bottom w:val="single" w:sz="4" w:space="0" w:color="auto"/>
              <w:right w:val="single" w:sz="4" w:space="0" w:color="auto"/>
            </w:tcBorders>
            <w:shd w:val="clear" w:color="auto" w:fill="auto"/>
            <w:vAlign w:val="center"/>
            <w:hideMark/>
          </w:tcPr>
          <w:p w14:paraId="3E18DFDE" w14:textId="77777777" w:rsidR="00635E8B" w:rsidRPr="00635E8B" w:rsidRDefault="00635E8B" w:rsidP="00BE60F3">
            <w:pPr>
              <w:spacing w:after="0" w:line="240" w:lineRule="auto"/>
              <w:rPr>
                <w:rFonts w:eastAsia="Times New Roman" w:cs="Arial"/>
                <w:sz w:val="18"/>
                <w:szCs w:val="18"/>
                <w:lang w:eastAsia="id-ID"/>
              </w:rPr>
            </w:pPr>
            <w:r w:rsidRPr="00635E8B">
              <w:rPr>
                <w:rFonts w:eastAsia="Times New Roman" w:cs="Arial"/>
                <w:sz w:val="18"/>
                <w:szCs w:val="18"/>
                <w:lang w:eastAsia="id-ID"/>
              </w:rPr>
              <w:t>Timothy Cadogan-Cowper</w:t>
            </w:r>
          </w:p>
        </w:tc>
        <w:tc>
          <w:tcPr>
            <w:tcW w:w="686" w:type="dxa"/>
            <w:tcBorders>
              <w:top w:val="nil"/>
              <w:left w:val="single" w:sz="4" w:space="0" w:color="auto"/>
              <w:bottom w:val="single" w:sz="4" w:space="0" w:color="auto"/>
              <w:right w:val="single" w:sz="4" w:space="0" w:color="auto"/>
            </w:tcBorders>
            <w:shd w:val="clear" w:color="auto" w:fill="auto"/>
            <w:vAlign w:val="center"/>
          </w:tcPr>
          <w:p w14:paraId="5B51172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50F1E764"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58B57C69"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7E59856"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4</w:t>
            </w:r>
          </w:p>
        </w:tc>
        <w:tc>
          <w:tcPr>
            <w:tcW w:w="3962" w:type="dxa"/>
            <w:tcBorders>
              <w:top w:val="nil"/>
              <w:left w:val="nil"/>
              <w:bottom w:val="single" w:sz="4" w:space="0" w:color="auto"/>
              <w:right w:val="single" w:sz="4" w:space="0" w:color="auto"/>
            </w:tcBorders>
            <w:shd w:val="clear" w:color="auto" w:fill="auto"/>
            <w:vAlign w:val="center"/>
            <w:hideMark/>
          </w:tcPr>
          <w:p w14:paraId="5E11C6E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DFAT Jakarta</w:t>
            </w:r>
          </w:p>
        </w:tc>
        <w:tc>
          <w:tcPr>
            <w:tcW w:w="2610" w:type="dxa"/>
            <w:tcBorders>
              <w:top w:val="nil"/>
              <w:left w:val="nil"/>
              <w:bottom w:val="single" w:sz="4" w:space="0" w:color="auto"/>
              <w:right w:val="single" w:sz="4" w:space="0" w:color="auto"/>
            </w:tcBorders>
            <w:shd w:val="clear" w:color="auto" w:fill="auto"/>
            <w:vAlign w:val="center"/>
            <w:hideMark/>
          </w:tcPr>
          <w:p w14:paraId="6B0947F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Anna McNicol</w:t>
            </w:r>
          </w:p>
        </w:tc>
        <w:tc>
          <w:tcPr>
            <w:tcW w:w="686" w:type="dxa"/>
            <w:tcBorders>
              <w:top w:val="nil"/>
              <w:left w:val="single" w:sz="4" w:space="0" w:color="auto"/>
              <w:bottom w:val="single" w:sz="4" w:space="0" w:color="auto"/>
              <w:right w:val="single" w:sz="4" w:space="0" w:color="auto"/>
            </w:tcBorders>
            <w:shd w:val="clear" w:color="auto" w:fill="auto"/>
            <w:vAlign w:val="center"/>
          </w:tcPr>
          <w:p w14:paraId="5E1AAEB6"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40AD702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7C9D4096"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572B0F8"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5</w:t>
            </w:r>
          </w:p>
        </w:tc>
        <w:tc>
          <w:tcPr>
            <w:tcW w:w="3962" w:type="dxa"/>
            <w:tcBorders>
              <w:top w:val="nil"/>
              <w:left w:val="nil"/>
              <w:bottom w:val="single" w:sz="4" w:space="0" w:color="auto"/>
              <w:right w:val="single" w:sz="4" w:space="0" w:color="auto"/>
            </w:tcBorders>
            <w:shd w:val="clear" w:color="auto" w:fill="auto"/>
            <w:vAlign w:val="center"/>
            <w:hideMark/>
          </w:tcPr>
          <w:p w14:paraId="5BFBF85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DFAT Jakarta</w:t>
            </w:r>
          </w:p>
        </w:tc>
        <w:tc>
          <w:tcPr>
            <w:tcW w:w="2610" w:type="dxa"/>
            <w:tcBorders>
              <w:top w:val="nil"/>
              <w:left w:val="nil"/>
              <w:bottom w:val="single" w:sz="4" w:space="0" w:color="auto"/>
              <w:right w:val="single" w:sz="4" w:space="0" w:color="auto"/>
            </w:tcBorders>
            <w:shd w:val="clear" w:color="auto" w:fill="auto"/>
            <w:vAlign w:val="center"/>
            <w:hideMark/>
          </w:tcPr>
          <w:p w14:paraId="6C7381D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Amanda Aspden</w:t>
            </w:r>
          </w:p>
        </w:tc>
        <w:tc>
          <w:tcPr>
            <w:tcW w:w="686" w:type="dxa"/>
            <w:tcBorders>
              <w:top w:val="nil"/>
              <w:left w:val="single" w:sz="4" w:space="0" w:color="auto"/>
              <w:bottom w:val="single" w:sz="4" w:space="0" w:color="auto"/>
              <w:right w:val="single" w:sz="4" w:space="0" w:color="auto"/>
            </w:tcBorders>
            <w:shd w:val="clear" w:color="auto" w:fill="auto"/>
            <w:vAlign w:val="center"/>
          </w:tcPr>
          <w:p w14:paraId="2649EE14"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7D3F333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0EB11569"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7C3B8E6"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6</w:t>
            </w:r>
          </w:p>
        </w:tc>
        <w:tc>
          <w:tcPr>
            <w:tcW w:w="3962" w:type="dxa"/>
            <w:tcBorders>
              <w:top w:val="nil"/>
              <w:left w:val="nil"/>
              <w:bottom w:val="single" w:sz="4" w:space="0" w:color="auto"/>
              <w:right w:val="single" w:sz="4" w:space="0" w:color="auto"/>
            </w:tcBorders>
            <w:shd w:val="clear" w:color="auto" w:fill="auto"/>
            <w:vAlign w:val="center"/>
            <w:hideMark/>
          </w:tcPr>
          <w:p w14:paraId="6A99138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DFAT Jakarta</w:t>
            </w:r>
          </w:p>
        </w:tc>
        <w:tc>
          <w:tcPr>
            <w:tcW w:w="2610" w:type="dxa"/>
            <w:tcBorders>
              <w:top w:val="nil"/>
              <w:left w:val="nil"/>
              <w:bottom w:val="single" w:sz="4" w:space="0" w:color="auto"/>
              <w:right w:val="single" w:sz="4" w:space="0" w:color="auto"/>
            </w:tcBorders>
            <w:shd w:val="clear" w:color="auto" w:fill="auto"/>
            <w:vAlign w:val="center"/>
            <w:hideMark/>
          </w:tcPr>
          <w:p w14:paraId="0D8E7F2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Henni Arup</w:t>
            </w:r>
          </w:p>
        </w:tc>
        <w:tc>
          <w:tcPr>
            <w:tcW w:w="686" w:type="dxa"/>
            <w:tcBorders>
              <w:top w:val="nil"/>
              <w:left w:val="single" w:sz="4" w:space="0" w:color="auto"/>
              <w:bottom w:val="single" w:sz="4" w:space="0" w:color="auto"/>
              <w:right w:val="single" w:sz="4" w:space="0" w:color="auto"/>
            </w:tcBorders>
            <w:shd w:val="clear" w:color="auto" w:fill="auto"/>
            <w:vAlign w:val="center"/>
          </w:tcPr>
          <w:p w14:paraId="2EAFD61A"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2AB5775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08269E79"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A8F22D4"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7</w:t>
            </w:r>
          </w:p>
        </w:tc>
        <w:tc>
          <w:tcPr>
            <w:tcW w:w="3962" w:type="dxa"/>
            <w:tcBorders>
              <w:top w:val="nil"/>
              <w:left w:val="nil"/>
              <w:bottom w:val="single" w:sz="4" w:space="0" w:color="auto"/>
              <w:right w:val="single" w:sz="4" w:space="0" w:color="auto"/>
            </w:tcBorders>
            <w:shd w:val="clear" w:color="auto" w:fill="auto"/>
            <w:vAlign w:val="center"/>
            <w:hideMark/>
          </w:tcPr>
          <w:p w14:paraId="2037F60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DFAT Jakarta</w:t>
            </w:r>
          </w:p>
        </w:tc>
        <w:tc>
          <w:tcPr>
            <w:tcW w:w="2610" w:type="dxa"/>
            <w:tcBorders>
              <w:top w:val="nil"/>
              <w:left w:val="nil"/>
              <w:bottom w:val="single" w:sz="4" w:space="0" w:color="auto"/>
              <w:right w:val="single" w:sz="4" w:space="0" w:color="auto"/>
            </w:tcBorders>
            <w:shd w:val="clear" w:color="auto" w:fill="auto"/>
            <w:vAlign w:val="center"/>
            <w:hideMark/>
          </w:tcPr>
          <w:p w14:paraId="1DE5802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Simon Duke</w:t>
            </w:r>
          </w:p>
        </w:tc>
        <w:tc>
          <w:tcPr>
            <w:tcW w:w="686" w:type="dxa"/>
            <w:tcBorders>
              <w:top w:val="nil"/>
              <w:left w:val="single" w:sz="4" w:space="0" w:color="auto"/>
              <w:bottom w:val="single" w:sz="4" w:space="0" w:color="auto"/>
              <w:right w:val="single" w:sz="4" w:space="0" w:color="auto"/>
            </w:tcBorders>
            <w:shd w:val="clear" w:color="auto" w:fill="auto"/>
            <w:vAlign w:val="center"/>
          </w:tcPr>
          <w:p w14:paraId="0871E7F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14DD482D"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3239076E"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C9A3D4E"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8</w:t>
            </w:r>
          </w:p>
        </w:tc>
        <w:tc>
          <w:tcPr>
            <w:tcW w:w="3962" w:type="dxa"/>
            <w:tcBorders>
              <w:top w:val="nil"/>
              <w:left w:val="nil"/>
              <w:bottom w:val="single" w:sz="4" w:space="0" w:color="auto"/>
              <w:right w:val="single" w:sz="4" w:space="0" w:color="auto"/>
            </w:tcBorders>
            <w:shd w:val="clear" w:color="auto" w:fill="auto"/>
            <w:vAlign w:val="center"/>
            <w:hideMark/>
          </w:tcPr>
          <w:p w14:paraId="542EBFC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DFAT Jakarta</w:t>
            </w:r>
          </w:p>
        </w:tc>
        <w:tc>
          <w:tcPr>
            <w:tcW w:w="2610" w:type="dxa"/>
            <w:tcBorders>
              <w:top w:val="nil"/>
              <w:left w:val="nil"/>
              <w:bottom w:val="single" w:sz="4" w:space="0" w:color="auto"/>
              <w:right w:val="single" w:sz="4" w:space="0" w:color="auto"/>
            </w:tcBorders>
            <w:shd w:val="clear" w:color="auto" w:fill="auto"/>
            <w:vAlign w:val="center"/>
            <w:hideMark/>
          </w:tcPr>
          <w:p w14:paraId="207F814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Frieda Scott</w:t>
            </w:r>
          </w:p>
        </w:tc>
        <w:tc>
          <w:tcPr>
            <w:tcW w:w="686" w:type="dxa"/>
            <w:tcBorders>
              <w:top w:val="nil"/>
              <w:left w:val="single" w:sz="4" w:space="0" w:color="auto"/>
              <w:bottom w:val="single" w:sz="4" w:space="0" w:color="auto"/>
              <w:right w:val="single" w:sz="4" w:space="0" w:color="auto"/>
            </w:tcBorders>
            <w:shd w:val="clear" w:color="auto" w:fill="auto"/>
            <w:vAlign w:val="center"/>
          </w:tcPr>
          <w:p w14:paraId="568FF1D6"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6B3D858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47AF2B3B"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50DECA05"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9</w:t>
            </w:r>
          </w:p>
        </w:tc>
        <w:tc>
          <w:tcPr>
            <w:tcW w:w="3962" w:type="dxa"/>
            <w:tcBorders>
              <w:top w:val="nil"/>
              <w:left w:val="nil"/>
              <w:bottom w:val="single" w:sz="4" w:space="0" w:color="auto"/>
              <w:right w:val="single" w:sz="4" w:space="0" w:color="auto"/>
            </w:tcBorders>
            <w:shd w:val="clear" w:color="auto" w:fill="auto"/>
            <w:vAlign w:val="center"/>
            <w:hideMark/>
          </w:tcPr>
          <w:p w14:paraId="0DF9117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DFAT Jakarta</w:t>
            </w:r>
          </w:p>
        </w:tc>
        <w:tc>
          <w:tcPr>
            <w:tcW w:w="2610" w:type="dxa"/>
            <w:tcBorders>
              <w:top w:val="nil"/>
              <w:left w:val="nil"/>
              <w:bottom w:val="single" w:sz="4" w:space="0" w:color="auto"/>
              <w:right w:val="single" w:sz="4" w:space="0" w:color="auto"/>
            </w:tcBorders>
            <w:shd w:val="clear" w:color="auto" w:fill="auto"/>
            <w:vAlign w:val="center"/>
            <w:hideMark/>
          </w:tcPr>
          <w:p w14:paraId="271FA81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Halida Sukmala</w:t>
            </w:r>
          </w:p>
        </w:tc>
        <w:tc>
          <w:tcPr>
            <w:tcW w:w="686" w:type="dxa"/>
            <w:tcBorders>
              <w:top w:val="nil"/>
              <w:left w:val="single" w:sz="4" w:space="0" w:color="auto"/>
              <w:bottom w:val="single" w:sz="4" w:space="0" w:color="auto"/>
              <w:right w:val="single" w:sz="4" w:space="0" w:color="auto"/>
            </w:tcBorders>
            <w:shd w:val="clear" w:color="auto" w:fill="auto"/>
            <w:vAlign w:val="center"/>
          </w:tcPr>
          <w:p w14:paraId="047F89F8"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2BDC90E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01C12789"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61A5D50"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10</w:t>
            </w:r>
          </w:p>
        </w:tc>
        <w:tc>
          <w:tcPr>
            <w:tcW w:w="3962" w:type="dxa"/>
            <w:tcBorders>
              <w:top w:val="nil"/>
              <w:left w:val="nil"/>
              <w:bottom w:val="single" w:sz="4" w:space="0" w:color="auto"/>
              <w:right w:val="single" w:sz="4" w:space="0" w:color="auto"/>
            </w:tcBorders>
            <w:shd w:val="clear" w:color="auto" w:fill="auto"/>
            <w:vAlign w:val="center"/>
            <w:hideMark/>
          </w:tcPr>
          <w:p w14:paraId="5C7A889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DFAT Jakarta</w:t>
            </w:r>
          </w:p>
        </w:tc>
        <w:tc>
          <w:tcPr>
            <w:tcW w:w="2610" w:type="dxa"/>
            <w:tcBorders>
              <w:top w:val="nil"/>
              <w:left w:val="nil"/>
              <w:bottom w:val="single" w:sz="4" w:space="0" w:color="auto"/>
              <w:right w:val="single" w:sz="4" w:space="0" w:color="auto"/>
            </w:tcBorders>
            <w:shd w:val="clear" w:color="auto" w:fill="auto"/>
            <w:vAlign w:val="center"/>
            <w:hideMark/>
          </w:tcPr>
          <w:p w14:paraId="63D73AC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Alvin Adisasmita</w:t>
            </w:r>
          </w:p>
        </w:tc>
        <w:tc>
          <w:tcPr>
            <w:tcW w:w="686" w:type="dxa"/>
            <w:tcBorders>
              <w:top w:val="nil"/>
              <w:left w:val="single" w:sz="4" w:space="0" w:color="auto"/>
              <w:bottom w:val="single" w:sz="4" w:space="0" w:color="auto"/>
              <w:right w:val="single" w:sz="4" w:space="0" w:color="auto"/>
            </w:tcBorders>
            <w:shd w:val="clear" w:color="auto" w:fill="auto"/>
            <w:vAlign w:val="center"/>
          </w:tcPr>
          <w:p w14:paraId="52F8003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0F2E640E"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180232ED"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A1659F4"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11</w:t>
            </w:r>
          </w:p>
        </w:tc>
        <w:tc>
          <w:tcPr>
            <w:tcW w:w="3962" w:type="dxa"/>
            <w:tcBorders>
              <w:top w:val="nil"/>
              <w:left w:val="nil"/>
              <w:bottom w:val="single" w:sz="4" w:space="0" w:color="auto"/>
              <w:right w:val="single" w:sz="4" w:space="0" w:color="auto"/>
            </w:tcBorders>
            <w:shd w:val="clear" w:color="auto" w:fill="auto"/>
            <w:vAlign w:val="center"/>
            <w:hideMark/>
          </w:tcPr>
          <w:p w14:paraId="7685E5C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DFAT Jakarta</w:t>
            </w:r>
          </w:p>
        </w:tc>
        <w:tc>
          <w:tcPr>
            <w:tcW w:w="2610" w:type="dxa"/>
            <w:tcBorders>
              <w:top w:val="nil"/>
              <w:left w:val="nil"/>
              <w:bottom w:val="single" w:sz="4" w:space="0" w:color="auto"/>
              <w:right w:val="single" w:sz="4" w:space="0" w:color="auto"/>
            </w:tcBorders>
            <w:shd w:val="clear" w:color="auto" w:fill="auto"/>
            <w:vAlign w:val="center"/>
            <w:hideMark/>
          </w:tcPr>
          <w:p w14:paraId="09CC984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Anisa Antono</w:t>
            </w:r>
          </w:p>
        </w:tc>
        <w:tc>
          <w:tcPr>
            <w:tcW w:w="686" w:type="dxa"/>
            <w:tcBorders>
              <w:top w:val="nil"/>
              <w:left w:val="single" w:sz="4" w:space="0" w:color="auto"/>
              <w:bottom w:val="single" w:sz="4" w:space="0" w:color="auto"/>
              <w:right w:val="single" w:sz="4" w:space="0" w:color="auto"/>
            </w:tcBorders>
            <w:shd w:val="clear" w:color="auto" w:fill="auto"/>
            <w:vAlign w:val="center"/>
          </w:tcPr>
          <w:p w14:paraId="08FA89E1"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0E88250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4C5D7560"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768615A"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12</w:t>
            </w:r>
          </w:p>
        </w:tc>
        <w:tc>
          <w:tcPr>
            <w:tcW w:w="3962" w:type="dxa"/>
            <w:tcBorders>
              <w:top w:val="nil"/>
              <w:left w:val="nil"/>
              <w:bottom w:val="single" w:sz="4" w:space="0" w:color="auto"/>
              <w:right w:val="single" w:sz="4" w:space="0" w:color="auto"/>
            </w:tcBorders>
            <w:shd w:val="clear" w:color="auto" w:fill="auto"/>
            <w:vAlign w:val="center"/>
            <w:hideMark/>
          </w:tcPr>
          <w:p w14:paraId="6A6B767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Indonesian Coordinating Ministry for Economic Affairs</w:t>
            </w:r>
          </w:p>
        </w:tc>
        <w:tc>
          <w:tcPr>
            <w:tcW w:w="2610" w:type="dxa"/>
            <w:tcBorders>
              <w:top w:val="nil"/>
              <w:left w:val="nil"/>
              <w:bottom w:val="single" w:sz="4" w:space="0" w:color="auto"/>
              <w:right w:val="single" w:sz="4" w:space="0" w:color="auto"/>
            </w:tcBorders>
            <w:shd w:val="clear" w:color="auto" w:fill="auto"/>
            <w:vAlign w:val="center"/>
            <w:hideMark/>
          </w:tcPr>
          <w:p w14:paraId="37AC729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Chairil A. Baso</w:t>
            </w:r>
          </w:p>
        </w:tc>
        <w:tc>
          <w:tcPr>
            <w:tcW w:w="686" w:type="dxa"/>
            <w:tcBorders>
              <w:top w:val="nil"/>
              <w:left w:val="single" w:sz="4" w:space="0" w:color="auto"/>
              <w:bottom w:val="single" w:sz="4" w:space="0" w:color="auto"/>
              <w:right w:val="single" w:sz="4" w:space="0" w:color="auto"/>
            </w:tcBorders>
            <w:shd w:val="clear" w:color="auto" w:fill="auto"/>
            <w:vAlign w:val="center"/>
          </w:tcPr>
          <w:p w14:paraId="6DB60AD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7BCB9699"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06B9358E"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86CBF37"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13</w:t>
            </w:r>
          </w:p>
        </w:tc>
        <w:tc>
          <w:tcPr>
            <w:tcW w:w="3962" w:type="dxa"/>
            <w:tcBorders>
              <w:top w:val="nil"/>
              <w:left w:val="nil"/>
              <w:bottom w:val="single" w:sz="4" w:space="0" w:color="auto"/>
              <w:right w:val="single" w:sz="4" w:space="0" w:color="auto"/>
            </w:tcBorders>
            <w:shd w:val="clear" w:color="auto" w:fill="auto"/>
            <w:vAlign w:val="center"/>
            <w:hideMark/>
          </w:tcPr>
          <w:p w14:paraId="3EF0649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Indonesian Coordinating Ministry for Economic Affairs</w:t>
            </w:r>
          </w:p>
        </w:tc>
        <w:tc>
          <w:tcPr>
            <w:tcW w:w="2610" w:type="dxa"/>
            <w:tcBorders>
              <w:top w:val="nil"/>
              <w:left w:val="nil"/>
              <w:bottom w:val="single" w:sz="4" w:space="0" w:color="auto"/>
              <w:right w:val="single" w:sz="4" w:space="0" w:color="auto"/>
            </w:tcBorders>
            <w:shd w:val="clear" w:color="auto" w:fill="auto"/>
            <w:vAlign w:val="center"/>
            <w:hideMark/>
          </w:tcPr>
          <w:p w14:paraId="274EE25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Cheryl Martha</w:t>
            </w:r>
          </w:p>
        </w:tc>
        <w:tc>
          <w:tcPr>
            <w:tcW w:w="686" w:type="dxa"/>
            <w:tcBorders>
              <w:top w:val="nil"/>
              <w:left w:val="single" w:sz="4" w:space="0" w:color="auto"/>
              <w:bottom w:val="single" w:sz="4" w:space="0" w:color="auto"/>
              <w:right w:val="single" w:sz="4" w:space="0" w:color="auto"/>
            </w:tcBorders>
            <w:shd w:val="clear" w:color="auto" w:fill="auto"/>
            <w:vAlign w:val="center"/>
          </w:tcPr>
          <w:p w14:paraId="184F2C3C"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3060A57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01F8BE26"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A484236"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14</w:t>
            </w:r>
          </w:p>
        </w:tc>
        <w:tc>
          <w:tcPr>
            <w:tcW w:w="3962" w:type="dxa"/>
            <w:tcBorders>
              <w:top w:val="nil"/>
              <w:left w:val="nil"/>
              <w:bottom w:val="single" w:sz="4" w:space="0" w:color="auto"/>
              <w:right w:val="single" w:sz="4" w:space="0" w:color="auto"/>
            </w:tcBorders>
            <w:shd w:val="clear" w:color="auto" w:fill="auto"/>
            <w:vAlign w:val="center"/>
            <w:hideMark/>
          </w:tcPr>
          <w:p w14:paraId="1120B8E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Indonesian Coordinating Ministry for Economic Affairs</w:t>
            </w:r>
          </w:p>
        </w:tc>
        <w:tc>
          <w:tcPr>
            <w:tcW w:w="2610" w:type="dxa"/>
            <w:tcBorders>
              <w:top w:val="nil"/>
              <w:left w:val="nil"/>
              <w:bottom w:val="single" w:sz="4" w:space="0" w:color="auto"/>
              <w:right w:val="single" w:sz="4" w:space="0" w:color="auto"/>
            </w:tcBorders>
            <w:shd w:val="clear" w:color="auto" w:fill="auto"/>
            <w:vAlign w:val="center"/>
            <w:hideMark/>
          </w:tcPr>
          <w:p w14:paraId="2F61707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Cizelia Fesalica</w:t>
            </w:r>
          </w:p>
        </w:tc>
        <w:tc>
          <w:tcPr>
            <w:tcW w:w="686" w:type="dxa"/>
            <w:tcBorders>
              <w:top w:val="nil"/>
              <w:left w:val="single" w:sz="4" w:space="0" w:color="auto"/>
              <w:bottom w:val="single" w:sz="4" w:space="0" w:color="auto"/>
              <w:right w:val="single" w:sz="4" w:space="0" w:color="auto"/>
            </w:tcBorders>
            <w:shd w:val="clear" w:color="auto" w:fill="auto"/>
            <w:vAlign w:val="center"/>
          </w:tcPr>
          <w:p w14:paraId="4824988A"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3EFCC40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2B3F4BCD"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EA37279"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15</w:t>
            </w:r>
          </w:p>
        </w:tc>
        <w:tc>
          <w:tcPr>
            <w:tcW w:w="3962" w:type="dxa"/>
            <w:tcBorders>
              <w:top w:val="nil"/>
              <w:left w:val="nil"/>
              <w:bottom w:val="single" w:sz="4" w:space="0" w:color="auto"/>
              <w:right w:val="single" w:sz="4" w:space="0" w:color="auto"/>
            </w:tcBorders>
            <w:shd w:val="clear" w:color="auto" w:fill="auto"/>
            <w:vAlign w:val="center"/>
            <w:hideMark/>
          </w:tcPr>
          <w:p w14:paraId="1F6B6E6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OJK - Indonesian Financial Services Authority</w:t>
            </w:r>
          </w:p>
        </w:tc>
        <w:tc>
          <w:tcPr>
            <w:tcW w:w="2610" w:type="dxa"/>
            <w:tcBorders>
              <w:top w:val="nil"/>
              <w:left w:val="nil"/>
              <w:bottom w:val="single" w:sz="4" w:space="0" w:color="auto"/>
              <w:right w:val="single" w:sz="4" w:space="0" w:color="auto"/>
            </w:tcBorders>
            <w:shd w:val="clear" w:color="auto" w:fill="auto"/>
            <w:vAlign w:val="center"/>
            <w:hideMark/>
          </w:tcPr>
          <w:p w14:paraId="7777BCE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Bambang Mukti</w:t>
            </w:r>
          </w:p>
        </w:tc>
        <w:tc>
          <w:tcPr>
            <w:tcW w:w="686" w:type="dxa"/>
            <w:tcBorders>
              <w:top w:val="nil"/>
              <w:left w:val="single" w:sz="4" w:space="0" w:color="auto"/>
              <w:bottom w:val="single" w:sz="4" w:space="0" w:color="auto"/>
              <w:right w:val="single" w:sz="4" w:space="0" w:color="auto"/>
            </w:tcBorders>
            <w:shd w:val="clear" w:color="auto" w:fill="auto"/>
            <w:vAlign w:val="center"/>
          </w:tcPr>
          <w:p w14:paraId="47971FC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0BAA9C6A"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5E2D4DD4"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64BC147"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16</w:t>
            </w:r>
          </w:p>
        </w:tc>
        <w:tc>
          <w:tcPr>
            <w:tcW w:w="3962" w:type="dxa"/>
            <w:tcBorders>
              <w:top w:val="nil"/>
              <w:left w:val="nil"/>
              <w:bottom w:val="single" w:sz="4" w:space="0" w:color="auto"/>
              <w:right w:val="single" w:sz="4" w:space="0" w:color="auto"/>
            </w:tcBorders>
            <w:shd w:val="clear" w:color="auto" w:fill="auto"/>
            <w:vAlign w:val="center"/>
            <w:hideMark/>
          </w:tcPr>
          <w:p w14:paraId="1342976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OJK - Indonesian Financial Services Authority</w:t>
            </w:r>
          </w:p>
        </w:tc>
        <w:tc>
          <w:tcPr>
            <w:tcW w:w="2610" w:type="dxa"/>
            <w:tcBorders>
              <w:top w:val="nil"/>
              <w:left w:val="nil"/>
              <w:bottom w:val="single" w:sz="4" w:space="0" w:color="auto"/>
              <w:right w:val="single" w:sz="4" w:space="0" w:color="auto"/>
            </w:tcBorders>
            <w:shd w:val="clear" w:color="auto" w:fill="auto"/>
            <w:vAlign w:val="center"/>
            <w:hideMark/>
          </w:tcPr>
          <w:p w14:paraId="7CB7701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Rian N. Sandi</w:t>
            </w:r>
          </w:p>
        </w:tc>
        <w:tc>
          <w:tcPr>
            <w:tcW w:w="686" w:type="dxa"/>
            <w:tcBorders>
              <w:top w:val="nil"/>
              <w:left w:val="single" w:sz="4" w:space="0" w:color="auto"/>
              <w:bottom w:val="single" w:sz="4" w:space="0" w:color="auto"/>
              <w:right w:val="single" w:sz="4" w:space="0" w:color="auto"/>
            </w:tcBorders>
            <w:shd w:val="clear" w:color="auto" w:fill="auto"/>
            <w:vAlign w:val="center"/>
          </w:tcPr>
          <w:p w14:paraId="2453C6C6"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3CFD583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08B24DC2"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B0FABCA"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17</w:t>
            </w:r>
          </w:p>
        </w:tc>
        <w:tc>
          <w:tcPr>
            <w:tcW w:w="3962" w:type="dxa"/>
            <w:tcBorders>
              <w:top w:val="nil"/>
              <w:left w:val="nil"/>
              <w:bottom w:val="single" w:sz="4" w:space="0" w:color="auto"/>
              <w:right w:val="single" w:sz="4" w:space="0" w:color="auto"/>
            </w:tcBorders>
            <w:shd w:val="clear" w:color="auto" w:fill="auto"/>
            <w:vAlign w:val="center"/>
            <w:hideMark/>
          </w:tcPr>
          <w:p w14:paraId="733E1BD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OJK - Indonesian Financial Services Authority</w:t>
            </w:r>
          </w:p>
        </w:tc>
        <w:tc>
          <w:tcPr>
            <w:tcW w:w="2610" w:type="dxa"/>
            <w:tcBorders>
              <w:top w:val="nil"/>
              <w:left w:val="nil"/>
              <w:bottom w:val="single" w:sz="4" w:space="0" w:color="auto"/>
              <w:right w:val="single" w:sz="4" w:space="0" w:color="auto"/>
            </w:tcBorders>
            <w:shd w:val="clear" w:color="auto" w:fill="auto"/>
            <w:vAlign w:val="center"/>
            <w:hideMark/>
          </w:tcPr>
          <w:p w14:paraId="30BE7DB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Juju Melanie</w:t>
            </w:r>
          </w:p>
        </w:tc>
        <w:tc>
          <w:tcPr>
            <w:tcW w:w="686" w:type="dxa"/>
            <w:tcBorders>
              <w:top w:val="nil"/>
              <w:left w:val="single" w:sz="4" w:space="0" w:color="auto"/>
              <w:bottom w:val="single" w:sz="4" w:space="0" w:color="auto"/>
              <w:right w:val="single" w:sz="4" w:space="0" w:color="auto"/>
            </w:tcBorders>
            <w:shd w:val="clear" w:color="auto" w:fill="auto"/>
            <w:vAlign w:val="center"/>
          </w:tcPr>
          <w:p w14:paraId="16EAA0E4"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422B0D8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36621B11"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B5DC5EC"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18</w:t>
            </w:r>
          </w:p>
        </w:tc>
        <w:tc>
          <w:tcPr>
            <w:tcW w:w="3962" w:type="dxa"/>
            <w:tcBorders>
              <w:top w:val="nil"/>
              <w:left w:val="nil"/>
              <w:bottom w:val="single" w:sz="4" w:space="0" w:color="auto"/>
              <w:right w:val="single" w:sz="4" w:space="0" w:color="auto"/>
            </w:tcBorders>
            <w:shd w:val="clear" w:color="auto" w:fill="auto"/>
            <w:vAlign w:val="center"/>
            <w:hideMark/>
          </w:tcPr>
          <w:p w14:paraId="177EBC4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KSSK - Indonesian Secretariat of Financial System Stability Committee</w:t>
            </w:r>
          </w:p>
        </w:tc>
        <w:tc>
          <w:tcPr>
            <w:tcW w:w="2610" w:type="dxa"/>
            <w:tcBorders>
              <w:top w:val="nil"/>
              <w:left w:val="nil"/>
              <w:bottom w:val="single" w:sz="4" w:space="0" w:color="auto"/>
              <w:right w:val="single" w:sz="4" w:space="0" w:color="auto"/>
            </w:tcBorders>
            <w:shd w:val="clear" w:color="auto" w:fill="auto"/>
            <w:vAlign w:val="center"/>
            <w:hideMark/>
          </w:tcPr>
          <w:p w14:paraId="740A164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Deni Ridwan</w:t>
            </w:r>
          </w:p>
        </w:tc>
        <w:tc>
          <w:tcPr>
            <w:tcW w:w="686" w:type="dxa"/>
            <w:tcBorders>
              <w:top w:val="nil"/>
              <w:left w:val="single" w:sz="4" w:space="0" w:color="auto"/>
              <w:bottom w:val="single" w:sz="4" w:space="0" w:color="auto"/>
              <w:right w:val="single" w:sz="4" w:space="0" w:color="auto"/>
            </w:tcBorders>
            <w:shd w:val="clear" w:color="auto" w:fill="auto"/>
            <w:vAlign w:val="center"/>
          </w:tcPr>
          <w:p w14:paraId="4205B93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709F9D4A"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2758CA58"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CB52654"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19</w:t>
            </w:r>
          </w:p>
        </w:tc>
        <w:tc>
          <w:tcPr>
            <w:tcW w:w="3962" w:type="dxa"/>
            <w:tcBorders>
              <w:top w:val="nil"/>
              <w:left w:val="nil"/>
              <w:bottom w:val="single" w:sz="4" w:space="0" w:color="auto"/>
              <w:right w:val="single" w:sz="4" w:space="0" w:color="auto"/>
            </w:tcBorders>
            <w:shd w:val="clear" w:color="auto" w:fill="auto"/>
            <w:vAlign w:val="center"/>
            <w:hideMark/>
          </w:tcPr>
          <w:p w14:paraId="7C8C457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KSSK - Indonesian Secretariat of Financial System Stability Committee</w:t>
            </w:r>
          </w:p>
        </w:tc>
        <w:tc>
          <w:tcPr>
            <w:tcW w:w="2610" w:type="dxa"/>
            <w:tcBorders>
              <w:top w:val="nil"/>
              <w:left w:val="nil"/>
              <w:bottom w:val="single" w:sz="4" w:space="0" w:color="auto"/>
              <w:right w:val="single" w:sz="4" w:space="0" w:color="auto"/>
            </w:tcBorders>
            <w:shd w:val="clear" w:color="auto" w:fill="auto"/>
            <w:vAlign w:val="center"/>
            <w:hideMark/>
          </w:tcPr>
          <w:p w14:paraId="2C520E9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Bob Arfan</w:t>
            </w:r>
          </w:p>
        </w:tc>
        <w:tc>
          <w:tcPr>
            <w:tcW w:w="686" w:type="dxa"/>
            <w:tcBorders>
              <w:top w:val="nil"/>
              <w:left w:val="single" w:sz="4" w:space="0" w:color="auto"/>
              <w:bottom w:val="single" w:sz="4" w:space="0" w:color="auto"/>
              <w:right w:val="single" w:sz="4" w:space="0" w:color="auto"/>
            </w:tcBorders>
            <w:shd w:val="clear" w:color="auto" w:fill="auto"/>
            <w:vAlign w:val="center"/>
          </w:tcPr>
          <w:p w14:paraId="6306BCC0"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1484024C"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6D109946"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457564E"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20</w:t>
            </w:r>
          </w:p>
        </w:tc>
        <w:tc>
          <w:tcPr>
            <w:tcW w:w="3962" w:type="dxa"/>
            <w:tcBorders>
              <w:top w:val="nil"/>
              <w:left w:val="nil"/>
              <w:bottom w:val="single" w:sz="4" w:space="0" w:color="auto"/>
              <w:right w:val="single" w:sz="4" w:space="0" w:color="auto"/>
            </w:tcBorders>
            <w:shd w:val="clear" w:color="auto" w:fill="auto"/>
            <w:vAlign w:val="center"/>
            <w:hideMark/>
          </w:tcPr>
          <w:p w14:paraId="7596BAF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Indonesian Ministry of Finance, DG Tax</w:t>
            </w:r>
          </w:p>
        </w:tc>
        <w:tc>
          <w:tcPr>
            <w:tcW w:w="2610" w:type="dxa"/>
            <w:tcBorders>
              <w:top w:val="nil"/>
              <w:left w:val="nil"/>
              <w:bottom w:val="single" w:sz="4" w:space="0" w:color="auto"/>
              <w:right w:val="single" w:sz="4" w:space="0" w:color="auto"/>
            </w:tcBorders>
            <w:shd w:val="clear" w:color="auto" w:fill="auto"/>
            <w:vAlign w:val="center"/>
            <w:hideMark/>
          </w:tcPr>
          <w:p w14:paraId="32904EC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Tigor N. Simanjuntak</w:t>
            </w:r>
          </w:p>
        </w:tc>
        <w:tc>
          <w:tcPr>
            <w:tcW w:w="686" w:type="dxa"/>
            <w:tcBorders>
              <w:top w:val="nil"/>
              <w:left w:val="single" w:sz="4" w:space="0" w:color="auto"/>
              <w:bottom w:val="single" w:sz="4" w:space="0" w:color="auto"/>
              <w:right w:val="single" w:sz="4" w:space="0" w:color="auto"/>
            </w:tcBorders>
            <w:shd w:val="clear" w:color="auto" w:fill="auto"/>
            <w:vAlign w:val="center"/>
          </w:tcPr>
          <w:p w14:paraId="652B249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4327E889"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572F8A97"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0D4F38A"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21</w:t>
            </w:r>
          </w:p>
        </w:tc>
        <w:tc>
          <w:tcPr>
            <w:tcW w:w="3962" w:type="dxa"/>
            <w:tcBorders>
              <w:top w:val="nil"/>
              <w:left w:val="nil"/>
              <w:bottom w:val="single" w:sz="4" w:space="0" w:color="auto"/>
              <w:right w:val="single" w:sz="4" w:space="0" w:color="auto"/>
            </w:tcBorders>
            <w:shd w:val="clear" w:color="auto" w:fill="auto"/>
            <w:vAlign w:val="center"/>
            <w:hideMark/>
          </w:tcPr>
          <w:p w14:paraId="748FB83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Indonesian Ministry of Finance, DG Tax</w:t>
            </w:r>
          </w:p>
        </w:tc>
        <w:tc>
          <w:tcPr>
            <w:tcW w:w="2610" w:type="dxa"/>
            <w:tcBorders>
              <w:top w:val="nil"/>
              <w:left w:val="nil"/>
              <w:bottom w:val="single" w:sz="4" w:space="0" w:color="auto"/>
              <w:right w:val="single" w:sz="4" w:space="0" w:color="auto"/>
            </w:tcBorders>
            <w:shd w:val="clear" w:color="auto" w:fill="auto"/>
            <w:vAlign w:val="center"/>
            <w:hideMark/>
          </w:tcPr>
          <w:p w14:paraId="489A1F7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Yansen Mika Situmorang</w:t>
            </w:r>
          </w:p>
        </w:tc>
        <w:tc>
          <w:tcPr>
            <w:tcW w:w="686" w:type="dxa"/>
            <w:tcBorders>
              <w:top w:val="nil"/>
              <w:left w:val="single" w:sz="4" w:space="0" w:color="auto"/>
              <w:bottom w:val="single" w:sz="4" w:space="0" w:color="auto"/>
              <w:right w:val="single" w:sz="4" w:space="0" w:color="auto"/>
            </w:tcBorders>
            <w:shd w:val="clear" w:color="auto" w:fill="auto"/>
            <w:vAlign w:val="center"/>
          </w:tcPr>
          <w:p w14:paraId="5BB524C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4F505090"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33ADA3B2"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55E49A5F"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22</w:t>
            </w:r>
          </w:p>
        </w:tc>
        <w:tc>
          <w:tcPr>
            <w:tcW w:w="3962" w:type="dxa"/>
            <w:tcBorders>
              <w:top w:val="nil"/>
              <w:left w:val="nil"/>
              <w:bottom w:val="single" w:sz="4" w:space="0" w:color="auto"/>
              <w:right w:val="single" w:sz="4" w:space="0" w:color="auto"/>
            </w:tcBorders>
            <w:shd w:val="clear" w:color="auto" w:fill="auto"/>
            <w:vAlign w:val="center"/>
            <w:hideMark/>
          </w:tcPr>
          <w:p w14:paraId="3E030E5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Indonesian Ministry of Finance, DG Tax</w:t>
            </w:r>
          </w:p>
        </w:tc>
        <w:tc>
          <w:tcPr>
            <w:tcW w:w="2610" w:type="dxa"/>
            <w:tcBorders>
              <w:top w:val="nil"/>
              <w:left w:val="nil"/>
              <w:bottom w:val="single" w:sz="4" w:space="0" w:color="auto"/>
              <w:right w:val="single" w:sz="4" w:space="0" w:color="auto"/>
            </w:tcBorders>
            <w:shd w:val="clear" w:color="auto" w:fill="auto"/>
            <w:vAlign w:val="center"/>
            <w:hideMark/>
          </w:tcPr>
          <w:p w14:paraId="164A2C0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Dodi Mustajab</w:t>
            </w:r>
          </w:p>
        </w:tc>
        <w:tc>
          <w:tcPr>
            <w:tcW w:w="686" w:type="dxa"/>
            <w:tcBorders>
              <w:top w:val="nil"/>
              <w:left w:val="single" w:sz="4" w:space="0" w:color="auto"/>
              <w:bottom w:val="single" w:sz="4" w:space="0" w:color="auto"/>
              <w:right w:val="single" w:sz="4" w:space="0" w:color="auto"/>
            </w:tcBorders>
            <w:shd w:val="clear" w:color="auto" w:fill="auto"/>
            <w:vAlign w:val="center"/>
          </w:tcPr>
          <w:p w14:paraId="3687A4C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0CC9C595"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384DD61D"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76DB0D8"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23</w:t>
            </w:r>
          </w:p>
        </w:tc>
        <w:tc>
          <w:tcPr>
            <w:tcW w:w="3962" w:type="dxa"/>
            <w:tcBorders>
              <w:top w:val="nil"/>
              <w:left w:val="nil"/>
              <w:bottom w:val="single" w:sz="4" w:space="0" w:color="auto"/>
              <w:right w:val="single" w:sz="4" w:space="0" w:color="auto"/>
            </w:tcBorders>
            <w:shd w:val="clear" w:color="auto" w:fill="auto"/>
            <w:vAlign w:val="center"/>
            <w:hideMark/>
          </w:tcPr>
          <w:p w14:paraId="3626056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BPS - Indonesian Central Bureau of Statistics, Directorate Budget and Planning</w:t>
            </w:r>
          </w:p>
        </w:tc>
        <w:tc>
          <w:tcPr>
            <w:tcW w:w="2610" w:type="dxa"/>
            <w:tcBorders>
              <w:top w:val="nil"/>
              <w:left w:val="nil"/>
              <w:bottom w:val="single" w:sz="4" w:space="0" w:color="auto"/>
              <w:right w:val="single" w:sz="4" w:space="0" w:color="auto"/>
            </w:tcBorders>
            <w:shd w:val="clear" w:color="auto" w:fill="auto"/>
            <w:vAlign w:val="center"/>
            <w:hideMark/>
          </w:tcPr>
          <w:p w14:paraId="6BA9ACA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Buyung Airlangga</w:t>
            </w:r>
          </w:p>
        </w:tc>
        <w:tc>
          <w:tcPr>
            <w:tcW w:w="686" w:type="dxa"/>
            <w:tcBorders>
              <w:top w:val="nil"/>
              <w:left w:val="single" w:sz="4" w:space="0" w:color="auto"/>
              <w:bottom w:val="single" w:sz="4" w:space="0" w:color="auto"/>
              <w:right w:val="single" w:sz="4" w:space="0" w:color="auto"/>
            </w:tcBorders>
            <w:shd w:val="clear" w:color="auto" w:fill="auto"/>
            <w:vAlign w:val="center"/>
          </w:tcPr>
          <w:p w14:paraId="6750C4D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209CBEBB"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220C784D"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D1BE9A2"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24</w:t>
            </w:r>
          </w:p>
        </w:tc>
        <w:tc>
          <w:tcPr>
            <w:tcW w:w="3962" w:type="dxa"/>
            <w:tcBorders>
              <w:top w:val="nil"/>
              <w:left w:val="nil"/>
              <w:bottom w:val="single" w:sz="4" w:space="0" w:color="auto"/>
              <w:right w:val="single" w:sz="4" w:space="0" w:color="auto"/>
            </w:tcBorders>
            <w:shd w:val="clear" w:color="auto" w:fill="auto"/>
            <w:vAlign w:val="center"/>
            <w:hideMark/>
          </w:tcPr>
          <w:p w14:paraId="52DEB02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BPS - Indonesian Central Bureau of Statistics, Directorate Budget and Planning</w:t>
            </w:r>
          </w:p>
        </w:tc>
        <w:tc>
          <w:tcPr>
            <w:tcW w:w="2610" w:type="dxa"/>
            <w:tcBorders>
              <w:top w:val="nil"/>
              <w:left w:val="nil"/>
              <w:bottom w:val="single" w:sz="4" w:space="0" w:color="auto"/>
              <w:right w:val="single" w:sz="4" w:space="0" w:color="auto"/>
            </w:tcBorders>
            <w:shd w:val="clear" w:color="auto" w:fill="auto"/>
            <w:vAlign w:val="center"/>
            <w:hideMark/>
          </w:tcPr>
          <w:p w14:paraId="4419EE1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Yeshri Rahayu</w:t>
            </w:r>
          </w:p>
        </w:tc>
        <w:tc>
          <w:tcPr>
            <w:tcW w:w="686" w:type="dxa"/>
            <w:tcBorders>
              <w:top w:val="nil"/>
              <w:left w:val="single" w:sz="4" w:space="0" w:color="auto"/>
              <w:bottom w:val="single" w:sz="4" w:space="0" w:color="auto"/>
              <w:right w:val="single" w:sz="4" w:space="0" w:color="auto"/>
            </w:tcBorders>
            <w:shd w:val="clear" w:color="auto" w:fill="auto"/>
            <w:vAlign w:val="center"/>
          </w:tcPr>
          <w:p w14:paraId="31CFBB3A"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094E75D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45309AAC"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536FF3B8"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25</w:t>
            </w:r>
          </w:p>
        </w:tc>
        <w:tc>
          <w:tcPr>
            <w:tcW w:w="3962" w:type="dxa"/>
            <w:tcBorders>
              <w:top w:val="nil"/>
              <w:left w:val="nil"/>
              <w:bottom w:val="single" w:sz="4" w:space="0" w:color="auto"/>
              <w:right w:val="single" w:sz="4" w:space="0" w:color="auto"/>
            </w:tcBorders>
            <w:shd w:val="clear" w:color="auto" w:fill="auto"/>
            <w:vAlign w:val="center"/>
            <w:hideMark/>
          </w:tcPr>
          <w:p w14:paraId="08E5BA3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BPS - Indonesian Central Bureau of Statistics, Directorate Budget and Planning</w:t>
            </w:r>
          </w:p>
        </w:tc>
        <w:tc>
          <w:tcPr>
            <w:tcW w:w="2610" w:type="dxa"/>
            <w:tcBorders>
              <w:top w:val="nil"/>
              <w:left w:val="nil"/>
              <w:bottom w:val="single" w:sz="4" w:space="0" w:color="auto"/>
              <w:right w:val="single" w:sz="4" w:space="0" w:color="auto"/>
            </w:tcBorders>
            <w:shd w:val="clear" w:color="auto" w:fill="auto"/>
            <w:vAlign w:val="center"/>
            <w:hideMark/>
          </w:tcPr>
          <w:p w14:paraId="702526F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Yudhi Ariyanto</w:t>
            </w:r>
          </w:p>
        </w:tc>
        <w:tc>
          <w:tcPr>
            <w:tcW w:w="686" w:type="dxa"/>
            <w:tcBorders>
              <w:top w:val="nil"/>
              <w:left w:val="single" w:sz="4" w:space="0" w:color="auto"/>
              <w:bottom w:val="single" w:sz="4" w:space="0" w:color="auto"/>
              <w:right w:val="single" w:sz="4" w:space="0" w:color="auto"/>
            </w:tcBorders>
            <w:shd w:val="clear" w:color="auto" w:fill="auto"/>
            <w:vAlign w:val="center"/>
          </w:tcPr>
          <w:p w14:paraId="5C55D0C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6336B7A8"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27C45A26"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4AA8EE0"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26</w:t>
            </w:r>
          </w:p>
        </w:tc>
        <w:tc>
          <w:tcPr>
            <w:tcW w:w="3962" w:type="dxa"/>
            <w:tcBorders>
              <w:top w:val="nil"/>
              <w:left w:val="nil"/>
              <w:bottom w:val="single" w:sz="4" w:space="0" w:color="auto"/>
              <w:right w:val="single" w:sz="4" w:space="0" w:color="auto"/>
            </w:tcBorders>
            <w:shd w:val="clear" w:color="auto" w:fill="auto"/>
            <w:vAlign w:val="center"/>
            <w:hideMark/>
          </w:tcPr>
          <w:p w14:paraId="4E3811C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BKPM - Indonesian Investment Coordinating Board</w:t>
            </w:r>
          </w:p>
        </w:tc>
        <w:tc>
          <w:tcPr>
            <w:tcW w:w="2610" w:type="dxa"/>
            <w:tcBorders>
              <w:top w:val="nil"/>
              <w:left w:val="nil"/>
              <w:bottom w:val="single" w:sz="4" w:space="0" w:color="auto"/>
              <w:right w:val="single" w:sz="4" w:space="0" w:color="auto"/>
            </w:tcBorders>
            <w:shd w:val="clear" w:color="auto" w:fill="auto"/>
            <w:vAlign w:val="center"/>
            <w:hideMark/>
          </w:tcPr>
          <w:p w14:paraId="580EB01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 xml:space="preserve">Nurman Hidayat </w:t>
            </w:r>
          </w:p>
        </w:tc>
        <w:tc>
          <w:tcPr>
            <w:tcW w:w="686" w:type="dxa"/>
            <w:tcBorders>
              <w:top w:val="nil"/>
              <w:left w:val="single" w:sz="4" w:space="0" w:color="auto"/>
              <w:bottom w:val="single" w:sz="4" w:space="0" w:color="auto"/>
              <w:right w:val="single" w:sz="4" w:space="0" w:color="auto"/>
            </w:tcBorders>
            <w:shd w:val="clear" w:color="auto" w:fill="auto"/>
            <w:vAlign w:val="center"/>
          </w:tcPr>
          <w:p w14:paraId="468585E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0B6E767D"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7BBED5D3"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2C33B3F"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27</w:t>
            </w:r>
          </w:p>
        </w:tc>
        <w:tc>
          <w:tcPr>
            <w:tcW w:w="3962" w:type="dxa"/>
            <w:tcBorders>
              <w:top w:val="nil"/>
              <w:left w:val="nil"/>
              <w:bottom w:val="single" w:sz="4" w:space="0" w:color="auto"/>
              <w:right w:val="single" w:sz="4" w:space="0" w:color="auto"/>
            </w:tcBorders>
            <w:shd w:val="clear" w:color="auto" w:fill="auto"/>
            <w:vAlign w:val="center"/>
            <w:hideMark/>
          </w:tcPr>
          <w:p w14:paraId="06C4B8C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BKPM - Indonesian Investment Coordinating Board</w:t>
            </w:r>
          </w:p>
        </w:tc>
        <w:tc>
          <w:tcPr>
            <w:tcW w:w="2610" w:type="dxa"/>
            <w:tcBorders>
              <w:top w:val="nil"/>
              <w:left w:val="nil"/>
              <w:bottom w:val="single" w:sz="4" w:space="0" w:color="auto"/>
              <w:right w:val="single" w:sz="4" w:space="0" w:color="auto"/>
            </w:tcBorders>
            <w:shd w:val="clear" w:color="auto" w:fill="auto"/>
            <w:vAlign w:val="center"/>
            <w:hideMark/>
          </w:tcPr>
          <w:p w14:paraId="43F087E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 xml:space="preserve">Haryo Y. Sedewo </w:t>
            </w:r>
          </w:p>
        </w:tc>
        <w:tc>
          <w:tcPr>
            <w:tcW w:w="686" w:type="dxa"/>
            <w:tcBorders>
              <w:top w:val="nil"/>
              <w:left w:val="single" w:sz="4" w:space="0" w:color="auto"/>
              <w:bottom w:val="single" w:sz="4" w:space="0" w:color="auto"/>
              <w:right w:val="single" w:sz="4" w:space="0" w:color="auto"/>
            </w:tcBorders>
            <w:shd w:val="clear" w:color="auto" w:fill="auto"/>
            <w:vAlign w:val="center"/>
          </w:tcPr>
          <w:p w14:paraId="7D9B515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4A8C1999"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26CCCFD0"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31DF849"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28</w:t>
            </w:r>
          </w:p>
        </w:tc>
        <w:tc>
          <w:tcPr>
            <w:tcW w:w="3962" w:type="dxa"/>
            <w:tcBorders>
              <w:top w:val="nil"/>
              <w:left w:val="nil"/>
              <w:bottom w:val="single" w:sz="4" w:space="0" w:color="auto"/>
              <w:right w:val="single" w:sz="4" w:space="0" w:color="auto"/>
            </w:tcBorders>
            <w:shd w:val="clear" w:color="auto" w:fill="auto"/>
            <w:vAlign w:val="center"/>
            <w:hideMark/>
          </w:tcPr>
          <w:p w14:paraId="0FCAF37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BP3 - Indonesian Ministry of Trade, Trade Analysis and Development Agency</w:t>
            </w:r>
          </w:p>
        </w:tc>
        <w:tc>
          <w:tcPr>
            <w:tcW w:w="2610" w:type="dxa"/>
            <w:tcBorders>
              <w:top w:val="nil"/>
              <w:left w:val="nil"/>
              <w:bottom w:val="single" w:sz="4" w:space="0" w:color="auto"/>
              <w:right w:val="single" w:sz="4" w:space="0" w:color="auto"/>
            </w:tcBorders>
            <w:shd w:val="clear" w:color="auto" w:fill="auto"/>
            <w:vAlign w:val="center"/>
            <w:hideMark/>
          </w:tcPr>
          <w:p w14:paraId="77EA179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Sahudi</w:t>
            </w:r>
          </w:p>
        </w:tc>
        <w:tc>
          <w:tcPr>
            <w:tcW w:w="686" w:type="dxa"/>
            <w:tcBorders>
              <w:top w:val="nil"/>
              <w:left w:val="single" w:sz="4" w:space="0" w:color="auto"/>
              <w:bottom w:val="single" w:sz="4" w:space="0" w:color="auto"/>
              <w:right w:val="single" w:sz="4" w:space="0" w:color="auto"/>
            </w:tcBorders>
            <w:shd w:val="clear" w:color="auto" w:fill="auto"/>
            <w:vAlign w:val="center"/>
          </w:tcPr>
          <w:p w14:paraId="6A98822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77C6F5B3"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4B2268E5"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A4D14BD"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29</w:t>
            </w:r>
          </w:p>
        </w:tc>
        <w:tc>
          <w:tcPr>
            <w:tcW w:w="3962" w:type="dxa"/>
            <w:tcBorders>
              <w:top w:val="nil"/>
              <w:left w:val="nil"/>
              <w:bottom w:val="single" w:sz="4" w:space="0" w:color="auto"/>
              <w:right w:val="single" w:sz="4" w:space="0" w:color="auto"/>
            </w:tcBorders>
            <w:shd w:val="clear" w:color="auto" w:fill="auto"/>
            <w:vAlign w:val="center"/>
            <w:hideMark/>
          </w:tcPr>
          <w:p w14:paraId="1A2156A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BP3 - Indonesian Ministry of Trade, Trade Analysis and Development Agency</w:t>
            </w:r>
          </w:p>
        </w:tc>
        <w:tc>
          <w:tcPr>
            <w:tcW w:w="2610" w:type="dxa"/>
            <w:tcBorders>
              <w:top w:val="nil"/>
              <w:left w:val="nil"/>
              <w:bottom w:val="single" w:sz="4" w:space="0" w:color="auto"/>
              <w:right w:val="single" w:sz="4" w:space="0" w:color="auto"/>
            </w:tcBorders>
            <w:shd w:val="clear" w:color="auto" w:fill="auto"/>
            <w:vAlign w:val="center"/>
            <w:hideMark/>
          </w:tcPr>
          <w:p w14:paraId="0C05FCC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Adi Nurjaman</w:t>
            </w:r>
          </w:p>
        </w:tc>
        <w:tc>
          <w:tcPr>
            <w:tcW w:w="686" w:type="dxa"/>
            <w:tcBorders>
              <w:top w:val="nil"/>
              <w:left w:val="single" w:sz="4" w:space="0" w:color="auto"/>
              <w:bottom w:val="single" w:sz="4" w:space="0" w:color="auto"/>
              <w:right w:val="single" w:sz="4" w:space="0" w:color="auto"/>
            </w:tcBorders>
            <w:shd w:val="clear" w:color="auto" w:fill="auto"/>
            <w:vAlign w:val="center"/>
          </w:tcPr>
          <w:p w14:paraId="5CBFAD1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40605825"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0861F8A8"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21EF0C9"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30</w:t>
            </w:r>
          </w:p>
        </w:tc>
        <w:tc>
          <w:tcPr>
            <w:tcW w:w="3962" w:type="dxa"/>
            <w:tcBorders>
              <w:top w:val="nil"/>
              <w:left w:val="nil"/>
              <w:bottom w:val="single" w:sz="4" w:space="0" w:color="auto"/>
              <w:right w:val="single" w:sz="4" w:space="0" w:color="auto"/>
            </w:tcBorders>
            <w:shd w:val="clear" w:color="auto" w:fill="auto"/>
            <w:vAlign w:val="center"/>
            <w:hideMark/>
          </w:tcPr>
          <w:p w14:paraId="78080F7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BP3 - Indonesian Ministry of Trade, Trade Analysis and Development Agency</w:t>
            </w:r>
          </w:p>
        </w:tc>
        <w:tc>
          <w:tcPr>
            <w:tcW w:w="2610" w:type="dxa"/>
            <w:tcBorders>
              <w:top w:val="nil"/>
              <w:left w:val="nil"/>
              <w:bottom w:val="single" w:sz="4" w:space="0" w:color="auto"/>
              <w:right w:val="single" w:sz="4" w:space="0" w:color="auto"/>
            </w:tcBorders>
            <w:shd w:val="clear" w:color="auto" w:fill="auto"/>
            <w:vAlign w:val="center"/>
            <w:hideMark/>
          </w:tcPr>
          <w:p w14:paraId="6845DD6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Supriyanto</w:t>
            </w:r>
          </w:p>
        </w:tc>
        <w:tc>
          <w:tcPr>
            <w:tcW w:w="686" w:type="dxa"/>
            <w:tcBorders>
              <w:top w:val="nil"/>
              <w:left w:val="single" w:sz="4" w:space="0" w:color="auto"/>
              <w:bottom w:val="single" w:sz="4" w:space="0" w:color="auto"/>
              <w:right w:val="single" w:sz="4" w:space="0" w:color="auto"/>
            </w:tcBorders>
            <w:shd w:val="clear" w:color="auto" w:fill="auto"/>
            <w:vAlign w:val="center"/>
          </w:tcPr>
          <w:p w14:paraId="5B4CEBA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30FA2B75"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2BCD9813"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18CEDA5"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31</w:t>
            </w:r>
          </w:p>
        </w:tc>
        <w:tc>
          <w:tcPr>
            <w:tcW w:w="3962" w:type="dxa"/>
            <w:tcBorders>
              <w:top w:val="nil"/>
              <w:left w:val="nil"/>
              <w:bottom w:val="single" w:sz="4" w:space="0" w:color="auto"/>
              <w:right w:val="single" w:sz="4" w:space="0" w:color="auto"/>
            </w:tcBorders>
            <w:shd w:val="clear" w:color="auto" w:fill="auto"/>
            <w:vAlign w:val="center"/>
            <w:hideMark/>
          </w:tcPr>
          <w:p w14:paraId="068597A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BP3 - Indonesian Ministry of Trade, Trade Analysis and Development Agency</w:t>
            </w:r>
          </w:p>
        </w:tc>
        <w:tc>
          <w:tcPr>
            <w:tcW w:w="2610" w:type="dxa"/>
            <w:tcBorders>
              <w:top w:val="nil"/>
              <w:left w:val="nil"/>
              <w:bottom w:val="single" w:sz="4" w:space="0" w:color="auto"/>
              <w:right w:val="single" w:sz="4" w:space="0" w:color="auto"/>
            </w:tcBorders>
            <w:shd w:val="clear" w:color="auto" w:fill="auto"/>
            <w:vAlign w:val="center"/>
            <w:hideMark/>
          </w:tcPr>
          <w:p w14:paraId="4E17AAC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Bryan M.</w:t>
            </w:r>
          </w:p>
        </w:tc>
        <w:tc>
          <w:tcPr>
            <w:tcW w:w="686" w:type="dxa"/>
            <w:tcBorders>
              <w:top w:val="nil"/>
              <w:left w:val="single" w:sz="4" w:space="0" w:color="auto"/>
              <w:bottom w:val="single" w:sz="4" w:space="0" w:color="auto"/>
              <w:right w:val="single" w:sz="4" w:space="0" w:color="auto"/>
            </w:tcBorders>
            <w:shd w:val="clear" w:color="auto" w:fill="auto"/>
            <w:vAlign w:val="center"/>
          </w:tcPr>
          <w:p w14:paraId="7D0038B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0C8D8254"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42D27572"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94FD64A"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32</w:t>
            </w:r>
          </w:p>
        </w:tc>
        <w:tc>
          <w:tcPr>
            <w:tcW w:w="3962" w:type="dxa"/>
            <w:tcBorders>
              <w:top w:val="nil"/>
              <w:left w:val="nil"/>
              <w:bottom w:val="single" w:sz="4" w:space="0" w:color="auto"/>
              <w:right w:val="single" w:sz="4" w:space="0" w:color="auto"/>
            </w:tcBorders>
            <w:shd w:val="clear" w:color="auto" w:fill="auto"/>
            <w:vAlign w:val="center"/>
            <w:hideMark/>
          </w:tcPr>
          <w:p w14:paraId="56DC9000"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Department of Infrastructure, Regional Development and Cities (DoIRDC)</w:t>
            </w:r>
          </w:p>
        </w:tc>
        <w:tc>
          <w:tcPr>
            <w:tcW w:w="2610" w:type="dxa"/>
            <w:tcBorders>
              <w:top w:val="nil"/>
              <w:left w:val="nil"/>
              <w:bottom w:val="single" w:sz="4" w:space="0" w:color="auto"/>
              <w:right w:val="single" w:sz="4" w:space="0" w:color="auto"/>
            </w:tcBorders>
            <w:shd w:val="clear" w:color="auto" w:fill="auto"/>
            <w:vAlign w:val="center"/>
            <w:hideMark/>
          </w:tcPr>
          <w:p w14:paraId="668D35E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Solomon Brown</w:t>
            </w:r>
          </w:p>
        </w:tc>
        <w:tc>
          <w:tcPr>
            <w:tcW w:w="686" w:type="dxa"/>
            <w:tcBorders>
              <w:top w:val="nil"/>
              <w:left w:val="single" w:sz="4" w:space="0" w:color="auto"/>
              <w:bottom w:val="single" w:sz="4" w:space="0" w:color="auto"/>
              <w:right w:val="single" w:sz="4" w:space="0" w:color="auto"/>
            </w:tcBorders>
            <w:shd w:val="clear" w:color="auto" w:fill="auto"/>
            <w:vAlign w:val="center"/>
          </w:tcPr>
          <w:p w14:paraId="5259B9F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573FBA14"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2B9C0333"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EF06AA3"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33</w:t>
            </w:r>
          </w:p>
        </w:tc>
        <w:tc>
          <w:tcPr>
            <w:tcW w:w="3962" w:type="dxa"/>
            <w:tcBorders>
              <w:top w:val="nil"/>
              <w:left w:val="nil"/>
              <w:bottom w:val="single" w:sz="4" w:space="0" w:color="auto"/>
              <w:right w:val="single" w:sz="4" w:space="0" w:color="auto"/>
            </w:tcBorders>
            <w:shd w:val="clear" w:color="auto" w:fill="auto"/>
            <w:vAlign w:val="center"/>
            <w:hideMark/>
          </w:tcPr>
          <w:p w14:paraId="0837A8F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Department of Infrastructure, Regional Development and Cities (DoIRDC)</w:t>
            </w:r>
          </w:p>
        </w:tc>
        <w:tc>
          <w:tcPr>
            <w:tcW w:w="2610" w:type="dxa"/>
            <w:tcBorders>
              <w:top w:val="nil"/>
              <w:left w:val="nil"/>
              <w:bottom w:val="single" w:sz="4" w:space="0" w:color="auto"/>
              <w:right w:val="single" w:sz="4" w:space="0" w:color="auto"/>
            </w:tcBorders>
            <w:shd w:val="clear" w:color="auto" w:fill="auto"/>
            <w:vAlign w:val="center"/>
            <w:hideMark/>
          </w:tcPr>
          <w:p w14:paraId="5A5AA71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Michelle McShane</w:t>
            </w:r>
          </w:p>
        </w:tc>
        <w:tc>
          <w:tcPr>
            <w:tcW w:w="686" w:type="dxa"/>
            <w:tcBorders>
              <w:top w:val="nil"/>
              <w:left w:val="single" w:sz="4" w:space="0" w:color="auto"/>
              <w:bottom w:val="single" w:sz="4" w:space="0" w:color="auto"/>
              <w:right w:val="single" w:sz="4" w:space="0" w:color="auto"/>
            </w:tcBorders>
            <w:shd w:val="clear" w:color="auto" w:fill="auto"/>
            <w:vAlign w:val="center"/>
          </w:tcPr>
          <w:p w14:paraId="62C9B5A9"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6F4B021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503A7FDB"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B338316"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34</w:t>
            </w:r>
          </w:p>
        </w:tc>
        <w:tc>
          <w:tcPr>
            <w:tcW w:w="3962" w:type="dxa"/>
            <w:tcBorders>
              <w:top w:val="nil"/>
              <w:left w:val="nil"/>
              <w:bottom w:val="single" w:sz="4" w:space="0" w:color="auto"/>
              <w:right w:val="single" w:sz="4" w:space="0" w:color="auto"/>
            </w:tcBorders>
            <w:shd w:val="clear" w:color="auto" w:fill="auto"/>
            <w:vAlign w:val="center"/>
            <w:hideMark/>
          </w:tcPr>
          <w:p w14:paraId="2238A86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Department of Infrastructure, Regional Development and Cities (DoIRDC)</w:t>
            </w:r>
          </w:p>
        </w:tc>
        <w:tc>
          <w:tcPr>
            <w:tcW w:w="2610" w:type="dxa"/>
            <w:tcBorders>
              <w:top w:val="nil"/>
              <w:left w:val="nil"/>
              <w:bottom w:val="single" w:sz="4" w:space="0" w:color="auto"/>
              <w:right w:val="single" w:sz="4" w:space="0" w:color="auto"/>
            </w:tcBorders>
            <w:shd w:val="clear" w:color="auto" w:fill="auto"/>
            <w:vAlign w:val="center"/>
            <w:hideMark/>
          </w:tcPr>
          <w:p w14:paraId="72A04C5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Charles Brister</w:t>
            </w:r>
          </w:p>
        </w:tc>
        <w:tc>
          <w:tcPr>
            <w:tcW w:w="686" w:type="dxa"/>
            <w:tcBorders>
              <w:top w:val="nil"/>
              <w:left w:val="single" w:sz="4" w:space="0" w:color="auto"/>
              <w:bottom w:val="single" w:sz="4" w:space="0" w:color="auto"/>
              <w:right w:val="single" w:sz="4" w:space="0" w:color="auto"/>
            </w:tcBorders>
            <w:shd w:val="clear" w:color="auto" w:fill="auto"/>
            <w:vAlign w:val="center"/>
          </w:tcPr>
          <w:p w14:paraId="0A9E24F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6FFCCC67"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6C423FBE"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F47D8E3"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35</w:t>
            </w:r>
          </w:p>
        </w:tc>
        <w:tc>
          <w:tcPr>
            <w:tcW w:w="3962" w:type="dxa"/>
            <w:tcBorders>
              <w:top w:val="nil"/>
              <w:left w:val="nil"/>
              <w:bottom w:val="single" w:sz="4" w:space="0" w:color="auto"/>
              <w:right w:val="single" w:sz="4" w:space="0" w:color="auto"/>
            </w:tcBorders>
            <w:shd w:val="clear" w:color="auto" w:fill="auto"/>
            <w:vAlign w:val="center"/>
            <w:hideMark/>
          </w:tcPr>
          <w:p w14:paraId="32585E9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Maritime Safety Authority (AMSA)</w:t>
            </w:r>
          </w:p>
        </w:tc>
        <w:tc>
          <w:tcPr>
            <w:tcW w:w="2610" w:type="dxa"/>
            <w:tcBorders>
              <w:top w:val="nil"/>
              <w:left w:val="nil"/>
              <w:bottom w:val="single" w:sz="4" w:space="0" w:color="auto"/>
              <w:right w:val="single" w:sz="4" w:space="0" w:color="auto"/>
            </w:tcBorders>
            <w:shd w:val="clear" w:color="auto" w:fill="auto"/>
            <w:vAlign w:val="center"/>
            <w:hideMark/>
          </w:tcPr>
          <w:p w14:paraId="0332D1C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Craig Stanley</w:t>
            </w:r>
          </w:p>
        </w:tc>
        <w:tc>
          <w:tcPr>
            <w:tcW w:w="686" w:type="dxa"/>
            <w:tcBorders>
              <w:top w:val="nil"/>
              <w:left w:val="single" w:sz="4" w:space="0" w:color="auto"/>
              <w:bottom w:val="single" w:sz="4" w:space="0" w:color="auto"/>
              <w:right w:val="single" w:sz="4" w:space="0" w:color="auto"/>
            </w:tcBorders>
            <w:shd w:val="clear" w:color="auto" w:fill="auto"/>
            <w:vAlign w:val="center"/>
          </w:tcPr>
          <w:p w14:paraId="4FA78FB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6A417569"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4B3A099E"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4944CDE"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36</w:t>
            </w:r>
          </w:p>
        </w:tc>
        <w:tc>
          <w:tcPr>
            <w:tcW w:w="3962" w:type="dxa"/>
            <w:tcBorders>
              <w:top w:val="nil"/>
              <w:left w:val="nil"/>
              <w:bottom w:val="single" w:sz="4" w:space="0" w:color="auto"/>
              <w:right w:val="single" w:sz="4" w:space="0" w:color="auto"/>
            </w:tcBorders>
            <w:shd w:val="clear" w:color="auto" w:fill="auto"/>
            <w:vAlign w:val="center"/>
            <w:hideMark/>
          </w:tcPr>
          <w:p w14:paraId="0855A96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Air Services Australia</w:t>
            </w:r>
          </w:p>
        </w:tc>
        <w:tc>
          <w:tcPr>
            <w:tcW w:w="2610" w:type="dxa"/>
            <w:tcBorders>
              <w:top w:val="nil"/>
              <w:left w:val="nil"/>
              <w:bottom w:val="single" w:sz="4" w:space="0" w:color="auto"/>
              <w:right w:val="single" w:sz="4" w:space="0" w:color="auto"/>
            </w:tcBorders>
            <w:shd w:val="clear" w:color="auto" w:fill="auto"/>
            <w:vAlign w:val="center"/>
            <w:hideMark/>
          </w:tcPr>
          <w:p w14:paraId="5950BC9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Zaheer Aleem</w:t>
            </w:r>
          </w:p>
        </w:tc>
        <w:tc>
          <w:tcPr>
            <w:tcW w:w="686" w:type="dxa"/>
            <w:tcBorders>
              <w:top w:val="nil"/>
              <w:left w:val="single" w:sz="4" w:space="0" w:color="auto"/>
              <w:bottom w:val="single" w:sz="4" w:space="0" w:color="auto"/>
              <w:right w:val="single" w:sz="4" w:space="0" w:color="auto"/>
            </w:tcBorders>
            <w:shd w:val="clear" w:color="auto" w:fill="auto"/>
            <w:vAlign w:val="center"/>
          </w:tcPr>
          <w:p w14:paraId="095EF2F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1A9B19D0"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534E29B4"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C8FD010"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37</w:t>
            </w:r>
          </w:p>
        </w:tc>
        <w:tc>
          <w:tcPr>
            <w:tcW w:w="3962" w:type="dxa"/>
            <w:tcBorders>
              <w:top w:val="nil"/>
              <w:left w:val="nil"/>
              <w:bottom w:val="single" w:sz="4" w:space="0" w:color="auto"/>
              <w:right w:val="single" w:sz="4" w:space="0" w:color="auto"/>
            </w:tcBorders>
            <w:shd w:val="clear" w:color="auto" w:fill="auto"/>
            <w:vAlign w:val="center"/>
            <w:hideMark/>
          </w:tcPr>
          <w:p w14:paraId="042DAB3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Transport Safety Bureau (ATSB)</w:t>
            </w:r>
          </w:p>
        </w:tc>
        <w:tc>
          <w:tcPr>
            <w:tcW w:w="2610" w:type="dxa"/>
            <w:tcBorders>
              <w:top w:val="nil"/>
              <w:left w:val="nil"/>
              <w:bottom w:val="single" w:sz="4" w:space="0" w:color="auto"/>
              <w:right w:val="single" w:sz="4" w:space="0" w:color="auto"/>
            </w:tcBorders>
            <w:shd w:val="clear" w:color="auto" w:fill="auto"/>
            <w:vAlign w:val="center"/>
            <w:hideMark/>
          </w:tcPr>
          <w:p w14:paraId="670F0A3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Trish Biancin (standing in for Richard Batt)</w:t>
            </w:r>
          </w:p>
        </w:tc>
        <w:tc>
          <w:tcPr>
            <w:tcW w:w="686" w:type="dxa"/>
            <w:tcBorders>
              <w:top w:val="nil"/>
              <w:left w:val="single" w:sz="4" w:space="0" w:color="auto"/>
              <w:bottom w:val="single" w:sz="4" w:space="0" w:color="auto"/>
              <w:right w:val="single" w:sz="4" w:space="0" w:color="auto"/>
            </w:tcBorders>
            <w:shd w:val="clear" w:color="auto" w:fill="auto"/>
            <w:vAlign w:val="center"/>
          </w:tcPr>
          <w:p w14:paraId="4706DB22"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6D117F5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189C4542"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8A2D227"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38</w:t>
            </w:r>
          </w:p>
        </w:tc>
        <w:tc>
          <w:tcPr>
            <w:tcW w:w="3962" w:type="dxa"/>
            <w:tcBorders>
              <w:top w:val="nil"/>
              <w:left w:val="nil"/>
              <w:bottom w:val="single" w:sz="4" w:space="0" w:color="auto"/>
              <w:right w:val="single" w:sz="4" w:space="0" w:color="auto"/>
            </w:tcBorders>
            <w:shd w:val="clear" w:color="auto" w:fill="auto"/>
            <w:vAlign w:val="center"/>
            <w:hideMark/>
          </w:tcPr>
          <w:p w14:paraId="1965145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Civil Aviation Safety Authority (CASA)</w:t>
            </w:r>
          </w:p>
        </w:tc>
        <w:tc>
          <w:tcPr>
            <w:tcW w:w="2610" w:type="dxa"/>
            <w:tcBorders>
              <w:top w:val="nil"/>
              <w:left w:val="nil"/>
              <w:bottom w:val="single" w:sz="4" w:space="0" w:color="auto"/>
              <w:right w:val="single" w:sz="4" w:space="0" w:color="auto"/>
            </w:tcBorders>
            <w:shd w:val="clear" w:color="auto" w:fill="auto"/>
            <w:vAlign w:val="center"/>
            <w:hideMark/>
          </w:tcPr>
          <w:p w14:paraId="55CAE05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Melissa Webster</w:t>
            </w:r>
          </w:p>
        </w:tc>
        <w:tc>
          <w:tcPr>
            <w:tcW w:w="686" w:type="dxa"/>
            <w:tcBorders>
              <w:top w:val="nil"/>
              <w:left w:val="single" w:sz="4" w:space="0" w:color="auto"/>
              <w:bottom w:val="single" w:sz="4" w:space="0" w:color="auto"/>
              <w:right w:val="single" w:sz="4" w:space="0" w:color="auto"/>
            </w:tcBorders>
            <w:shd w:val="clear" w:color="auto" w:fill="auto"/>
            <w:vAlign w:val="center"/>
          </w:tcPr>
          <w:p w14:paraId="630E52E8"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378F898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63EAF68B"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E19AB73"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39</w:t>
            </w:r>
          </w:p>
        </w:tc>
        <w:tc>
          <w:tcPr>
            <w:tcW w:w="3962" w:type="dxa"/>
            <w:tcBorders>
              <w:top w:val="nil"/>
              <w:left w:val="nil"/>
              <w:bottom w:val="single" w:sz="4" w:space="0" w:color="auto"/>
              <w:right w:val="single" w:sz="4" w:space="0" w:color="auto"/>
            </w:tcBorders>
            <w:shd w:val="clear" w:color="auto" w:fill="auto"/>
            <w:vAlign w:val="center"/>
            <w:hideMark/>
          </w:tcPr>
          <w:p w14:paraId="79D336A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Civil Aviation Safety Authority (CASA)</w:t>
            </w:r>
          </w:p>
        </w:tc>
        <w:tc>
          <w:tcPr>
            <w:tcW w:w="2610" w:type="dxa"/>
            <w:tcBorders>
              <w:top w:val="nil"/>
              <w:left w:val="nil"/>
              <w:bottom w:val="single" w:sz="4" w:space="0" w:color="auto"/>
              <w:right w:val="single" w:sz="4" w:space="0" w:color="auto"/>
            </w:tcBorders>
            <w:shd w:val="clear" w:color="auto" w:fill="auto"/>
            <w:vAlign w:val="center"/>
            <w:hideMark/>
          </w:tcPr>
          <w:p w14:paraId="36E3FF9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Nisha Lad</w:t>
            </w:r>
          </w:p>
        </w:tc>
        <w:tc>
          <w:tcPr>
            <w:tcW w:w="686" w:type="dxa"/>
            <w:tcBorders>
              <w:top w:val="nil"/>
              <w:left w:val="single" w:sz="4" w:space="0" w:color="auto"/>
              <w:bottom w:val="single" w:sz="4" w:space="0" w:color="auto"/>
              <w:right w:val="single" w:sz="4" w:space="0" w:color="auto"/>
            </w:tcBorders>
            <w:shd w:val="clear" w:color="auto" w:fill="auto"/>
            <w:vAlign w:val="center"/>
          </w:tcPr>
          <w:p w14:paraId="63D0AE0D"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57B2080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39CD229B"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80111F4"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40</w:t>
            </w:r>
          </w:p>
        </w:tc>
        <w:tc>
          <w:tcPr>
            <w:tcW w:w="3962" w:type="dxa"/>
            <w:tcBorders>
              <w:top w:val="nil"/>
              <w:left w:val="nil"/>
              <w:bottom w:val="single" w:sz="4" w:space="0" w:color="auto"/>
              <w:right w:val="single" w:sz="4" w:space="0" w:color="auto"/>
            </w:tcBorders>
            <w:shd w:val="clear" w:color="auto" w:fill="auto"/>
            <w:vAlign w:val="center"/>
            <w:hideMark/>
          </w:tcPr>
          <w:p w14:paraId="6C1AA73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Transaction Reports and Analysis Centre (AUSTRAC)</w:t>
            </w:r>
          </w:p>
        </w:tc>
        <w:tc>
          <w:tcPr>
            <w:tcW w:w="2610" w:type="dxa"/>
            <w:tcBorders>
              <w:top w:val="nil"/>
              <w:left w:val="nil"/>
              <w:bottom w:val="single" w:sz="4" w:space="0" w:color="auto"/>
              <w:right w:val="single" w:sz="4" w:space="0" w:color="auto"/>
            </w:tcBorders>
            <w:shd w:val="clear" w:color="auto" w:fill="auto"/>
            <w:vAlign w:val="center"/>
            <w:hideMark/>
          </w:tcPr>
          <w:p w14:paraId="558DC03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Rob Buchan</w:t>
            </w:r>
          </w:p>
        </w:tc>
        <w:tc>
          <w:tcPr>
            <w:tcW w:w="686" w:type="dxa"/>
            <w:tcBorders>
              <w:top w:val="nil"/>
              <w:left w:val="single" w:sz="4" w:space="0" w:color="auto"/>
              <w:bottom w:val="single" w:sz="4" w:space="0" w:color="auto"/>
              <w:right w:val="single" w:sz="4" w:space="0" w:color="auto"/>
            </w:tcBorders>
            <w:shd w:val="clear" w:color="auto" w:fill="auto"/>
            <w:vAlign w:val="center"/>
          </w:tcPr>
          <w:p w14:paraId="3A13287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0C051396"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777F1071"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DB5683B"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41</w:t>
            </w:r>
          </w:p>
        </w:tc>
        <w:tc>
          <w:tcPr>
            <w:tcW w:w="3962" w:type="dxa"/>
            <w:tcBorders>
              <w:top w:val="nil"/>
              <w:left w:val="nil"/>
              <w:bottom w:val="single" w:sz="4" w:space="0" w:color="auto"/>
              <w:right w:val="single" w:sz="4" w:space="0" w:color="auto"/>
            </w:tcBorders>
            <w:shd w:val="clear" w:color="auto" w:fill="auto"/>
            <w:vAlign w:val="center"/>
            <w:hideMark/>
          </w:tcPr>
          <w:p w14:paraId="036C63B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Transaction Reports and Analysis Centre (AUSTRAC)</w:t>
            </w:r>
          </w:p>
        </w:tc>
        <w:tc>
          <w:tcPr>
            <w:tcW w:w="2610" w:type="dxa"/>
            <w:tcBorders>
              <w:top w:val="nil"/>
              <w:left w:val="nil"/>
              <w:bottom w:val="single" w:sz="4" w:space="0" w:color="auto"/>
              <w:right w:val="single" w:sz="4" w:space="0" w:color="auto"/>
            </w:tcBorders>
            <w:shd w:val="clear" w:color="auto" w:fill="auto"/>
            <w:vAlign w:val="center"/>
            <w:hideMark/>
          </w:tcPr>
          <w:p w14:paraId="7039695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Zoe Anderton</w:t>
            </w:r>
          </w:p>
        </w:tc>
        <w:tc>
          <w:tcPr>
            <w:tcW w:w="686" w:type="dxa"/>
            <w:tcBorders>
              <w:top w:val="nil"/>
              <w:left w:val="single" w:sz="4" w:space="0" w:color="auto"/>
              <w:bottom w:val="single" w:sz="4" w:space="0" w:color="auto"/>
              <w:right w:val="single" w:sz="4" w:space="0" w:color="auto"/>
            </w:tcBorders>
            <w:shd w:val="clear" w:color="auto" w:fill="auto"/>
            <w:vAlign w:val="center"/>
          </w:tcPr>
          <w:p w14:paraId="658B5252"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2CE20FA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5B47B0DA"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0A6C7A5"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42</w:t>
            </w:r>
          </w:p>
        </w:tc>
        <w:tc>
          <w:tcPr>
            <w:tcW w:w="3962" w:type="dxa"/>
            <w:tcBorders>
              <w:top w:val="nil"/>
              <w:left w:val="nil"/>
              <w:bottom w:val="single" w:sz="4" w:space="0" w:color="auto"/>
              <w:right w:val="single" w:sz="4" w:space="0" w:color="auto"/>
            </w:tcBorders>
            <w:shd w:val="clear" w:color="auto" w:fill="auto"/>
            <w:vAlign w:val="center"/>
            <w:hideMark/>
          </w:tcPr>
          <w:p w14:paraId="7945E3D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Bureau of Statistics (ABS)</w:t>
            </w:r>
          </w:p>
        </w:tc>
        <w:tc>
          <w:tcPr>
            <w:tcW w:w="2610" w:type="dxa"/>
            <w:tcBorders>
              <w:top w:val="nil"/>
              <w:left w:val="nil"/>
              <w:bottom w:val="single" w:sz="4" w:space="0" w:color="auto"/>
              <w:right w:val="single" w:sz="4" w:space="0" w:color="auto"/>
            </w:tcBorders>
            <w:shd w:val="clear" w:color="auto" w:fill="auto"/>
            <w:vAlign w:val="center"/>
            <w:hideMark/>
          </w:tcPr>
          <w:p w14:paraId="0943E78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Marie Apostolou</w:t>
            </w:r>
          </w:p>
        </w:tc>
        <w:tc>
          <w:tcPr>
            <w:tcW w:w="686" w:type="dxa"/>
            <w:tcBorders>
              <w:top w:val="nil"/>
              <w:left w:val="single" w:sz="4" w:space="0" w:color="auto"/>
              <w:bottom w:val="single" w:sz="4" w:space="0" w:color="auto"/>
              <w:right w:val="single" w:sz="4" w:space="0" w:color="auto"/>
            </w:tcBorders>
            <w:shd w:val="clear" w:color="auto" w:fill="auto"/>
            <w:vAlign w:val="center"/>
          </w:tcPr>
          <w:p w14:paraId="0D1640A0"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29B9E30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45E0F2E2"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8587A34"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43</w:t>
            </w:r>
          </w:p>
        </w:tc>
        <w:tc>
          <w:tcPr>
            <w:tcW w:w="3962" w:type="dxa"/>
            <w:tcBorders>
              <w:top w:val="nil"/>
              <w:left w:val="nil"/>
              <w:bottom w:val="single" w:sz="4" w:space="0" w:color="auto"/>
              <w:right w:val="single" w:sz="4" w:space="0" w:color="auto"/>
            </w:tcBorders>
            <w:shd w:val="clear" w:color="auto" w:fill="auto"/>
            <w:vAlign w:val="center"/>
            <w:hideMark/>
          </w:tcPr>
          <w:p w14:paraId="2555030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Bureau of Statistics (ABS)</w:t>
            </w:r>
          </w:p>
        </w:tc>
        <w:tc>
          <w:tcPr>
            <w:tcW w:w="2610" w:type="dxa"/>
            <w:tcBorders>
              <w:top w:val="nil"/>
              <w:left w:val="nil"/>
              <w:bottom w:val="single" w:sz="4" w:space="0" w:color="auto"/>
              <w:right w:val="single" w:sz="4" w:space="0" w:color="auto"/>
            </w:tcBorders>
            <w:shd w:val="clear" w:color="auto" w:fill="auto"/>
            <w:vAlign w:val="center"/>
            <w:hideMark/>
          </w:tcPr>
          <w:p w14:paraId="4961A06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Edna Lee</w:t>
            </w:r>
          </w:p>
        </w:tc>
        <w:tc>
          <w:tcPr>
            <w:tcW w:w="686" w:type="dxa"/>
            <w:tcBorders>
              <w:top w:val="nil"/>
              <w:left w:val="single" w:sz="4" w:space="0" w:color="auto"/>
              <w:bottom w:val="single" w:sz="4" w:space="0" w:color="auto"/>
              <w:right w:val="single" w:sz="4" w:space="0" w:color="auto"/>
            </w:tcBorders>
            <w:shd w:val="clear" w:color="auto" w:fill="auto"/>
            <w:vAlign w:val="center"/>
          </w:tcPr>
          <w:p w14:paraId="41532AC4"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2E9C868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1B9D038C"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1D290C8"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44</w:t>
            </w:r>
          </w:p>
        </w:tc>
        <w:tc>
          <w:tcPr>
            <w:tcW w:w="3962" w:type="dxa"/>
            <w:tcBorders>
              <w:top w:val="nil"/>
              <w:left w:val="nil"/>
              <w:bottom w:val="single" w:sz="4" w:space="0" w:color="auto"/>
              <w:right w:val="single" w:sz="4" w:space="0" w:color="auto"/>
            </w:tcBorders>
            <w:shd w:val="clear" w:color="auto" w:fill="auto"/>
            <w:vAlign w:val="center"/>
            <w:hideMark/>
          </w:tcPr>
          <w:p w14:paraId="660929D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Bureau of Statistics (ABS)</w:t>
            </w:r>
          </w:p>
        </w:tc>
        <w:tc>
          <w:tcPr>
            <w:tcW w:w="2610" w:type="dxa"/>
            <w:tcBorders>
              <w:top w:val="nil"/>
              <w:left w:val="nil"/>
              <w:bottom w:val="single" w:sz="4" w:space="0" w:color="auto"/>
              <w:right w:val="single" w:sz="4" w:space="0" w:color="auto"/>
            </w:tcBorders>
            <w:shd w:val="clear" w:color="auto" w:fill="auto"/>
            <w:vAlign w:val="center"/>
            <w:hideMark/>
          </w:tcPr>
          <w:p w14:paraId="0896E72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Marie</w:t>
            </w:r>
          </w:p>
        </w:tc>
        <w:tc>
          <w:tcPr>
            <w:tcW w:w="686" w:type="dxa"/>
            <w:tcBorders>
              <w:top w:val="nil"/>
              <w:left w:val="single" w:sz="4" w:space="0" w:color="auto"/>
              <w:bottom w:val="single" w:sz="4" w:space="0" w:color="auto"/>
              <w:right w:val="single" w:sz="4" w:space="0" w:color="auto"/>
            </w:tcBorders>
            <w:shd w:val="clear" w:color="auto" w:fill="auto"/>
            <w:vAlign w:val="center"/>
          </w:tcPr>
          <w:p w14:paraId="202DEEE0"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1D31D3F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2B7D60BC"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19DC568"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45</w:t>
            </w:r>
          </w:p>
        </w:tc>
        <w:tc>
          <w:tcPr>
            <w:tcW w:w="3962" w:type="dxa"/>
            <w:tcBorders>
              <w:top w:val="nil"/>
              <w:left w:val="nil"/>
              <w:bottom w:val="single" w:sz="4" w:space="0" w:color="auto"/>
              <w:right w:val="single" w:sz="4" w:space="0" w:color="auto"/>
            </w:tcBorders>
            <w:shd w:val="clear" w:color="auto" w:fill="auto"/>
            <w:vAlign w:val="center"/>
            <w:hideMark/>
          </w:tcPr>
          <w:p w14:paraId="4CAB25C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Bureau of Statistics (ABS)</w:t>
            </w:r>
          </w:p>
        </w:tc>
        <w:tc>
          <w:tcPr>
            <w:tcW w:w="2610" w:type="dxa"/>
            <w:tcBorders>
              <w:top w:val="nil"/>
              <w:left w:val="nil"/>
              <w:bottom w:val="single" w:sz="4" w:space="0" w:color="auto"/>
              <w:right w:val="single" w:sz="4" w:space="0" w:color="auto"/>
            </w:tcBorders>
            <w:shd w:val="clear" w:color="auto" w:fill="auto"/>
            <w:vAlign w:val="center"/>
            <w:hideMark/>
          </w:tcPr>
          <w:p w14:paraId="5CD5655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Mark Devenish</w:t>
            </w:r>
          </w:p>
        </w:tc>
        <w:tc>
          <w:tcPr>
            <w:tcW w:w="686" w:type="dxa"/>
            <w:tcBorders>
              <w:top w:val="nil"/>
              <w:left w:val="single" w:sz="4" w:space="0" w:color="auto"/>
              <w:bottom w:val="single" w:sz="4" w:space="0" w:color="auto"/>
              <w:right w:val="single" w:sz="4" w:space="0" w:color="auto"/>
            </w:tcBorders>
            <w:shd w:val="clear" w:color="auto" w:fill="auto"/>
            <w:vAlign w:val="center"/>
          </w:tcPr>
          <w:p w14:paraId="019E765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372F452B"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043BC0BA"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3F4D0A3"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46</w:t>
            </w:r>
          </w:p>
        </w:tc>
        <w:tc>
          <w:tcPr>
            <w:tcW w:w="3962" w:type="dxa"/>
            <w:tcBorders>
              <w:top w:val="nil"/>
              <w:left w:val="nil"/>
              <w:bottom w:val="single" w:sz="4" w:space="0" w:color="auto"/>
              <w:right w:val="single" w:sz="4" w:space="0" w:color="auto"/>
            </w:tcBorders>
            <w:shd w:val="clear" w:color="auto" w:fill="auto"/>
            <w:vAlign w:val="center"/>
            <w:hideMark/>
          </w:tcPr>
          <w:p w14:paraId="61F4A380"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Bureau of Statistics (ABS)</w:t>
            </w:r>
          </w:p>
        </w:tc>
        <w:tc>
          <w:tcPr>
            <w:tcW w:w="2610" w:type="dxa"/>
            <w:tcBorders>
              <w:top w:val="nil"/>
              <w:left w:val="nil"/>
              <w:bottom w:val="single" w:sz="4" w:space="0" w:color="auto"/>
              <w:right w:val="single" w:sz="4" w:space="0" w:color="auto"/>
            </w:tcBorders>
            <w:shd w:val="clear" w:color="auto" w:fill="auto"/>
            <w:vAlign w:val="center"/>
            <w:hideMark/>
          </w:tcPr>
          <w:p w14:paraId="01315EBD" w14:textId="77777777" w:rsidR="00635E8B" w:rsidRPr="00635E8B" w:rsidRDefault="00635E8B" w:rsidP="00BE60F3">
            <w:pPr>
              <w:spacing w:after="0" w:line="240" w:lineRule="auto"/>
              <w:rPr>
                <w:rFonts w:eastAsia="Times New Roman" w:cs="Arial"/>
                <w:sz w:val="18"/>
                <w:szCs w:val="18"/>
                <w:lang w:eastAsia="id-ID"/>
              </w:rPr>
            </w:pPr>
            <w:r w:rsidRPr="00635E8B">
              <w:rPr>
                <w:rFonts w:eastAsia="Times New Roman" w:cs="Arial"/>
                <w:sz w:val="18"/>
                <w:szCs w:val="18"/>
                <w:lang w:eastAsia="id-ID"/>
              </w:rPr>
              <w:t>Annette Bastaja</w:t>
            </w:r>
          </w:p>
        </w:tc>
        <w:tc>
          <w:tcPr>
            <w:tcW w:w="686" w:type="dxa"/>
            <w:tcBorders>
              <w:top w:val="nil"/>
              <w:left w:val="single" w:sz="4" w:space="0" w:color="auto"/>
              <w:bottom w:val="single" w:sz="4" w:space="0" w:color="auto"/>
              <w:right w:val="single" w:sz="4" w:space="0" w:color="auto"/>
            </w:tcBorders>
            <w:shd w:val="clear" w:color="auto" w:fill="auto"/>
            <w:vAlign w:val="center"/>
          </w:tcPr>
          <w:p w14:paraId="5E0C2817"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136AD360"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59E96CFC"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35D518D"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47</w:t>
            </w:r>
          </w:p>
        </w:tc>
        <w:tc>
          <w:tcPr>
            <w:tcW w:w="3962" w:type="dxa"/>
            <w:tcBorders>
              <w:top w:val="nil"/>
              <w:left w:val="nil"/>
              <w:bottom w:val="single" w:sz="4" w:space="0" w:color="auto"/>
              <w:right w:val="single" w:sz="4" w:space="0" w:color="auto"/>
            </w:tcBorders>
            <w:shd w:val="clear" w:color="auto" w:fill="auto"/>
            <w:vAlign w:val="center"/>
            <w:hideMark/>
          </w:tcPr>
          <w:p w14:paraId="2E0E479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Bureau of Statitics (ABS)</w:t>
            </w:r>
          </w:p>
        </w:tc>
        <w:tc>
          <w:tcPr>
            <w:tcW w:w="2610" w:type="dxa"/>
            <w:tcBorders>
              <w:top w:val="nil"/>
              <w:left w:val="nil"/>
              <w:bottom w:val="single" w:sz="4" w:space="0" w:color="auto"/>
              <w:right w:val="single" w:sz="4" w:space="0" w:color="auto"/>
            </w:tcBorders>
            <w:shd w:val="clear" w:color="auto" w:fill="auto"/>
            <w:vAlign w:val="center"/>
            <w:hideMark/>
          </w:tcPr>
          <w:p w14:paraId="74DE577B" w14:textId="77777777" w:rsidR="00635E8B" w:rsidRPr="00635E8B" w:rsidRDefault="00635E8B" w:rsidP="00BE60F3">
            <w:pPr>
              <w:spacing w:after="0" w:line="240" w:lineRule="auto"/>
              <w:rPr>
                <w:rFonts w:eastAsia="Times New Roman" w:cs="Arial"/>
                <w:sz w:val="18"/>
                <w:szCs w:val="18"/>
                <w:lang w:eastAsia="id-ID"/>
              </w:rPr>
            </w:pPr>
            <w:r w:rsidRPr="00635E8B">
              <w:rPr>
                <w:rFonts w:eastAsia="Times New Roman" w:cs="Arial"/>
                <w:sz w:val="18"/>
                <w:szCs w:val="18"/>
                <w:lang w:eastAsia="id-ID"/>
              </w:rPr>
              <w:t>Darian Collins</w:t>
            </w:r>
          </w:p>
        </w:tc>
        <w:tc>
          <w:tcPr>
            <w:tcW w:w="686" w:type="dxa"/>
            <w:tcBorders>
              <w:top w:val="nil"/>
              <w:left w:val="single" w:sz="4" w:space="0" w:color="auto"/>
              <w:bottom w:val="single" w:sz="4" w:space="0" w:color="auto"/>
              <w:right w:val="single" w:sz="4" w:space="0" w:color="auto"/>
            </w:tcBorders>
            <w:shd w:val="clear" w:color="auto" w:fill="auto"/>
            <w:vAlign w:val="center"/>
          </w:tcPr>
          <w:p w14:paraId="10CEF6C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6EDE1C1D"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73D13C41"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B06E17A"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48</w:t>
            </w:r>
          </w:p>
        </w:tc>
        <w:tc>
          <w:tcPr>
            <w:tcW w:w="3962" w:type="dxa"/>
            <w:tcBorders>
              <w:top w:val="nil"/>
              <w:left w:val="nil"/>
              <w:bottom w:val="single" w:sz="4" w:space="0" w:color="auto"/>
              <w:right w:val="single" w:sz="4" w:space="0" w:color="auto"/>
            </w:tcBorders>
            <w:shd w:val="clear" w:color="auto" w:fill="auto"/>
            <w:vAlign w:val="center"/>
            <w:hideMark/>
          </w:tcPr>
          <w:p w14:paraId="0204EEA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Bureau of Statitics (ABS)</w:t>
            </w:r>
          </w:p>
        </w:tc>
        <w:tc>
          <w:tcPr>
            <w:tcW w:w="2610" w:type="dxa"/>
            <w:tcBorders>
              <w:top w:val="nil"/>
              <w:left w:val="nil"/>
              <w:bottom w:val="single" w:sz="4" w:space="0" w:color="auto"/>
              <w:right w:val="single" w:sz="4" w:space="0" w:color="auto"/>
            </w:tcBorders>
            <w:shd w:val="clear" w:color="auto" w:fill="auto"/>
            <w:vAlign w:val="center"/>
            <w:hideMark/>
          </w:tcPr>
          <w:p w14:paraId="1244FEF3" w14:textId="77777777" w:rsidR="00635E8B" w:rsidRPr="00635E8B" w:rsidRDefault="00635E8B" w:rsidP="00BE60F3">
            <w:pPr>
              <w:spacing w:after="0" w:line="240" w:lineRule="auto"/>
              <w:rPr>
                <w:rFonts w:eastAsia="Times New Roman" w:cs="Arial"/>
                <w:sz w:val="18"/>
                <w:szCs w:val="18"/>
                <w:lang w:eastAsia="id-ID"/>
              </w:rPr>
            </w:pPr>
            <w:r w:rsidRPr="00635E8B">
              <w:rPr>
                <w:rFonts w:eastAsia="Times New Roman" w:cs="Arial"/>
                <w:sz w:val="18"/>
                <w:szCs w:val="18"/>
                <w:lang w:eastAsia="id-ID"/>
              </w:rPr>
              <w:t>Emma Nugent</w:t>
            </w:r>
          </w:p>
        </w:tc>
        <w:tc>
          <w:tcPr>
            <w:tcW w:w="686" w:type="dxa"/>
            <w:tcBorders>
              <w:top w:val="nil"/>
              <w:left w:val="single" w:sz="4" w:space="0" w:color="auto"/>
              <w:bottom w:val="single" w:sz="4" w:space="0" w:color="auto"/>
              <w:right w:val="single" w:sz="4" w:space="0" w:color="auto"/>
            </w:tcBorders>
            <w:shd w:val="clear" w:color="auto" w:fill="auto"/>
            <w:vAlign w:val="center"/>
          </w:tcPr>
          <w:p w14:paraId="7BF5682C"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10AA642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07A630CA"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D016EC4"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49</w:t>
            </w:r>
          </w:p>
        </w:tc>
        <w:tc>
          <w:tcPr>
            <w:tcW w:w="3962" w:type="dxa"/>
            <w:tcBorders>
              <w:top w:val="nil"/>
              <w:left w:val="nil"/>
              <w:bottom w:val="single" w:sz="4" w:space="0" w:color="auto"/>
              <w:right w:val="single" w:sz="4" w:space="0" w:color="auto"/>
            </w:tcBorders>
            <w:shd w:val="clear" w:color="auto" w:fill="auto"/>
            <w:vAlign w:val="center"/>
            <w:hideMark/>
          </w:tcPr>
          <w:p w14:paraId="7B03376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Department of Treasury</w:t>
            </w:r>
          </w:p>
        </w:tc>
        <w:tc>
          <w:tcPr>
            <w:tcW w:w="2610" w:type="dxa"/>
            <w:tcBorders>
              <w:top w:val="nil"/>
              <w:left w:val="nil"/>
              <w:bottom w:val="single" w:sz="4" w:space="0" w:color="auto"/>
              <w:right w:val="single" w:sz="4" w:space="0" w:color="auto"/>
            </w:tcBorders>
            <w:shd w:val="clear" w:color="auto" w:fill="auto"/>
            <w:vAlign w:val="center"/>
            <w:hideMark/>
          </w:tcPr>
          <w:p w14:paraId="45727C2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Greg Scott</w:t>
            </w:r>
          </w:p>
        </w:tc>
        <w:tc>
          <w:tcPr>
            <w:tcW w:w="686" w:type="dxa"/>
            <w:tcBorders>
              <w:top w:val="nil"/>
              <w:left w:val="single" w:sz="4" w:space="0" w:color="auto"/>
              <w:bottom w:val="single" w:sz="4" w:space="0" w:color="auto"/>
              <w:right w:val="single" w:sz="4" w:space="0" w:color="auto"/>
            </w:tcBorders>
            <w:shd w:val="clear" w:color="auto" w:fill="auto"/>
            <w:vAlign w:val="center"/>
          </w:tcPr>
          <w:p w14:paraId="5412EF6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75779543"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41B8068A"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DAA7C32"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50</w:t>
            </w:r>
          </w:p>
        </w:tc>
        <w:tc>
          <w:tcPr>
            <w:tcW w:w="3962" w:type="dxa"/>
            <w:tcBorders>
              <w:top w:val="nil"/>
              <w:left w:val="nil"/>
              <w:bottom w:val="single" w:sz="4" w:space="0" w:color="auto"/>
              <w:right w:val="single" w:sz="4" w:space="0" w:color="auto"/>
            </w:tcBorders>
            <w:shd w:val="clear" w:color="auto" w:fill="auto"/>
            <w:vAlign w:val="center"/>
            <w:hideMark/>
          </w:tcPr>
          <w:p w14:paraId="606B303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Department of Treasury</w:t>
            </w:r>
          </w:p>
        </w:tc>
        <w:tc>
          <w:tcPr>
            <w:tcW w:w="2610" w:type="dxa"/>
            <w:tcBorders>
              <w:top w:val="nil"/>
              <w:left w:val="nil"/>
              <w:bottom w:val="single" w:sz="4" w:space="0" w:color="auto"/>
              <w:right w:val="single" w:sz="4" w:space="0" w:color="auto"/>
            </w:tcBorders>
            <w:shd w:val="clear" w:color="auto" w:fill="auto"/>
            <w:vAlign w:val="center"/>
            <w:hideMark/>
          </w:tcPr>
          <w:p w14:paraId="0B26056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Peter Depta</w:t>
            </w:r>
          </w:p>
        </w:tc>
        <w:tc>
          <w:tcPr>
            <w:tcW w:w="686" w:type="dxa"/>
            <w:tcBorders>
              <w:top w:val="nil"/>
              <w:left w:val="single" w:sz="4" w:space="0" w:color="auto"/>
              <w:bottom w:val="single" w:sz="4" w:space="0" w:color="auto"/>
              <w:right w:val="single" w:sz="4" w:space="0" w:color="auto"/>
            </w:tcBorders>
            <w:shd w:val="clear" w:color="auto" w:fill="auto"/>
            <w:vAlign w:val="center"/>
          </w:tcPr>
          <w:p w14:paraId="4CA9FC3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303D7B82"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209B0301"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BDFAD94"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51</w:t>
            </w:r>
          </w:p>
        </w:tc>
        <w:tc>
          <w:tcPr>
            <w:tcW w:w="3962" w:type="dxa"/>
            <w:tcBorders>
              <w:top w:val="nil"/>
              <w:left w:val="nil"/>
              <w:bottom w:val="single" w:sz="4" w:space="0" w:color="auto"/>
              <w:right w:val="single" w:sz="4" w:space="0" w:color="auto"/>
            </w:tcBorders>
            <w:shd w:val="clear" w:color="auto" w:fill="auto"/>
            <w:vAlign w:val="center"/>
            <w:hideMark/>
          </w:tcPr>
          <w:p w14:paraId="5F12F19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Department of Treasury</w:t>
            </w:r>
          </w:p>
        </w:tc>
        <w:tc>
          <w:tcPr>
            <w:tcW w:w="2610" w:type="dxa"/>
            <w:tcBorders>
              <w:top w:val="nil"/>
              <w:left w:val="nil"/>
              <w:bottom w:val="single" w:sz="4" w:space="0" w:color="auto"/>
              <w:right w:val="single" w:sz="4" w:space="0" w:color="auto"/>
            </w:tcBorders>
            <w:shd w:val="clear" w:color="auto" w:fill="auto"/>
            <w:vAlign w:val="center"/>
            <w:hideMark/>
          </w:tcPr>
          <w:p w14:paraId="74CBEE9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Kelly</w:t>
            </w:r>
          </w:p>
        </w:tc>
        <w:tc>
          <w:tcPr>
            <w:tcW w:w="686" w:type="dxa"/>
            <w:tcBorders>
              <w:top w:val="nil"/>
              <w:left w:val="single" w:sz="4" w:space="0" w:color="auto"/>
              <w:bottom w:val="single" w:sz="4" w:space="0" w:color="auto"/>
              <w:right w:val="single" w:sz="4" w:space="0" w:color="auto"/>
            </w:tcBorders>
            <w:shd w:val="clear" w:color="auto" w:fill="auto"/>
            <w:vAlign w:val="center"/>
          </w:tcPr>
          <w:p w14:paraId="4E8E3AC1"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4170D4A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322477CE"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5CF0C43"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52</w:t>
            </w:r>
          </w:p>
        </w:tc>
        <w:tc>
          <w:tcPr>
            <w:tcW w:w="3962" w:type="dxa"/>
            <w:tcBorders>
              <w:top w:val="nil"/>
              <w:left w:val="nil"/>
              <w:bottom w:val="single" w:sz="4" w:space="0" w:color="auto"/>
              <w:right w:val="single" w:sz="4" w:space="0" w:color="auto"/>
            </w:tcBorders>
            <w:shd w:val="clear" w:color="auto" w:fill="auto"/>
            <w:vAlign w:val="center"/>
            <w:hideMark/>
          </w:tcPr>
          <w:p w14:paraId="23164A7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Department of Treasury</w:t>
            </w:r>
          </w:p>
        </w:tc>
        <w:tc>
          <w:tcPr>
            <w:tcW w:w="2610" w:type="dxa"/>
            <w:tcBorders>
              <w:top w:val="nil"/>
              <w:left w:val="nil"/>
              <w:bottom w:val="single" w:sz="4" w:space="0" w:color="auto"/>
              <w:right w:val="single" w:sz="4" w:space="0" w:color="auto"/>
            </w:tcBorders>
            <w:shd w:val="clear" w:color="auto" w:fill="auto"/>
            <w:vAlign w:val="center"/>
            <w:hideMark/>
          </w:tcPr>
          <w:p w14:paraId="2932C4A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Bede Moore</w:t>
            </w:r>
          </w:p>
        </w:tc>
        <w:tc>
          <w:tcPr>
            <w:tcW w:w="686" w:type="dxa"/>
            <w:tcBorders>
              <w:top w:val="nil"/>
              <w:left w:val="single" w:sz="4" w:space="0" w:color="auto"/>
              <w:bottom w:val="single" w:sz="4" w:space="0" w:color="auto"/>
              <w:right w:val="single" w:sz="4" w:space="0" w:color="auto"/>
            </w:tcBorders>
            <w:shd w:val="clear" w:color="auto" w:fill="auto"/>
            <w:vAlign w:val="center"/>
          </w:tcPr>
          <w:p w14:paraId="1BAF920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39815847"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5779E98B"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C14F5C6"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53</w:t>
            </w:r>
          </w:p>
        </w:tc>
        <w:tc>
          <w:tcPr>
            <w:tcW w:w="3962" w:type="dxa"/>
            <w:tcBorders>
              <w:top w:val="nil"/>
              <w:left w:val="nil"/>
              <w:bottom w:val="single" w:sz="4" w:space="0" w:color="auto"/>
              <w:right w:val="single" w:sz="4" w:space="0" w:color="auto"/>
            </w:tcBorders>
            <w:shd w:val="clear" w:color="auto" w:fill="auto"/>
            <w:vAlign w:val="center"/>
            <w:hideMark/>
          </w:tcPr>
          <w:p w14:paraId="0B2581E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Department of Treasury</w:t>
            </w:r>
          </w:p>
        </w:tc>
        <w:tc>
          <w:tcPr>
            <w:tcW w:w="2610" w:type="dxa"/>
            <w:tcBorders>
              <w:top w:val="nil"/>
              <w:left w:val="nil"/>
              <w:bottom w:val="single" w:sz="4" w:space="0" w:color="auto"/>
              <w:right w:val="single" w:sz="4" w:space="0" w:color="auto"/>
            </w:tcBorders>
            <w:shd w:val="clear" w:color="auto" w:fill="auto"/>
            <w:vAlign w:val="center"/>
            <w:hideMark/>
          </w:tcPr>
          <w:p w14:paraId="38F52DA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Brian Thomas</w:t>
            </w:r>
          </w:p>
        </w:tc>
        <w:tc>
          <w:tcPr>
            <w:tcW w:w="686" w:type="dxa"/>
            <w:tcBorders>
              <w:top w:val="nil"/>
              <w:left w:val="single" w:sz="4" w:space="0" w:color="auto"/>
              <w:bottom w:val="single" w:sz="4" w:space="0" w:color="auto"/>
              <w:right w:val="single" w:sz="4" w:space="0" w:color="auto"/>
            </w:tcBorders>
            <w:shd w:val="clear" w:color="auto" w:fill="auto"/>
            <w:vAlign w:val="center"/>
          </w:tcPr>
          <w:p w14:paraId="30E4EBA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59316844"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73EE1FB3"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B016876"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54</w:t>
            </w:r>
          </w:p>
        </w:tc>
        <w:tc>
          <w:tcPr>
            <w:tcW w:w="3962" w:type="dxa"/>
            <w:tcBorders>
              <w:top w:val="nil"/>
              <w:left w:val="nil"/>
              <w:bottom w:val="single" w:sz="4" w:space="0" w:color="auto"/>
              <w:right w:val="single" w:sz="4" w:space="0" w:color="auto"/>
            </w:tcBorders>
            <w:shd w:val="clear" w:color="auto" w:fill="auto"/>
            <w:vAlign w:val="center"/>
            <w:hideMark/>
          </w:tcPr>
          <w:p w14:paraId="0011777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Department of Treasury</w:t>
            </w:r>
          </w:p>
        </w:tc>
        <w:tc>
          <w:tcPr>
            <w:tcW w:w="2610" w:type="dxa"/>
            <w:tcBorders>
              <w:top w:val="nil"/>
              <w:left w:val="nil"/>
              <w:bottom w:val="single" w:sz="4" w:space="0" w:color="auto"/>
              <w:right w:val="single" w:sz="4" w:space="0" w:color="auto"/>
            </w:tcBorders>
            <w:shd w:val="clear" w:color="auto" w:fill="auto"/>
            <w:vAlign w:val="center"/>
            <w:hideMark/>
          </w:tcPr>
          <w:p w14:paraId="39201E91" w14:textId="77777777" w:rsidR="00635E8B" w:rsidRPr="00635E8B" w:rsidRDefault="00635E8B" w:rsidP="00BE60F3">
            <w:pPr>
              <w:spacing w:after="0" w:line="240" w:lineRule="auto"/>
              <w:rPr>
                <w:rFonts w:eastAsia="Times New Roman" w:cs="Arial"/>
                <w:sz w:val="18"/>
                <w:szCs w:val="18"/>
                <w:lang w:eastAsia="id-ID"/>
              </w:rPr>
            </w:pPr>
            <w:r w:rsidRPr="00635E8B">
              <w:rPr>
                <w:rFonts w:eastAsia="Times New Roman" w:cs="Arial"/>
                <w:sz w:val="18"/>
                <w:szCs w:val="18"/>
                <w:lang w:eastAsia="id-ID"/>
              </w:rPr>
              <w:t>Simon Campbell</w:t>
            </w:r>
          </w:p>
        </w:tc>
        <w:tc>
          <w:tcPr>
            <w:tcW w:w="686" w:type="dxa"/>
            <w:tcBorders>
              <w:top w:val="nil"/>
              <w:left w:val="single" w:sz="4" w:space="0" w:color="auto"/>
              <w:bottom w:val="single" w:sz="4" w:space="0" w:color="auto"/>
              <w:right w:val="single" w:sz="4" w:space="0" w:color="auto"/>
            </w:tcBorders>
            <w:shd w:val="clear" w:color="auto" w:fill="auto"/>
            <w:vAlign w:val="center"/>
          </w:tcPr>
          <w:p w14:paraId="2041657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07DE3D9B"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3049BBA0"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142FF4E"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55</w:t>
            </w:r>
          </w:p>
        </w:tc>
        <w:tc>
          <w:tcPr>
            <w:tcW w:w="3962" w:type="dxa"/>
            <w:tcBorders>
              <w:top w:val="nil"/>
              <w:left w:val="nil"/>
              <w:bottom w:val="single" w:sz="4" w:space="0" w:color="auto"/>
              <w:right w:val="single" w:sz="4" w:space="0" w:color="auto"/>
            </w:tcBorders>
            <w:shd w:val="clear" w:color="auto" w:fill="auto"/>
            <w:vAlign w:val="center"/>
            <w:hideMark/>
          </w:tcPr>
          <w:p w14:paraId="52490EC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Department of Treasury</w:t>
            </w:r>
          </w:p>
        </w:tc>
        <w:tc>
          <w:tcPr>
            <w:tcW w:w="2610" w:type="dxa"/>
            <w:tcBorders>
              <w:top w:val="nil"/>
              <w:left w:val="nil"/>
              <w:bottom w:val="single" w:sz="4" w:space="0" w:color="auto"/>
              <w:right w:val="single" w:sz="4" w:space="0" w:color="auto"/>
            </w:tcBorders>
            <w:shd w:val="clear" w:color="auto" w:fill="auto"/>
            <w:vAlign w:val="center"/>
            <w:hideMark/>
          </w:tcPr>
          <w:p w14:paraId="57C7DD86" w14:textId="77777777" w:rsidR="00635E8B" w:rsidRPr="00635E8B" w:rsidRDefault="00635E8B" w:rsidP="00BE60F3">
            <w:pPr>
              <w:spacing w:after="0" w:line="240" w:lineRule="auto"/>
              <w:rPr>
                <w:rFonts w:eastAsia="Times New Roman" w:cs="Arial"/>
                <w:sz w:val="18"/>
                <w:szCs w:val="18"/>
                <w:lang w:eastAsia="id-ID"/>
              </w:rPr>
            </w:pPr>
            <w:r w:rsidRPr="00635E8B">
              <w:rPr>
                <w:rFonts w:eastAsia="Times New Roman" w:cs="Arial"/>
                <w:sz w:val="18"/>
                <w:szCs w:val="18"/>
                <w:lang w:eastAsia="id-ID"/>
              </w:rPr>
              <w:t>David Cooper</w:t>
            </w:r>
          </w:p>
        </w:tc>
        <w:tc>
          <w:tcPr>
            <w:tcW w:w="686" w:type="dxa"/>
            <w:tcBorders>
              <w:top w:val="nil"/>
              <w:left w:val="single" w:sz="4" w:space="0" w:color="auto"/>
              <w:bottom w:val="single" w:sz="4" w:space="0" w:color="auto"/>
              <w:right w:val="single" w:sz="4" w:space="0" w:color="auto"/>
            </w:tcBorders>
            <w:shd w:val="clear" w:color="auto" w:fill="auto"/>
            <w:vAlign w:val="center"/>
          </w:tcPr>
          <w:p w14:paraId="298A4E9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39F61328"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64D440BE"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7AFB7A7"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56</w:t>
            </w:r>
          </w:p>
        </w:tc>
        <w:tc>
          <w:tcPr>
            <w:tcW w:w="3962" w:type="dxa"/>
            <w:tcBorders>
              <w:top w:val="nil"/>
              <w:left w:val="nil"/>
              <w:bottom w:val="single" w:sz="4" w:space="0" w:color="auto"/>
              <w:right w:val="single" w:sz="4" w:space="0" w:color="auto"/>
            </w:tcBorders>
            <w:shd w:val="clear" w:color="auto" w:fill="auto"/>
            <w:vAlign w:val="center"/>
            <w:hideMark/>
          </w:tcPr>
          <w:p w14:paraId="4B2542E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Department of Finance</w:t>
            </w:r>
          </w:p>
        </w:tc>
        <w:tc>
          <w:tcPr>
            <w:tcW w:w="2610" w:type="dxa"/>
            <w:tcBorders>
              <w:top w:val="nil"/>
              <w:left w:val="nil"/>
              <w:bottom w:val="single" w:sz="4" w:space="0" w:color="auto"/>
              <w:right w:val="single" w:sz="4" w:space="0" w:color="auto"/>
            </w:tcBorders>
            <w:shd w:val="clear" w:color="auto" w:fill="auto"/>
            <w:vAlign w:val="center"/>
            <w:hideMark/>
          </w:tcPr>
          <w:p w14:paraId="6F85865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Adrian Beekmeijer</w:t>
            </w:r>
          </w:p>
        </w:tc>
        <w:tc>
          <w:tcPr>
            <w:tcW w:w="686" w:type="dxa"/>
            <w:tcBorders>
              <w:top w:val="nil"/>
              <w:left w:val="single" w:sz="4" w:space="0" w:color="auto"/>
              <w:bottom w:val="single" w:sz="4" w:space="0" w:color="auto"/>
              <w:right w:val="single" w:sz="4" w:space="0" w:color="auto"/>
            </w:tcBorders>
            <w:shd w:val="clear" w:color="auto" w:fill="auto"/>
            <w:vAlign w:val="center"/>
          </w:tcPr>
          <w:p w14:paraId="707EB3C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47C4D2B5"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745F7C16"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DC4B4CE"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57</w:t>
            </w:r>
          </w:p>
        </w:tc>
        <w:tc>
          <w:tcPr>
            <w:tcW w:w="3962" w:type="dxa"/>
            <w:tcBorders>
              <w:top w:val="nil"/>
              <w:left w:val="nil"/>
              <w:bottom w:val="single" w:sz="4" w:space="0" w:color="auto"/>
              <w:right w:val="single" w:sz="4" w:space="0" w:color="auto"/>
            </w:tcBorders>
            <w:shd w:val="clear" w:color="auto" w:fill="auto"/>
            <w:vAlign w:val="center"/>
            <w:hideMark/>
          </w:tcPr>
          <w:p w14:paraId="3E591F5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Department of Finance</w:t>
            </w:r>
          </w:p>
        </w:tc>
        <w:tc>
          <w:tcPr>
            <w:tcW w:w="2610" w:type="dxa"/>
            <w:tcBorders>
              <w:top w:val="nil"/>
              <w:left w:val="nil"/>
              <w:bottom w:val="single" w:sz="4" w:space="0" w:color="auto"/>
              <w:right w:val="single" w:sz="4" w:space="0" w:color="auto"/>
            </w:tcBorders>
            <w:shd w:val="clear" w:color="auto" w:fill="auto"/>
            <w:vAlign w:val="center"/>
            <w:hideMark/>
          </w:tcPr>
          <w:p w14:paraId="7C1565D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Ian Nicholson</w:t>
            </w:r>
          </w:p>
        </w:tc>
        <w:tc>
          <w:tcPr>
            <w:tcW w:w="686" w:type="dxa"/>
            <w:tcBorders>
              <w:top w:val="nil"/>
              <w:left w:val="single" w:sz="4" w:space="0" w:color="auto"/>
              <w:bottom w:val="single" w:sz="4" w:space="0" w:color="auto"/>
              <w:right w:val="single" w:sz="4" w:space="0" w:color="auto"/>
            </w:tcBorders>
            <w:shd w:val="clear" w:color="auto" w:fill="auto"/>
            <w:vAlign w:val="center"/>
          </w:tcPr>
          <w:p w14:paraId="5BF1ADC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61A43A5A"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0C094D4F"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E285FB1"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58</w:t>
            </w:r>
          </w:p>
        </w:tc>
        <w:tc>
          <w:tcPr>
            <w:tcW w:w="3962" w:type="dxa"/>
            <w:tcBorders>
              <w:top w:val="nil"/>
              <w:left w:val="nil"/>
              <w:bottom w:val="single" w:sz="4" w:space="0" w:color="auto"/>
              <w:right w:val="single" w:sz="4" w:space="0" w:color="auto"/>
            </w:tcBorders>
            <w:shd w:val="clear" w:color="auto" w:fill="auto"/>
            <w:vAlign w:val="center"/>
            <w:hideMark/>
          </w:tcPr>
          <w:p w14:paraId="3DEBBAF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National Audit Office (ANAO)</w:t>
            </w:r>
          </w:p>
        </w:tc>
        <w:tc>
          <w:tcPr>
            <w:tcW w:w="2610" w:type="dxa"/>
            <w:tcBorders>
              <w:top w:val="nil"/>
              <w:left w:val="nil"/>
              <w:bottom w:val="single" w:sz="4" w:space="0" w:color="auto"/>
              <w:right w:val="single" w:sz="4" w:space="0" w:color="auto"/>
            </w:tcBorders>
            <w:shd w:val="clear" w:color="auto" w:fill="auto"/>
            <w:vAlign w:val="center"/>
            <w:hideMark/>
          </w:tcPr>
          <w:p w14:paraId="1770F31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Rebecca van Dartel</w:t>
            </w:r>
          </w:p>
        </w:tc>
        <w:tc>
          <w:tcPr>
            <w:tcW w:w="686" w:type="dxa"/>
            <w:tcBorders>
              <w:top w:val="nil"/>
              <w:left w:val="single" w:sz="4" w:space="0" w:color="auto"/>
              <w:bottom w:val="single" w:sz="4" w:space="0" w:color="auto"/>
              <w:right w:val="single" w:sz="4" w:space="0" w:color="auto"/>
            </w:tcBorders>
            <w:shd w:val="clear" w:color="auto" w:fill="auto"/>
            <w:vAlign w:val="center"/>
          </w:tcPr>
          <w:p w14:paraId="6329C2BE"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5420DE9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30DC4550"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5BE7977B"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59</w:t>
            </w:r>
          </w:p>
        </w:tc>
        <w:tc>
          <w:tcPr>
            <w:tcW w:w="3962" w:type="dxa"/>
            <w:tcBorders>
              <w:top w:val="nil"/>
              <w:left w:val="nil"/>
              <w:bottom w:val="single" w:sz="4" w:space="0" w:color="auto"/>
              <w:right w:val="single" w:sz="4" w:space="0" w:color="auto"/>
            </w:tcBorders>
            <w:shd w:val="clear" w:color="auto" w:fill="auto"/>
            <w:vAlign w:val="center"/>
            <w:hideMark/>
          </w:tcPr>
          <w:p w14:paraId="5EAB23F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National Audit Office (ANAO)</w:t>
            </w:r>
          </w:p>
        </w:tc>
        <w:tc>
          <w:tcPr>
            <w:tcW w:w="2610" w:type="dxa"/>
            <w:tcBorders>
              <w:top w:val="nil"/>
              <w:left w:val="nil"/>
              <w:bottom w:val="single" w:sz="4" w:space="0" w:color="auto"/>
              <w:right w:val="single" w:sz="4" w:space="0" w:color="auto"/>
            </w:tcBorders>
            <w:shd w:val="clear" w:color="auto" w:fill="auto"/>
            <w:vAlign w:val="center"/>
            <w:hideMark/>
          </w:tcPr>
          <w:p w14:paraId="668FDC9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Peta Martyn</w:t>
            </w:r>
          </w:p>
        </w:tc>
        <w:tc>
          <w:tcPr>
            <w:tcW w:w="686" w:type="dxa"/>
            <w:tcBorders>
              <w:top w:val="nil"/>
              <w:left w:val="single" w:sz="4" w:space="0" w:color="auto"/>
              <w:bottom w:val="single" w:sz="4" w:space="0" w:color="auto"/>
              <w:right w:val="single" w:sz="4" w:space="0" w:color="auto"/>
            </w:tcBorders>
            <w:shd w:val="clear" w:color="auto" w:fill="auto"/>
            <w:vAlign w:val="center"/>
          </w:tcPr>
          <w:p w14:paraId="380DDA6E"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06817E70"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705124D5"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D5BD180"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60</w:t>
            </w:r>
          </w:p>
        </w:tc>
        <w:tc>
          <w:tcPr>
            <w:tcW w:w="3962" w:type="dxa"/>
            <w:tcBorders>
              <w:top w:val="nil"/>
              <w:left w:val="nil"/>
              <w:bottom w:val="single" w:sz="4" w:space="0" w:color="auto"/>
              <w:right w:val="single" w:sz="4" w:space="0" w:color="auto"/>
            </w:tcBorders>
            <w:shd w:val="clear" w:color="auto" w:fill="auto"/>
            <w:vAlign w:val="center"/>
            <w:hideMark/>
          </w:tcPr>
          <w:p w14:paraId="1680E14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National Audit Office (ANAO)</w:t>
            </w:r>
          </w:p>
        </w:tc>
        <w:tc>
          <w:tcPr>
            <w:tcW w:w="2610" w:type="dxa"/>
            <w:tcBorders>
              <w:top w:val="nil"/>
              <w:left w:val="nil"/>
              <w:bottom w:val="single" w:sz="4" w:space="0" w:color="auto"/>
              <w:right w:val="single" w:sz="4" w:space="0" w:color="auto"/>
            </w:tcBorders>
            <w:shd w:val="clear" w:color="auto" w:fill="auto"/>
            <w:vAlign w:val="center"/>
            <w:hideMark/>
          </w:tcPr>
          <w:p w14:paraId="694E7EE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Carin Conlon</w:t>
            </w:r>
          </w:p>
        </w:tc>
        <w:tc>
          <w:tcPr>
            <w:tcW w:w="686" w:type="dxa"/>
            <w:tcBorders>
              <w:top w:val="nil"/>
              <w:left w:val="single" w:sz="4" w:space="0" w:color="auto"/>
              <w:bottom w:val="single" w:sz="4" w:space="0" w:color="auto"/>
              <w:right w:val="single" w:sz="4" w:space="0" w:color="auto"/>
            </w:tcBorders>
            <w:shd w:val="clear" w:color="auto" w:fill="auto"/>
            <w:vAlign w:val="center"/>
          </w:tcPr>
          <w:p w14:paraId="03688E7D"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5D2F07F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63DE51D0"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3FEEF9E"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61</w:t>
            </w:r>
          </w:p>
        </w:tc>
        <w:tc>
          <w:tcPr>
            <w:tcW w:w="3962" w:type="dxa"/>
            <w:tcBorders>
              <w:top w:val="nil"/>
              <w:left w:val="nil"/>
              <w:bottom w:val="single" w:sz="4" w:space="0" w:color="auto"/>
              <w:right w:val="single" w:sz="4" w:space="0" w:color="auto"/>
            </w:tcBorders>
            <w:shd w:val="clear" w:color="auto" w:fill="auto"/>
            <w:vAlign w:val="center"/>
            <w:hideMark/>
          </w:tcPr>
          <w:p w14:paraId="163B8480"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National Audit Office (ANAO)</w:t>
            </w:r>
          </w:p>
        </w:tc>
        <w:tc>
          <w:tcPr>
            <w:tcW w:w="2610" w:type="dxa"/>
            <w:tcBorders>
              <w:top w:val="nil"/>
              <w:left w:val="nil"/>
              <w:bottom w:val="single" w:sz="4" w:space="0" w:color="auto"/>
              <w:right w:val="single" w:sz="4" w:space="0" w:color="auto"/>
            </w:tcBorders>
            <w:shd w:val="clear" w:color="auto" w:fill="auto"/>
            <w:vAlign w:val="center"/>
            <w:hideMark/>
          </w:tcPr>
          <w:p w14:paraId="0456DEF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Sarah Whitney</w:t>
            </w:r>
          </w:p>
        </w:tc>
        <w:tc>
          <w:tcPr>
            <w:tcW w:w="686" w:type="dxa"/>
            <w:tcBorders>
              <w:top w:val="nil"/>
              <w:left w:val="single" w:sz="4" w:space="0" w:color="auto"/>
              <w:bottom w:val="single" w:sz="4" w:space="0" w:color="auto"/>
              <w:right w:val="single" w:sz="4" w:space="0" w:color="auto"/>
            </w:tcBorders>
            <w:shd w:val="clear" w:color="auto" w:fill="auto"/>
            <w:vAlign w:val="center"/>
          </w:tcPr>
          <w:p w14:paraId="13B499FA"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1283C30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038EE503"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2F58A14"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62</w:t>
            </w:r>
          </w:p>
        </w:tc>
        <w:tc>
          <w:tcPr>
            <w:tcW w:w="3962" w:type="dxa"/>
            <w:tcBorders>
              <w:top w:val="nil"/>
              <w:left w:val="nil"/>
              <w:bottom w:val="single" w:sz="4" w:space="0" w:color="auto"/>
              <w:right w:val="single" w:sz="4" w:space="0" w:color="auto"/>
            </w:tcBorders>
            <w:shd w:val="clear" w:color="auto" w:fill="auto"/>
            <w:vAlign w:val="center"/>
            <w:hideMark/>
          </w:tcPr>
          <w:p w14:paraId="00BF023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National Audit Office (ANAO)</w:t>
            </w:r>
          </w:p>
        </w:tc>
        <w:tc>
          <w:tcPr>
            <w:tcW w:w="2610" w:type="dxa"/>
            <w:tcBorders>
              <w:top w:val="nil"/>
              <w:left w:val="nil"/>
              <w:bottom w:val="single" w:sz="4" w:space="0" w:color="auto"/>
              <w:right w:val="single" w:sz="4" w:space="0" w:color="auto"/>
            </w:tcBorders>
            <w:shd w:val="clear" w:color="auto" w:fill="auto"/>
            <w:vAlign w:val="center"/>
            <w:hideMark/>
          </w:tcPr>
          <w:p w14:paraId="3AC5203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Jordana</w:t>
            </w:r>
          </w:p>
        </w:tc>
        <w:tc>
          <w:tcPr>
            <w:tcW w:w="686" w:type="dxa"/>
            <w:tcBorders>
              <w:top w:val="nil"/>
              <w:left w:val="single" w:sz="4" w:space="0" w:color="auto"/>
              <w:bottom w:val="single" w:sz="4" w:space="0" w:color="auto"/>
              <w:right w:val="single" w:sz="4" w:space="0" w:color="auto"/>
            </w:tcBorders>
            <w:shd w:val="clear" w:color="auto" w:fill="auto"/>
            <w:vAlign w:val="center"/>
          </w:tcPr>
          <w:p w14:paraId="3770EFB0"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02A809D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233F001E"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BF45E64"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63</w:t>
            </w:r>
          </w:p>
        </w:tc>
        <w:tc>
          <w:tcPr>
            <w:tcW w:w="3962" w:type="dxa"/>
            <w:tcBorders>
              <w:top w:val="nil"/>
              <w:left w:val="nil"/>
              <w:bottom w:val="single" w:sz="4" w:space="0" w:color="auto"/>
              <w:right w:val="single" w:sz="4" w:space="0" w:color="auto"/>
            </w:tcBorders>
            <w:shd w:val="clear" w:color="auto" w:fill="auto"/>
            <w:vAlign w:val="center"/>
            <w:hideMark/>
          </w:tcPr>
          <w:p w14:paraId="08D5D29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National Audit Office (ANAO)</w:t>
            </w:r>
          </w:p>
        </w:tc>
        <w:tc>
          <w:tcPr>
            <w:tcW w:w="2610" w:type="dxa"/>
            <w:tcBorders>
              <w:top w:val="nil"/>
              <w:left w:val="nil"/>
              <w:bottom w:val="single" w:sz="4" w:space="0" w:color="auto"/>
              <w:right w:val="single" w:sz="4" w:space="0" w:color="auto"/>
            </w:tcBorders>
            <w:shd w:val="clear" w:color="auto" w:fill="auto"/>
            <w:vAlign w:val="center"/>
            <w:hideMark/>
          </w:tcPr>
          <w:p w14:paraId="0DFC1B1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Alana</w:t>
            </w:r>
          </w:p>
        </w:tc>
        <w:tc>
          <w:tcPr>
            <w:tcW w:w="686" w:type="dxa"/>
            <w:tcBorders>
              <w:top w:val="nil"/>
              <w:left w:val="single" w:sz="4" w:space="0" w:color="auto"/>
              <w:bottom w:val="single" w:sz="4" w:space="0" w:color="auto"/>
              <w:right w:val="single" w:sz="4" w:space="0" w:color="auto"/>
            </w:tcBorders>
            <w:shd w:val="clear" w:color="auto" w:fill="auto"/>
            <w:vAlign w:val="center"/>
          </w:tcPr>
          <w:p w14:paraId="1BA84711"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21BB231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2635C99A"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2F4424C"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64</w:t>
            </w:r>
          </w:p>
        </w:tc>
        <w:tc>
          <w:tcPr>
            <w:tcW w:w="3962" w:type="dxa"/>
            <w:tcBorders>
              <w:top w:val="nil"/>
              <w:left w:val="nil"/>
              <w:bottom w:val="single" w:sz="4" w:space="0" w:color="auto"/>
              <w:right w:val="single" w:sz="4" w:space="0" w:color="auto"/>
            </w:tcBorders>
            <w:shd w:val="clear" w:color="auto" w:fill="auto"/>
            <w:vAlign w:val="center"/>
            <w:hideMark/>
          </w:tcPr>
          <w:p w14:paraId="2FA0331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Prudential Regulation Authority (APRA)</w:t>
            </w:r>
          </w:p>
        </w:tc>
        <w:tc>
          <w:tcPr>
            <w:tcW w:w="2610" w:type="dxa"/>
            <w:tcBorders>
              <w:top w:val="nil"/>
              <w:left w:val="nil"/>
              <w:bottom w:val="single" w:sz="4" w:space="0" w:color="auto"/>
              <w:right w:val="single" w:sz="4" w:space="0" w:color="auto"/>
            </w:tcBorders>
            <w:shd w:val="clear" w:color="auto" w:fill="auto"/>
            <w:vAlign w:val="center"/>
            <w:hideMark/>
          </w:tcPr>
          <w:p w14:paraId="2FD3E00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Raman Sandhu</w:t>
            </w:r>
          </w:p>
        </w:tc>
        <w:tc>
          <w:tcPr>
            <w:tcW w:w="686" w:type="dxa"/>
            <w:tcBorders>
              <w:top w:val="nil"/>
              <w:left w:val="single" w:sz="4" w:space="0" w:color="auto"/>
              <w:bottom w:val="single" w:sz="4" w:space="0" w:color="auto"/>
              <w:right w:val="single" w:sz="4" w:space="0" w:color="auto"/>
            </w:tcBorders>
            <w:shd w:val="clear" w:color="auto" w:fill="auto"/>
            <w:vAlign w:val="center"/>
          </w:tcPr>
          <w:p w14:paraId="6E473A7F"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3D9C09E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6988FB79"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883E020"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65</w:t>
            </w:r>
          </w:p>
        </w:tc>
        <w:tc>
          <w:tcPr>
            <w:tcW w:w="3962" w:type="dxa"/>
            <w:tcBorders>
              <w:top w:val="nil"/>
              <w:left w:val="nil"/>
              <w:bottom w:val="single" w:sz="4" w:space="0" w:color="auto"/>
              <w:right w:val="single" w:sz="4" w:space="0" w:color="auto"/>
            </w:tcBorders>
            <w:shd w:val="clear" w:color="auto" w:fill="auto"/>
            <w:vAlign w:val="center"/>
            <w:hideMark/>
          </w:tcPr>
          <w:p w14:paraId="763A1AE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Prudential Regulation Authority (APRA)</w:t>
            </w:r>
          </w:p>
        </w:tc>
        <w:tc>
          <w:tcPr>
            <w:tcW w:w="2610" w:type="dxa"/>
            <w:tcBorders>
              <w:top w:val="nil"/>
              <w:left w:val="nil"/>
              <w:bottom w:val="single" w:sz="4" w:space="0" w:color="auto"/>
              <w:right w:val="single" w:sz="4" w:space="0" w:color="auto"/>
            </w:tcBorders>
            <w:shd w:val="clear" w:color="auto" w:fill="auto"/>
            <w:vAlign w:val="center"/>
            <w:hideMark/>
          </w:tcPr>
          <w:p w14:paraId="2E2692F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Scott Jarrott</w:t>
            </w:r>
          </w:p>
        </w:tc>
        <w:tc>
          <w:tcPr>
            <w:tcW w:w="686" w:type="dxa"/>
            <w:tcBorders>
              <w:top w:val="nil"/>
              <w:left w:val="single" w:sz="4" w:space="0" w:color="auto"/>
              <w:bottom w:val="single" w:sz="4" w:space="0" w:color="auto"/>
              <w:right w:val="single" w:sz="4" w:space="0" w:color="auto"/>
            </w:tcBorders>
            <w:shd w:val="clear" w:color="auto" w:fill="auto"/>
            <w:vAlign w:val="center"/>
          </w:tcPr>
          <w:p w14:paraId="18E1DEF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2C3432AE"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44DD9FAD"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7244EFC"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66</w:t>
            </w:r>
          </w:p>
        </w:tc>
        <w:tc>
          <w:tcPr>
            <w:tcW w:w="3962" w:type="dxa"/>
            <w:tcBorders>
              <w:top w:val="nil"/>
              <w:left w:val="nil"/>
              <w:bottom w:val="single" w:sz="4" w:space="0" w:color="auto"/>
              <w:right w:val="single" w:sz="4" w:space="0" w:color="auto"/>
            </w:tcBorders>
            <w:shd w:val="clear" w:color="auto" w:fill="auto"/>
            <w:vAlign w:val="center"/>
            <w:hideMark/>
          </w:tcPr>
          <w:p w14:paraId="56F7075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Reserve Bank of Australia (RBA)</w:t>
            </w:r>
          </w:p>
        </w:tc>
        <w:tc>
          <w:tcPr>
            <w:tcW w:w="2610" w:type="dxa"/>
            <w:tcBorders>
              <w:top w:val="nil"/>
              <w:left w:val="nil"/>
              <w:bottom w:val="single" w:sz="4" w:space="0" w:color="auto"/>
              <w:right w:val="single" w:sz="4" w:space="0" w:color="auto"/>
            </w:tcBorders>
            <w:shd w:val="clear" w:color="auto" w:fill="auto"/>
            <w:vAlign w:val="center"/>
            <w:hideMark/>
          </w:tcPr>
          <w:p w14:paraId="5DE08C3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Brett Winton</w:t>
            </w:r>
          </w:p>
        </w:tc>
        <w:tc>
          <w:tcPr>
            <w:tcW w:w="686" w:type="dxa"/>
            <w:tcBorders>
              <w:top w:val="nil"/>
              <w:left w:val="single" w:sz="4" w:space="0" w:color="auto"/>
              <w:bottom w:val="single" w:sz="4" w:space="0" w:color="auto"/>
              <w:right w:val="single" w:sz="4" w:space="0" w:color="auto"/>
            </w:tcBorders>
            <w:shd w:val="clear" w:color="auto" w:fill="auto"/>
            <w:vAlign w:val="center"/>
          </w:tcPr>
          <w:p w14:paraId="0A70C38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2309AA79"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74169313"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54380C6"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67</w:t>
            </w:r>
          </w:p>
        </w:tc>
        <w:tc>
          <w:tcPr>
            <w:tcW w:w="3962" w:type="dxa"/>
            <w:tcBorders>
              <w:top w:val="nil"/>
              <w:left w:val="nil"/>
              <w:bottom w:val="single" w:sz="4" w:space="0" w:color="auto"/>
              <w:right w:val="single" w:sz="4" w:space="0" w:color="auto"/>
            </w:tcBorders>
            <w:shd w:val="clear" w:color="auto" w:fill="auto"/>
            <w:vAlign w:val="center"/>
            <w:hideMark/>
          </w:tcPr>
          <w:p w14:paraId="09AFE60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Securities and Investments Commission (ASIC)</w:t>
            </w:r>
          </w:p>
        </w:tc>
        <w:tc>
          <w:tcPr>
            <w:tcW w:w="2610" w:type="dxa"/>
            <w:tcBorders>
              <w:top w:val="nil"/>
              <w:left w:val="nil"/>
              <w:bottom w:val="single" w:sz="4" w:space="0" w:color="auto"/>
              <w:right w:val="single" w:sz="4" w:space="0" w:color="auto"/>
            </w:tcBorders>
            <w:shd w:val="clear" w:color="auto" w:fill="auto"/>
            <w:vAlign w:val="center"/>
            <w:hideMark/>
          </w:tcPr>
          <w:p w14:paraId="3C175F1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Marian Kljakovic</w:t>
            </w:r>
          </w:p>
        </w:tc>
        <w:tc>
          <w:tcPr>
            <w:tcW w:w="686" w:type="dxa"/>
            <w:tcBorders>
              <w:top w:val="nil"/>
              <w:left w:val="single" w:sz="4" w:space="0" w:color="auto"/>
              <w:bottom w:val="single" w:sz="4" w:space="0" w:color="auto"/>
              <w:right w:val="single" w:sz="4" w:space="0" w:color="auto"/>
            </w:tcBorders>
            <w:shd w:val="clear" w:color="auto" w:fill="auto"/>
            <w:vAlign w:val="center"/>
          </w:tcPr>
          <w:p w14:paraId="67A723E8"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12196A7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4B7DEBC5"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115280E"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68</w:t>
            </w:r>
          </w:p>
        </w:tc>
        <w:tc>
          <w:tcPr>
            <w:tcW w:w="3962" w:type="dxa"/>
            <w:tcBorders>
              <w:top w:val="nil"/>
              <w:left w:val="nil"/>
              <w:bottom w:val="single" w:sz="4" w:space="0" w:color="auto"/>
              <w:right w:val="single" w:sz="4" w:space="0" w:color="auto"/>
            </w:tcBorders>
            <w:shd w:val="clear" w:color="auto" w:fill="auto"/>
            <w:vAlign w:val="center"/>
            <w:hideMark/>
          </w:tcPr>
          <w:p w14:paraId="43AE672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Taxation Office (ATO)</w:t>
            </w:r>
          </w:p>
        </w:tc>
        <w:tc>
          <w:tcPr>
            <w:tcW w:w="2610" w:type="dxa"/>
            <w:tcBorders>
              <w:top w:val="nil"/>
              <w:left w:val="nil"/>
              <w:bottom w:val="single" w:sz="4" w:space="0" w:color="auto"/>
              <w:right w:val="single" w:sz="4" w:space="0" w:color="auto"/>
            </w:tcBorders>
            <w:shd w:val="clear" w:color="auto" w:fill="auto"/>
            <w:vAlign w:val="center"/>
            <w:hideMark/>
          </w:tcPr>
          <w:p w14:paraId="14B7C9E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Steve Dardo</w:t>
            </w:r>
          </w:p>
        </w:tc>
        <w:tc>
          <w:tcPr>
            <w:tcW w:w="686" w:type="dxa"/>
            <w:tcBorders>
              <w:top w:val="nil"/>
              <w:left w:val="single" w:sz="4" w:space="0" w:color="auto"/>
              <w:bottom w:val="single" w:sz="4" w:space="0" w:color="auto"/>
              <w:right w:val="single" w:sz="4" w:space="0" w:color="auto"/>
            </w:tcBorders>
            <w:shd w:val="clear" w:color="auto" w:fill="auto"/>
            <w:vAlign w:val="center"/>
          </w:tcPr>
          <w:p w14:paraId="69C9D6D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7F4314B2"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010D2655"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8CACF31"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69</w:t>
            </w:r>
          </w:p>
        </w:tc>
        <w:tc>
          <w:tcPr>
            <w:tcW w:w="3962" w:type="dxa"/>
            <w:tcBorders>
              <w:top w:val="nil"/>
              <w:left w:val="nil"/>
              <w:bottom w:val="single" w:sz="4" w:space="0" w:color="auto"/>
              <w:right w:val="single" w:sz="4" w:space="0" w:color="auto"/>
            </w:tcBorders>
            <w:shd w:val="clear" w:color="auto" w:fill="auto"/>
            <w:vAlign w:val="center"/>
            <w:hideMark/>
          </w:tcPr>
          <w:p w14:paraId="577B507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Taxation Office (ATO)</w:t>
            </w:r>
          </w:p>
        </w:tc>
        <w:tc>
          <w:tcPr>
            <w:tcW w:w="2610" w:type="dxa"/>
            <w:tcBorders>
              <w:top w:val="nil"/>
              <w:left w:val="nil"/>
              <w:bottom w:val="single" w:sz="4" w:space="0" w:color="auto"/>
              <w:right w:val="single" w:sz="4" w:space="0" w:color="auto"/>
            </w:tcBorders>
            <w:shd w:val="clear" w:color="auto" w:fill="auto"/>
            <w:vAlign w:val="center"/>
            <w:hideMark/>
          </w:tcPr>
          <w:p w14:paraId="30CB7C0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Benson Ong</w:t>
            </w:r>
          </w:p>
        </w:tc>
        <w:tc>
          <w:tcPr>
            <w:tcW w:w="686" w:type="dxa"/>
            <w:tcBorders>
              <w:top w:val="nil"/>
              <w:left w:val="single" w:sz="4" w:space="0" w:color="auto"/>
              <w:bottom w:val="single" w:sz="4" w:space="0" w:color="auto"/>
              <w:right w:val="single" w:sz="4" w:space="0" w:color="auto"/>
            </w:tcBorders>
            <w:shd w:val="clear" w:color="auto" w:fill="auto"/>
            <w:vAlign w:val="center"/>
          </w:tcPr>
          <w:p w14:paraId="0962610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1E320C43"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271AF6AE"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08442FF"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70</w:t>
            </w:r>
          </w:p>
        </w:tc>
        <w:tc>
          <w:tcPr>
            <w:tcW w:w="3962" w:type="dxa"/>
            <w:tcBorders>
              <w:top w:val="nil"/>
              <w:left w:val="nil"/>
              <w:bottom w:val="single" w:sz="4" w:space="0" w:color="auto"/>
              <w:right w:val="single" w:sz="4" w:space="0" w:color="auto"/>
            </w:tcBorders>
            <w:shd w:val="clear" w:color="auto" w:fill="auto"/>
            <w:vAlign w:val="center"/>
            <w:hideMark/>
          </w:tcPr>
          <w:p w14:paraId="1D0B32B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Taxation Office (ATO)</w:t>
            </w:r>
          </w:p>
        </w:tc>
        <w:tc>
          <w:tcPr>
            <w:tcW w:w="2610" w:type="dxa"/>
            <w:tcBorders>
              <w:top w:val="nil"/>
              <w:left w:val="nil"/>
              <w:bottom w:val="single" w:sz="4" w:space="0" w:color="auto"/>
              <w:right w:val="single" w:sz="4" w:space="0" w:color="auto"/>
            </w:tcBorders>
            <w:shd w:val="clear" w:color="auto" w:fill="auto"/>
            <w:vAlign w:val="center"/>
            <w:hideMark/>
          </w:tcPr>
          <w:p w14:paraId="51A56215" w14:textId="77777777" w:rsidR="00635E8B" w:rsidRPr="00635E8B" w:rsidRDefault="00635E8B" w:rsidP="00BE60F3">
            <w:pPr>
              <w:spacing w:after="0" w:line="240" w:lineRule="auto"/>
              <w:rPr>
                <w:rFonts w:eastAsia="Times New Roman" w:cs="Arial"/>
                <w:sz w:val="18"/>
                <w:szCs w:val="18"/>
                <w:lang w:eastAsia="id-ID"/>
              </w:rPr>
            </w:pPr>
            <w:r w:rsidRPr="00635E8B">
              <w:rPr>
                <w:rFonts w:eastAsia="Times New Roman" w:cs="Arial"/>
                <w:sz w:val="18"/>
                <w:szCs w:val="18"/>
                <w:lang w:eastAsia="id-ID"/>
              </w:rPr>
              <w:t>Steven Fahey</w:t>
            </w:r>
          </w:p>
        </w:tc>
        <w:tc>
          <w:tcPr>
            <w:tcW w:w="686" w:type="dxa"/>
            <w:tcBorders>
              <w:top w:val="nil"/>
              <w:left w:val="single" w:sz="4" w:space="0" w:color="auto"/>
              <w:bottom w:val="single" w:sz="4" w:space="0" w:color="auto"/>
              <w:right w:val="single" w:sz="4" w:space="0" w:color="auto"/>
            </w:tcBorders>
            <w:shd w:val="clear" w:color="auto" w:fill="auto"/>
            <w:vAlign w:val="center"/>
          </w:tcPr>
          <w:p w14:paraId="50B0A40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2391B008"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7C7B1A62"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50762789"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71</w:t>
            </w:r>
          </w:p>
        </w:tc>
        <w:tc>
          <w:tcPr>
            <w:tcW w:w="3962" w:type="dxa"/>
            <w:tcBorders>
              <w:top w:val="nil"/>
              <w:left w:val="nil"/>
              <w:bottom w:val="single" w:sz="4" w:space="0" w:color="auto"/>
              <w:right w:val="single" w:sz="4" w:space="0" w:color="auto"/>
            </w:tcBorders>
            <w:shd w:val="clear" w:color="auto" w:fill="auto"/>
            <w:vAlign w:val="center"/>
            <w:hideMark/>
          </w:tcPr>
          <w:p w14:paraId="5FD780B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Taxation Office (ATO)</w:t>
            </w:r>
          </w:p>
        </w:tc>
        <w:tc>
          <w:tcPr>
            <w:tcW w:w="2610" w:type="dxa"/>
            <w:tcBorders>
              <w:top w:val="nil"/>
              <w:left w:val="nil"/>
              <w:bottom w:val="single" w:sz="4" w:space="0" w:color="auto"/>
              <w:right w:val="single" w:sz="4" w:space="0" w:color="auto"/>
            </w:tcBorders>
            <w:shd w:val="clear" w:color="auto" w:fill="auto"/>
            <w:vAlign w:val="center"/>
            <w:hideMark/>
          </w:tcPr>
          <w:p w14:paraId="697102E8" w14:textId="77777777" w:rsidR="00635E8B" w:rsidRPr="00635E8B" w:rsidRDefault="00635E8B" w:rsidP="00BE60F3">
            <w:pPr>
              <w:spacing w:after="0" w:line="240" w:lineRule="auto"/>
              <w:rPr>
                <w:rFonts w:eastAsia="Times New Roman" w:cs="Arial"/>
                <w:sz w:val="18"/>
                <w:szCs w:val="18"/>
                <w:lang w:eastAsia="id-ID"/>
              </w:rPr>
            </w:pPr>
            <w:r w:rsidRPr="00635E8B">
              <w:rPr>
                <w:rFonts w:eastAsia="Times New Roman" w:cs="Arial"/>
                <w:sz w:val="18"/>
                <w:szCs w:val="18"/>
                <w:lang w:eastAsia="id-ID"/>
              </w:rPr>
              <w:t>Wendy Yang</w:t>
            </w:r>
          </w:p>
        </w:tc>
        <w:tc>
          <w:tcPr>
            <w:tcW w:w="686" w:type="dxa"/>
            <w:tcBorders>
              <w:top w:val="nil"/>
              <w:left w:val="single" w:sz="4" w:space="0" w:color="auto"/>
              <w:bottom w:val="single" w:sz="4" w:space="0" w:color="auto"/>
              <w:right w:val="single" w:sz="4" w:space="0" w:color="auto"/>
            </w:tcBorders>
            <w:shd w:val="clear" w:color="auto" w:fill="auto"/>
            <w:vAlign w:val="center"/>
          </w:tcPr>
          <w:p w14:paraId="2F895ABE"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436B0A6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74E09A36"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9B0234E"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72</w:t>
            </w:r>
          </w:p>
        </w:tc>
        <w:tc>
          <w:tcPr>
            <w:tcW w:w="3962" w:type="dxa"/>
            <w:tcBorders>
              <w:top w:val="nil"/>
              <w:left w:val="nil"/>
              <w:bottom w:val="single" w:sz="4" w:space="0" w:color="auto"/>
              <w:right w:val="single" w:sz="4" w:space="0" w:color="auto"/>
            </w:tcBorders>
            <w:shd w:val="clear" w:color="auto" w:fill="auto"/>
            <w:vAlign w:val="center"/>
            <w:hideMark/>
          </w:tcPr>
          <w:p w14:paraId="15472B00"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Public Service Commission (APSC)</w:t>
            </w:r>
          </w:p>
        </w:tc>
        <w:tc>
          <w:tcPr>
            <w:tcW w:w="2610" w:type="dxa"/>
            <w:tcBorders>
              <w:top w:val="nil"/>
              <w:left w:val="nil"/>
              <w:bottom w:val="single" w:sz="4" w:space="0" w:color="auto"/>
              <w:right w:val="single" w:sz="4" w:space="0" w:color="auto"/>
            </w:tcBorders>
            <w:shd w:val="clear" w:color="auto" w:fill="auto"/>
            <w:vAlign w:val="center"/>
            <w:hideMark/>
          </w:tcPr>
          <w:p w14:paraId="6649534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Helen Woittiez</w:t>
            </w:r>
          </w:p>
        </w:tc>
        <w:tc>
          <w:tcPr>
            <w:tcW w:w="686" w:type="dxa"/>
            <w:tcBorders>
              <w:top w:val="nil"/>
              <w:left w:val="single" w:sz="4" w:space="0" w:color="auto"/>
              <w:bottom w:val="single" w:sz="4" w:space="0" w:color="auto"/>
              <w:right w:val="single" w:sz="4" w:space="0" w:color="auto"/>
            </w:tcBorders>
            <w:shd w:val="clear" w:color="auto" w:fill="auto"/>
            <w:vAlign w:val="center"/>
          </w:tcPr>
          <w:p w14:paraId="260D8292"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6F56ED7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131AEDC1"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788FB6E"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73</w:t>
            </w:r>
          </w:p>
        </w:tc>
        <w:tc>
          <w:tcPr>
            <w:tcW w:w="3962" w:type="dxa"/>
            <w:tcBorders>
              <w:top w:val="nil"/>
              <w:left w:val="nil"/>
              <w:bottom w:val="single" w:sz="4" w:space="0" w:color="auto"/>
              <w:right w:val="single" w:sz="4" w:space="0" w:color="auto"/>
            </w:tcBorders>
            <w:shd w:val="clear" w:color="auto" w:fill="auto"/>
            <w:vAlign w:val="center"/>
            <w:hideMark/>
          </w:tcPr>
          <w:p w14:paraId="0D22A7D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Public Service Commission (APSC)</w:t>
            </w:r>
          </w:p>
        </w:tc>
        <w:tc>
          <w:tcPr>
            <w:tcW w:w="2610" w:type="dxa"/>
            <w:tcBorders>
              <w:top w:val="nil"/>
              <w:left w:val="nil"/>
              <w:bottom w:val="single" w:sz="4" w:space="0" w:color="auto"/>
              <w:right w:val="single" w:sz="4" w:space="0" w:color="auto"/>
            </w:tcBorders>
            <w:shd w:val="clear" w:color="auto" w:fill="auto"/>
            <w:vAlign w:val="center"/>
            <w:hideMark/>
          </w:tcPr>
          <w:p w14:paraId="058EC1A0"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Narelle Powers</w:t>
            </w:r>
          </w:p>
        </w:tc>
        <w:tc>
          <w:tcPr>
            <w:tcW w:w="686" w:type="dxa"/>
            <w:tcBorders>
              <w:top w:val="nil"/>
              <w:left w:val="single" w:sz="4" w:space="0" w:color="auto"/>
              <w:bottom w:val="single" w:sz="4" w:space="0" w:color="auto"/>
              <w:right w:val="single" w:sz="4" w:space="0" w:color="auto"/>
            </w:tcBorders>
            <w:shd w:val="clear" w:color="auto" w:fill="auto"/>
            <w:vAlign w:val="center"/>
          </w:tcPr>
          <w:p w14:paraId="50A6BFA9"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28139A80"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127110CC"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B1FC302"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74</w:t>
            </w:r>
          </w:p>
        </w:tc>
        <w:tc>
          <w:tcPr>
            <w:tcW w:w="3962" w:type="dxa"/>
            <w:tcBorders>
              <w:top w:val="nil"/>
              <w:left w:val="nil"/>
              <w:bottom w:val="single" w:sz="4" w:space="0" w:color="auto"/>
              <w:right w:val="single" w:sz="4" w:space="0" w:color="auto"/>
            </w:tcBorders>
            <w:shd w:val="clear" w:color="auto" w:fill="auto"/>
            <w:vAlign w:val="center"/>
            <w:hideMark/>
          </w:tcPr>
          <w:p w14:paraId="5C88D88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Public Service Commission (APSC)</w:t>
            </w:r>
          </w:p>
        </w:tc>
        <w:tc>
          <w:tcPr>
            <w:tcW w:w="2610" w:type="dxa"/>
            <w:tcBorders>
              <w:top w:val="nil"/>
              <w:left w:val="nil"/>
              <w:bottom w:val="single" w:sz="4" w:space="0" w:color="auto"/>
              <w:right w:val="single" w:sz="4" w:space="0" w:color="auto"/>
            </w:tcBorders>
            <w:shd w:val="clear" w:color="auto" w:fill="auto"/>
            <w:vAlign w:val="center"/>
            <w:hideMark/>
          </w:tcPr>
          <w:p w14:paraId="08E8753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Janet Williams</w:t>
            </w:r>
          </w:p>
        </w:tc>
        <w:tc>
          <w:tcPr>
            <w:tcW w:w="686" w:type="dxa"/>
            <w:tcBorders>
              <w:top w:val="nil"/>
              <w:left w:val="single" w:sz="4" w:space="0" w:color="auto"/>
              <w:bottom w:val="single" w:sz="4" w:space="0" w:color="auto"/>
              <w:right w:val="single" w:sz="4" w:space="0" w:color="auto"/>
            </w:tcBorders>
            <w:shd w:val="clear" w:color="auto" w:fill="auto"/>
            <w:vAlign w:val="center"/>
          </w:tcPr>
          <w:p w14:paraId="58E65ABC"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1833B34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69862D46"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69E1477"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75</w:t>
            </w:r>
          </w:p>
        </w:tc>
        <w:tc>
          <w:tcPr>
            <w:tcW w:w="3962" w:type="dxa"/>
            <w:tcBorders>
              <w:top w:val="nil"/>
              <w:left w:val="nil"/>
              <w:bottom w:val="single" w:sz="4" w:space="0" w:color="auto"/>
              <w:right w:val="single" w:sz="4" w:space="0" w:color="auto"/>
            </w:tcBorders>
            <w:shd w:val="clear" w:color="auto" w:fill="auto"/>
            <w:vAlign w:val="center"/>
            <w:hideMark/>
          </w:tcPr>
          <w:p w14:paraId="4983CF1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Australian Public Service Commission (APSC)</w:t>
            </w:r>
          </w:p>
        </w:tc>
        <w:tc>
          <w:tcPr>
            <w:tcW w:w="2610" w:type="dxa"/>
            <w:tcBorders>
              <w:top w:val="nil"/>
              <w:left w:val="nil"/>
              <w:bottom w:val="single" w:sz="4" w:space="0" w:color="auto"/>
              <w:right w:val="single" w:sz="4" w:space="0" w:color="auto"/>
            </w:tcBorders>
            <w:shd w:val="clear" w:color="auto" w:fill="auto"/>
            <w:vAlign w:val="center"/>
            <w:hideMark/>
          </w:tcPr>
          <w:p w14:paraId="60AD0949" w14:textId="77777777" w:rsidR="00635E8B" w:rsidRPr="00635E8B" w:rsidRDefault="00635E8B" w:rsidP="00BE60F3">
            <w:pPr>
              <w:spacing w:after="0" w:line="240" w:lineRule="auto"/>
              <w:rPr>
                <w:rFonts w:eastAsia="Times New Roman" w:cs="Arial"/>
                <w:sz w:val="18"/>
                <w:szCs w:val="18"/>
                <w:lang w:eastAsia="id-ID"/>
              </w:rPr>
            </w:pPr>
            <w:r w:rsidRPr="00635E8B">
              <w:rPr>
                <w:rFonts w:eastAsia="Times New Roman" w:cs="Arial"/>
                <w:sz w:val="18"/>
                <w:szCs w:val="18"/>
                <w:lang w:eastAsia="id-ID"/>
              </w:rPr>
              <w:t>Phil Lancaster</w:t>
            </w:r>
          </w:p>
        </w:tc>
        <w:tc>
          <w:tcPr>
            <w:tcW w:w="686" w:type="dxa"/>
            <w:tcBorders>
              <w:top w:val="nil"/>
              <w:left w:val="single" w:sz="4" w:space="0" w:color="auto"/>
              <w:bottom w:val="single" w:sz="4" w:space="0" w:color="auto"/>
              <w:right w:val="single" w:sz="4" w:space="0" w:color="auto"/>
            </w:tcBorders>
            <w:shd w:val="clear" w:color="auto" w:fill="auto"/>
            <w:vAlign w:val="center"/>
          </w:tcPr>
          <w:p w14:paraId="694A247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5C66A99F"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73E53045"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5B83C193"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76</w:t>
            </w:r>
          </w:p>
        </w:tc>
        <w:tc>
          <w:tcPr>
            <w:tcW w:w="3962" w:type="dxa"/>
            <w:tcBorders>
              <w:top w:val="nil"/>
              <w:left w:val="nil"/>
              <w:bottom w:val="single" w:sz="4" w:space="0" w:color="auto"/>
              <w:right w:val="single" w:sz="4" w:space="0" w:color="auto"/>
            </w:tcBorders>
            <w:shd w:val="clear" w:color="auto" w:fill="auto"/>
            <w:vAlign w:val="center"/>
            <w:hideMark/>
          </w:tcPr>
          <w:p w14:paraId="68A61AD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Office of Commonwealth Ombudsman (OCO)</w:t>
            </w:r>
          </w:p>
        </w:tc>
        <w:tc>
          <w:tcPr>
            <w:tcW w:w="2610" w:type="dxa"/>
            <w:tcBorders>
              <w:top w:val="nil"/>
              <w:left w:val="nil"/>
              <w:bottom w:val="single" w:sz="4" w:space="0" w:color="auto"/>
              <w:right w:val="single" w:sz="4" w:space="0" w:color="auto"/>
            </w:tcBorders>
            <w:shd w:val="clear" w:color="auto" w:fill="auto"/>
            <w:vAlign w:val="center"/>
            <w:hideMark/>
          </w:tcPr>
          <w:p w14:paraId="476170C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Nicole Keane</w:t>
            </w:r>
          </w:p>
        </w:tc>
        <w:tc>
          <w:tcPr>
            <w:tcW w:w="686" w:type="dxa"/>
            <w:tcBorders>
              <w:top w:val="nil"/>
              <w:left w:val="single" w:sz="4" w:space="0" w:color="auto"/>
              <w:bottom w:val="single" w:sz="4" w:space="0" w:color="auto"/>
              <w:right w:val="single" w:sz="4" w:space="0" w:color="auto"/>
            </w:tcBorders>
            <w:shd w:val="clear" w:color="auto" w:fill="auto"/>
            <w:vAlign w:val="center"/>
          </w:tcPr>
          <w:p w14:paraId="0030F3CB"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7105504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3A358513"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A79C120"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77</w:t>
            </w:r>
          </w:p>
        </w:tc>
        <w:tc>
          <w:tcPr>
            <w:tcW w:w="3962" w:type="dxa"/>
            <w:tcBorders>
              <w:top w:val="nil"/>
              <w:left w:val="nil"/>
              <w:bottom w:val="single" w:sz="4" w:space="0" w:color="auto"/>
              <w:right w:val="single" w:sz="4" w:space="0" w:color="auto"/>
            </w:tcBorders>
            <w:shd w:val="clear" w:color="auto" w:fill="auto"/>
            <w:vAlign w:val="center"/>
            <w:hideMark/>
          </w:tcPr>
          <w:p w14:paraId="6BF2BE6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Office of Commonwealth Ombudsman (OCO)</w:t>
            </w:r>
          </w:p>
        </w:tc>
        <w:tc>
          <w:tcPr>
            <w:tcW w:w="2610" w:type="dxa"/>
            <w:tcBorders>
              <w:top w:val="nil"/>
              <w:left w:val="nil"/>
              <w:bottom w:val="single" w:sz="4" w:space="0" w:color="auto"/>
              <w:right w:val="single" w:sz="4" w:space="0" w:color="auto"/>
            </w:tcBorders>
            <w:shd w:val="clear" w:color="auto" w:fill="auto"/>
            <w:vAlign w:val="center"/>
            <w:hideMark/>
          </w:tcPr>
          <w:p w14:paraId="5A7FE7E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Suseela Durvasula</w:t>
            </w:r>
          </w:p>
        </w:tc>
        <w:tc>
          <w:tcPr>
            <w:tcW w:w="686" w:type="dxa"/>
            <w:tcBorders>
              <w:top w:val="nil"/>
              <w:left w:val="single" w:sz="4" w:space="0" w:color="auto"/>
              <w:bottom w:val="single" w:sz="4" w:space="0" w:color="auto"/>
              <w:right w:val="single" w:sz="4" w:space="0" w:color="auto"/>
            </w:tcBorders>
            <w:shd w:val="clear" w:color="auto" w:fill="auto"/>
            <w:vAlign w:val="center"/>
          </w:tcPr>
          <w:p w14:paraId="77EFC135"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43D414F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4AC8BC9F"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23F03F8"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78</w:t>
            </w:r>
          </w:p>
        </w:tc>
        <w:tc>
          <w:tcPr>
            <w:tcW w:w="3962" w:type="dxa"/>
            <w:tcBorders>
              <w:top w:val="nil"/>
              <w:left w:val="nil"/>
              <w:bottom w:val="single" w:sz="4" w:space="0" w:color="auto"/>
              <w:right w:val="single" w:sz="4" w:space="0" w:color="auto"/>
            </w:tcBorders>
            <w:shd w:val="clear" w:color="auto" w:fill="auto"/>
            <w:vAlign w:val="center"/>
            <w:hideMark/>
          </w:tcPr>
          <w:p w14:paraId="3688014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Office of Commonwealth Ombudsman (OCO)</w:t>
            </w:r>
          </w:p>
        </w:tc>
        <w:tc>
          <w:tcPr>
            <w:tcW w:w="2610" w:type="dxa"/>
            <w:tcBorders>
              <w:top w:val="nil"/>
              <w:left w:val="nil"/>
              <w:bottom w:val="single" w:sz="4" w:space="0" w:color="auto"/>
              <w:right w:val="single" w:sz="4" w:space="0" w:color="auto"/>
            </w:tcBorders>
            <w:shd w:val="clear" w:color="auto" w:fill="auto"/>
            <w:vAlign w:val="center"/>
            <w:hideMark/>
          </w:tcPr>
          <w:p w14:paraId="1AA700B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Steena</w:t>
            </w:r>
          </w:p>
        </w:tc>
        <w:tc>
          <w:tcPr>
            <w:tcW w:w="686" w:type="dxa"/>
            <w:tcBorders>
              <w:top w:val="nil"/>
              <w:left w:val="single" w:sz="4" w:space="0" w:color="auto"/>
              <w:bottom w:val="single" w:sz="4" w:space="0" w:color="auto"/>
              <w:right w:val="single" w:sz="4" w:space="0" w:color="auto"/>
            </w:tcBorders>
            <w:shd w:val="clear" w:color="auto" w:fill="auto"/>
            <w:vAlign w:val="center"/>
          </w:tcPr>
          <w:p w14:paraId="13D3AEEC"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3AEA54E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64564BC3"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1F90644"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79</w:t>
            </w:r>
          </w:p>
        </w:tc>
        <w:tc>
          <w:tcPr>
            <w:tcW w:w="3962" w:type="dxa"/>
            <w:tcBorders>
              <w:top w:val="nil"/>
              <w:left w:val="nil"/>
              <w:bottom w:val="single" w:sz="4" w:space="0" w:color="auto"/>
              <w:right w:val="single" w:sz="4" w:space="0" w:color="auto"/>
            </w:tcBorders>
            <w:shd w:val="clear" w:color="auto" w:fill="auto"/>
            <w:vAlign w:val="center"/>
            <w:hideMark/>
          </w:tcPr>
          <w:p w14:paraId="197224C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APS - Office of Commonwealth Ombudsman (OCO)</w:t>
            </w:r>
          </w:p>
        </w:tc>
        <w:tc>
          <w:tcPr>
            <w:tcW w:w="2610" w:type="dxa"/>
            <w:tcBorders>
              <w:top w:val="nil"/>
              <w:left w:val="nil"/>
              <w:bottom w:val="single" w:sz="4" w:space="0" w:color="auto"/>
              <w:right w:val="single" w:sz="4" w:space="0" w:color="auto"/>
            </w:tcBorders>
            <w:shd w:val="clear" w:color="auto" w:fill="auto"/>
            <w:vAlign w:val="center"/>
            <w:hideMark/>
          </w:tcPr>
          <w:p w14:paraId="4AF9204F" w14:textId="77777777" w:rsidR="00635E8B" w:rsidRPr="00635E8B" w:rsidRDefault="00635E8B" w:rsidP="00BE60F3">
            <w:pPr>
              <w:spacing w:after="0" w:line="240" w:lineRule="auto"/>
              <w:rPr>
                <w:rFonts w:eastAsia="Times New Roman" w:cs="Arial"/>
                <w:sz w:val="18"/>
                <w:szCs w:val="18"/>
                <w:lang w:eastAsia="id-ID"/>
              </w:rPr>
            </w:pPr>
            <w:r w:rsidRPr="00635E8B">
              <w:rPr>
                <w:rFonts w:eastAsia="Times New Roman" w:cs="Arial"/>
                <w:sz w:val="18"/>
                <w:szCs w:val="18"/>
                <w:lang w:eastAsia="id-ID"/>
              </w:rPr>
              <w:t>Desmond Ko</w:t>
            </w:r>
          </w:p>
        </w:tc>
        <w:tc>
          <w:tcPr>
            <w:tcW w:w="686" w:type="dxa"/>
            <w:tcBorders>
              <w:top w:val="nil"/>
              <w:left w:val="single" w:sz="4" w:space="0" w:color="auto"/>
              <w:bottom w:val="single" w:sz="4" w:space="0" w:color="auto"/>
              <w:right w:val="single" w:sz="4" w:space="0" w:color="auto"/>
            </w:tcBorders>
            <w:shd w:val="clear" w:color="auto" w:fill="auto"/>
            <w:vAlign w:val="center"/>
          </w:tcPr>
          <w:p w14:paraId="52595DE0"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497338C9"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3ABCA33A"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5DA56263"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80</w:t>
            </w:r>
          </w:p>
        </w:tc>
        <w:tc>
          <w:tcPr>
            <w:tcW w:w="3962" w:type="dxa"/>
            <w:tcBorders>
              <w:top w:val="nil"/>
              <w:left w:val="nil"/>
              <w:bottom w:val="single" w:sz="4" w:space="0" w:color="auto"/>
              <w:right w:val="single" w:sz="4" w:space="0" w:color="auto"/>
            </w:tcBorders>
            <w:shd w:val="clear" w:color="auto" w:fill="auto"/>
            <w:vAlign w:val="center"/>
            <w:hideMark/>
          </w:tcPr>
          <w:p w14:paraId="2CBC550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5017621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David Nellor</w:t>
            </w:r>
          </w:p>
        </w:tc>
        <w:tc>
          <w:tcPr>
            <w:tcW w:w="686" w:type="dxa"/>
            <w:tcBorders>
              <w:top w:val="nil"/>
              <w:left w:val="single" w:sz="4" w:space="0" w:color="auto"/>
              <w:bottom w:val="single" w:sz="4" w:space="0" w:color="auto"/>
              <w:right w:val="single" w:sz="4" w:space="0" w:color="auto"/>
            </w:tcBorders>
            <w:shd w:val="clear" w:color="auto" w:fill="auto"/>
            <w:vAlign w:val="center"/>
          </w:tcPr>
          <w:p w14:paraId="2C1BA13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3B049B0A"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7F9E9FD6"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1CEC4AE"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81</w:t>
            </w:r>
          </w:p>
        </w:tc>
        <w:tc>
          <w:tcPr>
            <w:tcW w:w="3962" w:type="dxa"/>
            <w:tcBorders>
              <w:top w:val="nil"/>
              <w:left w:val="nil"/>
              <w:bottom w:val="single" w:sz="4" w:space="0" w:color="auto"/>
              <w:right w:val="single" w:sz="4" w:space="0" w:color="auto"/>
            </w:tcBorders>
            <w:shd w:val="clear" w:color="auto" w:fill="auto"/>
            <w:vAlign w:val="center"/>
            <w:hideMark/>
          </w:tcPr>
          <w:p w14:paraId="245C348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00581FD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Melissa Wells</w:t>
            </w:r>
          </w:p>
        </w:tc>
        <w:tc>
          <w:tcPr>
            <w:tcW w:w="686" w:type="dxa"/>
            <w:tcBorders>
              <w:top w:val="nil"/>
              <w:left w:val="single" w:sz="4" w:space="0" w:color="auto"/>
              <w:bottom w:val="single" w:sz="4" w:space="0" w:color="auto"/>
              <w:right w:val="single" w:sz="4" w:space="0" w:color="auto"/>
            </w:tcBorders>
            <w:shd w:val="clear" w:color="auto" w:fill="auto"/>
            <w:vAlign w:val="center"/>
          </w:tcPr>
          <w:p w14:paraId="4FCA8486"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274AE77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6EB75743"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366CC42"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82</w:t>
            </w:r>
          </w:p>
        </w:tc>
        <w:tc>
          <w:tcPr>
            <w:tcW w:w="3962" w:type="dxa"/>
            <w:tcBorders>
              <w:top w:val="nil"/>
              <w:left w:val="nil"/>
              <w:bottom w:val="single" w:sz="4" w:space="0" w:color="auto"/>
              <w:right w:val="single" w:sz="4" w:space="0" w:color="auto"/>
            </w:tcBorders>
            <w:shd w:val="clear" w:color="auto" w:fill="auto"/>
            <w:vAlign w:val="center"/>
            <w:hideMark/>
          </w:tcPr>
          <w:p w14:paraId="19B6A8A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0F714D70"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Della Temenggung</w:t>
            </w:r>
          </w:p>
        </w:tc>
        <w:tc>
          <w:tcPr>
            <w:tcW w:w="686" w:type="dxa"/>
            <w:tcBorders>
              <w:top w:val="nil"/>
              <w:left w:val="single" w:sz="4" w:space="0" w:color="auto"/>
              <w:bottom w:val="single" w:sz="4" w:space="0" w:color="auto"/>
              <w:right w:val="single" w:sz="4" w:space="0" w:color="auto"/>
            </w:tcBorders>
            <w:shd w:val="clear" w:color="auto" w:fill="auto"/>
            <w:vAlign w:val="center"/>
          </w:tcPr>
          <w:p w14:paraId="08B486B3"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10A03FA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4E2C7F23"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A9BA4DF"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83</w:t>
            </w:r>
          </w:p>
        </w:tc>
        <w:tc>
          <w:tcPr>
            <w:tcW w:w="3962" w:type="dxa"/>
            <w:tcBorders>
              <w:top w:val="nil"/>
              <w:left w:val="nil"/>
              <w:bottom w:val="single" w:sz="4" w:space="0" w:color="auto"/>
              <w:right w:val="single" w:sz="4" w:space="0" w:color="auto"/>
            </w:tcBorders>
            <w:shd w:val="clear" w:color="auto" w:fill="auto"/>
            <w:vAlign w:val="center"/>
            <w:hideMark/>
          </w:tcPr>
          <w:p w14:paraId="1010B87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6C822CBC" w14:textId="77777777" w:rsidR="00635E8B" w:rsidRPr="00635E8B" w:rsidRDefault="00635E8B" w:rsidP="00BE60F3">
            <w:pPr>
              <w:spacing w:after="0" w:line="240" w:lineRule="auto"/>
              <w:rPr>
                <w:rFonts w:eastAsia="Times New Roman" w:cs="Arial"/>
                <w:sz w:val="18"/>
                <w:szCs w:val="18"/>
                <w:lang w:eastAsia="id-ID"/>
              </w:rPr>
            </w:pPr>
            <w:r w:rsidRPr="00635E8B">
              <w:rPr>
                <w:rFonts w:eastAsia="Times New Roman" w:cs="Arial"/>
                <w:sz w:val="18"/>
                <w:szCs w:val="18"/>
                <w:lang w:eastAsia="id-ID"/>
              </w:rPr>
              <w:t>Michael Pilbrow</w:t>
            </w:r>
          </w:p>
        </w:tc>
        <w:tc>
          <w:tcPr>
            <w:tcW w:w="686" w:type="dxa"/>
            <w:tcBorders>
              <w:top w:val="nil"/>
              <w:left w:val="single" w:sz="4" w:space="0" w:color="auto"/>
              <w:bottom w:val="single" w:sz="4" w:space="0" w:color="auto"/>
              <w:right w:val="single" w:sz="4" w:space="0" w:color="auto"/>
            </w:tcBorders>
            <w:shd w:val="clear" w:color="auto" w:fill="auto"/>
            <w:vAlign w:val="center"/>
          </w:tcPr>
          <w:p w14:paraId="58FB114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32D27057"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2D3CA486"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C165123"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84</w:t>
            </w:r>
          </w:p>
        </w:tc>
        <w:tc>
          <w:tcPr>
            <w:tcW w:w="3962" w:type="dxa"/>
            <w:tcBorders>
              <w:top w:val="nil"/>
              <w:left w:val="nil"/>
              <w:bottom w:val="single" w:sz="4" w:space="0" w:color="auto"/>
              <w:right w:val="single" w:sz="4" w:space="0" w:color="auto"/>
            </w:tcBorders>
            <w:shd w:val="clear" w:color="auto" w:fill="auto"/>
            <w:vAlign w:val="center"/>
            <w:hideMark/>
          </w:tcPr>
          <w:p w14:paraId="1F33630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116A45E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Gavin Forte</w:t>
            </w:r>
          </w:p>
        </w:tc>
        <w:tc>
          <w:tcPr>
            <w:tcW w:w="686" w:type="dxa"/>
            <w:tcBorders>
              <w:top w:val="nil"/>
              <w:left w:val="single" w:sz="4" w:space="0" w:color="auto"/>
              <w:bottom w:val="single" w:sz="4" w:space="0" w:color="auto"/>
              <w:right w:val="single" w:sz="4" w:space="0" w:color="auto"/>
            </w:tcBorders>
            <w:shd w:val="clear" w:color="auto" w:fill="auto"/>
            <w:vAlign w:val="center"/>
          </w:tcPr>
          <w:p w14:paraId="35078FC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7E2359E5"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467683F3"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A8065C0"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85</w:t>
            </w:r>
          </w:p>
        </w:tc>
        <w:tc>
          <w:tcPr>
            <w:tcW w:w="3962" w:type="dxa"/>
            <w:tcBorders>
              <w:top w:val="nil"/>
              <w:left w:val="nil"/>
              <w:bottom w:val="single" w:sz="4" w:space="0" w:color="auto"/>
              <w:right w:val="single" w:sz="4" w:space="0" w:color="auto"/>
            </w:tcBorders>
            <w:shd w:val="clear" w:color="auto" w:fill="auto"/>
            <w:vAlign w:val="center"/>
            <w:hideMark/>
          </w:tcPr>
          <w:p w14:paraId="7ACC2BA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05B3624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Paul Bartlett</w:t>
            </w:r>
          </w:p>
        </w:tc>
        <w:tc>
          <w:tcPr>
            <w:tcW w:w="686" w:type="dxa"/>
            <w:tcBorders>
              <w:top w:val="nil"/>
              <w:left w:val="single" w:sz="4" w:space="0" w:color="auto"/>
              <w:bottom w:val="single" w:sz="4" w:space="0" w:color="auto"/>
              <w:right w:val="single" w:sz="4" w:space="0" w:color="auto"/>
            </w:tcBorders>
            <w:shd w:val="clear" w:color="auto" w:fill="auto"/>
            <w:vAlign w:val="center"/>
          </w:tcPr>
          <w:p w14:paraId="4DCE626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01A23276"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0632E300"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BB0EC20"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86</w:t>
            </w:r>
          </w:p>
        </w:tc>
        <w:tc>
          <w:tcPr>
            <w:tcW w:w="3962" w:type="dxa"/>
            <w:tcBorders>
              <w:top w:val="nil"/>
              <w:left w:val="nil"/>
              <w:bottom w:val="single" w:sz="4" w:space="0" w:color="auto"/>
              <w:right w:val="single" w:sz="4" w:space="0" w:color="auto"/>
            </w:tcBorders>
            <w:shd w:val="clear" w:color="auto" w:fill="auto"/>
            <w:vAlign w:val="center"/>
            <w:hideMark/>
          </w:tcPr>
          <w:p w14:paraId="5D5F6DA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30FF6ED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Achmad Shauki</w:t>
            </w:r>
          </w:p>
        </w:tc>
        <w:tc>
          <w:tcPr>
            <w:tcW w:w="686" w:type="dxa"/>
            <w:tcBorders>
              <w:top w:val="nil"/>
              <w:left w:val="single" w:sz="4" w:space="0" w:color="auto"/>
              <w:bottom w:val="single" w:sz="4" w:space="0" w:color="auto"/>
              <w:right w:val="single" w:sz="4" w:space="0" w:color="auto"/>
            </w:tcBorders>
            <w:shd w:val="clear" w:color="auto" w:fill="auto"/>
            <w:vAlign w:val="center"/>
          </w:tcPr>
          <w:p w14:paraId="524B5A7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2FDB2BFA"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179FE5B9"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93B2DEC"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87</w:t>
            </w:r>
          </w:p>
        </w:tc>
        <w:tc>
          <w:tcPr>
            <w:tcW w:w="3962" w:type="dxa"/>
            <w:tcBorders>
              <w:top w:val="nil"/>
              <w:left w:val="nil"/>
              <w:bottom w:val="single" w:sz="4" w:space="0" w:color="auto"/>
              <w:right w:val="single" w:sz="4" w:space="0" w:color="auto"/>
            </w:tcBorders>
            <w:shd w:val="clear" w:color="auto" w:fill="auto"/>
            <w:vAlign w:val="center"/>
            <w:hideMark/>
          </w:tcPr>
          <w:p w14:paraId="1E5D960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0751FFA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Ernawati Munadi</w:t>
            </w:r>
          </w:p>
        </w:tc>
        <w:tc>
          <w:tcPr>
            <w:tcW w:w="686" w:type="dxa"/>
            <w:tcBorders>
              <w:top w:val="nil"/>
              <w:left w:val="single" w:sz="4" w:space="0" w:color="auto"/>
              <w:bottom w:val="single" w:sz="4" w:space="0" w:color="auto"/>
              <w:right w:val="single" w:sz="4" w:space="0" w:color="auto"/>
            </w:tcBorders>
            <w:shd w:val="clear" w:color="auto" w:fill="auto"/>
            <w:vAlign w:val="center"/>
          </w:tcPr>
          <w:p w14:paraId="6FC8C94F"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04DFC54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27D5DBB3"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C3CB522"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88</w:t>
            </w:r>
          </w:p>
        </w:tc>
        <w:tc>
          <w:tcPr>
            <w:tcW w:w="3962" w:type="dxa"/>
            <w:tcBorders>
              <w:top w:val="nil"/>
              <w:left w:val="nil"/>
              <w:bottom w:val="single" w:sz="4" w:space="0" w:color="auto"/>
              <w:right w:val="single" w:sz="4" w:space="0" w:color="auto"/>
            </w:tcBorders>
            <w:shd w:val="clear" w:color="auto" w:fill="auto"/>
            <w:vAlign w:val="center"/>
            <w:hideMark/>
          </w:tcPr>
          <w:p w14:paraId="6FFDCBC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767F0620"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Santi Jayani</w:t>
            </w:r>
          </w:p>
        </w:tc>
        <w:tc>
          <w:tcPr>
            <w:tcW w:w="686" w:type="dxa"/>
            <w:tcBorders>
              <w:top w:val="nil"/>
              <w:left w:val="single" w:sz="4" w:space="0" w:color="auto"/>
              <w:bottom w:val="single" w:sz="4" w:space="0" w:color="auto"/>
              <w:right w:val="single" w:sz="4" w:space="0" w:color="auto"/>
            </w:tcBorders>
            <w:shd w:val="clear" w:color="auto" w:fill="auto"/>
            <w:vAlign w:val="center"/>
          </w:tcPr>
          <w:p w14:paraId="021AF76F"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5F930FE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1C98D24C"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525A3725"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89</w:t>
            </w:r>
          </w:p>
        </w:tc>
        <w:tc>
          <w:tcPr>
            <w:tcW w:w="3962" w:type="dxa"/>
            <w:tcBorders>
              <w:top w:val="nil"/>
              <w:left w:val="nil"/>
              <w:bottom w:val="single" w:sz="4" w:space="0" w:color="auto"/>
              <w:right w:val="single" w:sz="4" w:space="0" w:color="auto"/>
            </w:tcBorders>
            <w:shd w:val="clear" w:color="auto" w:fill="auto"/>
            <w:vAlign w:val="center"/>
            <w:hideMark/>
          </w:tcPr>
          <w:p w14:paraId="6A026D7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7A2E6510"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Sean O'Grady</w:t>
            </w:r>
          </w:p>
        </w:tc>
        <w:tc>
          <w:tcPr>
            <w:tcW w:w="686" w:type="dxa"/>
            <w:tcBorders>
              <w:top w:val="nil"/>
              <w:left w:val="single" w:sz="4" w:space="0" w:color="auto"/>
              <w:bottom w:val="single" w:sz="4" w:space="0" w:color="auto"/>
              <w:right w:val="single" w:sz="4" w:space="0" w:color="auto"/>
            </w:tcBorders>
            <w:shd w:val="clear" w:color="auto" w:fill="auto"/>
            <w:vAlign w:val="center"/>
          </w:tcPr>
          <w:p w14:paraId="60E81A2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434080C5"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68646843"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DC86116"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90</w:t>
            </w:r>
          </w:p>
        </w:tc>
        <w:tc>
          <w:tcPr>
            <w:tcW w:w="3962" w:type="dxa"/>
            <w:tcBorders>
              <w:top w:val="nil"/>
              <w:left w:val="nil"/>
              <w:bottom w:val="single" w:sz="4" w:space="0" w:color="auto"/>
              <w:right w:val="single" w:sz="4" w:space="0" w:color="auto"/>
            </w:tcBorders>
            <w:shd w:val="clear" w:color="auto" w:fill="auto"/>
            <w:vAlign w:val="center"/>
            <w:hideMark/>
          </w:tcPr>
          <w:p w14:paraId="7B415AA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1540052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Whraspati Prabowo</w:t>
            </w:r>
          </w:p>
        </w:tc>
        <w:tc>
          <w:tcPr>
            <w:tcW w:w="686" w:type="dxa"/>
            <w:tcBorders>
              <w:top w:val="nil"/>
              <w:left w:val="single" w:sz="4" w:space="0" w:color="auto"/>
              <w:bottom w:val="single" w:sz="4" w:space="0" w:color="auto"/>
              <w:right w:val="single" w:sz="4" w:space="0" w:color="auto"/>
            </w:tcBorders>
            <w:shd w:val="clear" w:color="auto" w:fill="auto"/>
            <w:vAlign w:val="center"/>
          </w:tcPr>
          <w:p w14:paraId="5412511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5DBE4B87"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57895388"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F00B398"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91</w:t>
            </w:r>
          </w:p>
        </w:tc>
        <w:tc>
          <w:tcPr>
            <w:tcW w:w="3962" w:type="dxa"/>
            <w:tcBorders>
              <w:top w:val="nil"/>
              <w:left w:val="nil"/>
              <w:bottom w:val="single" w:sz="4" w:space="0" w:color="auto"/>
              <w:right w:val="single" w:sz="4" w:space="0" w:color="auto"/>
            </w:tcBorders>
            <w:shd w:val="clear" w:color="auto" w:fill="auto"/>
            <w:vAlign w:val="center"/>
            <w:hideMark/>
          </w:tcPr>
          <w:p w14:paraId="08F6C59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7E06A63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Leitizia Fauzy</w:t>
            </w:r>
          </w:p>
        </w:tc>
        <w:tc>
          <w:tcPr>
            <w:tcW w:w="686" w:type="dxa"/>
            <w:tcBorders>
              <w:top w:val="nil"/>
              <w:left w:val="single" w:sz="4" w:space="0" w:color="auto"/>
              <w:bottom w:val="single" w:sz="4" w:space="0" w:color="auto"/>
              <w:right w:val="single" w:sz="4" w:space="0" w:color="auto"/>
            </w:tcBorders>
            <w:shd w:val="clear" w:color="auto" w:fill="auto"/>
            <w:vAlign w:val="center"/>
          </w:tcPr>
          <w:p w14:paraId="60246C71"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706115A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25323CFA"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A565F8C"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92</w:t>
            </w:r>
          </w:p>
        </w:tc>
        <w:tc>
          <w:tcPr>
            <w:tcW w:w="3962" w:type="dxa"/>
            <w:tcBorders>
              <w:top w:val="nil"/>
              <w:left w:val="nil"/>
              <w:bottom w:val="single" w:sz="4" w:space="0" w:color="auto"/>
              <w:right w:val="single" w:sz="4" w:space="0" w:color="auto"/>
            </w:tcBorders>
            <w:shd w:val="clear" w:color="auto" w:fill="auto"/>
            <w:vAlign w:val="center"/>
            <w:hideMark/>
          </w:tcPr>
          <w:p w14:paraId="6E9C613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004A4F4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Rubino Sugana</w:t>
            </w:r>
          </w:p>
        </w:tc>
        <w:tc>
          <w:tcPr>
            <w:tcW w:w="686" w:type="dxa"/>
            <w:tcBorders>
              <w:top w:val="nil"/>
              <w:left w:val="single" w:sz="4" w:space="0" w:color="auto"/>
              <w:bottom w:val="single" w:sz="4" w:space="0" w:color="auto"/>
              <w:right w:val="single" w:sz="4" w:space="0" w:color="auto"/>
            </w:tcBorders>
            <w:shd w:val="clear" w:color="auto" w:fill="auto"/>
            <w:vAlign w:val="center"/>
          </w:tcPr>
          <w:p w14:paraId="3DD0179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732673B8"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3A5D0449"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35A024A"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93</w:t>
            </w:r>
          </w:p>
        </w:tc>
        <w:tc>
          <w:tcPr>
            <w:tcW w:w="3962" w:type="dxa"/>
            <w:tcBorders>
              <w:top w:val="nil"/>
              <w:left w:val="nil"/>
              <w:bottom w:val="single" w:sz="4" w:space="0" w:color="auto"/>
              <w:right w:val="single" w:sz="4" w:space="0" w:color="auto"/>
            </w:tcBorders>
            <w:shd w:val="clear" w:color="auto" w:fill="auto"/>
            <w:vAlign w:val="center"/>
            <w:hideMark/>
          </w:tcPr>
          <w:p w14:paraId="7F167E9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1D03390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Campher Serfontein</w:t>
            </w:r>
          </w:p>
        </w:tc>
        <w:tc>
          <w:tcPr>
            <w:tcW w:w="686" w:type="dxa"/>
            <w:tcBorders>
              <w:top w:val="nil"/>
              <w:left w:val="single" w:sz="4" w:space="0" w:color="auto"/>
              <w:bottom w:val="single" w:sz="4" w:space="0" w:color="auto"/>
              <w:right w:val="single" w:sz="4" w:space="0" w:color="auto"/>
            </w:tcBorders>
            <w:shd w:val="clear" w:color="auto" w:fill="auto"/>
            <w:vAlign w:val="center"/>
          </w:tcPr>
          <w:p w14:paraId="1FB08B9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52E871A7"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050E08E6"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1D7A3E96"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94</w:t>
            </w:r>
          </w:p>
        </w:tc>
        <w:tc>
          <w:tcPr>
            <w:tcW w:w="3962" w:type="dxa"/>
            <w:tcBorders>
              <w:top w:val="nil"/>
              <w:left w:val="nil"/>
              <w:bottom w:val="single" w:sz="4" w:space="0" w:color="auto"/>
              <w:right w:val="single" w:sz="4" w:space="0" w:color="auto"/>
            </w:tcBorders>
            <w:shd w:val="clear" w:color="auto" w:fill="auto"/>
            <w:vAlign w:val="center"/>
            <w:hideMark/>
          </w:tcPr>
          <w:p w14:paraId="75BFC0B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5850ACC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William Wallace</w:t>
            </w:r>
          </w:p>
        </w:tc>
        <w:tc>
          <w:tcPr>
            <w:tcW w:w="686" w:type="dxa"/>
            <w:tcBorders>
              <w:top w:val="nil"/>
              <w:left w:val="single" w:sz="4" w:space="0" w:color="auto"/>
              <w:bottom w:val="single" w:sz="4" w:space="0" w:color="auto"/>
              <w:right w:val="single" w:sz="4" w:space="0" w:color="auto"/>
            </w:tcBorders>
            <w:shd w:val="clear" w:color="auto" w:fill="auto"/>
            <w:vAlign w:val="center"/>
          </w:tcPr>
          <w:p w14:paraId="2A01440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0D9AC1EB"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4B719E9A"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6781FB2"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95</w:t>
            </w:r>
          </w:p>
        </w:tc>
        <w:tc>
          <w:tcPr>
            <w:tcW w:w="3962" w:type="dxa"/>
            <w:tcBorders>
              <w:top w:val="nil"/>
              <w:left w:val="nil"/>
              <w:bottom w:val="single" w:sz="4" w:space="0" w:color="auto"/>
              <w:right w:val="single" w:sz="4" w:space="0" w:color="auto"/>
            </w:tcBorders>
            <w:shd w:val="clear" w:color="auto" w:fill="auto"/>
            <w:vAlign w:val="center"/>
            <w:hideMark/>
          </w:tcPr>
          <w:p w14:paraId="4964B5B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379C4DA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Dranantya Wirawan</w:t>
            </w:r>
          </w:p>
        </w:tc>
        <w:tc>
          <w:tcPr>
            <w:tcW w:w="686" w:type="dxa"/>
            <w:tcBorders>
              <w:top w:val="nil"/>
              <w:left w:val="single" w:sz="4" w:space="0" w:color="auto"/>
              <w:bottom w:val="single" w:sz="4" w:space="0" w:color="auto"/>
              <w:right w:val="single" w:sz="4" w:space="0" w:color="auto"/>
            </w:tcBorders>
            <w:shd w:val="clear" w:color="auto" w:fill="auto"/>
            <w:vAlign w:val="center"/>
          </w:tcPr>
          <w:p w14:paraId="025CCD0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3D323D97"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6385D667"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60DE5522"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96</w:t>
            </w:r>
          </w:p>
        </w:tc>
        <w:tc>
          <w:tcPr>
            <w:tcW w:w="3962" w:type="dxa"/>
            <w:tcBorders>
              <w:top w:val="nil"/>
              <w:left w:val="nil"/>
              <w:bottom w:val="single" w:sz="4" w:space="0" w:color="auto"/>
              <w:right w:val="single" w:sz="4" w:space="0" w:color="auto"/>
            </w:tcBorders>
            <w:shd w:val="clear" w:color="auto" w:fill="auto"/>
            <w:vAlign w:val="center"/>
            <w:hideMark/>
          </w:tcPr>
          <w:p w14:paraId="4C74D55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392A2CB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Roksana Khan</w:t>
            </w:r>
          </w:p>
        </w:tc>
        <w:tc>
          <w:tcPr>
            <w:tcW w:w="686" w:type="dxa"/>
            <w:tcBorders>
              <w:top w:val="nil"/>
              <w:left w:val="single" w:sz="4" w:space="0" w:color="auto"/>
              <w:bottom w:val="single" w:sz="4" w:space="0" w:color="auto"/>
              <w:right w:val="single" w:sz="4" w:space="0" w:color="auto"/>
            </w:tcBorders>
            <w:shd w:val="clear" w:color="auto" w:fill="auto"/>
            <w:vAlign w:val="center"/>
          </w:tcPr>
          <w:p w14:paraId="22028A2E"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567BB970"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79EE821C"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207F09A8"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97</w:t>
            </w:r>
          </w:p>
        </w:tc>
        <w:tc>
          <w:tcPr>
            <w:tcW w:w="3962" w:type="dxa"/>
            <w:tcBorders>
              <w:top w:val="nil"/>
              <w:left w:val="nil"/>
              <w:bottom w:val="single" w:sz="4" w:space="0" w:color="auto"/>
              <w:right w:val="single" w:sz="4" w:space="0" w:color="auto"/>
            </w:tcBorders>
            <w:shd w:val="clear" w:color="auto" w:fill="auto"/>
            <w:vAlign w:val="center"/>
            <w:hideMark/>
          </w:tcPr>
          <w:p w14:paraId="44A23C8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1EF8363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Anita Rosalina</w:t>
            </w:r>
          </w:p>
        </w:tc>
        <w:tc>
          <w:tcPr>
            <w:tcW w:w="686" w:type="dxa"/>
            <w:tcBorders>
              <w:top w:val="nil"/>
              <w:left w:val="single" w:sz="4" w:space="0" w:color="auto"/>
              <w:bottom w:val="single" w:sz="4" w:space="0" w:color="auto"/>
              <w:right w:val="single" w:sz="4" w:space="0" w:color="auto"/>
            </w:tcBorders>
            <w:shd w:val="clear" w:color="auto" w:fill="auto"/>
            <w:vAlign w:val="center"/>
          </w:tcPr>
          <w:p w14:paraId="3343F661"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514FB56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2923A76A"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4E0262A2"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98</w:t>
            </w:r>
          </w:p>
        </w:tc>
        <w:tc>
          <w:tcPr>
            <w:tcW w:w="3962" w:type="dxa"/>
            <w:tcBorders>
              <w:top w:val="nil"/>
              <w:left w:val="nil"/>
              <w:bottom w:val="single" w:sz="4" w:space="0" w:color="auto"/>
              <w:right w:val="single" w:sz="4" w:space="0" w:color="auto"/>
            </w:tcBorders>
            <w:shd w:val="clear" w:color="auto" w:fill="auto"/>
            <w:vAlign w:val="center"/>
            <w:hideMark/>
          </w:tcPr>
          <w:p w14:paraId="4C8EC16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1B9F9E56"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Kahlil Rowter</w:t>
            </w:r>
          </w:p>
        </w:tc>
        <w:tc>
          <w:tcPr>
            <w:tcW w:w="686" w:type="dxa"/>
            <w:tcBorders>
              <w:top w:val="nil"/>
              <w:left w:val="single" w:sz="4" w:space="0" w:color="auto"/>
              <w:bottom w:val="single" w:sz="4" w:space="0" w:color="auto"/>
              <w:right w:val="single" w:sz="4" w:space="0" w:color="auto"/>
            </w:tcBorders>
            <w:shd w:val="clear" w:color="auto" w:fill="auto"/>
            <w:vAlign w:val="center"/>
          </w:tcPr>
          <w:p w14:paraId="558A090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2B885B4F"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4315FEC5"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57DA4C72" w14:textId="77777777" w:rsidR="00635E8B" w:rsidRPr="00635E8B" w:rsidRDefault="00635E8B" w:rsidP="00BE60F3">
            <w:pPr>
              <w:spacing w:after="0" w:line="240" w:lineRule="auto"/>
              <w:rPr>
                <w:rFonts w:eastAsia="Times New Roman" w:cs="Arial"/>
                <w:b/>
                <w:bCs/>
                <w:color w:val="000000"/>
                <w:sz w:val="18"/>
                <w:szCs w:val="18"/>
                <w:lang w:eastAsia="id-ID"/>
              </w:rPr>
            </w:pPr>
            <w:bookmarkStart w:id="208" w:name="_Hlk525224566"/>
            <w:r w:rsidRPr="00635E8B">
              <w:rPr>
                <w:rFonts w:eastAsia="Times New Roman" w:cs="Arial"/>
                <w:b/>
                <w:bCs/>
                <w:color w:val="000000"/>
                <w:sz w:val="18"/>
                <w:szCs w:val="18"/>
                <w:lang w:eastAsia="id-ID"/>
              </w:rPr>
              <w:t>99</w:t>
            </w:r>
          </w:p>
        </w:tc>
        <w:tc>
          <w:tcPr>
            <w:tcW w:w="3962" w:type="dxa"/>
            <w:tcBorders>
              <w:top w:val="nil"/>
              <w:left w:val="nil"/>
              <w:bottom w:val="single" w:sz="4" w:space="0" w:color="auto"/>
              <w:right w:val="single" w:sz="4" w:space="0" w:color="auto"/>
            </w:tcBorders>
            <w:shd w:val="clear" w:color="auto" w:fill="auto"/>
            <w:vAlign w:val="center"/>
            <w:hideMark/>
          </w:tcPr>
          <w:p w14:paraId="6CB3A16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4244E80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Nia Nadya Nur</w:t>
            </w:r>
          </w:p>
        </w:tc>
        <w:tc>
          <w:tcPr>
            <w:tcW w:w="686" w:type="dxa"/>
            <w:tcBorders>
              <w:top w:val="nil"/>
              <w:left w:val="single" w:sz="4" w:space="0" w:color="auto"/>
              <w:bottom w:val="single" w:sz="4" w:space="0" w:color="auto"/>
              <w:right w:val="single" w:sz="4" w:space="0" w:color="auto"/>
            </w:tcBorders>
            <w:shd w:val="clear" w:color="auto" w:fill="auto"/>
            <w:vAlign w:val="center"/>
          </w:tcPr>
          <w:p w14:paraId="68854FB1"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5D4F37A1"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0926D0EA"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DDB98E5"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100</w:t>
            </w:r>
          </w:p>
        </w:tc>
        <w:tc>
          <w:tcPr>
            <w:tcW w:w="3962" w:type="dxa"/>
            <w:tcBorders>
              <w:top w:val="nil"/>
              <w:left w:val="nil"/>
              <w:bottom w:val="single" w:sz="4" w:space="0" w:color="auto"/>
              <w:right w:val="single" w:sz="4" w:space="0" w:color="auto"/>
            </w:tcBorders>
            <w:shd w:val="clear" w:color="auto" w:fill="auto"/>
            <w:vAlign w:val="center"/>
            <w:hideMark/>
          </w:tcPr>
          <w:p w14:paraId="2C854E0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11101FCB"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Rullan Rinaldi</w:t>
            </w:r>
          </w:p>
        </w:tc>
        <w:tc>
          <w:tcPr>
            <w:tcW w:w="686" w:type="dxa"/>
            <w:tcBorders>
              <w:top w:val="nil"/>
              <w:left w:val="single" w:sz="4" w:space="0" w:color="auto"/>
              <w:bottom w:val="single" w:sz="4" w:space="0" w:color="auto"/>
              <w:right w:val="single" w:sz="4" w:space="0" w:color="auto"/>
            </w:tcBorders>
            <w:shd w:val="clear" w:color="auto" w:fill="auto"/>
            <w:vAlign w:val="center"/>
          </w:tcPr>
          <w:p w14:paraId="32A064C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M</w:t>
            </w:r>
          </w:p>
        </w:tc>
        <w:tc>
          <w:tcPr>
            <w:tcW w:w="837" w:type="dxa"/>
            <w:tcBorders>
              <w:top w:val="nil"/>
              <w:left w:val="nil"/>
              <w:bottom w:val="single" w:sz="4" w:space="0" w:color="auto"/>
              <w:right w:val="single" w:sz="4" w:space="0" w:color="auto"/>
            </w:tcBorders>
            <w:shd w:val="clear" w:color="auto" w:fill="auto"/>
            <w:vAlign w:val="center"/>
            <w:hideMark/>
          </w:tcPr>
          <w:p w14:paraId="4E46B1FB"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60F02765"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129559C"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101</w:t>
            </w:r>
          </w:p>
        </w:tc>
        <w:tc>
          <w:tcPr>
            <w:tcW w:w="3962" w:type="dxa"/>
            <w:tcBorders>
              <w:top w:val="nil"/>
              <w:left w:val="nil"/>
              <w:bottom w:val="single" w:sz="4" w:space="0" w:color="auto"/>
              <w:right w:val="single" w:sz="4" w:space="0" w:color="auto"/>
            </w:tcBorders>
            <w:shd w:val="clear" w:color="auto" w:fill="auto"/>
            <w:vAlign w:val="center"/>
            <w:hideMark/>
          </w:tcPr>
          <w:p w14:paraId="19C608C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Prospera Advisory</w:t>
            </w:r>
          </w:p>
        </w:tc>
        <w:tc>
          <w:tcPr>
            <w:tcW w:w="2610" w:type="dxa"/>
            <w:tcBorders>
              <w:top w:val="nil"/>
              <w:left w:val="nil"/>
              <w:bottom w:val="single" w:sz="4" w:space="0" w:color="auto"/>
              <w:right w:val="single" w:sz="4" w:space="0" w:color="auto"/>
            </w:tcBorders>
            <w:shd w:val="clear" w:color="auto" w:fill="auto"/>
            <w:vAlign w:val="center"/>
            <w:hideMark/>
          </w:tcPr>
          <w:p w14:paraId="5D4BA29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Nadia Febriana</w:t>
            </w:r>
          </w:p>
        </w:tc>
        <w:tc>
          <w:tcPr>
            <w:tcW w:w="686" w:type="dxa"/>
            <w:tcBorders>
              <w:top w:val="nil"/>
              <w:left w:val="single" w:sz="4" w:space="0" w:color="auto"/>
              <w:bottom w:val="single" w:sz="4" w:space="0" w:color="auto"/>
              <w:right w:val="single" w:sz="4" w:space="0" w:color="auto"/>
            </w:tcBorders>
            <w:shd w:val="clear" w:color="auto" w:fill="auto"/>
            <w:vAlign w:val="center"/>
          </w:tcPr>
          <w:p w14:paraId="39A97510"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34FCCA7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tr w:rsidR="00635E8B" w:rsidRPr="00635E8B" w14:paraId="30F1514F"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78244AAB"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Times New Roman" w:cs="Arial"/>
                <w:b/>
                <w:bCs/>
                <w:color w:val="000000"/>
                <w:sz w:val="18"/>
                <w:szCs w:val="18"/>
                <w:lang w:eastAsia="id-ID"/>
              </w:rPr>
              <w:t>102</w:t>
            </w:r>
          </w:p>
        </w:tc>
        <w:tc>
          <w:tcPr>
            <w:tcW w:w="3962" w:type="dxa"/>
            <w:tcBorders>
              <w:top w:val="nil"/>
              <w:left w:val="nil"/>
              <w:bottom w:val="single" w:sz="4" w:space="0" w:color="auto"/>
              <w:right w:val="single" w:sz="4" w:space="0" w:color="auto"/>
            </w:tcBorders>
            <w:shd w:val="clear" w:color="auto" w:fill="auto"/>
            <w:vAlign w:val="center"/>
            <w:hideMark/>
          </w:tcPr>
          <w:p w14:paraId="2351816D"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Clear Horizon</w:t>
            </w:r>
          </w:p>
        </w:tc>
        <w:tc>
          <w:tcPr>
            <w:tcW w:w="2610" w:type="dxa"/>
            <w:tcBorders>
              <w:top w:val="nil"/>
              <w:left w:val="nil"/>
              <w:bottom w:val="single" w:sz="4" w:space="0" w:color="auto"/>
              <w:right w:val="single" w:sz="4" w:space="0" w:color="auto"/>
            </w:tcBorders>
            <w:shd w:val="clear" w:color="auto" w:fill="auto"/>
            <w:vAlign w:val="center"/>
            <w:hideMark/>
          </w:tcPr>
          <w:p w14:paraId="08DEFD74"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Jess Dart</w:t>
            </w:r>
          </w:p>
        </w:tc>
        <w:tc>
          <w:tcPr>
            <w:tcW w:w="686" w:type="dxa"/>
            <w:tcBorders>
              <w:top w:val="nil"/>
              <w:left w:val="single" w:sz="4" w:space="0" w:color="auto"/>
              <w:bottom w:val="single" w:sz="4" w:space="0" w:color="auto"/>
              <w:right w:val="single" w:sz="4" w:space="0" w:color="auto"/>
            </w:tcBorders>
            <w:shd w:val="clear" w:color="auto" w:fill="auto"/>
            <w:vAlign w:val="center"/>
          </w:tcPr>
          <w:p w14:paraId="6DAE1039"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vAlign w:val="center"/>
            <w:hideMark/>
          </w:tcPr>
          <w:p w14:paraId="49B146A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F</w:t>
            </w:r>
          </w:p>
        </w:tc>
      </w:tr>
      <w:bookmarkEnd w:id="208"/>
      <w:tr w:rsidR="00635E8B" w:rsidRPr="00635E8B" w14:paraId="3696E870"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tcPr>
          <w:p w14:paraId="34C92435"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Calibri" w:cs="Arial"/>
                <w:b/>
                <w:sz w:val="18"/>
                <w:szCs w:val="18"/>
              </w:rPr>
              <w:t>103</w:t>
            </w:r>
          </w:p>
        </w:tc>
        <w:tc>
          <w:tcPr>
            <w:tcW w:w="3962" w:type="dxa"/>
            <w:tcBorders>
              <w:top w:val="nil"/>
              <w:left w:val="nil"/>
              <w:bottom w:val="single" w:sz="4" w:space="0" w:color="auto"/>
              <w:right w:val="single" w:sz="4" w:space="0" w:color="auto"/>
            </w:tcBorders>
            <w:shd w:val="clear" w:color="auto" w:fill="auto"/>
          </w:tcPr>
          <w:p w14:paraId="237EDD4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Calibri" w:cs="Arial"/>
                <w:sz w:val="18"/>
                <w:szCs w:val="18"/>
              </w:rPr>
              <w:t>Australia Indonesia Partnership for Justice (AIPJ)</w:t>
            </w:r>
          </w:p>
        </w:tc>
        <w:tc>
          <w:tcPr>
            <w:tcW w:w="2610" w:type="dxa"/>
            <w:tcBorders>
              <w:top w:val="nil"/>
              <w:left w:val="nil"/>
              <w:bottom w:val="single" w:sz="4" w:space="0" w:color="auto"/>
              <w:right w:val="single" w:sz="4" w:space="0" w:color="auto"/>
            </w:tcBorders>
            <w:shd w:val="clear" w:color="auto" w:fill="auto"/>
          </w:tcPr>
          <w:p w14:paraId="54FC707E"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Calibri" w:cs="Arial"/>
                <w:sz w:val="18"/>
                <w:szCs w:val="18"/>
              </w:rPr>
              <w:t>Craig Ewers</w:t>
            </w:r>
          </w:p>
        </w:tc>
        <w:tc>
          <w:tcPr>
            <w:tcW w:w="686" w:type="dxa"/>
            <w:tcBorders>
              <w:top w:val="nil"/>
              <w:left w:val="single" w:sz="4" w:space="0" w:color="auto"/>
              <w:bottom w:val="single" w:sz="4" w:space="0" w:color="auto"/>
              <w:right w:val="single" w:sz="4" w:space="0" w:color="auto"/>
            </w:tcBorders>
            <w:shd w:val="clear" w:color="auto" w:fill="auto"/>
          </w:tcPr>
          <w:p w14:paraId="73748157"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Calibri" w:cs="Arial"/>
                <w:sz w:val="18"/>
                <w:szCs w:val="18"/>
              </w:rPr>
              <w:t>M</w:t>
            </w:r>
          </w:p>
        </w:tc>
        <w:tc>
          <w:tcPr>
            <w:tcW w:w="837" w:type="dxa"/>
            <w:tcBorders>
              <w:top w:val="nil"/>
              <w:left w:val="nil"/>
              <w:bottom w:val="single" w:sz="4" w:space="0" w:color="auto"/>
              <w:right w:val="single" w:sz="4" w:space="0" w:color="auto"/>
            </w:tcBorders>
            <w:shd w:val="clear" w:color="auto" w:fill="auto"/>
          </w:tcPr>
          <w:p w14:paraId="5792D234"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4AE03BAF" w14:textId="77777777" w:rsidTr="00635E8B">
        <w:trPr>
          <w:cantSplit/>
          <w:trHeight w:hRule="exact" w:val="621"/>
        </w:trPr>
        <w:tc>
          <w:tcPr>
            <w:tcW w:w="538" w:type="dxa"/>
            <w:tcBorders>
              <w:top w:val="nil"/>
              <w:left w:val="single" w:sz="4" w:space="0" w:color="auto"/>
              <w:bottom w:val="single" w:sz="4" w:space="0" w:color="auto"/>
              <w:right w:val="single" w:sz="4" w:space="0" w:color="auto"/>
            </w:tcBorders>
            <w:shd w:val="clear" w:color="auto" w:fill="auto"/>
          </w:tcPr>
          <w:p w14:paraId="565FD878"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Calibri" w:cs="Arial"/>
                <w:b/>
                <w:sz w:val="18"/>
                <w:szCs w:val="18"/>
              </w:rPr>
              <w:t>104</w:t>
            </w:r>
          </w:p>
        </w:tc>
        <w:tc>
          <w:tcPr>
            <w:tcW w:w="3962" w:type="dxa"/>
            <w:tcBorders>
              <w:top w:val="nil"/>
              <w:left w:val="nil"/>
              <w:bottom w:val="single" w:sz="4" w:space="0" w:color="auto"/>
              <w:right w:val="single" w:sz="4" w:space="0" w:color="auto"/>
            </w:tcBorders>
            <w:shd w:val="clear" w:color="auto" w:fill="auto"/>
          </w:tcPr>
          <w:p w14:paraId="36004DE2"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Calibri" w:cs="Arial"/>
                <w:sz w:val="18"/>
                <w:szCs w:val="18"/>
              </w:rPr>
              <w:t>Management of a Program Towards a Strong and Prosperous Indonesian Society (MAHKOTA)</w:t>
            </w:r>
          </w:p>
        </w:tc>
        <w:tc>
          <w:tcPr>
            <w:tcW w:w="2610" w:type="dxa"/>
            <w:tcBorders>
              <w:top w:val="nil"/>
              <w:left w:val="nil"/>
              <w:bottom w:val="single" w:sz="4" w:space="0" w:color="auto"/>
              <w:right w:val="single" w:sz="4" w:space="0" w:color="auto"/>
            </w:tcBorders>
            <w:shd w:val="clear" w:color="auto" w:fill="auto"/>
          </w:tcPr>
          <w:p w14:paraId="44B8AC38"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Calibri" w:cs="Arial"/>
                <w:sz w:val="18"/>
                <w:szCs w:val="18"/>
              </w:rPr>
              <w:t>Sue Ellen O'Farrell</w:t>
            </w:r>
          </w:p>
        </w:tc>
        <w:tc>
          <w:tcPr>
            <w:tcW w:w="686" w:type="dxa"/>
            <w:tcBorders>
              <w:top w:val="nil"/>
              <w:left w:val="single" w:sz="4" w:space="0" w:color="auto"/>
              <w:bottom w:val="single" w:sz="4" w:space="0" w:color="auto"/>
              <w:right w:val="single" w:sz="4" w:space="0" w:color="auto"/>
            </w:tcBorders>
            <w:shd w:val="clear" w:color="auto" w:fill="auto"/>
          </w:tcPr>
          <w:p w14:paraId="7BB3C75E" w14:textId="77777777" w:rsidR="00635E8B" w:rsidRPr="00635E8B" w:rsidRDefault="00635E8B" w:rsidP="00BE60F3">
            <w:pPr>
              <w:spacing w:after="0" w:line="240" w:lineRule="auto"/>
              <w:rPr>
                <w:rFonts w:eastAsia="Times New Roman" w:cs="Arial"/>
                <w:color w:val="000000"/>
                <w:sz w:val="18"/>
                <w:szCs w:val="18"/>
                <w:lang w:eastAsia="id-ID"/>
              </w:rPr>
            </w:pPr>
          </w:p>
        </w:tc>
        <w:tc>
          <w:tcPr>
            <w:tcW w:w="837" w:type="dxa"/>
            <w:tcBorders>
              <w:top w:val="nil"/>
              <w:left w:val="nil"/>
              <w:bottom w:val="single" w:sz="4" w:space="0" w:color="auto"/>
              <w:right w:val="single" w:sz="4" w:space="0" w:color="auto"/>
            </w:tcBorders>
            <w:shd w:val="clear" w:color="auto" w:fill="auto"/>
          </w:tcPr>
          <w:p w14:paraId="3AF457F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Calibri" w:cs="Arial"/>
                <w:sz w:val="18"/>
                <w:szCs w:val="18"/>
              </w:rPr>
              <w:t>F</w:t>
            </w:r>
          </w:p>
        </w:tc>
      </w:tr>
      <w:tr w:rsidR="00635E8B" w:rsidRPr="00635E8B" w14:paraId="008900B7"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tcPr>
          <w:p w14:paraId="175E79F3"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Calibri" w:cs="Arial"/>
                <w:b/>
                <w:sz w:val="18"/>
                <w:szCs w:val="18"/>
              </w:rPr>
              <w:t>105</w:t>
            </w:r>
          </w:p>
        </w:tc>
        <w:tc>
          <w:tcPr>
            <w:tcW w:w="3962" w:type="dxa"/>
            <w:tcBorders>
              <w:top w:val="nil"/>
              <w:left w:val="nil"/>
              <w:bottom w:val="single" w:sz="4" w:space="0" w:color="auto"/>
              <w:right w:val="single" w:sz="4" w:space="0" w:color="auto"/>
            </w:tcBorders>
            <w:shd w:val="clear" w:color="auto" w:fill="auto"/>
          </w:tcPr>
          <w:p w14:paraId="1E791CCC"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Calibri" w:cs="Arial"/>
                <w:sz w:val="18"/>
                <w:szCs w:val="18"/>
              </w:rPr>
              <w:t>Indonesia Australia Infrastructure Partnership (KIAT)</w:t>
            </w:r>
          </w:p>
        </w:tc>
        <w:tc>
          <w:tcPr>
            <w:tcW w:w="2610" w:type="dxa"/>
            <w:tcBorders>
              <w:top w:val="nil"/>
              <w:left w:val="nil"/>
              <w:bottom w:val="single" w:sz="4" w:space="0" w:color="auto"/>
              <w:right w:val="single" w:sz="4" w:space="0" w:color="auto"/>
            </w:tcBorders>
            <w:shd w:val="clear" w:color="auto" w:fill="auto"/>
          </w:tcPr>
          <w:p w14:paraId="2752767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Calibri" w:cs="Arial"/>
                <w:sz w:val="18"/>
                <w:szCs w:val="18"/>
              </w:rPr>
              <w:t>Paul Wright</w:t>
            </w:r>
          </w:p>
        </w:tc>
        <w:tc>
          <w:tcPr>
            <w:tcW w:w="686" w:type="dxa"/>
            <w:tcBorders>
              <w:top w:val="nil"/>
              <w:left w:val="single" w:sz="4" w:space="0" w:color="auto"/>
              <w:bottom w:val="single" w:sz="4" w:space="0" w:color="auto"/>
              <w:right w:val="single" w:sz="4" w:space="0" w:color="auto"/>
            </w:tcBorders>
            <w:shd w:val="clear" w:color="auto" w:fill="auto"/>
          </w:tcPr>
          <w:p w14:paraId="219730C3"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Calibri" w:cs="Arial"/>
                <w:sz w:val="18"/>
                <w:szCs w:val="18"/>
              </w:rPr>
              <w:t>M</w:t>
            </w:r>
          </w:p>
        </w:tc>
        <w:tc>
          <w:tcPr>
            <w:tcW w:w="837" w:type="dxa"/>
            <w:tcBorders>
              <w:top w:val="nil"/>
              <w:left w:val="nil"/>
              <w:bottom w:val="single" w:sz="4" w:space="0" w:color="auto"/>
              <w:right w:val="single" w:sz="4" w:space="0" w:color="auto"/>
            </w:tcBorders>
            <w:shd w:val="clear" w:color="auto" w:fill="auto"/>
          </w:tcPr>
          <w:p w14:paraId="40365C8A"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58F711E3"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auto" w:fill="auto"/>
          </w:tcPr>
          <w:p w14:paraId="22ED1325" w14:textId="77777777" w:rsidR="00635E8B" w:rsidRPr="00635E8B" w:rsidRDefault="00635E8B" w:rsidP="00BE60F3">
            <w:pPr>
              <w:spacing w:after="0" w:line="240" w:lineRule="auto"/>
              <w:rPr>
                <w:rFonts w:eastAsia="Times New Roman" w:cs="Arial"/>
                <w:b/>
                <w:bCs/>
                <w:color w:val="000000"/>
                <w:sz w:val="18"/>
                <w:szCs w:val="18"/>
                <w:lang w:eastAsia="id-ID"/>
              </w:rPr>
            </w:pPr>
            <w:r w:rsidRPr="00635E8B">
              <w:rPr>
                <w:rFonts w:eastAsia="Calibri" w:cs="Arial"/>
                <w:b/>
                <w:sz w:val="18"/>
                <w:szCs w:val="18"/>
              </w:rPr>
              <w:t>106</w:t>
            </w:r>
          </w:p>
        </w:tc>
        <w:tc>
          <w:tcPr>
            <w:tcW w:w="3962" w:type="dxa"/>
            <w:tcBorders>
              <w:top w:val="nil"/>
              <w:left w:val="nil"/>
              <w:bottom w:val="single" w:sz="4" w:space="0" w:color="auto"/>
              <w:right w:val="single" w:sz="4" w:space="0" w:color="auto"/>
            </w:tcBorders>
            <w:shd w:val="clear" w:color="auto" w:fill="auto"/>
          </w:tcPr>
          <w:p w14:paraId="7C0441CA"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Calibri" w:cs="Arial"/>
                <w:sz w:val="18"/>
                <w:szCs w:val="18"/>
              </w:rPr>
              <w:t>Empowering Indonesian Women for Poverty Reduction (MAMPU)</w:t>
            </w:r>
          </w:p>
        </w:tc>
        <w:tc>
          <w:tcPr>
            <w:tcW w:w="2610" w:type="dxa"/>
            <w:tcBorders>
              <w:top w:val="nil"/>
              <w:left w:val="nil"/>
              <w:bottom w:val="single" w:sz="4" w:space="0" w:color="auto"/>
              <w:right w:val="single" w:sz="4" w:space="0" w:color="auto"/>
            </w:tcBorders>
            <w:shd w:val="clear" w:color="auto" w:fill="auto"/>
          </w:tcPr>
          <w:p w14:paraId="4A5CD56F"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Calibri" w:cs="Arial"/>
                <w:sz w:val="18"/>
                <w:szCs w:val="18"/>
              </w:rPr>
              <w:t>Stewart Norup</w:t>
            </w:r>
          </w:p>
        </w:tc>
        <w:tc>
          <w:tcPr>
            <w:tcW w:w="686" w:type="dxa"/>
            <w:tcBorders>
              <w:top w:val="nil"/>
              <w:left w:val="single" w:sz="4" w:space="0" w:color="auto"/>
              <w:bottom w:val="single" w:sz="4" w:space="0" w:color="auto"/>
              <w:right w:val="single" w:sz="4" w:space="0" w:color="auto"/>
            </w:tcBorders>
            <w:shd w:val="clear" w:color="auto" w:fill="auto"/>
          </w:tcPr>
          <w:p w14:paraId="6674ECE5"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Calibri" w:cs="Arial"/>
                <w:sz w:val="18"/>
                <w:szCs w:val="18"/>
              </w:rPr>
              <w:t>M</w:t>
            </w:r>
          </w:p>
        </w:tc>
        <w:tc>
          <w:tcPr>
            <w:tcW w:w="837" w:type="dxa"/>
            <w:tcBorders>
              <w:top w:val="nil"/>
              <w:left w:val="nil"/>
              <w:bottom w:val="single" w:sz="4" w:space="0" w:color="auto"/>
              <w:right w:val="single" w:sz="4" w:space="0" w:color="auto"/>
            </w:tcBorders>
            <w:shd w:val="clear" w:color="auto" w:fill="auto"/>
          </w:tcPr>
          <w:p w14:paraId="2EB10AC6" w14:textId="77777777" w:rsidR="00635E8B" w:rsidRPr="00635E8B" w:rsidRDefault="00635E8B" w:rsidP="00BE60F3">
            <w:pPr>
              <w:spacing w:after="0" w:line="240" w:lineRule="auto"/>
              <w:rPr>
                <w:rFonts w:eastAsia="Times New Roman" w:cs="Arial"/>
                <w:color w:val="000000"/>
                <w:sz w:val="18"/>
                <w:szCs w:val="18"/>
                <w:lang w:eastAsia="id-ID"/>
              </w:rPr>
            </w:pPr>
          </w:p>
        </w:tc>
      </w:tr>
      <w:tr w:rsidR="00635E8B" w:rsidRPr="00635E8B" w14:paraId="6DF3CD88" w14:textId="77777777" w:rsidTr="00635E8B">
        <w:trPr>
          <w:cantSplit/>
          <w:trHeight w:hRule="exact" w:val="432"/>
        </w:trPr>
        <w:tc>
          <w:tcPr>
            <w:tcW w:w="538" w:type="dxa"/>
            <w:tcBorders>
              <w:top w:val="nil"/>
              <w:left w:val="single" w:sz="4" w:space="0" w:color="auto"/>
              <w:bottom w:val="single" w:sz="4" w:space="0" w:color="auto"/>
              <w:right w:val="single" w:sz="4" w:space="0" w:color="auto"/>
            </w:tcBorders>
            <w:shd w:val="clear" w:color="000000" w:fill="BFBFBF"/>
            <w:vAlign w:val="center"/>
            <w:hideMark/>
          </w:tcPr>
          <w:p w14:paraId="19762801" w14:textId="77777777" w:rsidR="00635E8B" w:rsidRPr="00635E8B" w:rsidRDefault="00635E8B" w:rsidP="00BE60F3">
            <w:pPr>
              <w:spacing w:after="0" w:line="240" w:lineRule="auto"/>
              <w:rPr>
                <w:rFonts w:eastAsia="Times New Roman" w:cs="Arial"/>
                <w:b/>
                <w:bCs/>
                <w:color w:val="FF0000"/>
                <w:sz w:val="18"/>
                <w:szCs w:val="18"/>
                <w:lang w:eastAsia="id-ID"/>
              </w:rPr>
            </w:pPr>
            <w:r w:rsidRPr="00635E8B">
              <w:rPr>
                <w:rFonts w:eastAsia="Times New Roman" w:cs="Arial"/>
                <w:b/>
                <w:bCs/>
                <w:color w:val="FF0000"/>
                <w:sz w:val="18"/>
                <w:szCs w:val="18"/>
                <w:lang w:eastAsia="id-ID"/>
              </w:rPr>
              <w:t> </w:t>
            </w:r>
          </w:p>
        </w:tc>
        <w:tc>
          <w:tcPr>
            <w:tcW w:w="3962" w:type="dxa"/>
            <w:tcBorders>
              <w:top w:val="nil"/>
              <w:left w:val="nil"/>
              <w:bottom w:val="single" w:sz="4" w:space="0" w:color="auto"/>
              <w:right w:val="single" w:sz="4" w:space="0" w:color="auto"/>
            </w:tcBorders>
            <w:shd w:val="clear" w:color="000000" w:fill="BFBFBF"/>
            <w:vAlign w:val="center"/>
            <w:hideMark/>
          </w:tcPr>
          <w:p w14:paraId="64E96F79" w14:textId="77777777" w:rsidR="00635E8B" w:rsidRPr="00635E8B" w:rsidRDefault="00635E8B" w:rsidP="00BE60F3">
            <w:pPr>
              <w:spacing w:after="0" w:line="240" w:lineRule="auto"/>
              <w:rPr>
                <w:rFonts w:eastAsia="Times New Roman" w:cs="Arial"/>
                <w:color w:val="000000"/>
                <w:sz w:val="18"/>
                <w:szCs w:val="18"/>
                <w:lang w:eastAsia="id-ID"/>
              </w:rPr>
            </w:pPr>
            <w:r w:rsidRPr="00635E8B">
              <w:rPr>
                <w:rFonts w:eastAsia="Times New Roman" w:cs="Arial"/>
                <w:color w:val="000000"/>
                <w:sz w:val="18"/>
                <w:szCs w:val="18"/>
                <w:lang w:eastAsia="id-ID"/>
              </w:rPr>
              <w:t> </w:t>
            </w:r>
          </w:p>
        </w:tc>
        <w:tc>
          <w:tcPr>
            <w:tcW w:w="2610" w:type="dxa"/>
            <w:tcBorders>
              <w:top w:val="nil"/>
              <w:left w:val="nil"/>
              <w:bottom w:val="single" w:sz="4" w:space="0" w:color="auto"/>
              <w:right w:val="single" w:sz="4" w:space="0" w:color="auto"/>
            </w:tcBorders>
            <w:shd w:val="clear" w:color="000000" w:fill="BFBFBF"/>
            <w:vAlign w:val="center"/>
            <w:hideMark/>
          </w:tcPr>
          <w:p w14:paraId="6A666F3D" w14:textId="77777777" w:rsidR="00635E8B" w:rsidRPr="00635E8B" w:rsidRDefault="00635E8B" w:rsidP="00BE60F3">
            <w:pPr>
              <w:spacing w:after="0" w:line="240" w:lineRule="auto"/>
              <w:rPr>
                <w:rFonts w:eastAsia="Times New Roman" w:cs="Arial"/>
                <w:b/>
                <w:bCs/>
                <w:sz w:val="18"/>
                <w:szCs w:val="18"/>
                <w:lang w:eastAsia="id-ID"/>
              </w:rPr>
            </w:pPr>
            <w:r w:rsidRPr="00635E8B">
              <w:rPr>
                <w:rFonts w:eastAsia="Times New Roman" w:cs="Arial"/>
                <w:b/>
                <w:bCs/>
                <w:sz w:val="18"/>
                <w:szCs w:val="18"/>
                <w:lang w:eastAsia="id-ID"/>
              </w:rPr>
              <w:t>TOTAL: 106</w:t>
            </w:r>
          </w:p>
        </w:tc>
        <w:tc>
          <w:tcPr>
            <w:tcW w:w="686" w:type="dxa"/>
            <w:tcBorders>
              <w:top w:val="single" w:sz="4" w:space="0" w:color="auto"/>
              <w:left w:val="nil"/>
              <w:bottom w:val="single" w:sz="4" w:space="0" w:color="auto"/>
              <w:right w:val="single" w:sz="4" w:space="0" w:color="auto"/>
            </w:tcBorders>
            <w:shd w:val="clear" w:color="000000" w:fill="BFBFBF"/>
            <w:vAlign w:val="center"/>
          </w:tcPr>
          <w:p w14:paraId="76C661C8" w14:textId="77777777" w:rsidR="00635E8B" w:rsidRPr="00635E8B" w:rsidRDefault="00635E8B" w:rsidP="00BE60F3">
            <w:pPr>
              <w:spacing w:after="0" w:line="240" w:lineRule="auto"/>
              <w:rPr>
                <w:rFonts w:eastAsia="Times New Roman" w:cs="Arial"/>
                <w:b/>
                <w:bCs/>
                <w:sz w:val="18"/>
                <w:szCs w:val="18"/>
                <w:lang w:eastAsia="id-ID"/>
              </w:rPr>
            </w:pPr>
            <w:r w:rsidRPr="00635E8B">
              <w:rPr>
                <w:rFonts w:eastAsia="Times New Roman" w:cs="Arial"/>
                <w:b/>
                <w:bCs/>
                <w:sz w:val="18"/>
                <w:szCs w:val="18"/>
                <w:lang w:eastAsia="id-ID"/>
              </w:rPr>
              <w:t>58</w:t>
            </w:r>
          </w:p>
        </w:tc>
        <w:tc>
          <w:tcPr>
            <w:tcW w:w="837" w:type="dxa"/>
            <w:tcBorders>
              <w:top w:val="nil"/>
              <w:left w:val="single" w:sz="4" w:space="0" w:color="auto"/>
              <w:bottom w:val="single" w:sz="4" w:space="0" w:color="auto"/>
              <w:right w:val="single" w:sz="4" w:space="0" w:color="auto"/>
            </w:tcBorders>
            <w:shd w:val="clear" w:color="000000" w:fill="BFBFBF"/>
            <w:vAlign w:val="center"/>
            <w:hideMark/>
          </w:tcPr>
          <w:p w14:paraId="33A221B4" w14:textId="77777777" w:rsidR="00635E8B" w:rsidRPr="00635E8B" w:rsidRDefault="00635E8B" w:rsidP="00BE60F3">
            <w:pPr>
              <w:spacing w:after="0" w:line="240" w:lineRule="auto"/>
              <w:rPr>
                <w:rFonts w:eastAsia="Times New Roman" w:cs="Arial"/>
                <w:b/>
                <w:bCs/>
                <w:sz w:val="18"/>
                <w:szCs w:val="18"/>
                <w:lang w:eastAsia="id-ID"/>
              </w:rPr>
            </w:pPr>
            <w:r w:rsidRPr="00635E8B">
              <w:rPr>
                <w:rFonts w:eastAsia="Times New Roman" w:cs="Arial"/>
                <w:b/>
                <w:bCs/>
                <w:sz w:val="18"/>
                <w:szCs w:val="18"/>
                <w:lang w:eastAsia="id-ID"/>
              </w:rPr>
              <w:t>48</w:t>
            </w:r>
          </w:p>
        </w:tc>
      </w:tr>
    </w:tbl>
    <w:p w14:paraId="5357640B" w14:textId="2F789DE4" w:rsidR="00637B74" w:rsidRDefault="00637B74" w:rsidP="00BE60F3">
      <w:pPr>
        <w:pStyle w:val="AnnexHeading"/>
        <w:numPr>
          <w:ilvl w:val="0"/>
          <w:numId w:val="0"/>
        </w:numPr>
        <w:ind w:left="851" w:hanging="851"/>
      </w:pPr>
    </w:p>
    <w:p w14:paraId="414E10D0" w14:textId="77777777" w:rsidR="00637B74" w:rsidRDefault="00637B74">
      <w:pPr>
        <w:spacing w:after="0" w:line="240" w:lineRule="auto"/>
        <w:rPr>
          <w:rFonts w:eastAsiaTheme="majorEastAsia" w:cstheme="majorBidi"/>
          <w:color w:val="20ABCA" w:themeColor="accent6"/>
          <w:sz w:val="28"/>
          <w:szCs w:val="32"/>
        </w:rPr>
      </w:pPr>
      <w:r>
        <w:br w:type="page"/>
      </w:r>
    </w:p>
    <w:p w14:paraId="578BF666" w14:textId="725E4523" w:rsidR="001304F1" w:rsidRPr="00637B74" w:rsidRDefault="00334B64" w:rsidP="0082195C">
      <w:pPr>
        <w:pStyle w:val="Heading1"/>
        <w:numPr>
          <w:ilvl w:val="0"/>
          <w:numId w:val="0"/>
        </w:numPr>
        <w:ind w:left="851" w:hanging="851"/>
      </w:pPr>
      <w:bookmarkStart w:id="209" w:name="_Toc532991087"/>
      <w:r>
        <w:t xml:space="preserve">Annex </w:t>
      </w:r>
      <w:r w:rsidR="00B30435">
        <w:t>10</w:t>
      </w:r>
      <w:r>
        <w:tab/>
      </w:r>
      <w:r w:rsidR="00637B74" w:rsidRPr="00637B74">
        <w:t>Acronyms</w:t>
      </w:r>
      <w:bookmarkEnd w:id="209"/>
      <w:r w:rsidR="00637B74" w:rsidRPr="00637B74">
        <w:t xml:space="preserve"> </w:t>
      </w:r>
    </w:p>
    <w:tbl>
      <w:tblPr>
        <w:tblStyle w:val="TableGrid"/>
        <w:tblW w:w="9067" w:type="dxa"/>
        <w:tblLook w:val="04A0" w:firstRow="1" w:lastRow="0" w:firstColumn="1" w:lastColumn="0" w:noHBand="0" w:noVBand="1"/>
      </w:tblPr>
      <w:tblGrid>
        <w:gridCol w:w="2401"/>
        <w:gridCol w:w="6666"/>
      </w:tblGrid>
      <w:tr w:rsidR="00637B74" w:rsidRPr="00E15236" w14:paraId="669BD3F3" w14:textId="77777777" w:rsidTr="005A5CA7">
        <w:trPr>
          <w:cantSplit/>
          <w:trHeight w:val="404"/>
          <w:tblHeader/>
        </w:trPr>
        <w:tc>
          <w:tcPr>
            <w:tcW w:w="2401" w:type="dxa"/>
            <w:shd w:val="clear" w:color="auto" w:fill="20ABCA"/>
            <w:vAlign w:val="center"/>
          </w:tcPr>
          <w:p w14:paraId="24A29CC2" w14:textId="7C4EA075" w:rsidR="00637B74" w:rsidRPr="00E15236" w:rsidRDefault="00637B74" w:rsidP="005A5CA7">
            <w:pPr>
              <w:spacing w:before="60" w:after="60"/>
              <w:rPr>
                <w:rFonts w:eastAsia="Calibri" w:cs="Arial"/>
                <w:color w:val="FFFFFF"/>
                <w:sz w:val="20"/>
                <w:szCs w:val="20"/>
                <w:highlight w:val="yellow"/>
              </w:rPr>
            </w:pPr>
            <w:r>
              <w:rPr>
                <w:rFonts w:eastAsia="Franklin Gothic Book" w:cs="Arial"/>
                <w:b/>
                <w:color w:val="FFFFFF"/>
                <w:sz w:val="20"/>
                <w:szCs w:val="20"/>
              </w:rPr>
              <w:t>Acronym</w:t>
            </w:r>
            <w:r w:rsidRPr="00E15236">
              <w:rPr>
                <w:rFonts w:eastAsia="Franklin Gothic Book" w:cs="Arial"/>
                <w:b/>
                <w:color w:val="FFFFFF"/>
                <w:sz w:val="20"/>
                <w:szCs w:val="20"/>
              </w:rPr>
              <w:t xml:space="preserve"> </w:t>
            </w:r>
          </w:p>
        </w:tc>
        <w:tc>
          <w:tcPr>
            <w:tcW w:w="6666" w:type="dxa"/>
            <w:shd w:val="clear" w:color="auto" w:fill="20ABCA"/>
            <w:vAlign w:val="center"/>
          </w:tcPr>
          <w:p w14:paraId="0D649459" w14:textId="19B2B84B" w:rsidR="00637B74" w:rsidRPr="00E15236" w:rsidRDefault="00637B74" w:rsidP="005A5CA7">
            <w:pPr>
              <w:spacing w:before="60" w:after="60"/>
              <w:rPr>
                <w:rFonts w:eastAsia="Franklin Gothic Book" w:cs="Arial"/>
                <w:b/>
                <w:color w:val="FFFFFF"/>
                <w:sz w:val="20"/>
                <w:szCs w:val="20"/>
              </w:rPr>
            </w:pPr>
            <w:r>
              <w:rPr>
                <w:rFonts w:eastAsia="Franklin Gothic Book" w:cs="Arial"/>
                <w:b/>
                <w:color w:val="FFFFFF"/>
                <w:sz w:val="20"/>
                <w:szCs w:val="20"/>
              </w:rPr>
              <w:t>Description</w:t>
            </w:r>
          </w:p>
        </w:tc>
      </w:tr>
      <w:tr w:rsidR="00637B74" w:rsidRPr="00E15236" w14:paraId="7410A945" w14:textId="77777777" w:rsidTr="005A5CA7">
        <w:trPr>
          <w:cantSplit/>
        </w:trPr>
        <w:tc>
          <w:tcPr>
            <w:tcW w:w="2401" w:type="dxa"/>
          </w:tcPr>
          <w:p w14:paraId="031F0545"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ABS</w:t>
            </w:r>
          </w:p>
        </w:tc>
        <w:tc>
          <w:tcPr>
            <w:tcW w:w="6666" w:type="dxa"/>
          </w:tcPr>
          <w:p w14:paraId="5819E26F" w14:textId="77777777" w:rsidR="00637B74" w:rsidRPr="00E15236" w:rsidRDefault="00637B74" w:rsidP="005A5CA7">
            <w:pPr>
              <w:spacing w:before="60" w:after="60"/>
              <w:rPr>
                <w:rFonts w:eastAsia="Calibri" w:cs="Arial"/>
                <w:bCs/>
                <w:sz w:val="20"/>
                <w:szCs w:val="20"/>
                <w:lang w:val="id-ID"/>
              </w:rPr>
            </w:pPr>
            <w:r w:rsidRPr="00E15236">
              <w:rPr>
                <w:rFonts w:eastAsia="Calibri" w:cs="Arial"/>
                <w:bCs/>
                <w:sz w:val="20"/>
                <w:szCs w:val="20"/>
                <w:lang w:val="id-ID"/>
              </w:rPr>
              <w:t>Australian Bureau of Statistics</w:t>
            </w:r>
          </w:p>
        </w:tc>
      </w:tr>
      <w:tr w:rsidR="00637B74" w:rsidRPr="00E15236" w14:paraId="53E3DA8F" w14:textId="77777777" w:rsidTr="005A5CA7">
        <w:trPr>
          <w:cantSplit/>
        </w:trPr>
        <w:tc>
          <w:tcPr>
            <w:tcW w:w="2401" w:type="dxa"/>
          </w:tcPr>
          <w:p w14:paraId="3E3AB0F4"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AMSA</w:t>
            </w:r>
          </w:p>
        </w:tc>
        <w:tc>
          <w:tcPr>
            <w:tcW w:w="6666" w:type="dxa"/>
          </w:tcPr>
          <w:p w14:paraId="6CA36844" w14:textId="77777777" w:rsidR="00637B74" w:rsidRPr="00E15236" w:rsidRDefault="00637B74" w:rsidP="005A5CA7">
            <w:pPr>
              <w:spacing w:before="60" w:after="60"/>
              <w:rPr>
                <w:rFonts w:eastAsia="Calibri" w:cs="Arial"/>
                <w:b/>
                <w:bCs/>
                <w:sz w:val="20"/>
                <w:szCs w:val="20"/>
                <w:lang w:val="id-ID"/>
              </w:rPr>
            </w:pPr>
            <w:r w:rsidRPr="00E15236">
              <w:rPr>
                <w:rFonts w:eastAsia="Calibri" w:cs="Arial"/>
                <w:bCs/>
                <w:sz w:val="20"/>
                <w:szCs w:val="20"/>
                <w:lang w:val="en-US"/>
              </w:rPr>
              <w:t>Australian Maritime Safety Authority</w:t>
            </w:r>
          </w:p>
        </w:tc>
      </w:tr>
      <w:tr w:rsidR="00637B74" w:rsidRPr="00E15236" w14:paraId="402049CB" w14:textId="77777777" w:rsidTr="005A5CA7">
        <w:trPr>
          <w:cantSplit/>
        </w:trPr>
        <w:tc>
          <w:tcPr>
            <w:tcW w:w="2401" w:type="dxa"/>
          </w:tcPr>
          <w:p w14:paraId="6744827A"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AIECO</w:t>
            </w:r>
          </w:p>
        </w:tc>
        <w:tc>
          <w:tcPr>
            <w:tcW w:w="6666" w:type="dxa"/>
          </w:tcPr>
          <w:p w14:paraId="4A4E7D0D" w14:textId="77777777" w:rsidR="00637B74" w:rsidRPr="00E15236" w:rsidRDefault="00637B74" w:rsidP="005A5CA7">
            <w:pPr>
              <w:spacing w:before="60" w:after="60"/>
              <w:rPr>
                <w:rFonts w:eastAsia="Calibri" w:cs="Arial"/>
                <w:sz w:val="20"/>
                <w:szCs w:val="20"/>
              </w:rPr>
            </w:pPr>
            <w:r w:rsidRPr="00E15236">
              <w:rPr>
                <w:rFonts w:eastAsia="Calibri" w:cs="Arial"/>
                <w:bCs/>
                <w:sz w:val="20"/>
                <w:szCs w:val="20"/>
                <w:lang w:val="id-ID"/>
              </w:rPr>
              <w:t>Australia Indonesia Economic Cooperation Partnership</w:t>
            </w:r>
          </w:p>
        </w:tc>
      </w:tr>
      <w:tr w:rsidR="00637B74" w:rsidRPr="00E15236" w14:paraId="20D35E29" w14:textId="77777777" w:rsidTr="005A5CA7">
        <w:trPr>
          <w:cantSplit/>
        </w:trPr>
        <w:tc>
          <w:tcPr>
            <w:tcW w:w="2401" w:type="dxa"/>
          </w:tcPr>
          <w:p w14:paraId="31BBC411" w14:textId="77777777" w:rsidR="00637B74" w:rsidRPr="00E15236" w:rsidRDefault="00637B74" w:rsidP="005A5CA7">
            <w:pPr>
              <w:spacing w:before="60" w:after="60"/>
              <w:rPr>
                <w:rFonts w:eastAsia="Calibri" w:cs="Arial"/>
                <w:sz w:val="20"/>
                <w:szCs w:val="20"/>
              </w:rPr>
            </w:pPr>
            <w:r w:rsidRPr="00E15236">
              <w:rPr>
                <w:rFonts w:eastAsia="Calibri" w:cs="Arial"/>
                <w:sz w:val="20"/>
                <w:szCs w:val="20"/>
              </w:rPr>
              <w:t>AIPEG</w:t>
            </w:r>
          </w:p>
        </w:tc>
        <w:tc>
          <w:tcPr>
            <w:tcW w:w="6666" w:type="dxa"/>
          </w:tcPr>
          <w:p w14:paraId="0B5D996B" w14:textId="77777777" w:rsidR="00637B74" w:rsidRPr="00E15236" w:rsidRDefault="00637B74" w:rsidP="005A5CA7">
            <w:pPr>
              <w:spacing w:before="60" w:after="60"/>
              <w:rPr>
                <w:rFonts w:eastAsia="Calibri" w:cs="Arial"/>
                <w:sz w:val="20"/>
                <w:szCs w:val="20"/>
              </w:rPr>
            </w:pPr>
            <w:r w:rsidRPr="00E15236">
              <w:rPr>
                <w:rFonts w:eastAsia="Calibri" w:cs="Arial"/>
                <w:sz w:val="20"/>
                <w:szCs w:val="20"/>
              </w:rPr>
              <w:t>Australia Indonesia Partnership for Economic Governance</w:t>
            </w:r>
          </w:p>
        </w:tc>
      </w:tr>
      <w:tr w:rsidR="00637B74" w:rsidRPr="00E15236" w14:paraId="7E2FED02" w14:textId="77777777" w:rsidTr="005A5CA7">
        <w:trPr>
          <w:cantSplit/>
        </w:trPr>
        <w:tc>
          <w:tcPr>
            <w:tcW w:w="2401" w:type="dxa"/>
          </w:tcPr>
          <w:p w14:paraId="67D01EE3"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APRA</w:t>
            </w:r>
          </w:p>
        </w:tc>
        <w:tc>
          <w:tcPr>
            <w:tcW w:w="6666" w:type="dxa"/>
          </w:tcPr>
          <w:p w14:paraId="363DDC0F" w14:textId="77777777" w:rsidR="00637B74" w:rsidRPr="00E15236" w:rsidRDefault="00637B74" w:rsidP="005A5CA7">
            <w:pPr>
              <w:spacing w:before="60" w:after="60"/>
              <w:rPr>
                <w:rFonts w:eastAsia="Calibri" w:cs="Arial"/>
                <w:bCs/>
                <w:sz w:val="20"/>
                <w:szCs w:val="20"/>
              </w:rPr>
            </w:pPr>
            <w:r w:rsidRPr="00E15236">
              <w:rPr>
                <w:rFonts w:eastAsia="Calibri" w:cs="Arial"/>
                <w:bCs/>
                <w:sz w:val="20"/>
                <w:szCs w:val="20"/>
                <w:lang w:val="en-US"/>
              </w:rPr>
              <w:t>Australian Prudential Regulation Authority</w:t>
            </w:r>
          </w:p>
        </w:tc>
      </w:tr>
      <w:tr w:rsidR="00637B74" w:rsidRPr="00E15236" w14:paraId="78AD6416" w14:textId="77777777" w:rsidTr="005A5CA7">
        <w:trPr>
          <w:cantSplit/>
        </w:trPr>
        <w:tc>
          <w:tcPr>
            <w:tcW w:w="2401" w:type="dxa"/>
          </w:tcPr>
          <w:p w14:paraId="0FA46376"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APS</w:t>
            </w:r>
          </w:p>
        </w:tc>
        <w:tc>
          <w:tcPr>
            <w:tcW w:w="6666" w:type="dxa"/>
          </w:tcPr>
          <w:p w14:paraId="3088518D" w14:textId="77777777" w:rsidR="00637B74" w:rsidRPr="00E15236" w:rsidRDefault="00637B74" w:rsidP="005A5CA7">
            <w:pPr>
              <w:spacing w:before="60" w:after="60"/>
              <w:rPr>
                <w:rFonts w:eastAsia="Calibri" w:cs="Arial"/>
                <w:bCs/>
                <w:sz w:val="20"/>
                <w:szCs w:val="20"/>
                <w:lang w:val="id-ID"/>
              </w:rPr>
            </w:pPr>
            <w:r w:rsidRPr="00E15236">
              <w:rPr>
                <w:rFonts w:eastAsia="Calibri" w:cs="Arial"/>
                <w:bCs/>
                <w:sz w:val="20"/>
                <w:szCs w:val="20"/>
                <w:lang w:val="id-ID"/>
              </w:rPr>
              <w:t>Australian Public Service</w:t>
            </w:r>
          </w:p>
        </w:tc>
      </w:tr>
      <w:tr w:rsidR="00637B74" w:rsidRPr="00E15236" w14:paraId="0143090A" w14:textId="77777777" w:rsidTr="005A5CA7">
        <w:trPr>
          <w:cantSplit/>
        </w:trPr>
        <w:tc>
          <w:tcPr>
            <w:tcW w:w="2401" w:type="dxa"/>
          </w:tcPr>
          <w:p w14:paraId="2EE5A657"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ASIC</w:t>
            </w:r>
          </w:p>
        </w:tc>
        <w:tc>
          <w:tcPr>
            <w:tcW w:w="6666" w:type="dxa"/>
          </w:tcPr>
          <w:p w14:paraId="3B2B254F" w14:textId="77777777" w:rsidR="00637B74" w:rsidRPr="00E15236" w:rsidRDefault="00637B74" w:rsidP="005A5CA7">
            <w:pPr>
              <w:spacing w:before="60" w:after="60"/>
              <w:rPr>
                <w:rFonts w:eastAsia="Calibri" w:cs="Arial"/>
                <w:bCs/>
                <w:sz w:val="20"/>
                <w:szCs w:val="20"/>
                <w:lang w:val="en-US"/>
              </w:rPr>
            </w:pPr>
            <w:r w:rsidRPr="00E15236">
              <w:rPr>
                <w:rFonts w:eastAsia="Calibri" w:cs="Arial"/>
                <w:bCs/>
                <w:sz w:val="20"/>
                <w:szCs w:val="20"/>
                <w:lang w:val="en-US"/>
              </w:rPr>
              <w:t>Australian Securities and Investment Commission</w:t>
            </w:r>
          </w:p>
        </w:tc>
      </w:tr>
      <w:tr w:rsidR="00637B74" w:rsidRPr="00E15236" w14:paraId="34F44C7D" w14:textId="77777777" w:rsidTr="005A5CA7">
        <w:trPr>
          <w:cantSplit/>
        </w:trPr>
        <w:tc>
          <w:tcPr>
            <w:tcW w:w="2401" w:type="dxa"/>
          </w:tcPr>
          <w:p w14:paraId="03BE8719"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ANAO</w:t>
            </w:r>
          </w:p>
        </w:tc>
        <w:tc>
          <w:tcPr>
            <w:tcW w:w="6666" w:type="dxa"/>
          </w:tcPr>
          <w:p w14:paraId="3F5181FB" w14:textId="77777777" w:rsidR="00637B74" w:rsidRPr="00E15236" w:rsidRDefault="00637B74" w:rsidP="005A5CA7">
            <w:pPr>
              <w:spacing w:before="60" w:after="60"/>
              <w:rPr>
                <w:rFonts w:eastAsia="Calibri" w:cs="Arial"/>
                <w:bCs/>
                <w:sz w:val="20"/>
                <w:szCs w:val="20"/>
              </w:rPr>
            </w:pPr>
            <w:r w:rsidRPr="00E15236">
              <w:rPr>
                <w:rFonts w:eastAsia="Calibri" w:cs="Arial"/>
                <w:bCs/>
                <w:sz w:val="20"/>
                <w:szCs w:val="20"/>
                <w:lang w:val="en-US"/>
              </w:rPr>
              <w:t>Australian National Audit Office</w:t>
            </w:r>
          </w:p>
        </w:tc>
      </w:tr>
      <w:tr w:rsidR="00637B74" w:rsidRPr="00E15236" w14:paraId="78554F6A" w14:textId="77777777" w:rsidTr="005A5CA7">
        <w:trPr>
          <w:cantSplit/>
        </w:trPr>
        <w:tc>
          <w:tcPr>
            <w:tcW w:w="2401" w:type="dxa"/>
          </w:tcPr>
          <w:p w14:paraId="1B272AE2"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APSC</w:t>
            </w:r>
          </w:p>
        </w:tc>
        <w:tc>
          <w:tcPr>
            <w:tcW w:w="6666" w:type="dxa"/>
          </w:tcPr>
          <w:p w14:paraId="48A4E0EA" w14:textId="77777777" w:rsidR="00637B74" w:rsidRPr="00E15236" w:rsidRDefault="00637B74" w:rsidP="005A5CA7">
            <w:pPr>
              <w:spacing w:before="60" w:after="60"/>
              <w:rPr>
                <w:rFonts w:eastAsia="Calibri" w:cs="Arial"/>
                <w:bCs/>
                <w:sz w:val="20"/>
                <w:szCs w:val="20"/>
                <w:lang w:val="en-US"/>
              </w:rPr>
            </w:pPr>
            <w:r w:rsidRPr="00E15236">
              <w:rPr>
                <w:rFonts w:eastAsia="Calibri" w:cs="Arial"/>
                <w:bCs/>
                <w:sz w:val="20"/>
                <w:szCs w:val="20"/>
                <w:lang w:val="id-ID"/>
              </w:rPr>
              <w:t>Australian Public Service Commission</w:t>
            </w:r>
          </w:p>
        </w:tc>
      </w:tr>
      <w:tr w:rsidR="00637B74" w:rsidRPr="00E15236" w14:paraId="785E3626" w14:textId="77777777" w:rsidTr="005A5CA7">
        <w:trPr>
          <w:cantSplit/>
        </w:trPr>
        <w:tc>
          <w:tcPr>
            <w:tcW w:w="2401" w:type="dxa"/>
          </w:tcPr>
          <w:p w14:paraId="7BD4909D"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ASEAN</w:t>
            </w:r>
          </w:p>
        </w:tc>
        <w:tc>
          <w:tcPr>
            <w:tcW w:w="6666" w:type="dxa"/>
          </w:tcPr>
          <w:p w14:paraId="24BCC1A9" w14:textId="77777777" w:rsidR="00637B74" w:rsidRPr="00E15236" w:rsidRDefault="00637B74" w:rsidP="005A5CA7">
            <w:pPr>
              <w:spacing w:before="60" w:after="60"/>
              <w:rPr>
                <w:rFonts w:eastAsia="Calibri" w:cs="Arial"/>
                <w:bCs/>
                <w:sz w:val="20"/>
                <w:szCs w:val="20"/>
              </w:rPr>
            </w:pPr>
            <w:r w:rsidRPr="00E15236">
              <w:rPr>
                <w:rFonts w:eastAsia="Calibri" w:cs="Arial"/>
                <w:bCs/>
                <w:sz w:val="20"/>
                <w:szCs w:val="20"/>
                <w:lang w:val="en-US"/>
              </w:rPr>
              <w:t>Association of Southeast Asian Nations</w:t>
            </w:r>
          </w:p>
        </w:tc>
      </w:tr>
      <w:tr w:rsidR="00637B74" w:rsidRPr="00E15236" w14:paraId="6599582C" w14:textId="77777777" w:rsidTr="005A5CA7">
        <w:trPr>
          <w:cantSplit/>
        </w:trPr>
        <w:tc>
          <w:tcPr>
            <w:tcW w:w="2401" w:type="dxa"/>
          </w:tcPr>
          <w:p w14:paraId="51505421"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ATO</w:t>
            </w:r>
          </w:p>
        </w:tc>
        <w:tc>
          <w:tcPr>
            <w:tcW w:w="6666" w:type="dxa"/>
          </w:tcPr>
          <w:p w14:paraId="11B84770" w14:textId="77777777" w:rsidR="00637B74" w:rsidRPr="00E15236" w:rsidRDefault="00637B74" w:rsidP="005A5CA7">
            <w:pPr>
              <w:spacing w:before="60" w:after="60"/>
              <w:rPr>
                <w:rFonts w:eastAsia="Calibri" w:cs="Arial"/>
                <w:bCs/>
                <w:sz w:val="20"/>
                <w:szCs w:val="20"/>
                <w:lang w:val="id-ID"/>
              </w:rPr>
            </w:pPr>
            <w:r w:rsidRPr="00E15236">
              <w:rPr>
                <w:rFonts w:eastAsia="Calibri" w:cs="Arial"/>
                <w:bCs/>
                <w:sz w:val="20"/>
                <w:szCs w:val="20"/>
                <w:lang w:val="id-ID"/>
              </w:rPr>
              <w:t>Australian Taxation Office</w:t>
            </w:r>
          </w:p>
        </w:tc>
      </w:tr>
      <w:tr w:rsidR="00637B74" w:rsidRPr="00E15236" w14:paraId="1E0D8D73" w14:textId="77777777" w:rsidTr="005A5CA7">
        <w:trPr>
          <w:cantSplit/>
        </w:trPr>
        <w:tc>
          <w:tcPr>
            <w:tcW w:w="2401" w:type="dxa"/>
          </w:tcPr>
          <w:p w14:paraId="46D86A93"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ATSB</w:t>
            </w:r>
          </w:p>
        </w:tc>
        <w:tc>
          <w:tcPr>
            <w:tcW w:w="6666" w:type="dxa"/>
          </w:tcPr>
          <w:p w14:paraId="777D5407" w14:textId="77777777" w:rsidR="00637B74" w:rsidRPr="00E15236" w:rsidRDefault="00637B74" w:rsidP="005A5CA7">
            <w:pPr>
              <w:spacing w:before="60" w:after="60"/>
              <w:rPr>
                <w:rFonts w:eastAsia="Calibri" w:cs="Arial"/>
                <w:b/>
                <w:bCs/>
                <w:sz w:val="20"/>
                <w:szCs w:val="20"/>
                <w:lang w:val="id-ID"/>
              </w:rPr>
            </w:pPr>
            <w:r w:rsidRPr="00E15236">
              <w:rPr>
                <w:rFonts w:eastAsia="Calibri" w:cs="Arial"/>
                <w:bCs/>
                <w:sz w:val="20"/>
                <w:szCs w:val="20"/>
                <w:lang w:val="en-US"/>
              </w:rPr>
              <w:t>Australian Transport Safety Bureau</w:t>
            </w:r>
          </w:p>
        </w:tc>
      </w:tr>
      <w:tr w:rsidR="00637B74" w:rsidRPr="00E15236" w14:paraId="241BE84D" w14:textId="77777777" w:rsidTr="005A5CA7">
        <w:trPr>
          <w:cantSplit/>
        </w:trPr>
        <w:tc>
          <w:tcPr>
            <w:tcW w:w="2401" w:type="dxa"/>
          </w:tcPr>
          <w:p w14:paraId="08F846D4"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AUSTRAC</w:t>
            </w:r>
          </w:p>
        </w:tc>
        <w:tc>
          <w:tcPr>
            <w:tcW w:w="6666" w:type="dxa"/>
          </w:tcPr>
          <w:p w14:paraId="37C1E285" w14:textId="77777777" w:rsidR="00637B74" w:rsidRPr="00E15236" w:rsidRDefault="00637B74" w:rsidP="005A5CA7">
            <w:pPr>
              <w:spacing w:before="60" w:after="60"/>
              <w:rPr>
                <w:rFonts w:eastAsia="Calibri" w:cs="Arial"/>
                <w:bCs/>
                <w:sz w:val="20"/>
                <w:szCs w:val="20"/>
              </w:rPr>
            </w:pPr>
            <w:r w:rsidRPr="00E15236">
              <w:rPr>
                <w:rFonts w:eastAsia="Calibri" w:cs="Arial"/>
                <w:bCs/>
                <w:sz w:val="20"/>
                <w:szCs w:val="20"/>
                <w:lang w:val="en-US"/>
              </w:rPr>
              <w:t>Australian Transaction Reports and Analysis Centre</w:t>
            </w:r>
          </w:p>
        </w:tc>
      </w:tr>
      <w:tr w:rsidR="00637B74" w:rsidRPr="00E15236" w14:paraId="28D19703" w14:textId="77777777" w:rsidTr="005A5CA7">
        <w:trPr>
          <w:cantSplit/>
        </w:trPr>
        <w:tc>
          <w:tcPr>
            <w:tcW w:w="2401" w:type="dxa"/>
          </w:tcPr>
          <w:p w14:paraId="5DAB9F99"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BAPPENAS</w:t>
            </w:r>
          </w:p>
        </w:tc>
        <w:tc>
          <w:tcPr>
            <w:tcW w:w="6666" w:type="dxa"/>
          </w:tcPr>
          <w:p w14:paraId="1C169151" w14:textId="77777777" w:rsidR="00637B74" w:rsidRPr="00E15236" w:rsidRDefault="00637B74" w:rsidP="005A5CA7">
            <w:pPr>
              <w:spacing w:before="60" w:after="60"/>
              <w:rPr>
                <w:rFonts w:eastAsia="Calibri" w:cs="Arial"/>
                <w:bCs/>
                <w:i/>
                <w:sz w:val="20"/>
                <w:szCs w:val="20"/>
                <w:lang w:val="en-US"/>
              </w:rPr>
            </w:pPr>
            <w:r w:rsidRPr="00E15236">
              <w:rPr>
                <w:rFonts w:eastAsia="Calibri" w:cs="Arial"/>
                <w:bCs/>
                <w:sz w:val="20"/>
                <w:szCs w:val="20"/>
                <w:lang w:val="en-US"/>
              </w:rPr>
              <w:t>National Development Planning Agency</w:t>
            </w:r>
          </w:p>
        </w:tc>
      </w:tr>
      <w:tr w:rsidR="00637B74" w:rsidRPr="00E15236" w14:paraId="336D4BCB" w14:textId="77777777" w:rsidTr="005A5CA7">
        <w:trPr>
          <w:cantSplit/>
        </w:trPr>
        <w:tc>
          <w:tcPr>
            <w:tcW w:w="2401" w:type="dxa"/>
          </w:tcPr>
          <w:p w14:paraId="11F467B2"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BPS</w:t>
            </w:r>
          </w:p>
        </w:tc>
        <w:tc>
          <w:tcPr>
            <w:tcW w:w="6666" w:type="dxa"/>
          </w:tcPr>
          <w:p w14:paraId="683AD0E8" w14:textId="77777777" w:rsidR="00637B74" w:rsidRPr="00E15236" w:rsidRDefault="00637B74" w:rsidP="005A5CA7">
            <w:pPr>
              <w:spacing w:before="60" w:after="60"/>
              <w:rPr>
                <w:rFonts w:eastAsia="Calibri" w:cs="Arial"/>
                <w:bCs/>
                <w:sz w:val="20"/>
                <w:szCs w:val="20"/>
                <w:lang w:val="id-ID"/>
              </w:rPr>
            </w:pPr>
            <w:r w:rsidRPr="00E15236">
              <w:rPr>
                <w:rFonts w:eastAsia="Calibri" w:cs="Arial"/>
                <w:bCs/>
                <w:sz w:val="20"/>
                <w:szCs w:val="20"/>
                <w:lang w:val="id-ID"/>
              </w:rPr>
              <w:t>Central Bureau of Statistics</w:t>
            </w:r>
          </w:p>
        </w:tc>
      </w:tr>
      <w:tr w:rsidR="00637B74" w:rsidRPr="00E15236" w14:paraId="34F06A81" w14:textId="77777777" w:rsidTr="005A5CA7">
        <w:trPr>
          <w:cantSplit/>
        </w:trPr>
        <w:tc>
          <w:tcPr>
            <w:tcW w:w="2401" w:type="dxa"/>
          </w:tcPr>
          <w:p w14:paraId="030179B9"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CASA</w:t>
            </w:r>
          </w:p>
        </w:tc>
        <w:tc>
          <w:tcPr>
            <w:tcW w:w="6666" w:type="dxa"/>
          </w:tcPr>
          <w:p w14:paraId="6AA772EA" w14:textId="77777777" w:rsidR="00637B74" w:rsidRPr="00E15236" w:rsidRDefault="00637B74" w:rsidP="005A5CA7">
            <w:pPr>
              <w:spacing w:before="60" w:after="60"/>
              <w:rPr>
                <w:rFonts w:eastAsia="Calibri" w:cs="Arial"/>
                <w:bCs/>
                <w:sz w:val="20"/>
                <w:szCs w:val="20"/>
              </w:rPr>
            </w:pPr>
            <w:r w:rsidRPr="00E15236">
              <w:rPr>
                <w:rFonts w:eastAsia="Calibri" w:cs="Arial"/>
                <w:bCs/>
                <w:sz w:val="20"/>
                <w:szCs w:val="20"/>
                <w:lang w:val="en-US"/>
              </w:rPr>
              <w:t>Civil Aviation Safety Authority</w:t>
            </w:r>
          </w:p>
        </w:tc>
      </w:tr>
      <w:tr w:rsidR="00637B74" w:rsidRPr="00E15236" w14:paraId="339AF2DF" w14:textId="77777777" w:rsidTr="005A5CA7">
        <w:trPr>
          <w:cantSplit/>
        </w:trPr>
        <w:tc>
          <w:tcPr>
            <w:tcW w:w="2401" w:type="dxa"/>
          </w:tcPr>
          <w:p w14:paraId="0632AC23"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DAC</w:t>
            </w:r>
          </w:p>
        </w:tc>
        <w:tc>
          <w:tcPr>
            <w:tcW w:w="6666" w:type="dxa"/>
          </w:tcPr>
          <w:p w14:paraId="610262F3" w14:textId="77777777" w:rsidR="00637B74" w:rsidRPr="00E15236" w:rsidRDefault="00637B74" w:rsidP="005A5CA7">
            <w:pPr>
              <w:spacing w:before="60" w:after="60"/>
              <w:rPr>
                <w:rFonts w:eastAsia="Calibri" w:cs="Arial"/>
                <w:sz w:val="20"/>
                <w:szCs w:val="20"/>
                <w:lang w:val="id-ID"/>
              </w:rPr>
            </w:pPr>
            <w:r w:rsidRPr="00E15236">
              <w:rPr>
                <w:rFonts w:eastAsia="Calibri" w:cs="Arial"/>
                <w:bCs/>
                <w:sz w:val="20"/>
                <w:szCs w:val="20"/>
              </w:rPr>
              <w:t>Development Assistance Committee (at the OECD</w:t>
            </w:r>
            <w:r w:rsidRPr="00E15236">
              <w:rPr>
                <w:rFonts w:eastAsia="Calibri" w:cs="Arial"/>
                <w:bCs/>
                <w:sz w:val="20"/>
                <w:szCs w:val="20"/>
                <w:lang w:val="id-ID"/>
              </w:rPr>
              <w:t>)</w:t>
            </w:r>
          </w:p>
        </w:tc>
      </w:tr>
      <w:tr w:rsidR="00637B74" w:rsidRPr="00E15236" w14:paraId="6207CA5A" w14:textId="77777777" w:rsidTr="005A5CA7">
        <w:trPr>
          <w:cantSplit/>
        </w:trPr>
        <w:tc>
          <w:tcPr>
            <w:tcW w:w="2401" w:type="dxa"/>
          </w:tcPr>
          <w:p w14:paraId="5A6432BF"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DFAT</w:t>
            </w:r>
          </w:p>
        </w:tc>
        <w:tc>
          <w:tcPr>
            <w:tcW w:w="6666" w:type="dxa"/>
          </w:tcPr>
          <w:p w14:paraId="50FBAC24"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en-US"/>
              </w:rPr>
              <w:t>Department of Foreign Affairs and Tr</w:t>
            </w:r>
            <w:r w:rsidRPr="00E15236">
              <w:rPr>
                <w:rFonts w:eastAsia="Calibri" w:cs="Arial"/>
                <w:sz w:val="20"/>
                <w:szCs w:val="20"/>
                <w:lang w:val="id-ID"/>
              </w:rPr>
              <w:t>ade</w:t>
            </w:r>
          </w:p>
        </w:tc>
      </w:tr>
      <w:tr w:rsidR="00637B74" w:rsidRPr="00E15236" w14:paraId="713CD903" w14:textId="77777777" w:rsidTr="005A5CA7">
        <w:trPr>
          <w:cantSplit/>
        </w:trPr>
        <w:tc>
          <w:tcPr>
            <w:tcW w:w="2401" w:type="dxa"/>
          </w:tcPr>
          <w:p w14:paraId="7525C390"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GDP</w:t>
            </w:r>
          </w:p>
        </w:tc>
        <w:tc>
          <w:tcPr>
            <w:tcW w:w="6666" w:type="dxa"/>
          </w:tcPr>
          <w:p w14:paraId="44CC6B4A"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Gross Domestic Product</w:t>
            </w:r>
          </w:p>
        </w:tc>
      </w:tr>
      <w:tr w:rsidR="00637B74" w:rsidRPr="00E15236" w14:paraId="25F56334" w14:textId="77777777" w:rsidTr="005A5CA7">
        <w:trPr>
          <w:cantSplit/>
        </w:trPr>
        <w:tc>
          <w:tcPr>
            <w:tcW w:w="2401" w:type="dxa"/>
          </w:tcPr>
          <w:p w14:paraId="48A27945"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GPF</w:t>
            </w:r>
          </w:p>
        </w:tc>
        <w:tc>
          <w:tcPr>
            <w:tcW w:w="6666" w:type="dxa"/>
          </w:tcPr>
          <w:p w14:paraId="1C132815"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Government Partnerships Fund</w:t>
            </w:r>
          </w:p>
        </w:tc>
      </w:tr>
      <w:tr w:rsidR="00637B74" w:rsidRPr="00E15236" w14:paraId="2CFE5814" w14:textId="77777777" w:rsidTr="005A5CA7">
        <w:trPr>
          <w:cantSplit/>
        </w:trPr>
        <w:tc>
          <w:tcPr>
            <w:tcW w:w="2401" w:type="dxa"/>
          </w:tcPr>
          <w:p w14:paraId="4A320113"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ICT</w:t>
            </w:r>
          </w:p>
        </w:tc>
        <w:tc>
          <w:tcPr>
            <w:tcW w:w="6666" w:type="dxa"/>
          </w:tcPr>
          <w:p w14:paraId="7B600074"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Information, Communication, Technology</w:t>
            </w:r>
          </w:p>
        </w:tc>
      </w:tr>
      <w:tr w:rsidR="00637B74" w:rsidRPr="00E15236" w14:paraId="2AFBD37E" w14:textId="77777777" w:rsidTr="005A5CA7">
        <w:trPr>
          <w:cantSplit/>
        </w:trPr>
        <w:tc>
          <w:tcPr>
            <w:tcW w:w="2401" w:type="dxa"/>
          </w:tcPr>
          <w:p w14:paraId="67195F65" w14:textId="77777777" w:rsidR="00637B74" w:rsidRPr="00E15236" w:rsidRDefault="00637B74" w:rsidP="005A5CA7">
            <w:pPr>
              <w:spacing w:before="60" w:after="60"/>
              <w:rPr>
                <w:rFonts w:eastAsia="Calibri" w:cs="Arial"/>
                <w:sz w:val="20"/>
                <w:szCs w:val="20"/>
              </w:rPr>
            </w:pPr>
            <w:r w:rsidRPr="00E15236">
              <w:rPr>
                <w:rFonts w:eastAsia="Calibri" w:cs="Arial"/>
                <w:sz w:val="20"/>
                <w:szCs w:val="20"/>
                <w:lang w:val="id-ID"/>
              </w:rPr>
              <w:t>ITSAP</w:t>
            </w:r>
          </w:p>
        </w:tc>
        <w:tc>
          <w:tcPr>
            <w:tcW w:w="6666" w:type="dxa"/>
          </w:tcPr>
          <w:p w14:paraId="536D8107" w14:textId="77777777" w:rsidR="00637B74" w:rsidRPr="00E15236" w:rsidRDefault="00637B74" w:rsidP="005A5CA7">
            <w:pPr>
              <w:spacing w:before="60" w:after="60"/>
              <w:rPr>
                <w:rFonts w:eastAsia="Calibri" w:cs="Arial"/>
                <w:bCs/>
                <w:sz w:val="20"/>
                <w:szCs w:val="20"/>
                <w:lang w:val="en-US"/>
              </w:rPr>
            </w:pPr>
            <w:r w:rsidRPr="00E15236">
              <w:rPr>
                <w:rFonts w:eastAsia="Calibri" w:cs="Arial"/>
                <w:bCs/>
                <w:sz w:val="20"/>
                <w:szCs w:val="20"/>
                <w:lang w:val="en-US"/>
              </w:rPr>
              <w:t>Indonesia Transport Safety Assistance Package</w:t>
            </w:r>
          </w:p>
        </w:tc>
      </w:tr>
      <w:tr w:rsidR="00637B74" w:rsidRPr="00E15236" w14:paraId="4499F81C" w14:textId="77777777" w:rsidTr="005A5CA7">
        <w:trPr>
          <w:cantSplit/>
        </w:trPr>
        <w:tc>
          <w:tcPr>
            <w:tcW w:w="2401" w:type="dxa"/>
          </w:tcPr>
          <w:p w14:paraId="19ED5C79"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KIAT</w:t>
            </w:r>
          </w:p>
        </w:tc>
        <w:tc>
          <w:tcPr>
            <w:tcW w:w="6666" w:type="dxa"/>
          </w:tcPr>
          <w:p w14:paraId="42013D50" w14:textId="77777777" w:rsidR="00637B74" w:rsidRPr="00E15236" w:rsidRDefault="00637B74" w:rsidP="005A5CA7">
            <w:pPr>
              <w:spacing w:before="60" w:after="60"/>
              <w:rPr>
                <w:rFonts w:eastAsia="Calibri" w:cs="Arial"/>
                <w:b/>
                <w:bCs/>
                <w:sz w:val="20"/>
                <w:szCs w:val="20"/>
                <w:lang w:val="id-ID"/>
              </w:rPr>
            </w:pPr>
            <w:r w:rsidRPr="00E15236">
              <w:rPr>
                <w:rFonts w:eastAsia="Calibri" w:cs="Arial"/>
                <w:bCs/>
                <w:sz w:val="20"/>
                <w:szCs w:val="20"/>
                <w:lang w:val="en-US"/>
              </w:rPr>
              <w:t>Indonesia Australia Partnership for Infrastructure </w:t>
            </w:r>
            <w:r w:rsidRPr="00E15236">
              <w:rPr>
                <w:rFonts w:eastAsia="Calibri" w:cs="Arial"/>
                <w:bCs/>
                <w:sz w:val="20"/>
                <w:szCs w:val="20"/>
                <w:lang w:val="id-ID"/>
              </w:rPr>
              <w:t>Facility</w:t>
            </w:r>
          </w:p>
        </w:tc>
      </w:tr>
      <w:tr w:rsidR="00637B74" w:rsidRPr="00E15236" w14:paraId="65801E06" w14:textId="77777777" w:rsidTr="005A5CA7">
        <w:trPr>
          <w:cantSplit/>
        </w:trPr>
        <w:tc>
          <w:tcPr>
            <w:tcW w:w="2401" w:type="dxa"/>
          </w:tcPr>
          <w:p w14:paraId="61D0200A" w14:textId="06A10356" w:rsidR="00637B74" w:rsidRPr="00E15236" w:rsidRDefault="00076E02" w:rsidP="005A5CA7">
            <w:pPr>
              <w:spacing w:before="60" w:after="60"/>
              <w:rPr>
                <w:rFonts w:eastAsia="Calibri" w:cs="Arial"/>
                <w:sz w:val="20"/>
                <w:szCs w:val="20"/>
                <w:lang w:val="id-ID"/>
              </w:rPr>
            </w:pPr>
            <w:r>
              <w:rPr>
                <w:rFonts w:eastAsia="Calibri" w:cs="Arial"/>
                <w:sz w:val="20"/>
                <w:szCs w:val="20"/>
                <w:lang w:val="en-US"/>
              </w:rPr>
              <w:t>KPL</w:t>
            </w:r>
            <w:r w:rsidR="00637B74" w:rsidRPr="00E15236">
              <w:rPr>
                <w:rFonts w:eastAsia="Calibri" w:cs="Arial"/>
                <w:sz w:val="20"/>
                <w:szCs w:val="20"/>
                <w:lang w:val="id-ID"/>
              </w:rPr>
              <w:t xml:space="preserve"> </w:t>
            </w:r>
            <w:r>
              <w:rPr>
                <w:rFonts w:eastAsia="Calibri" w:cs="Arial"/>
                <w:sz w:val="20"/>
                <w:szCs w:val="20"/>
                <w:lang w:val="en-US"/>
              </w:rPr>
              <w:t>t</w:t>
            </w:r>
            <w:r w:rsidR="00637B74" w:rsidRPr="00E15236">
              <w:rPr>
                <w:rFonts w:eastAsia="Calibri" w:cs="Arial"/>
                <w:sz w:val="20"/>
                <w:szCs w:val="20"/>
                <w:lang w:val="id-ID"/>
              </w:rPr>
              <w:t>eam</w:t>
            </w:r>
          </w:p>
        </w:tc>
        <w:tc>
          <w:tcPr>
            <w:tcW w:w="6666" w:type="dxa"/>
          </w:tcPr>
          <w:p w14:paraId="0869FF9F" w14:textId="259CD376"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 xml:space="preserve">Knowledge and Performance </w:t>
            </w:r>
            <w:r w:rsidR="00076E02">
              <w:rPr>
                <w:rFonts w:eastAsia="Calibri" w:cs="Arial"/>
                <w:sz w:val="20"/>
                <w:szCs w:val="20"/>
                <w:lang w:val="en-US"/>
              </w:rPr>
              <w:t>t</w:t>
            </w:r>
            <w:r w:rsidRPr="00E15236">
              <w:rPr>
                <w:rFonts w:eastAsia="Calibri" w:cs="Arial"/>
                <w:sz w:val="20"/>
                <w:szCs w:val="20"/>
                <w:lang w:val="id-ID"/>
              </w:rPr>
              <w:t>eam</w:t>
            </w:r>
          </w:p>
        </w:tc>
      </w:tr>
      <w:tr w:rsidR="00637B74" w:rsidRPr="00E15236" w14:paraId="055DA5E5" w14:textId="77777777" w:rsidTr="005A5CA7">
        <w:trPr>
          <w:cantSplit/>
        </w:trPr>
        <w:tc>
          <w:tcPr>
            <w:tcW w:w="2401" w:type="dxa"/>
          </w:tcPr>
          <w:p w14:paraId="7F0CACE9" w14:textId="10AE3843" w:rsidR="00637B74" w:rsidRPr="00076E02" w:rsidRDefault="00637B74" w:rsidP="005A5CA7">
            <w:pPr>
              <w:spacing w:before="60" w:after="60"/>
              <w:rPr>
                <w:rFonts w:eastAsia="Calibri" w:cs="Arial"/>
                <w:sz w:val="20"/>
                <w:szCs w:val="20"/>
                <w:lang w:val="en-US"/>
              </w:rPr>
            </w:pPr>
            <w:r w:rsidRPr="00E15236">
              <w:rPr>
                <w:rFonts w:eastAsia="Calibri" w:cs="Arial"/>
                <w:sz w:val="20"/>
                <w:szCs w:val="20"/>
                <w:lang w:val="id-ID"/>
              </w:rPr>
              <w:t>KPL</w:t>
            </w:r>
            <w:r w:rsidR="00076E02">
              <w:rPr>
                <w:rFonts w:eastAsia="Calibri" w:cs="Arial"/>
                <w:sz w:val="20"/>
                <w:szCs w:val="20"/>
                <w:lang w:val="en-US"/>
              </w:rPr>
              <w:t>F</w:t>
            </w:r>
          </w:p>
        </w:tc>
        <w:tc>
          <w:tcPr>
            <w:tcW w:w="6666" w:type="dxa"/>
          </w:tcPr>
          <w:p w14:paraId="24525398" w14:textId="2052F757" w:rsidR="00637B74" w:rsidRPr="00076E02" w:rsidRDefault="00637B74" w:rsidP="005A5CA7">
            <w:pPr>
              <w:spacing w:before="60" w:after="60"/>
              <w:rPr>
                <w:rFonts w:eastAsia="Calibri" w:cs="Arial"/>
                <w:sz w:val="20"/>
                <w:szCs w:val="20"/>
                <w:lang w:val="en-US"/>
              </w:rPr>
            </w:pPr>
            <w:r w:rsidRPr="00E15236">
              <w:rPr>
                <w:rFonts w:eastAsia="Calibri" w:cs="Arial"/>
                <w:sz w:val="20"/>
                <w:szCs w:val="20"/>
                <w:lang w:val="id-ID"/>
              </w:rPr>
              <w:t xml:space="preserve">Knowledge, Performance, and Learning </w:t>
            </w:r>
            <w:r w:rsidR="00076E02">
              <w:rPr>
                <w:rFonts w:eastAsia="Calibri" w:cs="Arial"/>
                <w:sz w:val="20"/>
                <w:szCs w:val="20"/>
                <w:lang w:val="en-US"/>
              </w:rPr>
              <w:t>Framework</w:t>
            </w:r>
          </w:p>
        </w:tc>
      </w:tr>
      <w:tr w:rsidR="00637B74" w:rsidRPr="00E15236" w14:paraId="6EB4474C" w14:textId="77777777" w:rsidTr="005A5CA7">
        <w:trPr>
          <w:cantSplit/>
        </w:trPr>
        <w:tc>
          <w:tcPr>
            <w:tcW w:w="2401" w:type="dxa"/>
          </w:tcPr>
          <w:p w14:paraId="7C930A37"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M&amp;E</w:t>
            </w:r>
          </w:p>
        </w:tc>
        <w:tc>
          <w:tcPr>
            <w:tcW w:w="6666" w:type="dxa"/>
          </w:tcPr>
          <w:p w14:paraId="2FFBECB2"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Monitoring and Evaluation</w:t>
            </w:r>
          </w:p>
        </w:tc>
      </w:tr>
      <w:tr w:rsidR="00637B74" w:rsidRPr="00E15236" w14:paraId="1CED2679" w14:textId="77777777" w:rsidTr="005A5CA7">
        <w:trPr>
          <w:cantSplit/>
        </w:trPr>
        <w:tc>
          <w:tcPr>
            <w:tcW w:w="2401" w:type="dxa"/>
          </w:tcPr>
          <w:p w14:paraId="35A32C6A"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OCO</w:t>
            </w:r>
          </w:p>
        </w:tc>
        <w:tc>
          <w:tcPr>
            <w:tcW w:w="6666" w:type="dxa"/>
          </w:tcPr>
          <w:p w14:paraId="4FEB9CDA"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Office of Commonwealth Ombudsman</w:t>
            </w:r>
          </w:p>
        </w:tc>
      </w:tr>
      <w:tr w:rsidR="00637B74" w:rsidRPr="00E15236" w14:paraId="3A810C30" w14:textId="77777777" w:rsidTr="005A5CA7">
        <w:trPr>
          <w:cantSplit/>
        </w:trPr>
        <w:tc>
          <w:tcPr>
            <w:tcW w:w="2401" w:type="dxa"/>
          </w:tcPr>
          <w:p w14:paraId="50E9AA2D"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OECD</w:t>
            </w:r>
          </w:p>
        </w:tc>
        <w:tc>
          <w:tcPr>
            <w:tcW w:w="6666" w:type="dxa"/>
          </w:tcPr>
          <w:p w14:paraId="2F325F5C"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Organisation for Economic Co-operation and Development</w:t>
            </w:r>
          </w:p>
        </w:tc>
      </w:tr>
      <w:tr w:rsidR="00637B74" w:rsidRPr="00E15236" w14:paraId="12134C59" w14:textId="77777777" w:rsidTr="005A5CA7">
        <w:trPr>
          <w:cantSplit/>
        </w:trPr>
        <w:tc>
          <w:tcPr>
            <w:tcW w:w="2401" w:type="dxa"/>
          </w:tcPr>
          <w:p w14:paraId="03BD5705"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OJK</w:t>
            </w:r>
          </w:p>
        </w:tc>
        <w:tc>
          <w:tcPr>
            <w:tcW w:w="6666" w:type="dxa"/>
          </w:tcPr>
          <w:p w14:paraId="11C01C88" w14:textId="77777777" w:rsidR="00637B74" w:rsidRPr="00E15236" w:rsidRDefault="00637B74" w:rsidP="005A5CA7">
            <w:pPr>
              <w:spacing w:before="60" w:after="60"/>
              <w:rPr>
                <w:rFonts w:eastAsia="Calibri" w:cs="Arial"/>
                <w:bCs/>
                <w:i/>
                <w:sz w:val="20"/>
                <w:szCs w:val="20"/>
                <w:lang w:val="id-ID"/>
              </w:rPr>
            </w:pPr>
            <w:r w:rsidRPr="00E15236">
              <w:rPr>
                <w:rFonts w:eastAsia="Calibri" w:cs="Arial"/>
                <w:bCs/>
                <w:sz w:val="20"/>
                <w:szCs w:val="20"/>
                <w:lang w:val="en-US"/>
              </w:rPr>
              <w:t>Financial Services Authority</w:t>
            </w:r>
          </w:p>
        </w:tc>
      </w:tr>
      <w:tr w:rsidR="00637B74" w:rsidRPr="00E15236" w14:paraId="5A4B1490" w14:textId="77777777" w:rsidTr="005A5CA7">
        <w:trPr>
          <w:cantSplit/>
        </w:trPr>
        <w:tc>
          <w:tcPr>
            <w:tcW w:w="2401" w:type="dxa"/>
          </w:tcPr>
          <w:p w14:paraId="4934E775"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PPATK</w:t>
            </w:r>
          </w:p>
        </w:tc>
        <w:tc>
          <w:tcPr>
            <w:tcW w:w="6666" w:type="dxa"/>
          </w:tcPr>
          <w:p w14:paraId="0DA050DE" w14:textId="77777777" w:rsidR="00637B74" w:rsidRPr="00E15236" w:rsidRDefault="00637B74" w:rsidP="005A5CA7">
            <w:pPr>
              <w:spacing w:before="60" w:after="60"/>
              <w:rPr>
                <w:rFonts w:eastAsia="Calibri" w:cs="Arial"/>
                <w:i/>
                <w:sz w:val="20"/>
                <w:szCs w:val="20"/>
                <w:lang w:val="id-ID"/>
              </w:rPr>
            </w:pPr>
            <w:r w:rsidRPr="00E15236">
              <w:rPr>
                <w:rFonts w:eastAsia="Calibri" w:cs="Arial"/>
                <w:sz w:val="20"/>
                <w:szCs w:val="20"/>
                <w:lang w:val="en-US"/>
              </w:rPr>
              <w:t>Center for Financial Transaction Reporting and Analysis</w:t>
            </w:r>
          </w:p>
        </w:tc>
      </w:tr>
      <w:tr w:rsidR="00637B74" w:rsidRPr="00E15236" w14:paraId="0DD965E3" w14:textId="77777777" w:rsidTr="005A5CA7">
        <w:trPr>
          <w:cantSplit/>
        </w:trPr>
        <w:tc>
          <w:tcPr>
            <w:tcW w:w="2401" w:type="dxa"/>
          </w:tcPr>
          <w:p w14:paraId="0D60AFD5"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PROSPERA</w:t>
            </w:r>
          </w:p>
        </w:tc>
        <w:tc>
          <w:tcPr>
            <w:tcW w:w="6666" w:type="dxa"/>
          </w:tcPr>
          <w:p w14:paraId="514637D9"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rPr>
              <w:t>Australia Indonesia Partnership for Economic Development</w:t>
            </w:r>
          </w:p>
        </w:tc>
      </w:tr>
      <w:tr w:rsidR="00637B74" w:rsidRPr="00E15236" w14:paraId="5AC8D51E" w14:textId="77777777" w:rsidTr="005A5CA7">
        <w:trPr>
          <w:cantSplit/>
        </w:trPr>
        <w:tc>
          <w:tcPr>
            <w:tcW w:w="2401" w:type="dxa"/>
          </w:tcPr>
          <w:p w14:paraId="13858833"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RBA</w:t>
            </w:r>
          </w:p>
        </w:tc>
        <w:tc>
          <w:tcPr>
            <w:tcW w:w="6666" w:type="dxa"/>
          </w:tcPr>
          <w:p w14:paraId="04C6D43D" w14:textId="77777777" w:rsidR="00637B74" w:rsidRPr="00E15236" w:rsidRDefault="00637B74" w:rsidP="005A5CA7">
            <w:pPr>
              <w:spacing w:before="60" w:after="60"/>
              <w:rPr>
                <w:rFonts w:eastAsia="Calibri" w:cs="Arial"/>
                <w:sz w:val="20"/>
                <w:szCs w:val="20"/>
                <w:lang w:val="id-ID"/>
              </w:rPr>
            </w:pPr>
            <w:r w:rsidRPr="00E15236">
              <w:rPr>
                <w:rFonts w:eastAsia="Calibri" w:cs="Arial"/>
                <w:sz w:val="20"/>
                <w:szCs w:val="20"/>
                <w:lang w:val="id-ID"/>
              </w:rPr>
              <w:t>Reserve Bank of Australia</w:t>
            </w:r>
          </w:p>
        </w:tc>
      </w:tr>
    </w:tbl>
    <w:p w14:paraId="370689DD" w14:textId="0482232F" w:rsidR="004D5B4D" w:rsidRPr="001304F1" w:rsidRDefault="004D5B4D" w:rsidP="00BE60F3">
      <w:pPr>
        <w:pStyle w:val="AnnexHeading"/>
        <w:numPr>
          <w:ilvl w:val="0"/>
          <w:numId w:val="0"/>
        </w:numPr>
        <w:ind w:left="851" w:hanging="851"/>
        <w:sectPr w:rsidR="004D5B4D" w:rsidRPr="001304F1" w:rsidSect="00635E8B">
          <w:pgSz w:w="11900" w:h="16840"/>
          <w:pgMar w:top="1440" w:right="1440" w:bottom="1440" w:left="1440" w:header="850" w:footer="850" w:gutter="0"/>
          <w:cols w:space="708"/>
          <w:docGrid w:linePitch="360"/>
        </w:sectPr>
      </w:pPr>
    </w:p>
    <w:p w14:paraId="563BFA54" w14:textId="77777777" w:rsidR="0077405A" w:rsidRDefault="002E6117" w:rsidP="00BE60F3">
      <w:r>
        <w:rPr>
          <w:noProof/>
          <w:lang w:eastAsia="en-AU"/>
        </w:rPr>
        <mc:AlternateContent>
          <mc:Choice Requires="wps">
            <w:drawing>
              <wp:anchor distT="0" distB="0" distL="114300" distR="114300" simplePos="0" relativeHeight="251654656" behindDoc="1" locked="0" layoutInCell="1" allowOverlap="1" wp14:anchorId="27B32A29" wp14:editId="7BF715D5">
                <wp:simplePos x="0" y="0"/>
                <wp:positionH relativeFrom="column">
                  <wp:posOffset>-977265</wp:posOffset>
                </wp:positionH>
                <wp:positionV relativeFrom="paragraph">
                  <wp:posOffset>-911860</wp:posOffset>
                </wp:positionV>
                <wp:extent cx="7693025" cy="10746740"/>
                <wp:effectExtent l="0" t="0" r="3175" b="0"/>
                <wp:wrapNone/>
                <wp:docPr id="26" name="Rectangle 26"/>
                <wp:cNvGraphicFramePr/>
                <a:graphic xmlns:a="http://schemas.openxmlformats.org/drawingml/2006/main">
                  <a:graphicData uri="http://schemas.microsoft.com/office/word/2010/wordprocessingShape">
                    <wps:wsp>
                      <wps:cNvSpPr/>
                      <wps:spPr>
                        <a:xfrm>
                          <a:off x="0" y="0"/>
                          <a:ext cx="7693025" cy="10746740"/>
                        </a:xfrm>
                        <a:prstGeom prst="rect">
                          <a:avLst/>
                        </a:prstGeom>
                        <a:solidFill>
                          <a:srgbClr val="1FAB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EA0C9A" id="Rectangle 26" o:spid="_x0000_s1026" style="position:absolute;margin-left:-76.95pt;margin-top:-71.8pt;width:605.75pt;height:84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" fillcolor="#1fabc9" stroked="f" strokeweight="1pt"/>
            </w:pict>
          </mc:Fallback>
        </mc:AlternateContent>
      </w:r>
    </w:p>
    <w:p w14:paraId="13347608" w14:textId="3D85EF59" w:rsidR="001F4BE7" w:rsidRDefault="001F4BE7" w:rsidP="00BE60F3"/>
    <w:p w14:paraId="5EA0D95C" w14:textId="2F0CF154" w:rsidR="001F4BE7" w:rsidRDefault="002E6117" w:rsidP="00BE60F3">
      <w:r w:rsidRPr="002E6117">
        <w:rPr>
          <w:noProof/>
          <w:lang w:eastAsia="en-AU"/>
        </w:rPr>
        <w:drawing>
          <wp:anchor distT="0" distB="0" distL="114300" distR="114300" simplePos="0" relativeHeight="251655680" behindDoc="1" locked="0" layoutInCell="1" allowOverlap="1" wp14:anchorId="6B0238CB" wp14:editId="60396FF7">
            <wp:simplePos x="0" y="0"/>
            <wp:positionH relativeFrom="column">
              <wp:posOffset>1689735</wp:posOffset>
            </wp:positionH>
            <wp:positionV relativeFrom="paragraph">
              <wp:posOffset>3330847</wp:posOffset>
            </wp:positionV>
            <wp:extent cx="2089124" cy="581081"/>
            <wp:effectExtent l="0" t="0" r="0" b="3175"/>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89124" cy="581081"/>
                    </a:xfrm>
                    <a:prstGeom prst="rect">
                      <a:avLst/>
                    </a:prstGeom>
                  </pic:spPr>
                </pic:pic>
              </a:graphicData>
            </a:graphic>
            <wp14:sizeRelH relativeFrom="page">
              <wp14:pctWidth>0</wp14:pctWidth>
            </wp14:sizeRelH>
            <wp14:sizeRelV relativeFrom="page">
              <wp14:pctHeight>0</wp14:pctHeight>
            </wp14:sizeRelV>
          </wp:anchor>
        </w:drawing>
      </w:r>
    </w:p>
    <w:sectPr w:rsidR="001F4BE7" w:rsidSect="003A569B">
      <w:headerReference w:type="first" r:id="rId44"/>
      <w:footerReference w:type="first" r:id="rId45"/>
      <w:pgSz w:w="11900" w:h="16840"/>
      <w:pgMar w:top="1440" w:right="1440" w:bottom="1440" w:left="1440"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4EE0E" w14:textId="77777777" w:rsidR="000C3B63" w:rsidRDefault="000C3B63" w:rsidP="00B537DE">
      <w:r>
        <w:separator/>
      </w:r>
    </w:p>
  </w:endnote>
  <w:endnote w:type="continuationSeparator" w:id="0">
    <w:p w14:paraId="786020ED" w14:textId="77777777" w:rsidR="000C3B63" w:rsidRDefault="000C3B63" w:rsidP="00B53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Battersea 2011">
    <w:altName w:val="Calibri"/>
    <w:panose1 w:val="00000000000000000000"/>
    <w:charset w:val="00"/>
    <w:family w:val="swiss"/>
    <w:notTrueType/>
    <w:pitch w:val="default"/>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CD9F8" w14:textId="77777777" w:rsidR="002003B5" w:rsidRDefault="002003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92B0E" w14:textId="77777777" w:rsidR="002003B5" w:rsidRDefault="002003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F2F5A" w14:textId="52D96E48" w:rsidR="000C3B63" w:rsidRDefault="000C3B63">
    <w:pPr>
      <w:pStyle w:val="Footer"/>
    </w:pPr>
    <w:r>
      <w:rPr>
        <w:noProof/>
        <w:lang w:eastAsia="en-AU"/>
      </w:rPr>
      <mc:AlternateContent>
        <mc:Choice Requires="wps">
          <w:drawing>
            <wp:anchor distT="0" distB="0" distL="114300" distR="114300" simplePos="0" relativeHeight="251657216" behindDoc="1" locked="0" layoutInCell="1" allowOverlap="1" wp14:anchorId="38116FC7" wp14:editId="51BB4E11">
              <wp:simplePos x="0" y="0"/>
              <wp:positionH relativeFrom="column">
                <wp:posOffset>4048493</wp:posOffset>
              </wp:positionH>
              <wp:positionV relativeFrom="paragraph">
                <wp:posOffset>243205</wp:posOffset>
              </wp:positionV>
              <wp:extent cx="2667000" cy="454660"/>
              <wp:effectExtent l="0" t="0" r="0" b="2540"/>
              <wp:wrapNone/>
              <wp:docPr id="28" name="Rectangle 28"/>
              <wp:cNvGraphicFramePr/>
              <a:graphic xmlns:a="http://schemas.openxmlformats.org/drawingml/2006/main">
                <a:graphicData uri="http://schemas.microsoft.com/office/word/2010/wordprocessingShape">
                  <wps:wsp>
                    <wps:cNvSpPr/>
                    <wps:spPr>
                      <a:xfrm>
                        <a:off x="0" y="0"/>
                        <a:ext cx="2667000" cy="454660"/>
                      </a:xfrm>
                      <a:prstGeom prst="rect">
                        <a:avLst/>
                      </a:prstGeom>
                      <a:solidFill>
                        <a:srgbClr val="FFCF3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2FFA6" w14:textId="77777777" w:rsidR="000C3B63" w:rsidRDefault="000C3B63" w:rsidP="009D2D1D">
                          <w:pPr>
                            <w:pStyle w:val="YOURDA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116FC7" id="Rectangle 28" o:spid="_x0000_s1036" style="position:absolute;margin-left:318.8pt;margin-top:19.15pt;width:210pt;height:35.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" fillcolor="#ffcf35" stroked="f" strokeweight="1pt">
              <v:textbox>
                <w:txbxContent>
                  <w:p w14:paraId="0832FFA6" w14:textId="77777777" w:rsidR="000C3B63" w:rsidRDefault="000C3B63" w:rsidP="009D2D1D">
                    <w:pPr>
                      <w:pStyle w:val="YOURDATE"/>
                    </w:pP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AC5F2" w14:textId="48DD4458" w:rsidR="000C3B63" w:rsidRPr="006B3AE7" w:rsidRDefault="000C3B63" w:rsidP="00101850">
    <w:pPr>
      <w:pStyle w:val="Footer"/>
      <w:ind w:right="360"/>
      <w:rPr>
        <w:rFonts w:cs="Arial"/>
        <w:color w:val="424242" w:themeColor="text2"/>
        <w:szCs w:val="16"/>
      </w:rPr>
    </w:pPr>
    <w:r w:rsidRPr="006B3AE7">
      <w:rPr>
        <w:rFonts w:cs="Arial"/>
        <w:color w:val="424242" w:themeColor="text2"/>
        <w:szCs w:val="16"/>
      </w:rPr>
      <w:t>Australia Indonesia Partnership for Economic Development</w:t>
    </w:r>
    <w:r>
      <w:rPr>
        <w:rFonts w:cs="Arial"/>
        <w:color w:val="424242" w:themeColor="text2"/>
        <w:szCs w:val="16"/>
      </w:rPr>
      <w:ptab w:relativeTo="margin" w:alignment="right" w:leader="none"/>
    </w:r>
    <w:r w:rsidRPr="006B3AE7">
      <w:rPr>
        <w:rFonts w:cs="Arial"/>
        <w:color w:val="424242" w:themeColor="text2"/>
        <w:szCs w:val="16"/>
      </w:rPr>
      <w:fldChar w:fldCharType="begin"/>
    </w:r>
    <w:r w:rsidRPr="006B3AE7">
      <w:rPr>
        <w:rFonts w:cs="Arial"/>
        <w:color w:val="424242" w:themeColor="text2"/>
        <w:szCs w:val="16"/>
      </w:rPr>
      <w:instrText xml:space="preserve"> PAGE   \* MERGEFORMAT </w:instrText>
    </w:r>
    <w:r w:rsidRPr="006B3AE7">
      <w:rPr>
        <w:rFonts w:cs="Arial"/>
        <w:color w:val="424242" w:themeColor="text2"/>
        <w:szCs w:val="16"/>
      </w:rPr>
      <w:fldChar w:fldCharType="separate"/>
    </w:r>
    <w:r w:rsidR="002003B5">
      <w:rPr>
        <w:rFonts w:cs="Arial"/>
        <w:noProof/>
        <w:color w:val="424242" w:themeColor="text2"/>
        <w:szCs w:val="16"/>
      </w:rPr>
      <w:t>3</w:t>
    </w:r>
    <w:r w:rsidRPr="006B3AE7">
      <w:rPr>
        <w:rFonts w:cs="Arial"/>
        <w:noProof/>
        <w:color w:val="424242" w:themeColor="text2"/>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A517C" w14:textId="77777777" w:rsidR="000C3B63" w:rsidRPr="001F4BE7" w:rsidRDefault="000C3B63" w:rsidP="001F4B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E5671" w14:textId="77777777" w:rsidR="000C3B63" w:rsidRPr="001F4BE7" w:rsidRDefault="000C3B63" w:rsidP="001F4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9F01E" w14:textId="77777777" w:rsidR="000C3B63" w:rsidRDefault="000C3B63" w:rsidP="00B537DE">
      <w:r>
        <w:separator/>
      </w:r>
    </w:p>
  </w:footnote>
  <w:footnote w:type="continuationSeparator" w:id="0">
    <w:p w14:paraId="66DF3753" w14:textId="77777777" w:rsidR="000C3B63" w:rsidRDefault="000C3B63" w:rsidP="00B537DE">
      <w:r>
        <w:continuationSeparator/>
      </w:r>
    </w:p>
  </w:footnote>
  <w:footnote w:id="1">
    <w:p w14:paraId="46A3D5B5" w14:textId="77777777" w:rsidR="000C3B63" w:rsidRPr="00043C86" w:rsidRDefault="000C3B63" w:rsidP="00544E4E">
      <w:pPr>
        <w:pStyle w:val="FootnoteText"/>
        <w:rPr>
          <w:lang w:val="en-US"/>
        </w:rPr>
      </w:pPr>
      <w:r>
        <w:rPr>
          <w:rStyle w:val="FootnoteReference"/>
        </w:rPr>
        <w:footnoteRef/>
      </w:r>
      <w:r>
        <w:t xml:space="preserve"> </w:t>
      </w:r>
      <w:r w:rsidRPr="00043C86">
        <w:rPr>
          <w:sz w:val="18"/>
          <w:szCs w:val="18"/>
        </w:rPr>
        <w:t>https://dfat.gov.au/geo/indonesia/Pages/joint-declaration-comprehensive-strategic-partnership-between-the-commonwealth-of-australia-and-republic-of-indonesia.aspx</w:t>
      </w:r>
    </w:p>
  </w:footnote>
  <w:footnote w:id="2">
    <w:p w14:paraId="3B9F609E" w14:textId="3C49C202" w:rsidR="000C3B63" w:rsidRPr="00842128" w:rsidRDefault="000C3B63" w:rsidP="00544E4E">
      <w:pPr>
        <w:pStyle w:val="FootnoteText"/>
        <w:rPr>
          <w:sz w:val="18"/>
          <w:szCs w:val="18"/>
        </w:rPr>
      </w:pPr>
      <w:r>
        <w:rPr>
          <w:rStyle w:val="FootnoteReference"/>
        </w:rPr>
        <w:footnoteRef/>
      </w:r>
      <w:r>
        <w:t xml:space="preserve"> </w:t>
      </w:r>
      <w:r w:rsidRPr="00DC42BF">
        <w:rPr>
          <w:sz w:val="18"/>
          <w:szCs w:val="18"/>
        </w:rPr>
        <w:t>Andrew DuBrin (2005). Fundamen</w:t>
      </w:r>
      <w:r>
        <w:rPr>
          <w:sz w:val="18"/>
          <w:szCs w:val="18"/>
        </w:rPr>
        <w:t>tals of Organisational Behavior</w:t>
      </w:r>
    </w:p>
  </w:footnote>
  <w:footnote w:id="3">
    <w:p w14:paraId="46966550" w14:textId="068F3581" w:rsidR="000C3B63" w:rsidRPr="001B6BFC" w:rsidRDefault="000C3B63" w:rsidP="001B6BFC">
      <w:pPr>
        <w:pStyle w:val="BodyText"/>
      </w:pPr>
      <w:r>
        <w:rPr>
          <w:rStyle w:val="FootnoteReference"/>
        </w:rPr>
        <w:footnoteRef/>
      </w:r>
      <w:r>
        <w:t xml:space="preserve"> </w:t>
      </w:r>
      <w:r w:rsidRPr="001B6BFC">
        <w:rPr>
          <w:sz w:val="18"/>
          <w:szCs w:val="18"/>
        </w:rPr>
        <w:t>Monitoring and Evaluation Standard 4</w:t>
      </w:r>
      <w:r>
        <w:rPr>
          <w:sz w:val="18"/>
          <w:szCs w:val="18"/>
        </w:rPr>
        <w:t>)</w:t>
      </w:r>
      <w:r w:rsidRPr="001B6BFC">
        <w:rPr>
          <w:sz w:val="18"/>
          <w:szCs w:val="18"/>
        </w:rPr>
        <w:t xml:space="preserve"> Terms of Reference for Independent Evaluations; 5</w:t>
      </w:r>
      <w:r>
        <w:rPr>
          <w:sz w:val="18"/>
          <w:szCs w:val="18"/>
        </w:rPr>
        <w:t>) </w:t>
      </w:r>
      <w:r w:rsidRPr="001B6BFC">
        <w:rPr>
          <w:sz w:val="18"/>
          <w:szCs w:val="18"/>
        </w:rPr>
        <w:t>Independent Evaluation Plans</w:t>
      </w:r>
      <w:r>
        <w:rPr>
          <w:sz w:val="18"/>
          <w:szCs w:val="18"/>
        </w:rPr>
        <w:t>;</w:t>
      </w:r>
      <w:r w:rsidRPr="001B6BFC">
        <w:rPr>
          <w:sz w:val="18"/>
          <w:szCs w:val="18"/>
        </w:rPr>
        <w:t xml:space="preserve"> and 6</w:t>
      </w:r>
      <w:r>
        <w:rPr>
          <w:sz w:val="18"/>
          <w:szCs w:val="18"/>
        </w:rPr>
        <w:t>)</w:t>
      </w:r>
      <w:r w:rsidRPr="001B6BFC">
        <w:rPr>
          <w:sz w:val="18"/>
          <w:szCs w:val="18"/>
        </w:rPr>
        <w:t xml:space="preserve"> Independent Evaluation Reports.</w:t>
      </w:r>
    </w:p>
  </w:footnote>
  <w:footnote w:id="4">
    <w:p w14:paraId="685B4E31" w14:textId="506FF00F" w:rsidR="000C3B63" w:rsidRPr="00561FF4" w:rsidRDefault="000C3B63" w:rsidP="00561FF4">
      <w:pPr>
        <w:rPr>
          <w:rFonts w:ascii="Calibri" w:hAnsi="Calibri"/>
          <w:color w:val="1F497D"/>
          <w:sz w:val="22"/>
        </w:rPr>
      </w:pPr>
      <w:r>
        <w:rPr>
          <w:rStyle w:val="FootnoteReference"/>
        </w:rPr>
        <w:footnoteRef/>
      </w:r>
      <w:r>
        <w:t xml:space="preserve"> </w:t>
      </w:r>
      <w:hyperlink r:id="rId1" w:history="1">
        <w:r w:rsidRPr="00561FF4">
          <w:rPr>
            <w:rStyle w:val="Hyperlink"/>
            <w:sz w:val="18"/>
            <w:szCs w:val="18"/>
          </w:rPr>
          <w:t>https://www.apsc.gov.au/organisational-capability</w:t>
        </w:r>
      </w:hyperlink>
    </w:p>
  </w:footnote>
  <w:footnote w:id="5">
    <w:p w14:paraId="20CB1482" w14:textId="77777777" w:rsidR="000C3B63" w:rsidRPr="003C4FBD" w:rsidRDefault="000C3B63" w:rsidP="005E5D6E">
      <w:pPr>
        <w:pStyle w:val="FootnoteText"/>
      </w:pPr>
      <w:r w:rsidRPr="003C4FBD">
        <w:rPr>
          <w:rStyle w:val="FootnoteReference"/>
        </w:rPr>
        <w:footnoteRef/>
      </w:r>
      <w:r w:rsidRPr="003C4FBD">
        <w:t xml:space="preserve"> Accessed 31 August 2018 https://www.702010live.com/about-the-framework?r_done=1</w:t>
      </w:r>
    </w:p>
  </w:footnote>
  <w:footnote w:id="6">
    <w:p w14:paraId="0CDFAAB5" w14:textId="77777777" w:rsidR="000C3B63" w:rsidRPr="002F736C" w:rsidRDefault="000C3B63" w:rsidP="00B24FDB">
      <w:pPr>
        <w:pStyle w:val="FootnoteText"/>
        <w:rPr>
          <w:sz w:val="18"/>
          <w:szCs w:val="18"/>
        </w:rPr>
      </w:pPr>
      <w:r w:rsidRPr="002F736C">
        <w:rPr>
          <w:rStyle w:val="FootnoteReference"/>
          <w:sz w:val="18"/>
          <w:szCs w:val="18"/>
        </w:rPr>
        <w:footnoteRef/>
      </w:r>
      <w:r w:rsidRPr="002F736C">
        <w:rPr>
          <w:sz w:val="18"/>
          <w:szCs w:val="18"/>
        </w:rPr>
        <w:t xml:space="preserve"> Accessed 3 September 2018 at </w:t>
      </w:r>
      <w:hyperlink r:id="rId2" w:history="1">
        <w:r w:rsidRPr="002F736C">
          <w:rPr>
            <w:rStyle w:val="Hyperlink"/>
            <w:color w:val="954F72"/>
            <w:sz w:val="18"/>
            <w:szCs w:val="18"/>
            <w:lang w:val="en-GB"/>
          </w:rPr>
          <w:t>https://www.oecd.org/development/evaluation/qualitystandards.pdf</w:t>
        </w:r>
      </w:hyperlink>
      <w:r w:rsidRPr="002F736C">
        <w:rPr>
          <w:rStyle w:val="apple-converted-space"/>
          <w:color w:val="000000"/>
          <w:sz w:val="18"/>
          <w:szCs w:val="18"/>
          <w:lang w:val="en-GB"/>
        </w:rPr>
        <w:t> OECD 2010</w:t>
      </w:r>
    </w:p>
  </w:footnote>
  <w:footnote w:id="7">
    <w:p w14:paraId="7BA488A3" w14:textId="77777777" w:rsidR="000C3B63" w:rsidRPr="002F736C" w:rsidRDefault="000C3B63" w:rsidP="00B24FDB">
      <w:pPr>
        <w:spacing w:after="20"/>
        <w:rPr>
          <w:sz w:val="18"/>
          <w:szCs w:val="18"/>
        </w:rPr>
      </w:pPr>
      <w:r w:rsidRPr="002F736C">
        <w:rPr>
          <w:rStyle w:val="FootnoteReference"/>
          <w:sz w:val="18"/>
          <w:szCs w:val="18"/>
        </w:rPr>
        <w:footnoteRef/>
      </w:r>
      <w:r w:rsidRPr="002F736C">
        <w:rPr>
          <w:sz w:val="18"/>
          <w:szCs w:val="18"/>
        </w:rPr>
        <w:t xml:space="preserve"> Guidelines for the Ethical Conduct of Evaluations, Australasian Evaluation Society, 2013. Accessed 19 March 2018 at </w:t>
      </w:r>
      <w:hyperlink r:id="rId3" w:history="1">
        <w:r w:rsidRPr="002F736C">
          <w:rPr>
            <w:rStyle w:val="Hyperlink"/>
            <w:sz w:val="18"/>
            <w:szCs w:val="18"/>
          </w:rPr>
          <w:t>https://www.aes.asn.au/images/stories/files/membership/AES_Guidelines_web_v2.pdf</w:t>
        </w:r>
      </w:hyperlink>
    </w:p>
  </w:footnote>
  <w:footnote w:id="8">
    <w:p w14:paraId="47E46C5B" w14:textId="77777777" w:rsidR="000C3B63" w:rsidRDefault="000C3B63" w:rsidP="007A52C4">
      <w:pPr>
        <w:pStyle w:val="FootnoteText"/>
      </w:pPr>
      <w:r>
        <w:rPr>
          <w:rStyle w:val="FootnoteReference"/>
        </w:rPr>
        <w:footnoteRef/>
      </w:r>
      <w:r>
        <w:t xml:space="preserve"> </w:t>
      </w:r>
      <w:r w:rsidRPr="005F4D6B">
        <w:rPr>
          <w:sz w:val="18"/>
          <w:szCs w:val="18"/>
        </w:rPr>
        <w:t>DFAT May 2018 Guidance Note: Facility Investments</w:t>
      </w:r>
    </w:p>
  </w:footnote>
  <w:footnote w:id="9">
    <w:p w14:paraId="211DAEA2" w14:textId="77777777" w:rsidR="000C3B63" w:rsidRDefault="000C3B63" w:rsidP="007A52C4">
      <w:pPr>
        <w:pStyle w:val="FootnoteText"/>
      </w:pPr>
      <w:r>
        <w:rPr>
          <w:rStyle w:val="FootnoteReference"/>
        </w:rPr>
        <w:footnoteRef/>
      </w:r>
      <w:r>
        <w:t xml:space="preserve"> </w:t>
      </w:r>
      <w:r w:rsidRPr="005F4D6B">
        <w:rPr>
          <w:sz w:val="18"/>
          <w:szCs w:val="18"/>
        </w:rPr>
        <w:t>DFAT Indonesia Practice Note 4: Program logic and M&amp;E for facilities and emergent programs, March 2014 (Draft)</w:t>
      </w:r>
    </w:p>
  </w:footnote>
  <w:footnote w:id="10">
    <w:p w14:paraId="0AC152F3" w14:textId="77777777" w:rsidR="000C3B63" w:rsidRDefault="000C3B63" w:rsidP="007A52C4">
      <w:pPr>
        <w:pStyle w:val="FootnoteText"/>
        <w:rPr>
          <w:sz w:val="18"/>
          <w:szCs w:val="18"/>
        </w:rPr>
      </w:pPr>
      <w:r w:rsidRPr="007B606D">
        <w:rPr>
          <w:rStyle w:val="FootnoteReference"/>
          <w:sz w:val="18"/>
          <w:szCs w:val="18"/>
        </w:rPr>
        <w:footnoteRef/>
      </w:r>
      <w:r w:rsidRPr="007B606D">
        <w:rPr>
          <w:sz w:val="18"/>
          <w:szCs w:val="18"/>
        </w:rPr>
        <w:t xml:space="preserve"> Accessed 30 August 2018 http://cognitive-edge.com/videos/cynefin-framework-introduction/ ; </w:t>
      </w:r>
    </w:p>
    <w:p w14:paraId="3597DC71" w14:textId="77777777" w:rsidR="000C3B63" w:rsidRPr="007B606D" w:rsidRDefault="002003B5" w:rsidP="007A52C4">
      <w:pPr>
        <w:pStyle w:val="FootnoteText"/>
        <w:rPr>
          <w:sz w:val="18"/>
          <w:szCs w:val="18"/>
        </w:rPr>
      </w:pPr>
      <w:hyperlink r:id="rId4" w:history="1">
        <w:r w:rsidR="000C3B63" w:rsidRPr="00631E3B">
          <w:rPr>
            <w:rStyle w:val="Hyperlink"/>
            <w:sz w:val="18"/>
            <w:szCs w:val="18"/>
          </w:rPr>
          <w:t>http://cognitive-edge.com/</w:t>
        </w:r>
      </w:hyperlink>
      <w:r w:rsidR="000C3B63" w:rsidRPr="007B606D">
        <w:rPr>
          <w:sz w:val="18"/>
          <w:szCs w:val="18"/>
        </w:rPr>
        <w:t xml:space="preserve"> </w:t>
      </w:r>
    </w:p>
  </w:footnote>
  <w:footnote w:id="11">
    <w:p w14:paraId="1DF09C51" w14:textId="77777777" w:rsidR="000C3B63" w:rsidRPr="003E0F0D" w:rsidRDefault="000C3B63" w:rsidP="007A52C4">
      <w:pPr>
        <w:pStyle w:val="FootnoteText"/>
        <w:rPr>
          <w:sz w:val="18"/>
          <w:szCs w:val="18"/>
        </w:rPr>
      </w:pPr>
      <w:r w:rsidRPr="003E0F0D">
        <w:rPr>
          <w:rStyle w:val="FootnoteReference"/>
          <w:sz w:val="18"/>
          <w:szCs w:val="18"/>
        </w:rPr>
        <w:footnoteRef/>
      </w:r>
      <w:r w:rsidRPr="003E0F0D">
        <w:rPr>
          <w:sz w:val="18"/>
          <w:szCs w:val="18"/>
        </w:rPr>
        <w:t xml:space="preserve"> Honig, D. (2018), Navigation by Judgment. Why and When Top Down Management of Foreign Aid Doesn’t Work, Oxford University Press. Reviewed: Devpolicy </w:t>
      </w:r>
      <w:hyperlink r:id="rId5" w:history="1">
        <w:r w:rsidRPr="003E0F0D">
          <w:rPr>
            <w:rStyle w:val="Hyperlink"/>
            <w:sz w:val="18"/>
            <w:szCs w:val="18"/>
          </w:rPr>
          <w:t>devpolicy@anu.edu.au</w:t>
        </w:r>
      </w:hyperlink>
      <w:r w:rsidRPr="003E0F0D">
        <w:rPr>
          <w:sz w:val="18"/>
          <w:szCs w:val="18"/>
        </w:rPr>
        <w:t>, 21</w:t>
      </w:r>
      <w:r>
        <w:rPr>
          <w:sz w:val="18"/>
          <w:szCs w:val="18"/>
        </w:rPr>
        <w:t> </w:t>
      </w:r>
      <w:r w:rsidRPr="003E0F0D">
        <w:rPr>
          <w:sz w:val="18"/>
          <w:szCs w:val="18"/>
        </w:rPr>
        <w:t>August</w:t>
      </w:r>
      <w:r>
        <w:rPr>
          <w:sz w:val="18"/>
          <w:szCs w:val="18"/>
        </w:rPr>
        <w:t> </w:t>
      </w:r>
      <w:r w:rsidRPr="003E0F0D">
        <w:rPr>
          <w:sz w:val="18"/>
          <w:szCs w:val="18"/>
        </w:rPr>
        <w:t xml:space="preserve">2018. </w:t>
      </w:r>
    </w:p>
  </w:footnote>
  <w:footnote w:id="12">
    <w:p w14:paraId="32A98AEC" w14:textId="77777777" w:rsidR="000C3B63" w:rsidRPr="00AC0FF7" w:rsidRDefault="000C3B63" w:rsidP="007A52C4">
      <w:pPr>
        <w:pStyle w:val="FootnoteText"/>
        <w:rPr>
          <w:sz w:val="18"/>
          <w:szCs w:val="18"/>
        </w:rPr>
      </w:pPr>
      <w:r w:rsidRPr="00AC0FF7">
        <w:rPr>
          <w:rStyle w:val="FootnoteReference"/>
          <w:sz w:val="18"/>
          <w:szCs w:val="18"/>
        </w:rPr>
        <w:footnoteRef/>
      </w:r>
      <w:r w:rsidRPr="00AC0FF7">
        <w:rPr>
          <w:sz w:val="18"/>
          <w:szCs w:val="18"/>
        </w:rPr>
        <w:t xml:space="preserve"> Andrews, M., Pritchett, L. and Woolcock, M. (2017) </w:t>
      </w:r>
      <w:r>
        <w:rPr>
          <w:sz w:val="18"/>
          <w:szCs w:val="18"/>
        </w:rPr>
        <w:t>Building</w:t>
      </w:r>
      <w:r w:rsidRPr="00AC0FF7">
        <w:rPr>
          <w:sz w:val="18"/>
          <w:szCs w:val="18"/>
        </w:rPr>
        <w:t xml:space="preserve"> State Capability</w:t>
      </w:r>
      <w:r>
        <w:rPr>
          <w:sz w:val="18"/>
          <w:szCs w:val="18"/>
        </w:rPr>
        <w:t>.</w:t>
      </w:r>
      <w:r w:rsidRPr="00AC0FF7">
        <w:rPr>
          <w:sz w:val="18"/>
          <w:szCs w:val="18"/>
        </w:rPr>
        <w:t xml:space="preserve"> </w:t>
      </w:r>
      <w:r>
        <w:rPr>
          <w:sz w:val="18"/>
          <w:szCs w:val="18"/>
        </w:rPr>
        <w:t xml:space="preserve"> </w:t>
      </w:r>
      <w:r w:rsidRPr="00AC0FF7">
        <w:rPr>
          <w:sz w:val="18"/>
          <w:szCs w:val="18"/>
        </w:rPr>
        <w:t>Evidence, Action, Analysis. Oxford University Press, Oxford, United Kingdom</w:t>
      </w:r>
    </w:p>
  </w:footnote>
  <w:footnote w:id="13">
    <w:p w14:paraId="7490599A" w14:textId="08A4135C" w:rsidR="000C3B63" w:rsidRPr="00215416" w:rsidRDefault="000C3B63">
      <w:pPr>
        <w:pStyle w:val="FootnoteText"/>
        <w:rPr>
          <w:lang w:val="en-US"/>
        </w:rPr>
      </w:pPr>
      <w:r>
        <w:rPr>
          <w:rStyle w:val="FootnoteReference"/>
        </w:rPr>
        <w:footnoteRef/>
      </w:r>
      <w:r>
        <w:t xml:space="preserve"> </w:t>
      </w:r>
      <w:r>
        <w:rPr>
          <w:sz w:val="18"/>
          <w:szCs w:val="18"/>
        </w:rPr>
        <w:t>Ladner, D. (2015) Strategy Testing: An Innovative Approach to Monitoring Highly Flexible Aid Programs, Working Politically in Practice Series, Case Study 3, The Asia Foundation.</w:t>
      </w:r>
    </w:p>
  </w:footnote>
  <w:footnote w:id="14">
    <w:p w14:paraId="5A08F0C8" w14:textId="60F7F38A" w:rsidR="000C3B63" w:rsidRPr="00215416" w:rsidRDefault="000C3B63">
      <w:pPr>
        <w:pStyle w:val="FootnoteText"/>
        <w:rPr>
          <w:lang w:val="en-US"/>
        </w:rPr>
      </w:pPr>
      <w:r>
        <w:rPr>
          <w:rStyle w:val="FootnoteReference"/>
        </w:rPr>
        <w:footnoteRef/>
      </w:r>
      <w:r>
        <w:t xml:space="preserve"> </w:t>
      </w:r>
      <w:r w:rsidRPr="00365600">
        <w:rPr>
          <w:sz w:val="18"/>
          <w:szCs w:val="18"/>
        </w:rPr>
        <w:t>Smutylo, T. (2005) Outcome mapping: A method for tracking behavioural changes in development program. The Institutional Learning and Change (ILAC) Initiative Brief 7.]</w:t>
      </w:r>
    </w:p>
  </w:footnote>
  <w:footnote w:id="15">
    <w:p w14:paraId="3F62B542" w14:textId="7698C2EA" w:rsidR="000C3B63" w:rsidRPr="00215416" w:rsidRDefault="000C3B63">
      <w:pPr>
        <w:pStyle w:val="FootnoteText"/>
        <w:rPr>
          <w:lang w:val="en-US"/>
        </w:rPr>
      </w:pPr>
      <w:r>
        <w:rPr>
          <w:rStyle w:val="FootnoteReference"/>
        </w:rPr>
        <w:footnoteRef/>
      </w:r>
      <w:r>
        <w:t xml:space="preserve"> </w:t>
      </w:r>
      <w:r>
        <w:rPr>
          <w:sz w:val="18"/>
          <w:szCs w:val="18"/>
          <w:lang w:eastAsia="en-AU"/>
        </w:rPr>
        <w:t xml:space="preserve">Wilson-Grau, R. (2015) </w:t>
      </w:r>
      <w:r>
        <w:rPr>
          <w:i/>
          <w:iCs/>
          <w:sz w:val="18"/>
          <w:szCs w:val="18"/>
          <w:lang w:eastAsia="en-AU"/>
        </w:rPr>
        <w:t>Outcome Harvesting</w:t>
      </w:r>
      <w:r>
        <w:rPr>
          <w:sz w:val="18"/>
          <w:szCs w:val="18"/>
          <w:lang w:eastAsia="en-AU"/>
        </w:rPr>
        <w:t>. BetterEvaluation. Retrieved from </w:t>
      </w:r>
      <w:hyperlink r:id="rId6" w:history="1">
        <w:r>
          <w:rPr>
            <w:rStyle w:val="Hyperlink"/>
            <w:color w:val="1C88DD"/>
            <w:sz w:val="18"/>
            <w:szCs w:val="18"/>
            <w:lang w:eastAsia="en-AU"/>
          </w:rPr>
          <w:t>http://betterevaluation.org/plan/approach/outcome_harvesting</w:t>
        </w:r>
      </w:hyperlink>
      <w:r>
        <w:rPr>
          <w:color w:val="1C88DD"/>
          <w:sz w:val="18"/>
          <w:szCs w:val="18"/>
          <w:u w:val="single"/>
          <w:lang w:eastAsia="en-AU"/>
        </w:rPr>
        <w:t>.</w:t>
      </w:r>
    </w:p>
  </w:footnote>
  <w:footnote w:id="16">
    <w:p w14:paraId="4CA96E8E" w14:textId="3DEAD831" w:rsidR="000C3B63" w:rsidRPr="00215416" w:rsidRDefault="000C3B63">
      <w:pPr>
        <w:pStyle w:val="FootnoteText"/>
        <w:rPr>
          <w:lang w:val="en-US"/>
        </w:rPr>
      </w:pPr>
      <w:r>
        <w:rPr>
          <w:rStyle w:val="FootnoteReference"/>
        </w:rPr>
        <w:footnoteRef/>
      </w:r>
      <w:r>
        <w:t xml:space="preserve"> </w:t>
      </w:r>
      <w:r>
        <w:rPr>
          <w:sz w:val="18"/>
          <w:szCs w:val="18"/>
        </w:rPr>
        <w:t>Dart, J. (2017) Significant Instances of Policy and Systems Improvement (SIPSI), Clear Horizon Consulting, (Powerpoint).</w:t>
      </w:r>
    </w:p>
  </w:footnote>
  <w:footnote w:id="17">
    <w:p w14:paraId="632582E0" w14:textId="77777777" w:rsidR="000C3B63" w:rsidRPr="009B00B9" w:rsidRDefault="000C3B63" w:rsidP="00635E8B">
      <w:pPr>
        <w:pStyle w:val="FootnoteText"/>
        <w:rPr>
          <w:lang w:val="en-US"/>
        </w:rPr>
      </w:pPr>
      <w:r>
        <w:rPr>
          <w:rStyle w:val="FootnoteReference"/>
        </w:rPr>
        <w:footnoteRef/>
      </w:r>
      <w:r>
        <w:t xml:space="preserve"> </w:t>
      </w:r>
      <w:r w:rsidRPr="00A878E4">
        <w:rPr>
          <w:sz w:val="18"/>
          <w:szCs w:val="18"/>
        </w:rPr>
        <w:t xml:space="preserve">Yin, R.K. (2009) </w:t>
      </w:r>
      <w:r w:rsidRPr="00A878E4">
        <w:rPr>
          <w:i/>
          <w:sz w:val="18"/>
          <w:szCs w:val="18"/>
        </w:rPr>
        <w:t>Case Study Research – Design and Methods</w:t>
      </w:r>
      <w:r w:rsidRPr="00A878E4">
        <w:rPr>
          <w:sz w:val="18"/>
          <w:szCs w:val="18"/>
        </w:rPr>
        <w:t xml:space="preserve"> </w:t>
      </w:r>
      <w:r w:rsidRPr="00A878E4">
        <w:rPr>
          <w:i/>
          <w:sz w:val="18"/>
          <w:szCs w:val="18"/>
        </w:rPr>
        <w:t>Fourth Edition,</w:t>
      </w:r>
      <w:r w:rsidRPr="00A878E4">
        <w:rPr>
          <w:sz w:val="18"/>
          <w:szCs w:val="18"/>
        </w:rPr>
        <w:t xml:space="preserve"> Applied Social Research Methods Series Volume 5, SAGE Publications, California USA</w:t>
      </w:r>
    </w:p>
  </w:footnote>
  <w:footnote w:id="18">
    <w:p w14:paraId="0D4A6F74" w14:textId="6DC03B85" w:rsidR="000C3B63" w:rsidRDefault="000C3B63">
      <w:pPr>
        <w:pStyle w:val="FootnoteText"/>
      </w:pPr>
      <w:r>
        <w:rPr>
          <w:rStyle w:val="FootnoteReference"/>
        </w:rPr>
        <w:footnoteRef/>
      </w:r>
      <w:r>
        <w:t xml:space="preserve"> </w:t>
      </w:r>
      <w:r w:rsidRPr="001F2EF5">
        <w:rPr>
          <w:sz w:val="18"/>
          <w:szCs w:val="18"/>
        </w:rPr>
        <w:t xml:space="preserve">Mayne, J. (2008) Contribution analysis: An approach to exploring cause and effect, ILAC Brief 16, The Institutional Learning and Change (ILAC) Initiative, </w:t>
      </w:r>
      <w:hyperlink r:id="rId7" w:history="1">
        <w:r w:rsidRPr="001F2EF5">
          <w:rPr>
            <w:rStyle w:val="Hyperlink"/>
            <w:sz w:val="18"/>
            <w:szCs w:val="18"/>
          </w:rPr>
          <w:t>www.cgiar-ilac.org</w:t>
        </w:r>
      </w:hyperlink>
      <w:r w:rsidRPr="001F2EF5">
        <w:rPr>
          <w:sz w:val="18"/>
          <w:szCs w:val="18"/>
        </w:rPr>
        <w:t xml:space="preserve"> or betterevaluation.org.</w:t>
      </w:r>
    </w:p>
  </w:footnote>
  <w:footnote w:id="19">
    <w:p w14:paraId="05DC3ADB" w14:textId="22F9C0EB" w:rsidR="000C3B63" w:rsidRDefault="000C3B63">
      <w:pPr>
        <w:pStyle w:val="FootnoteText"/>
      </w:pPr>
      <w:r>
        <w:rPr>
          <w:rStyle w:val="FootnoteReference"/>
        </w:rPr>
        <w:footnoteRef/>
      </w:r>
      <w:r>
        <w:t xml:space="preserve"> </w:t>
      </w:r>
      <w:r w:rsidRPr="001F2EF5">
        <w:rPr>
          <w:sz w:val="18"/>
          <w:szCs w:val="18"/>
        </w:rPr>
        <w:t>White.H. and Phillips. D. (2012) Addressing attribution of cause and effect in small n impact evaluations: towards and integrated framework. International Initiative for Impact Evaluation Working Paper 15. Annex 1.2 General Elimination Methodology pp38:39</w:t>
      </w:r>
    </w:p>
  </w:footnote>
  <w:footnote w:id="20">
    <w:p w14:paraId="311AB999" w14:textId="77777777" w:rsidR="000C3B63" w:rsidRPr="00324240" w:rsidRDefault="000C3B63" w:rsidP="00365600">
      <w:pPr>
        <w:spacing w:after="0"/>
        <w:rPr>
          <w:sz w:val="20"/>
          <w:szCs w:val="20"/>
        </w:rPr>
      </w:pPr>
      <w:r>
        <w:rPr>
          <w:rStyle w:val="FootnoteReference"/>
        </w:rPr>
        <w:footnoteRef/>
      </w:r>
      <w:r>
        <w:t xml:space="preserve"> </w:t>
      </w:r>
      <w:r w:rsidRPr="00365600">
        <w:rPr>
          <w:sz w:val="18"/>
          <w:szCs w:val="18"/>
        </w:rPr>
        <w:t>https://www.betterevaluation.org/en/evaluation-options/value_for_money</w:t>
      </w:r>
    </w:p>
  </w:footnote>
  <w:footnote w:id="21">
    <w:p w14:paraId="0C5EB39B" w14:textId="321AB300" w:rsidR="000C3B63" w:rsidRDefault="000C3B63" w:rsidP="00365600">
      <w:pPr>
        <w:pStyle w:val="FootnoteText"/>
      </w:pPr>
      <w:r w:rsidRPr="001F2EF5">
        <w:rPr>
          <w:rStyle w:val="FootnoteReference"/>
        </w:rPr>
        <w:footnoteRef/>
      </w:r>
      <w:r w:rsidRPr="001F2EF5">
        <w:t xml:space="preserve"> </w:t>
      </w:r>
      <w:r w:rsidRPr="00365600">
        <w:rPr>
          <w:sz w:val="18"/>
          <w:szCs w:val="18"/>
        </w:rPr>
        <w:t xml:space="preserve">Accessed 25 September 2018 </w:t>
      </w:r>
      <w:hyperlink r:id="rId8" w:history="1">
        <w:r w:rsidRPr="00365600">
          <w:rPr>
            <w:rStyle w:val="Hyperlink"/>
            <w:sz w:val="18"/>
            <w:szCs w:val="18"/>
          </w:rPr>
          <w:t>https://dfat.gov.au/aid/who-we-work-with/value-for-money-principles/Pages/value-for-money-principles.aspx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EDA16" w14:textId="77777777" w:rsidR="002003B5" w:rsidRDefault="002003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AEE59" w14:textId="77777777" w:rsidR="002003B5" w:rsidRDefault="002003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82620" w14:textId="167E7F67" w:rsidR="000C3B63" w:rsidRDefault="000C3B63" w:rsidP="009D2D1D">
    <w:pPr>
      <w:pStyle w:val="Header"/>
    </w:pPr>
  </w:p>
  <w:p w14:paraId="17CC1B55" w14:textId="797C59E3" w:rsidR="000C3B63" w:rsidRDefault="000C3B63">
    <w:pPr>
      <w:pStyle w:val="Header"/>
    </w:pPr>
  </w:p>
  <w:p w14:paraId="28733D8F" w14:textId="79FF1561" w:rsidR="000C3B63" w:rsidRPr="001F4BE7" w:rsidRDefault="000C3B63">
    <w:pPr>
      <w:pStyle w:val="Header"/>
      <w:rPr>
        <w:rFonts w:cs="Arial"/>
        <w:sz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4D5E0" w14:textId="27E31430" w:rsidR="000C3B63" w:rsidRPr="009D2D1D" w:rsidRDefault="000C3B63" w:rsidP="009D2D1D">
    <w:pPr>
      <w:pStyle w:val="Header"/>
      <w:rPr>
        <w:color w:val="424242" w:themeColor="text2"/>
      </w:rPr>
    </w:pPr>
    <w:r>
      <w:t>Prospera Knowledge, Performance, and Learning Framework</w:t>
    </w:r>
    <w:r w:rsidRPr="009D2D1D">
      <w:rPr>
        <w:color w:val="424242" w:themeColor="text2"/>
      </w:rPr>
      <w:t xml:space="preserve"> </w:t>
    </w:r>
    <w:r w:rsidRPr="009D2D1D">
      <w:rPr>
        <w:color w:val="424242" w:themeColor="text2"/>
      </w:rPr>
      <w:fldChar w:fldCharType="begin"/>
    </w:r>
    <w:r w:rsidRPr="009D2D1D">
      <w:rPr>
        <w:color w:val="424242" w:themeColor="text2"/>
      </w:rPr>
      <w:instrText xml:space="preserve"> STYLEREF  Title  \* MERGEFORMAT </w:instrText>
    </w:r>
    <w:r w:rsidRPr="009D2D1D">
      <w:rPr>
        <w:color w:val="424242" w:themeColor="text2"/>
      </w:rPr>
      <w:fldChar w:fldCharType="end"/>
    </w:r>
    <w:r w:rsidRPr="009D2D1D">
      <w:rPr>
        <w:color w:val="424242" w:themeColor="text2"/>
      </w:rPr>
      <w:ptab w:relativeTo="margin" w:alignment="right" w:leader="none"/>
    </w:r>
    <w:r w:rsidRPr="009D2D1D">
      <w:rPr>
        <w:color w:val="424242" w:themeColor="text2"/>
      </w:rPr>
      <w:fldChar w:fldCharType="begin"/>
    </w:r>
    <w:r w:rsidRPr="009D2D1D">
      <w:rPr>
        <w:color w:val="424242" w:themeColor="text2"/>
      </w:rPr>
      <w:instrText xml:space="preserve"> STYLEREF  "YOUR DATE"  \* MERGEFORMAT </w:instrText>
    </w:r>
    <w:r w:rsidRPr="009D2D1D">
      <w:rPr>
        <w:color w:val="424242" w:themeColor="text2"/>
      </w:rPr>
      <w:fldChar w:fldCharType="separate"/>
    </w:r>
    <w:r w:rsidR="002003B5">
      <w:rPr>
        <w:noProof/>
        <w:color w:val="424242" w:themeColor="text2"/>
      </w:rPr>
      <w:t>December 2018</w:t>
    </w:r>
    <w:r w:rsidRPr="009D2D1D">
      <w:rPr>
        <w:color w:val="424242" w:themeColor="text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4F353" w14:textId="77777777" w:rsidR="000C3B63" w:rsidRDefault="000C3B63">
    <w:pPr>
      <w:pStyle w:val="Header"/>
    </w:pPr>
  </w:p>
  <w:p w14:paraId="593E6DDC" w14:textId="77777777" w:rsidR="000C3B63" w:rsidRPr="001F4BE7" w:rsidRDefault="000C3B63">
    <w:pPr>
      <w:pStyle w:val="Header"/>
      <w:rPr>
        <w:rFonts w:cs="Arial"/>
        <w:sz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79D5A" w14:textId="77777777" w:rsidR="000C3B63" w:rsidRDefault="000C3B63">
    <w:pPr>
      <w:pStyle w:val="Header"/>
    </w:pPr>
  </w:p>
  <w:p w14:paraId="587F386E" w14:textId="77777777" w:rsidR="000C3B63" w:rsidRPr="001F4BE7" w:rsidRDefault="000C3B63">
    <w:pPr>
      <w:pStyle w:val="Header"/>
      <w:rPr>
        <w:rFonts w:cs="Arial"/>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EB6CDB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190D8BA"/>
    <w:lvl w:ilvl="0">
      <w:start w:val="1"/>
      <w:numFmt w:val="bullet"/>
      <w:pStyle w:val="ListBullet"/>
      <w:lvlText w:val=""/>
      <w:lvlJc w:val="left"/>
      <w:pPr>
        <w:ind w:left="360" w:hanging="360"/>
      </w:pPr>
      <w:rPr>
        <w:rFonts w:ascii="Wingdings" w:hAnsi="Wingdings" w:hint="default"/>
        <w:color w:val="FFCC33" w:themeColor="accent5"/>
      </w:rPr>
    </w:lvl>
  </w:abstractNum>
  <w:abstractNum w:abstractNumId="2" w15:restartNumberingAfterBreak="0">
    <w:nsid w:val="00044977"/>
    <w:multiLevelType w:val="hybridMultilevel"/>
    <w:tmpl w:val="C1E064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2053B1E"/>
    <w:multiLevelType w:val="hybridMultilevel"/>
    <w:tmpl w:val="5F82549C"/>
    <w:lvl w:ilvl="0" w:tplc="1B6C7CA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C31420"/>
    <w:multiLevelType w:val="hybridMultilevel"/>
    <w:tmpl w:val="129673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75F6DEF"/>
    <w:multiLevelType w:val="multilevel"/>
    <w:tmpl w:val="585672EE"/>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b w:val="0"/>
        <w:bCs w:val="0"/>
        <w:i w:val="0"/>
        <w:iCs w:val="0"/>
        <w:caps w:val="0"/>
        <w:smallCaps w:val="0"/>
        <w:strike w:val="0"/>
        <w:dstrike w:val="0"/>
        <w:outline w:val="0"/>
        <w:shadow w:val="0"/>
        <w:emboss w:val="0"/>
        <w:imprint w:val="0"/>
        <w:noProof w:val="0"/>
        <w:vanish w:val="0"/>
        <w:color w:val="20ABCA"/>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6"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284"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0C721B29"/>
    <w:multiLevelType w:val="hybridMultilevel"/>
    <w:tmpl w:val="5B484CE6"/>
    <w:lvl w:ilvl="0" w:tplc="9394F8A6">
      <w:start w:val="1"/>
      <w:numFmt w:val="decimal"/>
      <w:pStyle w:val="AnnexHeading"/>
      <w:lvlText w:val="Annex %1"/>
      <w:lvlJc w:val="left"/>
      <w:pPr>
        <w:ind w:left="851" w:hanging="851"/>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F5190A"/>
    <w:multiLevelType w:val="hybridMultilevel"/>
    <w:tmpl w:val="C1E064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79B4402"/>
    <w:multiLevelType w:val="hybridMultilevel"/>
    <w:tmpl w:val="A02081EC"/>
    <w:lvl w:ilvl="0" w:tplc="1B6C7CA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B6C3BFB"/>
    <w:multiLevelType w:val="hybridMultilevel"/>
    <w:tmpl w:val="ABBCE3F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91436A"/>
    <w:multiLevelType w:val="hybridMultilevel"/>
    <w:tmpl w:val="9F366F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6011DE9"/>
    <w:multiLevelType w:val="hybridMultilevel"/>
    <w:tmpl w:val="D95EAE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F297FE9"/>
    <w:multiLevelType w:val="hybridMultilevel"/>
    <w:tmpl w:val="C46866F0"/>
    <w:lvl w:ilvl="0" w:tplc="1B6C7CA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0821B18"/>
    <w:multiLevelType w:val="hybridMultilevel"/>
    <w:tmpl w:val="EA6E11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12E00DF"/>
    <w:multiLevelType w:val="hybridMultilevel"/>
    <w:tmpl w:val="1B8645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1610424"/>
    <w:multiLevelType w:val="hybridMultilevel"/>
    <w:tmpl w:val="E14250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2AD6128"/>
    <w:multiLevelType w:val="hybridMultilevel"/>
    <w:tmpl w:val="4F1C3B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39F137A"/>
    <w:multiLevelType w:val="hybridMultilevel"/>
    <w:tmpl w:val="CB62120A"/>
    <w:lvl w:ilvl="0" w:tplc="0C090001">
      <w:start w:val="1"/>
      <w:numFmt w:val="bullet"/>
      <w:lvlText w:val=""/>
      <w:lvlJc w:val="left"/>
      <w:pPr>
        <w:ind w:left="-519" w:hanging="360"/>
      </w:pPr>
      <w:rPr>
        <w:rFonts w:ascii="Symbol" w:hAnsi="Symbol" w:hint="default"/>
      </w:rPr>
    </w:lvl>
    <w:lvl w:ilvl="1" w:tplc="0C090003" w:tentative="1">
      <w:start w:val="1"/>
      <w:numFmt w:val="bullet"/>
      <w:lvlText w:val="o"/>
      <w:lvlJc w:val="left"/>
      <w:pPr>
        <w:ind w:left="201" w:hanging="360"/>
      </w:pPr>
      <w:rPr>
        <w:rFonts w:ascii="Courier New" w:hAnsi="Courier New" w:cs="Courier New" w:hint="default"/>
      </w:rPr>
    </w:lvl>
    <w:lvl w:ilvl="2" w:tplc="0C090005" w:tentative="1">
      <w:start w:val="1"/>
      <w:numFmt w:val="bullet"/>
      <w:lvlText w:val=""/>
      <w:lvlJc w:val="left"/>
      <w:pPr>
        <w:ind w:left="921" w:hanging="360"/>
      </w:pPr>
      <w:rPr>
        <w:rFonts w:ascii="Wingdings" w:hAnsi="Wingdings" w:hint="default"/>
      </w:rPr>
    </w:lvl>
    <w:lvl w:ilvl="3" w:tplc="0C090001" w:tentative="1">
      <w:start w:val="1"/>
      <w:numFmt w:val="bullet"/>
      <w:lvlText w:val=""/>
      <w:lvlJc w:val="left"/>
      <w:pPr>
        <w:ind w:left="1641" w:hanging="360"/>
      </w:pPr>
      <w:rPr>
        <w:rFonts w:ascii="Symbol" w:hAnsi="Symbol" w:hint="default"/>
      </w:rPr>
    </w:lvl>
    <w:lvl w:ilvl="4" w:tplc="0C090003" w:tentative="1">
      <w:start w:val="1"/>
      <w:numFmt w:val="bullet"/>
      <w:lvlText w:val="o"/>
      <w:lvlJc w:val="left"/>
      <w:pPr>
        <w:ind w:left="2361" w:hanging="360"/>
      </w:pPr>
      <w:rPr>
        <w:rFonts w:ascii="Courier New" w:hAnsi="Courier New" w:cs="Courier New" w:hint="default"/>
      </w:rPr>
    </w:lvl>
    <w:lvl w:ilvl="5" w:tplc="0C090005" w:tentative="1">
      <w:start w:val="1"/>
      <w:numFmt w:val="bullet"/>
      <w:lvlText w:val=""/>
      <w:lvlJc w:val="left"/>
      <w:pPr>
        <w:ind w:left="3081" w:hanging="360"/>
      </w:pPr>
      <w:rPr>
        <w:rFonts w:ascii="Wingdings" w:hAnsi="Wingdings" w:hint="default"/>
      </w:rPr>
    </w:lvl>
    <w:lvl w:ilvl="6" w:tplc="0C090001" w:tentative="1">
      <w:start w:val="1"/>
      <w:numFmt w:val="bullet"/>
      <w:lvlText w:val=""/>
      <w:lvlJc w:val="left"/>
      <w:pPr>
        <w:ind w:left="3801" w:hanging="360"/>
      </w:pPr>
      <w:rPr>
        <w:rFonts w:ascii="Symbol" w:hAnsi="Symbol" w:hint="default"/>
      </w:rPr>
    </w:lvl>
    <w:lvl w:ilvl="7" w:tplc="0C090003" w:tentative="1">
      <w:start w:val="1"/>
      <w:numFmt w:val="bullet"/>
      <w:lvlText w:val="o"/>
      <w:lvlJc w:val="left"/>
      <w:pPr>
        <w:ind w:left="4521" w:hanging="360"/>
      </w:pPr>
      <w:rPr>
        <w:rFonts w:ascii="Courier New" w:hAnsi="Courier New" w:cs="Courier New" w:hint="default"/>
      </w:rPr>
    </w:lvl>
    <w:lvl w:ilvl="8" w:tplc="0C090005" w:tentative="1">
      <w:start w:val="1"/>
      <w:numFmt w:val="bullet"/>
      <w:lvlText w:val=""/>
      <w:lvlJc w:val="left"/>
      <w:pPr>
        <w:ind w:left="5241" w:hanging="360"/>
      </w:pPr>
      <w:rPr>
        <w:rFonts w:ascii="Wingdings" w:hAnsi="Wingdings" w:hint="default"/>
      </w:rPr>
    </w:lvl>
  </w:abstractNum>
  <w:abstractNum w:abstractNumId="19" w15:restartNumberingAfterBreak="0">
    <w:nsid w:val="345D11B3"/>
    <w:multiLevelType w:val="hybridMultilevel"/>
    <w:tmpl w:val="610ED06E"/>
    <w:lvl w:ilvl="0" w:tplc="1B6C7CA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5AE0524"/>
    <w:multiLevelType w:val="hybridMultilevel"/>
    <w:tmpl w:val="E0F019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7BB308E"/>
    <w:multiLevelType w:val="hybridMultilevel"/>
    <w:tmpl w:val="FD123A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83B7946"/>
    <w:multiLevelType w:val="hybridMultilevel"/>
    <w:tmpl w:val="54E2DE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AA51088"/>
    <w:multiLevelType w:val="hybridMultilevel"/>
    <w:tmpl w:val="9F366F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1407522"/>
    <w:multiLevelType w:val="hybridMultilevel"/>
    <w:tmpl w:val="24845E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1F3429A"/>
    <w:multiLevelType w:val="hybridMultilevel"/>
    <w:tmpl w:val="358EFB90"/>
    <w:lvl w:ilvl="0" w:tplc="4AA29622">
      <w:numFmt w:val="bullet"/>
      <w:lvlText w:val="-"/>
      <w:lvlJc w:val="left"/>
      <w:pPr>
        <w:ind w:left="408" w:hanging="360"/>
      </w:pPr>
      <w:rPr>
        <w:rFonts w:ascii="Arial" w:eastAsiaTheme="minorHAnsi" w:hAnsi="Arial" w:cs="Aria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6" w15:restartNumberingAfterBreak="0">
    <w:nsid w:val="472A5DBB"/>
    <w:multiLevelType w:val="hybridMultilevel"/>
    <w:tmpl w:val="E14250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92A2497"/>
    <w:multiLevelType w:val="hybridMultilevel"/>
    <w:tmpl w:val="E2E651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CEF2957"/>
    <w:multiLevelType w:val="hybridMultilevel"/>
    <w:tmpl w:val="129673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E0A0BD1"/>
    <w:multiLevelType w:val="hybridMultilevel"/>
    <w:tmpl w:val="24845E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E333D46"/>
    <w:multiLevelType w:val="hybridMultilevel"/>
    <w:tmpl w:val="C49AC736"/>
    <w:lvl w:ilvl="0" w:tplc="1B6C7CA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1D649D8"/>
    <w:multiLevelType w:val="hybridMultilevel"/>
    <w:tmpl w:val="5554F34A"/>
    <w:lvl w:ilvl="0" w:tplc="1B6C7CA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706596A"/>
    <w:multiLevelType w:val="hybridMultilevel"/>
    <w:tmpl w:val="D95EAE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8127154"/>
    <w:multiLevelType w:val="hybridMultilevel"/>
    <w:tmpl w:val="DC1C97E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60E74"/>
    <w:multiLevelType w:val="hybridMultilevel"/>
    <w:tmpl w:val="3E7A2832"/>
    <w:lvl w:ilvl="0" w:tplc="1B6C7CA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9014008"/>
    <w:multiLevelType w:val="hybridMultilevel"/>
    <w:tmpl w:val="FD123A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D084C0F"/>
    <w:multiLevelType w:val="hybridMultilevel"/>
    <w:tmpl w:val="E5661C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D4E41AD"/>
    <w:multiLevelType w:val="hybridMultilevel"/>
    <w:tmpl w:val="45AA19D4"/>
    <w:lvl w:ilvl="0" w:tplc="32845A8C">
      <w:start w:val="2018"/>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E9F368E"/>
    <w:multiLevelType w:val="hybridMultilevel"/>
    <w:tmpl w:val="3C329494"/>
    <w:lvl w:ilvl="0" w:tplc="1B6C7CA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F050CF4"/>
    <w:multiLevelType w:val="hybridMultilevel"/>
    <w:tmpl w:val="34A2BC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0A42C35"/>
    <w:multiLevelType w:val="hybridMultilevel"/>
    <w:tmpl w:val="5A5E4D90"/>
    <w:lvl w:ilvl="0" w:tplc="44D62FEE">
      <w:start w:val="1"/>
      <w:numFmt w:val="lowerRoman"/>
      <w:lvlText w:val="(%1)"/>
      <w:lvlJc w:val="righ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61DF65B0"/>
    <w:multiLevelType w:val="hybridMultilevel"/>
    <w:tmpl w:val="E5661C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5DA322B"/>
    <w:multiLevelType w:val="hybridMultilevel"/>
    <w:tmpl w:val="8384D222"/>
    <w:lvl w:ilvl="0" w:tplc="EFF06EA2">
      <w:start w:val="1"/>
      <w:numFmt w:val="bullet"/>
      <w:pStyle w:val="Bullet1normal"/>
      <w:lvlText w:val=""/>
      <w:lvlJc w:val="left"/>
      <w:pPr>
        <w:ind w:left="1080" w:hanging="360"/>
      </w:pPr>
      <w:rPr>
        <w:rFonts w:ascii="Symbol" w:hAnsi="Symbol" w:hint="default"/>
        <w:color w:val="E26E00"/>
        <w:sz w:val="18"/>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67894A87"/>
    <w:multiLevelType w:val="hybridMultilevel"/>
    <w:tmpl w:val="C1C40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315BCB"/>
    <w:multiLevelType w:val="hybridMultilevel"/>
    <w:tmpl w:val="4F1C3B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6AD65965"/>
    <w:multiLevelType w:val="hybridMultilevel"/>
    <w:tmpl w:val="62607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D995E50"/>
    <w:multiLevelType w:val="hybridMultilevel"/>
    <w:tmpl w:val="E2E651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F637A9D"/>
    <w:multiLevelType w:val="hybridMultilevel"/>
    <w:tmpl w:val="79261A56"/>
    <w:lvl w:ilvl="0" w:tplc="0C090001">
      <w:start w:val="1"/>
      <w:numFmt w:val="bullet"/>
      <w:lvlText w:val=""/>
      <w:lvlJc w:val="left"/>
      <w:pPr>
        <w:ind w:left="720" w:hanging="360"/>
      </w:pPr>
      <w:rPr>
        <w:rFonts w:ascii="Symbol" w:hAnsi="Symbol" w:hint="default"/>
      </w:rPr>
    </w:lvl>
    <w:lvl w:ilvl="1" w:tplc="0776A2E0">
      <w:start w:val="116"/>
      <w:numFmt w:val="bullet"/>
      <w:lvlText w:val="−"/>
      <w:lvlJc w:val="left"/>
      <w:pPr>
        <w:ind w:left="1440" w:hanging="360"/>
      </w:pPr>
      <w:rPr>
        <w:rFonts w:ascii="Arial" w:eastAsiaTheme="minorHAnsi" w:hAnsi="Arial" w:cs="Arial" w:hint="default"/>
      </w:rPr>
    </w:lvl>
    <w:lvl w:ilvl="2" w:tplc="AAB68D50">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6236B14"/>
    <w:multiLevelType w:val="hybridMultilevel"/>
    <w:tmpl w:val="EA6E11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7EA10A7"/>
    <w:multiLevelType w:val="hybridMultilevel"/>
    <w:tmpl w:val="11FE89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799F1947"/>
    <w:multiLevelType w:val="hybridMultilevel"/>
    <w:tmpl w:val="5A5E4D90"/>
    <w:lvl w:ilvl="0" w:tplc="44D62FEE">
      <w:start w:val="1"/>
      <w:numFmt w:val="lowerRoman"/>
      <w:lvlText w:val="(%1)"/>
      <w:lvlJc w:val="righ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7C337FE8"/>
    <w:multiLevelType w:val="hybridMultilevel"/>
    <w:tmpl w:val="94EEEC40"/>
    <w:lvl w:ilvl="0" w:tplc="1B6C7CA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C61762C"/>
    <w:multiLevelType w:val="hybridMultilevel"/>
    <w:tmpl w:val="AD6A6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D2A11F3"/>
    <w:multiLevelType w:val="hybridMultilevel"/>
    <w:tmpl w:val="B538A404"/>
    <w:lvl w:ilvl="0" w:tplc="FA764C06">
      <w:start w:val="1"/>
      <w:numFmt w:val="bullet"/>
      <w:pStyle w:val="TableBullet"/>
      <w:lvlText w:val=""/>
      <w:lvlJc w:val="left"/>
      <w:pPr>
        <w:ind w:left="720" w:hanging="360"/>
      </w:pPr>
      <w:rPr>
        <w:rFonts w:ascii="Wingdings" w:hAnsi="Wingdings" w:hint="default"/>
        <w:color w:val="1F519A"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0"/>
  </w:num>
  <w:num w:numId="5">
    <w:abstractNumId w:val="53"/>
  </w:num>
  <w:num w:numId="6">
    <w:abstractNumId w:val="0"/>
    <w:lvlOverride w:ilvl="0">
      <w:startOverride w:val="1"/>
    </w:lvlOverride>
  </w:num>
  <w:num w:numId="7">
    <w:abstractNumId w:val="0"/>
    <w:lvlOverride w:ilvl="0">
      <w:startOverride w:val="1"/>
    </w:lvlOverride>
  </w:num>
  <w:num w:numId="8">
    <w:abstractNumId w:val="47"/>
  </w:num>
  <w:num w:numId="9">
    <w:abstractNumId w:val="50"/>
  </w:num>
  <w:num w:numId="10">
    <w:abstractNumId w:val="45"/>
  </w:num>
  <w:num w:numId="11">
    <w:abstractNumId w:val="42"/>
  </w:num>
  <w:num w:numId="12">
    <w:abstractNumId w:val="40"/>
  </w:num>
  <w:num w:numId="13">
    <w:abstractNumId w:val="38"/>
  </w:num>
  <w:num w:numId="14">
    <w:abstractNumId w:val="19"/>
  </w:num>
  <w:num w:numId="15">
    <w:abstractNumId w:val="31"/>
  </w:num>
  <w:num w:numId="16">
    <w:abstractNumId w:val="51"/>
  </w:num>
  <w:num w:numId="17">
    <w:abstractNumId w:val="3"/>
  </w:num>
  <w:num w:numId="18">
    <w:abstractNumId w:val="30"/>
  </w:num>
  <w:num w:numId="19">
    <w:abstractNumId w:val="9"/>
  </w:num>
  <w:num w:numId="20">
    <w:abstractNumId w:val="34"/>
  </w:num>
  <w:num w:numId="21">
    <w:abstractNumId w:val="18"/>
  </w:num>
  <w:num w:numId="22">
    <w:abstractNumId w:val="52"/>
  </w:num>
  <w:num w:numId="23">
    <w:abstractNumId w:val="13"/>
  </w:num>
  <w:num w:numId="24">
    <w:abstractNumId w:val="33"/>
  </w:num>
  <w:num w:numId="25">
    <w:abstractNumId w:val="0"/>
    <w:lvlOverride w:ilvl="0">
      <w:startOverride w:val="1"/>
    </w:lvlOverride>
  </w:num>
  <w:num w:numId="26">
    <w:abstractNumId w:val="43"/>
  </w:num>
  <w:num w:numId="27">
    <w:abstractNumId w:val="25"/>
  </w:num>
  <w:num w:numId="28">
    <w:abstractNumId w:val="12"/>
  </w:num>
  <w:num w:numId="29">
    <w:abstractNumId w:val="32"/>
  </w:num>
  <w:num w:numId="30">
    <w:abstractNumId w:val="23"/>
  </w:num>
  <w:num w:numId="31">
    <w:abstractNumId w:val="11"/>
  </w:num>
  <w:num w:numId="32">
    <w:abstractNumId w:val="36"/>
  </w:num>
  <w:num w:numId="33">
    <w:abstractNumId w:val="41"/>
  </w:num>
  <w:num w:numId="34">
    <w:abstractNumId w:val="29"/>
  </w:num>
  <w:num w:numId="35">
    <w:abstractNumId w:val="24"/>
  </w:num>
  <w:num w:numId="36">
    <w:abstractNumId w:val="27"/>
  </w:num>
  <w:num w:numId="37">
    <w:abstractNumId w:val="46"/>
  </w:num>
  <w:num w:numId="38">
    <w:abstractNumId w:val="4"/>
  </w:num>
  <w:num w:numId="39">
    <w:abstractNumId w:val="28"/>
  </w:num>
  <w:num w:numId="40">
    <w:abstractNumId w:val="20"/>
  </w:num>
  <w:num w:numId="41">
    <w:abstractNumId w:val="15"/>
  </w:num>
  <w:num w:numId="42">
    <w:abstractNumId w:val="48"/>
  </w:num>
  <w:num w:numId="43">
    <w:abstractNumId w:val="14"/>
  </w:num>
  <w:num w:numId="44">
    <w:abstractNumId w:val="26"/>
  </w:num>
  <w:num w:numId="45">
    <w:abstractNumId w:val="16"/>
  </w:num>
  <w:num w:numId="46">
    <w:abstractNumId w:val="8"/>
  </w:num>
  <w:num w:numId="47">
    <w:abstractNumId w:val="2"/>
  </w:num>
  <w:num w:numId="48">
    <w:abstractNumId w:val="21"/>
  </w:num>
  <w:num w:numId="49">
    <w:abstractNumId w:val="35"/>
  </w:num>
  <w:num w:numId="50">
    <w:abstractNumId w:val="44"/>
  </w:num>
  <w:num w:numId="51">
    <w:abstractNumId w:val="17"/>
  </w:num>
  <w:num w:numId="52">
    <w:abstractNumId w:val="22"/>
  </w:num>
  <w:num w:numId="53">
    <w:abstractNumId w:val="49"/>
  </w:num>
  <w:num w:numId="54">
    <w:abstractNumId w:val="10"/>
  </w:num>
  <w:num w:numId="55">
    <w:abstractNumId w:val="37"/>
  </w:num>
  <w:num w:numId="56">
    <w:abstractNumId w:val="6"/>
  </w:num>
  <w:num w:numId="57">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8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C87"/>
    <w:rsid w:val="00020592"/>
    <w:rsid w:val="00026C3C"/>
    <w:rsid w:val="00030812"/>
    <w:rsid w:val="00030AD9"/>
    <w:rsid w:val="00037187"/>
    <w:rsid w:val="000419FB"/>
    <w:rsid w:val="00071B18"/>
    <w:rsid w:val="0007272F"/>
    <w:rsid w:val="00074261"/>
    <w:rsid w:val="00076E02"/>
    <w:rsid w:val="00091749"/>
    <w:rsid w:val="00092AE0"/>
    <w:rsid w:val="000933C8"/>
    <w:rsid w:val="00095386"/>
    <w:rsid w:val="000A1229"/>
    <w:rsid w:val="000A2AEF"/>
    <w:rsid w:val="000C3B63"/>
    <w:rsid w:val="000D2690"/>
    <w:rsid w:val="000E1C21"/>
    <w:rsid w:val="000E7A9A"/>
    <w:rsid w:val="000E7D7A"/>
    <w:rsid w:val="000F741C"/>
    <w:rsid w:val="00101850"/>
    <w:rsid w:val="00104657"/>
    <w:rsid w:val="001130D0"/>
    <w:rsid w:val="00114C9A"/>
    <w:rsid w:val="001304F1"/>
    <w:rsid w:val="0013258E"/>
    <w:rsid w:val="001329B1"/>
    <w:rsid w:val="001510E2"/>
    <w:rsid w:val="00154552"/>
    <w:rsid w:val="001607C5"/>
    <w:rsid w:val="001651EE"/>
    <w:rsid w:val="001654C7"/>
    <w:rsid w:val="00182CF2"/>
    <w:rsid w:val="00195481"/>
    <w:rsid w:val="001975D8"/>
    <w:rsid w:val="001B3154"/>
    <w:rsid w:val="001B6BFC"/>
    <w:rsid w:val="001C3086"/>
    <w:rsid w:val="001E1D11"/>
    <w:rsid w:val="001E5A04"/>
    <w:rsid w:val="001E7AC6"/>
    <w:rsid w:val="001F2EF5"/>
    <w:rsid w:val="001F4BE7"/>
    <w:rsid w:val="002003B5"/>
    <w:rsid w:val="0020734C"/>
    <w:rsid w:val="00215416"/>
    <w:rsid w:val="00220E1F"/>
    <w:rsid w:val="00224036"/>
    <w:rsid w:val="00236AC8"/>
    <w:rsid w:val="00237FAB"/>
    <w:rsid w:val="00263C60"/>
    <w:rsid w:val="002A3D68"/>
    <w:rsid w:val="002A6B9D"/>
    <w:rsid w:val="002B6CB4"/>
    <w:rsid w:val="002C3956"/>
    <w:rsid w:val="002C55C7"/>
    <w:rsid w:val="002D26F2"/>
    <w:rsid w:val="002E05C2"/>
    <w:rsid w:val="002E34C5"/>
    <w:rsid w:val="002E514E"/>
    <w:rsid w:val="002E6117"/>
    <w:rsid w:val="00303178"/>
    <w:rsid w:val="0031089B"/>
    <w:rsid w:val="003228C3"/>
    <w:rsid w:val="00326160"/>
    <w:rsid w:val="003305D6"/>
    <w:rsid w:val="00332B8D"/>
    <w:rsid w:val="00332C28"/>
    <w:rsid w:val="00334B64"/>
    <w:rsid w:val="00344694"/>
    <w:rsid w:val="0034781B"/>
    <w:rsid w:val="00365600"/>
    <w:rsid w:val="00372963"/>
    <w:rsid w:val="00374F0F"/>
    <w:rsid w:val="003911F8"/>
    <w:rsid w:val="00392751"/>
    <w:rsid w:val="003A1548"/>
    <w:rsid w:val="003A569B"/>
    <w:rsid w:val="003C34CE"/>
    <w:rsid w:val="003C48A6"/>
    <w:rsid w:val="003C4FBD"/>
    <w:rsid w:val="003D2342"/>
    <w:rsid w:val="003E3697"/>
    <w:rsid w:val="003F6635"/>
    <w:rsid w:val="0043202D"/>
    <w:rsid w:val="00454D31"/>
    <w:rsid w:val="004714F8"/>
    <w:rsid w:val="0049623A"/>
    <w:rsid w:val="004965A9"/>
    <w:rsid w:val="004B4D1E"/>
    <w:rsid w:val="004B5206"/>
    <w:rsid w:val="004C4273"/>
    <w:rsid w:val="004D1415"/>
    <w:rsid w:val="004D4DC1"/>
    <w:rsid w:val="004D5B4D"/>
    <w:rsid w:val="004D68E0"/>
    <w:rsid w:val="004E7A88"/>
    <w:rsid w:val="004F6089"/>
    <w:rsid w:val="00525FB6"/>
    <w:rsid w:val="00534755"/>
    <w:rsid w:val="00544E4E"/>
    <w:rsid w:val="00547790"/>
    <w:rsid w:val="00561FF4"/>
    <w:rsid w:val="00583AED"/>
    <w:rsid w:val="00585FC9"/>
    <w:rsid w:val="00594F6F"/>
    <w:rsid w:val="005A3535"/>
    <w:rsid w:val="005A35B7"/>
    <w:rsid w:val="005A5CA7"/>
    <w:rsid w:val="005B4AB5"/>
    <w:rsid w:val="005C1811"/>
    <w:rsid w:val="005C4611"/>
    <w:rsid w:val="005C7A2C"/>
    <w:rsid w:val="005E33A3"/>
    <w:rsid w:val="005E5D6E"/>
    <w:rsid w:val="005E6540"/>
    <w:rsid w:val="005F4D6B"/>
    <w:rsid w:val="005F6634"/>
    <w:rsid w:val="006176A3"/>
    <w:rsid w:val="006205BB"/>
    <w:rsid w:val="006244ED"/>
    <w:rsid w:val="0062729A"/>
    <w:rsid w:val="0063133A"/>
    <w:rsid w:val="00635E8B"/>
    <w:rsid w:val="00637B74"/>
    <w:rsid w:val="0066134A"/>
    <w:rsid w:val="00672C15"/>
    <w:rsid w:val="00682B63"/>
    <w:rsid w:val="00693C57"/>
    <w:rsid w:val="00694B8D"/>
    <w:rsid w:val="00694DB4"/>
    <w:rsid w:val="006B0CDD"/>
    <w:rsid w:val="006B3AE7"/>
    <w:rsid w:val="006E2D9C"/>
    <w:rsid w:val="006F3713"/>
    <w:rsid w:val="006F4F47"/>
    <w:rsid w:val="00701AC5"/>
    <w:rsid w:val="0070259B"/>
    <w:rsid w:val="007074E2"/>
    <w:rsid w:val="00707AAD"/>
    <w:rsid w:val="00735CA1"/>
    <w:rsid w:val="0073797D"/>
    <w:rsid w:val="007523A5"/>
    <w:rsid w:val="00754A22"/>
    <w:rsid w:val="007568DE"/>
    <w:rsid w:val="0077405A"/>
    <w:rsid w:val="0078792B"/>
    <w:rsid w:val="007A1CFB"/>
    <w:rsid w:val="007A52C4"/>
    <w:rsid w:val="007C2485"/>
    <w:rsid w:val="007C7339"/>
    <w:rsid w:val="007D1A32"/>
    <w:rsid w:val="007E0DDC"/>
    <w:rsid w:val="007F136C"/>
    <w:rsid w:val="007F5F67"/>
    <w:rsid w:val="00810444"/>
    <w:rsid w:val="0082195C"/>
    <w:rsid w:val="00821DB6"/>
    <w:rsid w:val="0083335F"/>
    <w:rsid w:val="00842128"/>
    <w:rsid w:val="00843A28"/>
    <w:rsid w:val="0086146B"/>
    <w:rsid w:val="00871E83"/>
    <w:rsid w:val="00883A81"/>
    <w:rsid w:val="0089512B"/>
    <w:rsid w:val="008A1C6B"/>
    <w:rsid w:val="008A3F76"/>
    <w:rsid w:val="008A4B25"/>
    <w:rsid w:val="008B4001"/>
    <w:rsid w:val="008B5D26"/>
    <w:rsid w:val="008D05D7"/>
    <w:rsid w:val="008E0F9F"/>
    <w:rsid w:val="008E40C5"/>
    <w:rsid w:val="008E57AA"/>
    <w:rsid w:val="008F090A"/>
    <w:rsid w:val="008F339D"/>
    <w:rsid w:val="008F5227"/>
    <w:rsid w:val="009113E1"/>
    <w:rsid w:val="00917AA6"/>
    <w:rsid w:val="00932B1D"/>
    <w:rsid w:val="00941BF9"/>
    <w:rsid w:val="0095558D"/>
    <w:rsid w:val="009610E5"/>
    <w:rsid w:val="009B18DE"/>
    <w:rsid w:val="009C3194"/>
    <w:rsid w:val="009C5C0A"/>
    <w:rsid w:val="009D2D1D"/>
    <w:rsid w:val="009D4037"/>
    <w:rsid w:val="009D42D6"/>
    <w:rsid w:val="009E3972"/>
    <w:rsid w:val="009F4D29"/>
    <w:rsid w:val="00A0487B"/>
    <w:rsid w:val="00A06F6F"/>
    <w:rsid w:val="00A0703D"/>
    <w:rsid w:val="00A2418F"/>
    <w:rsid w:val="00A31565"/>
    <w:rsid w:val="00A34FCB"/>
    <w:rsid w:val="00A4334D"/>
    <w:rsid w:val="00A506E9"/>
    <w:rsid w:val="00A51C87"/>
    <w:rsid w:val="00A51D11"/>
    <w:rsid w:val="00A5564B"/>
    <w:rsid w:val="00A648CA"/>
    <w:rsid w:val="00A824EA"/>
    <w:rsid w:val="00A87822"/>
    <w:rsid w:val="00AA0AAE"/>
    <w:rsid w:val="00AA335F"/>
    <w:rsid w:val="00AC12E0"/>
    <w:rsid w:val="00AC3618"/>
    <w:rsid w:val="00AC70E0"/>
    <w:rsid w:val="00AF2B4E"/>
    <w:rsid w:val="00B2373D"/>
    <w:rsid w:val="00B24FDB"/>
    <w:rsid w:val="00B27D06"/>
    <w:rsid w:val="00B30435"/>
    <w:rsid w:val="00B52FEB"/>
    <w:rsid w:val="00B537DE"/>
    <w:rsid w:val="00B57791"/>
    <w:rsid w:val="00B651D6"/>
    <w:rsid w:val="00B65285"/>
    <w:rsid w:val="00B728B4"/>
    <w:rsid w:val="00B94D6A"/>
    <w:rsid w:val="00BB3820"/>
    <w:rsid w:val="00BB7FC8"/>
    <w:rsid w:val="00BD55C7"/>
    <w:rsid w:val="00BD5F6E"/>
    <w:rsid w:val="00BD6896"/>
    <w:rsid w:val="00BE60F3"/>
    <w:rsid w:val="00BF5D26"/>
    <w:rsid w:val="00C023F2"/>
    <w:rsid w:val="00C155B3"/>
    <w:rsid w:val="00C20B71"/>
    <w:rsid w:val="00C240C9"/>
    <w:rsid w:val="00C36E07"/>
    <w:rsid w:val="00C4595E"/>
    <w:rsid w:val="00C546ED"/>
    <w:rsid w:val="00C714E2"/>
    <w:rsid w:val="00C72FD9"/>
    <w:rsid w:val="00C83B53"/>
    <w:rsid w:val="00C94B29"/>
    <w:rsid w:val="00C972E9"/>
    <w:rsid w:val="00CB3FDF"/>
    <w:rsid w:val="00CC0FEA"/>
    <w:rsid w:val="00CC2750"/>
    <w:rsid w:val="00CD0398"/>
    <w:rsid w:val="00CD1BA8"/>
    <w:rsid w:val="00CE3338"/>
    <w:rsid w:val="00CE6BD5"/>
    <w:rsid w:val="00D11137"/>
    <w:rsid w:val="00D313C0"/>
    <w:rsid w:val="00D3518D"/>
    <w:rsid w:val="00D44B76"/>
    <w:rsid w:val="00D459AE"/>
    <w:rsid w:val="00D50461"/>
    <w:rsid w:val="00D52E98"/>
    <w:rsid w:val="00D53A25"/>
    <w:rsid w:val="00D60BBF"/>
    <w:rsid w:val="00D63856"/>
    <w:rsid w:val="00D76761"/>
    <w:rsid w:val="00D92CDD"/>
    <w:rsid w:val="00DD60D0"/>
    <w:rsid w:val="00DE480D"/>
    <w:rsid w:val="00DF159D"/>
    <w:rsid w:val="00E02C4A"/>
    <w:rsid w:val="00E076AD"/>
    <w:rsid w:val="00E10531"/>
    <w:rsid w:val="00E31161"/>
    <w:rsid w:val="00E361F1"/>
    <w:rsid w:val="00E42772"/>
    <w:rsid w:val="00E5505E"/>
    <w:rsid w:val="00E604AA"/>
    <w:rsid w:val="00E6721D"/>
    <w:rsid w:val="00E8371D"/>
    <w:rsid w:val="00E84E3A"/>
    <w:rsid w:val="00E859B2"/>
    <w:rsid w:val="00E90800"/>
    <w:rsid w:val="00EA2CC4"/>
    <w:rsid w:val="00EB3C4D"/>
    <w:rsid w:val="00EB5827"/>
    <w:rsid w:val="00EC75A3"/>
    <w:rsid w:val="00ED01E2"/>
    <w:rsid w:val="00ED3EED"/>
    <w:rsid w:val="00ED7314"/>
    <w:rsid w:val="00ED7A9F"/>
    <w:rsid w:val="00EE28FA"/>
    <w:rsid w:val="00EE2D1C"/>
    <w:rsid w:val="00EE642B"/>
    <w:rsid w:val="00EF7E1C"/>
    <w:rsid w:val="00F02511"/>
    <w:rsid w:val="00F152C8"/>
    <w:rsid w:val="00F37641"/>
    <w:rsid w:val="00F66C1F"/>
    <w:rsid w:val="00F874C7"/>
    <w:rsid w:val="00F87E8A"/>
    <w:rsid w:val="00F94BE8"/>
    <w:rsid w:val="00FC5F87"/>
    <w:rsid w:val="00FE2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37E0C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92751"/>
    <w:pPr>
      <w:spacing w:after="160" w:line="259" w:lineRule="auto"/>
    </w:pPr>
    <w:rPr>
      <w:rFonts w:ascii="Arial" w:hAnsi="Arial"/>
      <w:sz w:val="16"/>
      <w:szCs w:val="22"/>
      <w:lang w:val="en-AU"/>
    </w:rPr>
  </w:style>
  <w:style w:type="paragraph" w:styleId="Heading1">
    <w:name w:val="heading 1"/>
    <w:basedOn w:val="Normal"/>
    <w:next w:val="Normal"/>
    <w:link w:val="Heading1Char"/>
    <w:uiPriority w:val="9"/>
    <w:qFormat/>
    <w:rsid w:val="009D2D1D"/>
    <w:pPr>
      <w:keepNext/>
      <w:keepLines/>
      <w:numPr>
        <w:numId w:val="2"/>
      </w:numPr>
      <w:spacing w:before="360" w:after="120" w:line="240" w:lineRule="auto"/>
      <w:outlineLvl w:val="0"/>
    </w:pPr>
    <w:rPr>
      <w:rFonts w:eastAsiaTheme="majorEastAsia" w:cstheme="majorBidi"/>
      <w:color w:val="20ABCA" w:themeColor="accent6"/>
      <w:sz w:val="28"/>
      <w:szCs w:val="32"/>
    </w:rPr>
  </w:style>
  <w:style w:type="paragraph" w:styleId="Heading2">
    <w:name w:val="heading 2"/>
    <w:basedOn w:val="Normal"/>
    <w:next w:val="BodyText"/>
    <w:link w:val="Heading2Char"/>
    <w:uiPriority w:val="9"/>
    <w:unhideWhenUsed/>
    <w:qFormat/>
    <w:rsid w:val="0082195C"/>
    <w:pPr>
      <w:keepNext/>
      <w:keepLines/>
      <w:numPr>
        <w:ilvl w:val="1"/>
        <w:numId w:val="2"/>
      </w:numPr>
      <w:spacing w:before="360" w:after="120"/>
      <w:outlineLvl w:val="1"/>
    </w:pPr>
    <w:rPr>
      <w:rFonts w:eastAsiaTheme="majorEastAsia" w:cstheme="majorBidi"/>
      <w:color w:val="20ABCA" w:themeColor="accent6"/>
      <w:sz w:val="24"/>
      <w:szCs w:val="26"/>
    </w:rPr>
  </w:style>
  <w:style w:type="paragraph" w:styleId="Heading3">
    <w:name w:val="heading 3"/>
    <w:basedOn w:val="Normal"/>
    <w:next w:val="Normal"/>
    <w:link w:val="Heading3Char"/>
    <w:uiPriority w:val="9"/>
    <w:unhideWhenUsed/>
    <w:qFormat/>
    <w:rsid w:val="006B3AE7"/>
    <w:pPr>
      <w:keepNext/>
      <w:keepLines/>
      <w:numPr>
        <w:ilvl w:val="2"/>
        <w:numId w:val="2"/>
      </w:numPr>
      <w:spacing w:before="240" w:after="120" w:line="240" w:lineRule="auto"/>
      <w:outlineLvl w:val="2"/>
    </w:pPr>
    <w:rPr>
      <w:rFonts w:eastAsiaTheme="majorEastAsia" w:cstheme="majorBidi"/>
      <w:b/>
      <w:color w:val="20ABCA" w:themeColor="accent6"/>
      <w:sz w:val="20"/>
      <w:szCs w:val="24"/>
    </w:rPr>
  </w:style>
  <w:style w:type="paragraph" w:styleId="Heading4">
    <w:name w:val="heading 4"/>
    <w:basedOn w:val="Normal"/>
    <w:next w:val="Normal"/>
    <w:link w:val="Heading4Char"/>
    <w:uiPriority w:val="9"/>
    <w:unhideWhenUsed/>
    <w:qFormat/>
    <w:rsid w:val="009D2D1D"/>
    <w:pPr>
      <w:keepNext/>
      <w:keepLines/>
      <w:numPr>
        <w:ilvl w:val="3"/>
        <w:numId w:val="2"/>
      </w:numPr>
      <w:spacing w:before="40" w:after="0"/>
      <w:outlineLvl w:val="3"/>
    </w:pPr>
    <w:rPr>
      <w:rFonts w:asciiTheme="majorHAnsi" w:eastAsiaTheme="majorEastAsia" w:hAnsiTheme="majorHAnsi" w:cstheme="majorBidi"/>
      <w:i/>
      <w:iCs/>
      <w:color w:val="173C73" w:themeColor="accent1" w:themeShade="BF"/>
    </w:rPr>
  </w:style>
  <w:style w:type="paragraph" w:styleId="Heading5">
    <w:name w:val="heading 5"/>
    <w:basedOn w:val="Normal"/>
    <w:next w:val="Normal"/>
    <w:link w:val="Heading5Char"/>
    <w:uiPriority w:val="9"/>
    <w:semiHidden/>
    <w:unhideWhenUsed/>
    <w:qFormat/>
    <w:rsid w:val="009D2D1D"/>
    <w:pPr>
      <w:keepNext/>
      <w:keepLines/>
      <w:numPr>
        <w:ilvl w:val="4"/>
        <w:numId w:val="2"/>
      </w:numPr>
      <w:spacing w:before="40" w:after="0"/>
      <w:outlineLvl w:val="4"/>
    </w:pPr>
    <w:rPr>
      <w:rFonts w:asciiTheme="majorHAnsi" w:eastAsiaTheme="majorEastAsia" w:hAnsiTheme="majorHAnsi" w:cstheme="majorBidi"/>
      <w:color w:val="173C73" w:themeColor="accent1" w:themeShade="BF"/>
    </w:rPr>
  </w:style>
  <w:style w:type="paragraph" w:styleId="Heading6">
    <w:name w:val="heading 6"/>
    <w:basedOn w:val="Normal"/>
    <w:next w:val="Normal"/>
    <w:link w:val="Heading6Char"/>
    <w:uiPriority w:val="9"/>
    <w:semiHidden/>
    <w:unhideWhenUsed/>
    <w:qFormat/>
    <w:rsid w:val="009D2D1D"/>
    <w:pPr>
      <w:keepNext/>
      <w:keepLines/>
      <w:numPr>
        <w:ilvl w:val="5"/>
        <w:numId w:val="2"/>
      </w:numPr>
      <w:spacing w:before="40" w:after="0"/>
      <w:outlineLvl w:val="5"/>
    </w:pPr>
    <w:rPr>
      <w:rFonts w:asciiTheme="majorHAnsi" w:eastAsiaTheme="majorEastAsia" w:hAnsiTheme="majorHAnsi" w:cstheme="majorBidi"/>
      <w:color w:val="0F284C" w:themeColor="accent1" w:themeShade="7F"/>
    </w:rPr>
  </w:style>
  <w:style w:type="paragraph" w:styleId="Heading7">
    <w:name w:val="heading 7"/>
    <w:basedOn w:val="Normal"/>
    <w:next w:val="Normal"/>
    <w:link w:val="Heading7Char"/>
    <w:uiPriority w:val="9"/>
    <w:semiHidden/>
    <w:unhideWhenUsed/>
    <w:qFormat/>
    <w:rsid w:val="009D2D1D"/>
    <w:pPr>
      <w:keepNext/>
      <w:keepLines/>
      <w:numPr>
        <w:ilvl w:val="6"/>
        <w:numId w:val="2"/>
      </w:numPr>
      <w:spacing w:before="40" w:after="0"/>
      <w:outlineLvl w:val="6"/>
    </w:pPr>
    <w:rPr>
      <w:rFonts w:asciiTheme="majorHAnsi" w:eastAsiaTheme="majorEastAsia" w:hAnsiTheme="majorHAnsi" w:cstheme="majorBidi"/>
      <w:i/>
      <w:iCs/>
      <w:color w:val="0F284C" w:themeColor="accent1" w:themeShade="7F"/>
    </w:rPr>
  </w:style>
  <w:style w:type="paragraph" w:styleId="Heading8">
    <w:name w:val="heading 8"/>
    <w:basedOn w:val="Normal"/>
    <w:next w:val="Normal"/>
    <w:link w:val="Heading8Char"/>
    <w:uiPriority w:val="9"/>
    <w:semiHidden/>
    <w:unhideWhenUsed/>
    <w:qFormat/>
    <w:rsid w:val="009D2D1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2D1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D1D"/>
    <w:rPr>
      <w:rFonts w:ascii="Arial" w:hAnsi="Arial"/>
      <w:sz w:val="16"/>
      <w:szCs w:val="22"/>
      <w:lang w:val="en-AU"/>
    </w:rPr>
  </w:style>
  <w:style w:type="paragraph" w:styleId="Footer">
    <w:name w:val="footer"/>
    <w:basedOn w:val="Normal"/>
    <w:link w:val="FooterChar"/>
    <w:uiPriority w:val="99"/>
    <w:unhideWhenUsed/>
    <w:rsid w:val="009D2D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D1D"/>
    <w:rPr>
      <w:rFonts w:ascii="Arial" w:hAnsi="Arial"/>
      <w:sz w:val="16"/>
      <w:szCs w:val="22"/>
      <w:lang w:val="en-AU"/>
    </w:rPr>
  </w:style>
  <w:style w:type="character" w:styleId="PageNumber">
    <w:name w:val="page number"/>
    <w:basedOn w:val="DefaultParagraphFont"/>
    <w:uiPriority w:val="99"/>
    <w:semiHidden/>
    <w:unhideWhenUsed/>
    <w:rsid w:val="001F4BE7"/>
  </w:style>
  <w:style w:type="paragraph" w:styleId="ListParagraph">
    <w:name w:val="List Paragraph"/>
    <w:aliases w:val="List Paragraph1,List Paragraph11,Bullet1,L,CV text,F5 List Paragraph,Dot pt,List Paragraph111,Medium Grid 1 - Accent 21,Numbered Paragraph,List Paragraph2,Bulleted Para,NFP GP Bulleted List,FooterText,numbered,Inputs,DWA List 1"/>
    <w:basedOn w:val="Normal"/>
    <w:link w:val="ListParagraphChar"/>
    <w:uiPriority w:val="34"/>
    <w:qFormat/>
    <w:rsid w:val="009D2D1D"/>
    <w:pPr>
      <w:ind w:left="720"/>
      <w:contextualSpacing/>
    </w:pPr>
  </w:style>
  <w:style w:type="table" w:styleId="TableGrid">
    <w:name w:val="Table Grid"/>
    <w:basedOn w:val="TableNormal"/>
    <w:uiPriority w:val="59"/>
    <w:rsid w:val="009D2D1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2D1D"/>
    <w:rPr>
      <w:rFonts w:ascii="Arial" w:eastAsiaTheme="majorEastAsia" w:hAnsi="Arial" w:cstheme="majorBidi"/>
      <w:color w:val="20ABCA" w:themeColor="accent6"/>
      <w:sz w:val="28"/>
      <w:szCs w:val="32"/>
      <w:lang w:val="en-AU"/>
    </w:rPr>
  </w:style>
  <w:style w:type="paragraph" w:styleId="TOCHeading">
    <w:name w:val="TOC Heading"/>
    <w:basedOn w:val="Heading1"/>
    <w:next w:val="Normal"/>
    <w:uiPriority w:val="39"/>
    <w:unhideWhenUsed/>
    <w:qFormat/>
    <w:rsid w:val="009D2D1D"/>
    <w:pPr>
      <w:numPr>
        <w:numId w:val="0"/>
      </w:numPr>
      <w:spacing w:before="0" w:after="240"/>
      <w:outlineLvl w:val="9"/>
    </w:pPr>
  </w:style>
  <w:style w:type="paragraph" w:styleId="TOC1">
    <w:name w:val="toc 1"/>
    <w:basedOn w:val="Normal"/>
    <w:next w:val="Normal"/>
    <w:uiPriority w:val="39"/>
    <w:unhideWhenUsed/>
    <w:rsid w:val="009D2D1D"/>
    <w:pPr>
      <w:tabs>
        <w:tab w:val="right" w:leader="dot" w:pos="9628"/>
      </w:tabs>
      <w:spacing w:before="120" w:after="60" w:line="240" w:lineRule="auto"/>
      <w:ind w:left="851" w:hanging="851"/>
    </w:pPr>
    <w:rPr>
      <w:b/>
      <w:noProof/>
      <w:sz w:val="20"/>
    </w:rPr>
  </w:style>
  <w:style w:type="paragraph" w:styleId="TOC2">
    <w:name w:val="toc 2"/>
    <w:basedOn w:val="Normal"/>
    <w:next w:val="Normal"/>
    <w:uiPriority w:val="39"/>
    <w:unhideWhenUsed/>
    <w:rsid w:val="009D2D1D"/>
    <w:pPr>
      <w:tabs>
        <w:tab w:val="right" w:leader="dot" w:pos="9628"/>
      </w:tabs>
      <w:spacing w:after="60" w:line="240" w:lineRule="auto"/>
      <w:ind w:left="851" w:hanging="851"/>
    </w:pPr>
    <w:rPr>
      <w:noProof/>
      <w:sz w:val="20"/>
    </w:rPr>
  </w:style>
  <w:style w:type="paragraph" w:styleId="TOC3">
    <w:name w:val="toc 3"/>
    <w:basedOn w:val="Normal"/>
    <w:next w:val="Normal"/>
    <w:autoRedefine/>
    <w:uiPriority w:val="39"/>
    <w:unhideWhenUsed/>
    <w:rsid w:val="005C7A2C"/>
    <w:pPr>
      <w:ind w:left="240"/>
    </w:pPr>
    <w:rPr>
      <w:i/>
      <w:iCs/>
      <w:sz w:val="22"/>
    </w:rPr>
  </w:style>
  <w:style w:type="paragraph" w:styleId="TOC4">
    <w:name w:val="toc 4"/>
    <w:basedOn w:val="Normal"/>
    <w:next w:val="Normal"/>
    <w:autoRedefine/>
    <w:uiPriority w:val="39"/>
    <w:unhideWhenUsed/>
    <w:rsid w:val="005C7A2C"/>
    <w:pPr>
      <w:pBdr>
        <w:between w:val="double" w:sz="6" w:space="0" w:color="auto"/>
      </w:pBdr>
      <w:ind w:left="480"/>
    </w:pPr>
    <w:rPr>
      <w:sz w:val="20"/>
      <w:szCs w:val="20"/>
    </w:rPr>
  </w:style>
  <w:style w:type="paragraph" w:styleId="TOC5">
    <w:name w:val="toc 5"/>
    <w:basedOn w:val="Normal"/>
    <w:next w:val="Normal"/>
    <w:autoRedefine/>
    <w:uiPriority w:val="39"/>
    <w:unhideWhenUsed/>
    <w:rsid w:val="005C7A2C"/>
    <w:pPr>
      <w:pBdr>
        <w:between w:val="double" w:sz="6" w:space="0" w:color="auto"/>
      </w:pBdr>
      <w:ind w:left="720"/>
    </w:pPr>
    <w:rPr>
      <w:sz w:val="20"/>
      <w:szCs w:val="20"/>
    </w:rPr>
  </w:style>
  <w:style w:type="paragraph" w:styleId="TOC6">
    <w:name w:val="toc 6"/>
    <w:basedOn w:val="Normal"/>
    <w:next w:val="Normal"/>
    <w:autoRedefine/>
    <w:uiPriority w:val="39"/>
    <w:unhideWhenUsed/>
    <w:rsid w:val="005C7A2C"/>
    <w:pPr>
      <w:pBdr>
        <w:between w:val="double" w:sz="6" w:space="0" w:color="auto"/>
      </w:pBdr>
      <w:ind w:left="960"/>
    </w:pPr>
    <w:rPr>
      <w:sz w:val="20"/>
      <w:szCs w:val="20"/>
    </w:rPr>
  </w:style>
  <w:style w:type="paragraph" w:styleId="TOC7">
    <w:name w:val="toc 7"/>
    <w:basedOn w:val="Normal"/>
    <w:next w:val="Normal"/>
    <w:autoRedefine/>
    <w:uiPriority w:val="39"/>
    <w:unhideWhenUsed/>
    <w:rsid w:val="005C7A2C"/>
    <w:pPr>
      <w:pBdr>
        <w:between w:val="double" w:sz="6" w:space="0" w:color="auto"/>
      </w:pBdr>
      <w:ind w:left="1200"/>
    </w:pPr>
    <w:rPr>
      <w:sz w:val="20"/>
      <w:szCs w:val="20"/>
    </w:rPr>
  </w:style>
  <w:style w:type="paragraph" w:styleId="TOC8">
    <w:name w:val="toc 8"/>
    <w:basedOn w:val="Normal"/>
    <w:next w:val="Normal"/>
    <w:autoRedefine/>
    <w:uiPriority w:val="39"/>
    <w:unhideWhenUsed/>
    <w:rsid w:val="005C7A2C"/>
    <w:pPr>
      <w:pBdr>
        <w:between w:val="double" w:sz="6" w:space="0" w:color="auto"/>
      </w:pBdr>
      <w:ind w:left="1440"/>
    </w:pPr>
    <w:rPr>
      <w:sz w:val="20"/>
      <w:szCs w:val="20"/>
    </w:rPr>
  </w:style>
  <w:style w:type="paragraph" w:styleId="TOC9">
    <w:name w:val="toc 9"/>
    <w:basedOn w:val="Normal"/>
    <w:next w:val="Normal"/>
    <w:autoRedefine/>
    <w:uiPriority w:val="39"/>
    <w:unhideWhenUsed/>
    <w:rsid w:val="005C7A2C"/>
    <w:pPr>
      <w:pBdr>
        <w:between w:val="double" w:sz="6" w:space="0" w:color="auto"/>
      </w:pBdr>
      <w:ind w:left="1680"/>
    </w:pPr>
    <w:rPr>
      <w:sz w:val="20"/>
      <w:szCs w:val="20"/>
    </w:rPr>
  </w:style>
  <w:style w:type="character" w:styleId="Hyperlink">
    <w:name w:val="Hyperlink"/>
    <w:basedOn w:val="DefaultParagraphFont"/>
    <w:uiPriority w:val="99"/>
    <w:unhideWhenUsed/>
    <w:rsid w:val="009D2D1D"/>
    <w:rPr>
      <w:color w:val="0563C1" w:themeColor="hyperlink"/>
      <w:u w:val="single"/>
    </w:rPr>
  </w:style>
  <w:style w:type="paragraph" w:styleId="Title">
    <w:name w:val="Title"/>
    <w:basedOn w:val="Normal"/>
    <w:next w:val="Normal"/>
    <w:link w:val="TitleChar"/>
    <w:uiPriority w:val="10"/>
    <w:qFormat/>
    <w:rsid w:val="009D2D1D"/>
    <w:pPr>
      <w:spacing w:before="8000" w:after="0" w:line="240" w:lineRule="auto"/>
      <w:contextualSpacing/>
    </w:pPr>
    <w:rPr>
      <w:rFonts w:eastAsiaTheme="majorEastAsia"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D2D1D"/>
    <w:rPr>
      <w:rFonts w:ascii="Arial" w:eastAsiaTheme="majorEastAsia" w:hAnsi="Arial" w:cstheme="majorBidi"/>
      <w:b/>
      <w:color w:val="FFFFFF" w:themeColor="background1"/>
      <w:spacing w:val="-10"/>
      <w:kern w:val="28"/>
      <w:sz w:val="48"/>
      <w:szCs w:val="56"/>
      <w:lang w:val="en-AU"/>
    </w:rPr>
  </w:style>
  <w:style w:type="character" w:customStyle="1" w:styleId="Heading2Char">
    <w:name w:val="Heading 2 Char"/>
    <w:basedOn w:val="DefaultParagraphFont"/>
    <w:link w:val="Heading2"/>
    <w:uiPriority w:val="9"/>
    <w:rsid w:val="0082195C"/>
    <w:rPr>
      <w:rFonts w:ascii="Arial" w:eastAsiaTheme="majorEastAsia" w:hAnsi="Arial" w:cstheme="majorBidi"/>
      <w:color w:val="20ABCA" w:themeColor="accent6"/>
      <w:szCs w:val="26"/>
      <w:lang w:val="en-AU"/>
    </w:rPr>
  </w:style>
  <w:style w:type="paragraph" w:styleId="Subtitle">
    <w:name w:val="Subtitle"/>
    <w:basedOn w:val="Normal"/>
    <w:next w:val="Normal"/>
    <w:link w:val="SubtitleChar"/>
    <w:uiPriority w:val="11"/>
    <w:qFormat/>
    <w:rsid w:val="009D2D1D"/>
    <w:pPr>
      <w:numPr>
        <w:ilvl w:val="1"/>
      </w:numPr>
      <w:spacing w:before="10000" w:after="0"/>
    </w:pPr>
    <w:rPr>
      <w:rFonts w:eastAsiaTheme="minorEastAsia"/>
      <w:color w:val="FFFFFF" w:themeColor="background1"/>
      <w:sz w:val="48"/>
    </w:rPr>
  </w:style>
  <w:style w:type="character" w:customStyle="1" w:styleId="SubtitleChar">
    <w:name w:val="Subtitle Char"/>
    <w:basedOn w:val="DefaultParagraphFont"/>
    <w:link w:val="Subtitle"/>
    <w:uiPriority w:val="11"/>
    <w:rsid w:val="009D2D1D"/>
    <w:rPr>
      <w:rFonts w:ascii="Arial" w:eastAsiaTheme="minorEastAsia" w:hAnsi="Arial"/>
      <w:color w:val="FFFFFF" w:themeColor="background1"/>
      <w:sz w:val="48"/>
      <w:szCs w:val="22"/>
      <w:lang w:val="en-AU"/>
    </w:rPr>
  </w:style>
  <w:style w:type="paragraph" w:styleId="BodyText">
    <w:name w:val="Body Text"/>
    <w:basedOn w:val="Normal"/>
    <w:link w:val="BodyTextChar"/>
    <w:unhideWhenUsed/>
    <w:qFormat/>
    <w:rsid w:val="009D2D1D"/>
    <w:pPr>
      <w:spacing w:after="120" w:line="288" w:lineRule="auto"/>
    </w:pPr>
    <w:rPr>
      <w:sz w:val="20"/>
    </w:rPr>
  </w:style>
  <w:style w:type="character" w:customStyle="1" w:styleId="BodyTextChar">
    <w:name w:val="Body Text Char"/>
    <w:basedOn w:val="DefaultParagraphFont"/>
    <w:link w:val="BodyText"/>
    <w:rsid w:val="009D2D1D"/>
    <w:rPr>
      <w:rFonts w:ascii="Arial" w:hAnsi="Arial"/>
      <w:sz w:val="20"/>
      <w:szCs w:val="22"/>
      <w:lang w:val="en-AU"/>
    </w:rPr>
  </w:style>
  <w:style w:type="paragraph" w:styleId="Caption">
    <w:name w:val="caption"/>
    <w:basedOn w:val="Normal"/>
    <w:next w:val="Normal"/>
    <w:uiPriority w:val="35"/>
    <w:unhideWhenUsed/>
    <w:qFormat/>
    <w:rsid w:val="006B3AE7"/>
    <w:pPr>
      <w:keepNext/>
      <w:spacing w:before="360" w:after="120" w:line="240" w:lineRule="auto"/>
      <w:ind w:left="851" w:hanging="851"/>
    </w:pPr>
    <w:rPr>
      <w:b/>
      <w:iCs/>
      <w:color w:val="424242" w:themeColor="text2"/>
      <w:szCs w:val="18"/>
    </w:rPr>
  </w:style>
  <w:style w:type="paragraph" w:customStyle="1" w:styleId="Tabletext">
    <w:name w:val="Table text"/>
    <w:basedOn w:val="Normal"/>
    <w:qFormat/>
    <w:rsid w:val="0077405A"/>
    <w:pPr>
      <w:spacing w:before="60" w:after="60"/>
      <w:jc w:val="center"/>
    </w:pPr>
    <w:rPr>
      <w:rFonts w:cs="Arial"/>
      <w:sz w:val="18"/>
    </w:rPr>
  </w:style>
  <w:style w:type="paragraph" w:styleId="ListBullet">
    <w:name w:val="List Bullet"/>
    <w:basedOn w:val="Normal"/>
    <w:unhideWhenUsed/>
    <w:qFormat/>
    <w:rsid w:val="006B3AE7"/>
    <w:pPr>
      <w:numPr>
        <w:numId w:val="3"/>
      </w:numPr>
      <w:spacing w:after="360" w:line="288" w:lineRule="auto"/>
      <w:contextualSpacing/>
    </w:pPr>
    <w:rPr>
      <w:sz w:val="20"/>
    </w:rPr>
  </w:style>
  <w:style w:type="character" w:customStyle="1" w:styleId="Heading3Char">
    <w:name w:val="Heading 3 Char"/>
    <w:basedOn w:val="DefaultParagraphFont"/>
    <w:link w:val="Heading3"/>
    <w:uiPriority w:val="9"/>
    <w:rsid w:val="006B3AE7"/>
    <w:rPr>
      <w:rFonts w:ascii="Arial" w:eastAsiaTheme="majorEastAsia" w:hAnsi="Arial" w:cstheme="majorBidi"/>
      <w:b/>
      <w:color w:val="20ABCA" w:themeColor="accent6"/>
      <w:sz w:val="20"/>
      <w:lang w:val="en-AU"/>
    </w:rPr>
  </w:style>
  <w:style w:type="paragraph" w:customStyle="1" w:styleId="YOURDATE">
    <w:name w:val="YOUR DATE"/>
    <w:basedOn w:val="Normal"/>
    <w:qFormat/>
    <w:rsid w:val="009D2D1D"/>
    <w:pPr>
      <w:spacing w:before="480"/>
    </w:pPr>
    <w:rPr>
      <w:color w:val="FFFFFF" w:themeColor="background1"/>
      <w:sz w:val="32"/>
    </w:rPr>
  </w:style>
  <w:style w:type="paragraph" w:styleId="TableofFigures">
    <w:name w:val="table of figures"/>
    <w:basedOn w:val="Normal"/>
    <w:next w:val="Normal"/>
    <w:uiPriority w:val="99"/>
    <w:unhideWhenUsed/>
    <w:rsid w:val="009D2D1D"/>
    <w:pPr>
      <w:spacing w:after="120" w:line="240" w:lineRule="auto"/>
      <w:ind w:left="851" w:hanging="851"/>
    </w:pPr>
    <w:rPr>
      <w:sz w:val="20"/>
    </w:rPr>
  </w:style>
  <w:style w:type="paragraph" w:customStyle="1" w:styleId="AnnexHeading">
    <w:name w:val="Annex Heading"/>
    <w:basedOn w:val="Heading1"/>
    <w:link w:val="AnnexHeadingChar"/>
    <w:rsid w:val="009D2D1D"/>
    <w:pPr>
      <w:numPr>
        <w:numId w:val="1"/>
      </w:numPr>
      <w:spacing w:before="0" w:after="240"/>
    </w:pPr>
  </w:style>
  <w:style w:type="character" w:customStyle="1" w:styleId="AnnexHeadingChar">
    <w:name w:val="Annex Heading Char"/>
    <w:basedOn w:val="Heading1Char"/>
    <w:link w:val="AnnexHeading"/>
    <w:rsid w:val="009D2D1D"/>
    <w:rPr>
      <w:rFonts w:ascii="Arial" w:eastAsiaTheme="majorEastAsia" w:hAnsi="Arial" w:cstheme="majorBidi"/>
      <w:color w:val="20ABCA" w:themeColor="accent6"/>
      <w:sz w:val="28"/>
      <w:szCs w:val="32"/>
      <w:lang w:val="en-AU"/>
    </w:rPr>
  </w:style>
  <w:style w:type="table" w:customStyle="1" w:styleId="AVpTable">
    <w:name w:val="AVp Table"/>
    <w:basedOn w:val="TableNormal"/>
    <w:uiPriority w:val="99"/>
    <w:rsid w:val="009D2D1D"/>
    <w:rPr>
      <w:rFonts w:ascii="Arial" w:hAnsi="Arial"/>
      <w:sz w:val="16"/>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pPr>
        <w:jc w:val="center"/>
      </w:pPr>
      <w:rPr>
        <w:rFonts w:ascii="Arial" w:hAnsi="Arial"/>
        <w:b/>
        <w:color w:val="FFFFFF" w:themeColor="background1"/>
        <w:sz w:val="16"/>
      </w:rPr>
      <w:tblPr/>
      <w:trPr>
        <w:tblHeader/>
      </w:trPr>
      <w:tcPr>
        <w:shd w:val="clear" w:color="auto" w:fill="5A2365" w:themeFill="accent2" w:themeFillShade="BF"/>
        <w:vAlign w:val="center"/>
      </w:tcPr>
    </w:tblStylePr>
    <w:tblStylePr w:type="firstCol">
      <w:pPr>
        <w:jc w:val="left"/>
      </w:pPr>
      <w:rPr>
        <w:rFonts w:ascii="Arial" w:hAnsi="Arial"/>
        <w:sz w:val="16"/>
      </w:rPr>
    </w:tblStylePr>
    <w:tblStylePr w:type="lastCol">
      <w:rPr>
        <w:rFonts w:ascii="Arial" w:hAnsi="Arial"/>
        <w:sz w:val="16"/>
      </w:rPr>
    </w:tblStylePr>
  </w:style>
  <w:style w:type="paragraph" w:styleId="BalloonText">
    <w:name w:val="Balloon Text"/>
    <w:basedOn w:val="Normal"/>
    <w:link w:val="BalloonTextChar"/>
    <w:uiPriority w:val="99"/>
    <w:semiHidden/>
    <w:unhideWhenUsed/>
    <w:rsid w:val="009D2D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D1D"/>
    <w:rPr>
      <w:rFonts w:ascii="Segoe UI" w:hAnsi="Segoe UI" w:cs="Segoe UI"/>
      <w:sz w:val="18"/>
      <w:szCs w:val="18"/>
      <w:lang w:val="en-AU"/>
    </w:rPr>
  </w:style>
  <w:style w:type="character" w:styleId="CommentReference">
    <w:name w:val="annotation reference"/>
    <w:basedOn w:val="DefaultParagraphFont"/>
    <w:uiPriority w:val="99"/>
    <w:unhideWhenUsed/>
    <w:rsid w:val="009D2D1D"/>
    <w:rPr>
      <w:sz w:val="16"/>
      <w:szCs w:val="16"/>
    </w:rPr>
  </w:style>
  <w:style w:type="paragraph" w:styleId="CommentText">
    <w:name w:val="annotation text"/>
    <w:basedOn w:val="Normal"/>
    <w:link w:val="CommentTextChar"/>
    <w:uiPriority w:val="99"/>
    <w:unhideWhenUsed/>
    <w:rsid w:val="009D2D1D"/>
    <w:pPr>
      <w:spacing w:line="240" w:lineRule="auto"/>
    </w:pPr>
    <w:rPr>
      <w:sz w:val="20"/>
      <w:szCs w:val="20"/>
    </w:rPr>
  </w:style>
  <w:style w:type="character" w:customStyle="1" w:styleId="CommentTextChar">
    <w:name w:val="Comment Text Char"/>
    <w:basedOn w:val="DefaultParagraphFont"/>
    <w:link w:val="CommentText"/>
    <w:uiPriority w:val="99"/>
    <w:rsid w:val="009D2D1D"/>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9D2D1D"/>
    <w:rPr>
      <w:b/>
      <w:bCs/>
    </w:rPr>
  </w:style>
  <w:style w:type="character" w:customStyle="1" w:styleId="CommentSubjectChar">
    <w:name w:val="Comment Subject Char"/>
    <w:basedOn w:val="CommentTextChar"/>
    <w:link w:val="CommentSubject"/>
    <w:uiPriority w:val="99"/>
    <w:semiHidden/>
    <w:rsid w:val="009D2D1D"/>
    <w:rPr>
      <w:rFonts w:ascii="Arial" w:hAnsi="Arial"/>
      <w:b/>
      <w:bCs/>
      <w:sz w:val="20"/>
      <w:szCs w:val="20"/>
      <w:lang w:val="en-AU"/>
    </w:rPr>
  </w:style>
  <w:style w:type="paragraph" w:customStyle="1" w:styleId="Default">
    <w:name w:val="Default"/>
    <w:rsid w:val="009D2D1D"/>
    <w:pPr>
      <w:autoSpaceDE w:val="0"/>
      <w:autoSpaceDN w:val="0"/>
      <w:adjustRightInd w:val="0"/>
    </w:pPr>
    <w:rPr>
      <w:rFonts w:ascii="Calibri" w:hAnsi="Calibri" w:cs="Calibri"/>
      <w:color w:val="000000"/>
      <w:lang w:val="en-AU"/>
    </w:rPr>
  </w:style>
  <w:style w:type="character" w:styleId="FollowedHyperlink">
    <w:name w:val="FollowedHyperlink"/>
    <w:basedOn w:val="DefaultParagraphFont"/>
    <w:uiPriority w:val="99"/>
    <w:semiHidden/>
    <w:unhideWhenUsed/>
    <w:rsid w:val="009D2D1D"/>
    <w:rPr>
      <w:color w:val="954F72" w:themeColor="followedHyperlink"/>
      <w:u w:val="single"/>
    </w:rPr>
  </w:style>
  <w:style w:type="character" w:styleId="FootnoteReference">
    <w:name w:val="footnote reference"/>
    <w:aliases w:val="ftref,16 Point,Superscript 6 Point,BVI fnr,Знак сноски 1,(NECG) Footnote Reference,fr,Footnote + Arial,10 pt,Black,Fußnotenzeichen DISS,Superscript 6 Point + 11 pt,Footnote Ref in FtNote,FnR-ANZDEC,de nota al pie,Ref,SUPERS,ftref1"/>
    <w:basedOn w:val="DefaultParagraphFont"/>
    <w:link w:val="referencianotaalpieChar"/>
    <w:uiPriority w:val="99"/>
    <w:unhideWhenUsed/>
    <w:qFormat/>
    <w:rsid w:val="009D2D1D"/>
    <w:rPr>
      <w:vertAlign w:val="superscript"/>
    </w:rPr>
  </w:style>
  <w:style w:type="paragraph" w:styleId="FootnoteText">
    <w:name w:val="footnote text"/>
    <w:aliases w:val="IOD PARC Footnote Text,Char,ft,single space,fn,Footnote Text Char Char Char Char,FOOTNOTES,Footnote Text Char1 Char,Footnote Text Char Char Char,Footnote Text Char Char Char Char Char Char Char Char Char Char,Nbpage Moens,f,A,LM Footnote"/>
    <w:basedOn w:val="Normal"/>
    <w:link w:val="FootnoteTextChar"/>
    <w:uiPriority w:val="99"/>
    <w:unhideWhenUsed/>
    <w:qFormat/>
    <w:rsid w:val="009D2D1D"/>
    <w:pPr>
      <w:spacing w:after="0" w:line="240" w:lineRule="auto"/>
    </w:pPr>
    <w:rPr>
      <w:sz w:val="20"/>
      <w:szCs w:val="20"/>
    </w:rPr>
  </w:style>
  <w:style w:type="character" w:customStyle="1" w:styleId="FootnoteTextChar">
    <w:name w:val="Footnote Text Char"/>
    <w:aliases w:val="IOD PARC Footnote Text Char,Char Char,ft Char,single space Char,fn Char,Footnote Text Char Char Char Char Char,FOOTNOTES Char,Footnote Text Char1 Char Char,Footnote Text Char Char Char Char1,Nbpage Moens Char,f Char,A Char"/>
    <w:basedOn w:val="DefaultParagraphFont"/>
    <w:link w:val="FootnoteText"/>
    <w:uiPriority w:val="99"/>
    <w:rsid w:val="009D2D1D"/>
    <w:rPr>
      <w:rFonts w:ascii="Arial" w:hAnsi="Arial"/>
      <w:sz w:val="20"/>
      <w:szCs w:val="20"/>
      <w:lang w:val="en-AU"/>
    </w:rPr>
  </w:style>
  <w:style w:type="table" w:customStyle="1" w:styleId="GridTable1Light1">
    <w:name w:val="Grid Table 1 Light1"/>
    <w:basedOn w:val="TableNormal"/>
    <w:uiPriority w:val="46"/>
    <w:rsid w:val="009D2D1D"/>
    <w:rPr>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9D2D1D"/>
    <w:rPr>
      <w:rFonts w:asciiTheme="majorHAnsi" w:eastAsiaTheme="majorEastAsia" w:hAnsiTheme="majorHAnsi" w:cstheme="majorBidi"/>
      <w:i/>
      <w:iCs/>
      <w:color w:val="173C73" w:themeColor="accent1" w:themeShade="BF"/>
      <w:sz w:val="16"/>
      <w:szCs w:val="22"/>
      <w:lang w:val="en-AU"/>
    </w:rPr>
  </w:style>
  <w:style w:type="character" w:customStyle="1" w:styleId="Heading5Char">
    <w:name w:val="Heading 5 Char"/>
    <w:basedOn w:val="DefaultParagraphFont"/>
    <w:link w:val="Heading5"/>
    <w:uiPriority w:val="9"/>
    <w:semiHidden/>
    <w:rsid w:val="009D2D1D"/>
    <w:rPr>
      <w:rFonts w:asciiTheme="majorHAnsi" w:eastAsiaTheme="majorEastAsia" w:hAnsiTheme="majorHAnsi" w:cstheme="majorBidi"/>
      <w:color w:val="173C73" w:themeColor="accent1" w:themeShade="BF"/>
      <w:sz w:val="16"/>
      <w:szCs w:val="22"/>
      <w:lang w:val="en-AU"/>
    </w:rPr>
  </w:style>
  <w:style w:type="character" w:customStyle="1" w:styleId="Heading6Char">
    <w:name w:val="Heading 6 Char"/>
    <w:basedOn w:val="DefaultParagraphFont"/>
    <w:link w:val="Heading6"/>
    <w:uiPriority w:val="9"/>
    <w:semiHidden/>
    <w:rsid w:val="009D2D1D"/>
    <w:rPr>
      <w:rFonts w:asciiTheme="majorHAnsi" w:eastAsiaTheme="majorEastAsia" w:hAnsiTheme="majorHAnsi" w:cstheme="majorBidi"/>
      <w:color w:val="0F284C" w:themeColor="accent1" w:themeShade="7F"/>
      <w:sz w:val="16"/>
      <w:szCs w:val="22"/>
      <w:lang w:val="en-AU"/>
    </w:rPr>
  </w:style>
  <w:style w:type="character" w:customStyle="1" w:styleId="Heading7Char">
    <w:name w:val="Heading 7 Char"/>
    <w:basedOn w:val="DefaultParagraphFont"/>
    <w:link w:val="Heading7"/>
    <w:uiPriority w:val="9"/>
    <w:semiHidden/>
    <w:rsid w:val="009D2D1D"/>
    <w:rPr>
      <w:rFonts w:asciiTheme="majorHAnsi" w:eastAsiaTheme="majorEastAsia" w:hAnsiTheme="majorHAnsi" w:cstheme="majorBidi"/>
      <w:i/>
      <w:iCs/>
      <w:color w:val="0F284C" w:themeColor="accent1" w:themeShade="7F"/>
      <w:sz w:val="16"/>
      <w:szCs w:val="22"/>
      <w:lang w:val="en-AU"/>
    </w:rPr>
  </w:style>
  <w:style w:type="character" w:customStyle="1" w:styleId="Heading8Char">
    <w:name w:val="Heading 8 Char"/>
    <w:basedOn w:val="DefaultParagraphFont"/>
    <w:link w:val="Heading8"/>
    <w:uiPriority w:val="9"/>
    <w:semiHidden/>
    <w:rsid w:val="009D2D1D"/>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9D2D1D"/>
    <w:rPr>
      <w:rFonts w:asciiTheme="majorHAnsi" w:eastAsiaTheme="majorEastAsia" w:hAnsiTheme="majorHAnsi" w:cstheme="majorBidi"/>
      <w:i/>
      <w:iCs/>
      <w:color w:val="272727" w:themeColor="text1" w:themeTint="D8"/>
      <w:sz w:val="21"/>
      <w:szCs w:val="21"/>
      <w:lang w:val="en-AU"/>
    </w:rPr>
  </w:style>
  <w:style w:type="paragraph" w:styleId="ListNumber">
    <w:name w:val="List Number"/>
    <w:basedOn w:val="Normal"/>
    <w:unhideWhenUsed/>
    <w:qFormat/>
    <w:rsid w:val="009D2D1D"/>
    <w:pPr>
      <w:numPr>
        <w:numId w:val="4"/>
      </w:numPr>
      <w:spacing w:after="120" w:line="288" w:lineRule="auto"/>
    </w:pPr>
    <w:rPr>
      <w:sz w:val="20"/>
    </w:rPr>
  </w:style>
  <w:style w:type="character" w:customStyle="1" w:styleId="ListParagraphChar">
    <w:name w:val="List Paragraph Char"/>
    <w:aliases w:val="List Paragraph1 Char,List Paragraph11 Char,Bullet1 Char,L Char,CV text Char,F5 List Paragraph Char,Dot pt Char,List Paragraph111 Char,Medium Grid 1 - Accent 21 Char,Numbered Paragraph Char,List Paragraph2 Char,Bulleted Para Char"/>
    <w:basedOn w:val="DefaultParagraphFont"/>
    <w:link w:val="ListParagraph"/>
    <w:uiPriority w:val="34"/>
    <w:qFormat/>
    <w:locked/>
    <w:rsid w:val="009D2D1D"/>
    <w:rPr>
      <w:rFonts w:ascii="Arial" w:hAnsi="Arial"/>
      <w:sz w:val="16"/>
      <w:szCs w:val="22"/>
      <w:lang w:val="en-AU"/>
    </w:rPr>
  </w:style>
  <w:style w:type="paragraph" w:styleId="NoSpacing">
    <w:name w:val="No Spacing"/>
    <w:link w:val="NoSpacingChar"/>
    <w:uiPriority w:val="1"/>
    <w:rsid w:val="009D2D1D"/>
    <w:rPr>
      <w:rFonts w:eastAsiaTheme="minorEastAsia"/>
      <w:sz w:val="22"/>
      <w:szCs w:val="22"/>
    </w:rPr>
  </w:style>
  <w:style w:type="character" w:customStyle="1" w:styleId="NoSpacingChar">
    <w:name w:val="No Spacing Char"/>
    <w:basedOn w:val="DefaultParagraphFont"/>
    <w:link w:val="NoSpacing"/>
    <w:uiPriority w:val="1"/>
    <w:rsid w:val="009D2D1D"/>
    <w:rPr>
      <w:rFonts w:eastAsiaTheme="minorEastAsia"/>
      <w:sz w:val="22"/>
      <w:szCs w:val="22"/>
    </w:rPr>
  </w:style>
  <w:style w:type="paragraph" w:styleId="NormalWeb">
    <w:name w:val="Normal (Web)"/>
    <w:basedOn w:val="Normal"/>
    <w:uiPriority w:val="99"/>
    <w:unhideWhenUsed/>
    <w:rsid w:val="009D2D1D"/>
    <w:pPr>
      <w:spacing w:after="0" w:line="240" w:lineRule="auto"/>
    </w:pPr>
    <w:rPr>
      <w:rFonts w:ascii="Times New Roman" w:hAnsi="Times New Roman" w:cs="Times New Roman"/>
      <w:sz w:val="24"/>
      <w:szCs w:val="24"/>
      <w:lang w:eastAsia="en-AU"/>
    </w:rPr>
  </w:style>
  <w:style w:type="character" w:styleId="PlaceholderText">
    <w:name w:val="Placeholder Text"/>
    <w:basedOn w:val="DefaultParagraphFont"/>
    <w:uiPriority w:val="99"/>
    <w:semiHidden/>
    <w:rsid w:val="009D2D1D"/>
    <w:rPr>
      <w:color w:val="808080"/>
    </w:rPr>
  </w:style>
  <w:style w:type="table" w:customStyle="1" w:styleId="PlainTable11">
    <w:name w:val="Plain Table 11"/>
    <w:basedOn w:val="TableNormal"/>
    <w:uiPriority w:val="41"/>
    <w:rsid w:val="009D2D1D"/>
    <w:rPr>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
    <w:name w:val="Table Bullet"/>
    <w:basedOn w:val="BodyText"/>
    <w:qFormat/>
    <w:rsid w:val="00583AED"/>
    <w:pPr>
      <w:numPr>
        <w:numId w:val="5"/>
      </w:numPr>
      <w:spacing w:before="60" w:after="60" w:line="240" w:lineRule="auto"/>
      <w:ind w:left="227" w:hanging="227"/>
    </w:pPr>
    <w:rPr>
      <w:sz w:val="16"/>
    </w:rPr>
  </w:style>
  <w:style w:type="table" w:customStyle="1" w:styleId="TableGridLight1">
    <w:name w:val="Table Grid Light1"/>
    <w:basedOn w:val="TableNormal"/>
    <w:uiPriority w:val="40"/>
    <w:rsid w:val="009D2D1D"/>
    <w:rPr>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qFormat/>
    <w:rsid w:val="00583AED"/>
    <w:pPr>
      <w:spacing w:before="60" w:after="60" w:line="240" w:lineRule="auto"/>
    </w:pPr>
    <w:rPr>
      <w:rFonts w:cs="Arial"/>
      <w:szCs w:val="16"/>
    </w:rPr>
  </w:style>
  <w:style w:type="paragraph" w:customStyle="1" w:styleId="ExecutiveSummaryheading">
    <w:name w:val="Executive Summary heading"/>
    <w:basedOn w:val="Heading1"/>
    <w:rsid w:val="006B3AE7"/>
    <w:pPr>
      <w:numPr>
        <w:numId w:val="0"/>
      </w:numPr>
      <w:spacing w:before="0" w:after="240"/>
    </w:p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544E4E"/>
    <w:pPr>
      <w:spacing w:before="120" w:after="120" w:line="240" w:lineRule="exact"/>
      <w:jc w:val="both"/>
    </w:pPr>
    <w:rPr>
      <w:rFonts w:asciiTheme="minorHAnsi" w:hAnsiTheme="minorHAnsi"/>
      <w:sz w:val="24"/>
      <w:szCs w:val="24"/>
      <w:vertAlign w:val="superscript"/>
      <w:lang w:val="en-US"/>
    </w:rPr>
  </w:style>
  <w:style w:type="character" w:styleId="Strong">
    <w:name w:val="Strong"/>
    <w:basedOn w:val="DefaultParagraphFont"/>
    <w:uiPriority w:val="22"/>
    <w:qFormat/>
    <w:rsid w:val="00374F0F"/>
    <w:rPr>
      <w:b/>
      <w:bCs/>
    </w:rPr>
  </w:style>
  <w:style w:type="character" w:styleId="Emphasis">
    <w:name w:val="Emphasis"/>
    <w:basedOn w:val="DefaultParagraphFont"/>
    <w:uiPriority w:val="20"/>
    <w:qFormat/>
    <w:rsid w:val="00374F0F"/>
    <w:rPr>
      <w:i/>
      <w:iCs/>
    </w:rPr>
  </w:style>
  <w:style w:type="character" w:styleId="SubtleEmphasis">
    <w:name w:val="Subtle Emphasis"/>
    <w:uiPriority w:val="19"/>
    <w:qFormat/>
    <w:rsid w:val="00374F0F"/>
    <w:rPr>
      <w:sz w:val="22"/>
      <w:szCs w:val="22"/>
    </w:rPr>
  </w:style>
  <w:style w:type="character" w:customStyle="1" w:styleId="apple-converted-space">
    <w:name w:val="apple-converted-space"/>
    <w:basedOn w:val="DefaultParagraphFont"/>
    <w:rsid w:val="00374F0F"/>
  </w:style>
  <w:style w:type="character" w:customStyle="1" w:styleId="UnresolvedMention1">
    <w:name w:val="Unresolved Mention1"/>
    <w:basedOn w:val="DefaultParagraphFont"/>
    <w:uiPriority w:val="99"/>
    <w:semiHidden/>
    <w:unhideWhenUsed/>
    <w:rsid w:val="00374F0F"/>
    <w:rPr>
      <w:color w:val="605E5C"/>
      <w:shd w:val="clear" w:color="auto" w:fill="E1DFDD"/>
    </w:rPr>
  </w:style>
  <w:style w:type="paragraph" w:customStyle="1" w:styleId="xmsonormal">
    <w:name w:val="x_msonormal"/>
    <w:basedOn w:val="Normal"/>
    <w:rsid w:val="00374F0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ullet1normal">
    <w:name w:val="Bullet 1 (normal)"/>
    <w:basedOn w:val="ListParagraph"/>
    <w:link w:val="Bullet1normalChar"/>
    <w:uiPriority w:val="1"/>
    <w:qFormat/>
    <w:rsid w:val="00374F0F"/>
    <w:pPr>
      <w:numPr>
        <w:numId w:val="11"/>
      </w:numPr>
      <w:spacing w:before="120" w:after="120" w:line="264" w:lineRule="auto"/>
      <w:contextualSpacing w:val="0"/>
    </w:pPr>
    <w:rPr>
      <w:rFonts w:ascii="Franklin Gothic Book" w:eastAsiaTheme="minorEastAsia" w:hAnsi="Franklin Gothic Book" w:cs="Times New Roman"/>
      <w:sz w:val="22"/>
    </w:rPr>
  </w:style>
  <w:style w:type="character" w:customStyle="1" w:styleId="Bullet1normalChar">
    <w:name w:val="Bullet 1 (normal) Char"/>
    <w:basedOn w:val="ListParagraphChar"/>
    <w:link w:val="Bullet1normal"/>
    <w:uiPriority w:val="1"/>
    <w:rsid w:val="00374F0F"/>
    <w:rPr>
      <w:rFonts w:ascii="Franklin Gothic Book" w:eastAsiaTheme="minorEastAsia" w:hAnsi="Franklin Gothic Book" w:cs="Times New Roman"/>
      <w:sz w:val="22"/>
      <w:szCs w:val="22"/>
      <w:lang w:val="en-AU"/>
    </w:rPr>
  </w:style>
  <w:style w:type="table" w:customStyle="1" w:styleId="DFATAdditionalInfo">
    <w:name w:val="DFAT Additional Info"/>
    <w:basedOn w:val="TableNormal"/>
    <w:uiPriority w:val="99"/>
    <w:rsid w:val="00374F0F"/>
    <w:rPr>
      <w:rFonts w:ascii="Times New Roman" w:eastAsia="Times New Roman" w:hAnsi="Times New Roman" w:cs="Times New Roman"/>
      <w:sz w:val="20"/>
      <w:szCs w:val="20"/>
      <w:lang w:val="en-AU" w:eastAsia="en-AU"/>
    </w:rPr>
    <w:tblPr>
      <w:tblInd w:w="142"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blBorders>
      <w:tblCellMar>
        <w:left w:w="142" w:type="dxa"/>
        <w:right w:w="142" w:type="dxa"/>
      </w:tblCellMar>
    </w:tblPr>
    <w:trPr>
      <w:cantSplit/>
    </w:trPr>
  </w:style>
  <w:style w:type="paragraph" w:customStyle="1" w:styleId="Pa2">
    <w:name w:val="Pa2"/>
    <w:basedOn w:val="Default"/>
    <w:next w:val="Default"/>
    <w:uiPriority w:val="99"/>
    <w:rsid w:val="00374F0F"/>
    <w:pPr>
      <w:spacing w:line="171" w:lineRule="atLeast"/>
    </w:pPr>
    <w:rPr>
      <w:rFonts w:ascii="Battersea 2011" w:hAnsi="Battersea 2011" w:cstheme="minorBidi"/>
      <w:color w:val="auto"/>
    </w:rPr>
  </w:style>
  <w:style w:type="character" w:customStyle="1" w:styleId="ilfuvd">
    <w:name w:val="ilfuvd"/>
    <w:basedOn w:val="DefaultParagraphFont"/>
    <w:rsid w:val="00374F0F"/>
  </w:style>
  <w:style w:type="character" w:customStyle="1" w:styleId="kx21rb">
    <w:name w:val="kx21rb"/>
    <w:basedOn w:val="DefaultParagraphFont"/>
    <w:rsid w:val="00374F0F"/>
  </w:style>
  <w:style w:type="table" w:customStyle="1" w:styleId="TableGrid1">
    <w:name w:val="Table Grid1"/>
    <w:basedOn w:val="TableNormal"/>
    <w:next w:val="TableGrid"/>
    <w:uiPriority w:val="59"/>
    <w:rsid w:val="005E5D6E"/>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35E8B"/>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35E8B"/>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35E8B"/>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AC12E0"/>
    <w:rPr>
      <w:color w:val="605E5C"/>
      <w:shd w:val="clear" w:color="auto" w:fill="E1DFDD"/>
    </w:rPr>
  </w:style>
  <w:style w:type="paragraph" w:customStyle="1" w:styleId="NumberedList1">
    <w:name w:val="Numbered List 1"/>
    <w:basedOn w:val="Normal"/>
    <w:qFormat/>
    <w:rsid w:val="001975D8"/>
    <w:pPr>
      <w:numPr>
        <w:numId w:val="56"/>
      </w:numPr>
      <w:suppressAutoHyphens/>
      <w:spacing w:after="60" w:line="230" w:lineRule="atLeast"/>
    </w:pPr>
    <w:rPr>
      <w:rFonts w:asciiTheme="minorHAnsi" w:hAnsiTheme="minorHAnsi"/>
      <w:color w:val="424242" w:themeColor="text2"/>
      <w:sz w:val="22"/>
      <w:lang w:val="en-GB"/>
    </w:rPr>
  </w:style>
  <w:style w:type="paragraph" w:customStyle="1" w:styleId="NumberedList2">
    <w:name w:val="Numbered List 2"/>
    <w:basedOn w:val="NumberedList1"/>
    <w:qFormat/>
    <w:rsid w:val="001975D8"/>
    <w:pPr>
      <w:numPr>
        <w:ilvl w:val="1"/>
      </w:numPr>
      <w:ind w:left="568"/>
    </w:pPr>
  </w:style>
  <w:style w:type="paragraph" w:customStyle="1" w:styleId="NumberedList3">
    <w:name w:val="Numbered List 3"/>
    <w:basedOn w:val="NumberedList2"/>
    <w:qFormat/>
    <w:rsid w:val="001975D8"/>
    <w:pPr>
      <w:numPr>
        <w:ilvl w:val="2"/>
      </w:numPr>
    </w:pPr>
  </w:style>
  <w:style w:type="numbering" w:customStyle="1" w:styleId="Numberedlist">
    <w:name w:val="Numbered list"/>
    <w:uiPriority w:val="99"/>
    <w:rsid w:val="001975D8"/>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417408">
      <w:bodyDiv w:val="1"/>
      <w:marLeft w:val="0"/>
      <w:marRight w:val="0"/>
      <w:marTop w:val="0"/>
      <w:marBottom w:val="0"/>
      <w:divBdr>
        <w:top w:val="none" w:sz="0" w:space="0" w:color="auto"/>
        <w:left w:val="none" w:sz="0" w:space="0" w:color="auto"/>
        <w:bottom w:val="none" w:sz="0" w:space="0" w:color="auto"/>
        <w:right w:val="none" w:sz="0" w:space="0" w:color="auto"/>
      </w:divBdr>
    </w:div>
    <w:div w:id="669602773">
      <w:bodyDiv w:val="1"/>
      <w:marLeft w:val="0"/>
      <w:marRight w:val="0"/>
      <w:marTop w:val="0"/>
      <w:marBottom w:val="0"/>
      <w:divBdr>
        <w:top w:val="none" w:sz="0" w:space="0" w:color="auto"/>
        <w:left w:val="none" w:sz="0" w:space="0" w:color="auto"/>
        <w:bottom w:val="none" w:sz="0" w:space="0" w:color="auto"/>
        <w:right w:val="none" w:sz="0" w:space="0" w:color="auto"/>
      </w:divBdr>
    </w:div>
    <w:div w:id="830029480">
      <w:bodyDiv w:val="1"/>
      <w:marLeft w:val="0"/>
      <w:marRight w:val="0"/>
      <w:marTop w:val="0"/>
      <w:marBottom w:val="0"/>
      <w:divBdr>
        <w:top w:val="none" w:sz="0" w:space="0" w:color="auto"/>
        <w:left w:val="none" w:sz="0" w:space="0" w:color="auto"/>
        <w:bottom w:val="none" w:sz="0" w:space="0" w:color="auto"/>
        <w:right w:val="none" w:sz="0" w:space="0" w:color="auto"/>
      </w:divBdr>
    </w:div>
    <w:div w:id="1121191049">
      <w:bodyDiv w:val="1"/>
      <w:marLeft w:val="0"/>
      <w:marRight w:val="0"/>
      <w:marTop w:val="0"/>
      <w:marBottom w:val="0"/>
      <w:divBdr>
        <w:top w:val="none" w:sz="0" w:space="0" w:color="auto"/>
        <w:left w:val="none" w:sz="0" w:space="0" w:color="auto"/>
        <w:bottom w:val="none" w:sz="0" w:space="0" w:color="auto"/>
        <w:right w:val="none" w:sz="0" w:space="0" w:color="auto"/>
      </w:divBdr>
    </w:div>
    <w:div w:id="1182402543">
      <w:bodyDiv w:val="1"/>
      <w:marLeft w:val="0"/>
      <w:marRight w:val="0"/>
      <w:marTop w:val="0"/>
      <w:marBottom w:val="0"/>
      <w:divBdr>
        <w:top w:val="none" w:sz="0" w:space="0" w:color="auto"/>
        <w:left w:val="none" w:sz="0" w:space="0" w:color="auto"/>
        <w:bottom w:val="none" w:sz="0" w:space="0" w:color="auto"/>
        <w:right w:val="none" w:sz="0" w:space="0" w:color="auto"/>
      </w:divBdr>
    </w:div>
    <w:div w:id="1184512518">
      <w:bodyDiv w:val="1"/>
      <w:marLeft w:val="0"/>
      <w:marRight w:val="0"/>
      <w:marTop w:val="0"/>
      <w:marBottom w:val="0"/>
      <w:divBdr>
        <w:top w:val="none" w:sz="0" w:space="0" w:color="auto"/>
        <w:left w:val="none" w:sz="0" w:space="0" w:color="auto"/>
        <w:bottom w:val="none" w:sz="0" w:space="0" w:color="auto"/>
        <w:right w:val="none" w:sz="0" w:space="0" w:color="auto"/>
      </w:divBdr>
    </w:div>
    <w:div w:id="1334649616">
      <w:bodyDiv w:val="1"/>
      <w:marLeft w:val="0"/>
      <w:marRight w:val="0"/>
      <w:marTop w:val="0"/>
      <w:marBottom w:val="0"/>
      <w:divBdr>
        <w:top w:val="none" w:sz="0" w:space="0" w:color="auto"/>
        <w:left w:val="none" w:sz="0" w:space="0" w:color="auto"/>
        <w:bottom w:val="none" w:sz="0" w:space="0" w:color="auto"/>
        <w:right w:val="none" w:sz="0" w:space="0" w:color="auto"/>
      </w:divBdr>
    </w:div>
    <w:div w:id="1478767601">
      <w:bodyDiv w:val="1"/>
      <w:marLeft w:val="0"/>
      <w:marRight w:val="0"/>
      <w:marTop w:val="0"/>
      <w:marBottom w:val="0"/>
      <w:divBdr>
        <w:top w:val="none" w:sz="0" w:space="0" w:color="auto"/>
        <w:left w:val="none" w:sz="0" w:space="0" w:color="auto"/>
        <w:bottom w:val="none" w:sz="0" w:space="0" w:color="auto"/>
        <w:right w:val="none" w:sz="0" w:space="0" w:color="auto"/>
      </w:divBdr>
    </w:div>
    <w:div w:id="1646855216">
      <w:bodyDiv w:val="1"/>
      <w:marLeft w:val="0"/>
      <w:marRight w:val="0"/>
      <w:marTop w:val="0"/>
      <w:marBottom w:val="0"/>
      <w:divBdr>
        <w:top w:val="none" w:sz="0" w:space="0" w:color="auto"/>
        <w:left w:val="none" w:sz="0" w:space="0" w:color="auto"/>
        <w:bottom w:val="none" w:sz="0" w:space="0" w:color="auto"/>
        <w:right w:val="none" w:sz="0" w:space="0" w:color="auto"/>
      </w:divBdr>
    </w:div>
    <w:div w:id="1692758374">
      <w:bodyDiv w:val="1"/>
      <w:marLeft w:val="0"/>
      <w:marRight w:val="0"/>
      <w:marTop w:val="0"/>
      <w:marBottom w:val="0"/>
      <w:divBdr>
        <w:top w:val="none" w:sz="0" w:space="0" w:color="auto"/>
        <w:left w:val="none" w:sz="0" w:space="0" w:color="auto"/>
        <w:bottom w:val="none" w:sz="0" w:space="0" w:color="auto"/>
        <w:right w:val="none" w:sz="0" w:space="0" w:color="auto"/>
      </w:divBdr>
    </w:div>
    <w:div w:id="1874803887">
      <w:bodyDiv w:val="1"/>
      <w:marLeft w:val="0"/>
      <w:marRight w:val="0"/>
      <w:marTop w:val="0"/>
      <w:marBottom w:val="0"/>
      <w:divBdr>
        <w:top w:val="none" w:sz="0" w:space="0" w:color="auto"/>
        <w:left w:val="none" w:sz="0" w:space="0" w:color="auto"/>
        <w:bottom w:val="none" w:sz="0" w:space="0" w:color="auto"/>
        <w:right w:val="none" w:sz="0" w:space="0" w:color="auto"/>
      </w:divBdr>
    </w:div>
    <w:div w:id="2056193398">
      <w:bodyDiv w:val="1"/>
      <w:marLeft w:val="0"/>
      <w:marRight w:val="0"/>
      <w:marTop w:val="0"/>
      <w:marBottom w:val="0"/>
      <w:divBdr>
        <w:top w:val="none" w:sz="0" w:space="0" w:color="auto"/>
        <w:left w:val="none" w:sz="0" w:space="0" w:color="auto"/>
        <w:bottom w:val="none" w:sz="0" w:space="0" w:color="auto"/>
        <w:right w:val="none" w:sz="0" w:space="0" w:color="auto"/>
      </w:divBdr>
    </w:div>
    <w:div w:id="2115246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hyperlink" Target="https://www.collinsdictionary.com/dictionary/english/understand" TargetMode="External"/><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hyperlink" Target="https://www.collinsdictionary.com/dictionary/english/clear" TargetMode="Externa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chart" Target="charts/chart3.xml"/><Relationship Id="rId40" Type="http://schemas.openxmlformats.org/officeDocument/2006/relationships/hyperlink" Target="https://www.collinsdictionary.com/dictionary/english/recognize"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chart" Target="charts/chart2.xml"/><Relationship Id="rId49" Type="http://schemas.openxmlformats.org/officeDocument/2006/relationships/customXml" Target="../customXml/item3.xml"/><Relationship Id="rId10" Type="http://schemas.openxmlformats.org/officeDocument/2006/relationships/hyperlink" Target="http://www.cardno.com/internationaldevelopment" TargetMode="External"/><Relationship Id="rId19" Type="http://schemas.openxmlformats.org/officeDocument/2006/relationships/header" Target="header5.xml"/><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chart" Target="charts/chart1.xml"/><Relationship Id="rId43" Type="http://schemas.openxmlformats.org/officeDocument/2006/relationships/image" Target="media/image17.png"/><Relationship Id="rId48"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hyperlink" Target="https://www.collinsdictionary.com/dictionary/english/easily" TargetMode="External"/><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hyperlink" Target="https://www.collinsdictionary.com/dictionary/english/expres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dfat.gov.au/aid/who-we-work-with/value-for-money-principles/Pages/value-for-money-principles.aspx" TargetMode="External"/><Relationship Id="rId3" Type="http://schemas.openxmlformats.org/officeDocument/2006/relationships/hyperlink" Target="https://www.aes.asn.au/images/stories/files/membership/AES_Guidelines_web_v2.pdf" TargetMode="External"/><Relationship Id="rId7" Type="http://schemas.openxmlformats.org/officeDocument/2006/relationships/hyperlink" Target="http://www.cgiar-ilac.org" TargetMode="External"/><Relationship Id="rId2" Type="http://schemas.openxmlformats.org/officeDocument/2006/relationships/hyperlink" Target="https://www.oecd.org/development/evaluation/qualitystandards.pdf" TargetMode="External"/><Relationship Id="rId1" Type="http://schemas.openxmlformats.org/officeDocument/2006/relationships/hyperlink" Target="https://www.apsc.gov.au/organisational-capability" TargetMode="External"/><Relationship Id="rId6" Type="http://schemas.openxmlformats.org/officeDocument/2006/relationships/hyperlink" Target="http://betterevaluation.org/plan/approach/outcome_harvesting" TargetMode="External"/><Relationship Id="rId5" Type="http://schemas.openxmlformats.org/officeDocument/2006/relationships/hyperlink" Target="mailto:devpolicy@anu.edu.au" TargetMode="External"/><Relationship Id="rId4" Type="http://schemas.openxmlformats.org/officeDocument/2006/relationships/hyperlink" Target="http://cognitive-edge.co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A2-43AB-8F9E-CEF75AD7549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A2-43AB-8F9E-CEF75AD7549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A2-43AB-8F9E-CEF75AD7549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A2-43AB-8F9E-CEF75AD7549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A2-43AB-8F9E-CEF75AD7549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1A2-43AB-8F9E-CEF75AD75497}"/>
              </c:ext>
            </c:extLst>
          </c:dPt>
          <c:dLbls>
            <c:dLbl>
              <c:idx val="4"/>
              <c:layout>
                <c:manualLayout>
                  <c:x val="-5.8877299989014677E-2"/>
                  <c:y val="5.96106998859417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1A2-43AB-8F9E-CEF75AD75497}"/>
                </c:ext>
              </c:extLst>
            </c:dLbl>
            <c:dLbl>
              <c:idx val="5"/>
              <c:layout>
                <c:manualLayout>
                  <c:x val="-0.11007495215337526"/>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1A2-43AB-8F9E-CEF75AD7549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'[Budget mapping - breakthroughs.xlsx]Advisory thematics'!$A$3:$A$8</c:f>
              <c:strCache>
                <c:ptCount val="6"/>
                <c:pt idx="0">
                  <c:v>Economics &amp; Inclusion</c:v>
                </c:pt>
                <c:pt idx="1">
                  <c:v>Markets</c:v>
                </c:pt>
                <c:pt idx="2">
                  <c:v>Revenue</c:v>
                </c:pt>
                <c:pt idx="3">
                  <c:v>Finance</c:v>
                </c:pt>
                <c:pt idx="4">
                  <c:v>Spending</c:v>
                </c:pt>
                <c:pt idx="5">
                  <c:v>Public Sector (new)</c:v>
                </c:pt>
              </c:strCache>
            </c:strRef>
          </c:cat>
          <c:val>
            <c:numRef>
              <c:f>'[Budget mapping - breakthroughs.xlsx]Advisory thematics'!$C$3:$C$8</c:f>
              <c:numCache>
                <c:formatCode>#,##0</c:formatCode>
                <c:ptCount val="6"/>
                <c:pt idx="0">
                  <c:v>4304214</c:v>
                </c:pt>
                <c:pt idx="1">
                  <c:v>3011802</c:v>
                </c:pt>
                <c:pt idx="2">
                  <c:v>2960073</c:v>
                </c:pt>
                <c:pt idx="3">
                  <c:v>2843253.75</c:v>
                </c:pt>
                <c:pt idx="4">
                  <c:v>2486295</c:v>
                </c:pt>
                <c:pt idx="5">
                  <c:v>646919.25</c:v>
                </c:pt>
              </c:numCache>
            </c:numRef>
          </c:val>
          <c:extLst>
            <c:ext xmlns:c16="http://schemas.microsoft.com/office/drawing/2014/chart" uri="{C3380CC4-5D6E-409C-BE32-E72D297353CC}">
              <c16:uniqueId val="{0000000C-81A2-43AB-8F9E-CEF75AD7549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B5-4345-B53B-26E84BE572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B5-4345-B53B-26E84BE572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1B5-4345-B53B-26E84BE572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1B5-4345-B53B-26E84BE572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1B5-4345-B53B-26E84BE572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1B5-4345-B53B-26E84BE5726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1B5-4345-B53B-26E84BE5726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1B5-4345-B53B-26E84BE5726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1B5-4345-B53B-26E84BE5726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1B5-4345-B53B-26E84BE5726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1B5-4345-B53B-26E84BE5726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1B5-4345-B53B-26E84BE5726C}"/>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01B5-4345-B53B-26E84BE5726C}"/>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01B5-4345-B53B-26E84BE5726C}"/>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01B5-4345-B53B-26E84BE5726C}"/>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01B5-4345-B53B-26E84BE5726C}"/>
              </c:ext>
            </c:extLst>
          </c:dPt>
          <c:dLbls>
            <c:dLbl>
              <c:idx val="11"/>
              <c:layout>
                <c:manualLayout>
                  <c:x val="-3.5784819756704223E-2"/>
                  <c:y val="4.27452488531512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01B5-4345-B53B-26E84BE5726C}"/>
                </c:ext>
              </c:extLst>
            </c:dLbl>
            <c:dLbl>
              <c:idx val="12"/>
              <c:layout>
                <c:manualLayout>
                  <c:x val="-8.7835466675546703E-2"/>
                  <c:y val="2.41603580474333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01B5-4345-B53B-26E84BE5726C}"/>
                </c:ext>
              </c:extLst>
            </c:dLbl>
            <c:dLbl>
              <c:idx val="13"/>
              <c:layout>
                <c:manualLayout>
                  <c:x val="-0.13012661729710623"/>
                  <c:y val="1.30094235640025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01B5-4345-B53B-26E84BE5726C}"/>
                </c:ext>
              </c:extLst>
            </c:dLbl>
            <c:dLbl>
              <c:idx val="14"/>
              <c:layout>
                <c:manualLayout>
                  <c:x val="-0.1057278765538988"/>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01B5-4345-B53B-26E84BE5726C}"/>
                </c:ext>
              </c:extLst>
            </c:dLbl>
            <c:dLbl>
              <c:idx val="15"/>
              <c:layout>
                <c:manualLayout>
                  <c:x val="1.3012661729710622E-2"/>
                  <c:y val="-1.11509344834307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01B5-4345-B53B-26E84BE5726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'[Annex 2 Prospera investments 2018-19.xlsx]Australian agencies'!$I$7:$I$22</c:f>
              <c:strCache>
                <c:ptCount val="16"/>
                <c:pt idx="0">
                  <c:v>AMSA (Maritime safety)</c:v>
                </c:pt>
                <c:pt idx="1">
                  <c:v>ATSB (Air accident investigators)</c:v>
                </c:pt>
                <c:pt idx="2">
                  <c:v>Airservices (navigation/systems)</c:v>
                </c:pt>
                <c:pt idx="3">
                  <c:v>CASA (Aviation standards)</c:v>
                </c:pt>
                <c:pt idx="4">
                  <c:v>Dept. Infrastructure</c:v>
                </c:pt>
                <c:pt idx="5">
                  <c:v>Austrac 
(financial transactions)</c:v>
                </c:pt>
                <c:pt idx="6">
                  <c:v>Treasury (eco &amp; fiscal policy)</c:v>
                </c:pt>
                <c:pt idx="7">
                  <c:v>ANAO (audit)</c:v>
                </c:pt>
                <c:pt idx="8">
                  <c:v>ATO (tax admin.)</c:v>
                </c:pt>
                <c:pt idx="9">
                  <c:v>APSC (Public service)</c:v>
                </c:pt>
                <c:pt idx="10">
                  <c:v>ABS (statistics)</c:v>
                </c:pt>
                <c:pt idx="11">
                  <c:v>APRA-OJK 
(financial reg.) </c:v>
                </c:pt>
                <c:pt idx="12">
                  <c:v>Ombudsman</c:v>
                </c:pt>
                <c:pt idx="13">
                  <c:v>ASIC-OJK 
(financial reg.) </c:v>
                </c:pt>
                <c:pt idx="14">
                  <c:v>APRA -BI 
(financial reg.)</c:v>
                </c:pt>
                <c:pt idx="15">
                  <c:v>RBA (monetary policy)</c:v>
                </c:pt>
              </c:strCache>
            </c:strRef>
          </c:cat>
          <c:val>
            <c:numRef>
              <c:f>'[Annex 2 Prospera investments 2018-19.xlsx]Australian agencies'!$J$7:$J$22</c:f>
              <c:numCache>
                <c:formatCode>_(* #,##0_);_(* \(#,##0\);_(* "-"??_);_(@_)</c:formatCode>
                <c:ptCount val="16"/>
                <c:pt idx="0">
                  <c:v>3796270</c:v>
                </c:pt>
                <c:pt idx="1">
                  <c:v>380000</c:v>
                </c:pt>
                <c:pt idx="2">
                  <c:v>420000</c:v>
                </c:pt>
                <c:pt idx="3">
                  <c:v>258000</c:v>
                </c:pt>
                <c:pt idx="4">
                  <c:v>252000</c:v>
                </c:pt>
                <c:pt idx="5">
                  <c:v>1931560.28</c:v>
                </c:pt>
                <c:pt idx="6">
                  <c:v>1699295</c:v>
                </c:pt>
                <c:pt idx="7">
                  <c:v>1240000</c:v>
                </c:pt>
                <c:pt idx="8">
                  <c:v>948169</c:v>
                </c:pt>
                <c:pt idx="9">
                  <c:v>926100</c:v>
                </c:pt>
                <c:pt idx="10">
                  <c:v>905923.97</c:v>
                </c:pt>
                <c:pt idx="11">
                  <c:v>609900</c:v>
                </c:pt>
                <c:pt idx="12">
                  <c:v>600000</c:v>
                </c:pt>
                <c:pt idx="13">
                  <c:v>609900</c:v>
                </c:pt>
                <c:pt idx="14">
                  <c:v>233260</c:v>
                </c:pt>
                <c:pt idx="15">
                  <c:v>103126</c:v>
                </c:pt>
              </c:numCache>
            </c:numRef>
          </c:val>
          <c:extLst>
            <c:ext xmlns:c16="http://schemas.microsoft.com/office/drawing/2014/chart" uri="{C3380CC4-5D6E-409C-BE32-E72D297353CC}">
              <c16:uniqueId val="{00000020-01B5-4345-B53B-26E84BE5726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20ABCA"/>
            </a:solidFill>
          </c:spPr>
          <c:dPt>
            <c:idx val="0"/>
            <c:bubble3D val="0"/>
            <c:spPr>
              <a:solidFill>
                <a:srgbClr val="792F88"/>
              </a:solidFill>
              <a:ln>
                <a:noFill/>
              </a:ln>
              <a:effectLst/>
            </c:spPr>
            <c:extLst>
              <c:ext xmlns:c16="http://schemas.microsoft.com/office/drawing/2014/chart" uri="{C3380CC4-5D6E-409C-BE32-E72D297353CC}">
                <c16:uniqueId val="{00000001-1EE4-4164-9210-BB04FAA3303B}"/>
              </c:ext>
            </c:extLst>
          </c:dPt>
          <c:dPt>
            <c:idx val="1"/>
            <c:bubble3D val="0"/>
            <c:spPr>
              <a:solidFill>
                <a:srgbClr val="1F519A"/>
              </a:solidFill>
              <a:ln>
                <a:noFill/>
              </a:ln>
              <a:effectLst/>
            </c:spPr>
            <c:extLst>
              <c:ext xmlns:c16="http://schemas.microsoft.com/office/drawing/2014/chart" uri="{C3380CC4-5D6E-409C-BE32-E72D297353CC}">
                <c16:uniqueId val="{00000003-1EE4-4164-9210-BB04FAA3303B}"/>
              </c:ext>
            </c:extLst>
          </c:dPt>
          <c:dPt>
            <c:idx val="2"/>
            <c:bubble3D val="0"/>
            <c:spPr>
              <a:solidFill>
                <a:schemeClr val="accent6"/>
              </a:solidFill>
              <a:ln>
                <a:noFill/>
              </a:ln>
              <a:effectLst/>
            </c:spPr>
            <c:extLst>
              <c:ext xmlns:c16="http://schemas.microsoft.com/office/drawing/2014/chart" uri="{C3380CC4-5D6E-409C-BE32-E72D297353CC}">
                <c16:uniqueId val="{00000005-1EE4-4164-9210-BB04FAA3303B}"/>
              </c:ext>
            </c:extLst>
          </c:dPt>
          <c:dPt>
            <c:idx val="3"/>
            <c:bubble3D val="0"/>
            <c:spPr>
              <a:solidFill>
                <a:srgbClr val="FFCC33"/>
              </a:solidFill>
              <a:ln>
                <a:noFill/>
              </a:ln>
              <a:effectLst/>
            </c:spPr>
            <c:extLst>
              <c:ext xmlns:c16="http://schemas.microsoft.com/office/drawing/2014/chart" uri="{C3380CC4-5D6E-409C-BE32-E72D297353CC}">
                <c16:uniqueId val="{00000007-1EE4-4164-9210-BB04FAA3303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'[Annex 2 Prospera investments 2018-19.xlsx]Breakthroughs'!$M$6:$M$9</c:f>
              <c:strCache>
                <c:ptCount val="4"/>
                <c:pt idx="0">
                  <c:v>Expanding markets creating jobs</c:v>
                </c:pt>
                <c:pt idx="1">
                  <c:v>Safeguarding economic and financial stability</c:v>
                </c:pt>
                <c:pt idx="2">
                  <c:v>Improving public finances and government performance</c:v>
                </c:pt>
                <c:pt idx="3">
                  <c:v>Cross-cutting*</c:v>
                </c:pt>
              </c:strCache>
            </c:strRef>
          </c:cat>
          <c:val>
            <c:numRef>
              <c:f>'[Annex 2 Prospera investments 2018-19.xlsx]Breakthroughs'!$N$6:$N$9</c:f>
              <c:numCache>
                <c:formatCode>#,##0</c:formatCode>
                <c:ptCount val="4"/>
                <c:pt idx="0">
                  <c:v>8.8262055000000004</c:v>
                </c:pt>
                <c:pt idx="1">
                  <c:v>7.3696657899999991</c:v>
                </c:pt>
                <c:pt idx="2">
                  <c:v>11.159725</c:v>
                </c:pt>
                <c:pt idx="3">
                  <c:v>4.474977</c:v>
                </c:pt>
              </c:numCache>
            </c:numRef>
          </c:val>
          <c:extLst>
            <c:ext xmlns:c16="http://schemas.microsoft.com/office/drawing/2014/chart" uri="{C3380CC4-5D6E-409C-BE32-E72D297353CC}">
              <c16:uniqueId val="{00000008-1EE4-4164-9210-BB04FAA3303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ROSPERA">
      <a:dk1>
        <a:sysClr val="windowText" lastClr="000000"/>
      </a:dk1>
      <a:lt1>
        <a:sysClr val="window" lastClr="FFFFFF"/>
      </a:lt1>
      <a:dk2>
        <a:srgbClr val="424242"/>
      </a:dk2>
      <a:lt2>
        <a:srgbClr val="E7E6E6"/>
      </a:lt2>
      <a:accent1>
        <a:srgbClr val="1F519A"/>
      </a:accent1>
      <a:accent2>
        <a:srgbClr val="792F88"/>
      </a:accent2>
      <a:accent3>
        <a:srgbClr val="424242"/>
      </a:accent3>
      <a:accent4>
        <a:srgbClr val="FE0002"/>
      </a:accent4>
      <a:accent5>
        <a:srgbClr val="FFCC33"/>
      </a:accent5>
      <a:accent6>
        <a:srgbClr val="20ABC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ROSPERA">
    <a:dk1>
      <a:sysClr val="windowText" lastClr="000000"/>
    </a:dk1>
    <a:lt1>
      <a:sysClr val="window" lastClr="FFFFFF"/>
    </a:lt1>
    <a:dk2>
      <a:srgbClr val="424242"/>
    </a:dk2>
    <a:lt2>
      <a:srgbClr val="E7E6E6"/>
    </a:lt2>
    <a:accent1>
      <a:srgbClr val="1F519A"/>
    </a:accent1>
    <a:accent2>
      <a:srgbClr val="792F88"/>
    </a:accent2>
    <a:accent3>
      <a:srgbClr val="424242"/>
    </a:accent3>
    <a:accent4>
      <a:srgbClr val="FE0002"/>
    </a:accent4>
    <a:accent5>
      <a:srgbClr val="FFCC33"/>
    </a:accent5>
    <a:accent6>
      <a:srgbClr val="20ABC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ROSPERA">
    <a:dk1>
      <a:sysClr val="windowText" lastClr="000000"/>
    </a:dk1>
    <a:lt1>
      <a:sysClr val="window" lastClr="FFFFFF"/>
    </a:lt1>
    <a:dk2>
      <a:srgbClr val="424242"/>
    </a:dk2>
    <a:lt2>
      <a:srgbClr val="E7E6E6"/>
    </a:lt2>
    <a:accent1>
      <a:srgbClr val="1F519A"/>
    </a:accent1>
    <a:accent2>
      <a:srgbClr val="792F88"/>
    </a:accent2>
    <a:accent3>
      <a:srgbClr val="424242"/>
    </a:accent3>
    <a:accent4>
      <a:srgbClr val="FE0002"/>
    </a:accent4>
    <a:accent5>
      <a:srgbClr val="FFCC33"/>
    </a:accent5>
    <a:accent6>
      <a:srgbClr val="20ABC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ROSPERA">
    <a:dk1>
      <a:sysClr val="windowText" lastClr="000000"/>
    </a:dk1>
    <a:lt1>
      <a:sysClr val="window" lastClr="FFFFFF"/>
    </a:lt1>
    <a:dk2>
      <a:srgbClr val="424242"/>
    </a:dk2>
    <a:lt2>
      <a:srgbClr val="E7E6E6"/>
    </a:lt2>
    <a:accent1>
      <a:srgbClr val="1F519A"/>
    </a:accent1>
    <a:accent2>
      <a:srgbClr val="792F88"/>
    </a:accent2>
    <a:accent3>
      <a:srgbClr val="424242"/>
    </a:accent3>
    <a:accent4>
      <a:srgbClr val="FE0002"/>
    </a:accent4>
    <a:accent5>
      <a:srgbClr val="FFCC33"/>
    </a:accent5>
    <a:accent6>
      <a:srgbClr val="20ABC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C006B74-5362-41A0-B266-4C4A335D20C9}"/>
</file>

<file path=customXml/itemProps2.xml><?xml version="1.0" encoding="utf-8"?>
<ds:datastoreItem xmlns:ds="http://schemas.openxmlformats.org/officeDocument/2006/customXml" ds:itemID="{4B2E8C7E-E1AD-42EA-8AE0-01535076B363}"/>
</file>

<file path=customXml/itemProps3.xml><?xml version="1.0" encoding="utf-8"?>
<ds:datastoreItem xmlns:ds="http://schemas.openxmlformats.org/officeDocument/2006/customXml" ds:itemID="{82929CB0-1822-40D0-BF79-14315348819E}"/>
</file>

<file path=customXml/itemProps4.xml><?xml version="1.0" encoding="utf-8"?>
<ds:datastoreItem xmlns:ds="http://schemas.openxmlformats.org/officeDocument/2006/customXml" ds:itemID="{CC1D4BF2-94FE-488B-9115-345168A0BABD}"/>
</file>

<file path=docProps/app.xml><?xml version="1.0" encoding="utf-8"?>
<Properties xmlns="http://schemas.openxmlformats.org/officeDocument/2006/extended-properties" xmlns:vt="http://schemas.openxmlformats.org/officeDocument/2006/docPropsVTypes">
  <Template>Normal.dotm</Template>
  <TotalTime>0</TotalTime>
  <Pages>77</Pages>
  <Words>23558</Words>
  <Characters>134286</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2019-10-25T06:04:00Z</dcterms:created>
  <dcterms:modified xsi:type="dcterms:W3CDTF">2019-10-25T06:04:00Z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8817ffe8-8926-4910-98ad-739e711367db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1274300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