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1A6BC" w14:textId="77777777" w:rsidR="002A0929" w:rsidRDefault="002A0929">
      <w:bookmarkStart w:id="0" w:name="_GoBack"/>
      <w:bookmarkEnd w:id="0"/>
    </w:p>
    <w:p w14:paraId="2B7654BD" w14:textId="77777777" w:rsidR="00AE17C3" w:rsidRDefault="00AE17C3"/>
    <w:p w14:paraId="759D9359" w14:textId="77777777" w:rsidR="00AE17C3" w:rsidRDefault="00AE17C3"/>
    <w:p w14:paraId="392AC27B" w14:textId="77777777" w:rsidR="00AE17C3" w:rsidRDefault="00AE17C3"/>
    <w:p w14:paraId="3873B9FB" w14:textId="77777777" w:rsidR="00AE17C3" w:rsidRDefault="00AE17C3"/>
    <w:p w14:paraId="4AB2AF18" w14:textId="77777777" w:rsidR="00AE17C3" w:rsidRPr="00B0399A" w:rsidRDefault="00AE17C3" w:rsidP="00B0399A">
      <w:pPr>
        <w:jc w:val="center"/>
        <w:rPr>
          <w:color w:val="1F497D" w:themeColor="text2"/>
          <w:sz w:val="96"/>
          <w:szCs w:val="96"/>
        </w:rPr>
      </w:pPr>
      <w:r w:rsidRPr="00B0399A">
        <w:rPr>
          <w:color w:val="1F497D" w:themeColor="text2"/>
          <w:sz w:val="96"/>
          <w:szCs w:val="96"/>
        </w:rPr>
        <w:t>Poverty Reduction Support Facility</w:t>
      </w:r>
    </w:p>
    <w:p w14:paraId="43F40E8D" w14:textId="77777777" w:rsidR="00AE17C3" w:rsidRPr="00B0399A" w:rsidRDefault="00AE17C3" w:rsidP="00B0399A">
      <w:pPr>
        <w:jc w:val="center"/>
        <w:rPr>
          <w:color w:val="1F497D" w:themeColor="text2"/>
          <w:sz w:val="72"/>
          <w:szCs w:val="72"/>
        </w:rPr>
      </w:pPr>
      <w:r w:rsidRPr="00B0399A">
        <w:rPr>
          <w:color w:val="1F497D" w:themeColor="text2"/>
          <w:sz w:val="72"/>
          <w:szCs w:val="72"/>
        </w:rPr>
        <w:t>Independent Completion Report</w:t>
      </w:r>
    </w:p>
    <w:p w14:paraId="7EC770F0" w14:textId="44449ACD" w:rsidR="0009270D" w:rsidRDefault="0009270D" w:rsidP="00465176">
      <w:pPr>
        <w:jc w:val="center"/>
        <w:rPr>
          <w:color w:val="548DD4" w:themeColor="text2" w:themeTint="99"/>
          <w:sz w:val="40"/>
          <w:szCs w:val="40"/>
        </w:rPr>
      </w:pPr>
      <w:r>
        <w:rPr>
          <w:color w:val="548DD4" w:themeColor="text2" w:themeTint="99"/>
          <w:sz w:val="40"/>
          <w:szCs w:val="40"/>
        </w:rPr>
        <w:t>Vincent Ashcroft</w:t>
      </w:r>
    </w:p>
    <w:p w14:paraId="3B2F62C3" w14:textId="77777777" w:rsidR="00091564" w:rsidRDefault="00B53814" w:rsidP="00091564">
      <w:pPr>
        <w:jc w:val="center"/>
        <w:rPr>
          <w:color w:val="548DD4" w:themeColor="text2" w:themeTint="99"/>
          <w:sz w:val="40"/>
          <w:szCs w:val="40"/>
        </w:rPr>
        <w:sectPr w:rsidR="0009156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rsidRPr="0009270D">
        <w:rPr>
          <w:color w:val="548DD4" w:themeColor="text2" w:themeTint="99"/>
          <w:sz w:val="40"/>
          <w:szCs w:val="40"/>
        </w:rPr>
        <w:t>Ju</w:t>
      </w:r>
      <w:r w:rsidR="00A71E7D" w:rsidRPr="0009270D">
        <w:rPr>
          <w:color w:val="548DD4" w:themeColor="text2" w:themeTint="99"/>
          <w:sz w:val="40"/>
          <w:szCs w:val="40"/>
        </w:rPr>
        <w:t>ly</w:t>
      </w:r>
      <w:r w:rsidRPr="0009270D">
        <w:rPr>
          <w:color w:val="548DD4" w:themeColor="text2" w:themeTint="99"/>
          <w:sz w:val="40"/>
          <w:szCs w:val="40"/>
        </w:rPr>
        <w:t xml:space="preserve"> </w:t>
      </w:r>
      <w:r w:rsidR="00AE17C3" w:rsidRPr="0009270D">
        <w:rPr>
          <w:color w:val="548DD4" w:themeColor="text2" w:themeTint="99"/>
          <w:sz w:val="40"/>
          <w:szCs w:val="40"/>
        </w:rPr>
        <w:t>2015</w:t>
      </w:r>
    </w:p>
    <w:p w14:paraId="6AF0DFA3" w14:textId="1F1859B6" w:rsidR="0009270D" w:rsidRDefault="00091564" w:rsidP="00091564">
      <w:r>
        <w:rPr>
          <w:b/>
          <w:color w:val="365F91" w:themeColor="accent1" w:themeShade="BF"/>
          <w:sz w:val="28"/>
          <w:szCs w:val="28"/>
        </w:rPr>
        <w:lastRenderedPageBreak/>
        <w:t>Disclaimer</w:t>
      </w:r>
    </w:p>
    <w:p w14:paraId="363DE1C7" w14:textId="77777777" w:rsidR="000F5D95" w:rsidRDefault="00091564" w:rsidP="00091564">
      <w:pPr>
        <w:sectPr w:rsidR="000F5D95">
          <w:pgSz w:w="12240" w:h="15840"/>
          <w:pgMar w:top="1440" w:right="1440" w:bottom="1440" w:left="1440" w:header="720" w:footer="720" w:gutter="0"/>
          <w:cols w:space="720"/>
          <w:docGrid w:linePitch="360"/>
        </w:sectPr>
      </w:pPr>
      <w:r>
        <w:t xml:space="preserve">The findings, interpretations, and conclusions of this report are those of the author and do not necessarily represent the views or the policy of DFAT or the Commonwealth of Australia. </w:t>
      </w:r>
    </w:p>
    <w:p w14:paraId="61E410F3" w14:textId="1C925E71" w:rsidR="00091564" w:rsidRDefault="00091564" w:rsidP="00091564"/>
    <w:sdt>
      <w:sdtPr>
        <w:rPr>
          <w:rFonts w:asciiTheme="minorHAnsi" w:eastAsiaTheme="minorHAnsi" w:hAnsiTheme="minorHAnsi" w:cstheme="minorBidi"/>
          <w:b w:val="0"/>
          <w:bCs w:val="0"/>
          <w:color w:val="auto"/>
          <w:sz w:val="22"/>
          <w:szCs w:val="22"/>
          <w:lang w:val="en-AU" w:eastAsia="en-US"/>
        </w:rPr>
        <w:id w:val="1291861721"/>
        <w:docPartObj>
          <w:docPartGallery w:val="Table of Contents"/>
          <w:docPartUnique/>
        </w:docPartObj>
      </w:sdtPr>
      <w:sdtEndPr>
        <w:rPr>
          <w:noProof/>
        </w:rPr>
      </w:sdtEndPr>
      <w:sdtContent>
        <w:p w14:paraId="7C3C1F87" w14:textId="77777777" w:rsidR="003D4131" w:rsidRDefault="003D4131" w:rsidP="003D4131">
          <w:pPr>
            <w:pStyle w:val="TOCHeading"/>
            <w:spacing w:after="120"/>
          </w:pPr>
          <w:r>
            <w:t>Contents</w:t>
          </w:r>
        </w:p>
        <w:p w14:paraId="2C7BBFE9" w14:textId="77777777" w:rsidR="00D85A72" w:rsidRDefault="003D4131">
          <w:pPr>
            <w:pStyle w:val="TOC1"/>
            <w:tabs>
              <w:tab w:val="right" w:leader="dot" w:pos="9350"/>
            </w:tabs>
            <w:rPr>
              <w:rFonts w:eastAsiaTheme="minorEastAsia"/>
              <w:noProof/>
              <w:lang w:eastAsia="en-AU"/>
            </w:rPr>
          </w:pPr>
          <w:r>
            <w:fldChar w:fldCharType="begin"/>
          </w:r>
          <w:r>
            <w:instrText xml:space="preserve"> TOC \o "1-3" \h \z \u </w:instrText>
          </w:r>
          <w:r>
            <w:fldChar w:fldCharType="separate"/>
          </w:r>
          <w:hyperlink w:anchor="_Toc424302589" w:history="1">
            <w:r w:rsidR="00D85A72" w:rsidRPr="008B7E21">
              <w:rPr>
                <w:rStyle w:val="Hyperlink"/>
                <w:noProof/>
              </w:rPr>
              <w:t>Introduction</w:t>
            </w:r>
            <w:r w:rsidR="00D85A72">
              <w:rPr>
                <w:noProof/>
                <w:webHidden/>
              </w:rPr>
              <w:tab/>
            </w:r>
            <w:r w:rsidR="00D85A72">
              <w:rPr>
                <w:noProof/>
                <w:webHidden/>
              </w:rPr>
              <w:fldChar w:fldCharType="begin"/>
            </w:r>
            <w:r w:rsidR="00D85A72">
              <w:rPr>
                <w:noProof/>
                <w:webHidden/>
              </w:rPr>
              <w:instrText xml:space="preserve"> PAGEREF _Toc424302589 \h </w:instrText>
            </w:r>
            <w:r w:rsidR="00D85A72">
              <w:rPr>
                <w:noProof/>
                <w:webHidden/>
              </w:rPr>
            </w:r>
            <w:r w:rsidR="00D85A72">
              <w:rPr>
                <w:noProof/>
                <w:webHidden/>
              </w:rPr>
              <w:fldChar w:fldCharType="separate"/>
            </w:r>
            <w:r w:rsidR="00864CB0">
              <w:rPr>
                <w:noProof/>
                <w:webHidden/>
              </w:rPr>
              <w:t>2</w:t>
            </w:r>
            <w:r w:rsidR="00D85A72">
              <w:rPr>
                <w:noProof/>
                <w:webHidden/>
              </w:rPr>
              <w:fldChar w:fldCharType="end"/>
            </w:r>
          </w:hyperlink>
        </w:p>
        <w:p w14:paraId="227E0E76" w14:textId="77777777" w:rsidR="00D85A72" w:rsidRDefault="00472622">
          <w:pPr>
            <w:pStyle w:val="TOC2"/>
            <w:tabs>
              <w:tab w:val="right" w:leader="dot" w:pos="9350"/>
            </w:tabs>
            <w:rPr>
              <w:rFonts w:eastAsiaTheme="minorEastAsia"/>
              <w:noProof/>
              <w:lang w:eastAsia="en-AU"/>
            </w:rPr>
          </w:pPr>
          <w:hyperlink w:anchor="_Toc424302590" w:history="1">
            <w:r w:rsidR="00D85A72" w:rsidRPr="008B7E21">
              <w:rPr>
                <w:rStyle w:val="Hyperlink"/>
                <w:noProof/>
              </w:rPr>
              <w:t>Scope of the Review</w:t>
            </w:r>
            <w:r w:rsidR="00D85A72">
              <w:rPr>
                <w:noProof/>
                <w:webHidden/>
              </w:rPr>
              <w:tab/>
            </w:r>
            <w:r w:rsidR="00D85A72">
              <w:rPr>
                <w:noProof/>
                <w:webHidden/>
              </w:rPr>
              <w:fldChar w:fldCharType="begin"/>
            </w:r>
            <w:r w:rsidR="00D85A72">
              <w:rPr>
                <w:noProof/>
                <w:webHidden/>
              </w:rPr>
              <w:instrText xml:space="preserve"> PAGEREF _Toc424302590 \h </w:instrText>
            </w:r>
            <w:r w:rsidR="00D85A72">
              <w:rPr>
                <w:noProof/>
                <w:webHidden/>
              </w:rPr>
            </w:r>
            <w:r w:rsidR="00D85A72">
              <w:rPr>
                <w:noProof/>
                <w:webHidden/>
              </w:rPr>
              <w:fldChar w:fldCharType="separate"/>
            </w:r>
            <w:r w:rsidR="00864CB0">
              <w:rPr>
                <w:noProof/>
                <w:webHidden/>
              </w:rPr>
              <w:t>2</w:t>
            </w:r>
            <w:r w:rsidR="00D85A72">
              <w:rPr>
                <w:noProof/>
                <w:webHidden/>
              </w:rPr>
              <w:fldChar w:fldCharType="end"/>
            </w:r>
          </w:hyperlink>
        </w:p>
        <w:p w14:paraId="58FD7CEA" w14:textId="77777777" w:rsidR="00D85A72" w:rsidRDefault="00472622">
          <w:pPr>
            <w:pStyle w:val="TOC2"/>
            <w:tabs>
              <w:tab w:val="right" w:leader="dot" w:pos="9350"/>
            </w:tabs>
            <w:rPr>
              <w:rFonts w:eastAsiaTheme="minorEastAsia"/>
              <w:noProof/>
              <w:lang w:eastAsia="en-AU"/>
            </w:rPr>
          </w:pPr>
          <w:hyperlink w:anchor="_Toc424302591" w:history="1">
            <w:r w:rsidR="00D85A72" w:rsidRPr="008B7E21">
              <w:rPr>
                <w:rStyle w:val="Hyperlink"/>
                <w:noProof/>
              </w:rPr>
              <w:t>Methodology</w:t>
            </w:r>
            <w:r w:rsidR="00D85A72">
              <w:rPr>
                <w:noProof/>
                <w:webHidden/>
              </w:rPr>
              <w:tab/>
            </w:r>
            <w:r w:rsidR="00D85A72">
              <w:rPr>
                <w:noProof/>
                <w:webHidden/>
              </w:rPr>
              <w:fldChar w:fldCharType="begin"/>
            </w:r>
            <w:r w:rsidR="00D85A72">
              <w:rPr>
                <w:noProof/>
                <w:webHidden/>
              </w:rPr>
              <w:instrText xml:space="preserve"> PAGEREF _Toc424302591 \h </w:instrText>
            </w:r>
            <w:r w:rsidR="00D85A72">
              <w:rPr>
                <w:noProof/>
                <w:webHidden/>
              </w:rPr>
            </w:r>
            <w:r w:rsidR="00D85A72">
              <w:rPr>
                <w:noProof/>
                <w:webHidden/>
              </w:rPr>
              <w:fldChar w:fldCharType="separate"/>
            </w:r>
            <w:r w:rsidR="00864CB0">
              <w:rPr>
                <w:noProof/>
                <w:webHidden/>
              </w:rPr>
              <w:t>2</w:t>
            </w:r>
            <w:r w:rsidR="00D85A72">
              <w:rPr>
                <w:noProof/>
                <w:webHidden/>
              </w:rPr>
              <w:fldChar w:fldCharType="end"/>
            </w:r>
          </w:hyperlink>
        </w:p>
        <w:p w14:paraId="0FADF1C1" w14:textId="77777777" w:rsidR="00D85A72" w:rsidRDefault="00472622">
          <w:pPr>
            <w:pStyle w:val="TOC2"/>
            <w:tabs>
              <w:tab w:val="right" w:leader="dot" w:pos="9350"/>
            </w:tabs>
            <w:rPr>
              <w:rFonts w:eastAsiaTheme="minorEastAsia"/>
              <w:noProof/>
              <w:lang w:eastAsia="en-AU"/>
            </w:rPr>
          </w:pPr>
          <w:hyperlink w:anchor="_Toc424302592" w:history="1">
            <w:r w:rsidR="00D85A72" w:rsidRPr="008B7E21">
              <w:rPr>
                <w:rStyle w:val="Hyperlink"/>
                <w:noProof/>
              </w:rPr>
              <w:t>Description of Evaluation Activities</w:t>
            </w:r>
            <w:r w:rsidR="00D85A72">
              <w:rPr>
                <w:noProof/>
                <w:webHidden/>
              </w:rPr>
              <w:tab/>
            </w:r>
            <w:r w:rsidR="00D85A72">
              <w:rPr>
                <w:noProof/>
                <w:webHidden/>
              </w:rPr>
              <w:fldChar w:fldCharType="begin"/>
            </w:r>
            <w:r w:rsidR="00D85A72">
              <w:rPr>
                <w:noProof/>
                <w:webHidden/>
              </w:rPr>
              <w:instrText xml:space="preserve"> PAGEREF _Toc424302592 \h </w:instrText>
            </w:r>
            <w:r w:rsidR="00D85A72">
              <w:rPr>
                <w:noProof/>
                <w:webHidden/>
              </w:rPr>
            </w:r>
            <w:r w:rsidR="00D85A72">
              <w:rPr>
                <w:noProof/>
                <w:webHidden/>
              </w:rPr>
              <w:fldChar w:fldCharType="separate"/>
            </w:r>
            <w:r w:rsidR="00864CB0">
              <w:rPr>
                <w:noProof/>
                <w:webHidden/>
              </w:rPr>
              <w:t>2</w:t>
            </w:r>
            <w:r w:rsidR="00D85A72">
              <w:rPr>
                <w:noProof/>
                <w:webHidden/>
              </w:rPr>
              <w:fldChar w:fldCharType="end"/>
            </w:r>
          </w:hyperlink>
        </w:p>
        <w:p w14:paraId="1F203D4D" w14:textId="77777777" w:rsidR="00D85A72" w:rsidRDefault="00472622">
          <w:pPr>
            <w:pStyle w:val="TOC2"/>
            <w:tabs>
              <w:tab w:val="right" w:leader="dot" w:pos="9350"/>
            </w:tabs>
            <w:rPr>
              <w:rFonts w:eastAsiaTheme="minorEastAsia"/>
              <w:noProof/>
              <w:lang w:eastAsia="en-AU"/>
            </w:rPr>
          </w:pPr>
          <w:hyperlink w:anchor="_Toc424302593" w:history="1">
            <w:r w:rsidR="00D85A72" w:rsidRPr="008B7E21">
              <w:rPr>
                <w:rStyle w:val="Hyperlink"/>
                <w:noProof/>
              </w:rPr>
              <w:t>Structure of the report</w:t>
            </w:r>
            <w:r w:rsidR="00D85A72">
              <w:rPr>
                <w:noProof/>
                <w:webHidden/>
              </w:rPr>
              <w:tab/>
            </w:r>
            <w:r w:rsidR="00D85A72">
              <w:rPr>
                <w:noProof/>
                <w:webHidden/>
              </w:rPr>
              <w:fldChar w:fldCharType="begin"/>
            </w:r>
            <w:r w:rsidR="00D85A72">
              <w:rPr>
                <w:noProof/>
                <w:webHidden/>
              </w:rPr>
              <w:instrText xml:space="preserve"> PAGEREF _Toc424302593 \h </w:instrText>
            </w:r>
            <w:r w:rsidR="00D85A72">
              <w:rPr>
                <w:noProof/>
                <w:webHidden/>
              </w:rPr>
            </w:r>
            <w:r w:rsidR="00D85A72">
              <w:rPr>
                <w:noProof/>
                <w:webHidden/>
              </w:rPr>
              <w:fldChar w:fldCharType="separate"/>
            </w:r>
            <w:r w:rsidR="00864CB0">
              <w:rPr>
                <w:noProof/>
                <w:webHidden/>
              </w:rPr>
              <w:t>3</w:t>
            </w:r>
            <w:r w:rsidR="00D85A72">
              <w:rPr>
                <w:noProof/>
                <w:webHidden/>
              </w:rPr>
              <w:fldChar w:fldCharType="end"/>
            </w:r>
          </w:hyperlink>
        </w:p>
        <w:p w14:paraId="32DC71B0" w14:textId="77777777" w:rsidR="00D85A72" w:rsidRDefault="00472622">
          <w:pPr>
            <w:pStyle w:val="TOC1"/>
            <w:tabs>
              <w:tab w:val="right" w:leader="dot" w:pos="9350"/>
            </w:tabs>
            <w:rPr>
              <w:rFonts w:eastAsiaTheme="minorEastAsia"/>
              <w:noProof/>
              <w:lang w:eastAsia="en-AU"/>
            </w:rPr>
          </w:pPr>
          <w:hyperlink w:anchor="_Toc424302594" w:history="1">
            <w:r w:rsidR="00D85A72" w:rsidRPr="008B7E21">
              <w:rPr>
                <w:rStyle w:val="Hyperlink"/>
                <w:noProof/>
              </w:rPr>
              <w:t>Section 1: What is PRSF, what did it do and what has been achieved?</w:t>
            </w:r>
            <w:r w:rsidR="00D85A72">
              <w:rPr>
                <w:noProof/>
                <w:webHidden/>
              </w:rPr>
              <w:tab/>
            </w:r>
            <w:r w:rsidR="00D85A72">
              <w:rPr>
                <w:noProof/>
                <w:webHidden/>
              </w:rPr>
              <w:fldChar w:fldCharType="begin"/>
            </w:r>
            <w:r w:rsidR="00D85A72">
              <w:rPr>
                <w:noProof/>
                <w:webHidden/>
              </w:rPr>
              <w:instrText xml:space="preserve"> PAGEREF _Toc424302594 \h </w:instrText>
            </w:r>
            <w:r w:rsidR="00D85A72">
              <w:rPr>
                <w:noProof/>
                <w:webHidden/>
              </w:rPr>
            </w:r>
            <w:r w:rsidR="00D85A72">
              <w:rPr>
                <w:noProof/>
                <w:webHidden/>
              </w:rPr>
              <w:fldChar w:fldCharType="separate"/>
            </w:r>
            <w:r w:rsidR="00864CB0">
              <w:rPr>
                <w:noProof/>
                <w:webHidden/>
              </w:rPr>
              <w:t>4</w:t>
            </w:r>
            <w:r w:rsidR="00D85A72">
              <w:rPr>
                <w:noProof/>
                <w:webHidden/>
              </w:rPr>
              <w:fldChar w:fldCharType="end"/>
            </w:r>
          </w:hyperlink>
        </w:p>
        <w:p w14:paraId="4E02480D" w14:textId="77777777" w:rsidR="00D85A72" w:rsidRDefault="00472622">
          <w:pPr>
            <w:pStyle w:val="TOC2"/>
            <w:tabs>
              <w:tab w:val="right" w:leader="dot" w:pos="9350"/>
            </w:tabs>
            <w:rPr>
              <w:rFonts w:eastAsiaTheme="minorEastAsia"/>
              <w:noProof/>
              <w:lang w:eastAsia="en-AU"/>
            </w:rPr>
          </w:pPr>
          <w:hyperlink w:anchor="_Toc424302595" w:history="1">
            <w:r w:rsidR="00D85A72" w:rsidRPr="008B7E21">
              <w:rPr>
                <w:rStyle w:val="Hyperlink"/>
                <w:noProof/>
              </w:rPr>
              <w:t>Background</w:t>
            </w:r>
            <w:r w:rsidR="00D85A72">
              <w:rPr>
                <w:noProof/>
                <w:webHidden/>
              </w:rPr>
              <w:tab/>
            </w:r>
            <w:r w:rsidR="00D85A72">
              <w:rPr>
                <w:noProof/>
                <w:webHidden/>
              </w:rPr>
              <w:fldChar w:fldCharType="begin"/>
            </w:r>
            <w:r w:rsidR="00D85A72">
              <w:rPr>
                <w:noProof/>
                <w:webHidden/>
              </w:rPr>
              <w:instrText xml:space="preserve"> PAGEREF _Toc424302595 \h </w:instrText>
            </w:r>
            <w:r w:rsidR="00D85A72">
              <w:rPr>
                <w:noProof/>
                <w:webHidden/>
              </w:rPr>
            </w:r>
            <w:r w:rsidR="00D85A72">
              <w:rPr>
                <w:noProof/>
                <w:webHidden/>
              </w:rPr>
              <w:fldChar w:fldCharType="separate"/>
            </w:r>
            <w:r w:rsidR="00864CB0">
              <w:rPr>
                <w:noProof/>
                <w:webHidden/>
              </w:rPr>
              <w:t>4</w:t>
            </w:r>
            <w:r w:rsidR="00D85A72">
              <w:rPr>
                <w:noProof/>
                <w:webHidden/>
              </w:rPr>
              <w:fldChar w:fldCharType="end"/>
            </w:r>
          </w:hyperlink>
        </w:p>
        <w:p w14:paraId="4892EFC4" w14:textId="77777777" w:rsidR="00D85A72" w:rsidRDefault="00472622">
          <w:pPr>
            <w:pStyle w:val="TOC3"/>
            <w:tabs>
              <w:tab w:val="right" w:leader="dot" w:pos="9350"/>
            </w:tabs>
            <w:rPr>
              <w:rFonts w:eastAsiaTheme="minorEastAsia"/>
              <w:noProof/>
              <w:lang w:eastAsia="en-AU"/>
            </w:rPr>
          </w:pPr>
          <w:hyperlink w:anchor="_Toc424302596" w:history="1">
            <w:r w:rsidR="00D85A72" w:rsidRPr="008B7E21">
              <w:rPr>
                <w:rStyle w:val="Hyperlink"/>
                <w:noProof/>
              </w:rPr>
              <w:t>The National Team for the Acceleration of Poverty Reduction (TNP2K)</w:t>
            </w:r>
            <w:r w:rsidR="00D85A72">
              <w:rPr>
                <w:noProof/>
                <w:webHidden/>
              </w:rPr>
              <w:tab/>
            </w:r>
            <w:r w:rsidR="00D85A72">
              <w:rPr>
                <w:noProof/>
                <w:webHidden/>
              </w:rPr>
              <w:fldChar w:fldCharType="begin"/>
            </w:r>
            <w:r w:rsidR="00D85A72">
              <w:rPr>
                <w:noProof/>
                <w:webHidden/>
              </w:rPr>
              <w:instrText xml:space="preserve"> PAGEREF _Toc424302596 \h </w:instrText>
            </w:r>
            <w:r w:rsidR="00D85A72">
              <w:rPr>
                <w:noProof/>
                <w:webHidden/>
              </w:rPr>
            </w:r>
            <w:r w:rsidR="00D85A72">
              <w:rPr>
                <w:noProof/>
                <w:webHidden/>
              </w:rPr>
              <w:fldChar w:fldCharType="separate"/>
            </w:r>
            <w:r w:rsidR="00864CB0">
              <w:rPr>
                <w:noProof/>
                <w:webHidden/>
              </w:rPr>
              <w:t>4</w:t>
            </w:r>
            <w:r w:rsidR="00D85A72">
              <w:rPr>
                <w:noProof/>
                <w:webHidden/>
              </w:rPr>
              <w:fldChar w:fldCharType="end"/>
            </w:r>
          </w:hyperlink>
        </w:p>
        <w:p w14:paraId="48051243" w14:textId="77777777" w:rsidR="00D85A72" w:rsidRDefault="00472622">
          <w:pPr>
            <w:pStyle w:val="TOC3"/>
            <w:tabs>
              <w:tab w:val="right" w:leader="dot" w:pos="9350"/>
            </w:tabs>
            <w:rPr>
              <w:rFonts w:eastAsiaTheme="minorEastAsia"/>
              <w:noProof/>
              <w:lang w:eastAsia="en-AU"/>
            </w:rPr>
          </w:pPr>
          <w:hyperlink w:anchor="_Toc424302597" w:history="1">
            <w:r w:rsidR="00D85A72" w:rsidRPr="008B7E21">
              <w:rPr>
                <w:rStyle w:val="Hyperlink"/>
                <w:noProof/>
              </w:rPr>
              <w:t>PRSF</w:t>
            </w:r>
            <w:r w:rsidR="00D85A72">
              <w:rPr>
                <w:noProof/>
                <w:webHidden/>
              </w:rPr>
              <w:tab/>
            </w:r>
            <w:r w:rsidR="00D85A72">
              <w:rPr>
                <w:noProof/>
                <w:webHidden/>
              </w:rPr>
              <w:fldChar w:fldCharType="begin"/>
            </w:r>
            <w:r w:rsidR="00D85A72">
              <w:rPr>
                <w:noProof/>
                <w:webHidden/>
              </w:rPr>
              <w:instrText xml:space="preserve"> PAGEREF _Toc424302597 \h </w:instrText>
            </w:r>
            <w:r w:rsidR="00D85A72">
              <w:rPr>
                <w:noProof/>
                <w:webHidden/>
              </w:rPr>
            </w:r>
            <w:r w:rsidR="00D85A72">
              <w:rPr>
                <w:noProof/>
                <w:webHidden/>
              </w:rPr>
              <w:fldChar w:fldCharType="separate"/>
            </w:r>
            <w:r w:rsidR="00864CB0">
              <w:rPr>
                <w:noProof/>
                <w:webHidden/>
              </w:rPr>
              <w:t>5</w:t>
            </w:r>
            <w:r w:rsidR="00D85A72">
              <w:rPr>
                <w:noProof/>
                <w:webHidden/>
              </w:rPr>
              <w:fldChar w:fldCharType="end"/>
            </w:r>
          </w:hyperlink>
        </w:p>
        <w:p w14:paraId="059A68F0" w14:textId="77777777" w:rsidR="00D85A72" w:rsidRDefault="00472622">
          <w:pPr>
            <w:pStyle w:val="TOC3"/>
            <w:tabs>
              <w:tab w:val="right" w:leader="dot" w:pos="9350"/>
            </w:tabs>
            <w:rPr>
              <w:rFonts w:eastAsiaTheme="minorEastAsia"/>
              <w:noProof/>
              <w:lang w:eastAsia="en-AU"/>
            </w:rPr>
          </w:pPr>
          <w:hyperlink w:anchor="_Toc424302598" w:history="1">
            <w:r w:rsidR="00D85A72" w:rsidRPr="008B7E21">
              <w:rPr>
                <w:rStyle w:val="Hyperlink"/>
                <w:noProof/>
              </w:rPr>
              <w:t>The DFAT Window</w:t>
            </w:r>
            <w:r w:rsidR="00D85A72">
              <w:rPr>
                <w:noProof/>
                <w:webHidden/>
              </w:rPr>
              <w:tab/>
            </w:r>
            <w:r w:rsidR="00D85A72">
              <w:rPr>
                <w:noProof/>
                <w:webHidden/>
              </w:rPr>
              <w:fldChar w:fldCharType="begin"/>
            </w:r>
            <w:r w:rsidR="00D85A72">
              <w:rPr>
                <w:noProof/>
                <w:webHidden/>
              </w:rPr>
              <w:instrText xml:space="preserve"> PAGEREF _Toc424302598 \h </w:instrText>
            </w:r>
            <w:r w:rsidR="00D85A72">
              <w:rPr>
                <w:noProof/>
                <w:webHidden/>
              </w:rPr>
            </w:r>
            <w:r w:rsidR="00D85A72">
              <w:rPr>
                <w:noProof/>
                <w:webHidden/>
              </w:rPr>
              <w:fldChar w:fldCharType="separate"/>
            </w:r>
            <w:r w:rsidR="00864CB0">
              <w:rPr>
                <w:noProof/>
                <w:webHidden/>
              </w:rPr>
              <w:t>6</w:t>
            </w:r>
            <w:r w:rsidR="00D85A72">
              <w:rPr>
                <w:noProof/>
                <w:webHidden/>
              </w:rPr>
              <w:fldChar w:fldCharType="end"/>
            </w:r>
          </w:hyperlink>
        </w:p>
        <w:p w14:paraId="0FB87570" w14:textId="77777777" w:rsidR="00D85A72" w:rsidRDefault="00472622">
          <w:pPr>
            <w:pStyle w:val="TOC2"/>
            <w:tabs>
              <w:tab w:val="right" w:leader="dot" w:pos="9350"/>
            </w:tabs>
            <w:rPr>
              <w:rFonts w:eastAsiaTheme="minorEastAsia"/>
              <w:noProof/>
              <w:lang w:eastAsia="en-AU"/>
            </w:rPr>
          </w:pPr>
          <w:hyperlink w:anchor="_Toc424302599" w:history="1">
            <w:r w:rsidR="00D85A72" w:rsidRPr="008B7E21">
              <w:rPr>
                <w:rStyle w:val="Hyperlink"/>
                <w:noProof/>
              </w:rPr>
              <w:t>What is PRSF?</w:t>
            </w:r>
            <w:r w:rsidR="00D85A72">
              <w:rPr>
                <w:noProof/>
                <w:webHidden/>
              </w:rPr>
              <w:tab/>
            </w:r>
            <w:r w:rsidR="00D85A72">
              <w:rPr>
                <w:noProof/>
                <w:webHidden/>
              </w:rPr>
              <w:fldChar w:fldCharType="begin"/>
            </w:r>
            <w:r w:rsidR="00D85A72">
              <w:rPr>
                <w:noProof/>
                <w:webHidden/>
              </w:rPr>
              <w:instrText xml:space="preserve"> PAGEREF _Toc424302599 \h </w:instrText>
            </w:r>
            <w:r w:rsidR="00D85A72">
              <w:rPr>
                <w:noProof/>
                <w:webHidden/>
              </w:rPr>
            </w:r>
            <w:r w:rsidR="00D85A72">
              <w:rPr>
                <w:noProof/>
                <w:webHidden/>
              </w:rPr>
              <w:fldChar w:fldCharType="separate"/>
            </w:r>
            <w:r w:rsidR="00864CB0">
              <w:rPr>
                <w:noProof/>
                <w:webHidden/>
              </w:rPr>
              <w:t>6</w:t>
            </w:r>
            <w:r w:rsidR="00D85A72">
              <w:rPr>
                <w:noProof/>
                <w:webHidden/>
              </w:rPr>
              <w:fldChar w:fldCharType="end"/>
            </w:r>
          </w:hyperlink>
        </w:p>
        <w:p w14:paraId="327E10A5" w14:textId="77777777" w:rsidR="00D85A72" w:rsidRDefault="00472622">
          <w:pPr>
            <w:pStyle w:val="TOC2"/>
            <w:tabs>
              <w:tab w:val="right" w:leader="dot" w:pos="9350"/>
            </w:tabs>
            <w:rPr>
              <w:rFonts w:eastAsiaTheme="minorEastAsia"/>
              <w:noProof/>
              <w:lang w:eastAsia="en-AU"/>
            </w:rPr>
          </w:pPr>
          <w:hyperlink w:anchor="_Toc424302600" w:history="1">
            <w:r w:rsidR="00D85A72" w:rsidRPr="008B7E21">
              <w:rPr>
                <w:rStyle w:val="Hyperlink"/>
                <w:noProof/>
              </w:rPr>
              <w:t>Achievements</w:t>
            </w:r>
            <w:r w:rsidR="00D85A72">
              <w:rPr>
                <w:noProof/>
                <w:webHidden/>
              </w:rPr>
              <w:tab/>
            </w:r>
            <w:r w:rsidR="00D85A72">
              <w:rPr>
                <w:noProof/>
                <w:webHidden/>
              </w:rPr>
              <w:fldChar w:fldCharType="begin"/>
            </w:r>
            <w:r w:rsidR="00D85A72">
              <w:rPr>
                <w:noProof/>
                <w:webHidden/>
              </w:rPr>
              <w:instrText xml:space="preserve"> PAGEREF _Toc424302600 \h </w:instrText>
            </w:r>
            <w:r w:rsidR="00D85A72">
              <w:rPr>
                <w:noProof/>
                <w:webHidden/>
              </w:rPr>
            </w:r>
            <w:r w:rsidR="00D85A72">
              <w:rPr>
                <w:noProof/>
                <w:webHidden/>
              </w:rPr>
              <w:fldChar w:fldCharType="separate"/>
            </w:r>
            <w:r w:rsidR="00864CB0">
              <w:rPr>
                <w:noProof/>
                <w:webHidden/>
              </w:rPr>
              <w:t>8</w:t>
            </w:r>
            <w:r w:rsidR="00D85A72">
              <w:rPr>
                <w:noProof/>
                <w:webHidden/>
              </w:rPr>
              <w:fldChar w:fldCharType="end"/>
            </w:r>
          </w:hyperlink>
        </w:p>
        <w:p w14:paraId="2951644E" w14:textId="77777777" w:rsidR="00D85A72" w:rsidRDefault="00472622">
          <w:pPr>
            <w:pStyle w:val="TOC2"/>
            <w:tabs>
              <w:tab w:val="right" w:leader="dot" w:pos="9350"/>
            </w:tabs>
            <w:rPr>
              <w:rFonts w:eastAsiaTheme="minorEastAsia"/>
              <w:noProof/>
              <w:lang w:eastAsia="en-AU"/>
            </w:rPr>
          </w:pPr>
          <w:hyperlink w:anchor="_Toc424302601" w:history="1">
            <w:r w:rsidR="00D85A72" w:rsidRPr="008B7E21">
              <w:rPr>
                <w:rStyle w:val="Hyperlink"/>
                <w:iCs/>
                <w:noProof/>
                <w:spacing w:val="15"/>
              </w:rPr>
              <w:t>Quality Assurance</w:t>
            </w:r>
            <w:r w:rsidR="00D85A72">
              <w:rPr>
                <w:noProof/>
                <w:webHidden/>
              </w:rPr>
              <w:tab/>
            </w:r>
            <w:r w:rsidR="00D85A72">
              <w:rPr>
                <w:noProof/>
                <w:webHidden/>
              </w:rPr>
              <w:fldChar w:fldCharType="begin"/>
            </w:r>
            <w:r w:rsidR="00D85A72">
              <w:rPr>
                <w:noProof/>
                <w:webHidden/>
              </w:rPr>
              <w:instrText xml:space="preserve"> PAGEREF _Toc424302601 \h </w:instrText>
            </w:r>
            <w:r w:rsidR="00D85A72">
              <w:rPr>
                <w:noProof/>
                <w:webHidden/>
              </w:rPr>
            </w:r>
            <w:r w:rsidR="00D85A72">
              <w:rPr>
                <w:noProof/>
                <w:webHidden/>
              </w:rPr>
              <w:fldChar w:fldCharType="separate"/>
            </w:r>
            <w:r w:rsidR="00864CB0">
              <w:rPr>
                <w:noProof/>
                <w:webHidden/>
              </w:rPr>
              <w:t>14</w:t>
            </w:r>
            <w:r w:rsidR="00D85A72">
              <w:rPr>
                <w:noProof/>
                <w:webHidden/>
              </w:rPr>
              <w:fldChar w:fldCharType="end"/>
            </w:r>
          </w:hyperlink>
        </w:p>
        <w:p w14:paraId="3281E06D" w14:textId="77777777" w:rsidR="00D85A72" w:rsidRDefault="00472622">
          <w:pPr>
            <w:pStyle w:val="TOC2"/>
            <w:tabs>
              <w:tab w:val="right" w:leader="dot" w:pos="9350"/>
            </w:tabs>
            <w:rPr>
              <w:rFonts w:eastAsiaTheme="minorEastAsia"/>
              <w:noProof/>
              <w:lang w:eastAsia="en-AU"/>
            </w:rPr>
          </w:pPr>
          <w:hyperlink w:anchor="_Toc424302602" w:history="1">
            <w:r w:rsidR="00D85A72" w:rsidRPr="008B7E21">
              <w:rPr>
                <w:rStyle w:val="Hyperlink"/>
                <w:noProof/>
              </w:rPr>
              <w:t>Is PRSF a model?</w:t>
            </w:r>
            <w:r w:rsidR="00D85A72">
              <w:rPr>
                <w:noProof/>
                <w:webHidden/>
              </w:rPr>
              <w:tab/>
            </w:r>
            <w:r w:rsidR="00D85A72">
              <w:rPr>
                <w:noProof/>
                <w:webHidden/>
              </w:rPr>
              <w:fldChar w:fldCharType="begin"/>
            </w:r>
            <w:r w:rsidR="00D85A72">
              <w:rPr>
                <w:noProof/>
                <w:webHidden/>
              </w:rPr>
              <w:instrText xml:space="preserve"> PAGEREF _Toc424302602 \h </w:instrText>
            </w:r>
            <w:r w:rsidR="00D85A72">
              <w:rPr>
                <w:noProof/>
                <w:webHidden/>
              </w:rPr>
            </w:r>
            <w:r w:rsidR="00D85A72">
              <w:rPr>
                <w:noProof/>
                <w:webHidden/>
              </w:rPr>
              <w:fldChar w:fldCharType="separate"/>
            </w:r>
            <w:r w:rsidR="00864CB0">
              <w:rPr>
                <w:noProof/>
                <w:webHidden/>
              </w:rPr>
              <w:t>16</w:t>
            </w:r>
            <w:r w:rsidR="00D85A72">
              <w:rPr>
                <w:noProof/>
                <w:webHidden/>
              </w:rPr>
              <w:fldChar w:fldCharType="end"/>
            </w:r>
          </w:hyperlink>
        </w:p>
        <w:p w14:paraId="3B8B7224" w14:textId="77777777" w:rsidR="00D85A72" w:rsidRDefault="00472622">
          <w:pPr>
            <w:pStyle w:val="TOC1"/>
            <w:tabs>
              <w:tab w:val="right" w:leader="dot" w:pos="9350"/>
            </w:tabs>
            <w:rPr>
              <w:rFonts w:eastAsiaTheme="minorEastAsia"/>
              <w:noProof/>
              <w:lang w:eastAsia="en-AU"/>
            </w:rPr>
          </w:pPr>
          <w:hyperlink w:anchor="_Toc424302603" w:history="1">
            <w:r w:rsidR="00D85A72" w:rsidRPr="008B7E21">
              <w:rPr>
                <w:rStyle w:val="Hyperlink"/>
                <w:noProof/>
                <w:lang w:val="en-GB"/>
              </w:rPr>
              <w:t>Section 2: Was PRSF efficient and effective from both a policy and an operational perspective?</w:t>
            </w:r>
            <w:r w:rsidR="00D85A72">
              <w:rPr>
                <w:noProof/>
                <w:webHidden/>
              </w:rPr>
              <w:tab/>
            </w:r>
            <w:r w:rsidR="00D85A72">
              <w:rPr>
                <w:noProof/>
                <w:webHidden/>
              </w:rPr>
              <w:fldChar w:fldCharType="begin"/>
            </w:r>
            <w:r w:rsidR="00D85A72">
              <w:rPr>
                <w:noProof/>
                <w:webHidden/>
              </w:rPr>
              <w:instrText xml:space="preserve"> PAGEREF _Toc424302603 \h </w:instrText>
            </w:r>
            <w:r w:rsidR="00D85A72">
              <w:rPr>
                <w:noProof/>
                <w:webHidden/>
              </w:rPr>
            </w:r>
            <w:r w:rsidR="00D85A72">
              <w:rPr>
                <w:noProof/>
                <w:webHidden/>
              </w:rPr>
              <w:fldChar w:fldCharType="separate"/>
            </w:r>
            <w:r w:rsidR="00864CB0">
              <w:rPr>
                <w:noProof/>
                <w:webHidden/>
              </w:rPr>
              <w:t>18</w:t>
            </w:r>
            <w:r w:rsidR="00D85A72">
              <w:rPr>
                <w:noProof/>
                <w:webHidden/>
              </w:rPr>
              <w:fldChar w:fldCharType="end"/>
            </w:r>
          </w:hyperlink>
        </w:p>
        <w:p w14:paraId="6FA69FEC" w14:textId="77777777" w:rsidR="00D85A72" w:rsidRDefault="00472622">
          <w:pPr>
            <w:pStyle w:val="TOC2"/>
            <w:tabs>
              <w:tab w:val="right" w:leader="dot" w:pos="9350"/>
            </w:tabs>
            <w:rPr>
              <w:rFonts w:eastAsiaTheme="minorEastAsia"/>
              <w:noProof/>
              <w:lang w:eastAsia="en-AU"/>
            </w:rPr>
          </w:pPr>
          <w:hyperlink w:anchor="_Toc424302604" w:history="1">
            <w:r w:rsidR="00D85A72" w:rsidRPr="008B7E21">
              <w:rPr>
                <w:rStyle w:val="Hyperlink"/>
                <w:noProof/>
                <w:lang w:val="en-GB"/>
              </w:rPr>
              <w:t>What was PRSF’s role in policy outcomes?</w:t>
            </w:r>
            <w:r w:rsidR="00D85A72">
              <w:rPr>
                <w:noProof/>
                <w:webHidden/>
              </w:rPr>
              <w:tab/>
            </w:r>
            <w:r w:rsidR="00D85A72">
              <w:rPr>
                <w:noProof/>
                <w:webHidden/>
              </w:rPr>
              <w:fldChar w:fldCharType="begin"/>
            </w:r>
            <w:r w:rsidR="00D85A72">
              <w:rPr>
                <w:noProof/>
                <w:webHidden/>
              </w:rPr>
              <w:instrText xml:space="preserve"> PAGEREF _Toc424302604 \h </w:instrText>
            </w:r>
            <w:r w:rsidR="00D85A72">
              <w:rPr>
                <w:noProof/>
                <w:webHidden/>
              </w:rPr>
            </w:r>
            <w:r w:rsidR="00D85A72">
              <w:rPr>
                <w:noProof/>
                <w:webHidden/>
              </w:rPr>
              <w:fldChar w:fldCharType="separate"/>
            </w:r>
            <w:r w:rsidR="00864CB0">
              <w:rPr>
                <w:noProof/>
                <w:webHidden/>
              </w:rPr>
              <w:t>18</w:t>
            </w:r>
            <w:r w:rsidR="00D85A72">
              <w:rPr>
                <w:noProof/>
                <w:webHidden/>
              </w:rPr>
              <w:fldChar w:fldCharType="end"/>
            </w:r>
          </w:hyperlink>
        </w:p>
        <w:p w14:paraId="6652208F" w14:textId="77777777" w:rsidR="00D85A72" w:rsidRDefault="00472622">
          <w:pPr>
            <w:pStyle w:val="TOC2"/>
            <w:tabs>
              <w:tab w:val="right" w:leader="dot" w:pos="9350"/>
            </w:tabs>
            <w:rPr>
              <w:rFonts w:eastAsiaTheme="minorEastAsia"/>
              <w:noProof/>
              <w:lang w:eastAsia="en-AU"/>
            </w:rPr>
          </w:pPr>
          <w:hyperlink w:anchor="_Toc424302605" w:history="1">
            <w:r w:rsidR="00D85A72" w:rsidRPr="008B7E21">
              <w:rPr>
                <w:rStyle w:val="Hyperlink"/>
                <w:noProof/>
                <w:lang w:val="en-GB"/>
              </w:rPr>
              <w:t>Was PRSF efficient and effective in its operations?</w:t>
            </w:r>
            <w:r w:rsidR="00D85A72">
              <w:rPr>
                <w:noProof/>
                <w:webHidden/>
              </w:rPr>
              <w:tab/>
            </w:r>
            <w:r w:rsidR="00D85A72">
              <w:rPr>
                <w:noProof/>
                <w:webHidden/>
              </w:rPr>
              <w:fldChar w:fldCharType="begin"/>
            </w:r>
            <w:r w:rsidR="00D85A72">
              <w:rPr>
                <w:noProof/>
                <w:webHidden/>
              </w:rPr>
              <w:instrText xml:space="preserve"> PAGEREF _Toc424302605 \h </w:instrText>
            </w:r>
            <w:r w:rsidR="00D85A72">
              <w:rPr>
                <w:noProof/>
                <w:webHidden/>
              </w:rPr>
            </w:r>
            <w:r w:rsidR="00D85A72">
              <w:rPr>
                <w:noProof/>
                <w:webHidden/>
              </w:rPr>
              <w:fldChar w:fldCharType="separate"/>
            </w:r>
            <w:r w:rsidR="00864CB0">
              <w:rPr>
                <w:noProof/>
                <w:webHidden/>
              </w:rPr>
              <w:t>20</w:t>
            </w:r>
            <w:r w:rsidR="00D85A72">
              <w:rPr>
                <w:noProof/>
                <w:webHidden/>
              </w:rPr>
              <w:fldChar w:fldCharType="end"/>
            </w:r>
          </w:hyperlink>
        </w:p>
        <w:p w14:paraId="77B80981" w14:textId="77777777" w:rsidR="00D85A72" w:rsidRDefault="00472622">
          <w:pPr>
            <w:pStyle w:val="TOC2"/>
            <w:tabs>
              <w:tab w:val="right" w:leader="dot" w:pos="9350"/>
            </w:tabs>
            <w:rPr>
              <w:rFonts w:eastAsiaTheme="minorEastAsia"/>
              <w:noProof/>
              <w:lang w:eastAsia="en-AU"/>
            </w:rPr>
          </w:pPr>
          <w:hyperlink w:anchor="_Toc424302606" w:history="1">
            <w:r w:rsidR="00D85A72" w:rsidRPr="008B7E21">
              <w:rPr>
                <w:rStyle w:val="Hyperlink"/>
                <w:noProof/>
                <w:lang w:val="en-GB"/>
              </w:rPr>
              <w:t>Gender in PRSF</w:t>
            </w:r>
            <w:r w:rsidR="00D85A72">
              <w:rPr>
                <w:noProof/>
                <w:webHidden/>
              </w:rPr>
              <w:tab/>
            </w:r>
            <w:r w:rsidR="00D85A72">
              <w:rPr>
                <w:noProof/>
                <w:webHidden/>
              </w:rPr>
              <w:fldChar w:fldCharType="begin"/>
            </w:r>
            <w:r w:rsidR="00D85A72">
              <w:rPr>
                <w:noProof/>
                <w:webHidden/>
              </w:rPr>
              <w:instrText xml:space="preserve"> PAGEREF _Toc424302606 \h </w:instrText>
            </w:r>
            <w:r w:rsidR="00D85A72">
              <w:rPr>
                <w:noProof/>
                <w:webHidden/>
              </w:rPr>
            </w:r>
            <w:r w:rsidR="00D85A72">
              <w:rPr>
                <w:noProof/>
                <w:webHidden/>
              </w:rPr>
              <w:fldChar w:fldCharType="separate"/>
            </w:r>
            <w:r w:rsidR="00864CB0">
              <w:rPr>
                <w:noProof/>
                <w:webHidden/>
              </w:rPr>
              <w:t>23</w:t>
            </w:r>
            <w:r w:rsidR="00D85A72">
              <w:rPr>
                <w:noProof/>
                <w:webHidden/>
              </w:rPr>
              <w:fldChar w:fldCharType="end"/>
            </w:r>
          </w:hyperlink>
        </w:p>
        <w:p w14:paraId="6A5187DB" w14:textId="77777777" w:rsidR="00D85A72" w:rsidRDefault="00472622">
          <w:pPr>
            <w:pStyle w:val="TOC2"/>
            <w:tabs>
              <w:tab w:val="right" w:leader="dot" w:pos="9350"/>
            </w:tabs>
            <w:rPr>
              <w:rFonts w:eastAsiaTheme="minorEastAsia"/>
              <w:noProof/>
              <w:lang w:eastAsia="en-AU"/>
            </w:rPr>
          </w:pPr>
          <w:hyperlink w:anchor="_Toc424302607" w:history="1">
            <w:r w:rsidR="00D85A72" w:rsidRPr="008B7E21">
              <w:rPr>
                <w:rStyle w:val="Hyperlink"/>
                <w:noProof/>
                <w:lang w:val="en-GB"/>
              </w:rPr>
              <w:t>A strong role for the program management team</w:t>
            </w:r>
            <w:r w:rsidR="00D85A72">
              <w:rPr>
                <w:noProof/>
                <w:webHidden/>
              </w:rPr>
              <w:tab/>
            </w:r>
            <w:r w:rsidR="00D85A72">
              <w:rPr>
                <w:noProof/>
                <w:webHidden/>
              </w:rPr>
              <w:fldChar w:fldCharType="begin"/>
            </w:r>
            <w:r w:rsidR="00D85A72">
              <w:rPr>
                <w:noProof/>
                <w:webHidden/>
              </w:rPr>
              <w:instrText xml:space="preserve"> PAGEREF _Toc424302607 \h </w:instrText>
            </w:r>
            <w:r w:rsidR="00D85A72">
              <w:rPr>
                <w:noProof/>
                <w:webHidden/>
              </w:rPr>
            </w:r>
            <w:r w:rsidR="00D85A72">
              <w:rPr>
                <w:noProof/>
                <w:webHidden/>
              </w:rPr>
              <w:fldChar w:fldCharType="separate"/>
            </w:r>
            <w:r w:rsidR="00864CB0">
              <w:rPr>
                <w:noProof/>
                <w:webHidden/>
              </w:rPr>
              <w:t>26</w:t>
            </w:r>
            <w:r w:rsidR="00D85A72">
              <w:rPr>
                <w:noProof/>
                <w:webHidden/>
              </w:rPr>
              <w:fldChar w:fldCharType="end"/>
            </w:r>
          </w:hyperlink>
        </w:p>
        <w:p w14:paraId="54D5CF46" w14:textId="77777777" w:rsidR="00D85A72" w:rsidRDefault="00472622">
          <w:pPr>
            <w:pStyle w:val="TOC1"/>
            <w:tabs>
              <w:tab w:val="right" w:leader="dot" w:pos="9350"/>
            </w:tabs>
            <w:rPr>
              <w:rFonts w:eastAsiaTheme="minorEastAsia"/>
              <w:noProof/>
              <w:lang w:eastAsia="en-AU"/>
            </w:rPr>
          </w:pPr>
          <w:hyperlink w:anchor="_Toc424302608" w:history="1">
            <w:r w:rsidR="00D85A72" w:rsidRPr="008B7E21">
              <w:rPr>
                <w:rStyle w:val="Hyperlink"/>
                <w:noProof/>
              </w:rPr>
              <w:t>Section 3: Did PRSF facilitate the Australian Government’s engagement in a policy dialogue?</w:t>
            </w:r>
            <w:r w:rsidR="00D85A72">
              <w:rPr>
                <w:noProof/>
                <w:webHidden/>
              </w:rPr>
              <w:tab/>
            </w:r>
            <w:r w:rsidR="00D85A72">
              <w:rPr>
                <w:noProof/>
                <w:webHidden/>
              </w:rPr>
              <w:fldChar w:fldCharType="begin"/>
            </w:r>
            <w:r w:rsidR="00D85A72">
              <w:rPr>
                <w:noProof/>
                <w:webHidden/>
              </w:rPr>
              <w:instrText xml:space="preserve"> PAGEREF _Toc424302608 \h </w:instrText>
            </w:r>
            <w:r w:rsidR="00D85A72">
              <w:rPr>
                <w:noProof/>
                <w:webHidden/>
              </w:rPr>
            </w:r>
            <w:r w:rsidR="00D85A72">
              <w:rPr>
                <w:noProof/>
                <w:webHidden/>
              </w:rPr>
              <w:fldChar w:fldCharType="separate"/>
            </w:r>
            <w:r w:rsidR="00864CB0">
              <w:rPr>
                <w:noProof/>
                <w:webHidden/>
              </w:rPr>
              <w:t>27</w:t>
            </w:r>
            <w:r w:rsidR="00D85A72">
              <w:rPr>
                <w:noProof/>
                <w:webHidden/>
              </w:rPr>
              <w:fldChar w:fldCharType="end"/>
            </w:r>
          </w:hyperlink>
        </w:p>
        <w:p w14:paraId="297D8DCB" w14:textId="77777777" w:rsidR="00D85A72" w:rsidRDefault="00472622">
          <w:pPr>
            <w:pStyle w:val="TOC2"/>
            <w:tabs>
              <w:tab w:val="right" w:leader="dot" w:pos="9350"/>
            </w:tabs>
            <w:rPr>
              <w:rFonts w:eastAsiaTheme="minorEastAsia"/>
              <w:noProof/>
              <w:lang w:eastAsia="en-AU"/>
            </w:rPr>
          </w:pPr>
          <w:hyperlink w:anchor="_Toc424302609" w:history="1">
            <w:r w:rsidR="00D85A72" w:rsidRPr="008B7E21">
              <w:rPr>
                <w:rStyle w:val="Hyperlink"/>
                <w:noProof/>
              </w:rPr>
              <w:t>Did the PRSF facilitate a deeper policy engagement between Australia and Indonesia?</w:t>
            </w:r>
            <w:r w:rsidR="00D85A72">
              <w:rPr>
                <w:noProof/>
                <w:webHidden/>
              </w:rPr>
              <w:tab/>
            </w:r>
            <w:r w:rsidR="00D85A72">
              <w:rPr>
                <w:noProof/>
                <w:webHidden/>
              </w:rPr>
              <w:fldChar w:fldCharType="begin"/>
            </w:r>
            <w:r w:rsidR="00D85A72">
              <w:rPr>
                <w:noProof/>
                <w:webHidden/>
              </w:rPr>
              <w:instrText xml:space="preserve"> PAGEREF _Toc424302609 \h </w:instrText>
            </w:r>
            <w:r w:rsidR="00D85A72">
              <w:rPr>
                <w:noProof/>
                <w:webHidden/>
              </w:rPr>
            </w:r>
            <w:r w:rsidR="00D85A72">
              <w:rPr>
                <w:noProof/>
                <w:webHidden/>
              </w:rPr>
              <w:fldChar w:fldCharType="separate"/>
            </w:r>
            <w:r w:rsidR="00864CB0">
              <w:rPr>
                <w:noProof/>
                <w:webHidden/>
              </w:rPr>
              <w:t>27</w:t>
            </w:r>
            <w:r w:rsidR="00D85A72">
              <w:rPr>
                <w:noProof/>
                <w:webHidden/>
              </w:rPr>
              <w:fldChar w:fldCharType="end"/>
            </w:r>
          </w:hyperlink>
        </w:p>
        <w:p w14:paraId="50B564A9" w14:textId="77777777" w:rsidR="00D85A72" w:rsidRDefault="00472622">
          <w:pPr>
            <w:pStyle w:val="TOC2"/>
            <w:tabs>
              <w:tab w:val="right" w:leader="dot" w:pos="9350"/>
            </w:tabs>
            <w:rPr>
              <w:rFonts w:eastAsiaTheme="minorEastAsia"/>
              <w:noProof/>
              <w:lang w:eastAsia="en-AU"/>
            </w:rPr>
          </w:pPr>
          <w:hyperlink w:anchor="_Toc424302610" w:history="1">
            <w:r w:rsidR="00D85A72" w:rsidRPr="008B7E21">
              <w:rPr>
                <w:rStyle w:val="Hyperlink"/>
                <w:noProof/>
              </w:rPr>
              <w:t>Were the opportunities for policy engagement realised?</w:t>
            </w:r>
            <w:r w:rsidR="00D85A72">
              <w:rPr>
                <w:noProof/>
                <w:webHidden/>
              </w:rPr>
              <w:tab/>
            </w:r>
            <w:r w:rsidR="00D85A72">
              <w:rPr>
                <w:noProof/>
                <w:webHidden/>
              </w:rPr>
              <w:fldChar w:fldCharType="begin"/>
            </w:r>
            <w:r w:rsidR="00D85A72">
              <w:rPr>
                <w:noProof/>
                <w:webHidden/>
              </w:rPr>
              <w:instrText xml:space="preserve"> PAGEREF _Toc424302610 \h </w:instrText>
            </w:r>
            <w:r w:rsidR="00D85A72">
              <w:rPr>
                <w:noProof/>
                <w:webHidden/>
              </w:rPr>
            </w:r>
            <w:r w:rsidR="00D85A72">
              <w:rPr>
                <w:noProof/>
                <w:webHidden/>
              </w:rPr>
              <w:fldChar w:fldCharType="separate"/>
            </w:r>
            <w:r w:rsidR="00864CB0">
              <w:rPr>
                <w:noProof/>
                <w:webHidden/>
              </w:rPr>
              <w:t>28</w:t>
            </w:r>
            <w:r w:rsidR="00D85A72">
              <w:rPr>
                <w:noProof/>
                <w:webHidden/>
              </w:rPr>
              <w:fldChar w:fldCharType="end"/>
            </w:r>
          </w:hyperlink>
        </w:p>
        <w:p w14:paraId="59E37EE9" w14:textId="77777777" w:rsidR="00D85A72" w:rsidRDefault="00472622">
          <w:pPr>
            <w:pStyle w:val="TOC1"/>
            <w:tabs>
              <w:tab w:val="right" w:leader="dot" w:pos="9350"/>
            </w:tabs>
            <w:rPr>
              <w:rFonts w:eastAsiaTheme="minorEastAsia"/>
              <w:noProof/>
              <w:lang w:eastAsia="en-AU"/>
            </w:rPr>
          </w:pPr>
          <w:hyperlink w:anchor="_Toc424302611" w:history="1">
            <w:r w:rsidR="00D85A72" w:rsidRPr="008B7E21">
              <w:rPr>
                <w:rStyle w:val="Hyperlink"/>
                <w:noProof/>
              </w:rPr>
              <w:t>Section 4: What are the lessons from PRSF?</w:t>
            </w:r>
            <w:r w:rsidR="00D85A72">
              <w:rPr>
                <w:noProof/>
                <w:webHidden/>
              </w:rPr>
              <w:tab/>
            </w:r>
            <w:r w:rsidR="00D85A72">
              <w:rPr>
                <w:noProof/>
                <w:webHidden/>
              </w:rPr>
              <w:fldChar w:fldCharType="begin"/>
            </w:r>
            <w:r w:rsidR="00D85A72">
              <w:rPr>
                <w:noProof/>
                <w:webHidden/>
              </w:rPr>
              <w:instrText xml:space="preserve"> PAGEREF _Toc424302611 \h </w:instrText>
            </w:r>
            <w:r w:rsidR="00D85A72">
              <w:rPr>
                <w:noProof/>
                <w:webHidden/>
              </w:rPr>
            </w:r>
            <w:r w:rsidR="00D85A72">
              <w:rPr>
                <w:noProof/>
                <w:webHidden/>
              </w:rPr>
              <w:fldChar w:fldCharType="separate"/>
            </w:r>
            <w:r w:rsidR="00864CB0">
              <w:rPr>
                <w:noProof/>
                <w:webHidden/>
              </w:rPr>
              <w:t>30</w:t>
            </w:r>
            <w:r w:rsidR="00D85A72">
              <w:rPr>
                <w:noProof/>
                <w:webHidden/>
              </w:rPr>
              <w:fldChar w:fldCharType="end"/>
            </w:r>
          </w:hyperlink>
        </w:p>
        <w:p w14:paraId="0788907B" w14:textId="77777777" w:rsidR="00D85A72" w:rsidRDefault="00472622">
          <w:pPr>
            <w:pStyle w:val="TOC2"/>
            <w:tabs>
              <w:tab w:val="right" w:leader="dot" w:pos="9350"/>
            </w:tabs>
            <w:rPr>
              <w:rFonts w:eastAsiaTheme="minorEastAsia"/>
              <w:noProof/>
              <w:lang w:eastAsia="en-AU"/>
            </w:rPr>
          </w:pPr>
          <w:hyperlink w:anchor="_Toc424302612" w:history="1">
            <w:r w:rsidR="00D85A72" w:rsidRPr="008B7E21">
              <w:rPr>
                <w:rStyle w:val="Hyperlink"/>
                <w:noProof/>
              </w:rPr>
              <w:t>Looking forward – Key messages for future cooperation and partnership</w:t>
            </w:r>
            <w:r w:rsidR="00D85A72">
              <w:rPr>
                <w:noProof/>
                <w:webHidden/>
              </w:rPr>
              <w:tab/>
            </w:r>
            <w:r w:rsidR="00D85A72">
              <w:rPr>
                <w:noProof/>
                <w:webHidden/>
              </w:rPr>
              <w:fldChar w:fldCharType="begin"/>
            </w:r>
            <w:r w:rsidR="00D85A72">
              <w:rPr>
                <w:noProof/>
                <w:webHidden/>
              </w:rPr>
              <w:instrText xml:space="preserve"> PAGEREF _Toc424302612 \h </w:instrText>
            </w:r>
            <w:r w:rsidR="00D85A72">
              <w:rPr>
                <w:noProof/>
                <w:webHidden/>
              </w:rPr>
            </w:r>
            <w:r w:rsidR="00D85A72">
              <w:rPr>
                <w:noProof/>
                <w:webHidden/>
              </w:rPr>
              <w:fldChar w:fldCharType="separate"/>
            </w:r>
            <w:r w:rsidR="00864CB0">
              <w:rPr>
                <w:noProof/>
                <w:webHidden/>
              </w:rPr>
              <w:t>30</w:t>
            </w:r>
            <w:r w:rsidR="00D85A72">
              <w:rPr>
                <w:noProof/>
                <w:webHidden/>
              </w:rPr>
              <w:fldChar w:fldCharType="end"/>
            </w:r>
          </w:hyperlink>
        </w:p>
        <w:p w14:paraId="1D1B7E60" w14:textId="77777777" w:rsidR="00D85A72" w:rsidRDefault="00472622">
          <w:pPr>
            <w:pStyle w:val="TOC1"/>
            <w:tabs>
              <w:tab w:val="right" w:leader="dot" w:pos="9350"/>
            </w:tabs>
            <w:rPr>
              <w:rFonts w:eastAsiaTheme="minorEastAsia"/>
              <w:noProof/>
              <w:lang w:eastAsia="en-AU"/>
            </w:rPr>
          </w:pPr>
          <w:hyperlink w:anchor="_Toc424302613" w:history="1">
            <w:r w:rsidR="00D85A72" w:rsidRPr="008B7E21">
              <w:rPr>
                <w:rStyle w:val="Hyperlink"/>
                <w:noProof/>
              </w:rPr>
              <w:t xml:space="preserve">Annex 1: </w:t>
            </w:r>
            <w:r w:rsidR="00D85A72" w:rsidRPr="008B7E21">
              <w:rPr>
                <w:rStyle w:val="Hyperlink"/>
                <w:noProof/>
                <w:lang w:val="en-GB"/>
              </w:rPr>
              <w:t>PRSF – Value for Money of DFAT’s investment</w:t>
            </w:r>
            <w:r w:rsidR="00D85A72">
              <w:rPr>
                <w:noProof/>
                <w:webHidden/>
              </w:rPr>
              <w:tab/>
            </w:r>
            <w:r w:rsidR="00D85A72">
              <w:rPr>
                <w:noProof/>
                <w:webHidden/>
              </w:rPr>
              <w:fldChar w:fldCharType="begin"/>
            </w:r>
            <w:r w:rsidR="00D85A72">
              <w:rPr>
                <w:noProof/>
                <w:webHidden/>
              </w:rPr>
              <w:instrText xml:space="preserve"> PAGEREF _Toc424302613 \h </w:instrText>
            </w:r>
            <w:r w:rsidR="00D85A72">
              <w:rPr>
                <w:noProof/>
                <w:webHidden/>
              </w:rPr>
            </w:r>
            <w:r w:rsidR="00D85A72">
              <w:rPr>
                <w:noProof/>
                <w:webHidden/>
              </w:rPr>
              <w:fldChar w:fldCharType="separate"/>
            </w:r>
            <w:r w:rsidR="00864CB0">
              <w:rPr>
                <w:noProof/>
                <w:webHidden/>
              </w:rPr>
              <w:t>33</w:t>
            </w:r>
            <w:r w:rsidR="00D85A72">
              <w:rPr>
                <w:noProof/>
                <w:webHidden/>
              </w:rPr>
              <w:fldChar w:fldCharType="end"/>
            </w:r>
          </w:hyperlink>
        </w:p>
        <w:p w14:paraId="42CBEB7D" w14:textId="77777777" w:rsidR="00D85A72" w:rsidRDefault="00472622">
          <w:pPr>
            <w:pStyle w:val="TOC1"/>
            <w:tabs>
              <w:tab w:val="right" w:leader="dot" w:pos="9350"/>
            </w:tabs>
            <w:rPr>
              <w:rFonts w:eastAsiaTheme="minorEastAsia"/>
              <w:noProof/>
              <w:lang w:eastAsia="en-AU"/>
            </w:rPr>
          </w:pPr>
          <w:hyperlink w:anchor="_Toc424302614" w:history="1">
            <w:r w:rsidR="00D85A72" w:rsidRPr="008B7E21">
              <w:rPr>
                <w:rStyle w:val="Hyperlink"/>
                <w:noProof/>
              </w:rPr>
              <w:t>Annex 2: List of people interviewed for the ICR</w:t>
            </w:r>
            <w:r w:rsidR="00D85A72">
              <w:rPr>
                <w:noProof/>
                <w:webHidden/>
              </w:rPr>
              <w:tab/>
            </w:r>
            <w:r w:rsidR="00D85A72">
              <w:rPr>
                <w:noProof/>
                <w:webHidden/>
              </w:rPr>
              <w:fldChar w:fldCharType="begin"/>
            </w:r>
            <w:r w:rsidR="00D85A72">
              <w:rPr>
                <w:noProof/>
                <w:webHidden/>
              </w:rPr>
              <w:instrText xml:space="preserve"> PAGEREF _Toc424302614 \h </w:instrText>
            </w:r>
            <w:r w:rsidR="00D85A72">
              <w:rPr>
                <w:noProof/>
                <w:webHidden/>
              </w:rPr>
            </w:r>
            <w:r w:rsidR="00D85A72">
              <w:rPr>
                <w:noProof/>
                <w:webHidden/>
              </w:rPr>
              <w:fldChar w:fldCharType="separate"/>
            </w:r>
            <w:r w:rsidR="00864CB0">
              <w:rPr>
                <w:noProof/>
                <w:webHidden/>
              </w:rPr>
              <w:t>35</w:t>
            </w:r>
            <w:r w:rsidR="00D85A72">
              <w:rPr>
                <w:noProof/>
                <w:webHidden/>
              </w:rPr>
              <w:fldChar w:fldCharType="end"/>
            </w:r>
          </w:hyperlink>
        </w:p>
        <w:p w14:paraId="281FA617" w14:textId="77777777" w:rsidR="003D4131" w:rsidRDefault="003D4131" w:rsidP="003D4131">
          <w:pPr>
            <w:rPr>
              <w:noProof/>
            </w:rPr>
          </w:pPr>
          <w:r>
            <w:rPr>
              <w:b/>
              <w:bCs/>
              <w:noProof/>
            </w:rPr>
            <w:fldChar w:fldCharType="end"/>
          </w:r>
        </w:p>
      </w:sdtContent>
    </w:sdt>
    <w:p w14:paraId="01CEF93C" w14:textId="77777777" w:rsidR="003D4131" w:rsidRDefault="003D4131" w:rsidP="00091564">
      <w:pPr>
        <w:sectPr w:rsidR="003D4131">
          <w:pgSz w:w="12240" w:h="15840"/>
          <w:pgMar w:top="1440" w:right="1440" w:bottom="1440" w:left="1440" w:header="720" w:footer="720" w:gutter="0"/>
          <w:cols w:space="720"/>
          <w:docGrid w:linePitch="360"/>
        </w:sectPr>
      </w:pPr>
    </w:p>
    <w:p w14:paraId="5ECBA334" w14:textId="3C1CA603" w:rsidR="00AE17C3" w:rsidRPr="003D4131" w:rsidRDefault="00AE17C3" w:rsidP="003D4131">
      <w:pPr>
        <w:rPr>
          <w:rFonts w:asciiTheme="majorHAnsi" w:hAnsiTheme="majorHAnsi"/>
          <w:b/>
          <w:color w:val="365F91" w:themeColor="accent1" w:themeShade="BF"/>
          <w:sz w:val="28"/>
          <w:szCs w:val="28"/>
        </w:rPr>
      </w:pPr>
      <w:r w:rsidRPr="003D4131">
        <w:rPr>
          <w:rFonts w:asciiTheme="majorHAnsi" w:hAnsiTheme="majorHAnsi"/>
          <w:b/>
          <w:color w:val="365F91" w:themeColor="accent1" w:themeShade="BF"/>
          <w:sz w:val="28"/>
          <w:szCs w:val="28"/>
        </w:rPr>
        <w:lastRenderedPageBreak/>
        <w:t>Executive Summary</w:t>
      </w:r>
    </w:p>
    <w:p w14:paraId="4540F0C9" w14:textId="1FCED94A" w:rsidR="005B0186" w:rsidRDefault="005B0186" w:rsidP="005B0186">
      <w:pPr>
        <w:spacing w:before="120" w:after="120"/>
      </w:pPr>
      <w:r>
        <w:t>Despite the risks and the inherently political operating environment PRSF has been an unqualified success. Every stakeh</w:t>
      </w:r>
      <w:r w:rsidR="009F622D">
        <w:t>older in every context expressed the view</w:t>
      </w:r>
      <w:r>
        <w:t xml:space="preserve"> that the flexibility and responsiveness of PRSF was in fact the ideal way to support the strong ownership and clear agenda set out by the Vice President. While there was little clarity early on in the li</w:t>
      </w:r>
      <w:r w:rsidR="008169DE">
        <w:t>fe of TNP2K,</w:t>
      </w:r>
      <w:r>
        <w:t xml:space="preserve"> strong leadership by the Vice President and the TNP2K Secretariat has brought the necessary direction and purpose to the program. </w:t>
      </w:r>
    </w:p>
    <w:p w14:paraId="67622243" w14:textId="77777777" w:rsidR="005B0186" w:rsidRDefault="005B0186" w:rsidP="005B0186">
      <w:pPr>
        <w:spacing w:before="120" w:after="120"/>
      </w:pPr>
      <w:r>
        <w:t xml:space="preserve">TNP2K has achieved many of its objectives and in the view of the former Vice President met all of his expectations. Since Australia funded virtually all of TNP2K’s activities, as well as establishing PRSF to provide support services, </w:t>
      </w:r>
      <w:r w:rsidR="008169DE">
        <w:t>Australia shares in the success</w:t>
      </w:r>
      <w:r>
        <w:t xml:space="preserve">. While </w:t>
      </w:r>
      <w:r w:rsidR="008169DE">
        <w:t xml:space="preserve">the leadership was </w:t>
      </w:r>
      <w:r>
        <w:t>provided by the very high calibre staff of TNP2K, it is self-evident that none of it could have been achieved without Australia’s support through the PRSF. As noted by the Executive Secretary of TNP2K at the lessons learned workshop</w:t>
      </w:r>
      <w:r w:rsidR="0002403E">
        <w:t xml:space="preserve"> in April 2015</w:t>
      </w:r>
      <w:r>
        <w:t>, the fact that Australia trusted Indonesia</w:t>
      </w:r>
      <w:r w:rsidR="0002403E">
        <w:t xml:space="preserve"> to manage this program was a very important factor in the program’s success</w:t>
      </w:r>
      <w:r>
        <w:t xml:space="preserve">. </w:t>
      </w:r>
    </w:p>
    <w:p w14:paraId="3AC95CFA" w14:textId="14BF56E9" w:rsidR="005B0186" w:rsidRDefault="005B0186" w:rsidP="005B0186">
      <w:r>
        <w:t>PRSF has provided high quality and timely support.  There have been the inevitable up</w:t>
      </w:r>
      <w:r w:rsidR="008169DE">
        <w:t>s and downs over the life of the facility</w:t>
      </w:r>
      <w:r>
        <w:t>, but most importantly at the end of th</w:t>
      </w:r>
      <w:r w:rsidR="008169DE">
        <w:t xml:space="preserve">is phase </w:t>
      </w:r>
      <w:r>
        <w:t>there is considerable trust between the partners</w:t>
      </w:r>
      <w:r w:rsidR="008169DE">
        <w:t>;</w:t>
      </w:r>
      <w:r>
        <w:t xml:space="preserve"> TNP2K, </w:t>
      </w:r>
      <w:r w:rsidR="008169DE">
        <w:t>the A</w:t>
      </w:r>
      <w:r>
        <w:t xml:space="preserve">ustralian Embassy and PRSF. Given the political nature of the program compromises have had to be made. First, and most crucially, the Australian Government has been clear that the policy authority for the program lies with the Government and the TNP2K Secretariat, while the function of PRSF is to support TNP2K and provide quality assurance for activities. PRSF has been required to contract and administer staff and resources over which it has little effective control, while at the same time meeting its responsibilities for accountability under the contract with the Australian Government. There is a very natural and unavoidable tension in PRSF having two masters and the </w:t>
      </w:r>
      <w:r w:rsidR="008169DE">
        <w:t xml:space="preserve">partnership </w:t>
      </w:r>
      <w:r>
        <w:t>approach from all parties has made this work. That in itself raises the question whether this is a “model” or if it is a one off and only works beca</w:t>
      </w:r>
      <w:r w:rsidR="009F622D">
        <w:t>use of the individuals involved.</w:t>
      </w:r>
      <w:r>
        <w:t xml:space="preserve"> On balance </w:t>
      </w:r>
      <w:r w:rsidR="0002403E">
        <w:t xml:space="preserve">TNP2K / PRSF </w:t>
      </w:r>
      <w:r>
        <w:t xml:space="preserve">is </w:t>
      </w:r>
      <w:r w:rsidR="0002403E">
        <w:t xml:space="preserve">not a model that can readily be copied, but </w:t>
      </w:r>
      <w:r>
        <w:t xml:space="preserve">the principles </w:t>
      </w:r>
      <w:r w:rsidR="0002403E">
        <w:t xml:space="preserve">of the engagement </w:t>
      </w:r>
      <w:r>
        <w:t>are worth capturing and trying to graft on to future programs.</w:t>
      </w:r>
    </w:p>
    <w:p w14:paraId="5A00A73B" w14:textId="77777777" w:rsidR="005B0186" w:rsidRDefault="005B0186" w:rsidP="005B0186">
      <w:r>
        <w:t xml:space="preserve">PRSF represents good value for money for the Australian Government.  </w:t>
      </w:r>
      <w:r w:rsidR="0002403E">
        <w:t>A</w:t>
      </w:r>
      <w:r>
        <w:t xml:space="preserve">nalysis done by PRSF on the </w:t>
      </w:r>
      <w:r w:rsidR="0002403E">
        <w:t>four</w:t>
      </w:r>
      <w:r>
        <w:t xml:space="preserve"> </w:t>
      </w:r>
      <w:r w:rsidR="0002403E">
        <w:t xml:space="preserve">key </w:t>
      </w:r>
      <w:r>
        <w:t xml:space="preserve">national </w:t>
      </w:r>
      <w:r w:rsidR="008169DE">
        <w:t xml:space="preserve">poverty </w:t>
      </w:r>
      <w:r>
        <w:t>programs</w:t>
      </w:r>
      <w:r w:rsidR="008169DE">
        <w:t xml:space="preserve"> </w:t>
      </w:r>
      <w:r>
        <w:t>indicate</w:t>
      </w:r>
      <w:r w:rsidR="0002403E">
        <w:t>s</w:t>
      </w:r>
      <w:r>
        <w:t xml:space="preserve"> that there </w:t>
      </w:r>
      <w:r w:rsidR="008169DE">
        <w:t xml:space="preserve">has been </w:t>
      </w:r>
      <w:r>
        <w:t xml:space="preserve">a </w:t>
      </w:r>
      <w:r w:rsidR="008169DE">
        <w:t xml:space="preserve">very </w:t>
      </w:r>
      <w:r>
        <w:t>high return for investment on interventions</w:t>
      </w:r>
      <w:r w:rsidR="0002403E">
        <w:t xml:space="preserve"> by TNP2K with support from PRSF</w:t>
      </w:r>
      <w:r>
        <w:t xml:space="preserve">. </w:t>
      </w:r>
      <w:r w:rsidR="0002403E">
        <w:t>T</w:t>
      </w:r>
      <w:r>
        <w:t xml:space="preserve">hese results show that benefits to the poor have been real and measurable. </w:t>
      </w:r>
    </w:p>
    <w:p w14:paraId="661C560D" w14:textId="77777777" w:rsidR="00DB5726" w:rsidRDefault="008169DE">
      <w:r>
        <w:t xml:space="preserve">Sustainability remains an issue. </w:t>
      </w:r>
      <w:r w:rsidR="005B0186">
        <w:t xml:space="preserve">TNP2K is not a structural part of the Government </w:t>
      </w:r>
      <w:r w:rsidR="0002403E">
        <w:t xml:space="preserve">and </w:t>
      </w:r>
      <w:r w:rsidR="005B0186">
        <w:t xml:space="preserve">many of its functions cannot be transferred to a line ministry right now, and maybe not for some years. The budget </w:t>
      </w:r>
      <w:r w:rsidR="0002403E">
        <w:t xml:space="preserve">for TNP2K / PRSF </w:t>
      </w:r>
      <w:r>
        <w:t xml:space="preserve">in the first phase </w:t>
      </w:r>
      <w:r w:rsidR="005B0186">
        <w:t xml:space="preserve">was also generous. PRSF started during </w:t>
      </w:r>
      <w:r w:rsidR="0002403E">
        <w:t xml:space="preserve">an </w:t>
      </w:r>
      <w:r w:rsidR="005B0186">
        <w:t xml:space="preserve">unprecedented growth phase of the Australian program in Indonesia. Essentially, every activity was gold plated and there was very little need to prioritise. That will </w:t>
      </w:r>
      <w:r w:rsidR="0002403E">
        <w:t xml:space="preserve">have to </w:t>
      </w:r>
      <w:r w:rsidR="005B0186">
        <w:t>change in the future as the budget is lower. It is a key question for the next phase of support – how much of the success of TNP2K was about the better use of evidence in policy, and how much was the ability to follow through and in some cases support the implementation of policy changes in line ministries</w:t>
      </w:r>
      <w:r w:rsidR="0002403E">
        <w:t>?</w:t>
      </w:r>
      <w:r>
        <w:t xml:space="preserve"> </w:t>
      </w:r>
      <w:r w:rsidR="0002403E">
        <w:t xml:space="preserve"> It is clear a significant activity budget for TNP2K is important. </w:t>
      </w:r>
      <w:r>
        <w:t>More investment by</w:t>
      </w:r>
      <w:r w:rsidR="0002403E">
        <w:t xml:space="preserve"> the Government of Indonesia will also be needed in </w:t>
      </w:r>
      <w:r w:rsidR="00870CE0">
        <w:t xml:space="preserve">a </w:t>
      </w:r>
      <w:r w:rsidR="0002403E">
        <w:t>future program</w:t>
      </w:r>
      <w:r>
        <w:t>.</w:t>
      </w:r>
      <w:r w:rsidR="00DB5726">
        <w:br w:type="page"/>
      </w:r>
    </w:p>
    <w:p w14:paraId="681E25D5" w14:textId="77777777" w:rsidR="00DB5726" w:rsidRDefault="00DB5726" w:rsidP="00465176">
      <w:pPr>
        <w:pStyle w:val="Heading1"/>
        <w:spacing w:before="120" w:after="120"/>
      </w:pPr>
      <w:bookmarkStart w:id="1" w:name="_Toc424302589"/>
      <w:r>
        <w:lastRenderedPageBreak/>
        <w:t>Introduction</w:t>
      </w:r>
      <w:bookmarkEnd w:id="1"/>
      <w:r>
        <w:t xml:space="preserve"> </w:t>
      </w:r>
    </w:p>
    <w:p w14:paraId="679E58E8" w14:textId="77777777" w:rsidR="00DB5726" w:rsidRDefault="00DB5726" w:rsidP="00DB5726">
      <w:r>
        <w:t xml:space="preserve">The Poverty Reduction Support Facility </w:t>
      </w:r>
      <w:r w:rsidR="0041783A">
        <w:t xml:space="preserve">(PRSF) </w:t>
      </w:r>
      <w:r>
        <w:t xml:space="preserve">represents an innovative and in some ways risky undertaking for the Australian Government in Indonesia. It was conceived in the wake of the election of the second administration of President </w:t>
      </w:r>
      <w:proofErr w:type="spellStart"/>
      <w:r>
        <w:t>Yudhoyono</w:t>
      </w:r>
      <w:proofErr w:type="spellEnd"/>
      <w:r>
        <w:t xml:space="preserve"> and </w:t>
      </w:r>
      <w:r w:rsidR="0041783A">
        <w:t>under the direct authority of</w:t>
      </w:r>
      <w:r>
        <w:t xml:space="preserve"> Vice President</w:t>
      </w:r>
      <w:r w:rsidR="0041783A">
        <w:t xml:space="preserve"> </w:t>
      </w:r>
      <w:proofErr w:type="spellStart"/>
      <w:r w:rsidR="0041783A">
        <w:t>Boediono</w:t>
      </w:r>
      <w:proofErr w:type="spellEnd"/>
      <w:r>
        <w:t>. While this high level of ownership within the Government of Indonesia represented a unique opportunity for policy innovation, it was also high profile and therefore risky should it fail to achieve its objectives.</w:t>
      </w:r>
      <w:r w:rsidR="0046649D">
        <w:t xml:space="preserve"> The Vice President while well known to Australia was not part of mainstream politics and the office he established</w:t>
      </w:r>
      <w:r w:rsidR="009F084A">
        <w:t>,</w:t>
      </w:r>
      <w:r w:rsidR="0046649D">
        <w:t xml:space="preserve"> </w:t>
      </w:r>
      <w:r w:rsidR="000D14EA" w:rsidRPr="00603EF1">
        <w:rPr>
          <w:rFonts w:cs="Calibri"/>
          <w:color w:val="000000" w:themeColor="text1"/>
        </w:rPr>
        <w:t>the National Team for the Acceleration of Poverty Reduction (</w:t>
      </w:r>
      <w:r w:rsidR="000D14EA" w:rsidRPr="00603EF1">
        <w:rPr>
          <w:rFonts w:cs="Calibri"/>
          <w:i/>
          <w:color w:val="000000" w:themeColor="text1"/>
        </w:rPr>
        <w:t xml:space="preserve">Tim </w:t>
      </w:r>
      <w:proofErr w:type="spellStart"/>
      <w:r w:rsidR="000D14EA" w:rsidRPr="00603EF1">
        <w:rPr>
          <w:rFonts w:cs="Calibri"/>
          <w:i/>
          <w:color w:val="000000" w:themeColor="text1"/>
        </w:rPr>
        <w:t>Nasional</w:t>
      </w:r>
      <w:proofErr w:type="spellEnd"/>
      <w:r w:rsidR="000D14EA" w:rsidRPr="00603EF1">
        <w:rPr>
          <w:rFonts w:cs="Calibri"/>
          <w:i/>
          <w:color w:val="000000" w:themeColor="text1"/>
        </w:rPr>
        <w:t xml:space="preserve"> </w:t>
      </w:r>
      <w:proofErr w:type="spellStart"/>
      <w:r w:rsidR="000D14EA" w:rsidRPr="00603EF1">
        <w:rPr>
          <w:rFonts w:cs="Calibri"/>
          <w:i/>
          <w:color w:val="000000" w:themeColor="text1"/>
        </w:rPr>
        <w:t>Percepatan</w:t>
      </w:r>
      <w:proofErr w:type="spellEnd"/>
      <w:r w:rsidR="000D14EA" w:rsidRPr="00603EF1">
        <w:rPr>
          <w:rFonts w:cs="Calibri"/>
          <w:i/>
          <w:color w:val="000000" w:themeColor="text1"/>
        </w:rPr>
        <w:t xml:space="preserve"> </w:t>
      </w:r>
      <w:proofErr w:type="spellStart"/>
      <w:r w:rsidR="000D14EA" w:rsidRPr="00603EF1">
        <w:rPr>
          <w:rFonts w:cs="Calibri"/>
          <w:i/>
          <w:color w:val="000000" w:themeColor="text1"/>
        </w:rPr>
        <w:t>Penanggulangan</w:t>
      </w:r>
      <w:proofErr w:type="spellEnd"/>
      <w:r w:rsidR="000D14EA" w:rsidRPr="00603EF1">
        <w:rPr>
          <w:rFonts w:cs="Calibri"/>
          <w:i/>
          <w:color w:val="000000" w:themeColor="text1"/>
        </w:rPr>
        <w:t xml:space="preserve"> </w:t>
      </w:r>
      <w:proofErr w:type="spellStart"/>
      <w:r w:rsidR="000D14EA" w:rsidRPr="00603EF1">
        <w:rPr>
          <w:rFonts w:cs="Calibri"/>
          <w:i/>
          <w:color w:val="000000" w:themeColor="text1"/>
        </w:rPr>
        <w:t>Kemiskinan</w:t>
      </w:r>
      <w:proofErr w:type="spellEnd"/>
      <w:r w:rsidR="0041783A">
        <w:rPr>
          <w:rFonts w:cs="Calibri"/>
          <w:color w:val="000000" w:themeColor="text1"/>
        </w:rPr>
        <w:t xml:space="preserve"> or T</w:t>
      </w:r>
      <w:r w:rsidR="0046649D">
        <w:t>NP2K</w:t>
      </w:r>
      <w:r w:rsidR="0041783A">
        <w:t>)</w:t>
      </w:r>
      <w:r w:rsidR="009F084A">
        <w:t>,</w:t>
      </w:r>
      <w:r w:rsidR="0046649D">
        <w:t xml:space="preserve"> was outside the formal structure of Government. Nothing like this had been tried before. There was in a sense, no model to follow.</w:t>
      </w:r>
    </w:p>
    <w:p w14:paraId="40C5B823" w14:textId="77777777" w:rsidR="00DB5726" w:rsidRDefault="00DB5726" w:rsidP="00DB5726">
      <w:r>
        <w:t xml:space="preserve">Now in 2015 with the election of a new Administration and a new Vice President, the Australian Government must again assess the pros and cons of providing flexible and high profile support to </w:t>
      </w:r>
      <w:r w:rsidR="00332B84">
        <w:t xml:space="preserve">the national </w:t>
      </w:r>
      <w:r>
        <w:t>poverty reduction programs. The new Government is still establishing its policy platform and institutional structures, presenting some challenges for the Australian Government in providing appropriate support.</w:t>
      </w:r>
    </w:p>
    <w:p w14:paraId="7C35FA37" w14:textId="77777777" w:rsidR="00DB5726" w:rsidRDefault="00DB5726" w:rsidP="00DB5726">
      <w:pPr>
        <w:spacing w:before="120" w:after="120"/>
      </w:pPr>
      <w:r>
        <w:t>This review is intended to achieve two goals:</w:t>
      </w:r>
    </w:p>
    <w:p w14:paraId="3DCD1893" w14:textId="77777777" w:rsidR="00DB5726" w:rsidRPr="00ED2350" w:rsidRDefault="00DB5726" w:rsidP="0041783A">
      <w:pPr>
        <w:pStyle w:val="ListParagraph"/>
        <w:numPr>
          <w:ilvl w:val="0"/>
          <w:numId w:val="11"/>
        </w:numPr>
        <w:spacing w:line="360" w:lineRule="auto"/>
      </w:pPr>
      <w:r w:rsidRPr="00ED2350">
        <w:t xml:space="preserve">To capture the story of PRSF and in particular its contribution to the work of TNP2K; and </w:t>
      </w:r>
    </w:p>
    <w:p w14:paraId="00349E57" w14:textId="77777777" w:rsidR="00DB5726" w:rsidRPr="00ED2350" w:rsidRDefault="00DB5726" w:rsidP="0041783A">
      <w:pPr>
        <w:pStyle w:val="ListParagraph"/>
        <w:numPr>
          <w:ilvl w:val="0"/>
          <w:numId w:val="11"/>
        </w:numPr>
        <w:spacing w:before="120" w:after="120"/>
      </w:pPr>
      <w:r w:rsidRPr="00ED2350">
        <w:t>To provide some “lessons learned” to the Australia</w:t>
      </w:r>
      <w:r>
        <w:t>n Government in implementing a</w:t>
      </w:r>
      <w:r w:rsidR="0041783A">
        <w:t xml:space="preserve"> new program of support</w:t>
      </w:r>
      <w:r w:rsidRPr="00ED2350">
        <w:t>.</w:t>
      </w:r>
    </w:p>
    <w:p w14:paraId="7DAB2866" w14:textId="77777777" w:rsidR="00DB5726" w:rsidRPr="00B71B5A" w:rsidRDefault="00DB5726" w:rsidP="0041783A">
      <w:pPr>
        <w:pStyle w:val="Heading2"/>
        <w:spacing w:before="120" w:after="120"/>
        <w:rPr>
          <w:rStyle w:val="Strong"/>
        </w:rPr>
      </w:pPr>
      <w:bookmarkStart w:id="2" w:name="_Toc424302590"/>
      <w:r w:rsidRPr="00553291">
        <w:t>S</w:t>
      </w:r>
      <w:r>
        <w:t>cope</w:t>
      </w:r>
      <w:r w:rsidRPr="00553291">
        <w:t xml:space="preserve"> of the Review</w:t>
      </w:r>
      <w:bookmarkEnd w:id="2"/>
    </w:p>
    <w:p w14:paraId="2A39C51F" w14:textId="77777777" w:rsidR="00DB5726" w:rsidRDefault="00DB5726" w:rsidP="00DB5726">
      <w:r>
        <w:t xml:space="preserve">The PRSF ICR is not an evaluation of TNP2K or of the Government of Indonesia’s broader efforts at poverty reduction. It is more narrowly focused on the contribution of the PRSF to the work of TNP2K and an assessment as to the appropriateness and effectiveness of the support provided by the Australian Government. This will inevitably mean that some qualitative analysis </w:t>
      </w:r>
      <w:r w:rsidR="00332B84">
        <w:t xml:space="preserve">has </w:t>
      </w:r>
      <w:r>
        <w:t>be</w:t>
      </w:r>
      <w:r w:rsidR="00332B84">
        <w:t>en</w:t>
      </w:r>
      <w:r>
        <w:t xml:space="preserve"> undertaken on the outcomes achieved by various programs</w:t>
      </w:r>
      <w:r w:rsidR="00332B84">
        <w:t xml:space="preserve"> under TNP2K, but the review</w:t>
      </w:r>
      <w:r>
        <w:t xml:space="preserve"> focus</w:t>
      </w:r>
      <w:r w:rsidR="00332B84">
        <w:t>es</w:t>
      </w:r>
      <w:r>
        <w:t xml:space="preserve"> on PRSF’s contribution and how the experience of the last 5 years can be used to improve support in the future.</w:t>
      </w:r>
    </w:p>
    <w:p w14:paraId="054C0610" w14:textId="77777777" w:rsidR="00DB5726" w:rsidRDefault="00DB5726" w:rsidP="0041783A">
      <w:pPr>
        <w:pStyle w:val="Heading2"/>
        <w:spacing w:before="120" w:after="120"/>
      </w:pPr>
      <w:bookmarkStart w:id="3" w:name="_Toc424302591"/>
      <w:r>
        <w:t>Methodology</w:t>
      </w:r>
      <w:bookmarkEnd w:id="3"/>
    </w:p>
    <w:p w14:paraId="50915872" w14:textId="77777777" w:rsidR="00DB5726" w:rsidRDefault="00DB5726" w:rsidP="00DB5726">
      <w:r>
        <w:t xml:space="preserve">The PRSF ICR is not a formal quantitative evaluation of the results from PRSF. It is a qualitative assessment of the program’s achievements based on a review of existing analysis and evidence. The review </w:t>
      </w:r>
      <w:r w:rsidR="0041783A">
        <w:t xml:space="preserve">has </w:t>
      </w:r>
      <w:r>
        <w:t>be</w:t>
      </w:r>
      <w:r w:rsidR="0041783A">
        <w:t>en</w:t>
      </w:r>
      <w:r>
        <w:t xml:space="preserve"> conducted through a combination of a desk review of existing material, </w:t>
      </w:r>
      <w:r w:rsidR="0041783A">
        <w:t xml:space="preserve">commissioning </w:t>
      </w:r>
      <w:r>
        <w:t xml:space="preserve">some selective </w:t>
      </w:r>
      <w:r w:rsidR="0041783A">
        <w:t>pieces of</w:t>
      </w:r>
      <w:r>
        <w:t xml:space="preserve"> additional analysis and some structured discussions</w:t>
      </w:r>
      <w:r w:rsidR="0041783A">
        <w:t xml:space="preserve"> / interviews</w:t>
      </w:r>
      <w:r>
        <w:t xml:space="preserve"> with key stakeholders. </w:t>
      </w:r>
    </w:p>
    <w:p w14:paraId="72FAF5F0" w14:textId="77777777" w:rsidR="00DB5726" w:rsidRPr="00603EF1" w:rsidRDefault="000D14EA" w:rsidP="00465176">
      <w:pPr>
        <w:pStyle w:val="Heading2"/>
        <w:spacing w:before="120" w:after="120"/>
      </w:pPr>
      <w:bookmarkStart w:id="4" w:name="_Toc424302592"/>
      <w:r>
        <w:t>D</w:t>
      </w:r>
      <w:r w:rsidR="00DB5726" w:rsidRPr="00603EF1">
        <w:t>escription of Evaluation Activities</w:t>
      </w:r>
      <w:bookmarkEnd w:id="4"/>
    </w:p>
    <w:p w14:paraId="20B9E0F1" w14:textId="77777777" w:rsidR="00DB5726" w:rsidRDefault="00DB5726" w:rsidP="00DB5726">
      <w:pPr>
        <w:spacing w:before="120" w:after="120"/>
      </w:pPr>
      <w:r>
        <w:t>A desk review of materials has been combined with an in-country mission undertaken from 20 April until 1 May.</w:t>
      </w:r>
    </w:p>
    <w:p w14:paraId="15F72EA2" w14:textId="77777777" w:rsidR="00DB5726" w:rsidRDefault="00DB5726" w:rsidP="00DB5726">
      <w:pPr>
        <w:spacing w:before="120" w:after="120"/>
      </w:pPr>
      <w:r>
        <w:lastRenderedPageBreak/>
        <w:t>The purpose of</w:t>
      </w:r>
      <w:r w:rsidR="0046649D">
        <w:t xml:space="preserve"> the in-country mission was</w:t>
      </w:r>
      <w:r>
        <w:t xml:space="preserve"> to:</w:t>
      </w:r>
    </w:p>
    <w:p w14:paraId="46C4AF5A" w14:textId="77777777" w:rsidR="00DB5726" w:rsidRPr="00A95037" w:rsidRDefault="00DB5726" w:rsidP="00042BE0">
      <w:pPr>
        <w:pStyle w:val="ListParagraph"/>
        <w:numPr>
          <w:ilvl w:val="0"/>
          <w:numId w:val="13"/>
        </w:numPr>
      </w:pPr>
      <w:r w:rsidRPr="00A95037">
        <w:t>Interview key stakeholders about PRSF;</w:t>
      </w:r>
    </w:p>
    <w:p w14:paraId="0287F9DF" w14:textId="77777777" w:rsidR="00DB5726" w:rsidRPr="00A95037" w:rsidRDefault="00DB5726" w:rsidP="00042BE0">
      <w:pPr>
        <w:pStyle w:val="ListParagraph"/>
        <w:numPr>
          <w:ilvl w:val="0"/>
          <w:numId w:val="13"/>
        </w:numPr>
      </w:pPr>
      <w:r w:rsidRPr="00A95037">
        <w:t>Participate in a “Lessons Learned” Workshop in Jakarta;</w:t>
      </w:r>
    </w:p>
    <w:p w14:paraId="3589A240" w14:textId="77777777" w:rsidR="00DB5726" w:rsidRPr="00A95037" w:rsidRDefault="00DB5726" w:rsidP="00042BE0">
      <w:pPr>
        <w:pStyle w:val="ListParagraph"/>
        <w:numPr>
          <w:ilvl w:val="0"/>
          <w:numId w:val="13"/>
        </w:numPr>
      </w:pPr>
      <w:r w:rsidRPr="00A95037">
        <w:t xml:space="preserve">Validate analysis and evidence from various sources; and </w:t>
      </w:r>
    </w:p>
    <w:p w14:paraId="7C223A9B" w14:textId="77777777" w:rsidR="00DB5726" w:rsidRPr="00A95037" w:rsidRDefault="00DB5726" w:rsidP="00042BE0">
      <w:pPr>
        <w:pStyle w:val="ListParagraph"/>
        <w:numPr>
          <w:ilvl w:val="0"/>
          <w:numId w:val="13"/>
        </w:numPr>
      </w:pPr>
      <w:r w:rsidRPr="00A95037">
        <w:t>Request additional materials</w:t>
      </w:r>
    </w:p>
    <w:p w14:paraId="482F367B" w14:textId="77777777" w:rsidR="00DB5726" w:rsidRPr="00603EF1" w:rsidRDefault="00DB5726" w:rsidP="00DB5726">
      <w:pPr>
        <w:spacing w:after="120"/>
        <w:rPr>
          <w:b/>
          <w:i/>
        </w:rPr>
      </w:pPr>
      <w:r>
        <w:t>The process for collection of data and analysis during</w:t>
      </w:r>
      <w:r w:rsidR="0046649D">
        <w:t xml:space="preserve"> the in-country mission was</w:t>
      </w:r>
      <w:r>
        <w:t xml:space="preserve"> qualitative with semi-structured interviews and a workshop with key stakeholders. Guided by the “key evaluation questions” on page 6 of the Terms of Reference, interviews were tailored to specific individuals and groups to cover the key areas of the</w:t>
      </w:r>
      <w:r w:rsidR="0046649D">
        <w:t xml:space="preserve"> work of PRSF. Responses have been</w:t>
      </w:r>
      <w:r>
        <w:t xml:space="preserve"> cross referenced with other interviews and written materials during the drafting of the report.</w:t>
      </w:r>
    </w:p>
    <w:p w14:paraId="5649F55B" w14:textId="77777777" w:rsidR="00DB5726" w:rsidRDefault="00DB5726" w:rsidP="00465176">
      <w:pPr>
        <w:pStyle w:val="Heading2"/>
        <w:spacing w:before="120" w:after="120"/>
      </w:pPr>
      <w:bookmarkStart w:id="5" w:name="_Toc424302593"/>
      <w:r>
        <w:t>Structure of the report</w:t>
      </w:r>
      <w:bookmarkEnd w:id="5"/>
    </w:p>
    <w:p w14:paraId="6E569ABE" w14:textId="77777777" w:rsidR="00374C8A" w:rsidRDefault="00374C8A" w:rsidP="00DB5726">
      <w:r>
        <w:t xml:space="preserve">This report will be structured around </w:t>
      </w:r>
      <w:r w:rsidR="0046649D">
        <w:t xml:space="preserve">three </w:t>
      </w:r>
      <w:r>
        <w:t>key questions and conclude with some thoughts on lessons learn</w:t>
      </w:r>
      <w:r w:rsidR="00042BE0">
        <w:t>ed</w:t>
      </w:r>
      <w:r>
        <w:t xml:space="preserve"> that can be applied to any future program of support to TNP2K and in some sense for Australia’s overall engagement in Indonesia.</w:t>
      </w:r>
    </w:p>
    <w:p w14:paraId="0B7B6071" w14:textId="77777777" w:rsidR="00374C8A" w:rsidRDefault="00374C8A" w:rsidP="00DB5726">
      <w:r w:rsidRPr="00374C8A">
        <w:rPr>
          <w:b/>
        </w:rPr>
        <w:t>Section 1:</w:t>
      </w:r>
      <w:r>
        <w:t xml:space="preserve"> </w:t>
      </w:r>
      <w:r w:rsidR="00DB5726">
        <w:t xml:space="preserve">What is PRSF, what </w:t>
      </w:r>
      <w:r w:rsidR="00FD6B83">
        <w:t xml:space="preserve">did it do and what has </w:t>
      </w:r>
      <w:r>
        <w:t xml:space="preserve">been </w:t>
      </w:r>
      <w:r w:rsidR="00FD6B83">
        <w:t>achieved?</w:t>
      </w:r>
      <w:r>
        <w:t xml:space="preserve"> </w:t>
      </w:r>
    </w:p>
    <w:p w14:paraId="172F7471" w14:textId="0B75ECFC" w:rsidR="00FD6B83" w:rsidRDefault="00374C8A" w:rsidP="00DB5726">
      <w:r w:rsidRPr="00374C8A">
        <w:rPr>
          <w:b/>
        </w:rPr>
        <w:t>Section 2:</w:t>
      </w:r>
      <w:r>
        <w:t xml:space="preserve"> </w:t>
      </w:r>
      <w:r w:rsidR="00FD6B83">
        <w:t xml:space="preserve">Is PRSF efficient and effective – from </w:t>
      </w:r>
      <w:r w:rsidR="00332B84">
        <w:t>bot</w:t>
      </w:r>
      <w:r w:rsidR="009F622D">
        <w:t>h</w:t>
      </w:r>
      <w:r w:rsidR="00332B84">
        <w:t xml:space="preserve"> a policy</w:t>
      </w:r>
      <w:r w:rsidR="00FD6B83">
        <w:t xml:space="preserve"> and an operational perspective?</w:t>
      </w:r>
    </w:p>
    <w:p w14:paraId="1292DF08" w14:textId="77777777" w:rsidR="00FD6B83" w:rsidRDefault="00374C8A" w:rsidP="00FD6B83">
      <w:r w:rsidRPr="00374C8A">
        <w:rPr>
          <w:b/>
        </w:rPr>
        <w:t>Section 3:</w:t>
      </w:r>
      <w:r>
        <w:t xml:space="preserve"> To what extent did </w:t>
      </w:r>
      <w:r w:rsidR="00FD6B83">
        <w:t xml:space="preserve">PRSF </w:t>
      </w:r>
      <w:r>
        <w:t xml:space="preserve">facilitate a </w:t>
      </w:r>
      <w:r w:rsidR="00FD6B83">
        <w:t>policy dialogue</w:t>
      </w:r>
      <w:r>
        <w:t xml:space="preserve"> between Indonesia and Australia?</w:t>
      </w:r>
    </w:p>
    <w:p w14:paraId="2782F06D" w14:textId="77777777" w:rsidR="00FD6B83" w:rsidRDefault="00374C8A" w:rsidP="00374C8A">
      <w:r w:rsidRPr="00374C8A">
        <w:rPr>
          <w:b/>
        </w:rPr>
        <w:t>Section 4:</w:t>
      </w:r>
      <w:r>
        <w:t xml:space="preserve"> </w:t>
      </w:r>
      <w:r w:rsidR="00FD6B83">
        <w:t xml:space="preserve">What are the lessons </w:t>
      </w:r>
      <w:r w:rsidR="00332B84">
        <w:t>learned</w:t>
      </w:r>
      <w:r>
        <w:t xml:space="preserve"> </w:t>
      </w:r>
      <w:r w:rsidR="00FD6B83">
        <w:t>from PRSF?</w:t>
      </w:r>
    </w:p>
    <w:p w14:paraId="1130511F" w14:textId="2AEE04A2" w:rsidR="00465176" w:rsidRDefault="00465176" w:rsidP="00374C8A">
      <w:r>
        <w:br w:type="page"/>
      </w:r>
    </w:p>
    <w:p w14:paraId="654E5A1D" w14:textId="77777777" w:rsidR="00DB5726" w:rsidRDefault="00A03458" w:rsidP="00465176">
      <w:pPr>
        <w:pStyle w:val="Heading1"/>
        <w:spacing w:before="120" w:after="120"/>
      </w:pPr>
      <w:bookmarkStart w:id="6" w:name="_Toc424302594"/>
      <w:r>
        <w:t xml:space="preserve">Section 1: </w:t>
      </w:r>
      <w:r w:rsidR="00FD6B83">
        <w:t xml:space="preserve">What is </w:t>
      </w:r>
      <w:r w:rsidR="00AE17C3" w:rsidRPr="00603EF1">
        <w:t>PRSF</w:t>
      </w:r>
      <w:r w:rsidR="0041783A">
        <w:t>, what did it do</w:t>
      </w:r>
      <w:r w:rsidR="00AE17C3" w:rsidRPr="00603EF1">
        <w:t xml:space="preserve"> </w:t>
      </w:r>
      <w:r w:rsidR="00FD6B83">
        <w:t>and what has been achieved?</w:t>
      </w:r>
      <w:bookmarkEnd w:id="6"/>
    </w:p>
    <w:p w14:paraId="09E4068C" w14:textId="77777777" w:rsidR="00830EAC" w:rsidRPr="00830EAC" w:rsidRDefault="00830EAC" w:rsidP="0041783A">
      <w:pPr>
        <w:pStyle w:val="Heading2"/>
        <w:spacing w:before="120" w:after="120"/>
      </w:pPr>
      <w:bookmarkStart w:id="7" w:name="_Toc424302595"/>
      <w:r w:rsidRPr="00830EAC">
        <w:t>Background</w:t>
      </w:r>
      <w:bookmarkEnd w:id="7"/>
    </w:p>
    <w:p w14:paraId="0BDBCD94" w14:textId="77777777" w:rsidR="00830EAC" w:rsidRPr="00603EF1" w:rsidRDefault="00830EAC" w:rsidP="0041783A">
      <w:pPr>
        <w:tabs>
          <w:tab w:val="left" w:pos="3119"/>
        </w:tabs>
        <w:spacing w:after="120"/>
        <w:rPr>
          <w:rFonts w:cs="Calibri"/>
          <w:color w:val="000000" w:themeColor="text1"/>
        </w:rPr>
      </w:pPr>
      <w:r w:rsidRPr="00603EF1">
        <w:rPr>
          <w:rFonts w:cs="Calibri"/>
          <w:color w:val="000000" w:themeColor="text1"/>
        </w:rPr>
        <w:t xml:space="preserve">In 2009, the Government of Indonesia committed itself to </w:t>
      </w:r>
      <w:r w:rsidRPr="00603EF1">
        <w:rPr>
          <w:rFonts w:cs="Calibri"/>
          <w:i/>
          <w:color w:val="000000" w:themeColor="text1"/>
        </w:rPr>
        <w:t>accelerate</w:t>
      </w:r>
      <w:r w:rsidRPr="00603EF1">
        <w:rPr>
          <w:rFonts w:cs="Calibri"/>
          <w:color w:val="000000" w:themeColor="text1"/>
        </w:rPr>
        <w:t xml:space="preserve"> the pace of poverty reduction, and the President of Indonesia declared poverty reduction to be his highest development priority. According to the medium-term development plan (</w:t>
      </w:r>
      <w:proofErr w:type="spellStart"/>
      <w:r w:rsidRPr="00EF3244">
        <w:rPr>
          <w:rFonts w:cs="Calibri"/>
          <w:i/>
          <w:color w:val="000000" w:themeColor="text1"/>
        </w:rPr>
        <w:t>Rencana</w:t>
      </w:r>
      <w:proofErr w:type="spellEnd"/>
      <w:r w:rsidRPr="00EF3244">
        <w:rPr>
          <w:rFonts w:cs="Calibri"/>
          <w:i/>
          <w:color w:val="000000" w:themeColor="text1"/>
        </w:rPr>
        <w:t xml:space="preserve"> Pembangunan </w:t>
      </w:r>
      <w:proofErr w:type="spellStart"/>
      <w:r w:rsidRPr="00EF3244">
        <w:rPr>
          <w:rFonts w:cs="Calibri"/>
          <w:i/>
          <w:color w:val="000000" w:themeColor="text1"/>
        </w:rPr>
        <w:t>Jangka</w:t>
      </w:r>
      <w:proofErr w:type="spellEnd"/>
      <w:r w:rsidRPr="00EF3244">
        <w:rPr>
          <w:rFonts w:cs="Calibri"/>
          <w:i/>
          <w:color w:val="000000" w:themeColor="text1"/>
        </w:rPr>
        <w:t xml:space="preserve"> </w:t>
      </w:r>
      <w:proofErr w:type="spellStart"/>
      <w:r w:rsidRPr="00EF3244">
        <w:rPr>
          <w:rFonts w:cs="Calibri"/>
          <w:i/>
          <w:color w:val="000000" w:themeColor="text1"/>
        </w:rPr>
        <w:t>Menengah</w:t>
      </w:r>
      <w:proofErr w:type="spellEnd"/>
      <w:r w:rsidRPr="00603EF1">
        <w:rPr>
          <w:rFonts w:cs="Calibri"/>
          <w:color w:val="000000" w:themeColor="text1"/>
        </w:rPr>
        <w:t>, RPJM, 2010-2014), the government aimed to lower the poverty rate from 14.1% in 2009 to 8-10% by 2014. During this period, Indonesia achieved a significant reduction in poverty. However, more than 28 million Indonesians (11.4% of the population) continue</w:t>
      </w:r>
      <w:r>
        <w:rPr>
          <w:rFonts w:cs="Calibri"/>
          <w:color w:val="000000" w:themeColor="text1"/>
        </w:rPr>
        <w:t>d</w:t>
      </w:r>
      <w:r w:rsidRPr="00603EF1">
        <w:rPr>
          <w:rFonts w:cs="Calibri"/>
          <w:color w:val="000000" w:themeColor="text1"/>
        </w:rPr>
        <w:t xml:space="preserve"> to live belo</w:t>
      </w:r>
      <w:r>
        <w:rPr>
          <w:rFonts w:cs="Calibri"/>
          <w:color w:val="000000" w:themeColor="text1"/>
        </w:rPr>
        <w:t>w the poverty line in mid-</w:t>
      </w:r>
      <w:r w:rsidRPr="00603EF1">
        <w:rPr>
          <w:rFonts w:cs="Calibri"/>
          <w:color w:val="000000" w:themeColor="text1"/>
        </w:rPr>
        <w:t xml:space="preserve">2014. </w:t>
      </w:r>
    </w:p>
    <w:p w14:paraId="0A6A5A65" w14:textId="36BB9C1A" w:rsidR="00830EAC" w:rsidRPr="00830EAC" w:rsidRDefault="009F622D" w:rsidP="0043167B">
      <w:pPr>
        <w:pStyle w:val="Heading3"/>
        <w:spacing w:before="120" w:after="120"/>
      </w:pPr>
      <w:bookmarkStart w:id="8" w:name="_Toc424302596"/>
      <w:r>
        <w:t>T</w:t>
      </w:r>
      <w:r w:rsidRPr="009F622D">
        <w:t>he National Team for the Acceleration of Poverty Reduc</w:t>
      </w:r>
      <w:r>
        <w:t>tion (</w:t>
      </w:r>
      <w:r w:rsidR="00830EAC" w:rsidRPr="00830EAC">
        <w:t>TNP2K</w:t>
      </w:r>
      <w:r>
        <w:t>)</w:t>
      </w:r>
      <w:r>
        <w:rPr>
          <w:rStyle w:val="FootnoteReference"/>
        </w:rPr>
        <w:footnoteReference w:id="1"/>
      </w:r>
      <w:bookmarkEnd w:id="8"/>
    </w:p>
    <w:p w14:paraId="2D1A8DF0" w14:textId="77777777" w:rsidR="00830EAC" w:rsidRPr="00603EF1" w:rsidRDefault="00830EAC" w:rsidP="0041783A">
      <w:pPr>
        <w:tabs>
          <w:tab w:val="left" w:pos="3119"/>
        </w:tabs>
        <w:spacing w:after="120"/>
        <w:rPr>
          <w:rFonts w:cs="Calibri"/>
          <w:b/>
          <w:color w:val="000000" w:themeColor="text1"/>
        </w:rPr>
      </w:pPr>
      <w:r w:rsidRPr="00603EF1">
        <w:rPr>
          <w:rFonts w:cs="Calibri"/>
          <w:color w:val="000000" w:themeColor="text1"/>
        </w:rPr>
        <w:t xml:space="preserve">As part of its commitment, the Government of Indonesia placed the </w:t>
      </w:r>
      <w:r w:rsidRPr="00603EF1">
        <w:rPr>
          <w:rFonts w:cs="Calibri"/>
          <w:bCs/>
          <w:color w:val="000000" w:themeColor="text1"/>
        </w:rPr>
        <w:t>oversight and coordination of poverty and social protection programs</w:t>
      </w:r>
      <w:r w:rsidRPr="00603EF1">
        <w:rPr>
          <w:rFonts w:cs="Calibri"/>
          <w:color w:val="000000" w:themeColor="text1"/>
        </w:rPr>
        <w:t xml:space="preserve"> under the Vice-President’s Office. Through Presidential Regulation No. 15/2010, TNP2K was created and given the mandate to carry out oversight and coordination</w:t>
      </w:r>
      <w:r w:rsidR="00332B84">
        <w:rPr>
          <w:rFonts w:cs="Calibri"/>
          <w:color w:val="000000" w:themeColor="text1"/>
        </w:rPr>
        <w:t xml:space="preserve"> functions</w:t>
      </w:r>
      <w:r w:rsidRPr="00603EF1">
        <w:rPr>
          <w:rFonts w:cs="Calibri"/>
          <w:color w:val="000000" w:themeColor="text1"/>
        </w:rPr>
        <w:t xml:space="preserve">. TNP2K set out to play a key role in poverty reduction and social protection by: </w:t>
      </w:r>
    </w:p>
    <w:p w14:paraId="6EC40155" w14:textId="77777777" w:rsidR="00830EAC" w:rsidRPr="00603EF1" w:rsidRDefault="00830EAC" w:rsidP="0041783A">
      <w:pPr>
        <w:pStyle w:val="ListParagraph"/>
        <w:numPr>
          <w:ilvl w:val="0"/>
          <w:numId w:val="18"/>
        </w:numPr>
        <w:rPr>
          <w:lang w:eastAsia="zh-CN"/>
        </w:rPr>
      </w:pPr>
      <w:r w:rsidRPr="00603EF1">
        <w:rPr>
          <w:lang w:eastAsia="zh-CN"/>
        </w:rPr>
        <w:t xml:space="preserve">Improving the performance of poverty reduction programs; </w:t>
      </w:r>
    </w:p>
    <w:p w14:paraId="70740F37" w14:textId="77777777" w:rsidR="00830EAC" w:rsidRPr="00603EF1" w:rsidRDefault="00830EAC" w:rsidP="0041783A">
      <w:pPr>
        <w:pStyle w:val="ListParagraph"/>
        <w:numPr>
          <w:ilvl w:val="0"/>
          <w:numId w:val="18"/>
        </w:numPr>
        <w:rPr>
          <w:lang w:eastAsia="zh-CN"/>
        </w:rPr>
      </w:pPr>
      <w:r w:rsidRPr="00603EF1">
        <w:rPr>
          <w:lang w:eastAsia="zh-CN"/>
        </w:rPr>
        <w:t xml:space="preserve">Improving program targeting using a common method and household list for all social protection programs; </w:t>
      </w:r>
    </w:p>
    <w:p w14:paraId="2F789C34" w14:textId="22C2C28F" w:rsidR="00830EAC" w:rsidRPr="00603EF1" w:rsidRDefault="00830EAC" w:rsidP="0041783A">
      <w:pPr>
        <w:pStyle w:val="ListParagraph"/>
        <w:numPr>
          <w:ilvl w:val="0"/>
          <w:numId w:val="18"/>
        </w:numPr>
        <w:rPr>
          <w:lang w:eastAsia="zh-CN"/>
        </w:rPr>
      </w:pPr>
      <w:r w:rsidRPr="00603EF1">
        <w:rPr>
          <w:lang w:eastAsia="zh-CN"/>
        </w:rPr>
        <w:t>Undertaking monitoring and impact evaluation</w:t>
      </w:r>
      <w:r w:rsidR="009F622D">
        <w:rPr>
          <w:lang w:eastAsia="zh-CN"/>
        </w:rPr>
        <w:t>s</w:t>
      </w:r>
      <w:r w:rsidRPr="00603EF1">
        <w:rPr>
          <w:lang w:eastAsia="zh-CN"/>
        </w:rPr>
        <w:t xml:space="preserve"> of the social assistance programs; and </w:t>
      </w:r>
    </w:p>
    <w:p w14:paraId="410D4E08" w14:textId="77777777" w:rsidR="00830EAC" w:rsidRPr="00603EF1" w:rsidRDefault="00830EAC" w:rsidP="0041783A">
      <w:pPr>
        <w:pStyle w:val="ListParagraph"/>
        <w:numPr>
          <w:ilvl w:val="0"/>
          <w:numId w:val="18"/>
        </w:numPr>
        <w:rPr>
          <w:lang w:eastAsia="zh-CN"/>
        </w:rPr>
      </w:pPr>
      <w:r w:rsidRPr="00603EF1">
        <w:rPr>
          <w:lang w:eastAsia="zh-CN"/>
        </w:rPr>
        <w:t xml:space="preserve">Identifying important but troubled social assistance programs and resolving their implementation issues. </w:t>
      </w:r>
    </w:p>
    <w:p w14:paraId="36776C43" w14:textId="77777777" w:rsidR="00830EAC" w:rsidRPr="00603EF1" w:rsidRDefault="00830EAC" w:rsidP="0041783A">
      <w:pPr>
        <w:tabs>
          <w:tab w:val="left" w:pos="3119"/>
        </w:tabs>
        <w:spacing w:after="120"/>
        <w:rPr>
          <w:rFonts w:cs="Calibri"/>
          <w:color w:val="000000" w:themeColor="text1"/>
        </w:rPr>
      </w:pPr>
      <w:r w:rsidRPr="00603EF1">
        <w:rPr>
          <w:rFonts w:cs="Calibri"/>
          <w:color w:val="000000" w:themeColor="text1"/>
        </w:rPr>
        <w:t xml:space="preserve">Since 2012, TNP2K has aimed to maximize its impact by concentrating on reform of four important social protection and poverty reduction programs: </w:t>
      </w:r>
    </w:p>
    <w:p w14:paraId="1E811AA3" w14:textId="77777777" w:rsidR="00830EAC" w:rsidRPr="00603EF1" w:rsidRDefault="00830EAC" w:rsidP="0041783A">
      <w:pPr>
        <w:pStyle w:val="ListParagraph"/>
        <w:numPr>
          <w:ilvl w:val="0"/>
          <w:numId w:val="19"/>
        </w:numPr>
      </w:pPr>
      <w:proofErr w:type="spellStart"/>
      <w:r w:rsidRPr="00830EAC">
        <w:rPr>
          <w:b/>
          <w:i/>
        </w:rPr>
        <w:t>Beras</w:t>
      </w:r>
      <w:proofErr w:type="spellEnd"/>
      <w:r w:rsidRPr="00830EAC">
        <w:rPr>
          <w:b/>
          <w:i/>
        </w:rPr>
        <w:t xml:space="preserve"> </w:t>
      </w:r>
      <w:proofErr w:type="spellStart"/>
      <w:r w:rsidRPr="00830EAC">
        <w:rPr>
          <w:b/>
          <w:i/>
        </w:rPr>
        <w:t>untuk</w:t>
      </w:r>
      <w:proofErr w:type="spellEnd"/>
      <w:r w:rsidRPr="00830EAC">
        <w:rPr>
          <w:b/>
          <w:i/>
        </w:rPr>
        <w:t xml:space="preserve"> </w:t>
      </w:r>
      <w:proofErr w:type="spellStart"/>
      <w:r w:rsidRPr="00830EAC">
        <w:rPr>
          <w:b/>
          <w:i/>
        </w:rPr>
        <w:t>Keluarga</w:t>
      </w:r>
      <w:proofErr w:type="spellEnd"/>
      <w:r w:rsidRPr="00830EAC">
        <w:rPr>
          <w:b/>
          <w:i/>
        </w:rPr>
        <w:t xml:space="preserve"> </w:t>
      </w:r>
      <w:proofErr w:type="spellStart"/>
      <w:r w:rsidRPr="00830EAC">
        <w:rPr>
          <w:b/>
          <w:i/>
        </w:rPr>
        <w:t>Miskin</w:t>
      </w:r>
      <w:proofErr w:type="spellEnd"/>
      <w:r w:rsidRPr="00830EAC">
        <w:rPr>
          <w:b/>
        </w:rPr>
        <w:t xml:space="preserve"> (</w:t>
      </w:r>
      <w:proofErr w:type="spellStart"/>
      <w:r w:rsidRPr="00830EAC">
        <w:rPr>
          <w:b/>
        </w:rPr>
        <w:t>Raskin</w:t>
      </w:r>
      <w:proofErr w:type="spellEnd"/>
      <w:r w:rsidRPr="00830EAC">
        <w:rPr>
          <w:b/>
        </w:rPr>
        <w:t>)</w:t>
      </w:r>
      <w:r w:rsidRPr="00603EF1">
        <w:t xml:space="preserve">, which aims at improving the food security of 15.5m poor households through a monthly distribution of subsidized rice. </w:t>
      </w:r>
    </w:p>
    <w:p w14:paraId="59E79FF4" w14:textId="77777777" w:rsidR="00830EAC" w:rsidRPr="00603EF1" w:rsidRDefault="00830EAC" w:rsidP="0041783A">
      <w:pPr>
        <w:pStyle w:val="ListParagraph"/>
        <w:numPr>
          <w:ilvl w:val="0"/>
          <w:numId w:val="19"/>
        </w:numPr>
      </w:pPr>
      <w:proofErr w:type="spellStart"/>
      <w:r w:rsidRPr="00830EAC">
        <w:rPr>
          <w:b/>
          <w:i/>
        </w:rPr>
        <w:t>Bantuan</w:t>
      </w:r>
      <w:proofErr w:type="spellEnd"/>
      <w:r w:rsidRPr="00830EAC">
        <w:rPr>
          <w:b/>
          <w:i/>
        </w:rPr>
        <w:t xml:space="preserve"> </w:t>
      </w:r>
      <w:proofErr w:type="spellStart"/>
      <w:r w:rsidRPr="00830EAC">
        <w:rPr>
          <w:b/>
          <w:i/>
        </w:rPr>
        <w:t>untuk</w:t>
      </w:r>
      <w:proofErr w:type="spellEnd"/>
      <w:r w:rsidRPr="00830EAC">
        <w:rPr>
          <w:b/>
          <w:i/>
        </w:rPr>
        <w:t xml:space="preserve"> </w:t>
      </w:r>
      <w:proofErr w:type="spellStart"/>
      <w:r w:rsidRPr="00830EAC">
        <w:rPr>
          <w:b/>
          <w:i/>
        </w:rPr>
        <w:t>Siswa</w:t>
      </w:r>
      <w:proofErr w:type="spellEnd"/>
      <w:r w:rsidRPr="00830EAC">
        <w:rPr>
          <w:b/>
          <w:i/>
        </w:rPr>
        <w:t xml:space="preserve"> </w:t>
      </w:r>
      <w:proofErr w:type="spellStart"/>
      <w:r w:rsidRPr="00830EAC">
        <w:rPr>
          <w:b/>
          <w:i/>
        </w:rPr>
        <w:t>Miskin</w:t>
      </w:r>
      <w:proofErr w:type="spellEnd"/>
      <w:r w:rsidRPr="00830EAC">
        <w:rPr>
          <w:b/>
        </w:rPr>
        <w:t xml:space="preserve"> (BSM)</w:t>
      </w:r>
      <w:r w:rsidRPr="00603EF1">
        <w:t xml:space="preserve"> which is conditional cash transfer program introduced in 2008 to improve access to education by covering basic education costs for children from 15.5m poor households. </w:t>
      </w:r>
    </w:p>
    <w:p w14:paraId="25F02B15" w14:textId="77777777" w:rsidR="00830EAC" w:rsidRPr="00603EF1" w:rsidRDefault="00830EAC" w:rsidP="0041783A">
      <w:pPr>
        <w:pStyle w:val="ListParagraph"/>
        <w:numPr>
          <w:ilvl w:val="0"/>
          <w:numId w:val="19"/>
        </w:numPr>
      </w:pPr>
      <w:r w:rsidRPr="00830EAC">
        <w:rPr>
          <w:b/>
          <w:i/>
        </w:rPr>
        <w:t xml:space="preserve">Program </w:t>
      </w:r>
      <w:proofErr w:type="spellStart"/>
      <w:r w:rsidRPr="00830EAC">
        <w:rPr>
          <w:b/>
          <w:i/>
        </w:rPr>
        <w:t>Keluarga</w:t>
      </w:r>
      <w:proofErr w:type="spellEnd"/>
      <w:r w:rsidRPr="00830EAC">
        <w:rPr>
          <w:b/>
          <w:i/>
        </w:rPr>
        <w:t xml:space="preserve"> </w:t>
      </w:r>
      <w:proofErr w:type="spellStart"/>
      <w:r w:rsidRPr="00830EAC">
        <w:rPr>
          <w:b/>
          <w:i/>
        </w:rPr>
        <w:t>Harapan</w:t>
      </w:r>
      <w:proofErr w:type="spellEnd"/>
      <w:r w:rsidRPr="00830EAC">
        <w:rPr>
          <w:b/>
        </w:rPr>
        <w:t xml:space="preserve"> (PKH)</w:t>
      </w:r>
      <w:r w:rsidRPr="00603EF1">
        <w:t xml:space="preserve"> or the Family Hope Program, which is a conditional cash transfer program to very poor hous</w:t>
      </w:r>
      <w:r w:rsidR="00332B84">
        <w:t>eholds, currently supporting 2.8</w:t>
      </w:r>
      <w:r w:rsidRPr="00603EF1">
        <w:t xml:space="preserve">m households. </w:t>
      </w:r>
    </w:p>
    <w:p w14:paraId="09B19D7F" w14:textId="24AEA983" w:rsidR="00830EAC" w:rsidRPr="00603EF1" w:rsidRDefault="00830EAC" w:rsidP="0041783A">
      <w:pPr>
        <w:pStyle w:val="ListParagraph"/>
        <w:numPr>
          <w:ilvl w:val="0"/>
          <w:numId w:val="19"/>
        </w:numPr>
      </w:pPr>
      <w:proofErr w:type="spellStart"/>
      <w:r w:rsidRPr="00830EAC">
        <w:rPr>
          <w:b/>
        </w:rPr>
        <w:t>Jamkesmas</w:t>
      </w:r>
      <w:proofErr w:type="spellEnd"/>
      <w:r w:rsidRPr="00603EF1">
        <w:t>, which supports 86.4m poor and near poor individuals to access health services by providing them with free basic health service</w:t>
      </w:r>
      <w:r>
        <w:t>s</w:t>
      </w:r>
      <w:r w:rsidRPr="00603EF1">
        <w:t xml:space="preserve">. TNP2K’s Unified Data Base (UDB) </w:t>
      </w:r>
      <w:r>
        <w:t>wa</w:t>
      </w:r>
      <w:r w:rsidRPr="00603EF1">
        <w:t xml:space="preserve">s used as the basis for identification of the </w:t>
      </w:r>
      <w:proofErr w:type="spellStart"/>
      <w:r w:rsidRPr="00603EF1">
        <w:t>Jamkesmas</w:t>
      </w:r>
      <w:proofErr w:type="spellEnd"/>
      <w:r w:rsidRPr="00603EF1">
        <w:t xml:space="preserve"> beneficiaries until December 31, 2013 as well as the National Health Security (</w:t>
      </w:r>
      <w:proofErr w:type="spellStart"/>
      <w:r w:rsidRPr="00830EAC">
        <w:rPr>
          <w:i/>
        </w:rPr>
        <w:t>Jaminan</w:t>
      </w:r>
      <w:proofErr w:type="spellEnd"/>
      <w:r w:rsidRPr="00830EAC">
        <w:rPr>
          <w:i/>
        </w:rPr>
        <w:t xml:space="preserve"> </w:t>
      </w:r>
      <w:proofErr w:type="spellStart"/>
      <w:r w:rsidRPr="00830EAC">
        <w:rPr>
          <w:i/>
        </w:rPr>
        <w:t>Kesehatan</w:t>
      </w:r>
      <w:proofErr w:type="spellEnd"/>
      <w:r w:rsidRPr="00830EAC">
        <w:rPr>
          <w:i/>
        </w:rPr>
        <w:t xml:space="preserve"> </w:t>
      </w:r>
      <w:proofErr w:type="spellStart"/>
      <w:r w:rsidRPr="00830EAC">
        <w:rPr>
          <w:i/>
        </w:rPr>
        <w:t>Nasional</w:t>
      </w:r>
      <w:proofErr w:type="spellEnd"/>
      <w:r w:rsidRPr="00603EF1">
        <w:t xml:space="preserve"> / JKN) </w:t>
      </w:r>
      <w:r w:rsidR="009F622D">
        <w:t xml:space="preserve">program </w:t>
      </w:r>
      <w:r w:rsidRPr="00603EF1">
        <w:t xml:space="preserve">starting January 1, 2014.  </w:t>
      </w:r>
    </w:p>
    <w:p w14:paraId="7DF3D4F2" w14:textId="77777777" w:rsidR="00830EAC" w:rsidRPr="00603EF1" w:rsidRDefault="00830EAC" w:rsidP="0041783A">
      <w:pPr>
        <w:tabs>
          <w:tab w:val="left" w:pos="3119"/>
        </w:tabs>
        <w:spacing w:after="120"/>
        <w:rPr>
          <w:rFonts w:cs="Calibri"/>
          <w:color w:val="000000" w:themeColor="text1"/>
        </w:rPr>
      </w:pPr>
      <w:r w:rsidRPr="00603EF1">
        <w:rPr>
          <w:rFonts w:cs="Calibri"/>
          <w:color w:val="000000" w:themeColor="text1"/>
        </w:rPr>
        <w:t xml:space="preserve">TNP2K has also supported evidence-based policy making in the field of financial inclusion and employment, as well as in the field of </w:t>
      </w:r>
      <w:r>
        <w:rPr>
          <w:rFonts w:cs="Calibri"/>
          <w:color w:val="000000" w:themeColor="text1"/>
        </w:rPr>
        <w:t>c</w:t>
      </w:r>
      <w:r w:rsidRPr="00603EF1">
        <w:rPr>
          <w:rFonts w:cs="Calibri"/>
          <w:color w:val="000000" w:themeColor="text1"/>
        </w:rPr>
        <w:t xml:space="preserve">ommunity-driven </w:t>
      </w:r>
      <w:r>
        <w:rPr>
          <w:rFonts w:cs="Calibri"/>
          <w:color w:val="000000" w:themeColor="text1"/>
        </w:rPr>
        <w:t>development</w:t>
      </w:r>
      <w:r w:rsidRPr="00603EF1">
        <w:rPr>
          <w:rFonts w:cs="Calibri"/>
          <w:color w:val="000000" w:themeColor="text1"/>
        </w:rPr>
        <w:t xml:space="preserve"> (PNPM and the new Village law).</w:t>
      </w:r>
    </w:p>
    <w:p w14:paraId="0E3D3084" w14:textId="77777777" w:rsidR="00830EAC" w:rsidRPr="00830EAC" w:rsidRDefault="00830EAC" w:rsidP="0043167B">
      <w:pPr>
        <w:pStyle w:val="Heading3"/>
        <w:spacing w:before="120" w:after="120"/>
      </w:pPr>
      <w:bookmarkStart w:id="9" w:name="_Toc424302597"/>
      <w:r w:rsidRPr="00830EAC">
        <w:t>PRSF</w:t>
      </w:r>
      <w:bookmarkEnd w:id="9"/>
    </w:p>
    <w:p w14:paraId="5C7B014E" w14:textId="5BA9DDF4" w:rsidR="00830EAC" w:rsidRPr="00603EF1" w:rsidRDefault="00332B84" w:rsidP="0041783A">
      <w:pPr>
        <w:tabs>
          <w:tab w:val="left" w:pos="3119"/>
        </w:tabs>
        <w:spacing w:after="120"/>
        <w:rPr>
          <w:rFonts w:cs="Calibri"/>
          <w:color w:val="000000" w:themeColor="text1"/>
        </w:rPr>
      </w:pPr>
      <w:r>
        <w:rPr>
          <w:rFonts w:cs="Calibri"/>
          <w:color w:val="000000" w:themeColor="text1"/>
        </w:rPr>
        <w:t xml:space="preserve">In response to a request for help from the Vice President in 2010 Australia </w:t>
      </w:r>
      <w:r w:rsidR="00830EAC" w:rsidRPr="00603EF1">
        <w:rPr>
          <w:rFonts w:cs="Calibri"/>
          <w:color w:val="000000" w:themeColor="text1"/>
        </w:rPr>
        <w:t xml:space="preserve">established the Poverty Reduction Support Facility (PRSF) to support TNP2K. According to </w:t>
      </w:r>
      <w:r w:rsidR="00830EAC">
        <w:rPr>
          <w:rFonts w:cs="Calibri"/>
          <w:color w:val="000000" w:themeColor="text1"/>
        </w:rPr>
        <w:t xml:space="preserve">the </w:t>
      </w:r>
      <w:r w:rsidR="00830EAC" w:rsidRPr="00603EF1">
        <w:rPr>
          <w:rFonts w:cs="Calibri"/>
          <w:color w:val="000000" w:themeColor="text1"/>
        </w:rPr>
        <w:t xml:space="preserve">PRSF Design document (December 2010), </w:t>
      </w:r>
      <w:r w:rsidR="0043167B">
        <w:rPr>
          <w:rFonts w:cs="Calibri"/>
          <w:color w:val="000000" w:themeColor="text1"/>
        </w:rPr>
        <w:t>Australian</w:t>
      </w:r>
      <w:r w:rsidR="00830EAC" w:rsidRPr="00603EF1">
        <w:rPr>
          <w:rFonts w:cs="Calibri"/>
          <w:color w:val="000000" w:themeColor="text1"/>
        </w:rPr>
        <w:t xml:space="preserve"> support </w:t>
      </w:r>
      <w:r w:rsidR="009F622D">
        <w:rPr>
          <w:rFonts w:cs="Calibri"/>
          <w:color w:val="000000" w:themeColor="text1"/>
        </w:rPr>
        <w:t xml:space="preserve">was </w:t>
      </w:r>
      <w:r w:rsidR="00830EAC" w:rsidRPr="00603EF1">
        <w:rPr>
          <w:rFonts w:cs="Calibri"/>
          <w:color w:val="000000" w:themeColor="text1"/>
        </w:rPr>
        <w:t xml:space="preserve">aimed at generating knowledge to inform social protection policies, define policy options, translate policy choices into operational programs and provide high- quality monitoring and evaluation. </w:t>
      </w:r>
    </w:p>
    <w:p w14:paraId="75EE06DE" w14:textId="77777777" w:rsidR="00830EAC" w:rsidRPr="00603EF1" w:rsidRDefault="00830EAC" w:rsidP="0041783A">
      <w:pPr>
        <w:tabs>
          <w:tab w:val="left" w:pos="3119"/>
        </w:tabs>
        <w:spacing w:after="120"/>
        <w:rPr>
          <w:rFonts w:cs="Calibri"/>
          <w:color w:val="000000" w:themeColor="text1"/>
        </w:rPr>
      </w:pPr>
      <w:r w:rsidRPr="00603EF1">
        <w:rPr>
          <w:color w:val="000000" w:themeColor="text1"/>
        </w:rPr>
        <w:t>PRSF was mobilized in July 2011 following a 14 month interim phase</w:t>
      </w:r>
      <w:r w:rsidRPr="00603EF1">
        <w:rPr>
          <w:rStyle w:val="FootnoteReference"/>
          <w:color w:val="000000" w:themeColor="text1"/>
        </w:rPr>
        <w:footnoteReference w:id="2"/>
      </w:r>
      <w:r w:rsidRPr="00603EF1">
        <w:rPr>
          <w:color w:val="000000" w:themeColor="text1"/>
        </w:rPr>
        <w:t xml:space="preserve"> and has been operating at a fast pace. </w:t>
      </w:r>
      <w:r w:rsidRPr="00603EF1">
        <w:rPr>
          <w:rFonts w:cs="Calibri"/>
          <w:color w:val="000000" w:themeColor="text1"/>
        </w:rPr>
        <w:t>The primary function</w:t>
      </w:r>
      <w:r>
        <w:rPr>
          <w:rFonts w:cs="Calibri"/>
          <w:color w:val="000000" w:themeColor="text1"/>
        </w:rPr>
        <w:t xml:space="preserve"> of PRSF</w:t>
      </w:r>
      <w:r w:rsidRPr="00603EF1">
        <w:rPr>
          <w:rFonts w:cs="Calibri"/>
          <w:color w:val="000000" w:themeColor="text1"/>
        </w:rPr>
        <w:t xml:space="preserve"> is to provide TNP2K with technical, managerial and financial support services, including office space and equipment. In addition, PRSF also supports the G</w:t>
      </w:r>
      <w:r w:rsidR="0043167B">
        <w:rPr>
          <w:rFonts w:cs="Calibri"/>
          <w:color w:val="000000" w:themeColor="text1"/>
        </w:rPr>
        <w:t>overnment</w:t>
      </w:r>
      <w:r w:rsidRPr="00603EF1">
        <w:rPr>
          <w:rFonts w:cs="Calibri"/>
          <w:color w:val="000000" w:themeColor="text1"/>
        </w:rPr>
        <w:t xml:space="preserve"> and TNP2K in other ways, by: </w:t>
      </w:r>
    </w:p>
    <w:p w14:paraId="478A6451" w14:textId="19E552DA" w:rsidR="00830EAC" w:rsidRPr="00603EF1" w:rsidRDefault="00830EAC" w:rsidP="0041783A">
      <w:pPr>
        <w:pStyle w:val="ListParagraph"/>
        <w:numPr>
          <w:ilvl w:val="0"/>
          <w:numId w:val="26"/>
        </w:numPr>
      </w:pPr>
      <w:r w:rsidRPr="00603EF1">
        <w:t>u</w:t>
      </w:r>
      <w:r w:rsidR="009F622D">
        <w:t>ndertaking research and studies;</w:t>
      </w:r>
      <w:r w:rsidRPr="00603EF1">
        <w:t xml:space="preserve"> </w:t>
      </w:r>
    </w:p>
    <w:p w14:paraId="23374009" w14:textId="09550754" w:rsidR="00830EAC" w:rsidRPr="00603EF1" w:rsidRDefault="00830EAC" w:rsidP="0041783A">
      <w:pPr>
        <w:pStyle w:val="ListParagraph"/>
        <w:numPr>
          <w:ilvl w:val="0"/>
          <w:numId w:val="26"/>
        </w:numPr>
      </w:pPr>
      <w:r w:rsidRPr="00603EF1">
        <w:t xml:space="preserve">designing and </w:t>
      </w:r>
      <w:r w:rsidR="009F622D">
        <w:t>managing pilot reform projects;</w:t>
      </w:r>
    </w:p>
    <w:p w14:paraId="19A04D1F" w14:textId="77777777" w:rsidR="00830EAC" w:rsidRPr="00603EF1" w:rsidRDefault="00830EAC" w:rsidP="0041783A">
      <w:pPr>
        <w:pStyle w:val="ListParagraph"/>
        <w:numPr>
          <w:ilvl w:val="0"/>
          <w:numId w:val="26"/>
        </w:numPr>
      </w:pPr>
      <w:r w:rsidRPr="00603EF1">
        <w:t xml:space="preserve">supporting some reform initiatives in relevant government agencies and ministries, and </w:t>
      </w:r>
    </w:p>
    <w:p w14:paraId="35BB6C6A" w14:textId="231BAD4E" w:rsidR="00830EAC" w:rsidRPr="00603EF1" w:rsidRDefault="00830EAC" w:rsidP="0041783A">
      <w:pPr>
        <w:pStyle w:val="ListParagraph"/>
        <w:numPr>
          <w:ilvl w:val="0"/>
          <w:numId w:val="26"/>
        </w:numPr>
      </w:pPr>
      <w:r w:rsidRPr="00603EF1">
        <w:t xml:space="preserve">managing and developing the Unified Data </w:t>
      </w:r>
      <w:r w:rsidR="009F622D">
        <w:t>Base (UDB)</w:t>
      </w:r>
      <w:r w:rsidR="009F622D">
        <w:rPr>
          <w:rStyle w:val="FootnoteReference"/>
        </w:rPr>
        <w:footnoteReference w:id="3"/>
      </w:r>
      <w:r w:rsidR="009F622D">
        <w:t xml:space="preserve">; and </w:t>
      </w:r>
      <w:r w:rsidRPr="00603EF1">
        <w:t xml:space="preserve"> </w:t>
      </w:r>
    </w:p>
    <w:p w14:paraId="723AE34A" w14:textId="1FF34E1A" w:rsidR="00830EAC" w:rsidRPr="00603EF1" w:rsidRDefault="009F622D" w:rsidP="0041783A">
      <w:pPr>
        <w:pStyle w:val="ListParagraph"/>
        <w:numPr>
          <w:ilvl w:val="0"/>
          <w:numId w:val="26"/>
        </w:numPr>
      </w:pPr>
      <w:proofErr w:type="gramStart"/>
      <w:r>
        <w:t>commissioning</w:t>
      </w:r>
      <w:proofErr w:type="gramEnd"/>
      <w:r>
        <w:t xml:space="preserve"> DFAT directed</w:t>
      </w:r>
      <w:r w:rsidR="000E0AE5">
        <w:t xml:space="preserve"> activities</w:t>
      </w:r>
      <w:r>
        <w:t>.</w:t>
      </w:r>
    </w:p>
    <w:p w14:paraId="582E8458" w14:textId="1C80767A" w:rsidR="00830EAC" w:rsidRPr="00603EF1" w:rsidRDefault="000D14EA" w:rsidP="0041783A">
      <w:pPr>
        <w:spacing w:after="120"/>
        <w:rPr>
          <w:rFonts w:cs="Calibri"/>
          <w:color w:val="000000" w:themeColor="text1"/>
        </w:rPr>
      </w:pPr>
      <w:r>
        <w:rPr>
          <w:rFonts w:cs="Calibri"/>
          <w:color w:val="000000" w:themeColor="text1"/>
        </w:rPr>
        <w:t xml:space="preserve">The </w:t>
      </w:r>
      <w:r w:rsidR="00830EAC" w:rsidRPr="00603EF1">
        <w:rPr>
          <w:rFonts w:cs="Calibri"/>
          <w:color w:val="000000" w:themeColor="text1"/>
        </w:rPr>
        <w:t xml:space="preserve">PRSF Strategic Plan was </w:t>
      </w:r>
      <w:r w:rsidR="00830EAC">
        <w:rPr>
          <w:rFonts w:cs="Calibri"/>
          <w:color w:val="000000" w:themeColor="text1"/>
        </w:rPr>
        <w:t>developed</w:t>
      </w:r>
      <w:r w:rsidR="00830EAC" w:rsidRPr="00603EF1">
        <w:rPr>
          <w:rFonts w:cs="Calibri"/>
          <w:color w:val="000000" w:themeColor="text1"/>
        </w:rPr>
        <w:t xml:space="preserve"> in </w:t>
      </w:r>
      <w:r w:rsidR="00830EAC">
        <w:rPr>
          <w:rFonts w:cs="Calibri"/>
          <w:color w:val="000000" w:themeColor="text1"/>
        </w:rPr>
        <w:t>mid</w:t>
      </w:r>
      <w:r w:rsidR="00830EAC" w:rsidRPr="00603EF1">
        <w:rPr>
          <w:rFonts w:cs="Calibri"/>
          <w:color w:val="000000" w:themeColor="text1"/>
        </w:rPr>
        <w:t>-201</w:t>
      </w:r>
      <w:r w:rsidR="00830EAC">
        <w:rPr>
          <w:rFonts w:cs="Calibri"/>
          <w:color w:val="000000" w:themeColor="text1"/>
        </w:rPr>
        <w:t>4 to cover the period mid-</w:t>
      </w:r>
      <w:r w:rsidR="00830EAC" w:rsidRPr="00603EF1">
        <w:rPr>
          <w:rFonts w:cs="Calibri"/>
          <w:color w:val="000000" w:themeColor="text1"/>
        </w:rPr>
        <w:t xml:space="preserve">2014 </w:t>
      </w:r>
      <w:r w:rsidR="00830EAC">
        <w:rPr>
          <w:rFonts w:cs="Calibri"/>
          <w:color w:val="000000" w:themeColor="text1"/>
        </w:rPr>
        <w:t>to mid-</w:t>
      </w:r>
      <w:r w:rsidR="00830EAC" w:rsidRPr="00603EF1">
        <w:rPr>
          <w:rFonts w:cs="Calibri"/>
          <w:color w:val="000000" w:themeColor="text1"/>
        </w:rPr>
        <w:t>2015. PRSF</w:t>
      </w:r>
      <w:r w:rsidR="009F622D">
        <w:rPr>
          <w:rFonts w:cs="Calibri"/>
          <w:color w:val="000000" w:themeColor="text1"/>
        </w:rPr>
        <w:t>’s</w:t>
      </w:r>
      <w:r w:rsidR="00830EAC" w:rsidRPr="00603EF1">
        <w:rPr>
          <w:rFonts w:cs="Calibri"/>
          <w:color w:val="000000" w:themeColor="text1"/>
        </w:rPr>
        <w:t xml:space="preserve"> expected results are rationalized in relation to two specific ‘End of PRSF’ Outcomes: </w:t>
      </w:r>
    </w:p>
    <w:p w14:paraId="0B98048E" w14:textId="77777777" w:rsidR="00830EAC" w:rsidRPr="00603EF1" w:rsidRDefault="00830EAC" w:rsidP="0041783A">
      <w:pPr>
        <w:pStyle w:val="ListParagraph"/>
        <w:numPr>
          <w:ilvl w:val="0"/>
          <w:numId w:val="14"/>
        </w:numPr>
        <w:spacing w:before="240" w:after="120" w:line="264" w:lineRule="auto"/>
        <w:ind w:left="426"/>
        <w:rPr>
          <w:color w:val="000000" w:themeColor="text1"/>
        </w:rPr>
      </w:pPr>
      <w:r w:rsidRPr="00603EF1">
        <w:rPr>
          <w:b/>
          <w:color w:val="000000" w:themeColor="text1"/>
        </w:rPr>
        <w:t>PRSF Outcome 1</w:t>
      </w:r>
      <w:r w:rsidRPr="00603EF1">
        <w:rPr>
          <w:color w:val="000000" w:themeColor="text1"/>
        </w:rPr>
        <w:t xml:space="preserve"> - TNP2K is supported to enhance the efficiency and effectiveness of existing social protection programs. This is PRSF’s “Core Business”. </w:t>
      </w:r>
      <w:r w:rsidR="000D14EA">
        <w:rPr>
          <w:color w:val="000000" w:themeColor="text1"/>
        </w:rPr>
        <w:br/>
      </w:r>
    </w:p>
    <w:p w14:paraId="61F3743B" w14:textId="074DEC3B" w:rsidR="00830EAC" w:rsidRPr="00603EF1" w:rsidRDefault="00830EAC" w:rsidP="0041783A">
      <w:pPr>
        <w:pStyle w:val="ListParagraph"/>
        <w:numPr>
          <w:ilvl w:val="0"/>
          <w:numId w:val="14"/>
        </w:numPr>
        <w:spacing w:before="240" w:after="120" w:line="264" w:lineRule="auto"/>
        <w:ind w:left="426"/>
        <w:rPr>
          <w:color w:val="000000" w:themeColor="text1"/>
        </w:rPr>
      </w:pPr>
      <w:r w:rsidRPr="00603EF1">
        <w:rPr>
          <w:b/>
          <w:color w:val="000000" w:themeColor="text1"/>
        </w:rPr>
        <w:t>PRSF Outcome 2</w:t>
      </w:r>
      <w:r w:rsidRPr="00603EF1">
        <w:rPr>
          <w:color w:val="000000" w:themeColor="text1"/>
        </w:rPr>
        <w:t xml:space="preserve"> - GOI is supported to advance its agenda for developing a comprehensive social protection framework. These are </w:t>
      </w:r>
      <w:proofErr w:type="spellStart"/>
      <w:r w:rsidRPr="00603EF1">
        <w:rPr>
          <w:color w:val="000000" w:themeColor="text1"/>
        </w:rPr>
        <w:t>are</w:t>
      </w:r>
      <w:proofErr w:type="spellEnd"/>
      <w:r w:rsidRPr="00603EF1">
        <w:rPr>
          <w:color w:val="000000" w:themeColor="text1"/>
        </w:rPr>
        <w:t xml:space="preserve"> funded through the so-called “DFAT window”. They are complementary to and support Outcome 1.</w:t>
      </w:r>
    </w:p>
    <w:p w14:paraId="53BEE18F" w14:textId="07EF4B55" w:rsidR="00830EAC" w:rsidRPr="00603EF1" w:rsidRDefault="00830EAC" w:rsidP="0041783A">
      <w:pPr>
        <w:tabs>
          <w:tab w:val="left" w:pos="540"/>
        </w:tabs>
        <w:spacing w:after="120"/>
        <w:rPr>
          <w:color w:val="000000" w:themeColor="text1"/>
        </w:rPr>
      </w:pPr>
      <w:r w:rsidRPr="00603EF1">
        <w:rPr>
          <w:color w:val="000000" w:themeColor="text1"/>
        </w:rPr>
        <w:t xml:space="preserve">PRSF has approved and commissioned </w:t>
      </w:r>
      <w:r>
        <w:rPr>
          <w:color w:val="000000" w:themeColor="text1"/>
        </w:rPr>
        <w:t>more than</w:t>
      </w:r>
      <w:r w:rsidRPr="00603EF1">
        <w:rPr>
          <w:color w:val="000000" w:themeColor="text1"/>
        </w:rPr>
        <w:t xml:space="preserve"> 50 research studies and reform experiments, originating from TNP2K requests, as well as 2 pilot projects and 2 techni</w:t>
      </w:r>
      <w:r w:rsidR="009F622D">
        <w:rPr>
          <w:color w:val="000000" w:themeColor="text1"/>
        </w:rPr>
        <w:t>cal assistance programs</w:t>
      </w:r>
      <w:r w:rsidRPr="00603EF1">
        <w:rPr>
          <w:color w:val="000000" w:themeColor="text1"/>
        </w:rPr>
        <w:t xml:space="preserve"> initiated by DFAT. Initially, PRSF’s activity bud</w:t>
      </w:r>
      <w:r w:rsidR="0043167B">
        <w:rPr>
          <w:color w:val="000000" w:themeColor="text1"/>
        </w:rPr>
        <w:t>get was set at approximately $</w:t>
      </w:r>
      <w:r w:rsidRPr="00603EF1">
        <w:rPr>
          <w:color w:val="000000" w:themeColor="text1"/>
        </w:rPr>
        <w:t xml:space="preserve">15 million over four years, but </w:t>
      </w:r>
      <w:r w:rsidR="00C53C55">
        <w:rPr>
          <w:color w:val="000000" w:themeColor="text1"/>
        </w:rPr>
        <w:t xml:space="preserve">in line with planned scaling up of the Australian Aid Program in Indonesia at the time and </w:t>
      </w:r>
      <w:r w:rsidRPr="00603EF1">
        <w:rPr>
          <w:color w:val="000000" w:themeColor="text1"/>
        </w:rPr>
        <w:t xml:space="preserve">in order to </w:t>
      </w:r>
      <w:r w:rsidR="00C53C55">
        <w:rPr>
          <w:color w:val="000000" w:themeColor="text1"/>
        </w:rPr>
        <w:t>encourage</w:t>
      </w:r>
      <w:r w:rsidRPr="00603EF1">
        <w:rPr>
          <w:color w:val="000000" w:themeColor="text1"/>
        </w:rPr>
        <w:t xml:space="preserve"> a rapid pace of </w:t>
      </w:r>
      <w:proofErr w:type="gramStart"/>
      <w:r w:rsidRPr="00603EF1">
        <w:rPr>
          <w:color w:val="000000" w:themeColor="text1"/>
        </w:rPr>
        <w:t>implementation</w:t>
      </w:r>
      <w:r w:rsidR="009F622D">
        <w:rPr>
          <w:color w:val="000000" w:themeColor="text1"/>
        </w:rPr>
        <w:t>,</w:t>
      </w:r>
      <w:proofErr w:type="gramEnd"/>
      <w:r w:rsidRPr="00603EF1">
        <w:rPr>
          <w:color w:val="000000" w:themeColor="text1"/>
        </w:rPr>
        <w:t xml:space="preserve"> PRSF’s contract was amended t</w:t>
      </w:r>
      <w:r w:rsidR="00C53C55">
        <w:rPr>
          <w:color w:val="000000" w:themeColor="text1"/>
        </w:rPr>
        <w:t>o add</w:t>
      </w:r>
      <w:r w:rsidRPr="00603EF1">
        <w:rPr>
          <w:color w:val="000000" w:themeColor="text1"/>
        </w:rPr>
        <w:t xml:space="preserve"> additional funding </w:t>
      </w:r>
      <w:r>
        <w:rPr>
          <w:color w:val="000000" w:themeColor="text1"/>
        </w:rPr>
        <w:t>to</w:t>
      </w:r>
      <w:r w:rsidR="00C53C55">
        <w:rPr>
          <w:color w:val="000000" w:themeColor="text1"/>
        </w:rPr>
        <w:t xml:space="preserve"> TNP2K’s</w:t>
      </w:r>
      <w:r w:rsidRPr="00603EF1">
        <w:rPr>
          <w:color w:val="000000" w:themeColor="text1"/>
        </w:rPr>
        <w:t xml:space="preserve"> activity budget</w:t>
      </w:r>
      <w:r w:rsidR="00C53C55">
        <w:rPr>
          <w:color w:val="000000" w:themeColor="text1"/>
        </w:rPr>
        <w:t>. That amendment also allowed</w:t>
      </w:r>
      <w:r w:rsidRPr="00603EF1">
        <w:rPr>
          <w:color w:val="000000" w:themeColor="text1"/>
        </w:rPr>
        <w:t xml:space="preserve"> PRSF to have additional administrative resources to manage the increased budget. The total expenditure as o</w:t>
      </w:r>
      <w:r w:rsidR="0043167B">
        <w:rPr>
          <w:color w:val="000000" w:themeColor="text1"/>
        </w:rPr>
        <w:t xml:space="preserve">f the end </w:t>
      </w:r>
      <w:r w:rsidR="009F622D">
        <w:rPr>
          <w:color w:val="000000" w:themeColor="text1"/>
        </w:rPr>
        <w:t xml:space="preserve">of </w:t>
      </w:r>
      <w:r w:rsidR="0043167B">
        <w:rPr>
          <w:color w:val="000000" w:themeColor="text1"/>
        </w:rPr>
        <w:t>September 2014 is $</w:t>
      </w:r>
      <w:r w:rsidRPr="00603EF1">
        <w:rPr>
          <w:color w:val="000000" w:themeColor="text1"/>
        </w:rPr>
        <w:t>76.8 million of whi</w:t>
      </w:r>
      <w:r w:rsidR="0043167B">
        <w:rPr>
          <w:color w:val="000000" w:themeColor="text1"/>
        </w:rPr>
        <w:t>ch $</w:t>
      </w:r>
      <w:r w:rsidRPr="00603EF1">
        <w:rPr>
          <w:color w:val="000000" w:themeColor="text1"/>
        </w:rPr>
        <w:t>51.7 milli</w:t>
      </w:r>
      <w:r w:rsidR="009F622D">
        <w:rPr>
          <w:color w:val="000000" w:themeColor="text1"/>
        </w:rPr>
        <w:t>on has been expended on implementation of activities</w:t>
      </w:r>
      <w:r w:rsidRPr="00603EF1">
        <w:rPr>
          <w:color w:val="000000" w:themeColor="text1"/>
        </w:rPr>
        <w:t>. The current total forecast for FY14</w:t>
      </w:r>
      <w:r>
        <w:rPr>
          <w:color w:val="000000" w:themeColor="text1"/>
        </w:rPr>
        <w:t>-</w:t>
      </w:r>
      <w:r w:rsidR="0043167B">
        <w:rPr>
          <w:color w:val="000000" w:themeColor="text1"/>
        </w:rPr>
        <w:t>15 is $</w:t>
      </w:r>
      <w:r w:rsidRPr="00603EF1">
        <w:rPr>
          <w:color w:val="000000" w:themeColor="text1"/>
        </w:rPr>
        <w:t>37.9 million.</w:t>
      </w:r>
    </w:p>
    <w:p w14:paraId="5CE01AE4" w14:textId="5D2A8CF8" w:rsidR="00830EAC" w:rsidRPr="00830EAC" w:rsidRDefault="00465176" w:rsidP="0043167B">
      <w:pPr>
        <w:pStyle w:val="Heading3"/>
        <w:spacing w:before="120" w:after="120"/>
      </w:pPr>
      <w:bookmarkStart w:id="10" w:name="_Toc424302598"/>
      <w:r>
        <w:t>The DFAT W</w:t>
      </w:r>
      <w:r w:rsidR="00830EAC" w:rsidRPr="00830EAC">
        <w:t>indow</w:t>
      </w:r>
      <w:bookmarkEnd w:id="10"/>
      <w:r w:rsidR="00830EAC" w:rsidRPr="00830EAC">
        <w:t xml:space="preserve"> </w:t>
      </w:r>
    </w:p>
    <w:p w14:paraId="1C7484E8" w14:textId="77777777" w:rsidR="00830EAC" w:rsidRPr="00603EF1" w:rsidRDefault="00830EAC" w:rsidP="0041783A">
      <w:pPr>
        <w:tabs>
          <w:tab w:val="left" w:pos="3119"/>
        </w:tabs>
        <w:spacing w:after="120"/>
        <w:rPr>
          <w:rFonts w:cs="Calibri"/>
          <w:color w:val="000000" w:themeColor="text1"/>
        </w:rPr>
      </w:pPr>
      <w:r w:rsidRPr="00603EF1">
        <w:rPr>
          <w:rFonts w:cs="Calibri"/>
          <w:color w:val="000000" w:themeColor="text1"/>
        </w:rPr>
        <w:t>Besides direct support to TNP2K, PRSF supports the implementation of two distinct DFAT windows, which complement and reinforce the support given to TNP2K:</w:t>
      </w:r>
    </w:p>
    <w:p w14:paraId="3D1B7739" w14:textId="77777777" w:rsidR="00830EAC" w:rsidRPr="00603EF1" w:rsidRDefault="00830EAC" w:rsidP="0041783A">
      <w:pPr>
        <w:pStyle w:val="ListParagraph"/>
        <w:numPr>
          <w:ilvl w:val="0"/>
          <w:numId w:val="20"/>
        </w:numPr>
      </w:pPr>
      <w:r w:rsidRPr="00603EF1">
        <w:t xml:space="preserve">The </w:t>
      </w:r>
      <w:r>
        <w:t>DFAT-supported social protection and poverty reduction</w:t>
      </w:r>
      <w:r w:rsidRPr="00603EF1">
        <w:t xml:space="preserve"> activities</w:t>
      </w:r>
      <w:r>
        <w:t xml:space="preserve"> window</w:t>
      </w:r>
      <w:r w:rsidRPr="00603EF1">
        <w:t xml:space="preserve"> includes:</w:t>
      </w:r>
    </w:p>
    <w:p w14:paraId="61B98F5C" w14:textId="77777777" w:rsidR="00830EAC" w:rsidRPr="00603EF1" w:rsidRDefault="00830EAC" w:rsidP="0041783A">
      <w:pPr>
        <w:pStyle w:val="ListParagraph"/>
        <w:numPr>
          <w:ilvl w:val="1"/>
          <w:numId w:val="20"/>
        </w:numPr>
      </w:pPr>
      <w:r w:rsidRPr="00603EF1">
        <w:t xml:space="preserve">Experimentation and pilots, in safe migration and community-based </w:t>
      </w:r>
      <w:r>
        <w:t xml:space="preserve">poverty </w:t>
      </w:r>
      <w:r w:rsidRPr="00603EF1">
        <w:t>monitoring;</w:t>
      </w:r>
    </w:p>
    <w:p w14:paraId="26BDAB78" w14:textId="77777777" w:rsidR="00830EAC" w:rsidRPr="00603EF1" w:rsidRDefault="00830EAC" w:rsidP="0041783A">
      <w:pPr>
        <w:pStyle w:val="ListParagraph"/>
        <w:numPr>
          <w:ilvl w:val="1"/>
          <w:numId w:val="20"/>
        </w:numPr>
      </w:pPr>
      <w:r w:rsidRPr="00603EF1">
        <w:t>Co-funding technical assistance to the health sector with GIZ;</w:t>
      </w:r>
    </w:p>
    <w:p w14:paraId="5567D569" w14:textId="77777777" w:rsidR="00830EAC" w:rsidRPr="00603EF1" w:rsidRDefault="00830EAC" w:rsidP="0041783A">
      <w:pPr>
        <w:pStyle w:val="ListParagraph"/>
        <w:numPr>
          <w:ilvl w:val="1"/>
          <w:numId w:val="20"/>
        </w:numPr>
      </w:pPr>
      <w:r w:rsidRPr="00603EF1">
        <w:t>The Integrated referral system;</w:t>
      </w:r>
    </w:p>
    <w:p w14:paraId="0B730D8A" w14:textId="77777777" w:rsidR="00830EAC" w:rsidRPr="00603EF1" w:rsidRDefault="00830EAC" w:rsidP="0041783A">
      <w:pPr>
        <w:pStyle w:val="ListParagraph"/>
        <w:numPr>
          <w:ilvl w:val="1"/>
          <w:numId w:val="20"/>
        </w:numPr>
      </w:pPr>
      <w:r w:rsidRPr="00603EF1">
        <w:t>Social protection umbrella activities;</w:t>
      </w:r>
    </w:p>
    <w:p w14:paraId="57DB2C4A" w14:textId="77777777" w:rsidR="00830EAC" w:rsidRPr="00603EF1" w:rsidRDefault="00830EAC" w:rsidP="0041783A">
      <w:pPr>
        <w:pStyle w:val="ListParagraph"/>
        <w:numPr>
          <w:ilvl w:val="1"/>
          <w:numId w:val="20"/>
        </w:numPr>
      </w:pPr>
      <w:r w:rsidRPr="00603EF1">
        <w:t xml:space="preserve">Support to </w:t>
      </w:r>
      <w:proofErr w:type="spellStart"/>
      <w:r w:rsidR="0011639D">
        <w:t>Bappenas</w:t>
      </w:r>
      <w:proofErr w:type="spellEnd"/>
      <w:r w:rsidR="0011639D">
        <w:t xml:space="preserve"> for the </w:t>
      </w:r>
      <w:r w:rsidRPr="00603EF1">
        <w:t xml:space="preserve">drafting of a </w:t>
      </w:r>
      <w:r w:rsidR="0011639D">
        <w:t>medium development plan (MP3KI).</w:t>
      </w:r>
    </w:p>
    <w:p w14:paraId="0E3F05D4" w14:textId="77777777" w:rsidR="00830EAC" w:rsidRPr="00603EF1" w:rsidRDefault="00830EAC" w:rsidP="0041783A">
      <w:pPr>
        <w:pStyle w:val="ListParagraph"/>
        <w:numPr>
          <w:ilvl w:val="0"/>
          <w:numId w:val="20"/>
        </w:numPr>
      </w:pPr>
      <w:r w:rsidRPr="00603EF1">
        <w:t>Technical Assistance for PNPM, through whic</w:t>
      </w:r>
      <w:r w:rsidR="0043167B">
        <w:t>h around 20 technical advisers</w:t>
      </w:r>
      <w:r w:rsidRPr="00603EF1">
        <w:t xml:space="preserve"> </w:t>
      </w:r>
      <w:r w:rsidR="0043167B">
        <w:t>ar</w:t>
      </w:r>
      <w:r>
        <w:t>e</w:t>
      </w:r>
      <w:r w:rsidRPr="00603EF1">
        <w:t xml:space="preserve"> supporting </w:t>
      </w:r>
      <w:r w:rsidR="0011639D">
        <w:t xml:space="preserve">the </w:t>
      </w:r>
      <w:r w:rsidRPr="00603EF1">
        <w:t>implementing agencies of PNPM</w:t>
      </w:r>
      <w:r w:rsidR="0011639D">
        <w:t xml:space="preserve"> and the new Village Law</w:t>
      </w:r>
      <w:r w:rsidRPr="00603EF1">
        <w:t>.</w:t>
      </w:r>
    </w:p>
    <w:p w14:paraId="22CF3B8F" w14:textId="77777777" w:rsidR="00830EAC" w:rsidRDefault="00830EAC" w:rsidP="0043167B">
      <w:pPr>
        <w:pStyle w:val="Heading2"/>
        <w:spacing w:before="120" w:after="120"/>
      </w:pPr>
      <w:bookmarkStart w:id="11" w:name="_Toc424302599"/>
      <w:r>
        <w:t>What is PRSF?</w:t>
      </w:r>
      <w:bookmarkEnd w:id="11"/>
    </w:p>
    <w:p w14:paraId="032C9081" w14:textId="77777777" w:rsidR="00374C8A" w:rsidRDefault="0046649D" w:rsidP="00374C8A">
      <w:r>
        <w:t>In some ways the name “The Poverty R</w:t>
      </w:r>
      <w:r w:rsidR="0043167B">
        <w:t>eduction Support Facility</w:t>
      </w:r>
      <w:r>
        <w:t>”, makes the purpose and role of the facility self-evident. It is not a traditional program with a set of discrete objectives of its own. It was conceived and then later designed to support the Government of Indonesia in its efforts to accelerate poverty reduction in Indonesia.  For something that sounds relat</w:t>
      </w:r>
      <w:r w:rsidR="0043167B">
        <w:t>ively straight forward, there are</w:t>
      </w:r>
      <w:r>
        <w:t xml:space="preserve"> many ways to interpret this role. Does it mean that PRSF is simply a “body shop” whose job is to respond to whatever it is asked to do? If so, who does the facility respond to, the Government of Indonesia? </w:t>
      </w:r>
      <w:proofErr w:type="gramStart"/>
      <w:r>
        <w:t>The Government of Australia?</w:t>
      </w:r>
      <w:proofErr w:type="gramEnd"/>
      <w:r>
        <w:t xml:space="preserve"> </w:t>
      </w:r>
      <w:proofErr w:type="gramStart"/>
      <w:r>
        <w:t>Both?</w:t>
      </w:r>
      <w:proofErr w:type="gramEnd"/>
      <w:r>
        <w:t xml:space="preserve"> Should PRSF have the technical capacity to engage in substance </w:t>
      </w:r>
      <w:r w:rsidR="002A0929">
        <w:t>with TNP2K and other Government bodies or should it be content to just procure what is required? Can the facility efficiently procure what is required if it doesn’t understand the substance of the policy issues being addressed?</w:t>
      </w:r>
    </w:p>
    <w:p w14:paraId="5FB05723" w14:textId="77777777" w:rsidR="002A0929" w:rsidRDefault="008D667B" w:rsidP="00374C8A">
      <w:r>
        <w:rPr>
          <w:noProof/>
          <w:lang w:eastAsia="en-AU"/>
        </w:rPr>
        <mc:AlternateContent>
          <mc:Choice Requires="wps">
            <w:drawing>
              <wp:anchor distT="0" distB="0" distL="114300" distR="114300" simplePos="0" relativeHeight="251659264" behindDoc="0" locked="0" layoutInCell="1" allowOverlap="1" wp14:anchorId="4BCA8026" wp14:editId="32A30BF2">
                <wp:simplePos x="0" y="0"/>
                <wp:positionH relativeFrom="column">
                  <wp:posOffset>8087</wp:posOffset>
                </wp:positionH>
                <wp:positionV relativeFrom="paragraph">
                  <wp:posOffset>0</wp:posOffset>
                </wp:positionV>
                <wp:extent cx="5753100" cy="27336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7336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7CF519F" w14:textId="77777777" w:rsidR="000E0AE5" w:rsidRPr="008D667B" w:rsidRDefault="000E0AE5" w:rsidP="00E73474">
                            <w:pPr>
                              <w:autoSpaceDE w:val="0"/>
                              <w:autoSpaceDN w:val="0"/>
                              <w:adjustRightInd w:val="0"/>
                              <w:spacing w:after="120" w:line="240" w:lineRule="auto"/>
                              <w:rPr>
                                <w:rFonts w:ascii="Times New Roman" w:hAnsi="Times New Roman" w:cs="Times New Roman"/>
                                <w:b/>
                              </w:rPr>
                            </w:pPr>
                            <w:r>
                              <w:rPr>
                                <w:rFonts w:ascii="Times New Roman" w:hAnsi="Times New Roman" w:cs="Times New Roman"/>
                                <w:b/>
                              </w:rPr>
                              <w:t xml:space="preserve">Box 1: </w:t>
                            </w:r>
                            <w:r w:rsidRPr="008D667B">
                              <w:rPr>
                                <w:rFonts w:ascii="Times New Roman" w:hAnsi="Times New Roman" w:cs="Times New Roman"/>
                                <w:b/>
                              </w:rPr>
                              <w:t>Concept of PRSF in the Design (December 2010)</w:t>
                            </w:r>
                          </w:p>
                          <w:p w14:paraId="777B2BFB" w14:textId="77777777" w:rsidR="000E0AE5" w:rsidRDefault="000E0AE5" w:rsidP="008D667B">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This concept proposes a multi-donor support facility managed by AusAID to support the new Vice-Presidential National Team for Accelerating Poverty Reduction. The purpose of the Vice President’s inter-ministerial National Team is to develop an overarching policy framework that unites all of the Government of Indonesia’s (</w:t>
                            </w:r>
                            <w:proofErr w:type="spellStart"/>
                            <w:r>
                              <w:rPr>
                                <w:rFonts w:ascii="Times New Roman" w:hAnsi="Times New Roman" w:cs="Times New Roman"/>
                              </w:rPr>
                              <w:t>GoI</w:t>
                            </w:r>
                            <w:proofErr w:type="spellEnd"/>
                            <w:r>
                              <w:rPr>
                                <w:rFonts w:ascii="Times New Roman" w:hAnsi="Times New Roman" w:cs="Times New Roman"/>
                              </w:rPr>
                              <w:t>) social assistance and poverty programs. Policy will be enforced through oversight of the budget.</w:t>
                            </w:r>
                          </w:p>
                          <w:p w14:paraId="4B53399D" w14:textId="77777777" w:rsidR="000E0AE5" w:rsidRDefault="000E0AE5" w:rsidP="008D667B">
                            <w:pPr>
                              <w:autoSpaceDE w:val="0"/>
                              <w:autoSpaceDN w:val="0"/>
                              <w:adjustRightInd w:val="0"/>
                              <w:spacing w:after="0" w:line="240" w:lineRule="auto"/>
                              <w:rPr>
                                <w:rFonts w:ascii="Times New Roman" w:hAnsi="Times New Roman" w:cs="Times New Roman"/>
                              </w:rPr>
                            </w:pPr>
                          </w:p>
                          <w:p w14:paraId="52D61892" w14:textId="77777777" w:rsidR="000E0AE5" w:rsidRDefault="000E0AE5" w:rsidP="008D667B">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Indonesia’s Vice President has asked AusAID and the World Bank to coordinate donor support to the National Team. AusAID support will provide policy analysis, technical assistance, logistical management, and training. This assistance will help </w:t>
                            </w:r>
                            <w:proofErr w:type="spellStart"/>
                            <w:r>
                              <w:rPr>
                                <w:rFonts w:ascii="Times New Roman" w:hAnsi="Times New Roman" w:cs="Times New Roman"/>
                              </w:rPr>
                              <w:t>GoI</w:t>
                            </w:r>
                            <w:proofErr w:type="spellEnd"/>
                            <w:r>
                              <w:rPr>
                                <w:rFonts w:ascii="Times New Roman" w:hAnsi="Times New Roman" w:cs="Times New Roman"/>
                              </w:rPr>
                              <w:t xml:space="preserve"> define policy options; to translate their policy choices into operational programs; and to provide high quality monitoring and evaluation.</w:t>
                            </w:r>
                          </w:p>
                          <w:p w14:paraId="7A797F63" w14:textId="77777777" w:rsidR="000E0AE5" w:rsidRDefault="000E0AE5" w:rsidP="008D667B">
                            <w:pPr>
                              <w:autoSpaceDE w:val="0"/>
                              <w:autoSpaceDN w:val="0"/>
                              <w:adjustRightInd w:val="0"/>
                              <w:spacing w:after="0" w:line="240" w:lineRule="auto"/>
                              <w:rPr>
                                <w:rFonts w:ascii="Times New Roman" w:hAnsi="Times New Roman" w:cs="Times New Roman"/>
                              </w:rPr>
                            </w:pPr>
                          </w:p>
                          <w:p w14:paraId="2218FDD1" w14:textId="77777777" w:rsidR="000E0AE5" w:rsidRDefault="000E0AE5" w:rsidP="008D667B">
                            <w:pPr>
                              <w:autoSpaceDE w:val="0"/>
                              <w:autoSpaceDN w:val="0"/>
                              <w:adjustRightInd w:val="0"/>
                              <w:spacing w:after="0" w:line="240" w:lineRule="auto"/>
                            </w:pPr>
                            <w:r>
                              <w:rPr>
                                <w:rFonts w:ascii="Times New Roman" w:hAnsi="Times New Roman" w:cs="Times New Roman"/>
                              </w:rPr>
                              <w:t xml:space="preserve">The project team rates the overall riskiness of this program as </w:t>
                            </w:r>
                            <w:r>
                              <w:rPr>
                                <w:rFonts w:ascii="Times New Roman" w:hAnsi="Times New Roman" w:cs="Times New Roman"/>
                                <w:b/>
                                <w:bCs/>
                              </w:rPr>
                              <w:t>high</w:t>
                            </w:r>
                            <w:r>
                              <w:rPr>
                                <w:rFonts w:ascii="Times New Roman" w:hAnsi="Times New Roman" w:cs="Times New Roman"/>
                              </w:rPr>
                              <w:t xml:space="preserve">. The reason for the high risk assessment is because the National Team was set up to bring order across Indonesia’s powerful ministries, who can be expected to resist consolidation and extra oversight.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5pt;margin-top:0;width:453pt;height:2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" fillcolor="white [3201]" strokecolor="#4f81bd [3204]" strokeweight="2pt">
                <v:textbox>
                  <w:txbxContent>
                    <w:p w14:paraId="47CF519F" w14:textId="77777777" w:rsidR="000E0AE5" w:rsidRPr="008D667B" w:rsidRDefault="000E0AE5" w:rsidP="00E73474">
                      <w:pPr>
                        <w:autoSpaceDE w:val="0"/>
                        <w:autoSpaceDN w:val="0"/>
                        <w:adjustRightInd w:val="0"/>
                        <w:spacing w:after="120" w:line="240" w:lineRule="auto"/>
                        <w:rPr>
                          <w:rFonts w:ascii="Times New Roman" w:hAnsi="Times New Roman" w:cs="Times New Roman"/>
                          <w:b/>
                        </w:rPr>
                      </w:pPr>
                      <w:r>
                        <w:rPr>
                          <w:rFonts w:ascii="Times New Roman" w:hAnsi="Times New Roman" w:cs="Times New Roman"/>
                          <w:b/>
                        </w:rPr>
                        <w:t xml:space="preserve">Box 1: </w:t>
                      </w:r>
                      <w:r w:rsidRPr="008D667B">
                        <w:rPr>
                          <w:rFonts w:ascii="Times New Roman" w:hAnsi="Times New Roman" w:cs="Times New Roman"/>
                          <w:b/>
                        </w:rPr>
                        <w:t>Concept of PRSF in the Design (December 2010)</w:t>
                      </w:r>
                    </w:p>
                    <w:p w14:paraId="777B2BFB" w14:textId="77777777" w:rsidR="000E0AE5" w:rsidRDefault="000E0AE5" w:rsidP="008D667B">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This concept proposes a multi-donor support facility managed by AusAID to support the new Vice-Presidential National Team for Accelerating Poverty Reduction. The purpose of the Vice President’s inter-ministerial National Team is to develop an overarching policy framework that unites all of the Government of Indonesia’s (</w:t>
                      </w:r>
                      <w:proofErr w:type="spellStart"/>
                      <w:r>
                        <w:rPr>
                          <w:rFonts w:ascii="Times New Roman" w:hAnsi="Times New Roman" w:cs="Times New Roman"/>
                        </w:rPr>
                        <w:t>GoI</w:t>
                      </w:r>
                      <w:proofErr w:type="spellEnd"/>
                      <w:r>
                        <w:rPr>
                          <w:rFonts w:ascii="Times New Roman" w:hAnsi="Times New Roman" w:cs="Times New Roman"/>
                        </w:rPr>
                        <w:t>) social assistance and poverty programs. Policy will be enforced through oversight of the budget.</w:t>
                      </w:r>
                    </w:p>
                    <w:p w14:paraId="4B53399D" w14:textId="77777777" w:rsidR="000E0AE5" w:rsidRDefault="000E0AE5" w:rsidP="008D667B">
                      <w:pPr>
                        <w:autoSpaceDE w:val="0"/>
                        <w:autoSpaceDN w:val="0"/>
                        <w:adjustRightInd w:val="0"/>
                        <w:spacing w:after="0" w:line="240" w:lineRule="auto"/>
                        <w:rPr>
                          <w:rFonts w:ascii="Times New Roman" w:hAnsi="Times New Roman" w:cs="Times New Roman"/>
                        </w:rPr>
                      </w:pPr>
                    </w:p>
                    <w:p w14:paraId="52D61892" w14:textId="77777777" w:rsidR="000E0AE5" w:rsidRDefault="000E0AE5" w:rsidP="008D667B">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Indonesia’s Vice President has asked AusAID and the World Bank to coordinate donor support to the National Team. AusAID support will provide policy analysis, technical assistance, logistical management, and training. This assistance will help </w:t>
                      </w:r>
                      <w:proofErr w:type="spellStart"/>
                      <w:r>
                        <w:rPr>
                          <w:rFonts w:ascii="Times New Roman" w:hAnsi="Times New Roman" w:cs="Times New Roman"/>
                        </w:rPr>
                        <w:t>GoI</w:t>
                      </w:r>
                      <w:proofErr w:type="spellEnd"/>
                      <w:r>
                        <w:rPr>
                          <w:rFonts w:ascii="Times New Roman" w:hAnsi="Times New Roman" w:cs="Times New Roman"/>
                        </w:rPr>
                        <w:t xml:space="preserve"> define policy options; to translate their policy choices into operational programs; and to provide high quality monitoring and evaluation.</w:t>
                      </w:r>
                    </w:p>
                    <w:p w14:paraId="7A797F63" w14:textId="77777777" w:rsidR="000E0AE5" w:rsidRDefault="000E0AE5" w:rsidP="008D667B">
                      <w:pPr>
                        <w:autoSpaceDE w:val="0"/>
                        <w:autoSpaceDN w:val="0"/>
                        <w:adjustRightInd w:val="0"/>
                        <w:spacing w:after="0" w:line="240" w:lineRule="auto"/>
                        <w:rPr>
                          <w:rFonts w:ascii="Times New Roman" w:hAnsi="Times New Roman" w:cs="Times New Roman"/>
                        </w:rPr>
                      </w:pPr>
                    </w:p>
                    <w:p w14:paraId="2218FDD1" w14:textId="77777777" w:rsidR="000E0AE5" w:rsidRDefault="000E0AE5" w:rsidP="008D667B">
                      <w:pPr>
                        <w:autoSpaceDE w:val="0"/>
                        <w:autoSpaceDN w:val="0"/>
                        <w:adjustRightInd w:val="0"/>
                        <w:spacing w:after="0" w:line="240" w:lineRule="auto"/>
                      </w:pPr>
                      <w:r>
                        <w:rPr>
                          <w:rFonts w:ascii="Times New Roman" w:hAnsi="Times New Roman" w:cs="Times New Roman"/>
                        </w:rPr>
                        <w:t xml:space="preserve">The project team rates the overall riskiness of this program as </w:t>
                      </w:r>
                      <w:r>
                        <w:rPr>
                          <w:rFonts w:ascii="Times New Roman" w:hAnsi="Times New Roman" w:cs="Times New Roman"/>
                          <w:b/>
                          <w:bCs/>
                        </w:rPr>
                        <w:t>high</w:t>
                      </w:r>
                      <w:r>
                        <w:rPr>
                          <w:rFonts w:ascii="Times New Roman" w:hAnsi="Times New Roman" w:cs="Times New Roman"/>
                        </w:rPr>
                        <w:t xml:space="preserve">. The reason for the high risk assessment is because the National Team was set up to bring order across Indonesia’s powerful ministries, who can be expected to resist consolidation and extra oversight. </w:t>
                      </w:r>
                    </w:p>
                  </w:txbxContent>
                </v:textbox>
              </v:shape>
            </w:pict>
          </mc:Fallback>
        </mc:AlternateContent>
      </w:r>
    </w:p>
    <w:p w14:paraId="0B0BD55A" w14:textId="77777777" w:rsidR="002A0929" w:rsidRDefault="002A0929" w:rsidP="00374C8A"/>
    <w:p w14:paraId="60049CEF" w14:textId="77777777" w:rsidR="002A0929" w:rsidRDefault="002A0929" w:rsidP="00374C8A"/>
    <w:p w14:paraId="2C05625B" w14:textId="77777777" w:rsidR="002A0929" w:rsidRDefault="002A0929" w:rsidP="00374C8A"/>
    <w:p w14:paraId="659AF541" w14:textId="77777777" w:rsidR="002A0929" w:rsidRDefault="002A0929" w:rsidP="00374C8A"/>
    <w:p w14:paraId="04BFA14C" w14:textId="77777777" w:rsidR="002A0929" w:rsidRDefault="002A0929" w:rsidP="00374C8A"/>
    <w:p w14:paraId="469B9C8D" w14:textId="77777777" w:rsidR="002A0929" w:rsidRDefault="002A0929" w:rsidP="00374C8A"/>
    <w:p w14:paraId="5AD1B30D" w14:textId="77777777" w:rsidR="002A0929" w:rsidRDefault="002A0929" w:rsidP="00374C8A"/>
    <w:p w14:paraId="39CECDCB" w14:textId="77777777" w:rsidR="00085C8E" w:rsidRDefault="00085C8E" w:rsidP="00085C8E">
      <w:pPr>
        <w:spacing w:after="240"/>
      </w:pPr>
    </w:p>
    <w:p w14:paraId="4DB9B6F1" w14:textId="77777777" w:rsidR="00085C8E" w:rsidRDefault="00085C8E" w:rsidP="00085C8E">
      <w:pPr>
        <w:spacing w:after="240"/>
      </w:pPr>
      <w:r>
        <w:t xml:space="preserve">These are all questions that it would be ideal to address in the design process, but in reality, have probably only been fully resolved in the last 6 months of the program. Like all good development activities PRSF has evolved along the way as it adapted to demands from TNP2K, other government agencies and the Australian Embassy. It might be said that a defining feature of PRSF is that it was not </w:t>
      </w:r>
      <w:r w:rsidR="0043167B">
        <w:t xml:space="preserve">all that well </w:t>
      </w:r>
      <w:r>
        <w:t xml:space="preserve">defined early on allowing it to change as required. As Box 1 illustrates the remit was extremely wide and </w:t>
      </w:r>
      <w:r w:rsidR="000D14EA">
        <w:t xml:space="preserve">largely </w:t>
      </w:r>
      <w:r>
        <w:t>left the detail</w:t>
      </w:r>
      <w:r w:rsidR="000D14EA">
        <w:t>s</w:t>
      </w:r>
      <w:r>
        <w:t xml:space="preserve"> to be worked out between the stakeholders</w:t>
      </w:r>
      <w:r w:rsidR="0043167B">
        <w:t xml:space="preserve"> as priorities emerged</w:t>
      </w:r>
      <w:r>
        <w:t>.</w:t>
      </w:r>
      <w:r w:rsidR="0043167B">
        <w:t xml:space="preserve"> Flexibility if you like was the underlying theme.</w:t>
      </w:r>
    </w:p>
    <w:p w14:paraId="68AC1F5A" w14:textId="4E7B6865" w:rsidR="00830EAC" w:rsidRDefault="008D667B" w:rsidP="00E73474">
      <w:pPr>
        <w:spacing w:before="240"/>
      </w:pPr>
      <w:r>
        <w:t xml:space="preserve">One of the really different and </w:t>
      </w:r>
      <w:r w:rsidR="00130D21">
        <w:t xml:space="preserve">potentially </w:t>
      </w:r>
      <w:r>
        <w:t>difficult</w:t>
      </w:r>
      <w:r w:rsidR="000D14EA">
        <w:t xml:space="preserve"> to manage </w:t>
      </w:r>
      <w:r>
        <w:t>features of PRSF is its relationship with TNP2K. Most facilities or programs are based on a relationship with what is usually referred to as the counterpart organisation.  In the case of PRSF, its counterpart organisation is</w:t>
      </w:r>
      <w:r w:rsidR="00E73474">
        <w:t>,</w:t>
      </w:r>
      <w:r>
        <w:t xml:space="preserve"> at a strategic level</w:t>
      </w:r>
      <w:r w:rsidR="00E73474">
        <w:t>,</w:t>
      </w:r>
      <w:r>
        <w:t xml:space="preserve"> the TNP2K itself. But this is a very senior Ministerial committee chaired by the Vice President of </w:t>
      </w:r>
      <w:proofErr w:type="spellStart"/>
      <w:proofErr w:type="gramStart"/>
      <w:r w:rsidR="009F622D">
        <w:t>indonesia</w:t>
      </w:r>
      <w:proofErr w:type="spellEnd"/>
      <w:proofErr w:type="gramEnd"/>
      <w:r>
        <w:t xml:space="preserve">. In practice the counterpart organisation for a large part of PRSF’s work is the TNP2K Secretariat. While the Secretariat is headed by a Deputy Minister who reports directly to the Vice President, all other staff, including the senior leadership team, are contracted by PRSF. In effect, PRSF were asked to employ </w:t>
      </w:r>
      <w:r w:rsidR="00AE55B5">
        <w:t xml:space="preserve">the staff for </w:t>
      </w:r>
      <w:r w:rsidR="009F622D">
        <w:t>and manage the g</w:t>
      </w:r>
      <w:r>
        <w:t xml:space="preserve">overnment body the facility was created to support.  </w:t>
      </w:r>
    </w:p>
    <w:p w14:paraId="2E3BBDCD" w14:textId="0F2F0B96" w:rsidR="00B84045" w:rsidRDefault="008D667B" w:rsidP="00E73474">
      <w:pPr>
        <w:spacing w:before="240"/>
      </w:pPr>
      <w:r>
        <w:t>There are few other programs that have this structure and the risks are easy to s</w:t>
      </w:r>
      <w:r w:rsidR="00042BE0">
        <w:t>ee. The Secretariat is</w:t>
      </w:r>
      <w:r>
        <w:t xml:space="preserve"> representing the Vice President with the force of a P</w:t>
      </w:r>
      <w:r w:rsidR="000D14EA">
        <w:t xml:space="preserve">residential Regulation </w:t>
      </w:r>
      <w:r>
        <w:t>i</w:t>
      </w:r>
      <w:r w:rsidR="00AE55B5">
        <w:t>ssued by the President himself. T</w:t>
      </w:r>
      <w:r w:rsidR="00E73474">
        <w:t>hey</w:t>
      </w:r>
      <w:r>
        <w:t xml:space="preserve"> were not a</w:t>
      </w:r>
      <w:r w:rsidR="009F622D">
        <w:t>nd could never be subject to oversight by</w:t>
      </w:r>
      <w:r>
        <w:t xml:space="preserve"> the contractor</w:t>
      </w:r>
      <w:r w:rsidR="00E73474">
        <w:t xml:space="preserve"> in any traditional sense</w:t>
      </w:r>
      <w:r>
        <w:t xml:space="preserve">. On the other hand, the head contract with GRM the managing contractor makes it clear that GRM are legally responsible for the efficient and effective use of public money. </w:t>
      </w:r>
      <w:r w:rsidR="00042BE0">
        <w:t xml:space="preserve"> For example, in Box 2 part (a) from the original Scope </w:t>
      </w:r>
      <w:r w:rsidR="00130D21">
        <w:t>o</w:t>
      </w:r>
      <w:r w:rsidR="00042BE0">
        <w:t>f Services in the contract says PRSF will be responsible for the quality of outputs</w:t>
      </w:r>
      <w:r w:rsidR="004224CA">
        <w:t xml:space="preserve"> </w:t>
      </w:r>
      <w:r w:rsidR="00AE55B5">
        <w:t xml:space="preserve">produced by technical assistance </w:t>
      </w:r>
      <w:r w:rsidR="004224CA">
        <w:t>essentially working for TNP2K</w:t>
      </w:r>
      <w:r w:rsidR="00042BE0">
        <w:t xml:space="preserve">. </w:t>
      </w:r>
    </w:p>
    <w:p w14:paraId="44ED2FD9" w14:textId="77777777" w:rsidR="00B84045" w:rsidRDefault="00E73474" w:rsidP="00374C8A">
      <w:r>
        <w:rPr>
          <w:noProof/>
          <w:lang w:eastAsia="en-AU"/>
        </w:rPr>
        <mc:AlternateContent>
          <mc:Choice Requires="wps">
            <w:drawing>
              <wp:anchor distT="0" distB="0" distL="114300" distR="114300" simplePos="0" relativeHeight="251661312" behindDoc="0" locked="0" layoutInCell="1" allowOverlap="1" wp14:anchorId="340E0A19" wp14:editId="7A5087CE">
                <wp:simplePos x="0" y="0"/>
                <wp:positionH relativeFrom="column">
                  <wp:posOffset>9525</wp:posOffset>
                </wp:positionH>
                <wp:positionV relativeFrom="paragraph">
                  <wp:posOffset>26035</wp:posOffset>
                </wp:positionV>
                <wp:extent cx="5584190" cy="3228975"/>
                <wp:effectExtent l="0" t="0" r="1651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32289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E8A73B9" w14:textId="77777777" w:rsidR="000E0AE5" w:rsidRPr="00B84045" w:rsidRDefault="000E0AE5">
                            <w:pPr>
                              <w:rPr>
                                <w:b/>
                              </w:rPr>
                            </w:pPr>
                            <w:r w:rsidRPr="00B84045">
                              <w:rPr>
                                <w:b/>
                              </w:rPr>
                              <w:t>Box 2: Original Scope of Services 2010</w:t>
                            </w:r>
                          </w:p>
                          <w:p w14:paraId="208687E8" w14:textId="77777777" w:rsidR="000E0AE5" w:rsidRDefault="000E0AE5" w:rsidP="00B84045">
                            <w:pPr>
                              <w:spacing w:after="240" w:line="240" w:lineRule="auto"/>
                            </w:pPr>
                            <w:r w:rsidRPr="00F448B0">
                              <w:t>The Facility will support four main areas of work:</w:t>
                            </w:r>
                          </w:p>
                          <w:p w14:paraId="641880F5" w14:textId="77777777" w:rsidR="000E0AE5" w:rsidRPr="00B57F86" w:rsidRDefault="000E0AE5" w:rsidP="00B84045">
                            <w:pPr>
                              <w:numPr>
                                <w:ilvl w:val="2"/>
                                <w:numId w:val="5"/>
                              </w:numPr>
                              <w:spacing w:after="240" w:line="240" w:lineRule="auto"/>
                            </w:pPr>
                            <w:r w:rsidRPr="00B57F86">
                              <w:rPr>
                                <w:b/>
                                <w:i/>
                              </w:rPr>
                              <w:t>Assistance to the National Team Secretariat</w:t>
                            </w:r>
                            <w:r w:rsidRPr="00B57F86">
                              <w:t xml:space="preserve">:  Providing support approximately 60 full-time positions and </w:t>
                            </w:r>
                            <w:proofErr w:type="gramStart"/>
                            <w:r w:rsidRPr="00B57F86">
                              <w:t>oversee</w:t>
                            </w:r>
                            <w:proofErr w:type="gramEnd"/>
                            <w:r w:rsidRPr="00B57F86">
                              <w:t xml:space="preserve"> the technical assistance management including quality of their outputs.</w:t>
                            </w:r>
                          </w:p>
                          <w:p w14:paraId="1B182141" w14:textId="77777777" w:rsidR="000E0AE5" w:rsidRPr="00B57F86" w:rsidRDefault="000E0AE5" w:rsidP="00B84045">
                            <w:pPr>
                              <w:numPr>
                                <w:ilvl w:val="2"/>
                                <w:numId w:val="5"/>
                              </w:numPr>
                              <w:spacing w:after="240" w:line="240" w:lineRule="auto"/>
                            </w:pPr>
                            <w:r w:rsidRPr="00B57F86">
                              <w:rPr>
                                <w:b/>
                                <w:i/>
                              </w:rPr>
                              <w:t>Hiring premises and purchasing equipment</w:t>
                            </w:r>
                            <w:r w:rsidRPr="00B57F86">
                              <w:t xml:space="preserve">:  Conducting all aspects of office management including security, paying office rent and utilities and maintaining equipment. </w:t>
                            </w:r>
                          </w:p>
                          <w:p w14:paraId="07C083D2" w14:textId="77777777" w:rsidR="000E0AE5" w:rsidRPr="00B57F86" w:rsidRDefault="000E0AE5" w:rsidP="00B84045">
                            <w:pPr>
                              <w:numPr>
                                <w:ilvl w:val="2"/>
                                <w:numId w:val="5"/>
                              </w:numPr>
                              <w:spacing w:after="240" w:line="240" w:lineRule="auto"/>
                            </w:pPr>
                            <w:r w:rsidRPr="00B57F86">
                              <w:rPr>
                                <w:b/>
                                <w:i/>
                              </w:rPr>
                              <w:t>Activities:</w:t>
                            </w:r>
                            <w:r w:rsidRPr="00B57F86">
                              <w:t xml:space="preserve">  Undertaking various types of work as directed by the Facility Steering Committee (FSC) such as evaluations, pilots, workshops and conferences.</w:t>
                            </w:r>
                          </w:p>
                          <w:p w14:paraId="7F8DD485" w14:textId="77777777" w:rsidR="000E0AE5" w:rsidRPr="00B57F86" w:rsidRDefault="000E0AE5" w:rsidP="00B84045">
                            <w:pPr>
                              <w:numPr>
                                <w:ilvl w:val="2"/>
                                <w:numId w:val="5"/>
                              </w:numPr>
                              <w:spacing w:after="240" w:line="240" w:lineRule="auto"/>
                              <w:rPr>
                                <w:i/>
                              </w:rPr>
                            </w:pPr>
                            <w:r w:rsidRPr="00B57F86">
                              <w:rPr>
                                <w:b/>
                                <w:i/>
                              </w:rPr>
                              <w:t>AusAID-commissioned studies and reviews</w:t>
                            </w:r>
                            <w:r w:rsidRPr="00B57F86">
                              <w:rPr>
                                <w:i/>
                              </w:rPr>
                              <w:t>:</w:t>
                            </w:r>
                            <w:r w:rsidRPr="00B57F86">
                              <w:t xml:space="preserve">  Implementing a limited number of AusAID identified priorities without going through the normal FSC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5pt;margin-top:2.05pt;width:439.7pt;height:25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" fillcolor="white [3201]" strokecolor="#4f81bd [3204]" strokeweight="2pt">
                <v:textbox>
                  <w:txbxContent>
                    <w:p w14:paraId="7E8A73B9" w14:textId="77777777" w:rsidR="000E0AE5" w:rsidRPr="00B84045" w:rsidRDefault="000E0AE5">
                      <w:pPr>
                        <w:rPr>
                          <w:b/>
                        </w:rPr>
                      </w:pPr>
                      <w:r w:rsidRPr="00B84045">
                        <w:rPr>
                          <w:b/>
                        </w:rPr>
                        <w:t>Box 2: Original Scope of Services 2010</w:t>
                      </w:r>
                    </w:p>
                    <w:p w14:paraId="208687E8" w14:textId="77777777" w:rsidR="000E0AE5" w:rsidRDefault="000E0AE5" w:rsidP="00B84045">
                      <w:pPr>
                        <w:spacing w:after="240" w:line="240" w:lineRule="auto"/>
                      </w:pPr>
                      <w:r w:rsidRPr="00F448B0">
                        <w:t>The Facility will support four main areas of work:</w:t>
                      </w:r>
                    </w:p>
                    <w:p w14:paraId="641880F5" w14:textId="77777777" w:rsidR="000E0AE5" w:rsidRPr="00B57F86" w:rsidRDefault="000E0AE5" w:rsidP="00B84045">
                      <w:pPr>
                        <w:numPr>
                          <w:ilvl w:val="2"/>
                          <w:numId w:val="5"/>
                        </w:numPr>
                        <w:spacing w:after="240" w:line="240" w:lineRule="auto"/>
                      </w:pPr>
                      <w:r w:rsidRPr="00B57F86">
                        <w:rPr>
                          <w:b/>
                          <w:i/>
                        </w:rPr>
                        <w:t>Assistance to the National Team Secretariat</w:t>
                      </w:r>
                      <w:r w:rsidRPr="00B57F86">
                        <w:t xml:space="preserve">:  Providing support approximately 60 full-time positions and </w:t>
                      </w:r>
                      <w:proofErr w:type="gramStart"/>
                      <w:r w:rsidRPr="00B57F86">
                        <w:t>oversee</w:t>
                      </w:r>
                      <w:proofErr w:type="gramEnd"/>
                      <w:r w:rsidRPr="00B57F86">
                        <w:t xml:space="preserve"> the technical assistance management including quality of their outputs.</w:t>
                      </w:r>
                    </w:p>
                    <w:p w14:paraId="1B182141" w14:textId="77777777" w:rsidR="000E0AE5" w:rsidRPr="00B57F86" w:rsidRDefault="000E0AE5" w:rsidP="00B84045">
                      <w:pPr>
                        <w:numPr>
                          <w:ilvl w:val="2"/>
                          <w:numId w:val="5"/>
                        </w:numPr>
                        <w:spacing w:after="240" w:line="240" w:lineRule="auto"/>
                      </w:pPr>
                      <w:r w:rsidRPr="00B57F86">
                        <w:rPr>
                          <w:b/>
                          <w:i/>
                        </w:rPr>
                        <w:t>Hiring premises and purchasing equipment</w:t>
                      </w:r>
                      <w:r w:rsidRPr="00B57F86">
                        <w:t xml:space="preserve">:  Conducting all aspects of office management including security, paying office rent and utilities and maintaining equipment. </w:t>
                      </w:r>
                    </w:p>
                    <w:p w14:paraId="07C083D2" w14:textId="77777777" w:rsidR="000E0AE5" w:rsidRPr="00B57F86" w:rsidRDefault="000E0AE5" w:rsidP="00B84045">
                      <w:pPr>
                        <w:numPr>
                          <w:ilvl w:val="2"/>
                          <w:numId w:val="5"/>
                        </w:numPr>
                        <w:spacing w:after="240" w:line="240" w:lineRule="auto"/>
                      </w:pPr>
                      <w:r w:rsidRPr="00B57F86">
                        <w:rPr>
                          <w:b/>
                          <w:i/>
                        </w:rPr>
                        <w:t>Activities:</w:t>
                      </w:r>
                      <w:r w:rsidRPr="00B57F86">
                        <w:t xml:space="preserve">  Undertaking various types of work as directed by the Facility Steering Committee (FSC) such as evaluations, pilots, workshops and conferences.</w:t>
                      </w:r>
                    </w:p>
                    <w:p w14:paraId="7F8DD485" w14:textId="77777777" w:rsidR="000E0AE5" w:rsidRPr="00B57F86" w:rsidRDefault="000E0AE5" w:rsidP="00B84045">
                      <w:pPr>
                        <w:numPr>
                          <w:ilvl w:val="2"/>
                          <w:numId w:val="5"/>
                        </w:numPr>
                        <w:spacing w:after="240" w:line="240" w:lineRule="auto"/>
                        <w:rPr>
                          <w:i/>
                        </w:rPr>
                      </w:pPr>
                      <w:r w:rsidRPr="00B57F86">
                        <w:rPr>
                          <w:b/>
                          <w:i/>
                        </w:rPr>
                        <w:t>AusAID-commissioned studies and reviews</w:t>
                      </w:r>
                      <w:r w:rsidRPr="00B57F86">
                        <w:rPr>
                          <w:i/>
                        </w:rPr>
                        <w:t>:</w:t>
                      </w:r>
                      <w:r w:rsidRPr="00B57F86">
                        <w:t xml:space="preserve">  Implementing a limited number of AusAID identified priorities without going through the normal FSC process.</w:t>
                      </w:r>
                    </w:p>
                  </w:txbxContent>
                </v:textbox>
              </v:shape>
            </w:pict>
          </mc:Fallback>
        </mc:AlternateContent>
      </w:r>
    </w:p>
    <w:p w14:paraId="5A517185" w14:textId="77777777" w:rsidR="00B84045" w:rsidRDefault="00B84045" w:rsidP="00374C8A"/>
    <w:p w14:paraId="017CE56B" w14:textId="77777777" w:rsidR="00B84045" w:rsidRDefault="00B84045" w:rsidP="00374C8A"/>
    <w:p w14:paraId="2F79F524" w14:textId="77777777" w:rsidR="00B84045" w:rsidRDefault="00B84045" w:rsidP="00374C8A"/>
    <w:p w14:paraId="74BE338D" w14:textId="77777777" w:rsidR="00B84045" w:rsidRDefault="00B84045" w:rsidP="00374C8A"/>
    <w:p w14:paraId="3FCCACE2" w14:textId="77777777" w:rsidR="00B84045" w:rsidRDefault="00B84045" w:rsidP="00374C8A"/>
    <w:p w14:paraId="2A1137B0" w14:textId="77777777" w:rsidR="00B84045" w:rsidRDefault="00B84045" w:rsidP="00374C8A"/>
    <w:p w14:paraId="71922FC1" w14:textId="77777777" w:rsidR="00B84045" w:rsidRDefault="00B84045" w:rsidP="00374C8A"/>
    <w:p w14:paraId="103EF0A2" w14:textId="77777777" w:rsidR="00B84045" w:rsidRDefault="00B84045" w:rsidP="00374C8A"/>
    <w:p w14:paraId="59A23185" w14:textId="77777777" w:rsidR="00B84045" w:rsidRDefault="00B84045" w:rsidP="00374C8A"/>
    <w:p w14:paraId="3E529DC6" w14:textId="77777777" w:rsidR="00B84045" w:rsidRDefault="00B84045" w:rsidP="00374C8A"/>
    <w:p w14:paraId="027B8256" w14:textId="77777777" w:rsidR="008D667B" w:rsidRDefault="008D667B" w:rsidP="00830EAC">
      <w:pPr>
        <w:spacing w:before="240"/>
      </w:pPr>
      <w:r>
        <w:t xml:space="preserve">This tension is </w:t>
      </w:r>
      <w:r w:rsidR="00E73474">
        <w:t>inherent in most programs but i</w:t>
      </w:r>
      <w:r>
        <w:t xml:space="preserve">s particularly important in understanding PRSF. </w:t>
      </w:r>
      <w:r w:rsidR="003A6D0C">
        <w:t xml:space="preserve"> Because of this uniq</w:t>
      </w:r>
      <w:r w:rsidR="00E73474">
        <w:t>ue situation</w:t>
      </w:r>
      <w:r w:rsidR="00042BE0">
        <w:t xml:space="preserve"> with TNP2K and PRSF</w:t>
      </w:r>
      <w:r w:rsidR="00E73474">
        <w:t xml:space="preserve">, the </w:t>
      </w:r>
      <w:r w:rsidR="00042BE0">
        <w:t>Australian Government</w:t>
      </w:r>
      <w:r w:rsidR="003A6D0C">
        <w:t xml:space="preserve"> </w:t>
      </w:r>
      <w:r w:rsidR="00042BE0">
        <w:t xml:space="preserve">was in effect putting </w:t>
      </w:r>
      <w:r w:rsidR="003A6D0C">
        <w:t>substantial funds under the control and management of TNP2K itself. This “trust</w:t>
      </w:r>
      <w:r w:rsidR="00DF4F1D">
        <w:t xml:space="preserve">” turned out to be well founded. </w:t>
      </w:r>
      <w:r w:rsidR="00E73474">
        <w:t xml:space="preserve">TNP2K </w:t>
      </w:r>
      <w:r w:rsidR="003A6D0C">
        <w:t>agreed to systems and procedures suggested by the contractor, particularly with regards to administration, finance and HR</w:t>
      </w:r>
      <w:r w:rsidR="00E73474">
        <w:t xml:space="preserve"> for its own staff</w:t>
      </w:r>
      <w:r w:rsidR="003A6D0C">
        <w:t>. Disputes or disagreements such that they arose were almost always about policy issues or the quality and responsiveness of services being provided by PRSF. This is a tribute to all three parties, TNP2K, the Australian Embassy and the contractor GRM that despite the risks</w:t>
      </w:r>
      <w:r w:rsidR="00AE55B5">
        <w:t>,</w:t>
      </w:r>
      <w:r w:rsidR="003A6D0C">
        <w:t xml:space="preserve"> good governance has been a feature of the program.</w:t>
      </w:r>
    </w:p>
    <w:p w14:paraId="5743C2B5" w14:textId="1CE41A5D" w:rsidR="003A6D0C" w:rsidRDefault="003A6D0C" w:rsidP="00374C8A">
      <w:r>
        <w:t>A complicating factor in PRSF is the DFAT window. This was a part of the PRSF contract that made it possible for the Australian Embassy to direct PRSF to support work not related to TNP2K. This was partly opportunistic (making use of an existing contract to cover a range of activit</w:t>
      </w:r>
      <w:r w:rsidR="007015BD">
        <w:t>i</w:t>
      </w:r>
      <w:r>
        <w:t xml:space="preserve">es without an additional procurement or the cost of managing a separate contract) and partly complementary (making sure </w:t>
      </w:r>
      <w:r w:rsidR="007015BD">
        <w:t xml:space="preserve">there was flexible and timely support for things that are complementary to the work of TNP2K). The former is sensible </w:t>
      </w:r>
      <w:r w:rsidR="004224CA">
        <w:t xml:space="preserve">on efficiency grounds </w:t>
      </w:r>
      <w:r w:rsidR="007015BD">
        <w:t>and fairly common, but the latter is a source of some</w:t>
      </w:r>
      <w:r w:rsidR="000E7BB3">
        <w:t xml:space="preserve"> tension between PRSF and TNP2K.  </w:t>
      </w:r>
      <w:r w:rsidR="007015BD">
        <w:t>TNP2K assert</w:t>
      </w:r>
      <w:r w:rsidR="000E7BB3">
        <w:t>s</w:t>
      </w:r>
      <w:r w:rsidR="007015BD">
        <w:t xml:space="preserve"> that social protection is its mandate and so all support should be channelled through TNP2K. </w:t>
      </w:r>
      <w:r w:rsidR="00E73474">
        <w:t xml:space="preserve"> While in the end TNP2K have learn</w:t>
      </w:r>
      <w:r w:rsidR="004224CA">
        <w:t>ed</w:t>
      </w:r>
      <w:r w:rsidR="00E73474">
        <w:t xml:space="preserve"> to live with this arrangement, it is not their preference.</w:t>
      </w:r>
    </w:p>
    <w:p w14:paraId="5D916CB3" w14:textId="76BF918A" w:rsidR="002A0929" w:rsidRDefault="003A6D0C" w:rsidP="00374C8A">
      <w:r>
        <w:t>What all this adds up t</w:t>
      </w:r>
      <w:r w:rsidR="00AE55B5">
        <w:t>o is that</w:t>
      </w:r>
      <w:r>
        <w:t xml:space="preserve"> PRSF is not just one thing. It provide</w:t>
      </w:r>
      <w:r w:rsidR="00AE55B5">
        <w:t>s</w:t>
      </w:r>
      <w:r>
        <w:t xml:space="preserve"> support in terms of administr</w:t>
      </w:r>
      <w:r w:rsidR="007015BD">
        <w:t>ation, finance and HR to TNP2K. I</w:t>
      </w:r>
      <w:r>
        <w:t>t manage</w:t>
      </w:r>
      <w:r w:rsidR="00AE55B5">
        <w:t>s</w:t>
      </w:r>
      <w:r>
        <w:t xml:space="preserve"> a large am</w:t>
      </w:r>
      <w:r w:rsidR="000E7BB3">
        <w:t>ount of procurement for technical assistance (TA)</w:t>
      </w:r>
      <w:r>
        <w:t xml:space="preserve"> to support pilots and program activities </w:t>
      </w:r>
      <w:r w:rsidR="007015BD">
        <w:t>but it also delivers activities – both for TNP2K and through the DFAT window. PRSF has experimented w</w:t>
      </w:r>
      <w:r w:rsidR="000E7BB3">
        <w:t xml:space="preserve">ith in house technical capacity; </w:t>
      </w:r>
      <w:r w:rsidR="007015BD">
        <w:t xml:space="preserve">sometimes it has worked and sometimes it has not. Personal relationships between teams tend to determine the level </w:t>
      </w:r>
      <w:r w:rsidR="00DF4F1D">
        <w:t xml:space="preserve">and quality </w:t>
      </w:r>
      <w:r w:rsidR="007015BD">
        <w:t>of cooperation between PRSF and TNP2K</w:t>
      </w:r>
      <w:r w:rsidR="00DF4F1D">
        <w:t>. D</w:t>
      </w:r>
      <w:r w:rsidR="00AE55B5">
        <w:t>espite this</w:t>
      </w:r>
      <w:r w:rsidR="00DF4F1D">
        <w:t xml:space="preserve"> personality base</w:t>
      </w:r>
      <w:r w:rsidR="000E7BB3">
        <w:t>d</w:t>
      </w:r>
      <w:r w:rsidR="00DF4F1D">
        <w:t xml:space="preserve"> approach</w:t>
      </w:r>
      <w:r w:rsidR="00AE55B5">
        <w:t xml:space="preserve">, </w:t>
      </w:r>
      <w:r w:rsidR="00DF4F1D">
        <w:t xml:space="preserve">collaboration is generally good between the secretariat and the facility. Importantly it </w:t>
      </w:r>
      <w:r w:rsidR="007015BD">
        <w:t xml:space="preserve">is </w:t>
      </w:r>
      <w:r w:rsidR="000E7BB3">
        <w:t xml:space="preserve">now </w:t>
      </w:r>
      <w:r w:rsidR="007015BD">
        <w:t>clea</w:t>
      </w:r>
      <w:r w:rsidR="000E7BB3">
        <w:t xml:space="preserve">r </w:t>
      </w:r>
      <w:r w:rsidR="009A582B">
        <w:t>at the end of the program</w:t>
      </w:r>
      <w:r w:rsidR="007015BD">
        <w:t xml:space="preserve"> </w:t>
      </w:r>
      <w:r w:rsidR="00E73474">
        <w:t xml:space="preserve">that </w:t>
      </w:r>
      <w:r w:rsidR="007015BD">
        <w:t>a governance model is in place where TNP2K can fulfil its mandate on accelerating poverty reduction with Australian support, and PRSF can meet its obligations to the Australian Government for efficient an</w:t>
      </w:r>
      <w:r w:rsidR="009A582B">
        <w:t>d effective use of public money; that elusive balance between development and fiduciary risk.</w:t>
      </w:r>
      <w:r w:rsidR="000E7BB3">
        <w:t xml:space="preserve"> What is less clear is whether this is as a result of deliberate decisions or circumstance.</w:t>
      </w:r>
    </w:p>
    <w:p w14:paraId="2F0402CB" w14:textId="77777777" w:rsidR="00374C8A" w:rsidRDefault="00374C8A" w:rsidP="00AE55B5">
      <w:pPr>
        <w:pStyle w:val="Heading2"/>
        <w:spacing w:before="120" w:after="120"/>
      </w:pPr>
      <w:bookmarkStart w:id="12" w:name="_Toc424302600"/>
      <w:r>
        <w:t>Achievements</w:t>
      </w:r>
      <w:bookmarkEnd w:id="12"/>
    </w:p>
    <w:p w14:paraId="4AEE0116" w14:textId="2848B061" w:rsidR="00C53C55" w:rsidRDefault="00C53C55" w:rsidP="007015BD">
      <w:r>
        <w:t>When looking at achievements the way PRSF is structured to support TNP2K and to help administer the activity budget of TNP2K</w:t>
      </w:r>
      <w:r w:rsidR="000E7BB3">
        <w:t>,</w:t>
      </w:r>
      <w:r>
        <w:t xml:space="preserve"> makes it at times difficult to talk about one without talking about the other. In</w:t>
      </w:r>
      <w:r w:rsidR="000E7BB3">
        <w:t xml:space="preserve"> general, this</w:t>
      </w:r>
      <w:r>
        <w:t xml:space="preserve"> report takes the view that PRSF has played an indirect role in everything that TNP2K has done, and so success achieved by TNP2K at least prime facie reflects well on PRSF. In this section the report tries to examine where PRSF’s contribution to the work of TNP2K has been positive, or where success has been achieved with little contribution or even in spite of PRSF. There are also achievements that are owned largely by PRSF, such as work done through the DFAT window and administrative efficiency and effectiveness more generally.  While the two organisations, PRSF and TNP2K are separate, in much of their work it is sometimes difficult to distinguish where one starts and one </w:t>
      </w:r>
      <w:proofErr w:type="gramStart"/>
      <w:r>
        <w:t>stops</w:t>
      </w:r>
      <w:proofErr w:type="gramEnd"/>
      <w:r>
        <w:t>, and they are fundamentally c</w:t>
      </w:r>
      <w:r w:rsidR="000E7BB3">
        <w:t>o-dependent;</w:t>
      </w:r>
      <w:r>
        <w:t xml:space="preserve"> one cannot achieve its goals without the other.</w:t>
      </w:r>
    </w:p>
    <w:p w14:paraId="47EBF193" w14:textId="5D9C0156" w:rsidR="007015BD" w:rsidRDefault="007015BD" w:rsidP="007015BD">
      <w:r>
        <w:t xml:space="preserve">At a very strategic level the former Vice President </w:t>
      </w:r>
      <w:proofErr w:type="spellStart"/>
      <w:r>
        <w:t>Boediono</w:t>
      </w:r>
      <w:proofErr w:type="spellEnd"/>
      <w:r>
        <w:t xml:space="preserve"> </w:t>
      </w:r>
      <w:r w:rsidR="009A582B">
        <w:t xml:space="preserve">has </w:t>
      </w:r>
      <w:r>
        <w:t xml:space="preserve">noted that from his perspective TNP2K has met all his expectations. Given the high risk that was assigned to the undertaking in 2010, this is a very positive outcome. </w:t>
      </w:r>
    </w:p>
    <w:p w14:paraId="32036662" w14:textId="77777777" w:rsidR="000E7BB3" w:rsidRDefault="004224CA" w:rsidP="004224CA">
      <w:r>
        <w:t>The first and most important thing to note at the outset is that virtually all of the outcomes from the work of TNP2K and PRSF could not have been achieved without Australian support. That is not to say that Australia can claim all the outcomes without acknowledging that this has above all else been an Indonesian driven program. The leadership of the Vice President, the very high calibre of the Indonesian leadership of TNP2K and the skills and dedication of the staff are the true driv</w:t>
      </w:r>
      <w:r w:rsidR="000E7BB3">
        <w:t xml:space="preserve">ing force behind achievements. </w:t>
      </w:r>
      <w:r>
        <w:t xml:space="preserve">There is also no alternative to the “model”, TNP2K had to be part of the Vice President’s Office and the work could only be carried out by professional Indonesians. It could not be outsourced to a contractor </w:t>
      </w:r>
      <w:r w:rsidR="00DF4F1D">
        <w:t xml:space="preserve">in the more traditional sense </w:t>
      </w:r>
      <w:r>
        <w:t xml:space="preserve">or any other sort of donor driven mechanism. </w:t>
      </w:r>
    </w:p>
    <w:p w14:paraId="1B4C9E19" w14:textId="477B981D" w:rsidR="004224CA" w:rsidRDefault="004224CA" w:rsidP="004224CA">
      <w:r>
        <w:t xml:space="preserve">On the other hand, TNP2K could not have achieved what it has without the contractor and the support of the Australian Embassy. If TNP2K had had to rely on funding from the national budget and government procurement processes, or had had to recruit staff using government systems and pay scales, it would never have been able to move as fast or achieve as much. It is also unlikely that any other donor could have provided the resources and the flexibility of PRSF at the time it was required. </w:t>
      </w:r>
      <w:r w:rsidR="00AE55B5">
        <w:t xml:space="preserve">The other most obvious alternative, a recipient executed multi-donor trust fund, would quite simply have been too slow and unwieldy. TNP2K and PRSF </w:t>
      </w:r>
      <w:r>
        <w:t>is a true partnership, and so both parties can share in the success.</w:t>
      </w:r>
    </w:p>
    <w:p w14:paraId="6559D39C" w14:textId="47759A9D" w:rsidR="00085C8E" w:rsidRDefault="004224CA" w:rsidP="007C270E">
      <w:pPr>
        <w:spacing w:before="120" w:after="120"/>
      </w:pPr>
      <w:r>
        <w:t xml:space="preserve">From a very early stage of TNP2K the Vice President made it clear that he wanted to see some tangible results in the period of his term of Government. He was not suggesting poverty would be eradicated in 5 years, but he was also very clear that when he left office he </w:t>
      </w:r>
      <w:r w:rsidR="00AE55B5">
        <w:t>wanted to show a clear impact from the work of</w:t>
      </w:r>
      <w:r>
        <w:t xml:space="preserve"> TNP2K. This meant that the TNP2K Secretariat and their partners at PRSF needed to focus. A decision was made to concentrate on </w:t>
      </w:r>
      <w:r w:rsidR="00DF4F1D">
        <w:t xml:space="preserve">establishing </w:t>
      </w:r>
      <w:r>
        <w:t>the Unified Data Base</w:t>
      </w:r>
      <w:r w:rsidR="00DF4F1D">
        <w:t xml:space="preserve"> (UDB)</w:t>
      </w:r>
      <w:r>
        <w:t>, a key tool f</w:t>
      </w:r>
      <w:r w:rsidR="000E7BB3">
        <w:t>or better targeting of g</w:t>
      </w:r>
      <w:r>
        <w:t>overnment resources, and on existing national poverty programs which presented the best opportunity for results.</w:t>
      </w:r>
      <w:r w:rsidR="00AE55B5">
        <w:t xml:space="preserve"> These priorities are set out in Box 3.</w:t>
      </w:r>
    </w:p>
    <w:p w14:paraId="7E8027CF" w14:textId="77777777" w:rsidR="00465176" w:rsidRDefault="00465176" w:rsidP="00465176">
      <w:r>
        <w:t xml:space="preserve">Much was achieved with this focus and much has been written or analysed in other reports. This report will not attempt to go over all the outcomes, but a short summary is worth noting. </w:t>
      </w:r>
    </w:p>
    <w:p w14:paraId="1584344D" w14:textId="0E36D115" w:rsidR="00465176" w:rsidRDefault="00465176" w:rsidP="00465176">
      <w:r>
        <w:t xml:space="preserve">The Unified Data Base (UDB) is without question the most significant achievement for TNP2K and represents a long term public good. As far back as 2005 when the first increase to the fuel price was accompanied by an unconditional cash transfer to over 15 million households.  Analysis showed that leakage, or poor targeting was as high as 40%.  The UDB now covers some 97 million individuals including their name, address and a range of information on their circumstances. It covers the bottom 40% of the population and allows national programs to accurately target various </w:t>
      </w:r>
      <w:proofErr w:type="spellStart"/>
      <w:r>
        <w:t>deciles</w:t>
      </w:r>
      <w:proofErr w:type="spellEnd"/>
      <w:r>
        <w:t xml:space="preserve"> of the poverty distribution.  </w:t>
      </w:r>
      <w:r w:rsidR="000E7BB3">
        <w:t xml:space="preserve">The recent increase to the fuel price / lowering of the fuel subsidy was in some measure made possible through efficiencies and better targeting of the compensation provided through a one-off unconditional cash transfer. </w:t>
      </w:r>
      <w:proofErr w:type="gramStart"/>
      <w:r w:rsidR="000E7BB3">
        <w:t>A direct result of work done by TNP2K.</w:t>
      </w:r>
      <w:proofErr w:type="gramEnd"/>
    </w:p>
    <w:p w14:paraId="42180028" w14:textId="77777777" w:rsidR="00DF4F1D" w:rsidRDefault="00DF4F1D" w:rsidP="007015BD"/>
    <w:p w14:paraId="4D0876B4" w14:textId="11A836F0" w:rsidR="00B6044B" w:rsidRDefault="000E7BB3" w:rsidP="007015BD">
      <w:r>
        <w:rPr>
          <w:noProof/>
          <w:lang w:eastAsia="en-AU"/>
        </w:rPr>
        <mc:AlternateContent>
          <mc:Choice Requires="wps">
            <w:drawing>
              <wp:anchor distT="0" distB="0" distL="114300" distR="114300" simplePos="0" relativeHeight="251665408" behindDoc="0" locked="0" layoutInCell="1" allowOverlap="1" wp14:anchorId="16A59EA3" wp14:editId="09D951D4">
                <wp:simplePos x="0" y="0"/>
                <wp:positionH relativeFrom="margin">
                  <wp:align>left</wp:align>
                </wp:positionH>
                <wp:positionV relativeFrom="paragraph">
                  <wp:posOffset>104775</wp:posOffset>
                </wp:positionV>
                <wp:extent cx="6105525" cy="794385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79438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05934ED" w14:textId="77777777" w:rsidR="000E0AE5" w:rsidRPr="00B82EE9" w:rsidRDefault="000E0AE5" w:rsidP="00B6044B">
                            <w:pPr>
                              <w:autoSpaceDE w:val="0"/>
                              <w:autoSpaceDN w:val="0"/>
                              <w:adjustRightInd w:val="0"/>
                              <w:spacing w:before="100" w:after="100" w:line="240" w:lineRule="auto"/>
                              <w:rPr>
                                <w:rFonts w:ascii="Times New Roman" w:hAnsi="Times New Roman" w:cs="Times New Roman"/>
                                <w:lang w:val="en-US"/>
                              </w:rPr>
                            </w:pPr>
                            <w:r w:rsidRPr="00B82EE9">
                              <w:rPr>
                                <w:rFonts w:ascii="Times New Roman" w:hAnsi="Times New Roman" w:cs="Times New Roman"/>
                                <w:b/>
                                <w:lang w:val="en-US"/>
                              </w:rPr>
                              <w:t>Box 3: TNP2K Short to medium term priorities</w:t>
                            </w:r>
                            <w:r w:rsidRPr="00B82EE9">
                              <w:rPr>
                                <w:rFonts w:ascii="Times New Roman" w:hAnsi="Times New Roman" w:cs="Times New Roman"/>
                                <w:lang w:val="en-US"/>
                              </w:rPr>
                              <w:t xml:space="preserve"> (Source: TNP2K Website May 2015)</w:t>
                            </w:r>
                          </w:p>
                          <w:p w14:paraId="5950496E" w14:textId="77777777" w:rsidR="000E0AE5" w:rsidRPr="00DA1CB7" w:rsidRDefault="000E0AE5" w:rsidP="00B6044B">
                            <w:pPr>
                              <w:autoSpaceDE w:val="0"/>
                              <w:autoSpaceDN w:val="0"/>
                              <w:adjustRightInd w:val="0"/>
                              <w:spacing w:before="100" w:after="100" w:line="240" w:lineRule="auto"/>
                              <w:rPr>
                                <w:rFonts w:ascii="Times New Roman" w:hAnsi="Times New Roman" w:cs="Times New Roman"/>
                                <w:lang w:val="en-US"/>
                              </w:rPr>
                            </w:pPr>
                            <w:r w:rsidRPr="00DA1CB7">
                              <w:rPr>
                                <w:rFonts w:ascii="Times New Roman" w:hAnsi="Times New Roman" w:cs="Times New Roman"/>
                                <w:lang w:val="en-US"/>
                              </w:rPr>
                              <w:t>In executing its duties, the National Team for Accelerating Poverty Reduction (TNP2K) is mandat</w:t>
                            </w:r>
                            <w:r w:rsidRPr="00B82EE9">
                              <w:rPr>
                                <w:rFonts w:ascii="Times New Roman" w:hAnsi="Times New Roman" w:cs="Times New Roman"/>
                                <w:lang w:val="en-US"/>
                              </w:rPr>
                              <w:t>ed to complete five major tasks</w:t>
                            </w:r>
                            <w:r w:rsidRPr="00DA1CB7">
                              <w:rPr>
                                <w:rFonts w:ascii="Times New Roman" w:hAnsi="Times New Roman" w:cs="Times New Roman"/>
                                <w:lang w:val="en-US"/>
                              </w:rPr>
                              <w:t>.</w:t>
                            </w:r>
                          </w:p>
                          <w:p w14:paraId="781DD8EC" w14:textId="77777777" w:rsidR="000E0AE5" w:rsidRPr="00DA1CB7" w:rsidRDefault="000E0AE5" w:rsidP="00B6044B">
                            <w:pPr>
                              <w:autoSpaceDE w:val="0"/>
                              <w:autoSpaceDN w:val="0"/>
                              <w:adjustRightInd w:val="0"/>
                              <w:spacing w:before="100" w:after="100" w:line="240" w:lineRule="auto"/>
                              <w:rPr>
                                <w:rFonts w:ascii="Times New Roman" w:hAnsi="Times New Roman" w:cs="Times New Roman"/>
                                <w:lang w:val="en-US"/>
                              </w:rPr>
                            </w:pPr>
                            <w:r w:rsidRPr="00B82EE9">
                              <w:rPr>
                                <w:rFonts w:ascii="Times New Roman" w:hAnsi="Times New Roman" w:cs="Times New Roman"/>
                                <w:b/>
                                <w:bCs/>
                                <w:lang w:val="en-US"/>
                              </w:rPr>
                              <w:t>Unification of National Targeting System</w:t>
                            </w:r>
                          </w:p>
                          <w:p w14:paraId="2C17DF61" w14:textId="77777777" w:rsidR="000E0AE5" w:rsidRPr="00DA1CB7" w:rsidRDefault="000E0AE5" w:rsidP="00B6044B">
                            <w:pPr>
                              <w:autoSpaceDE w:val="0"/>
                              <w:autoSpaceDN w:val="0"/>
                              <w:adjustRightInd w:val="0"/>
                              <w:spacing w:before="100" w:after="100" w:line="240" w:lineRule="auto"/>
                              <w:rPr>
                                <w:rFonts w:ascii="Times New Roman" w:hAnsi="Times New Roman" w:cs="Times New Roman"/>
                                <w:lang w:val="en-US"/>
                              </w:rPr>
                            </w:pPr>
                            <w:r w:rsidRPr="00DA1CB7">
                              <w:rPr>
                                <w:rFonts w:ascii="Times New Roman" w:hAnsi="Times New Roman" w:cs="Times New Roman"/>
                                <w:lang w:val="en-US"/>
                              </w:rPr>
                              <w:t>Social protecti</w:t>
                            </w:r>
                            <w:r w:rsidRPr="00B82EE9">
                              <w:rPr>
                                <w:rFonts w:ascii="Times New Roman" w:hAnsi="Times New Roman" w:cs="Times New Roman"/>
                                <w:lang w:val="en-US"/>
                              </w:rPr>
                              <w:t>on program</w:t>
                            </w:r>
                            <w:r w:rsidRPr="00DA1CB7">
                              <w:rPr>
                                <w:rFonts w:ascii="Times New Roman" w:hAnsi="Times New Roman" w:cs="Times New Roman"/>
                                <w:lang w:val="en-US"/>
                              </w:rPr>
                              <w:t xml:space="preserve">s such as </w:t>
                            </w:r>
                            <w:r w:rsidRPr="00B82EE9">
                              <w:rPr>
                                <w:rFonts w:ascii="Times New Roman" w:hAnsi="Times New Roman" w:cs="Times New Roman"/>
                                <w:lang w:val="en-US"/>
                              </w:rPr>
                              <w:t>the Family Welfare Program</w:t>
                            </w:r>
                            <w:r w:rsidRPr="00DA1CB7">
                              <w:rPr>
                                <w:rFonts w:ascii="Times New Roman" w:hAnsi="Times New Roman" w:cs="Times New Roman"/>
                                <w:lang w:val="en-US"/>
                              </w:rPr>
                              <w:t xml:space="preserve"> (PKH), </w:t>
                            </w:r>
                            <w:r w:rsidRPr="00B82EE9">
                              <w:rPr>
                                <w:rFonts w:ascii="Times New Roman" w:hAnsi="Times New Roman" w:cs="Times New Roman"/>
                                <w:lang w:val="en-US"/>
                              </w:rPr>
                              <w:t>Unconditional Cash Transfer (</w:t>
                            </w:r>
                            <w:r w:rsidRPr="00DA1CB7">
                              <w:rPr>
                                <w:rFonts w:ascii="Times New Roman" w:hAnsi="Times New Roman" w:cs="Times New Roman"/>
                                <w:lang w:val="en-US"/>
                              </w:rPr>
                              <w:t>BLT</w:t>
                            </w:r>
                            <w:r w:rsidRPr="00B82EE9">
                              <w:rPr>
                                <w:rFonts w:ascii="Times New Roman" w:hAnsi="Times New Roman" w:cs="Times New Roman"/>
                                <w:lang w:val="en-US"/>
                              </w:rPr>
                              <w:t>)</w:t>
                            </w:r>
                            <w:r w:rsidRPr="00DA1CB7">
                              <w:rPr>
                                <w:rFonts w:ascii="Times New Roman" w:hAnsi="Times New Roman" w:cs="Times New Roman"/>
                                <w:lang w:val="en-US"/>
                              </w:rPr>
                              <w:t xml:space="preserve">, </w:t>
                            </w:r>
                            <w:r w:rsidRPr="00B82EE9">
                              <w:rPr>
                                <w:rFonts w:ascii="Times New Roman" w:hAnsi="Times New Roman" w:cs="Times New Roman"/>
                                <w:lang w:val="en-US"/>
                              </w:rPr>
                              <w:t>Health Insurance for the Poor (</w:t>
                            </w:r>
                            <w:proofErr w:type="spellStart"/>
                            <w:r w:rsidRPr="00DA1CB7">
                              <w:rPr>
                                <w:rFonts w:ascii="Times New Roman" w:hAnsi="Times New Roman" w:cs="Times New Roman"/>
                                <w:lang w:val="en-US"/>
                              </w:rPr>
                              <w:t>Jamkesmas</w:t>
                            </w:r>
                            <w:proofErr w:type="spellEnd"/>
                            <w:r w:rsidRPr="00B82EE9">
                              <w:rPr>
                                <w:rFonts w:ascii="Times New Roman" w:hAnsi="Times New Roman" w:cs="Times New Roman"/>
                                <w:lang w:val="en-US"/>
                              </w:rPr>
                              <w:t>)</w:t>
                            </w:r>
                            <w:r w:rsidRPr="00DA1CB7">
                              <w:rPr>
                                <w:rFonts w:ascii="Times New Roman" w:hAnsi="Times New Roman" w:cs="Times New Roman"/>
                                <w:lang w:val="en-US"/>
                              </w:rPr>
                              <w:t xml:space="preserve">, </w:t>
                            </w:r>
                            <w:r w:rsidRPr="00B82EE9">
                              <w:rPr>
                                <w:rFonts w:ascii="Times New Roman" w:hAnsi="Times New Roman" w:cs="Times New Roman"/>
                                <w:lang w:val="en-US"/>
                              </w:rPr>
                              <w:t>Rice for the Poor (</w:t>
                            </w:r>
                            <w:proofErr w:type="spellStart"/>
                            <w:r w:rsidRPr="00B82EE9">
                              <w:rPr>
                                <w:rFonts w:ascii="Times New Roman" w:hAnsi="Times New Roman" w:cs="Times New Roman"/>
                                <w:lang w:val="en-US"/>
                              </w:rPr>
                              <w:t>Raskin</w:t>
                            </w:r>
                            <w:proofErr w:type="spellEnd"/>
                            <w:r w:rsidRPr="00B82EE9">
                              <w:rPr>
                                <w:rFonts w:ascii="Times New Roman" w:hAnsi="Times New Roman" w:cs="Times New Roman"/>
                                <w:lang w:val="en-US"/>
                              </w:rPr>
                              <w:t>) and Operational Grants for Schools (BOS) are key program</w:t>
                            </w:r>
                            <w:r w:rsidRPr="00DA1CB7">
                              <w:rPr>
                                <w:rFonts w:ascii="Times New Roman" w:hAnsi="Times New Roman" w:cs="Times New Roman"/>
                                <w:lang w:val="en-US"/>
                              </w:rPr>
                              <w:t xml:space="preserve">s for targeted poverty alleviation. Nevertheless, </w:t>
                            </w:r>
                            <w:r>
                              <w:rPr>
                                <w:rFonts w:ascii="Times New Roman" w:hAnsi="Times New Roman" w:cs="Times New Roman"/>
                                <w:lang w:val="en-US"/>
                              </w:rPr>
                              <w:t>a</w:t>
                            </w:r>
                            <w:r w:rsidRPr="00DA1CB7">
                              <w:rPr>
                                <w:rFonts w:ascii="Times New Roman" w:hAnsi="Times New Roman" w:cs="Times New Roman"/>
                                <w:lang w:val="en-US"/>
                              </w:rPr>
                              <w:t xml:space="preserve"> lack of effectiveness is caused by prog</w:t>
                            </w:r>
                            <w:r w:rsidRPr="00B82EE9">
                              <w:rPr>
                                <w:rFonts w:ascii="Times New Roman" w:hAnsi="Times New Roman" w:cs="Times New Roman"/>
                                <w:lang w:val="en-US"/>
                              </w:rPr>
                              <w:t>ram</w:t>
                            </w:r>
                            <w:r w:rsidRPr="00DA1CB7">
                              <w:rPr>
                                <w:rFonts w:ascii="Times New Roman" w:hAnsi="Times New Roman" w:cs="Times New Roman"/>
                                <w:lang w:val="en-US"/>
                              </w:rPr>
                              <w:t>s using different targeting approaches and beneficiary databases, result</w:t>
                            </w:r>
                            <w:r w:rsidRPr="00B82EE9">
                              <w:rPr>
                                <w:rFonts w:ascii="Times New Roman" w:hAnsi="Times New Roman" w:cs="Times New Roman"/>
                                <w:lang w:val="en-US"/>
                              </w:rPr>
                              <w:t>ing in relatively high inclusion and exclusion</w:t>
                            </w:r>
                            <w:r w:rsidRPr="00DA1CB7">
                              <w:rPr>
                                <w:rFonts w:ascii="Times New Roman" w:hAnsi="Times New Roman" w:cs="Times New Roman"/>
                                <w:lang w:val="en-US"/>
                              </w:rPr>
                              <w:t xml:space="preserve"> errors. </w:t>
                            </w:r>
                            <w:r w:rsidRPr="00B82EE9">
                              <w:rPr>
                                <w:rFonts w:ascii="Times New Roman" w:hAnsi="Times New Roman" w:cs="Times New Roman"/>
                                <w:lang w:val="en-US"/>
                              </w:rPr>
                              <w:t>Improvements to overall program</w:t>
                            </w:r>
                            <w:r w:rsidRPr="00DA1CB7">
                              <w:rPr>
                                <w:rFonts w:ascii="Times New Roman" w:hAnsi="Times New Roman" w:cs="Times New Roman"/>
                                <w:lang w:val="en-US"/>
                              </w:rPr>
                              <w:t xml:space="preserve"> performance will be made through the unification of the national targeting system.</w:t>
                            </w:r>
                          </w:p>
                          <w:p w14:paraId="2AE159A4" w14:textId="77777777" w:rsidR="000E0AE5" w:rsidRPr="00DA1CB7" w:rsidRDefault="000E0AE5" w:rsidP="00B6044B">
                            <w:pPr>
                              <w:autoSpaceDE w:val="0"/>
                              <w:autoSpaceDN w:val="0"/>
                              <w:adjustRightInd w:val="0"/>
                              <w:spacing w:before="100" w:after="100" w:line="240" w:lineRule="auto"/>
                              <w:rPr>
                                <w:rFonts w:ascii="Times New Roman" w:hAnsi="Times New Roman" w:cs="Times New Roman"/>
                                <w:lang w:val="en-US"/>
                              </w:rPr>
                            </w:pPr>
                            <w:r w:rsidRPr="00B82EE9">
                              <w:rPr>
                                <w:rFonts w:ascii="Times New Roman" w:hAnsi="Times New Roman" w:cs="Times New Roman"/>
                                <w:b/>
                                <w:bCs/>
                                <w:lang w:val="en-US"/>
                              </w:rPr>
                              <w:t>Refining the Implementation of Health Social Assistance for Poor Families</w:t>
                            </w:r>
                          </w:p>
                          <w:p w14:paraId="2238B468" w14:textId="77777777" w:rsidR="000E0AE5" w:rsidRPr="00DA1CB7" w:rsidRDefault="000E0AE5" w:rsidP="00B6044B">
                            <w:pPr>
                              <w:autoSpaceDE w:val="0"/>
                              <w:autoSpaceDN w:val="0"/>
                              <w:adjustRightInd w:val="0"/>
                              <w:spacing w:before="100" w:after="100" w:line="240" w:lineRule="auto"/>
                              <w:rPr>
                                <w:rFonts w:ascii="Times New Roman" w:hAnsi="Times New Roman" w:cs="Times New Roman"/>
                                <w:lang w:val="en-US"/>
                              </w:rPr>
                            </w:pPr>
                            <w:r w:rsidRPr="00DA1CB7">
                              <w:rPr>
                                <w:rFonts w:ascii="Times New Roman" w:hAnsi="Times New Roman" w:cs="Times New Roman"/>
                                <w:lang w:val="en-US"/>
                              </w:rPr>
                              <w:t>Short- to medium-term priorities to refine the implementation of health assistance for poor families includes: 1) formulating and determining the best healthcare benefits provider; 2) studying healthcare cost structures for the poor; 3) determining the benefit packages; and 4) compiling rational work plans, including a calculation of the costs involved.</w:t>
                            </w:r>
                          </w:p>
                          <w:p w14:paraId="746DCCB9" w14:textId="77777777" w:rsidR="000E0AE5" w:rsidRPr="00DA1CB7" w:rsidRDefault="000E0AE5" w:rsidP="00B6044B">
                            <w:pPr>
                              <w:autoSpaceDE w:val="0"/>
                              <w:autoSpaceDN w:val="0"/>
                              <w:adjustRightInd w:val="0"/>
                              <w:spacing w:before="100" w:after="100" w:line="240" w:lineRule="auto"/>
                              <w:rPr>
                                <w:rFonts w:ascii="Times New Roman" w:hAnsi="Times New Roman" w:cs="Times New Roman"/>
                                <w:lang w:val="en-US"/>
                              </w:rPr>
                            </w:pPr>
                            <w:r w:rsidRPr="00B82EE9">
                              <w:rPr>
                                <w:rFonts w:ascii="Times New Roman" w:hAnsi="Times New Roman" w:cs="Times New Roman"/>
                                <w:b/>
                                <w:bCs/>
                                <w:lang w:val="en-US"/>
                              </w:rPr>
                              <w:t xml:space="preserve">Refining the Implementation and Broadening the Coverage of </w:t>
                            </w:r>
                            <w:r w:rsidRPr="00B82EE9">
                              <w:rPr>
                                <w:rFonts w:ascii="Times New Roman" w:hAnsi="Times New Roman" w:cs="Times New Roman"/>
                                <w:b/>
                                <w:bCs/>
                                <w:i/>
                                <w:iCs/>
                                <w:lang w:val="en-US"/>
                              </w:rPr>
                              <w:t xml:space="preserve">Program </w:t>
                            </w:r>
                            <w:proofErr w:type="spellStart"/>
                            <w:r w:rsidRPr="00B82EE9">
                              <w:rPr>
                                <w:rFonts w:ascii="Times New Roman" w:hAnsi="Times New Roman" w:cs="Times New Roman"/>
                                <w:b/>
                                <w:bCs/>
                                <w:i/>
                                <w:iCs/>
                                <w:lang w:val="en-US"/>
                              </w:rPr>
                              <w:t>Keluarga</w:t>
                            </w:r>
                            <w:proofErr w:type="spellEnd"/>
                            <w:r w:rsidRPr="00B82EE9">
                              <w:rPr>
                                <w:rFonts w:ascii="Times New Roman" w:hAnsi="Times New Roman" w:cs="Times New Roman"/>
                                <w:b/>
                                <w:bCs/>
                                <w:i/>
                                <w:iCs/>
                                <w:lang w:val="en-US"/>
                              </w:rPr>
                              <w:t xml:space="preserve"> </w:t>
                            </w:r>
                            <w:proofErr w:type="spellStart"/>
                            <w:r w:rsidRPr="00B82EE9">
                              <w:rPr>
                                <w:rFonts w:ascii="Times New Roman" w:hAnsi="Times New Roman" w:cs="Times New Roman"/>
                                <w:b/>
                                <w:bCs/>
                                <w:i/>
                                <w:iCs/>
                                <w:lang w:val="en-US"/>
                              </w:rPr>
                              <w:t>Harapan</w:t>
                            </w:r>
                            <w:proofErr w:type="spellEnd"/>
                            <w:r>
                              <w:rPr>
                                <w:rFonts w:ascii="Times New Roman" w:hAnsi="Times New Roman" w:cs="Times New Roman"/>
                                <w:b/>
                                <w:bCs/>
                                <w:lang w:val="en-US"/>
                              </w:rPr>
                              <w:t>/Family Welfare Program</w:t>
                            </w:r>
                            <w:r w:rsidRPr="00B82EE9">
                              <w:rPr>
                                <w:rFonts w:ascii="Times New Roman" w:hAnsi="Times New Roman" w:cs="Times New Roman"/>
                                <w:b/>
                                <w:bCs/>
                                <w:lang w:val="en-US"/>
                              </w:rPr>
                              <w:t xml:space="preserve"> (PKH)</w:t>
                            </w:r>
                          </w:p>
                          <w:p w14:paraId="3353D855" w14:textId="77777777" w:rsidR="000E0AE5" w:rsidRDefault="000E0AE5" w:rsidP="00B6044B">
                            <w:pPr>
                              <w:autoSpaceDE w:val="0"/>
                              <w:autoSpaceDN w:val="0"/>
                              <w:adjustRightInd w:val="0"/>
                              <w:spacing w:before="100" w:after="100" w:line="240" w:lineRule="auto"/>
                              <w:rPr>
                                <w:rFonts w:ascii="Times New Roman" w:hAnsi="Times New Roman" w:cs="Times New Roman"/>
                                <w:lang w:val="en-US"/>
                              </w:rPr>
                            </w:pPr>
                            <w:r w:rsidRPr="00B82EE9">
                              <w:rPr>
                                <w:rFonts w:ascii="Times New Roman" w:hAnsi="Times New Roman" w:cs="Times New Roman"/>
                                <w:lang w:val="en-US"/>
                              </w:rPr>
                              <w:t>The Family Welfare Program</w:t>
                            </w:r>
                            <w:r w:rsidRPr="00DA1CB7">
                              <w:rPr>
                                <w:rFonts w:ascii="Times New Roman" w:hAnsi="Times New Roman" w:cs="Times New Roman"/>
                                <w:lang w:val="en-US"/>
                              </w:rPr>
                              <w:t xml:space="preserve"> </w:t>
                            </w:r>
                            <w:r>
                              <w:rPr>
                                <w:rFonts w:ascii="Times New Roman" w:hAnsi="Times New Roman" w:cs="Times New Roman"/>
                                <w:lang w:val="en-US"/>
                              </w:rPr>
                              <w:t xml:space="preserve">(PKH) </w:t>
                            </w:r>
                            <w:r w:rsidRPr="00B82EE9">
                              <w:rPr>
                                <w:rFonts w:ascii="Times New Roman" w:hAnsi="Times New Roman" w:cs="Times New Roman"/>
                                <w:lang w:val="en-US"/>
                              </w:rPr>
                              <w:t>is a social protection program</w:t>
                            </w:r>
                            <w:r w:rsidRPr="00DA1CB7">
                              <w:rPr>
                                <w:rFonts w:ascii="Times New Roman" w:hAnsi="Times New Roman" w:cs="Times New Roman"/>
                                <w:lang w:val="en-US"/>
                              </w:rPr>
                              <w:t xml:space="preserve"> that provides cash assistance to Poverty Stricken Households (</w:t>
                            </w:r>
                            <w:proofErr w:type="spellStart"/>
                            <w:r w:rsidRPr="00B82EE9">
                              <w:rPr>
                                <w:rFonts w:ascii="Times New Roman" w:hAnsi="Times New Roman" w:cs="Times New Roman"/>
                                <w:i/>
                                <w:iCs/>
                                <w:lang w:val="en-US"/>
                              </w:rPr>
                              <w:t>Rumah</w:t>
                            </w:r>
                            <w:proofErr w:type="spellEnd"/>
                            <w:r w:rsidRPr="00B82EE9">
                              <w:rPr>
                                <w:rFonts w:ascii="Times New Roman" w:hAnsi="Times New Roman" w:cs="Times New Roman"/>
                                <w:i/>
                                <w:iCs/>
                                <w:lang w:val="en-US"/>
                              </w:rPr>
                              <w:t xml:space="preserve"> </w:t>
                            </w:r>
                            <w:proofErr w:type="spellStart"/>
                            <w:r w:rsidRPr="00B82EE9">
                              <w:rPr>
                                <w:rFonts w:ascii="Times New Roman" w:hAnsi="Times New Roman" w:cs="Times New Roman"/>
                                <w:i/>
                                <w:iCs/>
                                <w:lang w:val="en-US"/>
                              </w:rPr>
                              <w:t>Tangga</w:t>
                            </w:r>
                            <w:proofErr w:type="spellEnd"/>
                            <w:r w:rsidRPr="00B82EE9">
                              <w:rPr>
                                <w:rFonts w:ascii="Times New Roman" w:hAnsi="Times New Roman" w:cs="Times New Roman"/>
                                <w:i/>
                                <w:iCs/>
                                <w:lang w:val="en-US"/>
                              </w:rPr>
                              <w:t xml:space="preserve"> </w:t>
                            </w:r>
                            <w:proofErr w:type="spellStart"/>
                            <w:r w:rsidRPr="00B82EE9">
                              <w:rPr>
                                <w:rFonts w:ascii="Times New Roman" w:hAnsi="Times New Roman" w:cs="Times New Roman"/>
                                <w:i/>
                                <w:iCs/>
                                <w:lang w:val="en-US"/>
                              </w:rPr>
                              <w:t>Sangat</w:t>
                            </w:r>
                            <w:proofErr w:type="spellEnd"/>
                            <w:r w:rsidRPr="00B82EE9">
                              <w:rPr>
                                <w:rFonts w:ascii="Times New Roman" w:hAnsi="Times New Roman" w:cs="Times New Roman"/>
                                <w:i/>
                                <w:iCs/>
                                <w:lang w:val="en-US"/>
                              </w:rPr>
                              <w:t xml:space="preserve"> </w:t>
                            </w:r>
                            <w:proofErr w:type="spellStart"/>
                            <w:r w:rsidRPr="00B82EE9">
                              <w:rPr>
                                <w:rFonts w:ascii="Times New Roman" w:hAnsi="Times New Roman" w:cs="Times New Roman"/>
                                <w:i/>
                                <w:iCs/>
                                <w:lang w:val="en-US"/>
                              </w:rPr>
                              <w:t>Miskin</w:t>
                            </w:r>
                            <w:proofErr w:type="spellEnd"/>
                            <w:r w:rsidRPr="00DA1CB7">
                              <w:rPr>
                                <w:rFonts w:ascii="Times New Roman" w:hAnsi="Times New Roman" w:cs="Times New Roman"/>
                                <w:lang w:val="en-US"/>
                              </w:rPr>
                              <w:t>, or RTSM) and members of targeted household (</w:t>
                            </w:r>
                            <w:proofErr w:type="spellStart"/>
                            <w:r w:rsidRPr="00B82EE9">
                              <w:rPr>
                                <w:rFonts w:ascii="Times New Roman" w:hAnsi="Times New Roman" w:cs="Times New Roman"/>
                                <w:i/>
                                <w:iCs/>
                                <w:lang w:val="en-US"/>
                              </w:rPr>
                              <w:t>Rumah</w:t>
                            </w:r>
                            <w:proofErr w:type="spellEnd"/>
                            <w:r w:rsidRPr="00B82EE9">
                              <w:rPr>
                                <w:rFonts w:ascii="Times New Roman" w:hAnsi="Times New Roman" w:cs="Times New Roman"/>
                                <w:i/>
                                <w:iCs/>
                                <w:lang w:val="en-US"/>
                              </w:rPr>
                              <w:t xml:space="preserve"> </w:t>
                            </w:r>
                            <w:proofErr w:type="spellStart"/>
                            <w:r w:rsidRPr="00B82EE9">
                              <w:rPr>
                                <w:rFonts w:ascii="Times New Roman" w:hAnsi="Times New Roman" w:cs="Times New Roman"/>
                                <w:i/>
                                <w:iCs/>
                                <w:lang w:val="en-US"/>
                              </w:rPr>
                              <w:t>Tangga</w:t>
                            </w:r>
                            <w:proofErr w:type="spellEnd"/>
                            <w:r w:rsidRPr="00B82EE9">
                              <w:rPr>
                                <w:rFonts w:ascii="Times New Roman" w:hAnsi="Times New Roman" w:cs="Times New Roman"/>
                                <w:i/>
                                <w:iCs/>
                                <w:lang w:val="en-US"/>
                              </w:rPr>
                              <w:t xml:space="preserve"> </w:t>
                            </w:r>
                            <w:proofErr w:type="spellStart"/>
                            <w:r w:rsidRPr="00B82EE9">
                              <w:rPr>
                                <w:rFonts w:ascii="Times New Roman" w:hAnsi="Times New Roman" w:cs="Times New Roman"/>
                                <w:i/>
                                <w:iCs/>
                                <w:lang w:val="en-US"/>
                              </w:rPr>
                              <w:t>Sasaran</w:t>
                            </w:r>
                            <w:proofErr w:type="spellEnd"/>
                            <w:r w:rsidRPr="00B82EE9">
                              <w:rPr>
                                <w:rFonts w:ascii="Times New Roman" w:hAnsi="Times New Roman" w:cs="Times New Roman"/>
                                <w:i/>
                                <w:iCs/>
                                <w:lang w:val="en-US"/>
                              </w:rPr>
                              <w:t xml:space="preserve">, or </w:t>
                            </w:r>
                            <w:r w:rsidRPr="00DA1CB7">
                              <w:rPr>
                                <w:rFonts w:ascii="Times New Roman" w:hAnsi="Times New Roman" w:cs="Times New Roman"/>
                                <w:lang w:val="en-US"/>
                              </w:rPr>
                              <w:t>RTS) who are required to meet a set of pre-defined terms and conditions. The short-</w:t>
                            </w:r>
                            <w:r w:rsidRPr="00B82EE9">
                              <w:rPr>
                                <w:rFonts w:ascii="Times New Roman" w:hAnsi="Times New Roman" w:cs="Times New Roman"/>
                                <w:lang w:val="en-US"/>
                              </w:rPr>
                              <w:t>term objective of this program</w:t>
                            </w:r>
                            <w:r w:rsidRPr="00DA1CB7">
                              <w:rPr>
                                <w:rFonts w:ascii="Times New Roman" w:hAnsi="Times New Roman" w:cs="Times New Roman"/>
                                <w:lang w:val="en-US"/>
                              </w:rPr>
                              <w:t xml:space="preserve"> is to reduce the financial burden felt by RTSMs, while the long-term objective is to break the inter-generational chain of poverty</w:t>
                            </w:r>
                            <w:r>
                              <w:rPr>
                                <w:rFonts w:ascii="Times New Roman" w:hAnsi="Times New Roman" w:cs="Times New Roman"/>
                                <w:lang w:val="en-US"/>
                              </w:rPr>
                              <w:t>.</w:t>
                            </w:r>
                          </w:p>
                          <w:p w14:paraId="329F09EC" w14:textId="77777777" w:rsidR="000E0AE5" w:rsidRPr="00DA1CB7" w:rsidRDefault="000E0AE5" w:rsidP="00B6044B">
                            <w:pPr>
                              <w:autoSpaceDE w:val="0"/>
                              <w:autoSpaceDN w:val="0"/>
                              <w:adjustRightInd w:val="0"/>
                              <w:spacing w:before="100" w:after="100" w:line="240" w:lineRule="auto"/>
                              <w:rPr>
                                <w:rFonts w:ascii="Times New Roman" w:hAnsi="Times New Roman" w:cs="Times New Roman"/>
                                <w:lang w:val="en-US"/>
                              </w:rPr>
                            </w:pPr>
                            <w:r>
                              <w:rPr>
                                <w:rFonts w:ascii="Times New Roman" w:hAnsi="Times New Roman" w:cs="Times New Roman"/>
                                <w:lang w:val="en-US"/>
                              </w:rPr>
                              <w:t xml:space="preserve"> Seeing the s</w:t>
                            </w:r>
                            <w:r w:rsidRPr="00DA1CB7">
                              <w:rPr>
                                <w:rFonts w:ascii="Times New Roman" w:hAnsi="Times New Roman" w:cs="Times New Roman"/>
                                <w:lang w:val="en-US"/>
                              </w:rPr>
                              <w:t>ignificant benefits of conditional cash transfers (CCT), the SBY-</w:t>
                            </w:r>
                            <w:proofErr w:type="spellStart"/>
                            <w:r w:rsidRPr="00DA1CB7">
                              <w:rPr>
                                <w:rFonts w:ascii="Times New Roman" w:hAnsi="Times New Roman" w:cs="Times New Roman"/>
                                <w:lang w:val="en-US"/>
                              </w:rPr>
                              <w:t>Boediono</w:t>
                            </w:r>
                            <w:proofErr w:type="spellEnd"/>
                            <w:r w:rsidRPr="00DA1CB7">
                              <w:rPr>
                                <w:rFonts w:ascii="Times New Roman" w:hAnsi="Times New Roman" w:cs="Times New Roman"/>
                                <w:lang w:val="en-US"/>
                              </w:rPr>
                              <w:t xml:space="preserve"> government set a target that by the end of 2014, PKH should have been enjoyed by all RTSM in Indonesia, or around three million families. To that end, various improvements have been undertaken to ensure that PKH is carried out as a </w:t>
                            </w:r>
                            <w:r w:rsidRPr="00B82EE9">
                              <w:rPr>
                                <w:rFonts w:ascii="Times New Roman" w:hAnsi="Times New Roman" w:cs="Times New Roman"/>
                                <w:i/>
                                <w:iCs/>
                                <w:lang w:val="en-US"/>
                              </w:rPr>
                              <w:t>CCT program</w:t>
                            </w:r>
                            <w:r w:rsidRPr="00DA1CB7">
                              <w:rPr>
                                <w:rFonts w:ascii="Times New Roman" w:hAnsi="Times New Roman" w:cs="Times New Roman"/>
                                <w:lang w:val="en-US"/>
                              </w:rPr>
                              <w:t>.</w:t>
                            </w:r>
                          </w:p>
                          <w:p w14:paraId="1A4C82CC" w14:textId="77777777" w:rsidR="000E0AE5" w:rsidRPr="00DA1CB7" w:rsidRDefault="000E0AE5" w:rsidP="00B6044B">
                            <w:pPr>
                              <w:autoSpaceDE w:val="0"/>
                              <w:autoSpaceDN w:val="0"/>
                              <w:adjustRightInd w:val="0"/>
                              <w:spacing w:before="100" w:after="100" w:line="240" w:lineRule="auto"/>
                              <w:rPr>
                                <w:rFonts w:ascii="Times New Roman" w:hAnsi="Times New Roman" w:cs="Times New Roman"/>
                                <w:lang w:val="en-US"/>
                              </w:rPr>
                            </w:pPr>
                            <w:r w:rsidRPr="00B82EE9">
                              <w:rPr>
                                <w:rFonts w:ascii="Times New Roman" w:hAnsi="Times New Roman" w:cs="Times New Roman"/>
                                <w:b/>
                                <w:bCs/>
                                <w:lang w:val="en-US"/>
                              </w:rPr>
                              <w:t>Integrating other Community Empowerment Programs into the National Program for Community Empowerment (PNPM)</w:t>
                            </w:r>
                          </w:p>
                          <w:p w14:paraId="04427A58" w14:textId="77777777" w:rsidR="000E0AE5" w:rsidRPr="00DA1CB7" w:rsidRDefault="000E0AE5" w:rsidP="00B6044B">
                            <w:pPr>
                              <w:autoSpaceDE w:val="0"/>
                              <w:autoSpaceDN w:val="0"/>
                              <w:adjustRightInd w:val="0"/>
                              <w:spacing w:before="100" w:after="100" w:line="240" w:lineRule="auto"/>
                              <w:rPr>
                                <w:rFonts w:ascii="Times New Roman" w:hAnsi="Times New Roman" w:cs="Times New Roman"/>
                                <w:lang w:val="en-US"/>
                              </w:rPr>
                            </w:pPr>
                            <w:r w:rsidRPr="00DA1CB7">
                              <w:rPr>
                                <w:rFonts w:ascii="Times New Roman" w:hAnsi="Times New Roman" w:cs="Times New Roman"/>
                                <w:lang w:val="en-US"/>
                              </w:rPr>
                              <w:t>The short- to medium-term priorities of community-bas</w:t>
                            </w:r>
                            <w:r w:rsidRPr="00B82EE9">
                              <w:rPr>
                                <w:rFonts w:ascii="Times New Roman" w:hAnsi="Times New Roman" w:cs="Times New Roman"/>
                                <w:lang w:val="en-US"/>
                              </w:rPr>
                              <w:t>ed poverty alleviation program</w:t>
                            </w:r>
                            <w:r w:rsidRPr="00DA1CB7">
                              <w:rPr>
                                <w:rFonts w:ascii="Times New Roman" w:hAnsi="Times New Roman" w:cs="Times New Roman"/>
                                <w:lang w:val="en-US"/>
                              </w:rPr>
                              <w:t>s is to integrate the Independent National Progr</w:t>
                            </w:r>
                            <w:r w:rsidRPr="00B82EE9">
                              <w:rPr>
                                <w:rFonts w:ascii="Times New Roman" w:hAnsi="Times New Roman" w:cs="Times New Roman"/>
                                <w:lang w:val="en-US"/>
                              </w:rPr>
                              <w:t>am</w:t>
                            </w:r>
                            <w:r w:rsidRPr="00DA1CB7">
                              <w:rPr>
                                <w:rFonts w:ascii="Times New Roman" w:hAnsi="Times New Roman" w:cs="Times New Roman"/>
                                <w:lang w:val="en-US"/>
                              </w:rPr>
                              <w:t xml:space="preserve"> for Community Empowerment (PNPM </w:t>
                            </w:r>
                            <w:proofErr w:type="spellStart"/>
                            <w:r w:rsidRPr="00DA1CB7">
                              <w:rPr>
                                <w:rFonts w:ascii="Times New Roman" w:hAnsi="Times New Roman" w:cs="Times New Roman"/>
                                <w:lang w:val="en-US"/>
                              </w:rPr>
                              <w:t>Mandiri</w:t>
                            </w:r>
                            <w:proofErr w:type="spellEnd"/>
                            <w:r w:rsidRPr="00DA1CB7">
                              <w:rPr>
                                <w:rFonts w:ascii="Times New Roman" w:hAnsi="Times New Roman" w:cs="Times New Roman"/>
                                <w:lang w:val="en-US"/>
                              </w:rPr>
                              <w:t>) with village/district planning and financing facilities including: 1) integrating other</w:t>
                            </w:r>
                            <w:r w:rsidRPr="00B82EE9">
                              <w:rPr>
                                <w:rFonts w:ascii="Times New Roman" w:hAnsi="Times New Roman" w:cs="Times New Roman"/>
                                <w:lang w:val="en-US"/>
                              </w:rPr>
                              <w:t xml:space="preserve"> community empowerment program</w:t>
                            </w:r>
                            <w:r w:rsidRPr="00DA1CB7">
                              <w:rPr>
                                <w:rFonts w:ascii="Times New Roman" w:hAnsi="Times New Roman" w:cs="Times New Roman"/>
                                <w:lang w:val="en-US"/>
                              </w:rPr>
                              <w:t xml:space="preserve">s to PNPM </w:t>
                            </w:r>
                            <w:proofErr w:type="spellStart"/>
                            <w:r w:rsidRPr="00DA1CB7">
                              <w:rPr>
                                <w:rFonts w:ascii="Times New Roman" w:hAnsi="Times New Roman" w:cs="Times New Roman"/>
                                <w:lang w:val="en-US"/>
                              </w:rPr>
                              <w:t>Mandiri</w:t>
                            </w:r>
                            <w:proofErr w:type="spellEnd"/>
                            <w:r w:rsidRPr="00DA1CB7">
                              <w:rPr>
                                <w:rFonts w:ascii="Times New Roman" w:hAnsi="Times New Roman" w:cs="Times New Roman"/>
                                <w:lang w:val="en-US"/>
                              </w:rPr>
                              <w:t xml:space="preserve">; 2) improving the contributions of local/regional governments to PNPM </w:t>
                            </w:r>
                            <w:proofErr w:type="spellStart"/>
                            <w:r w:rsidRPr="00DA1CB7">
                              <w:rPr>
                                <w:rFonts w:ascii="Times New Roman" w:hAnsi="Times New Roman" w:cs="Times New Roman"/>
                                <w:lang w:val="en-US"/>
                              </w:rPr>
                              <w:t>Mandiri</w:t>
                            </w:r>
                            <w:proofErr w:type="spellEnd"/>
                            <w:r w:rsidRPr="00DA1CB7">
                              <w:rPr>
                                <w:rFonts w:ascii="Times New Roman" w:hAnsi="Times New Roman" w:cs="Times New Roman"/>
                                <w:lang w:val="en-US"/>
                              </w:rPr>
                              <w:t xml:space="preserve">; 3) integrate PNPM </w:t>
                            </w:r>
                            <w:proofErr w:type="spellStart"/>
                            <w:r w:rsidRPr="00DA1CB7">
                              <w:rPr>
                                <w:rFonts w:ascii="Times New Roman" w:hAnsi="Times New Roman" w:cs="Times New Roman"/>
                                <w:lang w:val="en-US"/>
                              </w:rPr>
                              <w:t>Mandiri</w:t>
                            </w:r>
                            <w:proofErr w:type="spellEnd"/>
                            <w:r w:rsidRPr="00DA1CB7">
                              <w:rPr>
                                <w:rFonts w:ascii="Times New Roman" w:hAnsi="Times New Roman" w:cs="Times New Roman"/>
                                <w:lang w:val="en-US"/>
                              </w:rPr>
                              <w:t xml:space="preserve"> with village/district planning; and 4) integrate PNPM </w:t>
                            </w:r>
                            <w:proofErr w:type="spellStart"/>
                            <w:r w:rsidRPr="00DA1CB7">
                              <w:rPr>
                                <w:rFonts w:ascii="Times New Roman" w:hAnsi="Times New Roman" w:cs="Times New Roman"/>
                                <w:lang w:val="en-US"/>
                              </w:rPr>
                              <w:t>Mandiri</w:t>
                            </w:r>
                            <w:proofErr w:type="spellEnd"/>
                            <w:r w:rsidRPr="00DA1CB7">
                              <w:rPr>
                                <w:rFonts w:ascii="Times New Roman" w:hAnsi="Times New Roman" w:cs="Times New Roman"/>
                                <w:lang w:val="en-US"/>
                              </w:rPr>
                              <w:t xml:space="preserve"> with financing facilities beyond the state/regional budgets (APBN/APBD).</w:t>
                            </w:r>
                          </w:p>
                          <w:p w14:paraId="055C3839" w14:textId="77777777" w:rsidR="000E0AE5" w:rsidRPr="00DA1CB7" w:rsidRDefault="000E0AE5" w:rsidP="00B6044B">
                            <w:pPr>
                              <w:autoSpaceDE w:val="0"/>
                              <w:autoSpaceDN w:val="0"/>
                              <w:adjustRightInd w:val="0"/>
                              <w:spacing w:before="100" w:after="100" w:line="240" w:lineRule="auto"/>
                              <w:rPr>
                                <w:rFonts w:ascii="Times New Roman" w:hAnsi="Times New Roman" w:cs="Times New Roman"/>
                                <w:lang w:val="en-US"/>
                              </w:rPr>
                            </w:pPr>
                            <w:r w:rsidRPr="00B82EE9">
                              <w:rPr>
                                <w:rFonts w:ascii="Times New Roman" w:hAnsi="Times New Roman" w:cs="Times New Roman"/>
                                <w:b/>
                                <w:bCs/>
                                <w:lang w:val="en-US"/>
                              </w:rPr>
                              <w:t>Inclus</w:t>
                            </w:r>
                            <w:r>
                              <w:rPr>
                                <w:rFonts w:ascii="Times New Roman" w:hAnsi="Times New Roman" w:cs="Times New Roman"/>
                                <w:b/>
                                <w:bCs/>
                                <w:lang w:val="en-US"/>
                              </w:rPr>
                              <w:t>ive Financial National Program</w:t>
                            </w:r>
                          </w:p>
                          <w:p w14:paraId="3DE5834D" w14:textId="77777777" w:rsidR="000E0AE5" w:rsidRPr="00DA1CB7" w:rsidRDefault="000E0AE5" w:rsidP="00B6044B">
                            <w:pPr>
                              <w:autoSpaceDE w:val="0"/>
                              <w:autoSpaceDN w:val="0"/>
                              <w:adjustRightInd w:val="0"/>
                              <w:spacing w:before="100" w:after="100" w:line="240" w:lineRule="auto"/>
                              <w:rPr>
                                <w:rFonts w:ascii="Times New Roman" w:hAnsi="Times New Roman" w:cs="Times New Roman"/>
                                <w:lang w:val="en-US"/>
                              </w:rPr>
                            </w:pPr>
                            <w:r w:rsidRPr="00DA1CB7">
                              <w:rPr>
                                <w:rFonts w:ascii="Times New Roman" w:hAnsi="Times New Roman" w:cs="Times New Roman"/>
                                <w:lang w:val="en-US"/>
                              </w:rPr>
                              <w:t>A well-functioning financial system is a prerequisite of a successful economy and social development that reach</w:t>
                            </w:r>
                            <w:r>
                              <w:rPr>
                                <w:rFonts w:ascii="Times New Roman" w:hAnsi="Times New Roman" w:cs="Times New Roman"/>
                                <w:lang w:val="en-US"/>
                              </w:rPr>
                              <w:t>es each individual community</w:t>
                            </w:r>
                            <w:r w:rsidRPr="00DA1CB7">
                              <w:rPr>
                                <w:rFonts w:ascii="Times New Roman" w:hAnsi="Times New Roman" w:cs="Times New Roman"/>
                                <w:lang w:val="en-US"/>
                              </w:rPr>
                              <w:t>. Market and financial institutions play an important role in distributing fund</w:t>
                            </w:r>
                            <w:r>
                              <w:rPr>
                                <w:rFonts w:ascii="Times New Roman" w:hAnsi="Times New Roman" w:cs="Times New Roman"/>
                                <w:lang w:val="en-US"/>
                              </w:rPr>
                              <w:t>s to the most productive economic activities</w:t>
                            </w:r>
                            <w:r w:rsidRPr="00DA1CB7">
                              <w:rPr>
                                <w:rFonts w:ascii="Times New Roman" w:hAnsi="Times New Roman" w:cs="Times New Roman"/>
                                <w:sz w:val="24"/>
                                <w:szCs w:val="24"/>
                                <w:lang w:val="en-US"/>
                              </w:rPr>
                              <w:t xml:space="preserve">. </w:t>
                            </w:r>
                            <w:r w:rsidRPr="00DA1CB7">
                              <w:rPr>
                                <w:rFonts w:ascii="Times New Roman" w:hAnsi="Times New Roman" w:cs="Times New Roman"/>
                                <w:lang w:val="en-US"/>
                              </w:rPr>
                              <w:t>As such, they pla</w:t>
                            </w:r>
                            <w:r>
                              <w:rPr>
                                <w:rFonts w:ascii="Times New Roman" w:hAnsi="Times New Roman" w:cs="Times New Roman"/>
                                <w:lang w:val="en-US"/>
                              </w:rPr>
                              <w:t xml:space="preserve">y a role in overcoming </w:t>
                            </w:r>
                            <w:r w:rsidRPr="00DA1CB7">
                              <w:rPr>
                                <w:rFonts w:ascii="Times New Roman" w:hAnsi="Times New Roman" w:cs="Times New Roman"/>
                                <w:lang w:val="en-US"/>
                              </w:rPr>
                              <w:t>imbalances between inf</w:t>
                            </w:r>
                            <w:r>
                              <w:rPr>
                                <w:rFonts w:ascii="Times New Roman" w:hAnsi="Times New Roman" w:cs="Times New Roman"/>
                                <w:lang w:val="en-US"/>
                              </w:rPr>
                              <w:t>ormation and transaction costs to eventually encourage</w:t>
                            </w:r>
                            <w:r w:rsidRPr="00DA1CB7">
                              <w:rPr>
                                <w:rFonts w:ascii="Times New Roman" w:hAnsi="Times New Roman" w:cs="Times New Roman"/>
                                <w:lang w:val="en-US"/>
                              </w:rPr>
                              <w:t xml:space="preserve"> economic growth, equitable opportunities and welfare, as well as alleviating poverty.</w:t>
                            </w:r>
                          </w:p>
                          <w:p w14:paraId="28EAFB57" w14:textId="77777777" w:rsidR="000E0AE5" w:rsidRPr="00DA1CB7" w:rsidRDefault="000E0AE5" w:rsidP="00B6044B">
                            <w:pPr>
                              <w:autoSpaceDE w:val="0"/>
                              <w:autoSpaceDN w:val="0"/>
                              <w:adjustRightInd w:val="0"/>
                              <w:spacing w:before="100" w:after="100" w:line="240" w:lineRule="auto"/>
                              <w:rPr>
                                <w:rFonts w:ascii="Times New Roman" w:hAnsi="Times New Roman" w:cs="Times New Roman"/>
                                <w:lang w:val="en-US"/>
                              </w:rPr>
                            </w:pPr>
                            <w:proofErr w:type="spellStart"/>
                            <w:r w:rsidRPr="00DA1CB7">
                              <w:rPr>
                                <w:rFonts w:ascii="Times New Roman" w:hAnsi="Times New Roman" w:cs="Times New Roman"/>
                                <w:lang w:val="en-US"/>
                              </w:rPr>
                              <w:t>Realising</w:t>
                            </w:r>
                            <w:proofErr w:type="spellEnd"/>
                            <w:r w:rsidRPr="00DA1CB7">
                              <w:rPr>
                                <w:rFonts w:ascii="Times New Roman" w:hAnsi="Times New Roman" w:cs="Times New Roman"/>
                                <w:lang w:val="en-US"/>
                              </w:rPr>
                              <w:t xml:space="preserve"> the importance of financial sector in efforts to alleviate poverty, TNP2K has the mandate of taking steps in increase the commitment of the government, private sectors and the general public in creating inclusive financial systems.</w:t>
                            </w:r>
                          </w:p>
                          <w:p w14:paraId="59B8EE54" w14:textId="77777777" w:rsidR="000E0AE5" w:rsidRDefault="000E0AE5" w:rsidP="00B604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8.25pt;width:480.75pt;height:625.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" fillcolor="white [3201]" strokecolor="#4f81bd [3204]" strokeweight="2pt">
                <v:textbox>
                  <w:txbxContent>
                    <w:p w14:paraId="605934ED" w14:textId="77777777" w:rsidR="000E0AE5" w:rsidRPr="00B82EE9" w:rsidRDefault="000E0AE5" w:rsidP="00B6044B">
                      <w:pPr>
                        <w:autoSpaceDE w:val="0"/>
                        <w:autoSpaceDN w:val="0"/>
                        <w:adjustRightInd w:val="0"/>
                        <w:spacing w:before="100" w:after="100" w:line="240" w:lineRule="auto"/>
                        <w:rPr>
                          <w:rFonts w:ascii="Times New Roman" w:hAnsi="Times New Roman" w:cs="Times New Roman"/>
                          <w:lang w:val="en-US"/>
                        </w:rPr>
                      </w:pPr>
                      <w:r w:rsidRPr="00B82EE9">
                        <w:rPr>
                          <w:rFonts w:ascii="Times New Roman" w:hAnsi="Times New Roman" w:cs="Times New Roman"/>
                          <w:b/>
                          <w:lang w:val="en-US"/>
                        </w:rPr>
                        <w:t>Box 3: TNP2K Short to medium term priorities</w:t>
                      </w:r>
                      <w:r w:rsidRPr="00B82EE9">
                        <w:rPr>
                          <w:rFonts w:ascii="Times New Roman" w:hAnsi="Times New Roman" w:cs="Times New Roman"/>
                          <w:lang w:val="en-US"/>
                        </w:rPr>
                        <w:t xml:space="preserve"> (Source: TNP2K Website May 2015)</w:t>
                      </w:r>
                    </w:p>
                    <w:p w14:paraId="5950496E" w14:textId="77777777" w:rsidR="000E0AE5" w:rsidRPr="00DA1CB7" w:rsidRDefault="000E0AE5" w:rsidP="00B6044B">
                      <w:pPr>
                        <w:autoSpaceDE w:val="0"/>
                        <w:autoSpaceDN w:val="0"/>
                        <w:adjustRightInd w:val="0"/>
                        <w:spacing w:before="100" w:after="100" w:line="240" w:lineRule="auto"/>
                        <w:rPr>
                          <w:rFonts w:ascii="Times New Roman" w:hAnsi="Times New Roman" w:cs="Times New Roman"/>
                          <w:lang w:val="en-US"/>
                        </w:rPr>
                      </w:pPr>
                      <w:r w:rsidRPr="00DA1CB7">
                        <w:rPr>
                          <w:rFonts w:ascii="Times New Roman" w:hAnsi="Times New Roman" w:cs="Times New Roman"/>
                          <w:lang w:val="en-US"/>
                        </w:rPr>
                        <w:t>In executing its duties, the National Team for Accelerating Poverty Reduction (TNP2K) is mandat</w:t>
                      </w:r>
                      <w:r w:rsidRPr="00B82EE9">
                        <w:rPr>
                          <w:rFonts w:ascii="Times New Roman" w:hAnsi="Times New Roman" w:cs="Times New Roman"/>
                          <w:lang w:val="en-US"/>
                        </w:rPr>
                        <w:t>ed to complete five major tasks</w:t>
                      </w:r>
                      <w:r w:rsidRPr="00DA1CB7">
                        <w:rPr>
                          <w:rFonts w:ascii="Times New Roman" w:hAnsi="Times New Roman" w:cs="Times New Roman"/>
                          <w:lang w:val="en-US"/>
                        </w:rPr>
                        <w:t>.</w:t>
                      </w:r>
                    </w:p>
                    <w:p w14:paraId="781DD8EC" w14:textId="77777777" w:rsidR="000E0AE5" w:rsidRPr="00DA1CB7" w:rsidRDefault="000E0AE5" w:rsidP="00B6044B">
                      <w:pPr>
                        <w:autoSpaceDE w:val="0"/>
                        <w:autoSpaceDN w:val="0"/>
                        <w:adjustRightInd w:val="0"/>
                        <w:spacing w:before="100" w:after="100" w:line="240" w:lineRule="auto"/>
                        <w:rPr>
                          <w:rFonts w:ascii="Times New Roman" w:hAnsi="Times New Roman" w:cs="Times New Roman"/>
                          <w:lang w:val="en-US"/>
                        </w:rPr>
                      </w:pPr>
                      <w:r w:rsidRPr="00B82EE9">
                        <w:rPr>
                          <w:rFonts w:ascii="Times New Roman" w:hAnsi="Times New Roman" w:cs="Times New Roman"/>
                          <w:b/>
                          <w:bCs/>
                          <w:lang w:val="en-US"/>
                        </w:rPr>
                        <w:t>Unification of National Targeting System</w:t>
                      </w:r>
                    </w:p>
                    <w:p w14:paraId="2C17DF61" w14:textId="77777777" w:rsidR="000E0AE5" w:rsidRPr="00DA1CB7" w:rsidRDefault="000E0AE5" w:rsidP="00B6044B">
                      <w:pPr>
                        <w:autoSpaceDE w:val="0"/>
                        <w:autoSpaceDN w:val="0"/>
                        <w:adjustRightInd w:val="0"/>
                        <w:spacing w:before="100" w:after="100" w:line="240" w:lineRule="auto"/>
                        <w:rPr>
                          <w:rFonts w:ascii="Times New Roman" w:hAnsi="Times New Roman" w:cs="Times New Roman"/>
                          <w:lang w:val="en-US"/>
                        </w:rPr>
                      </w:pPr>
                      <w:r w:rsidRPr="00DA1CB7">
                        <w:rPr>
                          <w:rFonts w:ascii="Times New Roman" w:hAnsi="Times New Roman" w:cs="Times New Roman"/>
                          <w:lang w:val="en-US"/>
                        </w:rPr>
                        <w:t>Social protecti</w:t>
                      </w:r>
                      <w:r w:rsidRPr="00B82EE9">
                        <w:rPr>
                          <w:rFonts w:ascii="Times New Roman" w:hAnsi="Times New Roman" w:cs="Times New Roman"/>
                          <w:lang w:val="en-US"/>
                        </w:rPr>
                        <w:t>on program</w:t>
                      </w:r>
                      <w:r w:rsidRPr="00DA1CB7">
                        <w:rPr>
                          <w:rFonts w:ascii="Times New Roman" w:hAnsi="Times New Roman" w:cs="Times New Roman"/>
                          <w:lang w:val="en-US"/>
                        </w:rPr>
                        <w:t xml:space="preserve">s such as </w:t>
                      </w:r>
                      <w:r w:rsidRPr="00B82EE9">
                        <w:rPr>
                          <w:rFonts w:ascii="Times New Roman" w:hAnsi="Times New Roman" w:cs="Times New Roman"/>
                          <w:lang w:val="en-US"/>
                        </w:rPr>
                        <w:t>the Family Welfare Program</w:t>
                      </w:r>
                      <w:r w:rsidRPr="00DA1CB7">
                        <w:rPr>
                          <w:rFonts w:ascii="Times New Roman" w:hAnsi="Times New Roman" w:cs="Times New Roman"/>
                          <w:lang w:val="en-US"/>
                        </w:rPr>
                        <w:t xml:space="preserve"> (PKH), </w:t>
                      </w:r>
                      <w:r w:rsidRPr="00B82EE9">
                        <w:rPr>
                          <w:rFonts w:ascii="Times New Roman" w:hAnsi="Times New Roman" w:cs="Times New Roman"/>
                          <w:lang w:val="en-US"/>
                        </w:rPr>
                        <w:t>Unconditional Cash Transfer (</w:t>
                      </w:r>
                      <w:r w:rsidRPr="00DA1CB7">
                        <w:rPr>
                          <w:rFonts w:ascii="Times New Roman" w:hAnsi="Times New Roman" w:cs="Times New Roman"/>
                          <w:lang w:val="en-US"/>
                        </w:rPr>
                        <w:t>BLT</w:t>
                      </w:r>
                      <w:r w:rsidRPr="00B82EE9">
                        <w:rPr>
                          <w:rFonts w:ascii="Times New Roman" w:hAnsi="Times New Roman" w:cs="Times New Roman"/>
                          <w:lang w:val="en-US"/>
                        </w:rPr>
                        <w:t>)</w:t>
                      </w:r>
                      <w:r w:rsidRPr="00DA1CB7">
                        <w:rPr>
                          <w:rFonts w:ascii="Times New Roman" w:hAnsi="Times New Roman" w:cs="Times New Roman"/>
                          <w:lang w:val="en-US"/>
                        </w:rPr>
                        <w:t xml:space="preserve">, </w:t>
                      </w:r>
                      <w:r w:rsidRPr="00B82EE9">
                        <w:rPr>
                          <w:rFonts w:ascii="Times New Roman" w:hAnsi="Times New Roman" w:cs="Times New Roman"/>
                          <w:lang w:val="en-US"/>
                        </w:rPr>
                        <w:t>Health Insurance for the Poor (</w:t>
                      </w:r>
                      <w:proofErr w:type="spellStart"/>
                      <w:r w:rsidRPr="00DA1CB7">
                        <w:rPr>
                          <w:rFonts w:ascii="Times New Roman" w:hAnsi="Times New Roman" w:cs="Times New Roman"/>
                          <w:lang w:val="en-US"/>
                        </w:rPr>
                        <w:t>Jamkesmas</w:t>
                      </w:r>
                      <w:proofErr w:type="spellEnd"/>
                      <w:r w:rsidRPr="00B82EE9">
                        <w:rPr>
                          <w:rFonts w:ascii="Times New Roman" w:hAnsi="Times New Roman" w:cs="Times New Roman"/>
                          <w:lang w:val="en-US"/>
                        </w:rPr>
                        <w:t>)</w:t>
                      </w:r>
                      <w:r w:rsidRPr="00DA1CB7">
                        <w:rPr>
                          <w:rFonts w:ascii="Times New Roman" w:hAnsi="Times New Roman" w:cs="Times New Roman"/>
                          <w:lang w:val="en-US"/>
                        </w:rPr>
                        <w:t xml:space="preserve">, </w:t>
                      </w:r>
                      <w:r w:rsidRPr="00B82EE9">
                        <w:rPr>
                          <w:rFonts w:ascii="Times New Roman" w:hAnsi="Times New Roman" w:cs="Times New Roman"/>
                          <w:lang w:val="en-US"/>
                        </w:rPr>
                        <w:t>Rice for the Poor (</w:t>
                      </w:r>
                      <w:proofErr w:type="spellStart"/>
                      <w:r w:rsidRPr="00B82EE9">
                        <w:rPr>
                          <w:rFonts w:ascii="Times New Roman" w:hAnsi="Times New Roman" w:cs="Times New Roman"/>
                          <w:lang w:val="en-US"/>
                        </w:rPr>
                        <w:t>Raskin</w:t>
                      </w:r>
                      <w:proofErr w:type="spellEnd"/>
                      <w:r w:rsidRPr="00B82EE9">
                        <w:rPr>
                          <w:rFonts w:ascii="Times New Roman" w:hAnsi="Times New Roman" w:cs="Times New Roman"/>
                          <w:lang w:val="en-US"/>
                        </w:rPr>
                        <w:t>) and Operational Grants for Schools (BOS) are key program</w:t>
                      </w:r>
                      <w:r w:rsidRPr="00DA1CB7">
                        <w:rPr>
                          <w:rFonts w:ascii="Times New Roman" w:hAnsi="Times New Roman" w:cs="Times New Roman"/>
                          <w:lang w:val="en-US"/>
                        </w:rPr>
                        <w:t xml:space="preserve">s for targeted poverty alleviation. Nevertheless, </w:t>
                      </w:r>
                      <w:r>
                        <w:rPr>
                          <w:rFonts w:ascii="Times New Roman" w:hAnsi="Times New Roman" w:cs="Times New Roman"/>
                          <w:lang w:val="en-US"/>
                        </w:rPr>
                        <w:t>a</w:t>
                      </w:r>
                      <w:r w:rsidRPr="00DA1CB7">
                        <w:rPr>
                          <w:rFonts w:ascii="Times New Roman" w:hAnsi="Times New Roman" w:cs="Times New Roman"/>
                          <w:lang w:val="en-US"/>
                        </w:rPr>
                        <w:t xml:space="preserve"> lack of effectiveness is caused by prog</w:t>
                      </w:r>
                      <w:r w:rsidRPr="00B82EE9">
                        <w:rPr>
                          <w:rFonts w:ascii="Times New Roman" w:hAnsi="Times New Roman" w:cs="Times New Roman"/>
                          <w:lang w:val="en-US"/>
                        </w:rPr>
                        <w:t>ram</w:t>
                      </w:r>
                      <w:r w:rsidRPr="00DA1CB7">
                        <w:rPr>
                          <w:rFonts w:ascii="Times New Roman" w:hAnsi="Times New Roman" w:cs="Times New Roman"/>
                          <w:lang w:val="en-US"/>
                        </w:rPr>
                        <w:t>s using different targeting approaches and beneficiary databases, result</w:t>
                      </w:r>
                      <w:r w:rsidRPr="00B82EE9">
                        <w:rPr>
                          <w:rFonts w:ascii="Times New Roman" w:hAnsi="Times New Roman" w:cs="Times New Roman"/>
                          <w:lang w:val="en-US"/>
                        </w:rPr>
                        <w:t>ing in relatively high inclusion and exclusion</w:t>
                      </w:r>
                      <w:r w:rsidRPr="00DA1CB7">
                        <w:rPr>
                          <w:rFonts w:ascii="Times New Roman" w:hAnsi="Times New Roman" w:cs="Times New Roman"/>
                          <w:lang w:val="en-US"/>
                        </w:rPr>
                        <w:t xml:space="preserve"> errors. </w:t>
                      </w:r>
                      <w:r w:rsidRPr="00B82EE9">
                        <w:rPr>
                          <w:rFonts w:ascii="Times New Roman" w:hAnsi="Times New Roman" w:cs="Times New Roman"/>
                          <w:lang w:val="en-US"/>
                        </w:rPr>
                        <w:t>Improvements to overall program</w:t>
                      </w:r>
                      <w:r w:rsidRPr="00DA1CB7">
                        <w:rPr>
                          <w:rFonts w:ascii="Times New Roman" w:hAnsi="Times New Roman" w:cs="Times New Roman"/>
                          <w:lang w:val="en-US"/>
                        </w:rPr>
                        <w:t xml:space="preserve"> performance will be made through the unification of the national targeting system.</w:t>
                      </w:r>
                    </w:p>
                    <w:p w14:paraId="2AE159A4" w14:textId="77777777" w:rsidR="000E0AE5" w:rsidRPr="00DA1CB7" w:rsidRDefault="000E0AE5" w:rsidP="00B6044B">
                      <w:pPr>
                        <w:autoSpaceDE w:val="0"/>
                        <w:autoSpaceDN w:val="0"/>
                        <w:adjustRightInd w:val="0"/>
                        <w:spacing w:before="100" w:after="100" w:line="240" w:lineRule="auto"/>
                        <w:rPr>
                          <w:rFonts w:ascii="Times New Roman" w:hAnsi="Times New Roman" w:cs="Times New Roman"/>
                          <w:lang w:val="en-US"/>
                        </w:rPr>
                      </w:pPr>
                      <w:r w:rsidRPr="00B82EE9">
                        <w:rPr>
                          <w:rFonts w:ascii="Times New Roman" w:hAnsi="Times New Roman" w:cs="Times New Roman"/>
                          <w:b/>
                          <w:bCs/>
                          <w:lang w:val="en-US"/>
                        </w:rPr>
                        <w:t>Refining the Implementation of Health Social Assistance for Poor Families</w:t>
                      </w:r>
                    </w:p>
                    <w:p w14:paraId="2238B468" w14:textId="77777777" w:rsidR="000E0AE5" w:rsidRPr="00DA1CB7" w:rsidRDefault="000E0AE5" w:rsidP="00B6044B">
                      <w:pPr>
                        <w:autoSpaceDE w:val="0"/>
                        <w:autoSpaceDN w:val="0"/>
                        <w:adjustRightInd w:val="0"/>
                        <w:spacing w:before="100" w:after="100" w:line="240" w:lineRule="auto"/>
                        <w:rPr>
                          <w:rFonts w:ascii="Times New Roman" w:hAnsi="Times New Roman" w:cs="Times New Roman"/>
                          <w:lang w:val="en-US"/>
                        </w:rPr>
                      </w:pPr>
                      <w:r w:rsidRPr="00DA1CB7">
                        <w:rPr>
                          <w:rFonts w:ascii="Times New Roman" w:hAnsi="Times New Roman" w:cs="Times New Roman"/>
                          <w:lang w:val="en-US"/>
                        </w:rPr>
                        <w:t>Short- to medium-term priorities to refine the implementation of health assistance for poor families includes: 1) formulating and determining the best healthcare benefits provider; 2) studying healthcare cost structures for the poor; 3) determining the benefit packages; and 4) compiling rational work plans, including a calculation of the costs involved.</w:t>
                      </w:r>
                    </w:p>
                    <w:p w14:paraId="746DCCB9" w14:textId="77777777" w:rsidR="000E0AE5" w:rsidRPr="00DA1CB7" w:rsidRDefault="000E0AE5" w:rsidP="00B6044B">
                      <w:pPr>
                        <w:autoSpaceDE w:val="0"/>
                        <w:autoSpaceDN w:val="0"/>
                        <w:adjustRightInd w:val="0"/>
                        <w:spacing w:before="100" w:after="100" w:line="240" w:lineRule="auto"/>
                        <w:rPr>
                          <w:rFonts w:ascii="Times New Roman" w:hAnsi="Times New Roman" w:cs="Times New Roman"/>
                          <w:lang w:val="en-US"/>
                        </w:rPr>
                      </w:pPr>
                      <w:r w:rsidRPr="00B82EE9">
                        <w:rPr>
                          <w:rFonts w:ascii="Times New Roman" w:hAnsi="Times New Roman" w:cs="Times New Roman"/>
                          <w:b/>
                          <w:bCs/>
                          <w:lang w:val="en-US"/>
                        </w:rPr>
                        <w:t xml:space="preserve">Refining the Implementation and Broadening the Coverage of </w:t>
                      </w:r>
                      <w:r w:rsidRPr="00B82EE9">
                        <w:rPr>
                          <w:rFonts w:ascii="Times New Roman" w:hAnsi="Times New Roman" w:cs="Times New Roman"/>
                          <w:b/>
                          <w:bCs/>
                          <w:i/>
                          <w:iCs/>
                          <w:lang w:val="en-US"/>
                        </w:rPr>
                        <w:t xml:space="preserve">Program </w:t>
                      </w:r>
                      <w:proofErr w:type="spellStart"/>
                      <w:r w:rsidRPr="00B82EE9">
                        <w:rPr>
                          <w:rFonts w:ascii="Times New Roman" w:hAnsi="Times New Roman" w:cs="Times New Roman"/>
                          <w:b/>
                          <w:bCs/>
                          <w:i/>
                          <w:iCs/>
                          <w:lang w:val="en-US"/>
                        </w:rPr>
                        <w:t>Keluarga</w:t>
                      </w:r>
                      <w:proofErr w:type="spellEnd"/>
                      <w:r w:rsidRPr="00B82EE9">
                        <w:rPr>
                          <w:rFonts w:ascii="Times New Roman" w:hAnsi="Times New Roman" w:cs="Times New Roman"/>
                          <w:b/>
                          <w:bCs/>
                          <w:i/>
                          <w:iCs/>
                          <w:lang w:val="en-US"/>
                        </w:rPr>
                        <w:t xml:space="preserve"> </w:t>
                      </w:r>
                      <w:proofErr w:type="spellStart"/>
                      <w:r w:rsidRPr="00B82EE9">
                        <w:rPr>
                          <w:rFonts w:ascii="Times New Roman" w:hAnsi="Times New Roman" w:cs="Times New Roman"/>
                          <w:b/>
                          <w:bCs/>
                          <w:i/>
                          <w:iCs/>
                          <w:lang w:val="en-US"/>
                        </w:rPr>
                        <w:t>Harapan</w:t>
                      </w:r>
                      <w:proofErr w:type="spellEnd"/>
                      <w:r>
                        <w:rPr>
                          <w:rFonts w:ascii="Times New Roman" w:hAnsi="Times New Roman" w:cs="Times New Roman"/>
                          <w:b/>
                          <w:bCs/>
                          <w:lang w:val="en-US"/>
                        </w:rPr>
                        <w:t>/Family Welfare Program</w:t>
                      </w:r>
                      <w:r w:rsidRPr="00B82EE9">
                        <w:rPr>
                          <w:rFonts w:ascii="Times New Roman" w:hAnsi="Times New Roman" w:cs="Times New Roman"/>
                          <w:b/>
                          <w:bCs/>
                          <w:lang w:val="en-US"/>
                        </w:rPr>
                        <w:t xml:space="preserve"> (PKH)</w:t>
                      </w:r>
                    </w:p>
                    <w:p w14:paraId="3353D855" w14:textId="77777777" w:rsidR="000E0AE5" w:rsidRDefault="000E0AE5" w:rsidP="00B6044B">
                      <w:pPr>
                        <w:autoSpaceDE w:val="0"/>
                        <w:autoSpaceDN w:val="0"/>
                        <w:adjustRightInd w:val="0"/>
                        <w:spacing w:before="100" w:after="100" w:line="240" w:lineRule="auto"/>
                        <w:rPr>
                          <w:rFonts w:ascii="Times New Roman" w:hAnsi="Times New Roman" w:cs="Times New Roman"/>
                          <w:lang w:val="en-US"/>
                        </w:rPr>
                      </w:pPr>
                      <w:r w:rsidRPr="00B82EE9">
                        <w:rPr>
                          <w:rFonts w:ascii="Times New Roman" w:hAnsi="Times New Roman" w:cs="Times New Roman"/>
                          <w:lang w:val="en-US"/>
                        </w:rPr>
                        <w:t>The Family Welfare Program</w:t>
                      </w:r>
                      <w:r w:rsidRPr="00DA1CB7">
                        <w:rPr>
                          <w:rFonts w:ascii="Times New Roman" w:hAnsi="Times New Roman" w:cs="Times New Roman"/>
                          <w:lang w:val="en-US"/>
                        </w:rPr>
                        <w:t xml:space="preserve"> </w:t>
                      </w:r>
                      <w:r>
                        <w:rPr>
                          <w:rFonts w:ascii="Times New Roman" w:hAnsi="Times New Roman" w:cs="Times New Roman"/>
                          <w:lang w:val="en-US"/>
                        </w:rPr>
                        <w:t xml:space="preserve">(PKH) </w:t>
                      </w:r>
                      <w:r w:rsidRPr="00B82EE9">
                        <w:rPr>
                          <w:rFonts w:ascii="Times New Roman" w:hAnsi="Times New Roman" w:cs="Times New Roman"/>
                          <w:lang w:val="en-US"/>
                        </w:rPr>
                        <w:t>is a social protection program</w:t>
                      </w:r>
                      <w:r w:rsidRPr="00DA1CB7">
                        <w:rPr>
                          <w:rFonts w:ascii="Times New Roman" w:hAnsi="Times New Roman" w:cs="Times New Roman"/>
                          <w:lang w:val="en-US"/>
                        </w:rPr>
                        <w:t xml:space="preserve"> that provides cash assistance to Poverty Stricken Households (</w:t>
                      </w:r>
                      <w:proofErr w:type="spellStart"/>
                      <w:r w:rsidRPr="00B82EE9">
                        <w:rPr>
                          <w:rFonts w:ascii="Times New Roman" w:hAnsi="Times New Roman" w:cs="Times New Roman"/>
                          <w:i/>
                          <w:iCs/>
                          <w:lang w:val="en-US"/>
                        </w:rPr>
                        <w:t>Rumah</w:t>
                      </w:r>
                      <w:proofErr w:type="spellEnd"/>
                      <w:r w:rsidRPr="00B82EE9">
                        <w:rPr>
                          <w:rFonts w:ascii="Times New Roman" w:hAnsi="Times New Roman" w:cs="Times New Roman"/>
                          <w:i/>
                          <w:iCs/>
                          <w:lang w:val="en-US"/>
                        </w:rPr>
                        <w:t xml:space="preserve"> </w:t>
                      </w:r>
                      <w:proofErr w:type="spellStart"/>
                      <w:r w:rsidRPr="00B82EE9">
                        <w:rPr>
                          <w:rFonts w:ascii="Times New Roman" w:hAnsi="Times New Roman" w:cs="Times New Roman"/>
                          <w:i/>
                          <w:iCs/>
                          <w:lang w:val="en-US"/>
                        </w:rPr>
                        <w:t>Tangga</w:t>
                      </w:r>
                      <w:proofErr w:type="spellEnd"/>
                      <w:r w:rsidRPr="00B82EE9">
                        <w:rPr>
                          <w:rFonts w:ascii="Times New Roman" w:hAnsi="Times New Roman" w:cs="Times New Roman"/>
                          <w:i/>
                          <w:iCs/>
                          <w:lang w:val="en-US"/>
                        </w:rPr>
                        <w:t xml:space="preserve"> </w:t>
                      </w:r>
                      <w:proofErr w:type="spellStart"/>
                      <w:r w:rsidRPr="00B82EE9">
                        <w:rPr>
                          <w:rFonts w:ascii="Times New Roman" w:hAnsi="Times New Roman" w:cs="Times New Roman"/>
                          <w:i/>
                          <w:iCs/>
                          <w:lang w:val="en-US"/>
                        </w:rPr>
                        <w:t>Sangat</w:t>
                      </w:r>
                      <w:proofErr w:type="spellEnd"/>
                      <w:r w:rsidRPr="00B82EE9">
                        <w:rPr>
                          <w:rFonts w:ascii="Times New Roman" w:hAnsi="Times New Roman" w:cs="Times New Roman"/>
                          <w:i/>
                          <w:iCs/>
                          <w:lang w:val="en-US"/>
                        </w:rPr>
                        <w:t xml:space="preserve"> </w:t>
                      </w:r>
                      <w:proofErr w:type="spellStart"/>
                      <w:r w:rsidRPr="00B82EE9">
                        <w:rPr>
                          <w:rFonts w:ascii="Times New Roman" w:hAnsi="Times New Roman" w:cs="Times New Roman"/>
                          <w:i/>
                          <w:iCs/>
                          <w:lang w:val="en-US"/>
                        </w:rPr>
                        <w:t>Miskin</w:t>
                      </w:r>
                      <w:proofErr w:type="spellEnd"/>
                      <w:r w:rsidRPr="00DA1CB7">
                        <w:rPr>
                          <w:rFonts w:ascii="Times New Roman" w:hAnsi="Times New Roman" w:cs="Times New Roman"/>
                          <w:lang w:val="en-US"/>
                        </w:rPr>
                        <w:t>, or RTSM) and members of targeted household (</w:t>
                      </w:r>
                      <w:proofErr w:type="spellStart"/>
                      <w:r w:rsidRPr="00B82EE9">
                        <w:rPr>
                          <w:rFonts w:ascii="Times New Roman" w:hAnsi="Times New Roman" w:cs="Times New Roman"/>
                          <w:i/>
                          <w:iCs/>
                          <w:lang w:val="en-US"/>
                        </w:rPr>
                        <w:t>Rumah</w:t>
                      </w:r>
                      <w:proofErr w:type="spellEnd"/>
                      <w:r w:rsidRPr="00B82EE9">
                        <w:rPr>
                          <w:rFonts w:ascii="Times New Roman" w:hAnsi="Times New Roman" w:cs="Times New Roman"/>
                          <w:i/>
                          <w:iCs/>
                          <w:lang w:val="en-US"/>
                        </w:rPr>
                        <w:t xml:space="preserve"> </w:t>
                      </w:r>
                      <w:proofErr w:type="spellStart"/>
                      <w:r w:rsidRPr="00B82EE9">
                        <w:rPr>
                          <w:rFonts w:ascii="Times New Roman" w:hAnsi="Times New Roman" w:cs="Times New Roman"/>
                          <w:i/>
                          <w:iCs/>
                          <w:lang w:val="en-US"/>
                        </w:rPr>
                        <w:t>Tangga</w:t>
                      </w:r>
                      <w:proofErr w:type="spellEnd"/>
                      <w:r w:rsidRPr="00B82EE9">
                        <w:rPr>
                          <w:rFonts w:ascii="Times New Roman" w:hAnsi="Times New Roman" w:cs="Times New Roman"/>
                          <w:i/>
                          <w:iCs/>
                          <w:lang w:val="en-US"/>
                        </w:rPr>
                        <w:t xml:space="preserve"> </w:t>
                      </w:r>
                      <w:proofErr w:type="spellStart"/>
                      <w:r w:rsidRPr="00B82EE9">
                        <w:rPr>
                          <w:rFonts w:ascii="Times New Roman" w:hAnsi="Times New Roman" w:cs="Times New Roman"/>
                          <w:i/>
                          <w:iCs/>
                          <w:lang w:val="en-US"/>
                        </w:rPr>
                        <w:t>Sasaran</w:t>
                      </w:r>
                      <w:proofErr w:type="spellEnd"/>
                      <w:r w:rsidRPr="00B82EE9">
                        <w:rPr>
                          <w:rFonts w:ascii="Times New Roman" w:hAnsi="Times New Roman" w:cs="Times New Roman"/>
                          <w:i/>
                          <w:iCs/>
                          <w:lang w:val="en-US"/>
                        </w:rPr>
                        <w:t xml:space="preserve">, or </w:t>
                      </w:r>
                      <w:r w:rsidRPr="00DA1CB7">
                        <w:rPr>
                          <w:rFonts w:ascii="Times New Roman" w:hAnsi="Times New Roman" w:cs="Times New Roman"/>
                          <w:lang w:val="en-US"/>
                        </w:rPr>
                        <w:t>RTS) who are required to meet a set of pre-defined terms and conditions. The short-</w:t>
                      </w:r>
                      <w:r w:rsidRPr="00B82EE9">
                        <w:rPr>
                          <w:rFonts w:ascii="Times New Roman" w:hAnsi="Times New Roman" w:cs="Times New Roman"/>
                          <w:lang w:val="en-US"/>
                        </w:rPr>
                        <w:t>term objective of this program</w:t>
                      </w:r>
                      <w:r w:rsidRPr="00DA1CB7">
                        <w:rPr>
                          <w:rFonts w:ascii="Times New Roman" w:hAnsi="Times New Roman" w:cs="Times New Roman"/>
                          <w:lang w:val="en-US"/>
                        </w:rPr>
                        <w:t xml:space="preserve"> is to reduce the financial burden felt by RTSMs, while the long-term objective is to break the inter-generational chain of poverty</w:t>
                      </w:r>
                      <w:r>
                        <w:rPr>
                          <w:rFonts w:ascii="Times New Roman" w:hAnsi="Times New Roman" w:cs="Times New Roman"/>
                          <w:lang w:val="en-US"/>
                        </w:rPr>
                        <w:t>.</w:t>
                      </w:r>
                    </w:p>
                    <w:p w14:paraId="329F09EC" w14:textId="77777777" w:rsidR="000E0AE5" w:rsidRPr="00DA1CB7" w:rsidRDefault="000E0AE5" w:rsidP="00B6044B">
                      <w:pPr>
                        <w:autoSpaceDE w:val="0"/>
                        <w:autoSpaceDN w:val="0"/>
                        <w:adjustRightInd w:val="0"/>
                        <w:spacing w:before="100" w:after="100" w:line="240" w:lineRule="auto"/>
                        <w:rPr>
                          <w:rFonts w:ascii="Times New Roman" w:hAnsi="Times New Roman" w:cs="Times New Roman"/>
                          <w:lang w:val="en-US"/>
                        </w:rPr>
                      </w:pPr>
                      <w:r>
                        <w:rPr>
                          <w:rFonts w:ascii="Times New Roman" w:hAnsi="Times New Roman" w:cs="Times New Roman"/>
                          <w:lang w:val="en-US"/>
                        </w:rPr>
                        <w:t xml:space="preserve"> Seeing the s</w:t>
                      </w:r>
                      <w:r w:rsidRPr="00DA1CB7">
                        <w:rPr>
                          <w:rFonts w:ascii="Times New Roman" w:hAnsi="Times New Roman" w:cs="Times New Roman"/>
                          <w:lang w:val="en-US"/>
                        </w:rPr>
                        <w:t>ignificant benefits of conditional cash transfers (CCT), the SBY-</w:t>
                      </w:r>
                      <w:proofErr w:type="spellStart"/>
                      <w:r w:rsidRPr="00DA1CB7">
                        <w:rPr>
                          <w:rFonts w:ascii="Times New Roman" w:hAnsi="Times New Roman" w:cs="Times New Roman"/>
                          <w:lang w:val="en-US"/>
                        </w:rPr>
                        <w:t>Boediono</w:t>
                      </w:r>
                      <w:proofErr w:type="spellEnd"/>
                      <w:r w:rsidRPr="00DA1CB7">
                        <w:rPr>
                          <w:rFonts w:ascii="Times New Roman" w:hAnsi="Times New Roman" w:cs="Times New Roman"/>
                          <w:lang w:val="en-US"/>
                        </w:rPr>
                        <w:t xml:space="preserve"> government set a target that by the end of 2014, PKH should have been enjoyed by all RTSM in Indonesia, or around three million families. To that end, various improvements have been undertaken to ensure that PKH is carried out as a </w:t>
                      </w:r>
                      <w:r w:rsidRPr="00B82EE9">
                        <w:rPr>
                          <w:rFonts w:ascii="Times New Roman" w:hAnsi="Times New Roman" w:cs="Times New Roman"/>
                          <w:i/>
                          <w:iCs/>
                          <w:lang w:val="en-US"/>
                        </w:rPr>
                        <w:t>CCT program</w:t>
                      </w:r>
                      <w:r w:rsidRPr="00DA1CB7">
                        <w:rPr>
                          <w:rFonts w:ascii="Times New Roman" w:hAnsi="Times New Roman" w:cs="Times New Roman"/>
                          <w:lang w:val="en-US"/>
                        </w:rPr>
                        <w:t>.</w:t>
                      </w:r>
                    </w:p>
                    <w:p w14:paraId="1A4C82CC" w14:textId="77777777" w:rsidR="000E0AE5" w:rsidRPr="00DA1CB7" w:rsidRDefault="000E0AE5" w:rsidP="00B6044B">
                      <w:pPr>
                        <w:autoSpaceDE w:val="0"/>
                        <w:autoSpaceDN w:val="0"/>
                        <w:adjustRightInd w:val="0"/>
                        <w:spacing w:before="100" w:after="100" w:line="240" w:lineRule="auto"/>
                        <w:rPr>
                          <w:rFonts w:ascii="Times New Roman" w:hAnsi="Times New Roman" w:cs="Times New Roman"/>
                          <w:lang w:val="en-US"/>
                        </w:rPr>
                      </w:pPr>
                      <w:r w:rsidRPr="00B82EE9">
                        <w:rPr>
                          <w:rFonts w:ascii="Times New Roman" w:hAnsi="Times New Roman" w:cs="Times New Roman"/>
                          <w:b/>
                          <w:bCs/>
                          <w:lang w:val="en-US"/>
                        </w:rPr>
                        <w:t>Integrating other Community Empowerment Programs into the National Program for Community Empowerment (PNPM)</w:t>
                      </w:r>
                    </w:p>
                    <w:p w14:paraId="04427A58" w14:textId="77777777" w:rsidR="000E0AE5" w:rsidRPr="00DA1CB7" w:rsidRDefault="000E0AE5" w:rsidP="00B6044B">
                      <w:pPr>
                        <w:autoSpaceDE w:val="0"/>
                        <w:autoSpaceDN w:val="0"/>
                        <w:adjustRightInd w:val="0"/>
                        <w:spacing w:before="100" w:after="100" w:line="240" w:lineRule="auto"/>
                        <w:rPr>
                          <w:rFonts w:ascii="Times New Roman" w:hAnsi="Times New Roman" w:cs="Times New Roman"/>
                          <w:lang w:val="en-US"/>
                        </w:rPr>
                      </w:pPr>
                      <w:r w:rsidRPr="00DA1CB7">
                        <w:rPr>
                          <w:rFonts w:ascii="Times New Roman" w:hAnsi="Times New Roman" w:cs="Times New Roman"/>
                          <w:lang w:val="en-US"/>
                        </w:rPr>
                        <w:t>The short- to medium-term priorities of community-bas</w:t>
                      </w:r>
                      <w:r w:rsidRPr="00B82EE9">
                        <w:rPr>
                          <w:rFonts w:ascii="Times New Roman" w:hAnsi="Times New Roman" w:cs="Times New Roman"/>
                          <w:lang w:val="en-US"/>
                        </w:rPr>
                        <w:t>ed poverty alleviation program</w:t>
                      </w:r>
                      <w:r w:rsidRPr="00DA1CB7">
                        <w:rPr>
                          <w:rFonts w:ascii="Times New Roman" w:hAnsi="Times New Roman" w:cs="Times New Roman"/>
                          <w:lang w:val="en-US"/>
                        </w:rPr>
                        <w:t>s is to integrate the Independent National Progr</w:t>
                      </w:r>
                      <w:r w:rsidRPr="00B82EE9">
                        <w:rPr>
                          <w:rFonts w:ascii="Times New Roman" w:hAnsi="Times New Roman" w:cs="Times New Roman"/>
                          <w:lang w:val="en-US"/>
                        </w:rPr>
                        <w:t>am</w:t>
                      </w:r>
                      <w:r w:rsidRPr="00DA1CB7">
                        <w:rPr>
                          <w:rFonts w:ascii="Times New Roman" w:hAnsi="Times New Roman" w:cs="Times New Roman"/>
                          <w:lang w:val="en-US"/>
                        </w:rPr>
                        <w:t xml:space="preserve"> for Community Empowerment (PNPM </w:t>
                      </w:r>
                      <w:proofErr w:type="spellStart"/>
                      <w:r w:rsidRPr="00DA1CB7">
                        <w:rPr>
                          <w:rFonts w:ascii="Times New Roman" w:hAnsi="Times New Roman" w:cs="Times New Roman"/>
                          <w:lang w:val="en-US"/>
                        </w:rPr>
                        <w:t>Mandiri</w:t>
                      </w:r>
                      <w:proofErr w:type="spellEnd"/>
                      <w:r w:rsidRPr="00DA1CB7">
                        <w:rPr>
                          <w:rFonts w:ascii="Times New Roman" w:hAnsi="Times New Roman" w:cs="Times New Roman"/>
                          <w:lang w:val="en-US"/>
                        </w:rPr>
                        <w:t>) with village/district planning and financing facilities including: 1) integrating other</w:t>
                      </w:r>
                      <w:r w:rsidRPr="00B82EE9">
                        <w:rPr>
                          <w:rFonts w:ascii="Times New Roman" w:hAnsi="Times New Roman" w:cs="Times New Roman"/>
                          <w:lang w:val="en-US"/>
                        </w:rPr>
                        <w:t xml:space="preserve"> community empowerment program</w:t>
                      </w:r>
                      <w:r w:rsidRPr="00DA1CB7">
                        <w:rPr>
                          <w:rFonts w:ascii="Times New Roman" w:hAnsi="Times New Roman" w:cs="Times New Roman"/>
                          <w:lang w:val="en-US"/>
                        </w:rPr>
                        <w:t xml:space="preserve">s to PNPM </w:t>
                      </w:r>
                      <w:proofErr w:type="spellStart"/>
                      <w:r w:rsidRPr="00DA1CB7">
                        <w:rPr>
                          <w:rFonts w:ascii="Times New Roman" w:hAnsi="Times New Roman" w:cs="Times New Roman"/>
                          <w:lang w:val="en-US"/>
                        </w:rPr>
                        <w:t>Mandiri</w:t>
                      </w:r>
                      <w:proofErr w:type="spellEnd"/>
                      <w:r w:rsidRPr="00DA1CB7">
                        <w:rPr>
                          <w:rFonts w:ascii="Times New Roman" w:hAnsi="Times New Roman" w:cs="Times New Roman"/>
                          <w:lang w:val="en-US"/>
                        </w:rPr>
                        <w:t xml:space="preserve">; 2) improving the contributions of local/regional governments to PNPM </w:t>
                      </w:r>
                      <w:proofErr w:type="spellStart"/>
                      <w:r w:rsidRPr="00DA1CB7">
                        <w:rPr>
                          <w:rFonts w:ascii="Times New Roman" w:hAnsi="Times New Roman" w:cs="Times New Roman"/>
                          <w:lang w:val="en-US"/>
                        </w:rPr>
                        <w:t>Mandiri</w:t>
                      </w:r>
                      <w:proofErr w:type="spellEnd"/>
                      <w:r w:rsidRPr="00DA1CB7">
                        <w:rPr>
                          <w:rFonts w:ascii="Times New Roman" w:hAnsi="Times New Roman" w:cs="Times New Roman"/>
                          <w:lang w:val="en-US"/>
                        </w:rPr>
                        <w:t xml:space="preserve">; 3) integrate PNPM </w:t>
                      </w:r>
                      <w:proofErr w:type="spellStart"/>
                      <w:r w:rsidRPr="00DA1CB7">
                        <w:rPr>
                          <w:rFonts w:ascii="Times New Roman" w:hAnsi="Times New Roman" w:cs="Times New Roman"/>
                          <w:lang w:val="en-US"/>
                        </w:rPr>
                        <w:t>Mandiri</w:t>
                      </w:r>
                      <w:proofErr w:type="spellEnd"/>
                      <w:r w:rsidRPr="00DA1CB7">
                        <w:rPr>
                          <w:rFonts w:ascii="Times New Roman" w:hAnsi="Times New Roman" w:cs="Times New Roman"/>
                          <w:lang w:val="en-US"/>
                        </w:rPr>
                        <w:t xml:space="preserve"> with village/district planning; and 4) integrate PNPM </w:t>
                      </w:r>
                      <w:proofErr w:type="spellStart"/>
                      <w:r w:rsidRPr="00DA1CB7">
                        <w:rPr>
                          <w:rFonts w:ascii="Times New Roman" w:hAnsi="Times New Roman" w:cs="Times New Roman"/>
                          <w:lang w:val="en-US"/>
                        </w:rPr>
                        <w:t>Mandiri</w:t>
                      </w:r>
                      <w:proofErr w:type="spellEnd"/>
                      <w:r w:rsidRPr="00DA1CB7">
                        <w:rPr>
                          <w:rFonts w:ascii="Times New Roman" w:hAnsi="Times New Roman" w:cs="Times New Roman"/>
                          <w:lang w:val="en-US"/>
                        </w:rPr>
                        <w:t xml:space="preserve"> with financing facilities beyond the state/regional budgets (APBN/APBD).</w:t>
                      </w:r>
                    </w:p>
                    <w:p w14:paraId="055C3839" w14:textId="77777777" w:rsidR="000E0AE5" w:rsidRPr="00DA1CB7" w:rsidRDefault="000E0AE5" w:rsidP="00B6044B">
                      <w:pPr>
                        <w:autoSpaceDE w:val="0"/>
                        <w:autoSpaceDN w:val="0"/>
                        <w:adjustRightInd w:val="0"/>
                        <w:spacing w:before="100" w:after="100" w:line="240" w:lineRule="auto"/>
                        <w:rPr>
                          <w:rFonts w:ascii="Times New Roman" w:hAnsi="Times New Roman" w:cs="Times New Roman"/>
                          <w:lang w:val="en-US"/>
                        </w:rPr>
                      </w:pPr>
                      <w:r w:rsidRPr="00B82EE9">
                        <w:rPr>
                          <w:rFonts w:ascii="Times New Roman" w:hAnsi="Times New Roman" w:cs="Times New Roman"/>
                          <w:b/>
                          <w:bCs/>
                          <w:lang w:val="en-US"/>
                        </w:rPr>
                        <w:t>Inclus</w:t>
                      </w:r>
                      <w:r>
                        <w:rPr>
                          <w:rFonts w:ascii="Times New Roman" w:hAnsi="Times New Roman" w:cs="Times New Roman"/>
                          <w:b/>
                          <w:bCs/>
                          <w:lang w:val="en-US"/>
                        </w:rPr>
                        <w:t>ive Financial National Program</w:t>
                      </w:r>
                    </w:p>
                    <w:p w14:paraId="3DE5834D" w14:textId="77777777" w:rsidR="000E0AE5" w:rsidRPr="00DA1CB7" w:rsidRDefault="000E0AE5" w:rsidP="00B6044B">
                      <w:pPr>
                        <w:autoSpaceDE w:val="0"/>
                        <w:autoSpaceDN w:val="0"/>
                        <w:adjustRightInd w:val="0"/>
                        <w:spacing w:before="100" w:after="100" w:line="240" w:lineRule="auto"/>
                        <w:rPr>
                          <w:rFonts w:ascii="Times New Roman" w:hAnsi="Times New Roman" w:cs="Times New Roman"/>
                          <w:lang w:val="en-US"/>
                        </w:rPr>
                      </w:pPr>
                      <w:r w:rsidRPr="00DA1CB7">
                        <w:rPr>
                          <w:rFonts w:ascii="Times New Roman" w:hAnsi="Times New Roman" w:cs="Times New Roman"/>
                          <w:lang w:val="en-US"/>
                        </w:rPr>
                        <w:t>A well-functioning financial system is a prerequisite of a successful economy and social development that reach</w:t>
                      </w:r>
                      <w:r>
                        <w:rPr>
                          <w:rFonts w:ascii="Times New Roman" w:hAnsi="Times New Roman" w:cs="Times New Roman"/>
                          <w:lang w:val="en-US"/>
                        </w:rPr>
                        <w:t>es each individual community</w:t>
                      </w:r>
                      <w:r w:rsidRPr="00DA1CB7">
                        <w:rPr>
                          <w:rFonts w:ascii="Times New Roman" w:hAnsi="Times New Roman" w:cs="Times New Roman"/>
                          <w:lang w:val="en-US"/>
                        </w:rPr>
                        <w:t>. Market and financial institutions play an important role in distributing fund</w:t>
                      </w:r>
                      <w:r>
                        <w:rPr>
                          <w:rFonts w:ascii="Times New Roman" w:hAnsi="Times New Roman" w:cs="Times New Roman"/>
                          <w:lang w:val="en-US"/>
                        </w:rPr>
                        <w:t>s to the most productive economic activities</w:t>
                      </w:r>
                      <w:r w:rsidRPr="00DA1CB7">
                        <w:rPr>
                          <w:rFonts w:ascii="Times New Roman" w:hAnsi="Times New Roman" w:cs="Times New Roman"/>
                          <w:sz w:val="24"/>
                          <w:szCs w:val="24"/>
                          <w:lang w:val="en-US"/>
                        </w:rPr>
                        <w:t xml:space="preserve">. </w:t>
                      </w:r>
                      <w:r w:rsidRPr="00DA1CB7">
                        <w:rPr>
                          <w:rFonts w:ascii="Times New Roman" w:hAnsi="Times New Roman" w:cs="Times New Roman"/>
                          <w:lang w:val="en-US"/>
                        </w:rPr>
                        <w:t>As such, they pla</w:t>
                      </w:r>
                      <w:r>
                        <w:rPr>
                          <w:rFonts w:ascii="Times New Roman" w:hAnsi="Times New Roman" w:cs="Times New Roman"/>
                          <w:lang w:val="en-US"/>
                        </w:rPr>
                        <w:t xml:space="preserve">y a role in overcoming </w:t>
                      </w:r>
                      <w:r w:rsidRPr="00DA1CB7">
                        <w:rPr>
                          <w:rFonts w:ascii="Times New Roman" w:hAnsi="Times New Roman" w:cs="Times New Roman"/>
                          <w:lang w:val="en-US"/>
                        </w:rPr>
                        <w:t>imbalances between inf</w:t>
                      </w:r>
                      <w:r>
                        <w:rPr>
                          <w:rFonts w:ascii="Times New Roman" w:hAnsi="Times New Roman" w:cs="Times New Roman"/>
                          <w:lang w:val="en-US"/>
                        </w:rPr>
                        <w:t>ormation and transaction costs to eventually encourage</w:t>
                      </w:r>
                      <w:r w:rsidRPr="00DA1CB7">
                        <w:rPr>
                          <w:rFonts w:ascii="Times New Roman" w:hAnsi="Times New Roman" w:cs="Times New Roman"/>
                          <w:lang w:val="en-US"/>
                        </w:rPr>
                        <w:t xml:space="preserve"> economic growth, equitable opportunities and welfare, as well as alleviating poverty.</w:t>
                      </w:r>
                    </w:p>
                    <w:p w14:paraId="28EAFB57" w14:textId="77777777" w:rsidR="000E0AE5" w:rsidRPr="00DA1CB7" w:rsidRDefault="000E0AE5" w:rsidP="00B6044B">
                      <w:pPr>
                        <w:autoSpaceDE w:val="0"/>
                        <w:autoSpaceDN w:val="0"/>
                        <w:adjustRightInd w:val="0"/>
                        <w:spacing w:before="100" w:after="100" w:line="240" w:lineRule="auto"/>
                        <w:rPr>
                          <w:rFonts w:ascii="Times New Roman" w:hAnsi="Times New Roman" w:cs="Times New Roman"/>
                          <w:lang w:val="en-US"/>
                        </w:rPr>
                      </w:pPr>
                      <w:proofErr w:type="spellStart"/>
                      <w:r w:rsidRPr="00DA1CB7">
                        <w:rPr>
                          <w:rFonts w:ascii="Times New Roman" w:hAnsi="Times New Roman" w:cs="Times New Roman"/>
                          <w:lang w:val="en-US"/>
                        </w:rPr>
                        <w:t>Realising</w:t>
                      </w:r>
                      <w:proofErr w:type="spellEnd"/>
                      <w:r w:rsidRPr="00DA1CB7">
                        <w:rPr>
                          <w:rFonts w:ascii="Times New Roman" w:hAnsi="Times New Roman" w:cs="Times New Roman"/>
                          <w:lang w:val="en-US"/>
                        </w:rPr>
                        <w:t xml:space="preserve"> the importance of financial sector in efforts to alleviate poverty, TNP2K has the mandate of taking steps in increase the commitment of the government, private sectors and the general public in creating inclusive financial systems.</w:t>
                      </w:r>
                    </w:p>
                    <w:p w14:paraId="59B8EE54" w14:textId="77777777" w:rsidR="000E0AE5" w:rsidRDefault="000E0AE5" w:rsidP="00B6044B"/>
                  </w:txbxContent>
                </v:textbox>
                <w10:wrap anchorx="margin"/>
              </v:shape>
            </w:pict>
          </mc:Fallback>
        </mc:AlternateContent>
      </w:r>
    </w:p>
    <w:p w14:paraId="58BEBB6B" w14:textId="692A2A5E" w:rsidR="00B6044B" w:rsidRDefault="00B6044B" w:rsidP="007015BD"/>
    <w:p w14:paraId="2828E485" w14:textId="03F038B3" w:rsidR="00B6044B" w:rsidRDefault="00B6044B" w:rsidP="007015BD"/>
    <w:p w14:paraId="43D38454" w14:textId="147829C7" w:rsidR="00B6044B" w:rsidRDefault="00B6044B" w:rsidP="007015BD"/>
    <w:p w14:paraId="24886555" w14:textId="77777777" w:rsidR="00B6044B" w:rsidRDefault="00B6044B" w:rsidP="007015BD"/>
    <w:p w14:paraId="1FA4270D" w14:textId="77777777" w:rsidR="00B6044B" w:rsidRDefault="00B6044B" w:rsidP="007015BD"/>
    <w:p w14:paraId="777AE7E6" w14:textId="77777777" w:rsidR="00B6044B" w:rsidRDefault="00B6044B" w:rsidP="007015BD"/>
    <w:p w14:paraId="411F5C04" w14:textId="77777777" w:rsidR="00B6044B" w:rsidRDefault="00B6044B" w:rsidP="007015BD"/>
    <w:p w14:paraId="6B19C9DC" w14:textId="77777777" w:rsidR="00B6044B" w:rsidRDefault="00B6044B" w:rsidP="007015BD"/>
    <w:p w14:paraId="5761F6E7" w14:textId="77777777" w:rsidR="00B6044B" w:rsidRDefault="00B6044B" w:rsidP="007015BD"/>
    <w:p w14:paraId="6449F107" w14:textId="77777777" w:rsidR="00B6044B" w:rsidRDefault="00B6044B" w:rsidP="007015BD"/>
    <w:p w14:paraId="03B09614" w14:textId="77777777" w:rsidR="00B6044B" w:rsidRDefault="00B6044B" w:rsidP="007015BD"/>
    <w:p w14:paraId="287A2C66" w14:textId="77777777" w:rsidR="00B6044B" w:rsidRDefault="00B6044B" w:rsidP="007015BD"/>
    <w:p w14:paraId="72060232" w14:textId="77777777" w:rsidR="00B6044B" w:rsidRDefault="00B6044B" w:rsidP="007015BD"/>
    <w:p w14:paraId="6B8F1A65" w14:textId="77777777" w:rsidR="00B6044B" w:rsidRDefault="00B6044B" w:rsidP="007015BD"/>
    <w:p w14:paraId="6BF473A0" w14:textId="77777777" w:rsidR="00085C8E" w:rsidRDefault="00085C8E" w:rsidP="00085C8E"/>
    <w:p w14:paraId="1C04A05D" w14:textId="77777777" w:rsidR="00085C8E" w:rsidRDefault="00085C8E" w:rsidP="00085C8E"/>
    <w:p w14:paraId="7888BE2A" w14:textId="77777777" w:rsidR="00085C8E" w:rsidRDefault="00085C8E" w:rsidP="00085C8E"/>
    <w:p w14:paraId="30F43BCF" w14:textId="77777777" w:rsidR="00DF4F1D" w:rsidRDefault="00DF4F1D" w:rsidP="007015BD"/>
    <w:p w14:paraId="7E8FCA03" w14:textId="77777777" w:rsidR="00465176" w:rsidRDefault="00465176" w:rsidP="007015BD"/>
    <w:p w14:paraId="6D45CB40" w14:textId="77777777" w:rsidR="00465176" w:rsidRDefault="00465176" w:rsidP="007015BD"/>
    <w:p w14:paraId="29934153" w14:textId="77777777" w:rsidR="00465176" w:rsidRDefault="00465176" w:rsidP="007015BD"/>
    <w:p w14:paraId="113DD65C" w14:textId="77777777" w:rsidR="00465176" w:rsidRDefault="00465176" w:rsidP="007015BD"/>
    <w:p w14:paraId="0C554CA9" w14:textId="77777777" w:rsidR="00465176" w:rsidRDefault="00465176" w:rsidP="007015BD"/>
    <w:p w14:paraId="3F6A9C94" w14:textId="77777777" w:rsidR="00465176" w:rsidRDefault="00465176" w:rsidP="007015BD"/>
    <w:p w14:paraId="7805A18B" w14:textId="77777777" w:rsidR="00465176" w:rsidRDefault="00465176" w:rsidP="007015BD"/>
    <w:p w14:paraId="3D5ED5DD" w14:textId="337F501A" w:rsidR="00B6044B" w:rsidRDefault="000E7BB3" w:rsidP="007015BD">
      <w:r>
        <w:t xml:space="preserve">By the end of 2014, </w:t>
      </w:r>
      <w:r w:rsidR="005077B0">
        <w:t xml:space="preserve">86% of the data in the UDB has been synchronised with the Population Administration Information System allowing some 83 million people much better access to services through the Social Protection Card (the so called Gold Card) and the subsequent Family Welfare Card (KKS), the Smart Indonesia Card (KIP) and the Healthy Indonesia Card (KIS).  There are few places outside of China and India that deal in numbers of poor or vulnerable </w:t>
      </w:r>
      <w:r>
        <w:t xml:space="preserve">people </w:t>
      </w:r>
      <w:r w:rsidR="005077B0">
        <w:t>this large.</w:t>
      </w:r>
    </w:p>
    <w:p w14:paraId="7A3F4C15" w14:textId="5037A4BB" w:rsidR="005077B0" w:rsidRDefault="005077B0" w:rsidP="007015BD">
      <w:r>
        <w:t>There are some sustainability issues that need to be addressed. The UDB is</w:t>
      </w:r>
      <w:r w:rsidR="000E7BB3">
        <w:t xml:space="preserve"> still managed and housed at</w:t>
      </w:r>
      <w:r>
        <w:t xml:space="preserve"> TNP2K, a body with no structural place in the Government </w:t>
      </w:r>
      <w:r w:rsidR="00854106">
        <w:t xml:space="preserve">and </w:t>
      </w:r>
      <w:r>
        <w:t>that might be closed at any time. The management and up keep of the UDB is also fully funded by the Australian Government</w:t>
      </w:r>
      <w:r w:rsidR="007C270E">
        <w:t xml:space="preserve"> and administered by PRSF</w:t>
      </w:r>
      <w:r>
        <w:t xml:space="preserve">. At a cost of around $1.5 million per year, the cost is not </w:t>
      </w:r>
      <w:r w:rsidR="00DF4F1D">
        <w:t>the</w:t>
      </w:r>
      <w:r>
        <w:t xml:space="preserve"> major concern. Being able to attract and retain the necessary sk</w:t>
      </w:r>
      <w:r w:rsidR="000E7BB3">
        <w:t>ills to the UDB team through a g</w:t>
      </w:r>
      <w:r>
        <w:t>overnment system presents more challenges. There ar</w:t>
      </w:r>
      <w:r w:rsidR="00D1658D">
        <w:t>e also still some further synchr</w:t>
      </w:r>
      <w:r>
        <w:t xml:space="preserve">onisation issues with a number of databases </w:t>
      </w:r>
      <w:r w:rsidR="00DF4F1D">
        <w:t xml:space="preserve">located in other agencies </w:t>
      </w:r>
      <w:r>
        <w:t xml:space="preserve">being brought into alignment right now. This work needs to be completed and a long term home found for the UDB before </w:t>
      </w:r>
      <w:r w:rsidR="00D1658D">
        <w:t>it can be declared sustainable. These will be key tasks for TNP2K and its partners in the next few years.</w:t>
      </w:r>
    </w:p>
    <w:p w14:paraId="6956C8CC" w14:textId="3DCE6ED9" w:rsidR="00D1658D" w:rsidRDefault="00D1658D" w:rsidP="007015BD">
      <w:r>
        <w:t xml:space="preserve">Having established the UDB, TNP2K also put it to work. While better targeting has been the mantra of TNP2K, its work has actually gone further than applying better data, and TNP2K has piloted a range of approaches to key national programs to improve their targeting, operation, and monitoring. </w:t>
      </w:r>
    </w:p>
    <w:p w14:paraId="41622E06" w14:textId="77777777" w:rsidR="00D1658D" w:rsidRPr="00D1658D" w:rsidRDefault="00D1658D" w:rsidP="00D1658D">
      <w:pPr>
        <w:spacing w:after="0" w:line="240" w:lineRule="auto"/>
      </w:pPr>
      <w:r w:rsidRPr="00D1658D">
        <w:t xml:space="preserve">From 2011 to 2015 </w:t>
      </w:r>
      <w:r>
        <w:t xml:space="preserve">TNP2K </w:t>
      </w:r>
      <w:r w:rsidRPr="00D1658D">
        <w:t>fund</w:t>
      </w:r>
      <w:r>
        <w:t>ed</w:t>
      </w:r>
      <w:r w:rsidRPr="00D1658D">
        <w:t xml:space="preserve"> a range of activities to improve the effectiveness and efficiency of Indonesia’s four largest national social assistance programs targeting the poor: </w:t>
      </w:r>
    </w:p>
    <w:p w14:paraId="6E8C75F1" w14:textId="77777777" w:rsidR="00D1658D" w:rsidRPr="00D1658D" w:rsidRDefault="00D1658D" w:rsidP="00B0399A">
      <w:pPr>
        <w:pStyle w:val="ListParagraph"/>
        <w:numPr>
          <w:ilvl w:val="0"/>
          <w:numId w:val="10"/>
        </w:numPr>
        <w:spacing w:before="120" w:after="120" w:line="360" w:lineRule="auto"/>
        <w:jc w:val="both"/>
      </w:pPr>
      <w:proofErr w:type="spellStart"/>
      <w:r w:rsidRPr="00D1658D">
        <w:t>Subsidi</w:t>
      </w:r>
      <w:proofErr w:type="spellEnd"/>
      <w:r w:rsidRPr="00D1658D">
        <w:t xml:space="preserve"> </w:t>
      </w:r>
      <w:proofErr w:type="spellStart"/>
      <w:r w:rsidRPr="00D1658D">
        <w:t>Beras</w:t>
      </w:r>
      <w:proofErr w:type="spellEnd"/>
      <w:r w:rsidRPr="00D1658D">
        <w:t xml:space="preserve"> </w:t>
      </w:r>
      <w:proofErr w:type="spellStart"/>
      <w:r w:rsidRPr="00D1658D">
        <w:t>Bagi</w:t>
      </w:r>
      <w:proofErr w:type="spellEnd"/>
      <w:r w:rsidRPr="00D1658D">
        <w:t xml:space="preserve"> </w:t>
      </w:r>
      <w:proofErr w:type="spellStart"/>
      <w:r w:rsidRPr="00D1658D">
        <w:t>Masyarakat</w:t>
      </w:r>
      <w:proofErr w:type="spellEnd"/>
      <w:r w:rsidRPr="00D1658D">
        <w:t xml:space="preserve"> </w:t>
      </w:r>
      <w:proofErr w:type="spellStart"/>
      <w:r w:rsidRPr="00D1658D">
        <w:t>Berpendapatan</w:t>
      </w:r>
      <w:proofErr w:type="spellEnd"/>
      <w:r w:rsidRPr="00D1658D">
        <w:t xml:space="preserve"> </w:t>
      </w:r>
      <w:proofErr w:type="spellStart"/>
      <w:r w:rsidRPr="00D1658D">
        <w:t>Rendah</w:t>
      </w:r>
      <w:proofErr w:type="spellEnd"/>
      <w:r w:rsidRPr="00D1658D">
        <w:t xml:space="preserve"> (</w:t>
      </w:r>
      <w:proofErr w:type="spellStart"/>
      <w:r w:rsidRPr="00D1658D">
        <w:t>Raskin</w:t>
      </w:r>
      <w:proofErr w:type="spellEnd"/>
      <w:r w:rsidRPr="00D1658D">
        <w:t>): Rice for the Poor</w:t>
      </w:r>
    </w:p>
    <w:p w14:paraId="1D958F9F" w14:textId="77777777" w:rsidR="00D1658D" w:rsidRPr="00D1658D" w:rsidRDefault="00D1658D" w:rsidP="00B0399A">
      <w:pPr>
        <w:pStyle w:val="ListParagraph"/>
        <w:numPr>
          <w:ilvl w:val="0"/>
          <w:numId w:val="10"/>
        </w:numPr>
        <w:spacing w:before="120" w:after="120" w:line="360" w:lineRule="auto"/>
        <w:jc w:val="both"/>
      </w:pPr>
      <w:r w:rsidRPr="00D1658D">
        <w:t xml:space="preserve">Program </w:t>
      </w:r>
      <w:proofErr w:type="spellStart"/>
      <w:r w:rsidRPr="00D1658D">
        <w:t>Keluarga</w:t>
      </w:r>
      <w:proofErr w:type="spellEnd"/>
      <w:r w:rsidRPr="00D1658D">
        <w:t xml:space="preserve"> </w:t>
      </w:r>
      <w:proofErr w:type="spellStart"/>
      <w:r w:rsidRPr="00D1658D">
        <w:t>Harapan</w:t>
      </w:r>
      <w:proofErr w:type="spellEnd"/>
      <w:r w:rsidRPr="00D1658D">
        <w:t xml:space="preserve"> (PKH): Conditional Cash Transfers to the extreme poor</w:t>
      </w:r>
    </w:p>
    <w:p w14:paraId="0DB37DFD" w14:textId="77777777" w:rsidR="00D1658D" w:rsidRPr="00D1658D" w:rsidRDefault="00D1658D" w:rsidP="00B0399A">
      <w:pPr>
        <w:pStyle w:val="ListParagraph"/>
        <w:numPr>
          <w:ilvl w:val="0"/>
          <w:numId w:val="10"/>
        </w:numPr>
        <w:spacing w:before="120" w:after="120" w:line="360" w:lineRule="auto"/>
        <w:jc w:val="both"/>
      </w:pPr>
      <w:proofErr w:type="spellStart"/>
      <w:r w:rsidRPr="00D1658D">
        <w:t>Bantuan</w:t>
      </w:r>
      <w:proofErr w:type="spellEnd"/>
      <w:r w:rsidRPr="00D1658D">
        <w:t xml:space="preserve"> </w:t>
      </w:r>
      <w:proofErr w:type="spellStart"/>
      <w:r w:rsidRPr="00D1658D">
        <w:t>Siswa</w:t>
      </w:r>
      <w:proofErr w:type="spellEnd"/>
      <w:r w:rsidRPr="00D1658D">
        <w:t xml:space="preserve"> </w:t>
      </w:r>
      <w:proofErr w:type="spellStart"/>
      <w:r w:rsidRPr="00D1658D">
        <w:t>Miskin</w:t>
      </w:r>
      <w:proofErr w:type="spellEnd"/>
      <w:r w:rsidRPr="00D1658D">
        <w:t xml:space="preserve"> (BSM): Cash Transfer for Poor Students</w:t>
      </w:r>
    </w:p>
    <w:p w14:paraId="32483639" w14:textId="158581BA" w:rsidR="000E7BB3" w:rsidRDefault="000E7BB3" w:rsidP="00B0399A">
      <w:pPr>
        <w:pStyle w:val="ListParagraph"/>
        <w:numPr>
          <w:ilvl w:val="0"/>
          <w:numId w:val="10"/>
        </w:numPr>
        <w:spacing w:before="120" w:after="120" w:line="360" w:lineRule="auto"/>
        <w:jc w:val="both"/>
      </w:pPr>
      <w:proofErr w:type="spellStart"/>
      <w:r w:rsidRPr="00830EAC">
        <w:rPr>
          <w:i/>
        </w:rPr>
        <w:t>Jaminan</w:t>
      </w:r>
      <w:proofErr w:type="spellEnd"/>
      <w:r w:rsidRPr="00830EAC">
        <w:rPr>
          <w:i/>
        </w:rPr>
        <w:t xml:space="preserve"> </w:t>
      </w:r>
      <w:proofErr w:type="spellStart"/>
      <w:r w:rsidRPr="00830EAC">
        <w:rPr>
          <w:i/>
        </w:rPr>
        <w:t>Kesehatan</w:t>
      </w:r>
      <w:proofErr w:type="spellEnd"/>
      <w:r w:rsidRPr="00830EAC">
        <w:rPr>
          <w:i/>
        </w:rPr>
        <w:t xml:space="preserve"> </w:t>
      </w:r>
      <w:proofErr w:type="spellStart"/>
      <w:r w:rsidRPr="00830EAC">
        <w:rPr>
          <w:i/>
        </w:rPr>
        <w:t>Nasional</w:t>
      </w:r>
      <w:proofErr w:type="spellEnd"/>
      <w:r>
        <w:t>: National Health Security program (replaci</w:t>
      </w:r>
      <w:r w:rsidR="00A75547">
        <w:t xml:space="preserve">ng </w:t>
      </w:r>
      <w:proofErr w:type="spellStart"/>
      <w:r w:rsidR="00A75547">
        <w:t>Jamkesmas</w:t>
      </w:r>
      <w:proofErr w:type="spellEnd"/>
      <w:r>
        <w:t xml:space="preserve"> </w:t>
      </w:r>
      <w:r w:rsidR="00A75547">
        <w:t>in</w:t>
      </w:r>
      <w:r w:rsidRPr="00603EF1">
        <w:t xml:space="preserve"> 2014</w:t>
      </w:r>
      <w:r>
        <w:t>)</w:t>
      </w:r>
    </w:p>
    <w:p w14:paraId="39F5015E" w14:textId="2992CFCC" w:rsidR="00D1658D" w:rsidRPr="00D1658D" w:rsidRDefault="000E7BB3" w:rsidP="00A75547">
      <w:r>
        <w:t xml:space="preserve">As well as </w:t>
      </w:r>
      <w:r w:rsidR="00A75547">
        <w:t xml:space="preserve">the one-off </w:t>
      </w:r>
      <w:proofErr w:type="spellStart"/>
      <w:r w:rsidR="00D1658D" w:rsidRPr="00D1658D">
        <w:t>Bantuan</w:t>
      </w:r>
      <w:proofErr w:type="spellEnd"/>
      <w:r w:rsidR="00D1658D" w:rsidRPr="00D1658D">
        <w:t xml:space="preserve"> </w:t>
      </w:r>
      <w:proofErr w:type="spellStart"/>
      <w:r w:rsidR="00D1658D" w:rsidRPr="00D1658D">
        <w:t>Langsung</w:t>
      </w:r>
      <w:proofErr w:type="spellEnd"/>
      <w:r w:rsidR="00D1658D" w:rsidRPr="00D1658D">
        <w:t xml:space="preserve"> </w:t>
      </w:r>
      <w:proofErr w:type="spellStart"/>
      <w:r w:rsidR="00D1658D" w:rsidRPr="00D1658D">
        <w:t>Sementara</w:t>
      </w:r>
      <w:proofErr w:type="spellEnd"/>
      <w:r w:rsidR="00D1658D" w:rsidRPr="00D1658D">
        <w:t xml:space="preserve"> </w:t>
      </w:r>
      <w:proofErr w:type="spellStart"/>
      <w:r w:rsidR="00D1658D" w:rsidRPr="00D1658D">
        <w:t>Masyarakat</w:t>
      </w:r>
      <w:proofErr w:type="spellEnd"/>
      <w:r w:rsidR="00D1658D" w:rsidRPr="00D1658D">
        <w:t xml:space="preserve"> (BLSM): Temporary Unconditional Cash Transfers</w:t>
      </w:r>
      <w:r w:rsidR="00A75547">
        <w:t xml:space="preserve"> as compensation for the government lowering the fuel subsidy.</w:t>
      </w:r>
    </w:p>
    <w:p w14:paraId="50018D0D" w14:textId="529513A9" w:rsidR="00465176" w:rsidRPr="00A75547" w:rsidRDefault="00D1658D" w:rsidP="00A75547">
      <w:pPr>
        <w:spacing w:before="120" w:after="120" w:line="240" w:lineRule="auto"/>
      </w:pPr>
      <w:r w:rsidRPr="00D1658D">
        <w:t>Together these programs represent approximately $6.6 billion of investment by the Government of Indonesia, or 0.6% GDP in 2014, and cover the poorest 25%</w:t>
      </w:r>
      <w:r>
        <w:t xml:space="preserve"> of the population</w:t>
      </w:r>
      <w:r w:rsidRPr="00D1658D">
        <w:t>.</w:t>
      </w:r>
      <w:r w:rsidR="00A75547">
        <w:t xml:space="preserve"> </w:t>
      </w:r>
      <w:r w:rsidRPr="00D1658D">
        <w:t xml:space="preserve">A conservative economic analysis shows a </w:t>
      </w:r>
      <w:r w:rsidR="00854106">
        <w:t>very high return on investment. D</w:t>
      </w:r>
      <w:r w:rsidRPr="00D1658D">
        <w:t xml:space="preserve">epending on the program, its level of coverage, size and nature of benefits (cash or kind) and targeting accuracy, for every dollar spent, between $28 </w:t>
      </w:r>
      <w:r w:rsidR="00854106">
        <w:t>(RASKIN) and</w:t>
      </w:r>
      <w:r w:rsidRPr="00D1658D">
        <w:t xml:space="preserve"> $487</w:t>
      </w:r>
      <w:r w:rsidR="00854106">
        <w:t xml:space="preserve"> (the unconditional cash transfer BLSM)</w:t>
      </w:r>
      <w:r w:rsidRPr="00D1658D">
        <w:t xml:space="preserve"> of benefits were generated that would not otherwise have occurred. This adds up to a net present value of </w:t>
      </w:r>
      <w:r w:rsidR="00854106">
        <w:t>over $5.5 billion</w:t>
      </w:r>
      <w:r w:rsidRPr="00D1658D">
        <w:t xml:space="preserve"> over a 5-10 year period</w:t>
      </w:r>
      <w:r w:rsidR="00854106">
        <w:t xml:space="preserve"> for an investment of around $50 million</w:t>
      </w:r>
      <w:r w:rsidRPr="00D1658D">
        <w:t>.</w:t>
      </w:r>
      <w:r>
        <w:rPr>
          <w:rStyle w:val="FootnoteReference"/>
        </w:rPr>
        <w:footnoteReference w:id="4"/>
      </w:r>
    </w:p>
    <w:p w14:paraId="7375CC7E" w14:textId="77777777" w:rsidR="00572E82" w:rsidRDefault="00572E82" w:rsidP="00D1658D">
      <w:pPr>
        <w:spacing w:after="0" w:line="240" w:lineRule="auto"/>
        <w:rPr>
          <w:b/>
          <w:lang w:val="en-GB"/>
        </w:rPr>
      </w:pPr>
    </w:p>
    <w:p w14:paraId="10B7FCCD" w14:textId="77777777" w:rsidR="00D1658D" w:rsidRDefault="00830EAC" w:rsidP="00D1658D">
      <w:pPr>
        <w:spacing w:after="0" w:line="240" w:lineRule="auto"/>
        <w:rPr>
          <w:b/>
          <w:lang w:val="en-GB"/>
        </w:rPr>
      </w:pPr>
      <w:r>
        <w:rPr>
          <w:b/>
          <w:lang w:val="en-GB"/>
        </w:rPr>
        <w:t xml:space="preserve">Table 1: </w:t>
      </w:r>
      <w:r w:rsidR="00D1658D">
        <w:rPr>
          <w:b/>
          <w:lang w:val="en-GB"/>
        </w:rPr>
        <w:t>Return on investment for PRSF support and</w:t>
      </w:r>
      <w:r w:rsidR="00D1658D" w:rsidRPr="006D7499">
        <w:rPr>
          <w:b/>
          <w:lang w:val="en-GB"/>
        </w:rPr>
        <w:t xml:space="preserve"> TNP2K reforms</w:t>
      </w:r>
    </w:p>
    <w:tbl>
      <w:tblPr>
        <w:tblStyle w:val="TableGrid"/>
        <w:tblW w:w="0" w:type="auto"/>
        <w:tblLayout w:type="fixed"/>
        <w:tblLook w:val="04A0" w:firstRow="1" w:lastRow="0" w:firstColumn="1" w:lastColumn="0" w:noHBand="0" w:noVBand="1"/>
      </w:tblPr>
      <w:tblGrid>
        <w:gridCol w:w="2295"/>
        <w:gridCol w:w="2295"/>
        <w:gridCol w:w="2295"/>
        <w:gridCol w:w="2295"/>
      </w:tblGrid>
      <w:tr w:rsidR="00D1658D" w:rsidRPr="00025680" w14:paraId="0C148AF3" w14:textId="77777777" w:rsidTr="00060B34">
        <w:trPr>
          <w:trHeight w:val="394"/>
        </w:trPr>
        <w:tc>
          <w:tcPr>
            <w:tcW w:w="2295" w:type="dxa"/>
            <w:vAlign w:val="center"/>
          </w:tcPr>
          <w:p w14:paraId="7D6A0FEC" w14:textId="77777777" w:rsidR="00D1658D" w:rsidRPr="00025680" w:rsidRDefault="00D1658D" w:rsidP="00060B34">
            <w:pPr>
              <w:jc w:val="left"/>
              <w:rPr>
                <w:b/>
              </w:rPr>
            </w:pPr>
          </w:p>
        </w:tc>
        <w:tc>
          <w:tcPr>
            <w:tcW w:w="2295" w:type="dxa"/>
            <w:vAlign w:val="center"/>
          </w:tcPr>
          <w:p w14:paraId="68F1CD90" w14:textId="77777777" w:rsidR="00D1658D" w:rsidRPr="00025680" w:rsidRDefault="00D1658D" w:rsidP="00060B34">
            <w:pPr>
              <w:jc w:val="center"/>
              <w:rPr>
                <w:b/>
              </w:rPr>
            </w:pPr>
            <w:r>
              <w:rPr>
                <w:b/>
              </w:rPr>
              <w:t>DFAT i</w:t>
            </w:r>
            <w:r w:rsidRPr="00025680">
              <w:rPr>
                <w:b/>
              </w:rPr>
              <w:t>nvestment</w:t>
            </w:r>
          </w:p>
        </w:tc>
        <w:tc>
          <w:tcPr>
            <w:tcW w:w="2295" w:type="dxa"/>
            <w:vAlign w:val="center"/>
          </w:tcPr>
          <w:p w14:paraId="1F67FED5" w14:textId="77777777" w:rsidR="00D1658D" w:rsidRPr="00025680" w:rsidRDefault="00D1658D" w:rsidP="00060B34">
            <w:pPr>
              <w:jc w:val="center"/>
              <w:rPr>
                <w:b/>
              </w:rPr>
            </w:pPr>
            <w:r w:rsidRPr="00025680">
              <w:rPr>
                <w:b/>
              </w:rPr>
              <w:t>Every $1 invested yields:</w:t>
            </w:r>
          </w:p>
        </w:tc>
        <w:tc>
          <w:tcPr>
            <w:tcW w:w="2295" w:type="dxa"/>
            <w:vAlign w:val="center"/>
          </w:tcPr>
          <w:p w14:paraId="73A7EBF8" w14:textId="77777777" w:rsidR="00D1658D" w:rsidRPr="00025680" w:rsidRDefault="00D1658D" w:rsidP="00060B34">
            <w:pPr>
              <w:jc w:val="center"/>
              <w:rPr>
                <w:b/>
              </w:rPr>
            </w:pPr>
            <w:r w:rsidRPr="00025680">
              <w:rPr>
                <w:b/>
              </w:rPr>
              <w:t>Net Present Value</w:t>
            </w:r>
          </w:p>
        </w:tc>
      </w:tr>
      <w:tr w:rsidR="00D1658D" w:rsidRPr="00025680" w14:paraId="4A0CF6F9" w14:textId="77777777" w:rsidTr="00060B34">
        <w:trPr>
          <w:trHeight w:val="273"/>
        </w:trPr>
        <w:tc>
          <w:tcPr>
            <w:tcW w:w="2295" w:type="dxa"/>
            <w:tcBorders>
              <w:bottom w:val="single" w:sz="4" w:space="0" w:color="auto"/>
            </w:tcBorders>
            <w:vAlign w:val="center"/>
          </w:tcPr>
          <w:p w14:paraId="0B233784" w14:textId="77777777" w:rsidR="00D1658D" w:rsidRPr="00025680" w:rsidRDefault="00D1658D" w:rsidP="00060B34">
            <w:pPr>
              <w:jc w:val="left"/>
              <w:rPr>
                <w:b/>
              </w:rPr>
            </w:pPr>
            <w:proofErr w:type="spellStart"/>
            <w:r w:rsidRPr="00025680">
              <w:rPr>
                <w:b/>
              </w:rPr>
              <w:t>Raskin</w:t>
            </w:r>
            <w:proofErr w:type="spellEnd"/>
            <w:r w:rsidRPr="00025680">
              <w:rPr>
                <w:b/>
              </w:rPr>
              <w:t xml:space="preserve"> </w:t>
            </w:r>
          </w:p>
        </w:tc>
        <w:tc>
          <w:tcPr>
            <w:tcW w:w="2295" w:type="dxa"/>
            <w:tcBorders>
              <w:bottom w:val="single" w:sz="4" w:space="0" w:color="auto"/>
            </w:tcBorders>
            <w:vAlign w:val="center"/>
          </w:tcPr>
          <w:p w14:paraId="61156F02" w14:textId="77777777" w:rsidR="00D1658D" w:rsidRPr="00025680" w:rsidRDefault="00D1658D" w:rsidP="00060B34">
            <w:pPr>
              <w:jc w:val="right"/>
            </w:pPr>
            <w:r w:rsidRPr="00025680">
              <w:t>$12.2 million</w:t>
            </w:r>
          </w:p>
        </w:tc>
        <w:tc>
          <w:tcPr>
            <w:tcW w:w="2295" w:type="dxa"/>
            <w:tcBorders>
              <w:bottom w:val="single" w:sz="4" w:space="0" w:color="auto"/>
            </w:tcBorders>
            <w:vAlign w:val="center"/>
          </w:tcPr>
          <w:p w14:paraId="0E509870" w14:textId="77777777" w:rsidR="00D1658D" w:rsidRPr="00025680" w:rsidRDefault="00D1658D" w:rsidP="00060B34">
            <w:pPr>
              <w:jc w:val="right"/>
            </w:pPr>
            <w:r w:rsidRPr="00025680">
              <w:t>$28</w:t>
            </w:r>
          </w:p>
        </w:tc>
        <w:tc>
          <w:tcPr>
            <w:tcW w:w="2295" w:type="dxa"/>
            <w:tcBorders>
              <w:bottom w:val="single" w:sz="4" w:space="0" w:color="auto"/>
            </w:tcBorders>
            <w:vAlign w:val="center"/>
          </w:tcPr>
          <w:p w14:paraId="44F4CC11" w14:textId="77777777" w:rsidR="00D1658D" w:rsidRPr="00025680" w:rsidRDefault="00D1658D" w:rsidP="00060B34">
            <w:pPr>
              <w:jc w:val="right"/>
            </w:pPr>
            <w:r w:rsidRPr="00025680">
              <w:t xml:space="preserve">$345 million </w:t>
            </w:r>
          </w:p>
          <w:p w14:paraId="7E4577AC" w14:textId="77777777" w:rsidR="00D1658D" w:rsidRPr="00025680" w:rsidRDefault="00D1658D" w:rsidP="00060B34">
            <w:pPr>
              <w:jc w:val="right"/>
            </w:pPr>
            <w:r w:rsidRPr="00025680">
              <w:t>(</w:t>
            </w:r>
            <w:r>
              <w:t>2013-17</w:t>
            </w:r>
            <w:r w:rsidRPr="00025680">
              <w:t>)</w:t>
            </w:r>
          </w:p>
        </w:tc>
      </w:tr>
      <w:tr w:rsidR="00D1658D" w:rsidRPr="00025680" w14:paraId="5EE87CC0" w14:textId="77777777" w:rsidTr="00060B34">
        <w:trPr>
          <w:trHeight w:val="325"/>
        </w:trPr>
        <w:tc>
          <w:tcPr>
            <w:tcW w:w="2295" w:type="dxa"/>
            <w:tcBorders>
              <w:bottom w:val="single" w:sz="4" w:space="0" w:color="auto"/>
            </w:tcBorders>
            <w:vAlign w:val="center"/>
          </w:tcPr>
          <w:p w14:paraId="6E6B811A" w14:textId="77777777" w:rsidR="00D1658D" w:rsidRDefault="00D1658D" w:rsidP="00060B34">
            <w:pPr>
              <w:jc w:val="left"/>
              <w:rPr>
                <w:b/>
              </w:rPr>
            </w:pPr>
            <w:r w:rsidRPr="00025680">
              <w:rPr>
                <w:b/>
              </w:rPr>
              <w:t xml:space="preserve">PKH </w:t>
            </w:r>
          </w:p>
        </w:tc>
        <w:tc>
          <w:tcPr>
            <w:tcW w:w="2295" w:type="dxa"/>
            <w:tcBorders>
              <w:bottom w:val="single" w:sz="4" w:space="0" w:color="auto"/>
            </w:tcBorders>
            <w:vAlign w:val="center"/>
          </w:tcPr>
          <w:p w14:paraId="2D44A9B3" w14:textId="77777777" w:rsidR="00D1658D" w:rsidRPr="00025680" w:rsidRDefault="00D1658D" w:rsidP="00060B34">
            <w:pPr>
              <w:jc w:val="right"/>
            </w:pPr>
            <w:r w:rsidRPr="00025680">
              <w:t>$23.3 million</w:t>
            </w:r>
          </w:p>
        </w:tc>
        <w:tc>
          <w:tcPr>
            <w:tcW w:w="2295" w:type="dxa"/>
            <w:tcBorders>
              <w:bottom w:val="single" w:sz="4" w:space="0" w:color="auto"/>
            </w:tcBorders>
            <w:vAlign w:val="center"/>
          </w:tcPr>
          <w:p w14:paraId="3E2EF731" w14:textId="6E2FEC15" w:rsidR="00D1658D" w:rsidRPr="00025680" w:rsidRDefault="00D1658D" w:rsidP="00511E23">
            <w:pPr>
              <w:jc w:val="right"/>
            </w:pPr>
            <w:r w:rsidRPr="00025680">
              <w:t>$5</w:t>
            </w:r>
            <w:r w:rsidR="00511E23">
              <w:t>7</w:t>
            </w:r>
          </w:p>
        </w:tc>
        <w:tc>
          <w:tcPr>
            <w:tcW w:w="2295" w:type="dxa"/>
            <w:tcBorders>
              <w:bottom w:val="single" w:sz="4" w:space="0" w:color="auto"/>
            </w:tcBorders>
            <w:vAlign w:val="center"/>
          </w:tcPr>
          <w:p w14:paraId="2ACDF15D" w14:textId="3F80D159" w:rsidR="00D1658D" w:rsidRPr="00025680" w:rsidRDefault="00D1658D" w:rsidP="00060B34">
            <w:pPr>
              <w:jc w:val="right"/>
            </w:pPr>
            <w:r w:rsidRPr="00025680">
              <w:t>$1.</w:t>
            </w:r>
            <w:r w:rsidR="00511E23">
              <w:t>33</w:t>
            </w:r>
            <w:r w:rsidRPr="00025680">
              <w:t xml:space="preserve"> billion </w:t>
            </w:r>
          </w:p>
          <w:p w14:paraId="39B1391A" w14:textId="77777777" w:rsidR="00D1658D" w:rsidRPr="00025680" w:rsidRDefault="00D1658D" w:rsidP="00060B34">
            <w:pPr>
              <w:jc w:val="right"/>
            </w:pPr>
            <w:r w:rsidRPr="00025680">
              <w:t>(</w:t>
            </w:r>
            <w:r>
              <w:t>2012-2021</w:t>
            </w:r>
            <w:r w:rsidRPr="00025680">
              <w:t>)</w:t>
            </w:r>
          </w:p>
        </w:tc>
      </w:tr>
      <w:tr w:rsidR="00D1658D" w:rsidRPr="00025680" w14:paraId="391784D4" w14:textId="77777777" w:rsidTr="00060B34">
        <w:trPr>
          <w:trHeight w:val="401"/>
        </w:trPr>
        <w:tc>
          <w:tcPr>
            <w:tcW w:w="2295" w:type="dxa"/>
            <w:tcBorders>
              <w:bottom w:val="single" w:sz="4" w:space="0" w:color="auto"/>
            </w:tcBorders>
            <w:vAlign w:val="center"/>
          </w:tcPr>
          <w:p w14:paraId="1806B795" w14:textId="77777777" w:rsidR="00D1658D" w:rsidRPr="00025680" w:rsidRDefault="00D1658D" w:rsidP="00060B34">
            <w:pPr>
              <w:jc w:val="left"/>
              <w:rPr>
                <w:b/>
              </w:rPr>
            </w:pPr>
            <w:r>
              <w:rPr>
                <w:b/>
              </w:rPr>
              <w:t>BSM</w:t>
            </w:r>
          </w:p>
        </w:tc>
        <w:tc>
          <w:tcPr>
            <w:tcW w:w="2295" w:type="dxa"/>
            <w:tcBorders>
              <w:bottom w:val="single" w:sz="4" w:space="0" w:color="auto"/>
            </w:tcBorders>
            <w:vAlign w:val="center"/>
          </w:tcPr>
          <w:p w14:paraId="54BD7CD6" w14:textId="77777777" w:rsidR="00D1658D" w:rsidRPr="00025680" w:rsidRDefault="00D1658D" w:rsidP="00060B34">
            <w:pPr>
              <w:jc w:val="right"/>
            </w:pPr>
            <w:r w:rsidRPr="00025680">
              <w:t>$10.6 million</w:t>
            </w:r>
          </w:p>
        </w:tc>
        <w:tc>
          <w:tcPr>
            <w:tcW w:w="2295" w:type="dxa"/>
            <w:tcBorders>
              <w:bottom w:val="single" w:sz="4" w:space="0" w:color="auto"/>
            </w:tcBorders>
            <w:vAlign w:val="center"/>
          </w:tcPr>
          <w:p w14:paraId="046AEFF1" w14:textId="77777777" w:rsidR="00D1658D" w:rsidRPr="00025680" w:rsidRDefault="00D1658D" w:rsidP="00060B34">
            <w:pPr>
              <w:jc w:val="right"/>
            </w:pPr>
            <w:r w:rsidRPr="00025680">
              <w:t>$157</w:t>
            </w:r>
          </w:p>
        </w:tc>
        <w:tc>
          <w:tcPr>
            <w:tcW w:w="2295" w:type="dxa"/>
            <w:tcBorders>
              <w:bottom w:val="single" w:sz="4" w:space="0" w:color="auto"/>
            </w:tcBorders>
            <w:vAlign w:val="center"/>
          </w:tcPr>
          <w:p w14:paraId="1583ADFF" w14:textId="77777777" w:rsidR="00D1658D" w:rsidRPr="00025680" w:rsidRDefault="00D1658D" w:rsidP="00060B34">
            <w:pPr>
              <w:jc w:val="right"/>
            </w:pPr>
            <w:r w:rsidRPr="00025680">
              <w:t xml:space="preserve">$1.6 billion </w:t>
            </w:r>
          </w:p>
          <w:p w14:paraId="77B6C103" w14:textId="77777777" w:rsidR="00D1658D" w:rsidRPr="00025680" w:rsidRDefault="00D1658D" w:rsidP="00060B34">
            <w:pPr>
              <w:jc w:val="right"/>
            </w:pPr>
            <w:r w:rsidRPr="00025680">
              <w:t>(</w:t>
            </w:r>
            <w:r>
              <w:t>2012-2021</w:t>
            </w:r>
            <w:r w:rsidRPr="00025680">
              <w:t>)</w:t>
            </w:r>
          </w:p>
        </w:tc>
      </w:tr>
      <w:tr w:rsidR="00D1658D" w:rsidRPr="00025680" w14:paraId="20B9BDD4" w14:textId="77777777" w:rsidTr="00060B34">
        <w:trPr>
          <w:trHeight w:val="337"/>
        </w:trPr>
        <w:tc>
          <w:tcPr>
            <w:tcW w:w="2295" w:type="dxa"/>
            <w:tcBorders>
              <w:bottom w:val="single" w:sz="4" w:space="0" w:color="auto"/>
            </w:tcBorders>
            <w:vAlign w:val="center"/>
          </w:tcPr>
          <w:p w14:paraId="564F92DB" w14:textId="77777777" w:rsidR="00D1658D" w:rsidRPr="00025680" w:rsidRDefault="00D1658D" w:rsidP="00060B34">
            <w:pPr>
              <w:jc w:val="left"/>
              <w:rPr>
                <w:b/>
              </w:rPr>
            </w:pPr>
            <w:r w:rsidRPr="00025680">
              <w:rPr>
                <w:b/>
              </w:rPr>
              <w:t xml:space="preserve">BLSM </w:t>
            </w:r>
          </w:p>
        </w:tc>
        <w:tc>
          <w:tcPr>
            <w:tcW w:w="2295" w:type="dxa"/>
            <w:tcBorders>
              <w:bottom w:val="single" w:sz="4" w:space="0" w:color="auto"/>
            </w:tcBorders>
            <w:vAlign w:val="center"/>
          </w:tcPr>
          <w:p w14:paraId="45C1AD3B" w14:textId="77777777" w:rsidR="00D1658D" w:rsidRPr="00025680" w:rsidRDefault="00D1658D" w:rsidP="00060B34">
            <w:pPr>
              <w:jc w:val="right"/>
            </w:pPr>
            <w:r w:rsidRPr="00025680">
              <w:t>$5.1 million</w:t>
            </w:r>
          </w:p>
        </w:tc>
        <w:tc>
          <w:tcPr>
            <w:tcW w:w="2295" w:type="dxa"/>
            <w:tcBorders>
              <w:bottom w:val="single" w:sz="4" w:space="0" w:color="auto"/>
            </w:tcBorders>
            <w:vAlign w:val="center"/>
          </w:tcPr>
          <w:p w14:paraId="321F89D3" w14:textId="77777777" w:rsidR="00D1658D" w:rsidRPr="00025680" w:rsidRDefault="00D1658D" w:rsidP="00060B34">
            <w:pPr>
              <w:jc w:val="right"/>
            </w:pPr>
            <w:r w:rsidRPr="00025680">
              <w:t>$487</w:t>
            </w:r>
          </w:p>
        </w:tc>
        <w:tc>
          <w:tcPr>
            <w:tcW w:w="2295" w:type="dxa"/>
            <w:tcBorders>
              <w:bottom w:val="single" w:sz="4" w:space="0" w:color="auto"/>
            </w:tcBorders>
            <w:vAlign w:val="center"/>
          </w:tcPr>
          <w:p w14:paraId="7EF731E0" w14:textId="77777777" w:rsidR="00D1658D" w:rsidRPr="00025680" w:rsidRDefault="00D1658D" w:rsidP="00060B34">
            <w:pPr>
              <w:jc w:val="right"/>
            </w:pPr>
            <w:r w:rsidRPr="00025680">
              <w:t xml:space="preserve">$2.48 billion </w:t>
            </w:r>
          </w:p>
          <w:p w14:paraId="6C41507D" w14:textId="77777777" w:rsidR="00D1658D" w:rsidRPr="00025680" w:rsidRDefault="00D1658D" w:rsidP="00060B34">
            <w:pPr>
              <w:jc w:val="right"/>
            </w:pPr>
            <w:r w:rsidRPr="00025680">
              <w:t>(</w:t>
            </w:r>
            <w:r>
              <w:t>2013-17</w:t>
            </w:r>
            <w:r w:rsidRPr="00025680">
              <w:t>)</w:t>
            </w:r>
          </w:p>
        </w:tc>
      </w:tr>
    </w:tbl>
    <w:p w14:paraId="10B42F95" w14:textId="77777777" w:rsidR="00D1658D" w:rsidRDefault="00D1658D" w:rsidP="00D1658D">
      <w:pPr>
        <w:spacing w:after="120" w:line="240" w:lineRule="auto"/>
        <w:rPr>
          <w:i/>
          <w:sz w:val="16"/>
        </w:rPr>
      </w:pPr>
      <w:r w:rsidRPr="0080477C">
        <w:rPr>
          <w:i/>
          <w:sz w:val="16"/>
        </w:rPr>
        <w:t xml:space="preserve">Source: </w:t>
      </w:r>
      <w:r>
        <w:rPr>
          <w:i/>
          <w:sz w:val="16"/>
        </w:rPr>
        <w:t>PRSF 2015</w:t>
      </w:r>
      <w:r w:rsidRPr="0080477C">
        <w:rPr>
          <w:i/>
          <w:sz w:val="16"/>
        </w:rPr>
        <w:t xml:space="preserve">. </w:t>
      </w:r>
    </w:p>
    <w:p w14:paraId="1582A506" w14:textId="77777777" w:rsidR="00465176" w:rsidRDefault="00465176" w:rsidP="007015BD"/>
    <w:p w14:paraId="6B921821" w14:textId="4A2547D7" w:rsidR="00D1658D" w:rsidRDefault="00854106" w:rsidP="007015BD">
      <w:r>
        <w:t xml:space="preserve">PRSF </w:t>
      </w:r>
      <w:r w:rsidR="00D1658D">
        <w:t xml:space="preserve">as noted above </w:t>
      </w:r>
      <w:r w:rsidR="004B5DAB">
        <w:t>can take a reasonable amount of credit for these results and none of them would have been possible without funding from the Australian Government</w:t>
      </w:r>
      <w:r w:rsidR="007C270E">
        <w:t xml:space="preserve"> which was channelled to TNP2K through PRSF</w:t>
      </w:r>
      <w:r w:rsidR="004B5DAB">
        <w:t>.</w:t>
      </w:r>
    </w:p>
    <w:p w14:paraId="5EB4A23F" w14:textId="33E57E50" w:rsidR="004B5DAB" w:rsidRDefault="002D2D8B" w:rsidP="007015BD">
      <w:r>
        <w:t>For the purposes of this review</w:t>
      </w:r>
      <w:r w:rsidR="00A75547">
        <w:t xml:space="preserve"> which is looking specifically at PRSF</w:t>
      </w:r>
      <w:r>
        <w:t xml:space="preserve">, it is necessary to look at what the goals, objectives and expected outcomes for </w:t>
      </w:r>
      <w:r w:rsidR="00A75547">
        <w:t>the facility</w:t>
      </w:r>
      <w:r w:rsidR="00F625EB">
        <w:t xml:space="preserve"> </w:t>
      </w:r>
      <w:r>
        <w:t xml:space="preserve">were and then compare them to the achievements. Box </w:t>
      </w:r>
      <w:r w:rsidR="00854106">
        <w:t>4</w:t>
      </w:r>
      <w:r>
        <w:t xml:space="preserve"> is from the original scope of services for the PRSF contract and provides a good framework for assessing success or failure for the facility. In a practical sense this is what the Australian Government set out in the contract and this is what it paid for.</w:t>
      </w:r>
    </w:p>
    <w:p w14:paraId="52C13941" w14:textId="397FF7D5" w:rsidR="00854106" w:rsidRDefault="00925A76">
      <w:r>
        <w:t xml:space="preserve">Like every program, the long term goal is not one that is </w:t>
      </w:r>
      <w:r w:rsidR="00F625EB">
        <w:t xml:space="preserve">solely </w:t>
      </w:r>
      <w:r>
        <w:t>within the power of the program to achieve. It requires a lot of things to happen and investment of time and resources</w:t>
      </w:r>
      <w:r w:rsidR="00FF6CEE">
        <w:t xml:space="preserve"> by a large number of actors, in</w:t>
      </w:r>
      <w:r>
        <w:t>c</w:t>
      </w:r>
      <w:r w:rsidR="00FF6CEE">
        <w:t>l</w:t>
      </w:r>
      <w:r>
        <w:t xml:space="preserve">uding the national government, sub-national </w:t>
      </w:r>
      <w:r w:rsidR="00854106">
        <w:t>governments, communities, NGOs and other donors</w:t>
      </w:r>
      <w:r>
        <w:t xml:space="preserve">. </w:t>
      </w:r>
      <w:r w:rsidR="00854106">
        <w:t xml:space="preserve"> </w:t>
      </w:r>
      <w:r w:rsidR="002469EC">
        <w:t xml:space="preserve">While the poverty goals of the Government have not </w:t>
      </w:r>
      <w:r w:rsidR="00A75547">
        <w:t xml:space="preserve">yet </w:t>
      </w:r>
      <w:r w:rsidR="002469EC">
        <w:t xml:space="preserve">been </w:t>
      </w:r>
      <w:r w:rsidR="00F625EB">
        <w:t xml:space="preserve">fully </w:t>
      </w:r>
      <w:r w:rsidR="00A75547">
        <w:t>achieved</w:t>
      </w:r>
      <w:r w:rsidR="002469EC">
        <w:t>, poverty is falling and with better targeting of services, the vulnerabilit</w:t>
      </w:r>
      <w:r w:rsidR="00854106">
        <w:t xml:space="preserve">y of the poor is clearly lower. The </w:t>
      </w:r>
      <w:r w:rsidR="002469EC">
        <w:t xml:space="preserve">long term prospects for breaking out of intergenerational poverty are </w:t>
      </w:r>
      <w:r w:rsidR="00854106">
        <w:t>also improving</w:t>
      </w:r>
      <w:r w:rsidR="007C270E">
        <w:t xml:space="preserve"> through better targeting of programs like the school scholarships for the poor program (BSM)</w:t>
      </w:r>
      <w:r w:rsidR="002469EC">
        <w:t xml:space="preserve">. </w:t>
      </w:r>
    </w:p>
    <w:p w14:paraId="59BE61CE" w14:textId="77777777" w:rsidR="00936EEA" w:rsidRDefault="002469EC">
      <w:r>
        <w:t>The macroeconomic implications of better targeting are also often underplayed when discussing social protection programs. In Indon</w:t>
      </w:r>
      <w:r w:rsidR="00FF6CEE">
        <w:t>e</w:t>
      </w:r>
      <w:r>
        <w:t xml:space="preserve">sia’s case, there is considerable evidence that the ability to better target </w:t>
      </w:r>
      <w:r w:rsidR="00FF6CEE">
        <w:t>compensation measures for the poor, in the form of unconditional cash transfers, has helped the Indonesian Government to lower fuel subsidies</w:t>
      </w:r>
      <w:r w:rsidR="00854106">
        <w:t>, crucial for sustainable Government finances</w:t>
      </w:r>
      <w:r w:rsidR="00FF6CEE">
        <w:t>. The sustai</w:t>
      </w:r>
      <w:r w:rsidR="00F625EB">
        <w:t>nability of the national budget</w:t>
      </w:r>
      <w:r w:rsidR="00FF6CEE">
        <w:t xml:space="preserve"> and the ability to maintain a </w:t>
      </w:r>
      <w:proofErr w:type="spellStart"/>
      <w:r w:rsidR="00FF6CEE">
        <w:t>well targeted</w:t>
      </w:r>
      <w:proofErr w:type="spellEnd"/>
      <w:r w:rsidR="00FF6CEE">
        <w:t xml:space="preserve"> social safety net are in turn key tools for reduci</w:t>
      </w:r>
      <w:r w:rsidR="00F625EB">
        <w:t>ng the impact of economic shock</w:t>
      </w:r>
      <w:r w:rsidR="00FF6CEE">
        <w:t>s on the poor and vulnerable. Following the Asian Financial Crisis of the late 1990s, the story in Indonesia was not just one of increased poverty, but also ongoing vulnerability to shocks. TNP2K with its partners is making a key contribution to macroeconomic and social stability through its work.</w:t>
      </w:r>
    </w:p>
    <w:p w14:paraId="77BB0AF4" w14:textId="6C86EBBF" w:rsidR="00DF4F1D" w:rsidRDefault="00DF4F1D"/>
    <w:p w14:paraId="52E67D0E" w14:textId="77777777" w:rsidR="000E0AE5" w:rsidRDefault="000E0AE5"/>
    <w:p w14:paraId="7F08E94D" w14:textId="02505C75" w:rsidR="00B84045" w:rsidRDefault="00465176" w:rsidP="007015BD">
      <w:r>
        <w:rPr>
          <w:noProof/>
          <w:lang w:eastAsia="en-AU"/>
        </w:rPr>
        <mc:AlternateContent>
          <mc:Choice Requires="wps">
            <w:drawing>
              <wp:anchor distT="0" distB="0" distL="114300" distR="114300" simplePos="0" relativeHeight="251663360" behindDoc="0" locked="0" layoutInCell="1" allowOverlap="1" wp14:anchorId="6B99F462" wp14:editId="0CEA9940">
                <wp:simplePos x="0" y="0"/>
                <wp:positionH relativeFrom="margin">
                  <wp:align>left</wp:align>
                </wp:positionH>
                <wp:positionV relativeFrom="paragraph">
                  <wp:posOffset>-1905</wp:posOffset>
                </wp:positionV>
                <wp:extent cx="6076950" cy="6392174"/>
                <wp:effectExtent l="0" t="0" r="19050" b="279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392174"/>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73CD315" w14:textId="77777777" w:rsidR="000E0AE5" w:rsidRPr="00697C95" w:rsidRDefault="000E0AE5" w:rsidP="00B84045">
                            <w:pPr>
                              <w:spacing w:after="240"/>
                              <w:rPr>
                                <w:b/>
                                <w:szCs w:val="24"/>
                                <w:u w:val="single"/>
                                <w:lang w:eastAsia="en-AU"/>
                              </w:rPr>
                            </w:pPr>
                            <w:r>
                              <w:rPr>
                                <w:b/>
                                <w:szCs w:val="24"/>
                                <w:u w:val="single"/>
                                <w:lang w:eastAsia="en-AU"/>
                              </w:rPr>
                              <w:t xml:space="preserve">Box 4: </w:t>
                            </w:r>
                            <w:r w:rsidRPr="00697C95">
                              <w:rPr>
                                <w:b/>
                                <w:szCs w:val="24"/>
                                <w:u w:val="single"/>
                                <w:lang w:eastAsia="en-AU"/>
                              </w:rPr>
                              <w:t>Goals, Objectives, Expected Outcomes and Risk Management</w:t>
                            </w:r>
                            <w:r>
                              <w:rPr>
                                <w:b/>
                                <w:szCs w:val="24"/>
                                <w:u w:val="single"/>
                                <w:lang w:eastAsia="en-AU"/>
                              </w:rPr>
                              <w:t xml:space="preserve"> (Original Scope of Service 2010)</w:t>
                            </w:r>
                          </w:p>
                          <w:p w14:paraId="037AA619" w14:textId="77777777" w:rsidR="000E0AE5" w:rsidRPr="000C1842" w:rsidRDefault="000E0AE5" w:rsidP="00936EEA">
                            <w:pPr>
                              <w:spacing w:after="240" w:line="240" w:lineRule="auto"/>
                              <w:rPr>
                                <w:i/>
                              </w:rPr>
                            </w:pPr>
                            <w:r w:rsidRPr="00351FA2">
                              <w:rPr>
                                <w:b/>
                                <w:i/>
                              </w:rPr>
                              <w:t>Long Term Goal:</w:t>
                            </w:r>
                            <w:r w:rsidRPr="000C1842">
                              <w:rPr>
                                <w:i/>
                              </w:rPr>
                              <w:t xml:space="preserve"> </w:t>
                            </w:r>
                            <w:r w:rsidRPr="000C1842">
                              <w:t>To increase the rate of poverty reduction in Indonesia and reduce the impact of shocks and stresses on the poor and vulnerable</w:t>
                            </w:r>
                            <w:r w:rsidRPr="000C1842">
                              <w:rPr>
                                <w:i/>
                              </w:rPr>
                              <w:t xml:space="preserve">. </w:t>
                            </w:r>
                          </w:p>
                          <w:p w14:paraId="1342BBEA" w14:textId="77777777" w:rsidR="000E0AE5" w:rsidRPr="000C1842" w:rsidRDefault="000E0AE5" w:rsidP="00936EEA">
                            <w:pPr>
                              <w:spacing w:after="240" w:line="240" w:lineRule="auto"/>
                              <w:rPr>
                                <w:i/>
                              </w:rPr>
                            </w:pPr>
                            <w:r w:rsidRPr="00351FA2">
                              <w:rPr>
                                <w:b/>
                                <w:i/>
                              </w:rPr>
                              <w:t>Medium term goal:</w:t>
                            </w:r>
                            <w:r w:rsidRPr="000C1842">
                              <w:rPr>
                                <w:i/>
                              </w:rPr>
                              <w:t xml:space="preserve"> </w:t>
                            </w:r>
                            <w:r w:rsidRPr="000C1842">
                              <w:t>Improve the quality of policy advice for poverty programs.</w:t>
                            </w:r>
                          </w:p>
                          <w:p w14:paraId="022FC7A5" w14:textId="77777777" w:rsidR="000E0AE5" w:rsidRPr="000C1842" w:rsidRDefault="000E0AE5" w:rsidP="00936EEA">
                            <w:pPr>
                              <w:spacing w:after="240" w:line="240" w:lineRule="auto"/>
                            </w:pPr>
                            <w:r w:rsidRPr="00351FA2">
                              <w:rPr>
                                <w:b/>
                                <w:i/>
                              </w:rPr>
                              <w:t>Objectives:</w:t>
                            </w:r>
                            <w:r w:rsidRPr="000C1842">
                              <w:t xml:space="preserve"> Given the Facility’s central role in supporting the National Team </w:t>
                            </w:r>
                            <w:r>
                              <w:t>Secretariat</w:t>
                            </w:r>
                            <w:r w:rsidRPr="000C1842">
                              <w:t xml:space="preserve">, its key objectives align with those of the National Team which are to: </w:t>
                            </w:r>
                          </w:p>
                          <w:p w14:paraId="7E0AAAED" w14:textId="77777777" w:rsidR="000E0AE5" w:rsidRPr="000C1842" w:rsidRDefault="000E0AE5" w:rsidP="004860E0">
                            <w:pPr>
                              <w:pStyle w:val="ListParagraph"/>
                              <w:numPr>
                                <w:ilvl w:val="0"/>
                                <w:numId w:val="24"/>
                              </w:numPr>
                            </w:pPr>
                            <w:r w:rsidRPr="000C1842">
                              <w:t xml:space="preserve">design and oversee a large-scale program of social assistance and poverty reduction; </w:t>
                            </w:r>
                          </w:p>
                          <w:p w14:paraId="7A4C49D2" w14:textId="77777777" w:rsidR="000E0AE5" w:rsidRPr="000C1842" w:rsidRDefault="000E0AE5" w:rsidP="004860E0">
                            <w:pPr>
                              <w:pStyle w:val="ListParagraph"/>
                              <w:numPr>
                                <w:ilvl w:val="0"/>
                                <w:numId w:val="24"/>
                              </w:numPr>
                            </w:pPr>
                            <w:r w:rsidRPr="000C1842">
                              <w:t>consolidate, simplify</w:t>
                            </w:r>
                            <w:r>
                              <w:t>,</w:t>
                            </w:r>
                            <w:r w:rsidRPr="000C1842">
                              <w:t xml:space="preserve">, and improve the efficiency of existing programs; and </w:t>
                            </w:r>
                          </w:p>
                          <w:p w14:paraId="5BB8FAA5" w14:textId="77777777" w:rsidR="000E0AE5" w:rsidRPr="000C1842" w:rsidRDefault="000E0AE5" w:rsidP="004860E0">
                            <w:pPr>
                              <w:pStyle w:val="ListParagraph"/>
                              <w:numPr>
                                <w:ilvl w:val="0"/>
                                <w:numId w:val="24"/>
                              </w:numPr>
                            </w:pPr>
                            <w:proofErr w:type="gramStart"/>
                            <w:r w:rsidRPr="000C1842">
                              <w:t>identify</w:t>
                            </w:r>
                            <w:proofErr w:type="gramEnd"/>
                            <w:r w:rsidRPr="000C1842">
                              <w:t xml:space="preserve"> important but troubled social assistance programs and resolve their implementation problems. </w:t>
                            </w:r>
                          </w:p>
                          <w:p w14:paraId="6274616F" w14:textId="77777777" w:rsidR="000E0AE5" w:rsidRPr="000C1842" w:rsidRDefault="000E0AE5" w:rsidP="00936EEA">
                            <w:pPr>
                              <w:spacing w:after="240" w:line="240" w:lineRule="auto"/>
                            </w:pPr>
                            <w:r w:rsidRPr="000C1842">
                              <w:t xml:space="preserve">The AusAID specific objective of supporting the Facility is to play an active role to contribute to the direction of poverty (particularly social assistance) </w:t>
                            </w:r>
                            <w:r>
                              <w:t xml:space="preserve">reduction </w:t>
                            </w:r>
                            <w:r w:rsidRPr="000C1842">
                              <w:t xml:space="preserve">programs. </w:t>
                            </w:r>
                          </w:p>
                          <w:p w14:paraId="25CAC2D5" w14:textId="77777777" w:rsidR="000E0AE5" w:rsidRPr="00351FA2" w:rsidRDefault="000E0AE5" w:rsidP="00B84045">
                            <w:pPr>
                              <w:pStyle w:val="List-bullet-2"/>
                              <w:numPr>
                                <w:ilvl w:val="0"/>
                                <w:numId w:val="0"/>
                              </w:numPr>
                              <w:spacing w:before="0" w:after="240"/>
                              <w:ind w:left="554" w:hanging="540"/>
                              <w:rPr>
                                <w:rFonts w:ascii="Times New Roman" w:hAnsi="Times New Roman" w:cs="Times New Roman"/>
                                <w:b/>
                                <w:i/>
                                <w:sz w:val="24"/>
                                <w:szCs w:val="24"/>
                              </w:rPr>
                            </w:pPr>
                            <w:r w:rsidRPr="00351FA2">
                              <w:rPr>
                                <w:rFonts w:ascii="Times New Roman" w:hAnsi="Times New Roman" w:cs="Times New Roman"/>
                                <w:b/>
                                <w:i/>
                                <w:sz w:val="24"/>
                                <w:szCs w:val="24"/>
                              </w:rPr>
                              <w:t>Longer term outcomes (3 years +)</w:t>
                            </w:r>
                          </w:p>
                          <w:p w14:paraId="6EA1213E" w14:textId="77777777" w:rsidR="000E0AE5" w:rsidRPr="000C1842" w:rsidRDefault="000E0AE5" w:rsidP="004860E0">
                            <w:pPr>
                              <w:pStyle w:val="ListParagraph"/>
                              <w:numPr>
                                <w:ilvl w:val="0"/>
                                <w:numId w:val="23"/>
                              </w:numPr>
                            </w:pPr>
                            <w:r w:rsidRPr="000C1842">
                              <w:t xml:space="preserve">Implementation of policy advice improves the effectiveness of social assistance and poverty reduction programs. </w:t>
                            </w:r>
                          </w:p>
                          <w:p w14:paraId="36854CBF" w14:textId="77777777" w:rsidR="000E0AE5" w:rsidRPr="000C1842" w:rsidRDefault="000E0AE5" w:rsidP="004860E0">
                            <w:pPr>
                              <w:pStyle w:val="ListParagraph"/>
                              <w:numPr>
                                <w:ilvl w:val="0"/>
                                <w:numId w:val="23"/>
                              </w:numPr>
                            </w:pPr>
                            <w:r w:rsidRPr="000C1842">
                              <w:t xml:space="preserve">Social assistance programs are better targeted. </w:t>
                            </w:r>
                          </w:p>
                          <w:p w14:paraId="32DE13BA" w14:textId="77777777" w:rsidR="000E0AE5" w:rsidRPr="000C1842" w:rsidRDefault="000E0AE5" w:rsidP="004860E0">
                            <w:pPr>
                              <w:pStyle w:val="ListParagraph"/>
                              <w:numPr>
                                <w:ilvl w:val="0"/>
                                <w:numId w:val="23"/>
                              </w:numPr>
                            </w:pPr>
                            <w:r w:rsidRPr="000C1842">
                              <w:t>Poor families eligible for social assistance programs have reliable access to these programs.</w:t>
                            </w:r>
                          </w:p>
                          <w:p w14:paraId="0CA7A655" w14:textId="77777777" w:rsidR="000E0AE5" w:rsidRPr="000C1842" w:rsidRDefault="000E0AE5" w:rsidP="004860E0">
                            <w:pPr>
                              <w:pStyle w:val="ListParagraph"/>
                              <w:numPr>
                                <w:ilvl w:val="0"/>
                                <w:numId w:val="23"/>
                              </w:numPr>
                            </w:pPr>
                            <w:r w:rsidRPr="000C1842">
                              <w:t xml:space="preserve">Greater appetite within the diverse implementing agencies of </w:t>
                            </w:r>
                            <w:proofErr w:type="spellStart"/>
                            <w:r w:rsidRPr="000C1842">
                              <w:t>GoI</w:t>
                            </w:r>
                            <w:proofErr w:type="spellEnd"/>
                            <w:r w:rsidRPr="000C1842">
                              <w:t xml:space="preserve"> to implement integrated poverty programs. </w:t>
                            </w:r>
                          </w:p>
                          <w:p w14:paraId="16A4C39A" w14:textId="77777777" w:rsidR="000E0AE5" w:rsidRPr="00351FA2" w:rsidRDefault="000E0AE5" w:rsidP="00936EEA">
                            <w:pPr>
                              <w:pStyle w:val="List-bullet-2"/>
                              <w:numPr>
                                <w:ilvl w:val="0"/>
                                <w:numId w:val="0"/>
                              </w:numPr>
                              <w:spacing w:before="0" w:after="240"/>
                              <w:ind w:left="540" w:hanging="540"/>
                              <w:rPr>
                                <w:rFonts w:ascii="Times New Roman" w:hAnsi="Times New Roman" w:cs="Times New Roman"/>
                                <w:b/>
                                <w:i/>
                                <w:sz w:val="24"/>
                                <w:szCs w:val="24"/>
                              </w:rPr>
                            </w:pPr>
                            <w:r w:rsidRPr="00351FA2">
                              <w:rPr>
                                <w:rFonts w:ascii="Times New Roman" w:hAnsi="Times New Roman" w:cs="Times New Roman"/>
                                <w:b/>
                                <w:i/>
                                <w:sz w:val="24"/>
                                <w:szCs w:val="24"/>
                              </w:rPr>
                              <w:t>Interim outcomes</w:t>
                            </w:r>
                          </w:p>
                          <w:p w14:paraId="49F0B1AD" w14:textId="77777777" w:rsidR="000E0AE5" w:rsidRPr="000C1842" w:rsidRDefault="000E0AE5" w:rsidP="004860E0">
                            <w:pPr>
                              <w:pStyle w:val="ListParagraph"/>
                              <w:numPr>
                                <w:ilvl w:val="0"/>
                                <w:numId w:val="25"/>
                              </w:numPr>
                            </w:pPr>
                            <w:r w:rsidRPr="000C1842">
                              <w:t>Policy working groups produce policy advice that directly influences program decisions.</w:t>
                            </w:r>
                          </w:p>
                          <w:p w14:paraId="31DD25AC" w14:textId="77777777" w:rsidR="000E0AE5" w:rsidRPr="000C1842" w:rsidRDefault="000E0AE5" w:rsidP="004860E0">
                            <w:pPr>
                              <w:pStyle w:val="ListParagraph"/>
                              <w:numPr>
                                <w:ilvl w:val="0"/>
                                <w:numId w:val="25"/>
                              </w:numPr>
                            </w:pPr>
                            <w:r w:rsidRPr="000C1842">
                              <w:t>Policy advice is realistic and implementable.</w:t>
                            </w:r>
                          </w:p>
                          <w:p w14:paraId="0BFAF993" w14:textId="77777777" w:rsidR="000E0AE5" w:rsidRPr="000C1842" w:rsidRDefault="000E0AE5" w:rsidP="004860E0">
                            <w:pPr>
                              <w:pStyle w:val="ListParagraph"/>
                              <w:numPr>
                                <w:ilvl w:val="0"/>
                                <w:numId w:val="25"/>
                              </w:numPr>
                            </w:pPr>
                            <w:r w:rsidRPr="000C1842">
                              <w:t>Evaluations and pilot programs provide evidence base for policy formulation.</w:t>
                            </w:r>
                          </w:p>
                          <w:p w14:paraId="364537D2" w14:textId="77777777" w:rsidR="000E0AE5" w:rsidRPr="000C1842" w:rsidRDefault="000E0AE5" w:rsidP="004860E0">
                            <w:pPr>
                              <w:pStyle w:val="ListParagraph"/>
                              <w:numPr>
                                <w:ilvl w:val="0"/>
                                <w:numId w:val="25"/>
                              </w:numPr>
                            </w:pPr>
                            <w:r w:rsidRPr="000C1842">
                              <w:t>Gaps in social assistance coverage are identified and actioned.</w:t>
                            </w:r>
                          </w:p>
                          <w:p w14:paraId="187B4EB4" w14:textId="77777777" w:rsidR="000E0AE5" w:rsidRPr="00936EEA" w:rsidRDefault="000E0AE5" w:rsidP="004860E0">
                            <w:pPr>
                              <w:pStyle w:val="ListParagraph"/>
                              <w:numPr>
                                <w:ilvl w:val="0"/>
                                <w:numId w:val="25"/>
                              </w:numPr>
                            </w:pPr>
                            <w:r w:rsidRPr="000C1842">
                              <w:t>AusAID participates in key policy discussions, in technical committees and influences decision making.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15pt;width:478.5pt;height:503.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" fillcolor="white [3201]" strokecolor="#4f81bd [3204]" strokeweight="2pt">
                <v:textbox>
                  <w:txbxContent>
                    <w:p w14:paraId="473CD315" w14:textId="77777777" w:rsidR="000E0AE5" w:rsidRPr="00697C95" w:rsidRDefault="000E0AE5" w:rsidP="00B84045">
                      <w:pPr>
                        <w:spacing w:after="240"/>
                        <w:rPr>
                          <w:b/>
                          <w:szCs w:val="24"/>
                          <w:u w:val="single"/>
                          <w:lang w:eastAsia="en-AU"/>
                        </w:rPr>
                      </w:pPr>
                      <w:r>
                        <w:rPr>
                          <w:b/>
                          <w:szCs w:val="24"/>
                          <w:u w:val="single"/>
                          <w:lang w:eastAsia="en-AU"/>
                        </w:rPr>
                        <w:t xml:space="preserve">Box 4: </w:t>
                      </w:r>
                      <w:r w:rsidRPr="00697C95">
                        <w:rPr>
                          <w:b/>
                          <w:szCs w:val="24"/>
                          <w:u w:val="single"/>
                          <w:lang w:eastAsia="en-AU"/>
                        </w:rPr>
                        <w:t>Goals, Objectives, Expected Outcomes and Risk Management</w:t>
                      </w:r>
                      <w:r>
                        <w:rPr>
                          <w:b/>
                          <w:szCs w:val="24"/>
                          <w:u w:val="single"/>
                          <w:lang w:eastAsia="en-AU"/>
                        </w:rPr>
                        <w:t xml:space="preserve"> (Original Scope of Service 2010)</w:t>
                      </w:r>
                    </w:p>
                    <w:p w14:paraId="037AA619" w14:textId="77777777" w:rsidR="000E0AE5" w:rsidRPr="000C1842" w:rsidRDefault="000E0AE5" w:rsidP="00936EEA">
                      <w:pPr>
                        <w:spacing w:after="240" w:line="240" w:lineRule="auto"/>
                        <w:rPr>
                          <w:i/>
                        </w:rPr>
                      </w:pPr>
                      <w:r w:rsidRPr="00351FA2">
                        <w:rPr>
                          <w:b/>
                          <w:i/>
                        </w:rPr>
                        <w:t>Long Term Goal:</w:t>
                      </w:r>
                      <w:r w:rsidRPr="000C1842">
                        <w:rPr>
                          <w:i/>
                        </w:rPr>
                        <w:t xml:space="preserve"> </w:t>
                      </w:r>
                      <w:r w:rsidRPr="000C1842">
                        <w:t>To increase the rate of poverty reduction in Indonesia and reduce the impact of shocks and stresses on the poor and vulnerable</w:t>
                      </w:r>
                      <w:r w:rsidRPr="000C1842">
                        <w:rPr>
                          <w:i/>
                        </w:rPr>
                        <w:t xml:space="preserve">. </w:t>
                      </w:r>
                    </w:p>
                    <w:p w14:paraId="1342BBEA" w14:textId="77777777" w:rsidR="000E0AE5" w:rsidRPr="000C1842" w:rsidRDefault="000E0AE5" w:rsidP="00936EEA">
                      <w:pPr>
                        <w:spacing w:after="240" w:line="240" w:lineRule="auto"/>
                        <w:rPr>
                          <w:i/>
                        </w:rPr>
                      </w:pPr>
                      <w:r w:rsidRPr="00351FA2">
                        <w:rPr>
                          <w:b/>
                          <w:i/>
                        </w:rPr>
                        <w:t>Medium term goal:</w:t>
                      </w:r>
                      <w:r w:rsidRPr="000C1842">
                        <w:rPr>
                          <w:i/>
                        </w:rPr>
                        <w:t xml:space="preserve"> </w:t>
                      </w:r>
                      <w:r w:rsidRPr="000C1842">
                        <w:t>Improve the quality of policy advice for poverty programs.</w:t>
                      </w:r>
                    </w:p>
                    <w:p w14:paraId="022FC7A5" w14:textId="77777777" w:rsidR="000E0AE5" w:rsidRPr="000C1842" w:rsidRDefault="000E0AE5" w:rsidP="00936EEA">
                      <w:pPr>
                        <w:spacing w:after="240" w:line="240" w:lineRule="auto"/>
                      </w:pPr>
                      <w:r w:rsidRPr="00351FA2">
                        <w:rPr>
                          <w:b/>
                          <w:i/>
                        </w:rPr>
                        <w:t>Objectives:</w:t>
                      </w:r>
                      <w:r w:rsidRPr="000C1842">
                        <w:t xml:space="preserve"> Given the Facility’s central role in supporting the National Team </w:t>
                      </w:r>
                      <w:r>
                        <w:t>Secretariat</w:t>
                      </w:r>
                      <w:r w:rsidRPr="000C1842">
                        <w:t xml:space="preserve">, its key objectives align with those of the National Team which are to: </w:t>
                      </w:r>
                    </w:p>
                    <w:p w14:paraId="7E0AAAED" w14:textId="77777777" w:rsidR="000E0AE5" w:rsidRPr="000C1842" w:rsidRDefault="000E0AE5" w:rsidP="004860E0">
                      <w:pPr>
                        <w:pStyle w:val="ListParagraph"/>
                        <w:numPr>
                          <w:ilvl w:val="0"/>
                          <w:numId w:val="24"/>
                        </w:numPr>
                      </w:pPr>
                      <w:r w:rsidRPr="000C1842">
                        <w:t xml:space="preserve">design and oversee a large-scale program of social assistance and poverty reduction; </w:t>
                      </w:r>
                    </w:p>
                    <w:p w14:paraId="7A4C49D2" w14:textId="77777777" w:rsidR="000E0AE5" w:rsidRPr="000C1842" w:rsidRDefault="000E0AE5" w:rsidP="004860E0">
                      <w:pPr>
                        <w:pStyle w:val="ListParagraph"/>
                        <w:numPr>
                          <w:ilvl w:val="0"/>
                          <w:numId w:val="24"/>
                        </w:numPr>
                      </w:pPr>
                      <w:r w:rsidRPr="000C1842">
                        <w:t>consolidate, simplify</w:t>
                      </w:r>
                      <w:r>
                        <w:t>,</w:t>
                      </w:r>
                      <w:r w:rsidRPr="000C1842">
                        <w:t xml:space="preserve">, and improve the efficiency of existing programs; and </w:t>
                      </w:r>
                    </w:p>
                    <w:p w14:paraId="5BB8FAA5" w14:textId="77777777" w:rsidR="000E0AE5" w:rsidRPr="000C1842" w:rsidRDefault="000E0AE5" w:rsidP="004860E0">
                      <w:pPr>
                        <w:pStyle w:val="ListParagraph"/>
                        <w:numPr>
                          <w:ilvl w:val="0"/>
                          <w:numId w:val="24"/>
                        </w:numPr>
                      </w:pPr>
                      <w:proofErr w:type="gramStart"/>
                      <w:r w:rsidRPr="000C1842">
                        <w:t>identify</w:t>
                      </w:r>
                      <w:proofErr w:type="gramEnd"/>
                      <w:r w:rsidRPr="000C1842">
                        <w:t xml:space="preserve"> important but troubled social assistance programs and resolve their implementation problems. </w:t>
                      </w:r>
                    </w:p>
                    <w:p w14:paraId="6274616F" w14:textId="77777777" w:rsidR="000E0AE5" w:rsidRPr="000C1842" w:rsidRDefault="000E0AE5" w:rsidP="00936EEA">
                      <w:pPr>
                        <w:spacing w:after="240" w:line="240" w:lineRule="auto"/>
                      </w:pPr>
                      <w:r w:rsidRPr="000C1842">
                        <w:t xml:space="preserve">The AusAID specific objective of supporting the Facility is to play an active role to contribute to the direction of poverty (particularly social assistance) </w:t>
                      </w:r>
                      <w:r>
                        <w:t xml:space="preserve">reduction </w:t>
                      </w:r>
                      <w:r w:rsidRPr="000C1842">
                        <w:t xml:space="preserve">programs. </w:t>
                      </w:r>
                    </w:p>
                    <w:p w14:paraId="25CAC2D5" w14:textId="77777777" w:rsidR="000E0AE5" w:rsidRPr="00351FA2" w:rsidRDefault="000E0AE5" w:rsidP="00B84045">
                      <w:pPr>
                        <w:pStyle w:val="List-bullet-2"/>
                        <w:numPr>
                          <w:ilvl w:val="0"/>
                          <w:numId w:val="0"/>
                        </w:numPr>
                        <w:spacing w:before="0" w:after="240"/>
                        <w:ind w:left="554" w:hanging="540"/>
                        <w:rPr>
                          <w:rFonts w:ascii="Times New Roman" w:hAnsi="Times New Roman" w:cs="Times New Roman"/>
                          <w:b/>
                          <w:i/>
                          <w:sz w:val="24"/>
                          <w:szCs w:val="24"/>
                        </w:rPr>
                      </w:pPr>
                      <w:r w:rsidRPr="00351FA2">
                        <w:rPr>
                          <w:rFonts w:ascii="Times New Roman" w:hAnsi="Times New Roman" w:cs="Times New Roman"/>
                          <w:b/>
                          <w:i/>
                          <w:sz w:val="24"/>
                          <w:szCs w:val="24"/>
                        </w:rPr>
                        <w:t>Longer term outcomes (3 years +)</w:t>
                      </w:r>
                    </w:p>
                    <w:p w14:paraId="6EA1213E" w14:textId="77777777" w:rsidR="000E0AE5" w:rsidRPr="000C1842" w:rsidRDefault="000E0AE5" w:rsidP="004860E0">
                      <w:pPr>
                        <w:pStyle w:val="ListParagraph"/>
                        <w:numPr>
                          <w:ilvl w:val="0"/>
                          <w:numId w:val="23"/>
                        </w:numPr>
                      </w:pPr>
                      <w:r w:rsidRPr="000C1842">
                        <w:t xml:space="preserve">Implementation of policy advice improves the effectiveness of social assistance and poverty reduction programs. </w:t>
                      </w:r>
                    </w:p>
                    <w:p w14:paraId="36854CBF" w14:textId="77777777" w:rsidR="000E0AE5" w:rsidRPr="000C1842" w:rsidRDefault="000E0AE5" w:rsidP="004860E0">
                      <w:pPr>
                        <w:pStyle w:val="ListParagraph"/>
                        <w:numPr>
                          <w:ilvl w:val="0"/>
                          <w:numId w:val="23"/>
                        </w:numPr>
                      </w:pPr>
                      <w:r w:rsidRPr="000C1842">
                        <w:t xml:space="preserve">Social assistance programs are better targeted. </w:t>
                      </w:r>
                    </w:p>
                    <w:p w14:paraId="32DE13BA" w14:textId="77777777" w:rsidR="000E0AE5" w:rsidRPr="000C1842" w:rsidRDefault="000E0AE5" w:rsidP="004860E0">
                      <w:pPr>
                        <w:pStyle w:val="ListParagraph"/>
                        <w:numPr>
                          <w:ilvl w:val="0"/>
                          <w:numId w:val="23"/>
                        </w:numPr>
                      </w:pPr>
                      <w:r w:rsidRPr="000C1842">
                        <w:t>Poor families eligible for social assistance programs have reliable access to these programs.</w:t>
                      </w:r>
                    </w:p>
                    <w:p w14:paraId="0CA7A655" w14:textId="77777777" w:rsidR="000E0AE5" w:rsidRPr="000C1842" w:rsidRDefault="000E0AE5" w:rsidP="004860E0">
                      <w:pPr>
                        <w:pStyle w:val="ListParagraph"/>
                        <w:numPr>
                          <w:ilvl w:val="0"/>
                          <w:numId w:val="23"/>
                        </w:numPr>
                      </w:pPr>
                      <w:r w:rsidRPr="000C1842">
                        <w:t xml:space="preserve">Greater appetite within the diverse implementing agencies of </w:t>
                      </w:r>
                      <w:proofErr w:type="spellStart"/>
                      <w:r w:rsidRPr="000C1842">
                        <w:t>GoI</w:t>
                      </w:r>
                      <w:proofErr w:type="spellEnd"/>
                      <w:r w:rsidRPr="000C1842">
                        <w:t xml:space="preserve"> to implement integrated poverty programs. </w:t>
                      </w:r>
                    </w:p>
                    <w:p w14:paraId="16A4C39A" w14:textId="77777777" w:rsidR="000E0AE5" w:rsidRPr="00351FA2" w:rsidRDefault="000E0AE5" w:rsidP="00936EEA">
                      <w:pPr>
                        <w:pStyle w:val="List-bullet-2"/>
                        <w:numPr>
                          <w:ilvl w:val="0"/>
                          <w:numId w:val="0"/>
                        </w:numPr>
                        <w:spacing w:before="0" w:after="240"/>
                        <w:ind w:left="540" w:hanging="540"/>
                        <w:rPr>
                          <w:rFonts w:ascii="Times New Roman" w:hAnsi="Times New Roman" w:cs="Times New Roman"/>
                          <w:b/>
                          <w:i/>
                          <w:sz w:val="24"/>
                          <w:szCs w:val="24"/>
                        </w:rPr>
                      </w:pPr>
                      <w:r w:rsidRPr="00351FA2">
                        <w:rPr>
                          <w:rFonts w:ascii="Times New Roman" w:hAnsi="Times New Roman" w:cs="Times New Roman"/>
                          <w:b/>
                          <w:i/>
                          <w:sz w:val="24"/>
                          <w:szCs w:val="24"/>
                        </w:rPr>
                        <w:t>Interim outcomes</w:t>
                      </w:r>
                    </w:p>
                    <w:p w14:paraId="49F0B1AD" w14:textId="77777777" w:rsidR="000E0AE5" w:rsidRPr="000C1842" w:rsidRDefault="000E0AE5" w:rsidP="004860E0">
                      <w:pPr>
                        <w:pStyle w:val="ListParagraph"/>
                        <w:numPr>
                          <w:ilvl w:val="0"/>
                          <w:numId w:val="25"/>
                        </w:numPr>
                      </w:pPr>
                      <w:r w:rsidRPr="000C1842">
                        <w:t>Policy working groups produce policy advice that directly influences program decisions.</w:t>
                      </w:r>
                    </w:p>
                    <w:p w14:paraId="31DD25AC" w14:textId="77777777" w:rsidR="000E0AE5" w:rsidRPr="000C1842" w:rsidRDefault="000E0AE5" w:rsidP="004860E0">
                      <w:pPr>
                        <w:pStyle w:val="ListParagraph"/>
                        <w:numPr>
                          <w:ilvl w:val="0"/>
                          <w:numId w:val="25"/>
                        </w:numPr>
                      </w:pPr>
                      <w:r w:rsidRPr="000C1842">
                        <w:t>Policy advice is realistic and implementable.</w:t>
                      </w:r>
                    </w:p>
                    <w:p w14:paraId="0BFAF993" w14:textId="77777777" w:rsidR="000E0AE5" w:rsidRPr="000C1842" w:rsidRDefault="000E0AE5" w:rsidP="004860E0">
                      <w:pPr>
                        <w:pStyle w:val="ListParagraph"/>
                        <w:numPr>
                          <w:ilvl w:val="0"/>
                          <w:numId w:val="25"/>
                        </w:numPr>
                      </w:pPr>
                      <w:r w:rsidRPr="000C1842">
                        <w:t>Evaluations and pilot programs provide evidence base for policy formulation.</w:t>
                      </w:r>
                    </w:p>
                    <w:p w14:paraId="364537D2" w14:textId="77777777" w:rsidR="000E0AE5" w:rsidRPr="000C1842" w:rsidRDefault="000E0AE5" w:rsidP="004860E0">
                      <w:pPr>
                        <w:pStyle w:val="ListParagraph"/>
                        <w:numPr>
                          <w:ilvl w:val="0"/>
                          <w:numId w:val="25"/>
                        </w:numPr>
                      </w:pPr>
                      <w:r w:rsidRPr="000C1842">
                        <w:t>Gaps in social assistance coverage are identified and actioned.</w:t>
                      </w:r>
                    </w:p>
                    <w:p w14:paraId="187B4EB4" w14:textId="77777777" w:rsidR="000E0AE5" w:rsidRPr="00936EEA" w:rsidRDefault="000E0AE5" w:rsidP="004860E0">
                      <w:pPr>
                        <w:pStyle w:val="ListParagraph"/>
                        <w:numPr>
                          <w:ilvl w:val="0"/>
                          <w:numId w:val="25"/>
                        </w:numPr>
                      </w:pPr>
                      <w:r w:rsidRPr="000C1842">
                        <w:t>AusAID participates in key policy discussions, in technical committees and influences decision making.</w:t>
                      </w:r>
                    </w:p>
                  </w:txbxContent>
                </v:textbox>
                <w10:wrap anchorx="margin"/>
              </v:shape>
            </w:pict>
          </mc:Fallback>
        </mc:AlternateContent>
      </w:r>
    </w:p>
    <w:p w14:paraId="13EB3C84" w14:textId="77777777" w:rsidR="00B84045" w:rsidRDefault="00B84045" w:rsidP="007015BD"/>
    <w:p w14:paraId="5BDC509D" w14:textId="77777777" w:rsidR="00B84045" w:rsidRDefault="00B84045" w:rsidP="007015BD"/>
    <w:p w14:paraId="2E0D7D77" w14:textId="77777777" w:rsidR="00B84045" w:rsidRDefault="00B84045" w:rsidP="007015BD"/>
    <w:p w14:paraId="5692FD52" w14:textId="77777777" w:rsidR="00B84045" w:rsidRDefault="00B84045" w:rsidP="007015BD"/>
    <w:p w14:paraId="600D0A61" w14:textId="77777777" w:rsidR="00B84045" w:rsidRDefault="00B84045" w:rsidP="007015BD"/>
    <w:p w14:paraId="6F54120A" w14:textId="77777777" w:rsidR="00B84045" w:rsidRDefault="00B84045" w:rsidP="007015BD"/>
    <w:p w14:paraId="0744EB91" w14:textId="77777777" w:rsidR="00B84045" w:rsidRDefault="00B84045" w:rsidP="007015BD"/>
    <w:p w14:paraId="7A0DDCBC" w14:textId="77777777" w:rsidR="00B84045" w:rsidRDefault="00B84045" w:rsidP="007015BD"/>
    <w:p w14:paraId="00DA07F2" w14:textId="77777777" w:rsidR="00B84045" w:rsidRDefault="00B84045" w:rsidP="007015BD"/>
    <w:p w14:paraId="476F74E7" w14:textId="77777777" w:rsidR="00B84045" w:rsidRDefault="00B84045" w:rsidP="007015BD"/>
    <w:p w14:paraId="19E49F48" w14:textId="77777777" w:rsidR="00B84045" w:rsidRDefault="00B84045" w:rsidP="007015BD"/>
    <w:p w14:paraId="72BF5888" w14:textId="77777777" w:rsidR="00B84045" w:rsidRDefault="00B84045" w:rsidP="007015BD"/>
    <w:p w14:paraId="31B44F45" w14:textId="77777777" w:rsidR="00B84045" w:rsidRDefault="00B84045" w:rsidP="007015BD"/>
    <w:p w14:paraId="6D51D943" w14:textId="77777777" w:rsidR="00B84045" w:rsidRDefault="00B84045" w:rsidP="007015BD"/>
    <w:p w14:paraId="7808DF50" w14:textId="77777777" w:rsidR="00B84045" w:rsidRDefault="00B84045" w:rsidP="007015BD"/>
    <w:p w14:paraId="076C098F" w14:textId="77777777" w:rsidR="00B84045" w:rsidRDefault="00B84045" w:rsidP="007015BD"/>
    <w:p w14:paraId="1F05DADC" w14:textId="77777777" w:rsidR="00465176" w:rsidRDefault="004860E0" w:rsidP="00E52A56">
      <w:pPr>
        <w:spacing w:before="360"/>
      </w:pPr>
      <w:r>
        <w:t>I</w:t>
      </w:r>
      <w:r w:rsidR="00FF6CEE">
        <w:t xml:space="preserve">n the case of the medium term goal of improving policy advice given to poverty programs, </w:t>
      </w:r>
      <w:r w:rsidR="007C270E">
        <w:t xml:space="preserve">TNP2K with support from </w:t>
      </w:r>
      <w:r w:rsidR="00FF6CEE">
        <w:t xml:space="preserve">PRSF has done well. TNP2K has </w:t>
      </w:r>
      <w:r w:rsidR="004F3DCE">
        <w:t xml:space="preserve">a very high quality brand. It was initially thought that </w:t>
      </w:r>
    </w:p>
    <w:p w14:paraId="0933004D" w14:textId="77777777" w:rsidR="00572E82" w:rsidRDefault="00572E82" w:rsidP="00E52A56">
      <w:pPr>
        <w:spacing w:before="360"/>
      </w:pPr>
    </w:p>
    <w:p w14:paraId="56B7726A" w14:textId="530F6CD7" w:rsidR="0042089B" w:rsidRDefault="00A75547" w:rsidP="00E52A56">
      <w:pPr>
        <w:spacing w:before="360"/>
      </w:pPr>
      <w:r>
        <w:t xml:space="preserve">It was initially thought that </w:t>
      </w:r>
      <w:r w:rsidR="004F3DCE">
        <w:t xml:space="preserve">TNP2K would be primarily a policy centre that would </w:t>
      </w:r>
      <w:r w:rsidR="0042089B">
        <w:t xml:space="preserve">do analysis and commission research that would lead to improved program implementation by line Ministries and sub-national governments. From interviews with key people in TNP2K and in PRSF it became clear fairly early on that TNP2K would need to support other agencies in piloting new ideas and in </w:t>
      </w:r>
      <w:r w:rsidR="00DF4F1D">
        <w:t>applying</w:t>
      </w:r>
      <w:r w:rsidR="0042089B">
        <w:t xml:space="preserve"> the UDB for better targeting. From interviews </w:t>
      </w:r>
      <w:r w:rsidR="00DF4F1D">
        <w:t>with</w:t>
      </w:r>
      <w:r w:rsidR="0042089B">
        <w:t xml:space="preserve"> the Ministry for Social Affairs, the Min</w:t>
      </w:r>
      <w:r>
        <w:t xml:space="preserve">istry for Education and </w:t>
      </w:r>
      <w:proofErr w:type="spellStart"/>
      <w:r>
        <w:t>Bappenas</w:t>
      </w:r>
      <w:proofErr w:type="spellEnd"/>
      <w:r w:rsidR="0042089B">
        <w:t xml:space="preserve">, it is clear that the technical support </w:t>
      </w:r>
      <w:r w:rsidR="00F625EB">
        <w:t>from TNP2K (and in some cases</w:t>
      </w:r>
      <w:r w:rsidR="0042089B">
        <w:t xml:space="preserve"> PRSF</w:t>
      </w:r>
      <w:r w:rsidR="00F625EB">
        <w:t>)</w:t>
      </w:r>
      <w:r w:rsidR="0042089B">
        <w:t xml:space="preserve"> on the ground to actually assist with improving program delivery was highly appreciated. </w:t>
      </w:r>
      <w:r w:rsidR="00152D95">
        <w:t xml:space="preserve"> In all cases the </w:t>
      </w:r>
      <w:r w:rsidR="0088529D">
        <w:t>support was</w:t>
      </w:r>
      <w:r w:rsidR="00152D95">
        <w:t xml:space="preserve"> seen as high quality and flexible. </w:t>
      </w:r>
    </w:p>
    <w:p w14:paraId="56AD2094" w14:textId="276B2805" w:rsidR="0042089B" w:rsidRDefault="00152D95" w:rsidP="004F3DCE">
      <w:r>
        <w:t>In fact the high quality, flexible and timely technical assistance</w:t>
      </w:r>
      <w:r w:rsidR="0042089B">
        <w:t xml:space="preserve"> in part mitigated the natural tension </w:t>
      </w:r>
      <w:r w:rsidR="0088529D">
        <w:t xml:space="preserve">that arises </w:t>
      </w:r>
      <w:r w:rsidR="0042089B">
        <w:t>from TNP2K imposing new directions on programs with the Vice President’s authority. A number of partner ministries when asked said they appreciate the technical support but would prefer they did not have to work through TNP2K and could receive assistance directly.</w:t>
      </w:r>
      <w:r w:rsidR="00A75547">
        <w:t xml:space="preserve"> PRSF’s main contribution to this work is its ability to recruit, support and retain high quality technical staff.</w:t>
      </w:r>
    </w:p>
    <w:p w14:paraId="4AC79FF6" w14:textId="77777777" w:rsidR="00A85644" w:rsidRPr="008112EB" w:rsidRDefault="00A85644" w:rsidP="008112EB">
      <w:pPr>
        <w:pStyle w:val="Heading2"/>
        <w:spacing w:before="120" w:after="120"/>
        <w:rPr>
          <w:i/>
        </w:rPr>
      </w:pPr>
      <w:bookmarkStart w:id="13" w:name="_Toc424302601"/>
      <w:r w:rsidRPr="008112EB">
        <w:rPr>
          <w:rStyle w:val="SubtitleChar"/>
          <w:i w:val="0"/>
        </w:rPr>
        <w:t>Quality Assurance</w:t>
      </w:r>
      <w:bookmarkEnd w:id="13"/>
      <w:r w:rsidRPr="008112EB">
        <w:rPr>
          <w:i/>
        </w:rPr>
        <w:t xml:space="preserve"> </w:t>
      </w:r>
    </w:p>
    <w:p w14:paraId="6750842B" w14:textId="77777777" w:rsidR="008112EB" w:rsidRDefault="00152D95" w:rsidP="00B0399A">
      <w:r>
        <w:t xml:space="preserve">One of the success stories of PRSF under the medium term goal of improving policy outcomes is one that might not </w:t>
      </w:r>
      <w:r w:rsidR="0088529D">
        <w:t>immediately be apparent</w:t>
      </w:r>
      <w:r>
        <w:t>. Around 2012, about a year into the work of PRSF and with TNP2K ramping up its work significantly it was identified that a much more robust quality assurance process was needed. Not as a quality assurance process to make sure Australian funds were being spent efficiently and effectively as is normally the case. In this instance PRSF recognised that given the high profile and technically complicated work involved, TNP2K would benefit from an internal but independent process for quality assuring concepts, ideas and products. The QA process has evolv</w:t>
      </w:r>
      <w:r w:rsidR="008112EB">
        <w:t>ed but is captured in Figure 1.</w:t>
      </w:r>
    </w:p>
    <w:p w14:paraId="16EB63BA" w14:textId="4BEC1694" w:rsidR="00B0399A" w:rsidRPr="00152D95" w:rsidRDefault="008112EB" w:rsidP="00B0399A">
      <w:pPr>
        <w:rPr>
          <w:b/>
        </w:rPr>
      </w:pPr>
      <w:r>
        <w:rPr>
          <w:b/>
        </w:rPr>
        <w:t>F</w:t>
      </w:r>
      <w:r w:rsidR="00B0399A" w:rsidRPr="00152D95">
        <w:rPr>
          <w:b/>
        </w:rPr>
        <w:t>igure1</w:t>
      </w:r>
      <w:r w:rsidR="00B0399A">
        <w:rPr>
          <w:b/>
        </w:rPr>
        <w:t xml:space="preserve">: Quality Assurance process Strategic Objectives </w:t>
      </w:r>
      <w:r>
        <w:rPr>
          <w:b/>
        </w:rPr>
        <w:t>(Source: PRSF 2015)</w:t>
      </w:r>
    </w:p>
    <w:p w14:paraId="5F5DA4F2" w14:textId="77777777" w:rsidR="00B0399A" w:rsidRDefault="00B0399A" w:rsidP="00B0399A">
      <w:pPr>
        <w:jc w:val="center"/>
      </w:pPr>
      <w:r w:rsidRPr="00152D95">
        <w:rPr>
          <w:noProof/>
          <w:lang w:eastAsia="en-AU"/>
        </w:rPr>
        <w:drawing>
          <wp:inline distT="0" distB="0" distL="0" distR="0" wp14:anchorId="3DA6C0B5" wp14:editId="413BC642">
            <wp:extent cx="5524499" cy="375285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523204" cy="3751970"/>
                    </a:xfrm>
                    <a:prstGeom prst="rect">
                      <a:avLst/>
                    </a:prstGeom>
                  </pic:spPr>
                </pic:pic>
              </a:graphicData>
            </a:graphic>
          </wp:inline>
        </w:drawing>
      </w:r>
    </w:p>
    <w:p w14:paraId="268DB19B" w14:textId="77777777" w:rsidR="00152D95" w:rsidRDefault="0088529D" w:rsidP="00152D95">
      <w:r>
        <w:t xml:space="preserve">The establishment of the QA System </w:t>
      </w:r>
      <w:r w:rsidR="007E1B95">
        <w:t xml:space="preserve">coincided with the </w:t>
      </w:r>
      <w:r w:rsidR="00830EAC">
        <w:t>arrival of the Soci</w:t>
      </w:r>
      <w:r w:rsidR="00AD1C8A">
        <w:t>al Protection Specialist in mid-</w:t>
      </w:r>
      <w:r w:rsidR="00830EAC">
        <w:t xml:space="preserve">2012 and was recommended </w:t>
      </w:r>
      <w:r w:rsidR="00AD1C8A">
        <w:t>to be strengthened by the independent progress report for PRSF in early 2013. It was not universally welcomed by all the stakeholders.</w:t>
      </w:r>
    </w:p>
    <w:p w14:paraId="24E34B0C" w14:textId="77777777" w:rsidR="00AD1C8A" w:rsidRDefault="004860E0" w:rsidP="004860E0">
      <w:pPr>
        <w:spacing w:before="120" w:after="240"/>
      </w:pPr>
      <w:r>
        <w:t>M</w:t>
      </w:r>
      <w:r w:rsidR="00AD1C8A">
        <w:t xml:space="preserve">any at TNP2K saw this as a management control or compliance tool being imposed on them by the Australian Government and the contractor, something they would not accept. Others saw it as unnecessary and something that would slow down progress on reforms.  At that crucial point in 2012-2013 when activities were scaling up, strengthening the internal quality assurance processes to make sure that ideas were sound, designs for activities were implementable and that outcomes were able to be sustained was extremely important. </w:t>
      </w:r>
    </w:p>
    <w:p w14:paraId="1CEB7078" w14:textId="77777777" w:rsidR="00A75547" w:rsidRDefault="00A75547" w:rsidP="00A75547">
      <w:r>
        <w:t>The quality assurance process was strengthened over the last 2 years and today is accepted by virtually everyone as an important part of TNP2K and PRSF’s internal processes. TNP2K will always need to be in the driver’s seat and quality assurance cannot be about PRSF or the Australian Government trying to set the agenda or influence policy priorities, but systematically ensuring that TNP2K always produces high quality and robust analysis is now accepted as core business.</w:t>
      </w:r>
    </w:p>
    <w:p w14:paraId="3450DAEC" w14:textId="77777777" w:rsidR="00A75547" w:rsidRDefault="00A75547" w:rsidP="004860E0">
      <w:pPr>
        <w:spacing w:before="120" w:after="240"/>
      </w:pPr>
    </w:p>
    <w:p w14:paraId="3EC2C6A1" w14:textId="77777777" w:rsidR="00060B34" w:rsidRPr="00060B34" w:rsidRDefault="00060B34" w:rsidP="004860E0">
      <w:pPr>
        <w:spacing w:before="120" w:after="240"/>
        <w:rPr>
          <w:b/>
        </w:rPr>
      </w:pPr>
      <w:r w:rsidRPr="00060B34">
        <w:rPr>
          <w:b/>
        </w:rPr>
        <w:t xml:space="preserve">Figure 2: </w:t>
      </w:r>
      <w:r>
        <w:rPr>
          <w:b/>
        </w:rPr>
        <w:t>Phases of the Quality Assurance process in PRSF</w:t>
      </w:r>
      <w:r w:rsidR="008112EB">
        <w:rPr>
          <w:b/>
        </w:rPr>
        <w:t xml:space="preserve"> (Source: PRSF 2015)</w:t>
      </w:r>
    </w:p>
    <w:p w14:paraId="514ADBF7" w14:textId="77777777" w:rsidR="004860E0" w:rsidRDefault="004860E0" w:rsidP="004860E0">
      <w:pPr>
        <w:jc w:val="center"/>
      </w:pPr>
      <w:r w:rsidRPr="004860E0">
        <w:rPr>
          <w:noProof/>
          <w:lang w:eastAsia="en-AU"/>
        </w:rPr>
        <w:drawing>
          <wp:inline distT="0" distB="0" distL="0" distR="0" wp14:anchorId="2D319809" wp14:editId="62A264BD">
            <wp:extent cx="5019675" cy="3657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020376" cy="3658111"/>
                    </a:xfrm>
                    <a:prstGeom prst="rect">
                      <a:avLst/>
                    </a:prstGeom>
                  </pic:spPr>
                </pic:pic>
              </a:graphicData>
            </a:graphic>
          </wp:inline>
        </w:drawing>
      </w:r>
    </w:p>
    <w:p w14:paraId="3FE56587" w14:textId="68D6F620" w:rsidR="00AD1C8A" w:rsidRDefault="00AD1C8A" w:rsidP="00152D95"/>
    <w:p w14:paraId="5E74BADE" w14:textId="77777777" w:rsidR="004860E0" w:rsidRDefault="004860E0" w:rsidP="00152D95">
      <w:r>
        <w:t xml:space="preserve">It is worth noting that </w:t>
      </w:r>
      <w:r w:rsidR="008112EB">
        <w:t xml:space="preserve">the </w:t>
      </w:r>
      <w:r>
        <w:t xml:space="preserve">strong engagement by the Australian Embassy in all likelihood made a difference in this instance. Given the initial reluctance by the TNP2K senior leadership to </w:t>
      </w:r>
      <w:r w:rsidR="008112EB">
        <w:t xml:space="preserve">accept </w:t>
      </w:r>
      <w:r>
        <w:t xml:space="preserve">the idea of a more robust quality assurance process, it is unlikely the contractor would have been able to push back sufficiently to establish the current system. </w:t>
      </w:r>
      <w:r w:rsidR="0070541A">
        <w:t xml:space="preserve"> This is one of the issues where having a strong pr</w:t>
      </w:r>
      <w:r w:rsidR="007D1EEB">
        <w:t>o</w:t>
      </w:r>
      <w:r w:rsidR="0070541A">
        <w:t>g</w:t>
      </w:r>
      <w:r w:rsidR="007D1EEB">
        <w:t>r</w:t>
      </w:r>
      <w:r w:rsidR="0070541A">
        <w:t>am management team and a specialist working in TNP2K regularly provided</w:t>
      </w:r>
      <w:r w:rsidR="007D1EEB">
        <w:t xml:space="preserve"> the engagement to get a change that was necessary.</w:t>
      </w:r>
    </w:p>
    <w:p w14:paraId="3F31B3C9" w14:textId="77777777" w:rsidR="00FD6B83" w:rsidRDefault="00FD6B83" w:rsidP="008112EB">
      <w:pPr>
        <w:pStyle w:val="Heading2"/>
        <w:spacing w:before="120" w:after="120"/>
      </w:pPr>
      <w:bookmarkStart w:id="14" w:name="_Toc424302602"/>
      <w:r>
        <w:t>Is</w:t>
      </w:r>
      <w:r w:rsidRPr="00603EF1">
        <w:t xml:space="preserve"> PRSF</w:t>
      </w:r>
      <w:r>
        <w:t xml:space="preserve"> a model</w:t>
      </w:r>
      <w:r w:rsidRPr="00603EF1">
        <w:t>?</w:t>
      </w:r>
      <w:bookmarkEnd w:id="14"/>
    </w:p>
    <w:p w14:paraId="70CAF764" w14:textId="049F4D7D" w:rsidR="00FD6B83" w:rsidRDefault="0025532A" w:rsidP="00E52A56">
      <w:pPr>
        <w:spacing w:before="120" w:after="120"/>
      </w:pPr>
      <w:r>
        <w:t>PRSF is not a model in the conventional sense that it can be replicated whenever it is needed. In many ways PRSF is a creature of circumstances. The combination of the election of a reform orientated Vice President with an academic background at the time Australia was scaling up its assistance to Indonesia and w</w:t>
      </w:r>
      <w:r w:rsidR="007D1EEB">
        <w:t xml:space="preserve">as prepared to take some risks </w:t>
      </w:r>
      <w:r>
        <w:t xml:space="preserve">was a happy coincidence. In 2009-10, Australia was </w:t>
      </w:r>
      <w:r w:rsidR="007C270E">
        <w:t>becoming a partner of first choice in Indonesia, due to its growing resources and flexibility, but nothing of this ambition</w:t>
      </w:r>
      <w:r w:rsidR="008D3C20">
        <w:t>, partnering with Indonesia to better target the rapidly expanding s</w:t>
      </w:r>
      <w:r>
        <w:t>ocia</w:t>
      </w:r>
      <w:r w:rsidR="008D3C20">
        <w:t>l protection system, had been tried</w:t>
      </w:r>
      <w:r>
        <w:t>.</w:t>
      </w:r>
    </w:p>
    <w:p w14:paraId="35819B35" w14:textId="1E7EB17D" w:rsidR="0025532A" w:rsidRDefault="0025532A" w:rsidP="00E52A56">
      <w:pPr>
        <w:spacing w:before="120" w:after="120"/>
      </w:pPr>
      <w:r>
        <w:t xml:space="preserve">The approach was also radically different in that it relied heavily on the Indonesian leadership to </w:t>
      </w:r>
      <w:r w:rsidR="007D1EEB">
        <w:t>drive an agenda in a highly contested policy space</w:t>
      </w:r>
      <w:r>
        <w:t>. While all facilities have the objective</w:t>
      </w:r>
      <w:r w:rsidR="0002510C">
        <w:t xml:space="preserve"> of building capacity with Indo</w:t>
      </w:r>
      <w:r>
        <w:t>n</w:t>
      </w:r>
      <w:r w:rsidR="0002510C">
        <w:t>e</w:t>
      </w:r>
      <w:r>
        <w:t>sian ins</w:t>
      </w:r>
      <w:r w:rsidR="0002510C">
        <w:t>t</w:t>
      </w:r>
      <w:r>
        <w:t>itutions and leaders, PRSF was actually relying on that capacity already being there and for the leadership group within TNP2K to be able to</w:t>
      </w:r>
      <w:r w:rsidR="00A75547">
        <w:t xml:space="preserve"> drive reforms among other key g</w:t>
      </w:r>
      <w:r>
        <w:t xml:space="preserve">overnment stakeholders. </w:t>
      </w:r>
      <w:r w:rsidR="0002510C">
        <w:t>Because the Vice President put the full weight of his office behind this initiative and appointed an experienced and extremely capable Deputy Minister to lead the secretariat, this “punt” by the Australian Government has largely paid off. The Deputy Minister was able to attract very high quality Indonesian professional staff and turnover rates have been extremely low at or around 5% over the life of TNP2K.</w:t>
      </w:r>
    </w:p>
    <w:p w14:paraId="482C1F0A" w14:textId="77777777" w:rsidR="0002510C" w:rsidRDefault="0002510C" w:rsidP="00E52A56">
      <w:pPr>
        <w:spacing w:before="120" w:after="120"/>
      </w:pPr>
      <w:r>
        <w:t>While P</w:t>
      </w:r>
      <w:r w:rsidR="007D1EEB">
        <w:t>RSF is not so much a model there</w:t>
      </w:r>
      <w:r>
        <w:t xml:space="preserve"> are features that should be captured and used as a reference or framework for analysing the potential costs and benefits of future proposals and concepts. The former senior technical lead at TNP2K who is now the head of the Fiscal Policy Office at the Ministry of Finance offered a simple but compelling framework to describe the situation:</w:t>
      </w:r>
    </w:p>
    <w:p w14:paraId="5FAF93DA" w14:textId="77777777" w:rsidR="0002510C" w:rsidRDefault="0002510C" w:rsidP="0002510C">
      <w:pPr>
        <w:pStyle w:val="ListParagraph"/>
        <w:numPr>
          <w:ilvl w:val="0"/>
          <w:numId w:val="27"/>
        </w:numPr>
        <w:spacing w:before="120" w:after="120"/>
      </w:pPr>
      <w:r>
        <w:t>Leadership – is there political buy in at the highest levels?</w:t>
      </w:r>
    </w:p>
    <w:p w14:paraId="6DC80E80" w14:textId="77777777" w:rsidR="0002510C" w:rsidRDefault="0002510C" w:rsidP="0002510C">
      <w:pPr>
        <w:pStyle w:val="ListParagraph"/>
        <w:numPr>
          <w:ilvl w:val="0"/>
          <w:numId w:val="27"/>
        </w:numPr>
        <w:spacing w:before="120" w:after="120"/>
      </w:pPr>
      <w:r>
        <w:t>Good Bureaucrats – is the Government committing competent civil servants?</w:t>
      </w:r>
    </w:p>
    <w:p w14:paraId="2EE12B74" w14:textId="77777777" w:rsidR="0002510C" w:rsidRDefault="0002510C" w:rsidP="0002510C">
      <w:pPr>
        <w:pStyle w:val="ListParagraph"/>
        <w:numPr>
          <w:ilvl w:val="0"/>
          <w:numId w:val="27"/>
        </w:numPr>
        <w:spacing w:before="120" w:after="120"/>
      </w:pPr>
      <w:r>
        <w:t>High Quality Technical Staff – are the best technical inputs available?</w:t>
      </w:r>
    </w:p>
    <w:p w14:paraId="0F4CCACC" w14:textId="7D6BD5CF" w:rsidR="0002510C" w:rsidRDefault="0002510C" w:rsidP="0002510C">
      <w:pPr>
        <w:pStyle w:val="ListParagraph"/>
        <w:numPr>
          <w:ilvl w:val="0"/>
          <w:numId w:val="27"/>
        </w:numPr>
        <w:spacing w:before="120" w:after="120"/>
      </w:pPr>
      <w:r>
        <w:t>Donor Commitment –</w:t>
      </w:r>
      <w:r w:rsidR="00A75547">
        <w:t xml:space="preserve"> </w:t>
      </w:r>
      <w:r w:rsidR="007D1EEB">
        <w:t>is the fu</w:t>
      </w:r>
      <w:r>
        <w:t xml:space="preserve">nding </w:t>
      </w:r>
      <w:r w:rsidR="007D1EEB">
        <w:t xml:space="preserve">flexible, </w:t>
      </w:r>
      <w:r>
        <w:t>sufficient and predictable?</w:t>
      </w:r>
    </w:p>
    <w:p w14:paraId="100CBCCB" w14:textId="01A9C747" w:rsidR="0002510C" w:rsidRDefault="00A75547" w:rsidP="0002510C">
      <w:pPr>
        <w:spacing w:before="120" w:after="120"/>
      </w:pPr>
      <w:r>
        <w:t>This is a</w:t>
      </w:r>
      <w:r w:rsidR="0002510C">
        <w:t xml:space="preserve"> simplification of the story of TNP2K and PRSF but it is reasonable to say that without any of these the facility would not have had as much impact. The Vice President provided strong and consistent leadership and authority for TNP2K. He delegated his authority to TNP2K through a Deputy Minister who had the experience and standing to drive the agenda. Young, profess</w:t>
      </w:r>
      <w:r w:rsidR="00FA3E24">
        <w:t>ional and highly committed Indo</w:t>
      </w:r>
      <w:r w:rsidR="0002510C">
        <w:t>n</w:t>
      </w:r>
      <w:r w:rsidR="00FA3E24">
        <w:t>e</w:t>
      </w:r>
      <w:r w:rsidR="0002510C">
        <w:t xml:space="preserve">sians were prepared to work for TNP2K and in fact in many cases were drawn to the opportunity to have an impact on the future direction of their country </w:t>
      </w:r>
      <w:r w:rsidR="00FA3E24">
        <w:t>in an important area</w:t>
      </w:r>
      <w:r w:rsidR="0088529D">
        <w:t xml:space="preserve"> of policy work</w:t>
      </w:r>
      <w:r w:rsidR="00FA3E24">
        <w:t>. The Australian Aid Program mobilised a contractor quickly, gave TNP2K a flexible mandate to work with and rapidly scaled up the budget as activities took off. On top of that the Embassy committed its own resources to work beside TNP2K and PRSF to ensure that flexibility was not misdirected.</w:t>
      </w:r>
    </w:p>
    <w:p w14:paraId="53B37290" w14:textId="5F50EB66" w:rsidR="00FA3E24" w:rsidRDefault="00FA3E24" w:rsidP="0002510C">
      <w:pPr>
        <w:spacing w:before="120" w:after="120"/>
      </w:pPr>
      <w:r>
        <w:t>What is striking about this example of PRSF and TNP2K is it is not the way most facilities are structured. Even the best programs with good relationships are usually housed in separate offices and “outpost” technical assistance to the counterpart organisations. Most facilities struggle with uncertain agenda</w:t>
      </w:r>
      <w:r w:rsidR="008D3C20">
        <w:t>s and lack of clarity from the g</w:t>
      </w:r>
      <w:r>
        <w:t>overnment side</w:t>
      </w:r>
      <w:r w:rsidR="008D3C20">
        <w:t xml:space="preserve">, but in the case of PRSF, their counterparts are essentially consultants </w:t>
      </w:r>
      <w:r w:rsidR="00A75547">
        <w:t>but are seen by the rest of the g</w:t>
      </w:r>
      <w:r w:rsidR="008D3C20">
        <w:t>overnment as government staff</w:t>
      </w:r>
      <w:r>
        <w:t>. Scaling up budgets is not usually the problem, making sure funds that are committe</w:t>
      </w:r>
      <w:r w:rsidR="007D1EEB">
        <w:t>d are spent is more the norm</w:t>
      </w:r>
      <w:r w:rsidR="00A75547">
        <w:t>, but PRSF found that</w:t>
      </w:r>
      <w:r w:rsidR="008D3C20">
        <w:t xml:space="preserve"> TNP2K often had better buy</w:t>
      </w:r>
      <w:r w:rsidR="00A75547">
        <w:t>-in</w:t>
      </w:r>
      <w:r w:rsidR="008D3C20">
        <w:t xml:space="preserve"> </w:t>
      </w:r>
      <w:r w:rsidR="00964912">
        <w:t xml:space="preserve">with counterparts </w:t>
      </w:r>
      <w:r w:rsidR="008D3C20">
        <w:t>than a regular facility because they were seen as part of the government</w:t>
      </w:r>
      <w:r>
        <w:t>.</w:t>
      </w:r>
    </w:p>
    <w:p w14:paraId="263EEEB5" w14:textId="0B91D352" w:rsidR="00FA3E24" w:rsidRDefault="007D1EEB" w:rsidP="0002510C">
      <w:pPr>
        <w:spacing w:before="120" w:after="120"/>
      </w:pPr>
      <w:r>
        <w:t>TNP2K and PRSF are not</w:t>
      </w:r>
      <w:r w:rsidR="00FA3E24">
        <w:t xml:space="preserve"> model</w:t>
      </w:r>
      <w:r>
        <w:t>s</w:t>
      </w:r>
      <w:r w:rsidR="00FA3E24">
        <w:t xml:space="preserve"> that can be readily replicated, </w:t>
      </w:r>
      <w:r w:rsidR="00964912">
        <w:t xml:space="preserve">but </w:t>
      </w:r>
      <w:r w:rsidR="00FA3E24">
        <w:t>the features that have made them a success can be noted and applied to considerati</w:t>
      </w:r>
      <w:r>
        <w:t>on of where resources might be invested to greater affect</w:t>
      </w:r>
      <w:r w:rsidR="00964912">
        <w:t xml:space="preserve"> in other programs and portfolios</w:t>
      </w:r>
      <w:r>
        <w:t xml:space="preserve">. </w:t>
      </w:r>
      <w:r w:rsidR="00FA3E24">
        <w:t xml:space="preserve"> Not only should the simple framework above be applied to test the likelihood of success for existing programs, the Australian Aid Program could actively look to use this as a guide </w:t>
      </w:r>
      <w:r w:rsidR="0088529D">
        <w:t>for</w:t>
      </w:r>
      <w:r w:rsidR="00FA3E24">
        <w:t xml:space="preserve"> exploring new areas of work not currently being considered.</w:t>
      </w:r>
      <w:r w:rsidR="00670C36">
        <w:t xml:space="preserve"> </w:t>
      </w:r>
    </w:p>
    <w:p w14:paraId="6BA21EFB" w14:textId="7464BA11" w:rsidR="00047866" w:rsidRDefault="00047866" w:rsidP="0002510C">
      <w:pPr>
        <w:spacing w:before="120" w:after="120"/>
      </w:pPr>
      <w:r>
        <w:t xml:space="preserve">There are also some obvious “spin-offs” that have already emerged. The former Senior Technical Lead from TNP2K has moved to the Fiscal Policy Office at the Ministry Finance as its Head. This takes the type of evidence based policy making that has been championed </w:t>
      </w:r>
      <w:r w:rsidR="00670C36">
        <w:t>by TNP2K into the heart of the g</w:t>
      </w:r>
      <w:r>
        <w:t xml:space="preserve">overnment. The new Coordinating Minister for Economic Affairs has appointed a Deputy Minister from </w:t>
      </w:r>
      <w:proofErr w:type="spellStart"/>
      <w:r>
        <w:t>Bappenas</w:t>
      </w:r>
      <w:proofErr w:type="spellEnd"/>
      <w:r>
        <w:t xml:space="preserve"> </w:t>
      </w:r>
      <w:r w:rsidR="001F6D6F">
        <w:t xml:space="preserve">to his ministry </w:t>
      </w:r>
      <w:r>
        <w:t>and has instructed him to establish a policy think tank to replicate what TNP2K does in poverty reduction and social protection on economic policy. The Deputy Minister has asked the Head of the Fiscal Policy Office to be on the steering committee for this think tank</w:t>
      </w:r>
      <w:r w:rsidR="001F6D6F">
        <w:t xml:space="preserve"> and is recruiting experienced Indonesians from outside government to manage it</w:t>
      </w:r>
      <w:r w:rsidR="00964912">
        <w:t xml:space="preserve"> using Australian support</w:t>
      </w:r>
      <w:r>
        <w:t xml:space="preserve">. Since the Coordinating Minister </w:t>
      </w:r>
      <w:r w:rsidR="001F6D6F">
        <w:t>is a Co-C</w:t>
      </w:r>
      <w:r>
        <w:t>hair of TNP2K this has the very strong potential to create a policy coalition</w:t>
      </w:r>
      <w:r w:rsidR="001F6D6F">
        <w:t xml:space="preserve"> and improve the alignment of social, fiscal and economic policy</w:t>
      </w:r>
      <w:r>
        <w:t>.</w:t>
      </w:r>
    </w:p>
    <w:p w14:paraId="21A642B4" w14:textId="6E6C5AC5" w:rsidR="00047866" w:rsidRDefault="00047866" w:rsidP="0002510C">
      <w:pPr>
        <w:spacing w:before="120" w:after="120"/>
      </w:pPr>
      <w:r>
        <w:t xml:space="preserve">More recently, </w:t>
      </w:r>
      <w:proofErr w:type="spellStart"/>
      <w:r>
        <w:t>Bappenas</w:t>
      </w:r>
      <w:proofErr w:type="spellEnd"/>
      <w:r>
        <w:t xml:space="preserve"> has published a paper on </w:t>
      </w:r>
      <w:r w:rsidR="001F6D6F">
        <w:t xml:space="preserve">the agency </w:t>
      </w:r>
      <w:r>
        <w:t>evolving into more of a policy think tank, and has asked Australia’</w:t>
      </w:r>
      <w:r w:rsidR="001F6D6F">
        <w:t>s K</w:t>
      </w:r>
      <w:r>
        <w:t xml:space="preserve">nowledge Sector Initiative for assistance to establish the core team. </w:t>
      </w:r>
      <w:r w:rsidR="00670C36">
        <w:t xml:space="preserve">This growth in demand for evidence based policy making is certainly welcome, but whether it will prove to be a positive or a negative over all is still not clear. If coordination is good, then there is a potential for a big improvement in policy making across a broad cross section of social, economic and fiscal policies. </w:t>
      </w:r>
    </w:p>
    <w:p w14:paraId="696278A9" w14:textId="481617EF" w:rsidR="00670C36" w:rsidRDefault="00670C36" w:rsidP="0002510C">
      <w:pPr>
        <w:spacing w:before="120" w:after="120"/>
      </w:pPr>
      <w:r>
        <w:t xml:space="preserve">Australia </w:t>
      </w:r>
      <w:r w:rsidR="001F6D6F">
        <w:t xml:space="preserve">also </w:t>
      </w:r>
      <w:r>
        <w:t>needs to be careful in how it supports the</w:t>
      </w:r>
      <w:r w:rsidR="00964912">
        <w:t>se</w:t>
      </w:r>
      <w:r>
        <w:t xml:space="preserve"> </w:t>
      </w:r>
      <w:r w:rsidR="00964912">
        <w:t>“</w:t>
      </w:r>
      <w:r>
        <w:t>spin-offs</w:t>
      </w:r>
      <w:r w:rsidR="00964912">
        <w:t>”</w:t>
      </w:r>
      <w:r>
        <w:t xml:space="preserve"> created partly by the success of TNP2K. Australia is supporting each of these institutions through separate mechanisms. PRSF and MAHKOTA are working with TNP2K, AIPEG is working with the Coordinating Ministry, the Government Partnerships Fund has the Australian Treasury working with the Fiscal Policy office and the Knowledge Sector Initiative, while intended to work across all aspects of the so called “Knowledge Sector” is anchored in </w:t>
      </w:r>
      <w:proofErr w:type="spellStart"/>
      <w:r>
        <w:t>Bappenas</w:t>
      </w:r>
      <w:proofErr w:type="spellEnd"/>
      <w:r>
        <w:t xml:space="preserve"> who have asked that they not take a lead role in supporting the Coordinating Ministry. </w:t>
      </w:r>
      <w:r w:rsidR="00572E82">
        <w:t xml:space="preserve"> Australia could improve its coordination between these programs.</w:t>
      </w:r>
    </w:p>
    <w:p w14:paraId="4B3A743C" w14:textId="02F358FC" w:rsidR="00670C36" w:rsidRPr="00807FC8" w:rsidRDefault="00670C36" w:rsidP="0002510C">
      <w:pPr>
        <w:spacing w:before="120" w:after="120"/>
      </w:pPr>
      <w:r>
        <w:t xml:space="preserve">To some extent the Vice President in the previous government was able to provide some authority and guidance </w:t>
      </w:r>
      <w:r w:rsidR="00964912">
        <w:t xml:space="preserve">to GOI and to GOA stakeholders </w:t>
      </w:r>
      <w:r>
        <w:t>through TNP2K but with new players, new institutions and new policy agendas, the balance of benefits versus costs in supporting this type of work more broadly than TNP2K might not be clear for some time.</w:t>
      </w:r>
    </w:p>
    <w:p w14:paraId="57585AE9" w14:textId="77777777" w:rsidR="00FD6B83" w:rsidRDefault="00A03458" w:rsidP="00FB3C35">
      <w:pPr>
        <w:pStyle w:val="Heading1"/>
        <w:spacing w:before="120" w:after="120"/>
        <w:rPr>
          <w:lang w:val="en-GB"/>
        </w:rPr>
      </w:pPr>
      <w:bookmarkStart w:id="15" w:name="_Toc424302603"/>
      <w:r>
        <w:rPr>
          <w:lang w:val="en-GB"/>
        </w:rPr>
        <w:t xml:space="preserve">Section 2: </w:t>
      </w:r>
      <w:r w:rsidR="00FD6B83" w:rsidRPr="00603EF1">
        <w:rPr>
          <w:lang w:val="en-GB"/>
        </w:rPr>
        <w:t>Was PRSF efficient and effective</w:t>
      </w:r>
      <w:r w:rsidR="00FD6B83">
        <w:rPr>
          <w:lang w:val="en-GB"/>
        </w:rPr>
        <w:t xml:space="preserve"> from both a policy and an operational perspective</w:t>
      </w:r>
      <w:r w:rsidR="00FD6B83" w:rsidRPr="00603EF1">
        <w:rPr>
          <w:lang w:val="en-GB"/>
        </w:rPr>
        <w:t>?</w:t>
      </w:r>
      <w:bookmarkEnd w:id="15"/>
    </w:p>
    <w:p w14:paraId="73A48F95" w14:textId="2741EEA3" w:rsidR="00444EB8" w:rsidRDefault="00444EB8" w:rsidP="00444EB8">
      <w:pPr>
        <w:rPr>
          <w:lang w:val="en-GB"/>
        </w:rPr>
      </w:pPr>
      <w:r>
        <w:rPr>
          <w:lang w:val="en-GB"/>
        </w:rPr>
        <w:t>As noted above, t</w:t>
      </w:r>
      <w:r w:rsidR="00964912">
        <w:rPr>
          <w:lang w:val="en-GB"/>
        </w:rPr>
        <w:t xml:space="preserve">his report is not intended to be a </w:t>
      </w:r>
      <w:r>
        <w:rPr>
          <w:lang w:val="en-GB"/>
        </w:rPr>
        <w:t xml:space="preserve">detailed evaluation of every activity under TNP2K and PRSF. It is a qualitative view on the efficiency and effectiveness particularly of the PRSF in supporting progress in </w:t>
      </w:r>
      <w:r w:rsidR="00964912">
        <w:rPr>
          <w:lang w:val="en-GB"/>
        </w:rPr>
        <w:t xml:space="preserve">accelerating poverty reduction </w:t>
      </w:r>
      <w:r>
        <w:rPr>
          <w:lang w:val="en-GB"/>
        </w:rPr>
        <w:t>in Indonesia over the last 4 to 5 years. There are alr</w:t>
      </w:r>
      <w:r w:rsidR="00964912">
        <w:rPr>
          <w:lang w:val="en-GB"/>
        </w:rPr>
        <w:t xml:space="preserve">eady a large number of reports and </w:t>
      </w:r>
      <w:r>
        <w:rPr>
          <w:lang w:val="en-GB"/>
        </w:rPr>
        <w:t>evaluations that should be read in conjunction with this section.</w:t>
      </w:r>
    </w:p>
    <w:p w14:paraId="0B253966" w14:textId="77777777" w:rsidR="00374C8A" w:rsidRDefault="00374C8A" w:rsidP="000A7DF0">
      <w:pPr>
        <w:pStyle w:val="Heading2"/>
        <w:spacing w:before="120" w:after="120"/>
        <w:rPr>
          <w:lang w:val="en-GB"/>
        </w:rPr>
      </w:pPr>
      <w:bookmarkStart w:id="16" w:name="_Toc424302604"/>
      <w:r>
        <w:rPr>
          <w:lang w:val="en-GB"/>
        </w:rPr>
        <w:t>What was PRSF’s role in policy outcomes?</w:t>
      </w:r>
      <w:bookmarkEnd w:id="16"/>
    </w:p>
    <w:p w14:paraId="2E17B1AF" w14:textId="77777777" w:rsidR="00374C8A" w:rsidRDefault="00444EB8" w:rsidP="00374C8A">
      <w:pPr>
        <w:rPr>
          <w:lang w:val="en-GB"/>
        </w:rPr>
      </w:pPr>
      <w:r>
        <w:rPr>
          <w:lang w:val="en-GB"/>
        </w:rPr>
        <w:t xml:space="preserve">As already discussed at some length, the role of PRSF has never been </w:t>
      </w:r>
      <w:r w:rsidR="0088529D">
        <w:rPr>
          <w:lang w:val="en-GB"/>
        </w:rPr>
        <w:t>absolutely</w:t>
      </w:r>
      <w:r>
        <w:rPr>
          <w:lang w:val="en-GB"/>
        </w:rPr>
        <w:t xml:space="preserve"> clear, and when it comes to policy outcomes, it is particularly hard to separate out what is PRSF and what is support by PRSF to reforms and policy outcomes.</w:t>
      </w:r>
    </w:p>
    <w:p w14:paraId="5E083FD1" w14:textId="276CB2DE" w:rsidR="00444EB8" w:rsidRDefault="00444EB8" w:rsidP="00374C8A">
      <w:pPr>
        <w:rPr>
          <w:lang w:val="en-GB"/>
        </w:rPr>
      </w:pPr>
      <w:r>
        <w:rPr>
          <w:lang w:val="en-GB"/>
        </w:rPr>
        <w:t xml:space="preserve">Without repeating the discussion in the previous section on results, it is clear that PRSF has played much more of a role than merely a support facility handling HR, finance and administration. </w:t>
      </w:r>
      <w:r w:rsidR="0088529D">
        <w:rPr>
          <w:lang w:val="en-GB"/>
        </w:rPr>
        <w:t xml:space="preserve">However, </w:t>
      </w:r>
      <w:r>
        <w:rPr>
          <w:lang w:val="en-GB"/>
        </w:rPr>
        <w:t xml:space="preserve">PRSF has played much more of a role at the technical and implementation stages of activities and much less at the strategic level. In fact PRSF’s contribution to the strategic direction of TNP2K’s work has been </w:t>
      </w:r>
      <w:r w:rsidR="0088529D">
        <w:rPr>
          <w:lang w:val="en-GB"/>
        </w:rPr>
        <w:t xml:space="preserve">at times </w:t>
      </w:r>
      <w:r>
        <w:rPr>
          <w:lang w:val="en-GB"/>
        </w:rPr>
        <w:t>to leave it to TNP2K. This sounds obvious, but actually is a source of some angst within both the PRSF and the TNP2K leadership.</w:t>
      </w:r>
    </w:p>
    <w:p w14:paraId="7D852C6F" w14:textId="1016A559" w:rsidR="00444EB8" w:rsidRDefault="00444EB8" w:rsidP="00374C8A">
      <w:pPr>
        <w:rPr>
          <w:lang w:val="en-GB"/>
        </w:rPr>
      </w:pPr>
      <w:r>
        <w:rPr>
          <w:lang w:val="en-GB"/>
        </w:rPr>
        <w:t xml:space="preserve">Dealing first with the PRSF leadership, it is clear from interviews that at times PRSF has felt that they are not </w:t>
      </w:r>
      <w:r w:rsidR="0088529D">
        <w:rPr>
          <w:lang w:val="en-GB"/>
        </w:rPr>
        <w:t xml:space="preserve">as </w:t>
      </w:r>
      <w:r>
        <w:rPr>
          <w:lang w:val="en-GB"/>
        </w:rPr>
        <w:t xml:space="preserve">involved </w:t>
      </w:r>
      <w:r w:rsidR="0088529D">
        <w:rPr>
          <w:lang w:val="en-GB"/>
        </w:rPr>
        <w:t xml:space="preserve">as they would like </w:t>
      </w:r>
      <w:r>
        <w:rPr>
          <w:lang w:val="en-GB"/>
        </w:rPr>
        <w:t>at the early stages of strategic thinking and design of activities. In the view of some within PRSF this has hampered the contractor</w:t>
      </w:r>
      <w:r w:rsidR="000A7DF0">
        <w:rPr>
          <w:lang w:val="en-GB"/>
        </w:rPr>
        <w:t>’</w:t>
      </w:r>
      <w:r>
        <w:rPr>
          <w:lang w:val="en-GB"/>
        </w:rPr>
        <w:t>s ability to meet it</w:t>
      </w:r>
      <w:r w:rsidR="00431725">
        <w:rPr>
          <w:lang w:val="en-GB"/>
        </w:rPr>
        <w:t>s</w:t>
      </w:r>
      <w:r>
        <w:rPr>
          <w:lang w:val="en-GB"/>
        </w:rPr>
        <w:t xml:space="preserve"> obligations to the Australian Government for efficienc</w:t>
      </w:r>
      <w:r w:rsidR="00250774">
        <w:rPr>
          <w:lang w:val="en-GB"/>
        </w:rPr>
        <w:t>y and effectiveness and has pot</w:t>
      </w:r>
      <w:r>
        <w:rPr>
          <w:lang w:val="en-GB"/>
        </w:rPr>
        <w:t>entially meant not all activit</w:t>
      </w:r>
      <w:r w:rsidR="00250774">
        <w:rPr>
          <w:lang w:val="en-GB"/>
        </w:rPr>
        <w:t>i</w:t>
      </w:r>
      <w:r>
        <w:rPr>
          <w:lang w:val="en-GB"/>
        </w:rPr>
        <w:t xml:space="preserve">es were as well thought through as they could have been. This is a very normal perspective for a contractor to have. </w:t>
      </w:r>
      <w:r w:rsidR="000A7DF0">
        <w:rPr>
          <w:lang w:val="en-GB"/>
        </w:rPr>
        <w:t xml:space="preserve">Box 3 </w:t>
      </w:r>
      <w:r w:rsidR="00964912">
        <w:rPr>
          <w:lang w:val="en-GB"/>
        </w:rPr>
        <w:t xml:space="preserve">in the previous section </w:t>
      </w:r>
      <w:r w:rsidR="000A7DF0">
        <w:rPr>
          <w:lang w:val="en-GB"/>
        </w:rPr>
        <w:t xml:space="preserve">shows that </w:t>
      </w:r>
      <w:r w:rsidR="00250774">
        <w:rPr>
          <w:lang w:val="en-GB"/>
        </w:rPr>
        <w:t>under long term outcomes the first one was:</w:t>
      </w:r>
    </w:p>
    <w:p w14:paraId="790693A9" w14:textId="77777777" w:rsidR="00250774" w:rsidRPr="000C1842" w:rsidRDefault="00250774" w:rsidP="00250774">
      <w:pPr>
        <w:pStyle w:val="ListParagraph"/>
        <w:numPr>
          <w:ilvl w:val="0"/>
          <w:numId w:val="23"/>
        </w:numPr>
      </w:pPr>
      <w:r w:rsidRPr="000C1842">
        <w:t xml:space="preserve">Implementation of policy advice improves the effectiveness of social assistance and poverty reduction programs. </w:t>
      </w:r>
    </w:p>
    <w:p w14:paraId="0C5BA59F" w14:textId="22DD3177" w:rsidR="00250774" w:rsidRDefault="00250774" w:rsidP="00374C8A">
      <w:pPr>
        <w:rPr>
          <w:lang w:val="en-GB"/>
        </w:rPr>
      </w:pPr>
      <w:r>
        <w:rPr>
          <w:lang w:val="en-GB"/>
        </w:rPr>
        <w:t>This objective or outcome is from the original Scope of Services for the PRSF contract. This is not just some abstract goal articulated in a concept note, this forms a</w:t>
      </w:r>
      <w:r w:rsidR="00431725">
        <w:rPr>
          <w:lang w:val="en-GB"/>
        </w:rPr>
        <w:t>n in</w:t>
      </w:r>
      <w:r>
        <w:rPr>
          <w:lang w:val="en-GB"/>
        </w:rPr>
        <w:t>tegral part of the contract and the basis on which GRM the contractor will be assessed and ultimately paid. Moreover, as a long-term outcome fo</w:t>
      </w:r>
      <w:r w:rsidR="00431725">
        <w:rPr>
          <w:lang w:val="en-GB"/>
        </w:rPr>
        <w:t>r the program, it will in part a</w:t>
      </w:r>
      <w:r>
        <w:rPr>
          <w:lang w:val="en-GB"/>
        </w:rPr>
        <w:t xml:space="preserve">ffect future business for the contractor bidding for other work. To ask the contractor to ignore this goal or rely on the counterparts in the TNP2K secretariat to fulfil it is risky for the contractor and </w:t>
      </w:r>
      <w:r w:rsidR="000A7DF0">
        <w:rPr>
          <w:lang w:val="en-GB"/>
        </w:rPr>
        <w:t xml:space="preserve">not really in line with </w:t>
      </w:r>
      <w:r>
        <w:rPr>
          <w:lang w:val="en-GB"/>
        </w:rPr>
        <w:t>the contrac</w:t>
      </w:r>
      <w:r w:rsidR="00964912">
        <w:rPr>
          <w:lang w:val="en-GB"/>
        </w:rPr>
        <w:t>t.  So it is understandable if</w:t>
      </w:r>
      <w:r>
        <w:rPr>
          <w:lang w:val="en-GB"/>
        </w:rPr>
        <w:t xml:space="preserve"> PRSF for both technical and commercial reasons would seek a greater role in</w:t>
      </w:r>
      <w:r w:rsidR="0088529D">
        <w:rPr>
          <w:lang w:val="en-GB"/>
        </w:rPr>
        <w:t xml:space="preserve"> strategic</w:t>
      </w:r>
      <w:r>
        <w:rPr>
          <w:lang w:val="en-GB"/>
        </w:rPr>
        <w:t xml:space="preserve"> policy </w:t>
      </w:r>
      <w:r w:rsidR="0088529D">
        <w:rPr>
          <w:lang w:val="en-GB"/>
        </w:rPr>
        <w:t>discussions</w:t>
      </w:r>
      <w:r>
        <w:rPr>
          <w:lang w:val="en-GB"/>
        </w:rPr>
        <w:t>.</w:t>
      </w:r>
      <w:r w:rsidR="008D3C20">
        <w:rPr>
          <w:lang w:val="en-GB"/>
        </w:rPr>
        <w:t xml:space="preserve"> </w:t>
      </w:r>
      <w:r w:rsidR="00964912">
        <w:rPr>
          <w:lang w:val="en-GB"/>
        </w:rPr>
        <w:t>However, w</w:t>
      </w:r>
      <w:r w:rsidR="008D3C20">
        <w:rPr>
          <w:lang w:val="en-GB"/>
        </w:rPr>
        <w:t>hether consciously or sub-consciously, to a large extent PRSF and GRM as the managing contractor relied on TNP2K to drive their own outcomes.</w:t>
      </w:r>
    </w:p>
    <w:p w14:paraId="32ED758B" w14:textId="77777777" w:rsidR="00250774" w:rsidRDefault="00250774" w:rsidP="00374C8A">
      <w:pPr>
        <w:rPr>
          <w:lang w:val="en-GB"/>
        </w:rPr>
      </w:pPr>
      <w:r>
        <w:rPr>
          <w:lang w:val="en-GB"/>
        </w:rPr>
        <w:t xml:space="preserve">From the perspective of the Government, or in this case the TNP2K secretariat, there is no role for the PRSF in policy development or outcomes that TNP2K do not prescribe. It is not a matter of dislike or mistrust of PRSF by </w:t>
      </w:r>
      <w:proofErr w:type="gramStart"/>
      <w:r>
        <w:rPr>
          <w:lang w:val="en-GB"/>
        </w:rPr>
        <w:t>TNP2K,</w:t>
      </w:r>
      <w:proofErr w:type="gramEnd"/>
      <w:r>
        <w:rPr>
          <w:lang w:val="en-GB"/>
        </w:rPr>
        <w:t xml:space="preserve"> on the contrary the working relationships are very good between the two teams. The Vice President of the country has been given a mandate by the President and he has delegated this very important responsibility to the TNP2K secretariat to guide. They take this responsibility very seriously and are not about to delegate it to contractors.</w:t>
      </w:r>
    </w:p>
    <w:p w14:paraId="5AC3127D" w14:textId="08E51BD1" w:rsidR="00250774" w:rsidRDefault="00250774" w:rsidP="00374C8A">
      <w:pPr>
        <w:rPr>
          <w:lang w:val="en-GB"/>
        </w:rPr>
      </w:pPr>
      <w:r>
        <w:rPr>
          <w:lang w:val="en-GB"/>
        </w:rPr>
        <w:t xml:space="preserve">This discussion is not about setting up a conclusion that the two parties </w:t>
      </w:r>
      <w:r w:rsidR="00937CFC">
        <w:rPr>
          <w:lang w:val="en-GB"/>
        </w:rPr>
        <w:t>are diametrically opposed and ca</w:t>
      </w:r>
      <w:r>
        <w:rPr>
          <w:lang w:val="en-GB"/>
        </w:rPr>
        <w:t>nnot therefore find a balance. In fact the opposite has been true. B</w:t>
      </w:r>
      <w:r w:rsidR="00964912">
        <w:rPr>
          <w:lang w:val="en-GB"/>
        </w:rPr>
        <w:t>y not challenging TNP2K on the</w:t>
      </w:r>
      <w:r>
        <w:rPr>
          <w:lang w:val="en-GB"/>
        </w:rPr>
        <w:t xml:space="preserve"> strategic directions of activities and concentrating on being flexible, responsive and providing high quality technical inputs, PRSF has gained </w:t>
      </w:r>
      <w:r w:rsidR="00431725">
        <w:rPr>
          <w:lang w:val="en-GB"/>
        </w:rPr>
        <w:t xml:space="preserve">a </w:t>
      </w:r>
      <w:r>
        <w:rPr>
          <w:lang w:val="en-GB"/>
        </w:rPr>
        <w:t>position of trust with TNP2K. The development of the quality assurance process discussed in the previous section is a go</w:t>
      </w:r>
      <w:r w:rsidR="0088529D">
        <w:rPr>
          <w:lang w:val="en-GB"/>
        </w:rPr>
        <w:t>o</w:t>
      </w:r>
      <w:r>
        <w:rPr>
          <w:lang w:val="en-GB"/>
        </w:rPr>
        <w:t xml:space="preserve">d example of how PRSF have focussed on the technical quality of the work being done. This slightly more passive approach to the </w:t>
      </w:r>
      <w:r w:rsidR="00964912">
        <w:rPr>
          <w:lang w:val="en-GB"/>
        </w:rPr>
        <w:t xml:space="preserve">strategic </w:t>
      </w:r>
      <w:r>
        <w:rPr>
          <w:lang w:val="en-GB"/>
        </w:rPr>
        <w:t>agenda has at times been a source of frustration for both PRSF and the Embassy program managem</w:t>
      </w:r>
      <w:r w:rsidR="00937CFC">
        <w:rPr>
          <w:lang w:val="en-GB"/>
        </w:rPr>
        <w:t>ent team, but was in fact the right approach given the situation.</w:t>
      </w:r>
    </w:p>
    <w:p w14:paraId="63D20379" w14:textId="42FEA20F" w:rsidR="00E658E1" w:rsidRDefault="00106FED" w:rsidP="001F6D6F">
      <w:r>
        <w:t xml:space="preserve">Some short comments on publications </w:t>
      </w:r>
      <w:proofErr w:type="gramStart"/>
      <w:r w:rsidR="00964912">
        <w:t>is</w:t>
      </w:r>
      <w:proofErr w:type="gramEnd"/>
      <w:r w:rsidR="00964912">
        <w:t xml:space="preserve"> warranted </w:t>
      </w:r>
      <w:r>
        <w:t xml:space="preserve">as much of this report is concerned with the outcomes of interventions in programs. </w:t>
      </w:r>
      <w:r w:rsidR="00C239E4">
        <w:t>TNP2K has been a prolific producer of publications, studies and papers. One of PRSF’s core functions is to assist TNP2K in making sure that the information is tailored to the desired audience, that it is available in a timely fashion and that most importantly, the analysis in these publications is having an impact on policy decisions.</w:t>
      </w:r>
      <w:r>
        <w:t xml:space="preserve"> PRSF has</w:t>
      </w:r>
      <w:r w:rsidR="00530511">
        <w:t xml:space="preserve"> a Knowledge Management Unit and report in their quarterly reports to the Embassy on a range of indicators. These are largely focussed </w:t>
      </w:r>
      <w:r w:rsidR="00E658E1">
        <w:t>on volume or traffic on the TNP2K</w:t>
      </w:r>
      <w:r w:rsidR="00530511">
        <w:t xml:space="preserve"> website and the number of requests for information</w:t>
      </w:r>
      <w:r w:rsidR="00E658E1">
        <w:t xml:space="preserve"> that TNP2K receive. PRSF re</w:t>
      </w:r>
      <w:r w:rsidR="00964912">
        <w:t>porting also includes media coverage</w:t>
      </w:r>
      <w:r w:rsidR="00E658E1">
        <w:t xml:space="preserve"> of activities and launches by the Vice President</w:t>
      </w:r>
      <w:r>
        <w:t xml:space="preserve"> and</w:t>
      </w:r>
      <w:r w:rsidR="00E658E1">
        <w:t xml:space="preserve"> the TNP2K Secretariat. </w:t>
      </w:r>
    </w:p>
    <w:p w14:paraId="46911C4A" w14:textId="50F459EB" w:rsidR="002541E1" w:rsidRDefault="00964912" w:rsidP="001F6D6F">
      <w:r>
        <w:t>W</w:t>
      </w:r>
      <w:r w:rsidR="00E658E1">
        <w:t>hile all of this is good and show</w:t>
      </w:r>
      <w:r w:rsidR="00106FED">
        <w:t>s</w:t>
      </w:r>
      <w:r w:rsidR="00E658E1">
        <w:t xml:space="preserve"> that demand for information and analysis</w:t>
      </w:r>
      <w:r>
        <w:t xml:space="preserve"> produced by TNP2K and to a lesser extent PRSF</w:t>
      </w:r>
      <w:r w:rsidR="00E658E1">
        <w:t xml:space="preserve"> is growing, it is a long way from systematic. It is largely reporting what happens without seeking to go fur</w:t>
      </w:r>
      <w:r w:rsidR="002541E1">
        <w:t xml:space="preserve">ther and look into the impact. </w:t>
      </w:r>
      <w:r w:rsidR="00E658E1">
        <w:t xml:space="preserve">This is curious given the knowledge to policy mantra that TNP2K espouses. </w:t>
      </w:r>
      <w:r w:rsidR="002541E1">
        <w:t xml:space="preserve">There is a real commitment from the top in TNP2K to knowledge driving policy. As the senior leadership group put it when interviewed, “it is not just about knowledge, it is how evidence translates to change that matters.” </w:t>
      </w:r>
    </w:p>
    <w:p w14:paraId="73DB2B96" w14:textId="465D5CB0" w:rsidR="00E658E1" w:rsidRDefault="00964912" w:rsidP="001F6D6F">
      <w:r>
        <w:t>In contrast, w</w:t>
      </w:r>
      <w:r w:rsidR="00E658E1">
        <w:t>hen the UDB team were asked about where requests for data were coming from and for what purpose, they could quote the volumes but not the details.  To produ</w:t>
      </w:r>
      <w:r>
        <w:t>ce a report with details of</w:t>
      </w:r>
      <w:r w:rsidR="00E658E1">
        <w:t xml:space="preserve"> who asked for data and for what purpose </w:t>
      </w:r>
      <w:r w:rsidR="00106FED">
        <w:t xml:space="preserve">the team said </w:t>
      </w:r>
      <w:r>
        <w:t xml:space="preserve">it </w:t>
      </w:r>
      <w:r w:rsidR="00E658E1">
        <w:t>would take some time and cannot routinely be produced by the UDB team. This in itself points to a lack of demand for this type of information</w:t>
      </w:r>
      <w:r w:rsidR="00106FED">
        <w:t xml:space="preserve"> within TNP2K</w:t>
      </w:r>
      <w:r w:rsidR="00E658E1">
        <w:t xml:space="preserve">. </w:t>
      </w:r>
      <w:r>
        <w:t xml:space="preserve">What this indicates is that while </w:t>
      </w:r>
      <w:r w:rsidR="00E658E1">
        <w:t xml:space="preserve">TNP2K </w:t>
      </w:r>
      <w:r w:rsidR="00106FED">
        <w:t xml:space="preserve">definitely does </w:t>
      </w:r>
      <w:r w:rsidR="00E658E1">
        <w:t>want to know that their work is in demand</w:t>
      </w:r>
      <w:r w:rsidR="00572E82">
        <w:t xml:space="preserve">, </w:t>
      </w:r>
      <w:r>
        <w:t>they</w:t>
      </w:r>
      <w:r w:rsidR="00E658E1">
        <w:t xml:space="preserve"> have not set up any systematic diagnostics to track who is demanding it, for what purpose and </w:t>
      </w:r>
      <w:r w:rsidR="00106FED">
        <w:t>what impact it has</w:t>
      </w:r>
      <w:r w:rsidR="00E658E1">
        <w:t xml:space="preserve"> had.</w:t>
      </w:r>
    </w:p>
    <w:p w14:paraId="236C9252" w14:textId="78A39715" w:rsidR="00067856" w:rsidRDefault="00E658E1" w:rsidP="001F6D6F">
      <w:r>
        <w:t xml:space="preserve">The PRSF Knowledge Management Unit expressed some interest in doing this work but said it was outside what TNP2K wanted them to do. The Knowledge Management Unit was originally part of TNP2K but was shifted to PRSF where it became essentially a unit to ensure the quality of products, providing translation, proof reading, editing and publishing services. </w:t>
      </w:r>
      <w:r w:rsidR="00067856">
        <w:t>It was clear from both the Communications Team in TNP2K and the Knowledge Management Unit in PRSF that it was not required for them to follow up with th</w:t>
      </w:r>
      <w:r w:rsidR="000362E9">
        <w:t>e end users of the publications</w:t>
      </w:r>
      <w:r w:rsidR="00067856">
        <w:t xml:space="preserve"> to ask them if the materials were accessible, timely and useful, </w:t>
      </w:r>
      <w:r w:rsidR="00572E82">
        <w:t>or</w:t>
      </w:r>
      <w:r w:rsidR="00067856">
        <w:t xml:space="preserve"> if they had impacted on decision making.</w:t>
      </w:r>
    </w:p>
    <w:p w14:paraId="45AC17CD" w14:textId="2F4D5A5D" w:rsidR="00530511" w:rsidRPr="001F6D6F" w:rsidRDefault="00067856" w:rsidP="001F6D6F">
      <w:r>
        <w:t>This is a missed opportunity and should be followed up in any future support. TNP2K will not agree to PRSF or a replacement contractor acting as a critic of their work with counterparts, but processes to gather more information on the impact of materials produced and setting up reports that can routinely tell TNP2K who is asking for information and analysis and for what</w:t>
      </w:r>
      <w:r w:rsidR="00106FED">
        <w:t xml:space="preserve"> purpose should be put in place.</w:t>
      </w:r>
    </w:p>
    <w:p w14:paraId="08A919B5" w14:textId="77777777" w:rsidR="00374C8A" w:rsidRDefault="00374C8A" w:rsidP="000A7DF0">
      <w:pPr>
        <w:pStyle w:val="Heading2"/>
        <w:spacing w:before="120" w:after="120"/>
        <w:rPr>
          <w:lang w:val="en-GB"/>
        </w:rPr>
      </w:pPr>
      <w:bookmarkStart w:id="17" w:name="_Toc424302605"/>
      <w:r>
        <w:rPr>
          <w:lang w:val="en-GB"/>
        </w:rPr>
        <w:t>Was PRSF efficient and effective in its operations?</w:t>
      </w:r>
      <w:bookmarkEnd w:id="17"/>
    </w:p>
    <w:p w14:paraId="5A4BF57E" w14:textId="3D06C0D0" w:rsidR="0092050F" w:rsidRDefault="0092050F" w:rsidP="008B5B1B">
      <w:pPr>
        <w:spacing w:before="120"/>
        <w:rPr>
          <w:lang w:val="en-GB"/>
        </w:rPr>
      </w:pPr>
      <w:r>
        <w:rPr>
          <w:lang w:val="en-GB"/>
        </w:rPr>
        <w:t>In judging the efficiency and effectiveness of PRSF operations, it is useful to put it into some perspective. At the time TNP2K was being set up, the Vice President had made it clear he was in a hurry. Five years is a short space of time for major reforms and he needed to move quickly. At the same time, the Australian Aid program globally was scaling up to 0.5 percent of GNI, and Indonesia had one of the most ambitious targets for increased aid. The program was set to grow from $450 million per year to a projected $900 million per year. The design pipeline was a staggering</w:t>
      </w:r>
      <w:r w:rsidR="000A7DF0">
        <w:rPr>
          <w:lang w:val="en-GB"/>
        </w:rPr>
        <w:t xml:space="preserve"> $3</w:t>
      </w:r>
      <w:r>
        <w:rPr>
          <w:lang w:val="en-GB"/>
        </w:rPr>
        <w:t xml:space="preserve">-5 billion dollars over 4 to 5 years. There was no question of a budget </w:t>
      </w:r>
      <w:proofErr w:type="gramStart"/>
      <w:r>
        <w:rPr>
          <w:lang w:val="en-GB"/>
        </w:rPr>
        <w:t>constraint</w:t>
      </w:r>
      <w:r w:rsidR="00964912">
        <w:rPr>
          <w:lang w:val="en-GB"/>
        </w:rPr>
        <w:t>,</w:t>
      </w:r>
      <w:proofErr w:type="gramEnd"/>
      <w:r>
        <w:rPr>
          <w:lang w:val="en-GB"/>
        </w:rPr>
        <w:t xml:space="preserve"> the decision was clearly made to give TNP2K whatever it needed.</w:t>
      </w:r>
    </w:p>
    <w:p w14:paraId="2F15BA37" w14:textId="77777777" w:rsidR="0092050F" w:rsidRDefault="0092050F" w:rsidP="0092050F">
      <w:pPr>
        <w:rPr>
          <w:lang w:val="en-GB"/>
        </w:rPr>
      </w:pPr>
      <w:r>
        <w:rPr>
          <w:lang w:val="en-GB"/>
        </w:rPr>
        <w:t xml:space="preserve">As any public finance economist will attest, unconstrained budgets in general do not lead to optimal outcomes. It is harder to weed out poor proposals and say no to requests from important vested interests. It is also harder to stay focussed. These issues were all prevalent in the early days of PRSF. </w:t>
      </w:r>
    </w:p>
    <w:p w14:paraId="6F95A8D8" w14:textId="26B44B4F" w:rsidR="0092050F" w:rsidRDefault="0092050F" w:rsidP="0092050F">
      <w:pPr>
        <w:rPr>
          <w:lang w:val="en-GB"/>
        </w:rPr>
      </w:pPr>
      <w:r>
        <w:rPr>
          <w:lang w:val="en-GB"/>
        </w:rPr>
        <w:t xml:space="preserve">Without repeating the findings of the independent progress report from early 2013, it was clear that the contractor </w:t>
      </w:r>
      <w:r w:rsidR="0088529D">
        <w:rPr>
          <w:lang w:val="en-GB"/>
        </w:rPr>
        <w:t xml:space="preserve">also </w:t>
      </w:r>
      <w:r>
        <w:rPr>
          <w:lang w:val="en-GB"/>
        </w:rPr>
        <w:t>struggled at the beginning to keep up. It is worth noting that every program has inception issues. The first 6 to 12 months of any new program is frantic and usually compounded by a contract that requires unrealistic milestones. PRSF had the added complication that TNP2K was just getting established and was</w:t>
      </w:r>
      <w:r w:rsidR="000A7DF0">
        <w:rPr>
          <w:lang w:val="en-GB"/>
        </w:rPr>
        <w:t xml:space="preserve"> in a hurry. In a sense PRSF had</w:t>
      </w:r>
      <w:r>
        <w:rPr>
          <w:lang w:val="en-GB"/>
        </w:rPr>
        <w:t xml:space="preserve"> to establish two institutions</w:t>
      </w:r>
      <w:r w:rsidR="00964912">
        <w:rPr>
          <w:lang w:val="en-GB"/>
        </w:rPr>
        <w:t>,</w:t>
      </w:r>
      <w:r>
        <w:rPr>
          <w:lang w:val="en-GB"/>
        </w:rPr>
        <w:t xml:space="preserve"> not one</w:t>
      </w:r>
      <w:r w:rsidR="00964912">
        <w:rPr>
          <w:lang w:val="en-GB"/>
        </w:rPr>
        <w:t>,</w:t>
      </w:r>
      <w:r>
        <w:rPr>
          <w:lang w:val="en-GB"/>
        </w:rPr>
        <w:t xml:space="preserve"> as well as juggling some existing commitments under the DFAT window.</w:t>
      </w:r>
    </w:p>
    <w:p w14:paraId="5B7B50A4" w14:textId="77777777" w:rsidR="004F18C0" w:rsidRDefault="0092050F" w:rsidP="004F18C0">
      <w:pPr>
        <w:rPr>
          <w:lang w:val="en-GB"/>
        </w:rPr>
      </w:pPr>
      <w:r>
        <w:rPr>
          <w:lang w:val="en-GB"/>
        </w:rPr>
        <w:t>Acknowled</w:t>
      </w:r>
      <w:r w:rsidR="00C22F4A">
        <w:rPr>
          <w:lang w:val="en-GB"/>
        </w:rPr>
        <w:t>g</w:t>
      </w:r>
      <w:r>
        <w:rPr>
          <w:lang w:val="en-GB"/>
        </w:rPr>
        <w:t>ing the challenges, the contractor was too slow to put in place systems to manage the program. It was clear pretty early on in 2011 that PRSF was going to scale up very quickly</w:t>
      </w:r>
      <w:r w:rsidR="00C22F4A">
        <w:rPr>
          <w:lang w:val="en-GB"/>
        </w:rPr>
        <w:t xml:space="preserve">. Despite this it took until 2012 for the contractor to put in place an </w:t>
      </w:r>
      <w:r w:rsidR="0088529D">
        <w:rPr>
          <w:lang w:val="en-GB"/>
        </w:rPr>
        <w:t xml:space="preserve">adequate </w:t>
      </w:r>
      <w:r w:rsidR="00C22F4A">
        <w:rPr>
          <w:lang w:val="en-GB"/>
        </w:rPr>
        <w:t>in</w:t>
      </w:r>
      <w:r w:rsidR="0088529D">
        <w:rPr>
          <w:lang w:val="en-GB"/>
        </w:rPr>
        <w:t>-</w:t>
      </w:r>
      <w:r w:rsidR="00C22F4A">
        <w:rPr>
          <w:lang w:val="en-GB"/>
        </w:rPr>
        <w:t xml:space="preserve">house human resources team to deal with the huge workload of hiring technical assistance for TNP2K. In mid-2012 there was only 2 people on HR and there were no systems in pace to manage performance. Since 2012 there has been a huge investment in this function and the results are very good. The quality of technical inputs recruited by PRSF </w:t>
      </w:r>
      <w:r w:rsidR="0088529D">
        <w:rPr>
          <w:lang w:val="en-GB"/>
        </w:rPr>
        <w:t>has been</w:t>
      </w:r>
      <w:r w:rsidR="00C22F4A">
        <w:rPr>
          <w:lang w:val="en-GB"/>
        </w:rPr>
        <w:t xml:space="preserve"> high and appreciated by all stakeholders. In addition retention rates for long and short term staff were extremely high. Some 94% of staff stayed for the duration of their contract, including full-time staff. Performance issues were minimal allowing both TNP2K and PRSF to deliver results.</w:t>
      </w:r>
    </w:p>
    <w:p w14:paraId="3E82784B" w14:textId="77777777" w:rsidR="00FB3C35" w:rsidRDefault="00FB3C35" w:rsidP="004F18C0">
      <w:pPr>
        <w:rPr>
          <w:lang w:val="en-GB"/>
        </w:rPr>
      </w:pPr>
    </w:p>
    <w:p w14:paraId="24D18C41" w14:textId="77777777" w:rsidR="004F18C0" w:rsidRDefault="004F18C0" w:rsidP="004F18C0">
      <w:pPr>
        <w:rPr>
          <w:lang w:val="en-GB"/>
        </w:rPr>
      </w:pPr>
      <w:r>
        <w:rPr>
          <w:noProof/>
          <w:lang w:eastAsia="en-AU"/>
        </w:rPr>
        <w:drawing>
          <wp:inline distT="0" distB="0" distL="0" distR="0" wp14:anchorId="0AFF8DD7" wp14:editId="08F12928">
            <wp:extent cx="5771072" cy="3994030"/>
            <wp:effectExtent l="0" t="0" r="127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71072" cy="3994030"/>
                    </a:xfrm>
                    <a:prstGeom prst="rect">
                      <a:avLst/>
                    </a:prstGeom>
                    <a:noFill/>
                    <a:ln>
                      <a:noFill/>
                    </a:ln>
                  </pic:spPr>
                </pic:pic>
              </a:graphicData>
            </a:graphic>
          </wp:inline>
        </w:drawing>
      </w:r>
    </w:p>
    <w:p w14:paraId="15FE69F0" w14:textId="77777777" w:rsidR="00901E41" w:rsidRPr="00901E41" w:rsidRDefault="00901E41" w:rsidP="00FB3C35">
      <w:pPr>
        <w:spacing w:after="120" w:line="240" w:lineRule="auto"/>
        <w:rPr>
          <w:i/>
          <w:sz w:val="18"/>
          <w:szCs w:val="18"/>
          <w:lang w:val="en-GB"/>
        </w:rPr>
      </w:pPr>
      <w:r w:rsidRPr="00901E41">
        <w:rPr>
          <w:i/>
          <w:sz w:val="18"/>
          <w:szCs w:val="18"/>
          <w:lang w:val="en-GB"/>
        </w:rPr>
        <w:t>Source: PRSF</w:t>
      </w:r>
    </w:p>
    <w:p w14:paraId="7A6C2E2B" w14:textId="77777777" w:rsidR="00FB3C35" w:rsidRDefault="00FB3C35" w:rsidP="0092050F">
      <w:pPr>
        <w:rPr>
          <w:lang w:val="en-GB"/>
        </w:rPr>
      </w:pPr>
    </w:p>
    <w:p w14:paraId="5C32EB3C" w14:textId="7D631C9C" w:rsidR="00C22F4A" w:rsidRDefault="00C22F4A" w:rsidP="0092050F">
      <w:pPr>
        <w:rPr>
          <w:lang w:val="en-GB"/>
        </w:rPr>
      </w:pPr>
      <w:r w:rsidRPr="00E96C1E">
        <w:rPr>
          <w:lang w:val="en-GB"/>
        </w:rPr>
        <w:t>Similar to the HR story, the quality assurance system</w:t>
      </w:r>
      <w:r w:rsidR="001B3D45" w:rsidRPr="00E96C1E">
        <w:rPr>
          <w:lang w:val="en-GB"/>
        </w:rPr>
        <w:t>s took a long time to eventuate, given that TNP2K were not originally supportive of this process</w:t>
      </w:r>
      <w:r w:rsidRPr="00E96C1E">
        <w:rPr>
          <w:lang w:val="en-GB"/>
        </w:rPr>
        <w:t>. What</w:t>
      </w:r>
      <w:r>
        <w:rPr>
          <w:lang w:val="en-GB"/>
        </w:rPr>
        <w:t xml:space="preserve"> is clear is that from mid-2012 onwards with the support of the program management team at the Embassy, a system was established that today is working pretty well. </w:t>
      </w:r>
    </w:p>
    <w:p w14:paraId="28774ED7" w14:textId="262BFB0B" w:rsidR="004F18C0" w:rsidRDefault="00C22F4A" w:rsidP="0092050F">
      <w:pPr>
        <w:rPr>
          <w:lang w:val="en-GB"/>
        </w:rPr>
      </w:pPr>
      <w:r>
        <w:rPr>
          <w:lang w:val="en-GB"/>
        </w:rPr>
        <w:t xml:space="preserve">Procurement is another issue that is often a source of frustration for counterparts. In PRSF’s case, the reality and the perceptions are often quite different. On the one hand the PRSF operations team presented some clear facts and figures to show that the average procurement time was around 4 to </w:t>
      </w:r>
      <w:r w:rsidR="004F18C0">
        <w:rPr>
          <w:lang w:val="en-GB"/>
        </w:rPr>
        <w:t>8</w:t>
      </w:r>
      <w:r>
        <w:rPr>
          <w:lang w:val="en-GB"/>
        </w:rPr>
        <w:t xml:space="preserve"> weeks depending on the activity. This is</w:t>
      </w:r>
      <w:r w:rsidR="00964912">
        <w:rPr>
          <w:lang w:val="en-GB"/>
        </w:rPr>
        <w:t xml:space="preserve"> an average, but is in fact quite acceptable</w:t>
      </w:r>
      <w:r>
        <w:rPr>
          <w:lang w:val="en-GB"/>
        </w:rPr>
        <w:t xml:space="preserve"> for most government work</w:t>
      </w:r>
      <w:r w:rsidR="004F18C0">
        <w:rPr>
          <w:lang w:val="en-GB"/>
        </w:rPr>
        <w:t xml:space="preserve"> and a fast stream process </w:t>
      </w:r>
      <w:proofErr w:type="gramStart"/>
      <w:r w:rsidR="004F18C0">
        <w:rPr>
          <w:lang w:val="en-GB"/>
        </w:rPr>
        <w:t>was</w:t>
      </w:r>
      <w:proofErr w:type="gramEnd"/>
      <w:r w:rsidR="004F18C0">
        <w:rPr>
          <w:lang w:val="en-GB"/>
        </w:rPr>
        <w:t xml:space="preserve"> put in place for shorter term activities guaranteeing no more than a month for recrui</w:t>
      </w:r>
      <w:r w:rsidR="004B0651">
        <w:rPr>
          <w:lang w:val="en-GB"/>
        </w:rPr>
        <w:t>tment once the request is made.</w:t>
      </w:r>
    </w:p>
    <w:p w14:paraId="0418531E" w14:textId="77777777" w:rsidR="00C22F4A" w:rsidRDefault="00C22F4A" w:rsidP="0092050F">
      <w:pPr>
        <w:rPr>
          <w:lang w:val="en-GB"/>
        </w:rPr>
      </w:pPr>
      <w:r>
        <w:rPr>
          <w:lang w:val="en-GB"/>
        </w:rPr>
        <w:t>Given the requirements of the commonwealth procurement guidelines and the generally risk averse nature of the Australian Government when it</w:t>
      </w:r>
      <w:r w:rsidR="000A7DF0">
        <w:rPr>
          <w:lang w:val="en-GB"/>
        </w:rPr>
        <w:t xml:space="preserve"> comes to fraud, this average</w:t>
      </w:r>
      <w:r>
        <w:rPr>
          <w:lang w:val="en-GB"/>
        </w:rPr>
        <w:t xml:space="preserve"> time for procurement is good.</w:t>
      </w:r>
      <w:r w:rsidR="004F18C0">
        <w:rPr>
          <w:lang w:val="en-GB"/>
        </w:rPr>
        <w:t xml:space="preserve"> </w:t>
      </w:r>
      <w:r>
        <w:rPr>
          <w:lang w:val="en-GB"/>
        </w:rPr>
        <w:t>Despite this, in many interviews with TNP2K and other stakeholders like BAPPENAS, the comment</w:t>
      </w:r>
      <w:r w:rsidR="0088529D">
        <w:rPr>
          <w:lang w:val="en-GB"/>
        </w:rPr>
        <w:t>s about technical assistance were</w:t>
      </w:r>
      <w:r>
        <w:rPr>
          <w:lang w:val="en-GB"/>
        </w:rPr>
        <w:t xml:space="preserve"> almost always that the quality </w:t>
      </w:r>
      <w:r w:rsidR="0088529D">
        <w:rPr>
          <w:lang w:val="en-GB"/>
        </w:rPr>
        <w:t>of the TA was excellent but procurement was slow</w:t>
      </w:r>
      <w:r>
        <w:rPr>
          <w:lang w:val="en-GB"/>
        </w:rPr>
        <w:t xml:space="preserve">. </w:t>
      </w:r>
    </w:p>
    <w:p w14:paraId="3439648A" w14:textId="0A5C79E2" w:rsidR="00C22F4A" w:rsidRDefault="00981050" w:rsidP="0092050F">
      <w:pPr>
        <w:rPr>
          <w:lang w:val="en-GB"/>
        </w:rPr>
      </w:pPr>
      <w:r>
        <w:rPr>
          <w:lang w:val="en-GB"/>
        </w:rPr>
        <w:t xml:space="preserve">This reflects a </w:t>
      </w:r>
      <w:r w:rsidR="000362E9">
        <w:rPr>
          <w:lang w:val="en-GB"/>
        </w:rPr>
        <w:t>couple of things. M</w:t>
      </w:r>
      <w:r>
        <w:rPr>
          <w:lang w:val="en-GB"/>
        </w:rPr>
        <w:t>ost importantly it reflects the un</w:t>
      </w:r>
      <w:r w:rsidR="004B0651">
        <w:rPr>
          <w:lang w:val="en-GB"/>
        </w:rPr>
        <w:t>realistic expectations of most g</w:t>
      </w:r>
      <w:r>
        <w:rPr>
          <w:lang w:val="en-GB"/>
        </w:rPr>
        <w:t xml:space="preserve">overnment counterparts when it comes to procurement. </w:t>
      </w:r>
      <w:r w:rsidR="001B3D45" w:rsidRPr="00E96C1E">
        <w:rPr>
          <w:lang w:val="en-GB"/>
        </w:rPr>
        <w:t>The use of a separate contractor has allowed procurement processes that are smoother than those provided by the Government of Indonesia</w:t>
      </w:r>
      <w:r w:rsidRPr="00E96C1E">
        <w:rPr>
          <w:lang w:val="en-GB"/>
        </w:rPr>
        <w:t>.</w:t>
      </w:r>
      <w:r>
        <w:rPr>
          <w:lang w:val="en-GB"/>
        </w:rPr>
        <w:t xml:space="preserve"> Most of the counterparts are unfamiliar with the commonwealth procurement rules (even at a broad level</w:t>
      </w:r>
      <w:r w:rsidR="000362E9">
        <w:rPr>
          <w:lang w:val="en-GB"/>
        </w:rPr>
        <w:t>)</w:t>
      </w:r>
      <w:r>
        <w:rPr>
          <w:lang w:val="en-GB"/>
        </w:rPr>
        <w:t>.</w:t>
      </w:r>
      <w:r w:rsidR="000362E9">
        <w:rPr>
          <w:lang w:val="en-GB"/>
        </w:rPr>
        <w:t xml:space="preserve"> Secondly, i</w:t>
      </w:r>
      <w:r>
        <w:rPr>
          <w:lang w:val="en-GB"/>
        </w:rPr>
        <w:t xml:space="preserve">n many cases because of the nature of TNP2K, there are very small markets for technical assistance. In some cases, it is a </w:t>
      </w:r>
      <w:r w:rsidR="004B0651">
        <w:rPr>
          <w:lang w:val="en-GB"/>
        </w:rPr>
        <w:t>short list of one</w:t>
      </w:r>
      <w:r>
        <w:rPr>
          <w:lang w:val="en-GB"/>
        </w:rPr>
        <w:t xml:space="preserve"> person, and so overly administrative processes seem a waste of time.</w:t>
      </w:r>
    </w:p>
    <w:p w14:paraId="18D2D648" w14:textId="7B01E842" w:rsidR="003A47C8" w:rsidRDefault="00981050" w:rsidP="0092050F">
      <w:pPr>
        <w:rPr>
          <w:lang w:val="en-GB"/>
        </w:rPr>
      </w:pPr>
      <w:r>
        <w:rPr>
          <w:lang w:val="en-GB"/>
        </w:rPr>
        <w:t xml:space="preserve">While in general procurement has been handled well, </w:t>
      </w:r>
      <w:r w:rsidR="00431725">
        <w:rPr>
          <w:lang w:val="en-GB"/>
        </w:rPr>
        <w:t xml:space="preserve">some investment in more communication of procurement expectations would have been helpful. In general, TNP2K have accepted the procurement systems and standards as the “cost” of the support and have shown good judgement on governance issues of this kind.  In the future, </w:t>
      </w:r>
      <w:r>
        <w:rPr>
          <w:lang w:val="en-GB"/>
        </w:rPr>
        <w:t>there are provisions in the commonwealth procurement guidelines for single source procurement under $500,000 and the contractor and the Embassy could have made more strategic use of them</w:t>
      </w:r>
      <w:r w:rsidR="00431725">
        <w:rPr>
          <w:lang w:val="en-GB"/>
        </w:rPr>
        <w:t xml:space="preserve"> in case of TNP2K</w:t>
      </w:r>
      <w:r>
        <w:rPr>
          <w:lang w:val="en-GB"/>
        </w:rPr>
        <w:t xml:space="preserve">. There needs to be processes in place to ensure value for money for Australian funds, but there are circumstances </w:t>
      </w:r>
      <w:r w:rsidR="00431725">
        <w:rPr>
          <w:lang w:val="en-GB"/>
        </w:rPr>
        <w:t xml:space="preserve">such as </w:t>
      </w:r>
      <w:r>
        <w:rPr>
          <w:lang w:val="en-GB"/>
        </w:rPr>
        <w:t>in the case of TNP2K where grounds exist for a mor</w:t>
      </w:r>
      <w:r w:rsidR="004B0651">
        <w:rPr>
          <w:lang w:val="en-GB"/>
        </w:rPr>
        <w:t>e timely response to specific</w:t>
      </w:r>
      <w:r>
        <w:rPr>
          <w:lang w:val="en-GB"/>
        </w:rPr>
        <w:t xml:space="preserve"> needs.</w:t>
      </w:r>
    </w:p>
    <w:p w14:paraId="1906C137" w14:textId="54D1832A" w:rsidR="00106FED" w:rsidRDefault="00106FED" w:rsidP="00106FED">
      <w:r>
        <w:t xml:space="preserve">When it comes to risk and fraud, PRSF is an interesting study. Typically the Australian Government views facilities administered by managing contractors as lower risk than say sector budget support, untied grants or even output based aid. Quite simply the contractor is the agent of the government and bears the fiduciary risk for the activities. This </w:t>
      </w:r>
      <w:r w:rsidR="002541E1">
        <w:t xml:space="preserve">often </w:t>
      </w:r>
      <w:r>
        <w:t xml:space="preserve">leads to some very risk </w:t>
      </w:r>
      <w:r w:rsidR="000362E9">
        <w:t>adverse</w:t>
      </w:r>
      <w:r>
        <w:t xml:space="preserve"> behaviour in m</w:t>
      </w:r>
      <w:r w:rsidR="004B0651">
        <w:t>any facilities and</w:t>
      </w:r>
      <w:r w:rsidR="002541E1">
        <w:t xml:space="preserve"> more often than not</w:t>
      </w:r>
      <w:r>
        <w:t xml:space="preserve"> fiduciary risk if given a higher weight than development risk</w:t>
      </w:r>
      <w:r w:rsidR="002541E1">
        <w:t xml:space="preserve"> by the contractor</w:t>
      </w:r>
      <w:r>
        <w:t>.</w:t>
      </w:r>
    </w:p>
    <w:p w14:paraId="34CDFDAD" w14:textId="7D08F5F0" w:rsidR="00106FED" w:rsidRDefault="00106FED" w:rsidP="00106FED">
      <w:r>
        <w:t>For PRSF</w:t>
      </w:r>
      <w:r w:rsidR="004B0651">
        <w:t>,</w:t>
      </w:r>
      <w:r>
        <w:t xml:space="preserve"> matters are complicated by the structure of the facility. On the one hand it is managing a large number of procurements, mostly for technical assistance, and so needs to ensure it has procedures in place to meets its obligations under various Australian standards. This PRSF</w:t>
      </w:r>
      <w:r w:rsidR="002541E1">
        <w:t xml:space="preserve"> has done </w:t>
      </w:r>
      <w:r w:rsidR="004B0651">
        <w:t xml:space="preserve">reasonably </w:t>
      </w:r>
      <w:r w:rsidR="002541E1">
        <w:t xml:space="preserve">well </w:t>
      </w:r>
      <w:r w:rsidR="004B0651">
        <w:t xml:space="preserve">over the life of the program, </w:t>
      </w:r>
      <w:r w:rsidR="002541E1">
        <w:t>as noted above, aided by the strong support from the Executive Secretary of TNP2K for compliance with human resources, administration and finance procedures.</w:t>
      </w:r>
    </w:p>
    <w:p w14:paraId="352E0E3D" w14:textId="1BF9F809" w:rsidR="003F5956" w:rsidRPr="00902166" w:rsidRDefault="004B0651" w:rsidP="00106FED">
      <w:r>
        <w:t>On the other hand, w</w:t>
      </w:r>
      <w:r w:rsidR="002541E1">
        <w:t xml:space="preserve">hat is more unusual is the treatment of the activity budget. Significant funds have been spent on piloting new approaches in the national poverty programs. These pilots have been under the authority of the TNP2K Secretariat and little is said in quarterly reporting by the contractor about fraud or risk management with regards to these investments. That is not to suggest that there is a problem and fraud is either occurring or </w:t>
      </w:r>
      <w:r>
        <w:t xml:space="preserve">activities are </w:t>
      </w:r>
      <w:r w:rsidR="002541E1">
        <w:t>not being monitored. On the contrary, the approach that TNP2K takes in these big pilots is itself a risk mitigation strategy with better targeting (which we might interpret as same or better outcomes for lower cost).</w:t>
      </w:r>
      <w:r w:rsidR="00902166">
        <w:t xml:space="preserve"> </w:t>
      </w:r>
      <w:r w:rsidR="002541E1">
        <w:t xml:space="preserve"> </w:t>
      </w:r>
      <w:r w:rsidR="00902166" w:rsidRPr="00902166">
        <w:rPr>
          <w:rFonts w:cs="Arial"/>
          <w:bCs/>
          <w:iCs/>
          <w:color w:val="000000"/>
        </w:rPr>
        <w:t>Pilots can help</w:t>
      </w:r>
      <w:r w:rsidR="00902166">
        <w:rPr>
          <w:rFonts w:cs="Arial"/>
          <w:bCs/>
          <w:iCs/>
          <w:color w:val="000000"/>
        </w:rPr>
        <w:t xml:space="preserve"> to further</w:t>
      </w:r>
      <w:r w:rsidR="00902166" w:rsidRPr="00902166">
        <w:rPr>
          <w:rFonts w:cs="Arial"/>
          <w:bCs/>
          <w:iCs/>
          <w:color w:val="000000"/>
        </w:rPr>
        <w:t xml:space="preserve"> identify weaknesses in the targeting system.</w:t>
      </w:r>
    </w:p>
    <w:p w14:paraId="69C42F97" w14:textId="1035F809" w:rsidR="003F5956" w:rsidRPr="00106FED" w:rsidRDefault="003F5956" w:rsidP="00106FED">
      <w:r>
        <w:t>The punchline of this discussion is that in the case of much of the activity bu</w:t>
      </w:r>
      <w:r w:rsidR="004B0651">
        <w:t>dget for TNP2K, PRSF by supporting</w:t>
      </w:r>
      <w:r>
        <w:t xml:space="preserve"> pilots that might be considered risky in a strictly fiduciary sense, have played a role in improving development outcomes and at the same time </w:t>
      </w:r>
      <w:r w:rsidR="004B0651">
        <w:t xml:space="preserve">have </w:t>
      </w:r>
      <w:r>
        <w:t>helped to strengthen public financial management through better systems. It is not clear from reporting that this was done consciously by PRSF. It is likely that the facility felt compelled to support pilots that TNP2K proposed, but if left to their own devices would have decided against them on the grounds they were too risky.</w:t>
      </w:r>
      <w:r w:rsidR="004B0651">
        <w:t xml:space="preserve"> This is a good example of weighing up development risk against fiduciary risk and is worth noting for other future investments.</w:t>
      </w:r>
    </w:p>
    <w:p w14:paraId="6B733AF5" w14:textId="77777777" w:rsidR="00463E6C" w:rsidRDefault="00463E6C" w:rsidP="000A7DF0">
      <w:pPr>
        <w:pStyle w:val="Heading2"/>
        <w:spacing w:before="120" w:after="120"/>
        <w:rPr>
          <w:lang w:val="en-GB"/>
        </w:rPr>
      </w:pPr>
      <w:bookmarkStart w:id="18" w:name="_Toc424302606"/>
      <w:r>
        <w:rPr>
          <w:lang w:val="en-GB"/>
        </w:rPr>
        <w:t>Gender</w:t>
      </w:r>
      <w:r w:rsidR="00B0399A">
        <w:rPr>
          <w:lang w:val="en-GB"/>
        </w:rPr>
        <w:t xml:space="preserve"> in PRSF</w:t>
      </w:r>
      <w:bookmarkEnd w:id="18"/>
    </w:p>
    <w:p w14:paraId="3EA9A8B0" w14:textId="77777777" w:rsidR="00463E6C" w:rsidRDefault="003A47C8" w:rsidP="00463E6C">
      <w:pPr>
        <w:rPr>
          <w:lang w:val="en-GB"/>
        </w:rPr>
      </w:pPr>
      <w:r>
        <w:rPr>
          <w:lang w:val="en-GB"/>
        </w:rPr>
        <w:t xml:space="preserve">The PRSF gender strategy was an early initiative and to the credit of the facility a draft was finalised in September of 2011. The strategy recognised the very large opportunity presented by the work of TNPTK and PRSF in improving targeting of social assistance programs, particularly to women. It was anchored around some simple principles (see Box 5) that </w:t>
      </w:r>
      <w:r w:rsidR="00060B34">
        <w:rPr>
          <w:lang w:val="en-GB"/>
        </w:rPr>
        <w:t xml:space="preserve">recognised the crucial importance of senior management oversight and commitment. </w:t>
      </w:r>
    </w:p>
    <w:p w14:paraId="0DB94022" w14:textId="77777777" w:rsidR="00060B34" w:rsidRDefault="00060B34" w:rsidP="00463E6C">
      <w:pPr>
        <w:rPr>
          <w:lang w:val="en-GB"/>
        </w:rPr>
      </w:pPr>
      <w:r>
        <w:rPr>
          <w:lang w:val="en-GB"/>
        </w:rPr>
        <w:t xml:space="preserve">The strategy also showed an excellent grasp of the issues around targeting and was able to generate some clear and relevant indicators that would be readily able to be monitored through the development of the </w:t>
      </w:r>
      <w:r w:rsidR="000A7DF0">
        <w:rPr>
          <w:lang w:val="en-GB"/>
        </w:rPr>
        <w:t>UDB</w:t>
      </w:r>
      <w:r>
        <w:rPr>
          <w:lang w:val="en-GB"/>
        </w:rPr>
        <w:t xml:space="preserve"> and through on-going work with a range of existing national programs.</w:t>
      </w:r>
    </w:p>
    <w:p w14:paraId="16DE03D0" w14:textId="7FE0C20A" w:rsidR="004F18C0" w:rsidRDefault="004F18C0" w:rsidP="00463E6C">
      <w:pPr>
        <w:rPr>
          <w:lang w:val="en-GB"/>
        </w:rPr>
      </w:pPr>
      <w:r>
        <w:rPr>
          <w:lang w:val="en-GB"/>
        </w:rPr>
        <w:t xml:space="preserve">This early development of a gender strategy that is so closely linked to the core elements of the larger program is in contrast to many other programs </w:t>
      </w:r>
      <w:r w:rsidR="002321B0">
        <w:rPr>
          <w:lang w:val="en-GB"/>
        </w:rPr>
        <w:t>but</w:t>
      </w:r>
      <w:r w:rsidR="004B0651">
        <w:rPr>
          <w:lang w:val="en-GB"/>
        </w:rPr>
        <w:t xml:space="preserve"> despite the potential</w:t>
      </w:r>
      <w:r w:rsidR="002321B0">
        <w:rPr>
          <w:lang w:val="en-GB"/>
        </w:rPr>
        <w:t xml:space="preserve"> it is not clear that this good start translated into a positive</w:t>
      </w:r>
      <w:r>
        <w:rPr>
          <w:lang w:val="en-GB"/>
        </w:rPr>
        <w:t xml:space="preserve"> impact</w:t>
      </w:r>
      <w:r w:rsidR="004B0651">
        <w:rPr>
          <w:lang w:val="en-GB"/>
        </w:rPr>
        <w:t xml:space="preserve"> on TNP2K’s work</w:t>
      </w:r>
      <w:r>
        <w:rPr>
          <w:lang w:val="en-GB"/>
        </w:rPr>
        <w:t xml:space="preserve">.  As Figure 3 shows there is a solid internal consistency and logic to the objectives of the strategy. Better access to information is core to TNP2Ks decision to focus its efforts most intensively on the UDB. Using that information requires an increased understanding of the issues facing women and how the national poverty programs can be used as a way to improve outcomes for women. </w:t>
      </w:r>
      <w:r w:rsidR="004B0651">
        <w:rPr>
          <w:lang w:val="en-GB"/>
        </w:rPr>
        <w:t xml:space="preserve">To be really valuable </w:t>
      </w:r>
      <w:r>
        <w:rPr>
          <w:lang w:val="en-GB"/>
        </w:rPr>
        <w:t>this has to translate into activities that make existing poverty tools available to users of the system.</w:t>
      </w:r>
    </w:p>
    <w:p w14:paraId="5E450386" w14:textId="77777777" w:rsidR="003A47C8" w:rsidRDefault="003A47C8" w:rsidP="00463E6C">
      <w:pPr>
        <w:rPr>
          <w:lang w:val="en-GB"/>
        </w:rPr>
      </w:pPr>
      <w:r w:rsidRPr="003A47C8">
        <w:rPr>
          <w:noProof/>
          <w:lang w:eastAsia="en-AU"/>
        </w:rPr>
        <mc:AlternateContent>
          <mc:Choice Requires="wps">
            <w:drawing>
              <wp:anchor distT="0" distB="0" distL="114300" distR="114300" simplePos="0" relativeHeight="251667456" behindDoc="0" locked="0" layoutInCell="1" allowOverlap="1" wp14:anchorId="26C491EA" wp14:editId="5E1E8231">
                <wp:simplePos x="0" y="0"/>
                <wp:positionH relativeFrom="column">
                  <wp:posOffset>7620</wp:posOffset>
                </wp:positionH>
                <wp:positionV relativeFrom="paragraph">
                  <wp:posOffset>194477</wp:posOffset>
                </wp:positionV>
                <wp:extent cx="5365630" cy="1752600"/>
                <wp:effectExtent l="0" t="0" r="2603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630" cy="17526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2FB287D" w14:textId="77777777" w:rsidR="000E0AE5" w:rsidRPr="003A47C8" w:rsidRDefault="000E0AE5" w:rsidP="00060B34">
                            <w:pPr>
                              <w:rPr>
                                <w:b/>
                              </w:rPr>
                            </w:pPr>
                            <w:r w:rsidRPr="003A47C8">
                              <w:rPr>
                                <w:b/>
                              </w:rPr>
                              <w:t>Box 5: Principles underpinning the gender strategy</w:t>
                            </w:r>
                          </w:p>
                          <w:p w14:paraId="084D1982" w14:textId="77777777" w:rsidR="000E0AE5" w:rsidRPr="001D469A" w:rsidRDefault="000E0AE5" w:rsidP="00060B34">
                            <w:pPr>
                              <w:pStyle w:val="Bullets"/>
                              <w:tabs>
                                <w:tab w:val="num" w:pos="284"/>
                              </w:tabs>
                              <w:ind w:left="284" w:hanging="284"/>
                              <w:jc w:val="left"/>
                            </w:pPr>
                            <w:r w:rsidRPr="001D469A">
                              <w:t xml:space="preserve">it should fit within the existing government policy framework for gender equality and women’s empowerment (see Part </w:t>
                            </w:r>
                            <w:r>
                              <w:t>4</w:t>
                            </w:r>
                            <w:r w:rsidRPr="001D469A">
                              <w:t xml:space="preserve"> for summary);</w:t>
                            </w:r>
                          </w:p>
                          <w:p w14:paraId="10D83864" w14:textId="77777777" w:rsidR="000E0AE5" w:rsidRPr="001D469A" w:rsidRDefault="000E0AE5" w:rsidP="00060B34">
                            <w:pPr>
                              <w:pStyle w:val="Bullets"/>
                              <w:tabs>
                                <w:tab w:val="num" w:pos="284"/>
                              </w:tabs>
                              <w:ind w:left="284" w:hanging="284"/>
                              <w:jc w:val="left"/>
                            </w:pPr>
                            <w:r w:rsidRPr="001D469A">
                              <w:t>it will be flexible and will adapt and change over time; and</w:t>
                            </w:r>
                          </w:p>
                          <w:p w14:paraId="51F81597" w14:textId="77777777" w:rsidR="000E0AE5" w:rsidRPr="001D469A" w:rsidRDefault="000E0AE5" w:rsidP="00060B34">
                            <w:pPr>
                              <w:pStyle w:val="Bullets"/>
                              <w:tabs>
                                <w:tab w:val="num" w:pos="284"/>
                              </w:tabs>
                              <w:ind w:left="284" w:hanging="284"/>
                              <w:jc w:val="left"/>
                            </w:pPr>
                            <w:proofErr w:type="gramStart"/>
                            <w:r w:rsidRPr="001D469A">
                              <w:t>senior</w:t>
                            </w:r>
                            <w:proofErr w:type="gramEnd"/>
                            <w:r w:rsidRPr="001D469A">
                              <w:t xml:space="preserve"> management oversight and commitment is required to ensure that: strategies and actions are resourced, and performance indicators are carried through into PRSF and TPN2K processes and procedures, which are regularly monitored, with action taken to improve compliance if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6pt;margin-top:15.3pt;width:422.5pt;height:1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" fillcolor="white [3201]" strokecolor="#4f81bd [3204]" strokeweight="2pt">
                <v:textbox>
                  <w:txbxContent>
                    <w:p w14:paraId="52FB287D" w14:textId="77777777" w:rsidR="000E0AE5" w:rsidRPr="003A47C8" w:rsidRDefault="000E0AE5" w:rsidP="00060B34">
                      <w:pPr>
                        <w:rPr>
                          <w:b/>
                        </w:rPr>
                      </w:pPr>
                      <w:r w:rsidRPr="003A47C8">
                        <w:rPr>
                          <w:b/>
                        </w:rPr>
                        <w:t>Box 5: Principles underpinning the gender strategy</w:t>
                      </w:r>
                    </w:p>
                    <w:p w14:paraId="084D1982" w14:textId="77777777" w:rsidR="000E0AE5" w:rsidRPr="001D469A" w:rsidRDefault="000E0AE5" w:rsidP="00060B34">
                      <w:pPr>
                        <w:pStyle w:val="Bullets"/>
                        <w:tabs>
                          <w:tab w:val="num" w:pos="284"/>
                        </w:tabs>
                        <w:ind w:left="284" w:hanging="284"/>
                        <w:jc w:val="left"/>
                      </w:pPr>
                      <w:r w:rsidRPr="001D469A">
                        <w:t xml:space="preserve">it should fit within the existing government policy framework for gender equality and women’s empowerment (see Part </w:t>
                      </w:r>
                      <w:r>
                        <w:t>4</w:t>
                      </w:r>
                      <w:r w:rsidRPr="001D469A">
                        <w:t xml:space="preserve"> for summary);</w:t>
                      </w:r>
                    </w:p>
                    <w:p w14:paraId="10D83864" w14:textId="77777777" w:rsidR="000E0AE5" w:rsidRPr="001D469A" w:rsidRDefault="000E0AE5" w:rsidP="00060B34">
                      <w:pPr>
                        <w:pStyle w:val="Bullets"/>
                        <w:tabs>
                          <w:tab w:val="num" w:pos="284"/>
                        </w:tabs>
                        <w:ind w:left="284" w:hanging="284"/>
                        <w:jc w:val="left"/>
                      </w:pPr>
                      <w:r w:rsidRPr="001D469A">
                        <w:t>it will be flexible and will adapt and change over time; and</w:t>
                      </w:r>
                    </w:p>
                    <w:p w14:paraId="51F81597" w14:textId="77777777" w:rsidR="000E0AE5" w:rsidRPr="001D469A" w:rsidRDefault="000E0AE5" w:rsidP="00060B34">
                      <w:pPr>
                        <w:pStyle w:val="Bullets"/>
                        <w:tabs>
                          <w:tab w:val="num" w:pos="284"/>
                        </w:tabs>
                        <w:ind w:left="284" w:hanging="284"/>
                        <w:jc w:val="left"/>
                      </w:pPr>
                      <w:proofErr w:type="gramStart"/>
                      <w:r w:rsidRPr="001D469A">
                        <w:t>senior</w:t>
                      </w:r>
                      <w:proofErr w:type="gramEnd"/>
                      <w:r w:rsidRPr="001D469A">
                        <w:t xml:space="preserve"> management oversight and commitment is required to ensure that: strategies and actions are resourced, and performance indicators are carried through into PRSF and TPN2K processes and procedures, which are regularly monitored, with action taken to improve compliance if necessary.</w:t>
                      </w:r>
                    </w:p>
                  </w:txbxContent>
                </v:textbox>
              </v:shape>
            </w:pict>
          </mc:Fallback>
        </mc:AlternateContent>
      </w:r>
    </w:p>
    <w:p w14:paraId="18A51807" w14:textId="77777777" w:rsidR="003A47C8" w:rsidRDefault="003A47C8" w:rsidP="00463E6C">
      <w:pPr>
        <w:rPr>
          <w:lang w:val="en-GB"/>
        </w:rPr>
      </w:pPr>
    </w:p>
    <w:p w14:paraId="1097910C" w14:textId="77777777" w:rsidR="003A47C8" w:rsidRDefault="003A47C8" w:rsidP="00463E6C">
      <w:pPr>
        <w:rPr>
          <w:lang w:val="en-GB"/>
        </w:rPr>
      </w:pPr>
    </w:p>
    <w:p w14:paraId="21A43E4C" w14:textId="77777777" w:rsidR="003A47C8" w:rsidRDefault="003A47C8" w:rsidP="00463E6C">
      <w:pPr>
        <w:rPr>
          <w:lang w:val="en-GB"/>
        </w:rPr>
      </w:pPr>
    </w:p>
    <w:p w14:paraId="34F6A148" w14:textId="77777777" w:rsidR="003A47C8" w:rsidRDefault="003A47C8" w:rsidP="00463E6C">
      <w:pPr>
        <w:rPr>
          <w:lang w:val="en-GB"/>
        </w:rPr>
      </w:pPr>
    </w:p>
    <w:p w14:paraId="74961F6B" w14:textId="77777777" w:rsidR="003A47C8" w:rsidRDefault="003A47C8" w:rsidP="00463E6C">
      <w:pPr>
        <w:rPr>
          <w:lang w:val="en-GB"/>
        </w:rPr>
      </w:pPr>
    </w:p>
    <w:p w14:paraId="3E404B06" w14:textId="77777777" w:rsidR="004F18C0" w:rsidRDefault="004F18C0" w:rsidP="004F18C0">
      <w:pPr>
        <w:spacing w:before="120" w:after="120"/>
        <w:rPr>
          <w:lang w:val="en-GB"/>
        </w:rPr>
      </w:pPr>
    </w:p>
    <w:p w14:paraId="47D06431" w14:textId="392B561F" w:rsidR="002E4515" w:rsidRDefault="00CF3276" w:rsidP="009719DB">
      <w:pPr>
        <w:spacing w:before="120" w:after="120"/>
        <w:rPr>
          <w:lang w:val="en-GB"/>
        </w:rPr>
      </w:pPr>
      <w:r>
        <w:rPr>
          <w:lang w:val="en-GB"/>
        </w:rPr>
        <w:t>It is particularly important that the link to the medium term and long term goals in the gender strategy are not just about women, they are about the quality of policy advice for poverty progra</w:t>
      </w:r>
      <w:r w:rsidR="00C1170F">
        <w:rPr>
          <w:lang w:val="en-GB"/>
        </w:rPr>
        <w:t>ms and eventually reduction of</w:t>
      </w:r>
      <w:r>
        <w:rPr>
          <w:lang w:val="en-GB"/>
        </w:rPr>
        <w:t xml:space="preserve"> and less vulnerability to shocks for all people – including women. This is again atypical for these types of facilities, where the gender strategy often falls short of making the link between better understanding of gender issues and constraints through better data, and the achievement of the overall goals of</w:t>
      </w:r>
      <w:r w:rsidR="009719DB">
        <w:rPr>
          <w:lang w:val="en-GB"/>
        </w:rPr>
        <w:t xml:space="preserve"> any given program or activity. </w:t>
      </w:r>
      <w:r w:rsidR="002321B0">
        <w:rPr>
          <w:lang w:val="en-GB"/>
        </w:rPr>
        <w:t>It is not clear that</w:t>
      </w:r>
      <w:r w:rsidR="002E4515">
        <w:rPr>
          <w:lang w:val="en-GB"/>
        </w:rPr>
        <w:t xml:space="preserve"> this</w:t>
      </w:r>
      <w:r w:rsidR="009719DB">
        <w:rPr>
          <w:lang w:val="en-GB"/>
        </w:rPr>
        <w:t xml:space="preserve"> good foundation led to</w:t>
      </w:r>
      <w:r w:rsidR="002E4515">
        <w:rPr>
          <w:lang w:val="en-GB"/>
        </w:rPr>
        <w:t xml:space="preserve"> achievements by the program in implementing this gender strategy. </w:t>
      </w:r>
      <w:r w:rsidR="004B0651">
        <w:rPr>
          <w:lang w:val="en-GB"/>
        </w:rPr>
        <w:t>The</w:t>
      </w:r>
      <w:r w:rsidR="002321B0">
        <w:rPr>
          <w:lang w:val="en-GB"/>
        </w:rPr>
        <w:t xml:space="preserve"> </w:t>
      </w:r>
      <w:r w:rsidR="002E4515">
        <w:rPr>
          <w:lang w:val="en-GB"/>
        </w:rPr>
        <w:t>fact that all of the data in the UDB was sex disaggregated allowed for an excellent piece of analysis to be done in January of 2013.</w:t>
      </w:r>
      <w:r w:rsidR="002E4515">
        <w:rPr>
          <w:rStyle w:val="FootnoteReference"/>
          <w:lang w:val="en-GB"/>
        </w:rPr>
        <w:footnoteReference w:id="5"/>
      </w:r>
      <w:r w:rsidR="002E4515">
        <w:rPr>
          <w:lang w:val="en-GB"/>
        </w:rPr>
        <w:t xml:space="preserve"> </w:t>
      </w:r>
    </w:p>
    <w:p w14:paraId="22DB660E" w14:textId="77777777" w:rsidR="004B1858" w:rsidRDefault="004B1858" w:rsidP="009719DB">
      <w:pPr>
        <w:spacing w:before="120" w:after="120"/>
        <w:rPr>
          <w:lang w:val="en-GB"/>
        </w:rPr>
      </w:pPr>
    </w:p>
    <w:p w14:paraId="61956605" w14:textId="01FA2C6D" w:rsidR="009719DB" w:rsidRDefault="009719DB" w:rsidP="004B1858">
      <w:pPr>
        <w:spacing w:before="120" w:after="120"/>
        <w:rPr>
          <w:lang w:val="en-GB"/>
        </w:rPr>
      </w:pPr>
      <w:r>
        <w:rPr>
          <w:b/>
          <w:lang w:val="en-GB"/>
        </w:rPr>
        <w:t>F</w:t>
      </w:r>
      <w:r w:rsidRPr="00060B34">
        <w:rPr>
          <w:b/>
          <w:lang w:val="en-GB"/>
        </w:rPr>
        <w:t>igure 3</w:t>
      </w:r>
      <w:r>
        <w:rPr>
          <w:b/>
          <w:lang w:val="en-GB"/>
        </w:rPr>
        <w:t xml:space="preserve">: </w:t>
      </w:r>
      <w:r w:rsidRPr="00060B34">
        <w:rPr>
          <w:b/>
        </w:rPr>
        <w:t>Objectives of the gender strategy and contribution to PRSF goals</w:t>
      </w:r>
    </w:p>
    <w:p w14:paraId="3B77A628" w14:textId="7586F423" w:rsidR="009719DB" w:rsidRDefault="009719DB" w:rsidP="004F18C0">
      <w:pPr>
        <w:rPr>
          <w:lang w:val="en-GB"/>
        </w:rPr>
      </w:pPr>
      <w:r>
        <w:rPr>
          <w:noProof/>
          <w:lang w:eastAsia="en-AU"/>
        </w:rPr>
        <mc:AlternateContent>
          <mc:Choice Requires="wpg">
            <w:drawing>
              <wp:anchor distT="0" distB="0" distL="114300" distR="114300" simplePos="0" relativeHeight="251669504" behindDoc="0" locked="0" layoutInCell="1" allowOverlap="1" wp14:anchorId="537576E1" wp14:editId="635C248E">
                <wp:simplePos x="0" y="0"/>
                <wp:positionH relativeFrom="margin">
                  <wp:posOffset>57151</wp:posOffset>
                </wp:positionH>
                <wp:positionV relativeFrom="paragraph">
                  <wp:posOffset>6985</wp:posOffset>
                </wp:positionV>
                <wp:extent cx="5829300" cy="3781425"/>
                <wp:effectExtent l="0" t="0" r="0" b="47625"/>
                <wp:wrapNone/>
                <wp:docPr id="293" name="Group 293"/>
                <wp:cNvGraphicFramePr/>
                <a:graphic xmlns:a="http://schemas.openxmlformats.org/drawingml/2006/main">
                  <a:graphicData uri="http://schemas.microsoft.com/office/word/2010/wordprocessingGroup">
                    <wpg:wgp>
                      <wpg:cNvGrpSpPr/>
                      <wpg:grpSpPr bwMode="auto">
                        <a:xfrm>
                          <a:off x="0" y="0"/>
                          <a:ext cx="5829300" cy="3781425"/>
                          <a:chOff x="0" y="0"/>
                          <a:chExt cx="10024" cy="4988"/>
                        </a:xfrm>
                      </wpg:grpSpPr>
                      <wps:wsp>
                        <wps:cNvPr id="294" name="Text Box 3"/>
                        <wps:cNvSpPr txBox="1">
                          <a:spLocks noChangeArrowheads="1"/>
                        </wps:cNvSpPr>
                        <wps:spPr bwMode="auto">
                          <a:xfrm>
                            <a:off x="7756" y="2912"/>
                            <a:ext cx="2268" cy="2008"/>
                          </a:xfrm>
                          <a:prstGeom prst="rect">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A3DF7F" w14:textId="77777777" w:rsidR="000E0AE5" w:rsidRDefault="000E0AE5" w:rsidP="003F7EDB">
                              <w:pPr>
                                <w:pStyle w:val="NormalWeb"/>
                                <w:spacing w:before="60" w:beforeAutospacing="0" w:after="0" w:afterAutospacing="0"/>
                              </w:pPr>
                              <w:r>
                                <w:rPr>
                                  <w:rFonts w:ascii="Calibri" w:eastAsia="Cambria" w:hAnsi="Calibri"/>
                                  <w:b/>
                                  <w:bCs/>
                                  <w:sz w:val="18"/>
                                  <w:szCs w:val="18"/>
                                </w:rPr>
                                <w:t>PRSF Long term goal</w:t>
                              </w:r>
                            </w:p>
                            <w:p w14:paraId="2BC1F7EF" w14:textId="77777777" w:rsidR="000E0AE5" w:rsidRDefault="000E0AE5" w:rsidP="003F7EDB">
                              <w:pPr>
                                <w:pStyle w:val="NormalWeb"/>
                                <w:spacing w:before="60" w:beforeAutospacing="0" w:after="0" w:afterAutospacing="0"/>
                              </w:pPr>
                              <w:proofErr w:type="gramStart"/>
                              <w:r>
                                <w:rPr>
                                  <w:rFonts w:ascii="Calibri" w:eastAsia="Cambria" w:hAnsi="Calibri"/>
                                  <w:sz w:val="18"/>
                                  <w:szCs w:val="18"/>
                                </w:rPr>
                                <w:t>To increase the rate of poverty reduction in Indonesia and reduce the impact of shocks and stresses on the poor and vulnerable.</w:t>
                              </w:r>
                              <w:proofErr w:type="gramEnd"/>
                              <w:r>
                                <w:rPr>
                                  <w:rFonts w:ascii="Calibri" w:eastAsia="Cambria" w:hAnsi="Calibri"/>
                                  <w:sz w:val="18"/>
                                  <w:szCs w:val="18"/>
                                </w:rPr>
                                <w:t xml:space="preserve"> </w:t>
                              </w:r>
                            </w:p>
                          </w:txbxContent>
                        </wps:txbx>
                        <wps:bodyPr rot="0" vert="horz" wrap="square" lIns="72000" tIns="72000" rIns="72000" bIns="72000" anchor="t" anchorCtr="0" upright="1">
                          <a:noAutofit/>
                        </wps:bodyPr>
                      </wps:wsp>
                      <wps:wsp>
                        <wps:cNvPr id="295" name="AutoShape 4"/>
                        <wps:cNvSpPr>
                          <a:spLocks noChangeArrowheads="1"/>
                        </wps:cNvSpPr>
                        <wps:spPr bwMode="auto">
                          <a:xfrm rot="-5400000">
                            <a:off x="5912" y="2225"/>
                            <a:ext cx="369" cy="3570"/>
                          </a:xfrm>
                          <a:prstGeom prst="downArrow">
                            <a:avLst>
                              <a:gd name="adj1" fmla="val 50000"/>
                              <a:gd name="adj2" fmla="val 241870"/>
                            </a:avLst>
                          </a:prstGeom>
                          <a:solidFill>
                            <a:schemeClr val="accent5">
                              <a:lumMod val="40000"/>
                              <a:lumOff val="60000"/>
                            </a:schemeClr>
                          </a:solidFill>
                          <a:ln>
                            <a:noFill/>
                          </a:ln>
                          <a:effectLst>
                            <a:outerShdw dist="25400" dir="5400000" algn="ctr" rotWithShape="0">
                              <a:srgbClr val="808080">
                                <a:alpha val="35001"/>
                              </a:srgbClr>
                            </a:outerShdw>
                          </a:effectLst>
                          <a:extLst>
                            <a:ext uri="{91240B29-F687-4F45-9708-019B960494DF}">
                              <a14:hiddenLine xmlns:a14="http://schemas.microsoft.com/office/drawing/2010/main" w="19050">
                                <a:solidFill>
                                  <a:srgbClr val="4A7EBB"/>
                                </a:solidFill>
                                <a:miter lim="800000"/>
                                <a:headEnd/>
                                <a:tailEnd/>
                              </a14:hiddenLine>
                            </a:ext>
                          </a:extLst>
                        </wps:spPr>
                        <wps:bodyPr rot="0" vert="horz" wrap="square" lIns="91440" tIns="91440" rIns="91440" bIns="91440" anchor="t" anchorCtr="0" upright="1">
                          <a:noAutofit/>
                        </wps:bodyPr>
                      </wps:wsp>
                      <wps:wsp>
                        <wps:cNvPr id="296" name="Text Box 5"/>
                        <wps:cNvSpPr txBox="1">
                          <a:spLocks noChangeArrowheads="1"/>
                        </wps:cNvSpPr>
                        <wps:spPr bwMode="auto">
                          <a:xfrm>
                            <a:off x="7756" y="993"/>
                            <a:ext cx="2268" cy="1428"/>
                          </a:xfrm>
                          <a:prstGeom prst="rect">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3A8D81" w14:textId="77777777" w:rsidR="000E0AE5" w:rsidRDefault="000E0AE5" w:rsidP="003F7EDB">
                              <w:pPr>
                                <w:pStyle w:val="NormalWeb"/>
                                <w:spacing w:before="60" w:beforeAutospacing="0" w:after="0" w:afterAutospacing="0"/>
                              </w:pPr>
                              <w:r>
                                <w:rPr>
                                  <w:rFonts w:ascii="Calibri" w:eastAsia="Cambria" w:hAnsi="Calibri"/>
                                  <w:b/>
                                  <w:bCs/>
                                  <w:sz w:val="18"/>
                                  <w:szCs w:val="18"/>
                                </w:rPr>
                                <w:t>PRSF medium-term goal</w:t>
                              </w:r>
                            </w:p>
                            <w:p w14:paraId="605347C8" w14:textId="77777777" w:rsidR="000E0AE5" w:rsidRDefault="000E0AE5" w:rsidP="003F7EDB">
                              <w:pPr>
                                <w:pStyle w:val="NormalWeb"/>
                                <w:spacing w:before="60" w:beforeAutospacing="0" w:after="0" w:afterAutospacing="0"/>
                              </w:pPr>
                              <w:proofErr w:type="gramStart"/>
                              <w:r>
                                <w:rPr>
                                  <w:rFonts w:ascii="Calibri" w:eastAsia="Cambria" w:hAnsi="Calibri"/>
                                  <w:sz w:val="18"/>
                                  <w:szCs w:val="18"/>
                                </w:rPr>
                                <w:t>To improve the quality of policy advice to poverty programs.</w:t>
                              </w:r>
                              <w:proofErr w:type="gramEnd"/>
                            </w:p>
                          </w:txbxContent>
                        </wps:txbx>
                        <wps:bodyPr rot="0" vert="horz" wrap="square" lIns="72000" tIns="72000" rIns="72000" bIns="72000" anchor="t" anchorCtr="0" upright="1">
                          <a:noAutofit/>
                        </wps:bodyPr>
                      </wps:wsp>
                      <wps:wsp>
                        <wps:cNvPr id="297" name="AutoShape 6"/>
                        <wps:cNvSpPr>
                          <a:spLocks noChangeArrowheads="1"/>
                        </wps:cNvSpPr>
                        <wps:spPr bwMode="auto">
                          <a:xfrm rot="-5400000">
                            <a:off x="5914" y="-221"/>
                            <a:ext cx="365" cy="3570"/>
                          </a:xfrm>
                          <a:prstGeom prst="downArrow">
                            <a:avLst>
                              <a:gd name="adj1" fmla="val 50000"/>
                              <a:gd name="adj2" fmla="val 244521"/>
                            </a:avLst>
                          </a:prstGeom>
                          <a:solidFill>
                            <a:schemeClr val="accent5">
                              <a:lumMod val="40000"/>
                              <a:lumOff val="60000"/>
                            </a:schemeClr>
                          </a:solidFill>
                          <a:ln>
                            <a:noFill/>
                          </a:ln>
                          <a:effectLst>
                            <a:outerShdw dist="25400" dir="5400000" algn="ctr" rotWithShape="0">
                              <a:srgbClr val="808080">
                                <a:alpha val="35001"/>
                              </a:srgbClr>
                            </a:outerShdw>
                          </a:effectLst>
                          <a:extLst>
                            <a:ext uri="{91240B29-F687-4F45-9708-019B960494DF}">
                              <a14:hiddenLine xmlns:a14="http://schemas.microsoft.com/office/drawing/2010/main" w="19050">
                                <a:solidFill>
                                  <a:srgbClr val="4A7EBB"/>
                                </a:solidFill>
                                <a:miter lim="800000"/>
                                <a:headEnd/>
                                <a:tailEnd/>
                              </a14:hiddenLine>
                            </a:ext>
                          </a:extLst>
                        </wps:spPr>
                        <wps:bodyPr rot="0" vert="horz" wrap="square" lIns="91440" tIns="91440" rIns="91440" bIns="91440" anchor="t" anchorCtr="0" upright="1">
                          <a:noAutofit/>
                        </wps:bodyPr>
                      </wps:wsp>
                      <wps:wsp>
                        <wps:cNvPr id="298" name="Rectangle 298"/>
                        <wps:cNvSpPr>
                          <a:spLocks noChangeArrowheads="1"/>
                        </wps:cNvSpPr>
                        <wps:spPr bwMode="auto">
                          <a:xfrm>
                            <a:off x="0" y="0"/>
                            <a:ext cx="4387" cy="4988"/>
                          </a:xfrm>
                          <a:prstGeom prst="rect">
                            <a:avLst/>
                          </a:prstGeom>
                          <a:solidFill>
                            <a:schemeClr val="accent5">
                              <a:lumMod val="40000"/>
                              <a:lumOff val="60000"/>
                            </a:schemeClr>
                          </a:solidFill>
                          <a:ln>
                            <a:noFill/>
                          </a:ln>
                          <a:effectLst>
                            <a:outerShdw dist="25400" dir="5400000" algn="ctr" rotWithShape="0">
                              <a:srgbClr val="808080">
                                <a:alpha val="35001"/>
                              </a:srgbClr>
                            </a:outerShdw>
                          </a:effectLst>
                          <a:extLst>
                            <a:ext uri="{91240B29-F687-4F45-9708-019B960494DF}">
                              <a14:hiddenLine xmlns:a14="http://schemas.microsoft.com/office/drawing/2010/main" w="19050">
                                <a:solidFill>
                                  <a:srgbClr val="4A7EBB"/>
                                </a:solidFill>
                                <a:miter lim="800000"/>
                                <a:headEnd/>
                                <a:tailEnd/>
                              </a14:hiddenLine>
                            </a:ext>
                          </a:extLst>
                        </wps:spPr>
                        <wps:bodyPr rot="0" vert="horz" wrap="square" lIns="91440" tIns="91440" rIns="91440" bIns="91440" anchor="t" anchorCtr="0" upright="1">
                          <a:noAutofit/>
                        </wps:bodyPr>
                      </wps:wsp>
                      <wps:wsp>
                        <wps:cNvPr id="299" name="Text Box 299"/>
                        <wps:cNvSpPr txBox="1">
                          <a:spLocks noChangeArrowheads="1"/>
                        </wps:cNvSpPr>
                        <wps:spPr bwMode="auto">
                          <a:xfrm>
                            <a:off x="152" y="3514"/>
                            <a:ext cx="4082" cy="1304"/>
                          </a:xfrm>
                          <a:prstGeom prst="rect">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00A7C7" w14:textId="77777777" w:rsidR="000E0AE5" w:rsidRDefault="000E0AE5" w:rsidP="003F7EDB">
                              <w:pPr>
                                <w:pStyle w:val="NormalWeb"/>
                                <w:spacing w:before="60" w:beforeAutospacing="0" w:after="0" w:afterAutospacing="0"/>
                                <w:jc w:val="both"/>
                              </w:pPr>
                              <w:r>
                                <w:rPr>
                                  <w:rFonts w:ascii="Calibri" w:eastAsia="Cambria" w:hAnsi="Calibri"/>
                                  <w:b/>
                                  <w:bCs/>
                                  <w:sz w:val="18"/>
                                  <w:szCs w:val="18"/>
                                </w:rPr>
                                <w:t>Objective 3:</w:t>
                              </w:r>
                              <w:r>
                                <w:rPr>
                                  <w:rFonts w:ascii="Calibri" w:eastAsia="Cambria" w:hAnsi="Calibri"/>
                                  <w:sz w:val="18"/>
                                  <w:szCs w:val="18"/>
                                </w:rPr>
                                <w:t xml:space="preserve"> PRSF is supporting activities in selected provinces which are promoting gender equality in end user’s access to and decision making about a range of poverty reduction tools available to them.</w:t>
                              </w:r>
                            </w:p>
                          </w:txbxContent>
                        </wps:txbx>
                        <wps:bodyPr rot="0" vert="horz" wrap="square" lIns="72000" tIns="72000" rIns="72000" bIns="72000" anchor="t" anchorCtr="0" upright="1">
                          <a:noAutofit/>
                        </wps:bodyPr>
                      </wps:wsp>
                      <wps:wsp>
                        <wps:cNvPr id="300" name="AutoShape 9"/>
                        <wps:cNvSpPr>
                          <a:spLocks noChangeArrowheads="1"/>
                        </wps:cNvSpPr>
                        <wps:spPr bwMode="auto">
                          <a:xfrm>
                            <a:off x="2015" y="3047"/>
                            <a:ext cx="357" cy="567"/>
                          </a:xfrm>
                          <a:prstGeom prst="downArrow">
                            <a:avLst>
                              <a:gd name="adj1" fmla="val 50000"/>
                              <a:gd name="adj2" fmla="val 39706"/>
                            </a:avLst>
                          </a:prstGeom>
                          <a:solidFill>
                            <a:schemeClr val="accent5">
                              <a:lumMod val="60000"/>
                              <a:lumOff val="40000"/>
                            </a:schemeClr>
                          </a:solidFill>
                          <a:ln>
                            <a:noFill/>
                          </a:ln>
                          <a:effectLst>
                            <a:outerShdw dist="25400" dir="5400000" algn="ctr" rotWithShape="0">
                              <a:srgbClr val="808080">
                                <a:alpha val="35001"/>
                              </a:srgbClr>
                            </a:outerShdw>
                          </a:effectLst>
                          <a:extLst>
                            <a:ext uri="{91240B29-F687-4F45-9708-019B960494DF}">
                              <a14:hiddenLine xmlns:a14="http://schemas.microsoft.com/office/drawing/2010/main" w="19050">
                                <a:solidFill>
                                  <a:srgbClr val="4A7EBB"/>
                                </a:solidFill>
                                <a:miter lim="800000"/>
                                <a:headEnd/>
                                <a:tailEnd/>
                              </a14:hiddenLine>
                            </a:ext>
                          </a:extLst>
                        </wps:spPr>
                        <wps:bodyPr rot="0" vert="horz" wrap="square" lIns="91440" tIns="91440" rIns="91440" bIns="91440" anchor="t" anchorCtr="0" upright="1">
                          <a:noAutofit/>
                        </wps:bodyPr>
                      </wps:wsp>
                      <wps:wsp>
                        <wps:cNvPr id="301" name="Text Box 301"/>
                        <wps:cNvSpPr txBox="1">
                          <a:spLocks noChangeArrowheads="1"/>
                        </wps:cNvSpPr>
                        <wps:spPr bwMode="auto">
                          <a:xfrm>
                            <a:off x="152" y="1842"/>
                            <a:ext cx="4082" cy="1304"/>
                          </a:xfrm>
                          <a:prstGeom prst="rect">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1E167" w14:textId="77777777" w:rsidR="000E0AE5" w:rsidRDefault="000E0AE5" w:rsidP="003F7EDB">
                              <w:pPr>
                                <w:pStyle w:val="NormalWeb"/>
                                <w:spacing w:before="60" w:beforeAutospacing="0" w:after="0" w:afterAutospacing="0"/>
                                <w:jc w:val="both"/>
                              </w:pPr>
                              <w:r>
                                <w:rPr>
                                  <w:rFonts w:ascii="Calibri" w:eastAsia="Cambria" w:hAnsi="Calibri"/>
                                  <w:b/>
                                  <w:bCs/>
                                  <w:sz w:val="18"/>
                                  <w:szCs w:val="18"/>
                                </w:rPr>
                                <w:t>Objective 2:</w:t>
                              </w:r>
                              <w:r>
                                <w:rPr>
                                  <w:rFonts w:ascii="Calibri" w:eastAsia="Cambria" w:hAnsi="Calibri"/>
                                  <w:sz w:val="18"/>
                                  <w:szCs w:val="18"/>
                                </w:rPr>
                                <w:t xml:space="preserve"> PRSF and TPN2K have increased understanding of gender issues and increased capacity and commitment to incorporating gender strategies in policies and projects.</w:t>
                              </w:r>
                            </w:p>
                          </w:txbxContent>
                        </wps:txbx>
                        <wps:bodyPr rot="0" vert="horz" wrap="square" lIns="72000" tIns="72000" rIns="72000" bIns="72000" anchor="t" anchorCtr="0" upright="1">
                          <a:noAutofit/>
                        </wps:bodyPr>
                      </wps:wsp>
                      <wps:wsp>
                        <wps:cNvPr id="302" name="AutoShape 11"/>
                        <wps:cNvSpPr>
                          <a:spLocks noChangeArrowheads="1"/>
                        </wps:cNvSpPr>
                        <wps:spPr bwMode="auto">
                          <a:xfrm>
                            <a:off x="2015" y="1375"/>
                            <a:ext cx="357" cy="567"/>
                          </a:xfrm>
                          <a:prstGeom prst="downArrow">
                            <a:avLst>
                              <a:gd name="adj1" fmla="val 50000"/>
                              <a:gd name="adj2" fmla="val 39706"/>
                            </a:avLst>
                          </a:prstGeom>
                          <a:solidFill>
                            <a:schemeClr val="accent5">
                              <a:lumMod val="60000"/>
                              <a:lumOff val="40000"/>
                            </a:schemeClr>
                          </a:solidFill>
                          <a:ln>
                            <a:noFill/>
                          </a:ln>
                          <a:effectLst>
                            <a:outerShdw dist="25400" dir="5400000" algn="ctr" rotWithShape="0">
                              <a:srgbClr val="808080">
                                <a:alpha val="35001"/>
                              </a:srgbClr>
                            </a:outerShdw>
                          </a:effectLst>
                          <a:extLst>
                            <a:ext uri="{91240B29-F687-4F45-9708-019B960494DF}">
                              <a14:hiddenLine xmlns:a14="http://schemas.microsoft.com/office/drawing/2010/main" w="19050">
                                <a:solidFill>
                                  <a:srgbClr val="4A7EBB"/>
                                </a:solidFill>
                                <a:miter lim="800000"/>
                                <a:headEnd/>
                                <a:tailEnd/>
                              </a14:hiddenLine>
                            </a:ext>
                          </a:extLst>
                        </wps:spPr>
                        <wps:bodyPr rot="0" vert="horz" wrap="square" lIns="91440" tIns="91440" rIns="91440" bIns="91440" anchor="t" anchorCtr="0" upright="1">
                          <a:noAutofit/>
                        </wps:bodyPr>
                      </wps:wsp>
                      <wps:wsp>
                        <wps:cNvPr id="303" name="Text Box 303"/>
                        <wps:cNvSpPr txBox="1">
                          <a:spLocks noChangeArrowheads="1"/>
                        </wps:cNvSpPr>
                        <wps:spPr bwMode="auto">
                          <a:xfrm>
                            <a:off x="152" y="267"/>
                            <a:ext cx="4082" cy="1304"/>
                          </a:xfrm>
                          <a:prstGeom prst="rect">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C96145" w14:textId="77777777" w:rsidR="000E0AE5" w:rsidRDefault="000E0AE5" w:rsidP="003F7EDB">
                              <w:pPr>
                                <w:pStyle w:val="NormalWeb"/>
                                <w:spacing w:before="60" w:beforeAutospacing="0" w:after="0" w:afterAutospacing="0"/>
                                <w:jc w:val="both"/>
                              </w:pPr>
                              <w:r>
                                <w:rPr>
                                  <w:rFonts w:ascii="Calibri" w:eastAsia="Cambria" w:hAnsi="Calibri"/>
                                  <w:b/>
                                  <w:bCs/>
                                  <w:sz w:val="18"/>
                                  <w:szCs w:val="18"/>
                                </w:rPr>
                                <w:t>Objective 1:</w:t>
                              </w:r>
                              <w:r>
                                <w:rPr>
                                  <w:rFonts w:ascii="Calibri" w:eastAsia="Cambria" w:hAnsi="Calibri"/>
                                  <w:sz w:val="18"/>
                                  <w:szCs w:val="18"/>
                                </w:rPr>
                                <w:t xml:space="preserve"> PRSF and TNP2K have increased access to information regarding the gender dimensions of poverty and gendered constraints to poverty reduction in Indonesia.</w:t>
                              </w:r>
                            </w:p>
                          </w:txbxContent>
                        </wps:txbx>
                        <wps:bodyPr rot="0" vert="horz" wrap="square" lIns="72000" tIns="72000" rIns="72000" bIns="72000" anchor="t" anchorCtr="0" upright="1">
                          <a:noAutofit/>
                        </wps:bodyPr>
                      </wps:wsp>
                      <wps:wsp>
                        <wps:cNvPr id="304" name="AutoShape 13"/>
                        <wps:cNvSpPr>
                          <a:spLocks noChangeArrowheads="1"/>
                        </wps:cNvSpPr>
                        <wps:spPr bwMode="auto">
                          <a:xfrm>
                            <a:off x="8711" y="2409"/>
                            <a:ext cx="357" cy="567"/>
                          </a:xfrm>
                          <a:prstGeom prst="downArrow">
                            <a:avLst>
                              <a:gd name="adj1" fmla="val 50000"/>
                              <a:gd name="adj2" fmla="val 39706"/>
                            </a:avLst>
                          </a:prstGeom>
                          <a:solidFill>
                            <a:schemeClr val="accent5">
                              <a:lumMod val="60000"/>
                              <a:lumOff val="40000"/>
                            </a:schemeClr>
                          </a:solidFill>
                          <a:ln>
                            <a:noFill/>
                          </a:ln>
                          <a:effectLst>
                            <a:outerShdw dist="25400" dir="5400000" algn="ctr" rotWithShape="0">
                              <a:srgbClr val="808080">
                                <a:alpha val="35001"/>
                              </a:srgbClr>
                            </a:outerShdw>
                          </a:effectLst>
                          <a:extLst>
                            <a:ext uri="{91240B29-F687-4F45-9708-019B960494DF}">
                              <a14:hiddenLine xmlns:a14="http://schemas.microsoft.com/office/drawing/2010/main" w="19050">
                                <a:solidFill>
                                  <a:srgbClr val="4A7EBB"/>
                                </a:solidFill>
                                <a:miter lim="800000"/>
                                <a:headEnd/>
                                <a:tailEnd/>
                              </a14:hiddenLine>
                            </a:ext>
                          </a:extLst>
                        </wps:spPr>
                        <wps:bodyPr rot="0" vert="horz" wrap="square" lIns="91440" tIns="91440" rIns="91440" bIns="91440" anchor="t" anchorCtr="0" upright="1">
                          <a:noAutofit/>
                        </wps:bodyPr>
                      </wps:wsp>
                      <wps:wsp>
                        <wps:cNvPr id="305" name="Text Box 305"/>
                        <wps:cNvSpPr txBox="1">
                          <a:spLocks noChangeArrowheads="1"/>
                        </wps:cNvSpPr>
                        <wps:spPr bwMode="auto">
                          <a:xfrm>
                            <a:off x="4669" y="267"/>
                            <a:ext cx="2856"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344AE" w14:textId="77777777" w:rsidR="000E0AE5" w:rsidRDefault="000E0AE5" w:rsidP="003F7EDB">
                              <w:pPr>
                                <w:pStyle w:val="NormalWeb"/>
                                <w:spacing w:before="60" w:beforeAutospacing="0" w:after="0" w:afterAutospacing="0"/>
                                <w:jc w:val="both"/>
                              </w:pPr>
                              <w:r>
                                <w:rPr>
                                  <w:rFonts w:ascii="Calibri" w:eastAsia="Cambria" w:hAnsi="Calibri"/>
                                  <w:i/>
                                  <w:iCs/>
                                  <w:sz w:val="18"/>
                                  <w:szCs w:val="18"/>
                                </w:rPr>
                                <w:t>Quality</w:t>
                              </w:r>
                              <w:r>
                                <w:rPr>
                                  <w:rFonts w:ascii="Calibri" w:eastAsia="Cambria" w:hAnsi="Calibri"/>
                                  <w:sz w:val="18"/>
                                  <w:szCs w:val="18"/>
                                </w:rPr>
                                <w:t xml:space="preserve"> policy advice by definition must include attention to gender and the promotion of gender equality.</w:t>
                              </w:r>
                            </w:p>
                          </w:txbxContent>
                        </wps:txbx>
                        <wps:bodyPr rot="0" vert="horz" wrap="square" lIns="36000" tIns="36000" rIns="36000" bIns="36000" anchor="t" anchorCtr="0" upright="1">
                          <a:noAutofit/>
                        </wps:bodyPr>
                      </wps:wsp>
                      <wps:wsp>
                        <wps:cNvPr id="306" name="Text Box 306"/>
                        <wps:cNvSpPr txBox="1">
                          <a:spLocks noChangeArrowheads="1"/>
                        </wps:cNvSpPr>
                        <wps:spPr bwMode="auto">
                          <a:xfrm>
                            <a:off x="4669" y="1853"/>
                            <a:ext cx="2880" cy="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8FF11" w14:textId="77777777" w:rsidR="000E0AE5" w:rsidRDefault="000E0AE5" w:rsidP="003F7EDB">
                              <w:pPr>
                                <w:pStyle w:val="NormalWeb"/>
                                <w:spacing w:before="60" w:beforeAutospacing="0" w:after="0" w:afterAutospacing="0"/>
                                <w:jc w:val="both"/>
                              </w:pPr>
                              <w:r>
                                <w:rPr>
                                  <w:rFonts w:ascii="Calibri" w:eastAsia="Cambria" w:hAnsi="Calibri"/>
                                  <w:i/>
                                  <w:iCs/>
                                  <w:sz w:val="18"/>
                                  <w:szCs w:val="18"/>
                                </w:rPr>
                                <w:t>Both</w:t>
                              </w:r>
                              <w:r>
                                <w:rPr>
                                  <w:rFonts w:ascii="Calibri" w:eastAsia="Cambria" w:hAnsi="Calibri"/>
                                  <w:sz w:val="18"/>
                                  <w:szCs w:val="18"/>
                                </w:rPr>
                                <w:t xml:space="preserve"> </w:t>
                              </w:r>
                              <w:r>
                                <w:rPr>
                                  <w:rFonts w:ascii="Calibri" w:eastAsia="Cambria" w:hAnsi="Calibri"/>
                                  <w:i/>
                                  <w:iCs/>
                                  <w:sz w:val="18"/>
                                  <w:szCs w:val="18"/>
                                </w:rPr>
                                <w:t>men and women</w:t>
                              </w:r>
                              <w:r>
                                <w:rPr>
                                  <w:rFonts w:ascii="Calibri" w:eastAsia="Cambria" w:hAnsi="Calibri"/>
                                  <w:sz w:val="18"/>
                                  <w:szCs w:val="18"/>
                                </w:rPr>
                                <w:t xml:space="preserve"> must benefit from poverty reduction programs and enjoy reduced vulnerability to shocks and stresses. To achieve this, activities must be based on a sound gender analysis and implemented with attention to gender issues.</w:t>
                              </w:r>
                            </w:p>
                          </w:txbxContent>
                        </wps:txbx>
                        <wps:bodyPr rot="0" vert="horz" wrap="square" lIns="91440" tIns="36000" rIns="91440" bIns="3600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93" o:spid="_x0000_s1031" style="position:absolute;margin-left:4.5pt;margin-top:.55pt;width:459pt;height:297.75pt;z-index:251669504;mso-position-horizontal-relative:margin;mso-width-relative:margin;mso-height-relative:margin" coordsize="10024,4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">
                <v:shape id="Text Box 3" o:spid="_x0000_s1032" type="#_x0000_t202" style="position:absolute;left:7756;top:2912;width:2268;height:2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R+isQA&#10;AADcAAAADwAAAGRycy9kb3ducmV2LnhtbESPQWsCMRSE74L/ITzBm2YrInVrlFoqK4KCWuj1dfOa&#10;Xbp5WZKo23/fFASPw8x8wyxWnW3ElXyoHSt4GmcgiEunazYKPs6b0TOIEJE1No5JwS8FWC37vQXm&#10;2t34SNdTNCJBOOSooIqxzaUMZUUWw9i1xMn7dt5iTNIbqT3eEtw2cpJlM2mx5rRQYUtvFZU/p4tV&#10;YIrp2XwVYb/eWb8vDjNcf77vlBoOutcXEJG6+Ajf21utYDKfwv+Zd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kforEAAAA3AAAAA8AAAAAAAAAAAAAAAAAmAIAAGRycy9k&#10;b3ducmV2LnhtbFBLBQYAAAAABAAEAPUAAACJAwAAAAA=&#10;" fillcolor="#daeef3 [664]" stroked="f">
                  <v:textbox inset="2mm,2mm,2mm,2mm">
                    <w:txbxContent>
                      <w:p w14:paraId="6AA3DF7F" w14:textId="77777777" w:rsidR="000E0AE5" w:rsidRDefault="000E0AE5" w:rsidP="003F7EDB">
                        <w:pPr>
                          <w:pStyle w:val="NormalWeb"/>
                          <w:spacing w:before="60" w:beforeAutospacing="0" w:after="0" w:afterAutospacing="0"/>
                        </w:pPr>
                        <w:r>
                          <w:rPr>
                            <w:rFonts w:ascii="Calibri" w:eastAsia="Cambria" w:hAnsi="Calibri"/>
                            <w:b/>
                            <w:bCs/>
                            <w:sz w:val="18"/>
                            <w:szCs w:val="18"/>
                          </w:rPr>
                          <w:t>PRSF Long term goal</w:t>
                        </w:r>
                      </w:p>
                      <w:p w14:paraId="2BC1F7EF" w14:textId="77777777" w:rsidR="000E0AE5" w:rsidRDefault="000E0AE5" w:rsidP="003F7EDB">
                        <w:pPr>
                          <w:pStyle w:val="NormalWeb"/>
                          <w:spacing w:before="60" w:beforeAutospacing="0" w:after="0" w:afterAutospacing="0"/>
                        </w:pPr>
                        <w:proofErr w:type="gramStart"/>
                        <w:r>
                          <w:rPr>
                            <w:rFonts w:ascii="Calibri" w:eastAsia="Cambria" w:hAnsi="Calibri"/>
                            <w:sz w:val="18"/>
                            <w:szCs w:val="18"/>
                          </w:rPr>
                          <w:t>To increase the rate of poverty reduction in Indonesia and reduce the impact of shocks and stresses on the poor and vulnerable.</w:t>
                        </w:r>
                        <w:proofErr w:type="gramEnd"/>
                        <w:r>
                          <w:rPr>
                            <w:rFonts w:ascii="Calibri" w:eastAsia="Cambria" w:hAnsi="Calibri"/>
                            <w:sz w:val="18"/>
                            <w:szCs w:val="18"/>
                          </w:rPr>
                          <w:t xml:space="preserve"> </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33" type="#_x0000_t67" style="position:absolute;left:5912;top:2225;width:369;height:357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3H68UA&#10;AADcAAAADwAAAGRycy9kb3ducmV2LnhtbESP0WrCQBRE3wv+w3KFvulGS4umrqJiocUnYz/gkr1N&#10;0mTvxt01if36bkHo4zAzZ5jVZjCN6Mj5yrKC2TQBQZxbXXGh4PP8NlmA8AFZY2OZFNzIw2Y9elhh&#10;qm3PJ+qyUIgIYZ+igjKENpXS5yUZ9FPbEkfvyzqDIUpXSO2wj3DTyHmSvEiDFceFElval5TX2dVE&#10;ynJm7a4b+svT8fh9uP3U7iOrlXocD9tXEIGG8B++t9+1gvnyGf7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cfrxQAAANwAAAAPAAAAAAAAAAAAAAAAAJgCAABkcnMv&#10;ZG93bnJldi54bWxQSwUGAAAAAAQABAD1AAAAigMAAAAA&#10;" fillcolor="#b6dde8 [1304]" stroked="f" strokecolor="#4a7ebb" strokeweight="1.5pt">
                  <v:shadow on="t" opacity="22938f" offset="0"/>
                  <v:textbox inset=",7.2pt,,7.2pt"/>
                </v:shape>
                <v:shape id="Text Box 5" o:spid="_x0000_s1034" type="#_x0000_t202" style="position:absolute;left:7756;top:993;width:2268;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pFZsUA&#10;AADcAAAADwAAAGRycy9kb3ducmV2LnhtbESPQWsCMRSE7wX/Q3iCt5pVZNGtUaq0bBEsVIVen5tn&#10;dunmZUlS3f77Rij0OMzMN8xy3dtWXMmHxrGCyTgDQVw53bBRcDq+Ps5BhIissXVMCn4owHo1eFhi&#10;od2NP+h6iEYkCIcCFdQxdoWUoarJYhi7jjh5F+ctxiS9kdrjLcFtK6dZlkuLDaeFGjva1lR9Hb6t&#10;AlPOjuZchv1mZ/2+fM9x8/myU2o07J+fQETq43/4r/2mFUwXOdzP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OkVmxQAAANwAAAAPAAAAAAAAAAAAAAAAAJgCAABkcnMv&#10;ZG93bnJldi54bWxQSwUGAAAAAAQABAD1AAAAigMAAAAA&#10;" fillcolor="#daeef3 [664]" stroked="f">
                  <v:textbox inset="2mm,2mm,2mm,2mm">
                    <w:txbxContent>
                      <w:p w14:paraId="0B3A8D81" w14:textId="77777777" w:rsidR="000E0AE5" w:rsidRDefault="000E0AE5" w:rsidP="003F7EDB">
                        <w:pPr>
                          <w:pStyle w:val="NormalWeb"/>
                          <w:spacing w:before="60" w:beforeAutospacing="0" w:after="0" w:afterAutospacing="0"/>
                        </w:pPr>
                        <w:r>
                          <w:rPr>
                            <w:rFonts w:ascii="Calibri" w:eastAsia="Cambria" w:hAnsi="Calibri"/>
                            <w:b/>
                            <w:bCs/>
                            <w:sz w:val="18"/>
                            <w:szCs w:val="18"/>
                          </w:rPr>
                          <w:t>PRSF medium-term goal</w:t>
                        </w:r>
                      </w:p>
                      <w:p w14:paraId="605347C8" w14:textId="77777777" w:rsidR="000E0AE5" w:rsidRDefault="000E0AE5" w:rsidP="003F7EDB">
                        <w:pPr>
                          <w:pStyle w:val="NormalWeb"/>
                          <w:spacing w:before="60" w:beforeAutospacing="0" w:after="0" w:afterAutospacing="0"/>
                        </w:pPr>
                        <w:proofErr w:type="gramStart"/>
                        <w:r>
                          <w:rPr>
                            <w:rFonts w:ascii="Calibri" w:eastAsia="Cambria" w:hAnsi="Calibri"/>
                            <w:sz w:val="18"/>
                            <w:szCs w:val="18"/>
                          </w:rPr>
                          <w:t>To improve the quality of policy advice to poverty programs.</w:t>
                        </w:r>
                        <w:proofErr w:type="gramEnd"/>
                      </w:p>
                    </w:txbxContent>
                  </v:textbox>
                </v:shape>
                <v:shape id="AutoShape 6" o:spid="_x0000_s1035" type="#_x0000_t67" style="position:absolute;left:5914;top:-221;width:365;height:357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P8B8UA&#10;AADcAAAADwAAAGRycy9kb3ducmV2LnhtbESP0WrCQBRE3wv+w3KFvulGC62mrqJiocUnYz/gkr1N&#10;0mTvxt01if36bkHo4zAzZ5jVZjCN6Mj5yrKC2TQBQZxbXXGh4PP8NlmA8AFZY2OZFNzIw2Y9elhh&#10;qm3PJ+qyUIgIYZ+igjKENpXS5yUZ9FPbEkfvyzqDIUpXSO2wj3DTyHmSPEuDFceFElval5TX2dVE&#10;ynJm7a4b+svT8fh9uP3U7iOrlXocD9tXEIGG8B++t9+1gvnyBf7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4/wHxQAAANwAAAAPAAAAAAAAAAAAAAAAAJgCAABkcnMv&#10;ZG93bnJldi54bWxQSwUGAAAAAAQABAD1AAAAigMAAAAA&#10;" fillcolor="#b6dde8 [1304]" stroked="f" strokecolor="#4a7ebb" strokeweight="1.5pt">
                  <v:shadow on="t" opacity="22938f" offset="0"/>
                  <v:textbox inset=",7.2pt,,7.2pt"/>
                </v:shape>
                <v:rect id="Rectangle 298" o:spid="_x0000_s1036" style="position:absolute;width:4387;height:4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d+ssQA&#10;AADcAAAADwAAAGRycy9kb3ducmV2LnhtbERPz2vCMBS+D/wfwhN2GZrag7pqlCmMiXqx08Fuj+aZ&#10;ljUvpcm0/e/NYbDjx/d7ue5sLW7U+sqxgsk4AUFcOF2xUXD+fB/NQfiArLF2TAp68rBeDZ6WmGl3&#10;5xPd8mBEDGGfoYIyhCaT0hclWfRj1xBH7upaiyHC1kjd4j2G21qmSTKVFiuODSU2tC2p+Ml/rQKz&#10;v+Snr9msP35s9geXfm/P5qVX6nnYvS1ABOrCv/jPvdMK0te4Np6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HfrLEAAAA3AAAAA8AAAAAAAAAAAAAAAAAmAIAAGRycy9k&#10;b3ducmV2LnhtbFBLBQYAAAAABAAEAPUAAACJAwAAAAA=&#10;" fillcolor="#b6dde8 [1304]" stroked="f" strokecolor="#4a7ebb" strokeweight="1.5pt">
                  <v:shadow on="t" opacity="22938f" offset="0"/>
                  <v:textbox inset=",7.2pt,,7.2pt"/>
                </v:rect>
                <v:shape id="Text Box 299" o:spid="_x0000_s1037" type="#_x0000_t202" style="position:absolute;left:152;top:3514;width:4082;height:1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XRFMQA&#10;AADcAAAADwAAAGRycy9kb3ducmV2LnhtbESPQWsCMRSE74L/ITzBm2YrInVrlCrKimChWuj1dfOa&#10;Xbp5WZKo679vCgWPw8x8wyxWnW3ElXyoHSt4GmcgiEunazYKPs670TOIEJE1No5JwZ0CrJb93gJz&#10;7W78TtdTNCJBOOSooIqxzaUMZUUWw9i1xMn7dt5iTNIbqT3eEtw2cpJlM2mx5rRQYUubisqf08Uq&#10;MMX0bL6KcFwfrD8WbzNcf24PSg0H3esLiEhdfIT/23utYDKfw9+Zd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l0RTEAAAA3AAAAA8AAAAAAAAAAAAAAAAAmAIAAGRycy9k&#10;b3ducmV2LnhtbFBLBQYAAAAABAAEAPUAAACJAwAAAAA=&#10;" fillcolor="#daeef3 [664]" stroked="f">
                  <v:textbox inset="2mm,2mm,2mm,2mm">
                    <w:txbxContent>
                      <w:p w14:paraId="6D00A7C7" w14:textId="77777777" w:rsidR="000E0AE5" w:rsidRDefault="000E0AE5" w:rsidP="003F7EDB">
                        <w:pPr>
                          <w:pStyle w:val="NormalWeb"/>
                          <w:spacing w:before="60" w:beforeAutospacing="0" w:after="0" w:afterAutospacing="0"/>
                          <w:jc w:val="both"/>
                        </w:pPr>
                        <w:r>
                          <w:rPr>
                            <w:rFonts w:ascii="Calibri" w:eastAsia="Cambria" w:hAnsi="Calibri"/>
                            <w:b/>
                            <w:bCs/>
                            <w:sz w:val="18"/>
                            <w:szCs w:val="18"/>
                          </w:rPr>
                          <w:t>Objective 3:</w:t>
                        </w:r>
                        <w:r>
                          <w:rPr>
                            <w:rFonts w:ascii="Calibri" w:eastAsia="Cambria" w:hAnsi="Calibri"/>
                            <w:sz w:val="18"/>
                            <w:szCs w:val="18"/>
                          </w:rPr>
                          <w:t xml:space="preserve"> PRSF is supporting activities in selected provinces which are promoting gender equality in end user’s access to and decision making about a range of poverty reduction tools available to them.</w:t>
                        </w:r>
                      </w:p>
                    </w:txbxContent>
                  </v:textbox>
                </v:shape>
                <v:shape id="AutoShape 9" o:spid="_x0000_s1038" type="#_x0000_t67" style="position:absolute;left:2015;top:3047;width:35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diQr8A&#10;AADcAAAADwAAAGRycy9kb3ducmV2LnhtbERP3WrCMBS+H/gO4Qi7WxM3GLM2ighj283Yqg9waI5N&#10;sDkpTWzr25uLwS4/vv9qN/tOjDREF1jDqlAgiJtgHLcaTsf3pzcQMSEb7AKThhtF2G0XDxWWJkz8&#10;S2OdWpFDOJaowabUl1LGxpLHWISeOHPnMHhMGQ6tNANOOdx38lmpV+nRcW6w2NPBUnOpr17Dh3P7&#10;tJ6Nsj81yVX8vsqvmrR+XM77DYhEc/oX/7k/jYYXlefnM/kI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F2JCvwAAANwAAAAPAAAAAAAAAAAAAAAAAJgCAABkcnMvZG93bnJl&#10;di54bWxQSwUGAAAAAAQABAD1AAAAhAMAAAAA&#10;" fillcolor="#92cddc [1944]" stroked="f" strokecolor="#4a7ebb" strokeweight="1.5pt">
                  <v:shadow on="t" opacity="22938f" offset="0"/>
                  <v:textbox inset=",7.2pt,,7.2pt"/>
                </v:shape>
                <v:shape id="Text Box 301" o:spid="_x0000_s1039" type="#_x0000_t202" style="position:absolute;left:152;top:1842;width:4082;height:1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hHCMQA&#10;AADcAAAADwAAAGRycy9kb3ducmV2LnhtbESPQWsCMRSE74L/ITyht5q1LSKrUbS0rAgWqoLX5+aZ&#10;Xdy8LEnU7b9vCgWPw8x8w8wWnW3EjXyoHSsYDTMQxKXTNRsFh/3n8wREiMgaG8ek4IcCLOb93gxz&#10;7e78TbddNCJBOOSooIqxzaUMZUUWw9C1xMk7O28xJumN1B7vCW4b+ZJlY2mx5rRQYUvvFZWX3dUq&#10;MMXb3pyKsF1trN8WX2NcHT82Sj0NuuUURKQuPsL/7bVW8JqN4O9MOg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4RwjEAAAA3AAAAA8AAAAAAAAAAAAAAAAAmAIAAGRycy9k&#10;b3ducmV2LnhtbFBLBQYAAAAABAAEAPUAAACJAwAAAAA=&#10;" fillcolor="#daeef3 [664]" stroked="f">
                  <v:textbox inset="2mm,2mm,2mm,2mm">
                    <w:txbxContent>
                      <w:p w14:paraId="7C01E167" w14:textId="77777777" w:rsidR="000E0AE5" w:rsidRDefault="000E0AE5" w:rsidP="003F7EDB">
                        <w:pPr>
                          <w:pStyle w:val="NormalWeb"/>
                          <w:spacing w:before="60" w:beforeAutospacing="0" w:after="0" w:afterAutospacing="0"/>
                          <w:jc w:val="both"/>
                        </w:pPr>
                        <w:r>
                          <w:rPr>
                            <w:rFonts w:ascii="Calibri" w:eastAsia="Cambria" w:hAnsi="Calibri"/>
                            <w:b/>
                            <w:bCs/>
                            <w:sz w:val="18"/>
                            <w:szCs w:val="18"/>
                          </w:rPr>
                          <w:t>Objective 2:</w:t>
                        </w:r>
                        <w:r>
                          <w:rPr>
                            <w:rFonts w:ascii="Calibri" w:eastAsia="Cambria" w:hAnsi="Calibri"/>
                            <w:sz w:val="18"/>
                            <w:szCs w:val="18"/>
                          </w:rPr>
                          <w:t xml:space="preserve"> PRSF and TPN2K have increased understanding of gender issues and increased capacity and commitment to incorporating gender strategies in policies and projects.</w:t>
                        </w:r>
                      </w:p>
                    </w:txbxContent>
                  </v:textbox>
                </v:shape>
                <v:shape id="AutoShape 11" o:spid="_x0000_s1040" type="#_x0000_t67" style="position:absolute;left:2015;top:1375;width:35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lZrsEA&#10;AADcAAAADwAAAGRycy9kb3ducmV2LnhtbESP0WoCMRRE3wv+Q7hC39xEhaKrUUQo1ZfSrn7AZXPd&#10;BDc3yybq9u9NodDHYWbOMOvt4Ftxpz66wBqmhQJBXAfjuNFwPr1PFiBiQjbYBiYNPxRhuxm9rLE0&#10;4cHfdK9SIzKEY4kabEpdKWWsLXmMReiIs3cJvceUZd9I0+Mjw30rZ0q9SY+O84LFjvaW6mt18xo+&#10;nNul5WCU/apITuPnTR4r0vp1POxWIBIN6T/81z4YDXM1g98z+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JWa7BAAAA3AAAAA8AAAAAAAAAAAAAAAAAmAIAAGRycy9kb3du&#10;cmV2LnhtbFBLBQYAAAAABAAEAPUAAACGAwAAAAA=&#10;" fillcolor="#92cddc [1944]" stroked="f" strokecolor="#4a7ebb" strokeweight="1.5pt">
                  <v:shadow on="t" opacity="22938f" offset="0"/>
                  <v:textbox inset=",7.2pt,,7.2pt"/>
                </v:shape>
                <v:shape id="Text Box 303" o:spid="_x0000_s1041" type="#_x0000_t202" style="position:absolute;left:152;top:267;width:4082;height:1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Z85MUA&#10;AADcAAAADwAAAGRycy9kb3ducmV2LnhtbESP3WoCMRSE74W+QziCdzXrDyKrUWpRtggWqoK3p5vT&#10;7NLNyZKkur59Uyh4OczMN8xy3dlGXMmH2rGC0TADQVw6XbNRcD7tnucgQkTW2DgmBXcKsF499ZaY&#10;a3fjD7oeoxEJwiFHBVWMbS5lKCuyGIauJU7el/MWY5LeSO3xluC2keMsm0mLNaeFClt6raj8Pv5Y&#10;BaaYnsxnEQ6bvfWH4n2Gm8t2r9Sg370sQETq4iP8337TCibZBP7O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nzkxQAAANwAAAAPAAAAAAAAAAAAAAAAAJgCAABkcnMv&#10;ZG93bnJldi54bWxQSwUGAAAAAAQABAD1AAAAigMAAAAA&#10;" fillcolor="#daeef3 [664]" stroked="f">
                  <v:textbox inset="2mm,2mm,2mm,2mm">
                    <w:txbxContent>
                      <w:p w14:paraId="49C96145" w14:textId="77777777" w:rsidR="000E0AE5" w:rsidRDefault="000E0AE5" w:rsidP="003F7EDB">
                        <w:pPr>
                          <w:pStyle w:val="NormalWeb"/>
                          <w:spacing w:before="60" w:beforeAutospacing="0" w:after="0" w:afterAutospacing="0"/>
                          <w:jc w:val="both"/>
                        </w:pPr>
                        <w:r>
                          <w:rPr>
                            <w:rFonts w:ascii="Calibri" w:eastAsia="Cambria" w:hAnsi="Calibri"/>
                            <w:b/>
                            <w:bCs/>
                            <w:sz w:val="18"/>
                            <w:szCs w:val="18"/>
                          </w:rPr>
                          <w:t>Objective 1:</w:t>
                        </w:r>
                        <w:r>
                          <w:rPr>
                            <w:rFonts w:ascii="Calibri" w:eastAsia="Cambria" w:hAnsi="Calibri"/>
                            <w:sz w:val="18"/>
                            <w:szCs w:val="18"/>
                          </w:rPr>
                          <w:t xml:space="preserve"> PRSF and TNP2K have increased access to information regarding the gender dimensions of poverty and gendered constraints to poverty reduction in Indonesia.</w:t>
                        </w:r>
                      </w:p>
                    </w:txbxContent>
                  </v:textbox>
                </v:shape>
                <v:shape id="AutoShape 13" o:spid="_x0000_s1042" type="#_x0000_t67" style="position:absolute;left:8711;top:2409;width:35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xkQcIA&#10;AADcAAAADwAAAGRycy9kb3ducmV2LnhtbESP3WoCMRSE7wu+QziF3tXEH4pujSKCqDdSVx/gsDnd&#10;hG5Olk3U7dubQsHLYWa+YRar3jfiRl10gTWMhgoEcRWM41rD5bx9n4GICdlgE5g0/FKE1XLwssDC&#10;hDuf6FamWmQIxwI12JTaQspYWfIYh6Elzt536DymLLtamg7vGe4bOVbqQ3p0nBcstrSxVP2UV69h&#10;59w6zXuj7FdJchSPV3koSeu31379CSJRn57h//beaJioKfydyUd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LGRBwgAAANwAAAAPAAAAAAAAAAAAAAAAAJgCAABkcnMvZG93&#10;bnJldi54bWxQSwUGAAAAAAQABAD1AAAAhwMAAAAA&#10;" fillcolor="#92cddc [1944]" stroked="f" strokecolor="#4a7ebb" strokeweight="1.5pt">
                  <v:shadow on="t" opacity="22938f" offset="0"/>
                  <v:textbox inset=",7.2pt,,7.2pt"/>
                </v:shape>
                <v:shape id="Text Box 305" o:spid="_x0000_s1043" type="#_x0000_t202" style="position:absolute;left:4669;top:267;width:2856;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M628YA&#10;AADcAAAADwAAAGRycy9kb3ducmV2LnhtbESPX2vCQBDE3wv9DscKvunFP9WSekqpqIU+VaX0cc2t&#10;SWxuL+RWjd++VxD6OMzMb5jZonWVulATSs8GBv0EFHHmbcm5gf1u1XsGFQTZYuWZDNwowGL++DDD&#10;1Porf9JlK7mKEA4pGihE6lTrkBXkMPR9TRy9o28cSpRNrm2D1wh3lR4myUQ7LDkuFFjTW0HZz/bs&#10;DJwOt81wH5YfJxmPjjv5mn4v1wdjup329QWUUCv/4Xv73RoYJU/wdyYeAT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M628YAAADcAAAADwAAAAAAAAAAAAAAAACYAgAAZHJz&#10;L2Rvd25yZXYueG1sUEsFBgAAAAAEAAQA9QAAAIsDAAAAAA==&#10;" filled="f" stroked="f">
                  <v:textbox inset="1mm,1mm,1mm,1mm">
                    <w:txbxContent>
                      <w:p w14:paraId="5C9344AE" w14:textId="77777777" w:rsidR="000E0AE5" w:rsidRDefault="000E0AE5" w:rsidP="003F7EDB">
                        <w:pPr>
                          <w:pStyle w:val="NormalWeb"/>
                          <w:spacing w:before="60" w:beforeAutospacing="0" w:after="0" w:afterAutospacing="0"/>
                          <w:jc w:val="both"/>
                        </w:pPr>
                        <w:r>
                          <w:rPr>
                            <w:rFonts w:ascii="Calibri" w:eastAsia="Cambria" w:hAnsi="Calibri"/>
                            <w:i/>
                            <w:iCs/>
                            <w:sz w:val="18"/>
                            <w:szCs w:val="18"/>
                          </w:rPr>
                          <w:t>Quality</w:t>
                        </w:r>
                        <w:r>
                          <w:rPr>
                            <w:rFonts w:ascii="Calibri" w:eastAsia="Cambria" w:hAnsi="Calibri"/>
                            <w:sz w:val="18"/>
                            <w:szCs w:val="18"/>
                          </w:rPr>
                          <w:t xml:space="preserve"> policy advice by definition must include attention to gender and the promotion of gender equality.</w:t>
                        </w:r>
                      </w:p>
                    </w:txbxContent>
                  </v:textbox>
                </v:shape>
                <v:shape id="Text Box 306" o:spid="_x0000_s1044" type="#_x0000_t202" style="position:absolute;left:4669;top:1853;width:2880;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wi+cMA&#10;AADcAAAADwAAAGRycy9kb3ducmV2LnhtbESP3YrCMBSE7xd8h3AE79bU9QetRhFB6IUXa/UBDs2x&#10;KTYntclqd5/eCAteDjPzDbPadLYWd2p95VjBaJiAIC6crrhUcD7tP+cgfEDWWDsmBb/kYbPufaww&#10;1e7BR7rnoRQRwj5FBSaEJpXSF4Ys+qFriKN3ca3FEGVbSt3iI8JtLb+SZCYtVhwXDDa0M1Rc8x+r&#10;IDt8Z50p3JkWk9vRGPeHYXpSatDvtksQgbrwDv+3M61gnMzgdSYeAb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wi+cMAAADcAAAADwAAAAAAAAAAAAAAAACYAgAAZHJzL2Rv&#10;d25yZXYueG1sUEsFBgAAAAAEAAQA9QAAAIgDAAAAAA==&#10;" filled="f" stroked="f">
                  <v:textbox inset=",1mm,,1mm">
                    <w:txbxContent>
                      <w:p w14:paraId="6468FF11" w14:textId="77777777" w:rsidR="000E0AE5" w:rsidRDefault="000E0AE5" w:rsidP="003F7EDB">
                        <w:pPr>
                          <w:pStyle w:val="NormalWeb"/>
                          <w:spacing w:before="60" w:beforeAutospacing="0" w:after="0" w:afterAutospacing="0"/>
                          <w:jc w:val="both"/>
                        </w:pPr>
                        <w:r>
                          <w:rPr>
                            <w:rFonts w:ascii="Calibri" w:eastAsia="Cambria" w:hAnsi="Calibri"/>
                            <w:i/>
                            <w:iCs/>
                            <w:sz w:val="18"/>
                            <w:szCs w:val="18"/>
                          </w:rPr>
                          <w:t>Both</w:t>
                        </w:r>
                        <w:r>
                          <w:rPr>
                            <w:rFonts w:ascii="Calibri" w:eastAsia="Cambria" w:hAnsi="Calibri"/>
                            <w:sz w:val="18"/>
                            <w:szCs w:val="18"/>
                          </w:rPr>
                          <w:t xml:space="preserve"> </w:t>
                        </w:r>
                        <w:r>
                          <w:rPr>
                            <w:rFonts w:ascii="Calibri" w:eastAsia="Cambria" w:hAnsi="Calibri"/>
                            <w:i/>
                            <w:iCs/>
                            <w:sz w:val="18"/>
                            <w:szCs w:val="18"/>
                          </w:rPr>
                          <w:t>men and women</w:t>
                        </w:r>
                        <w:r>
                          <w:rPr>
                            <w:rFonts w:ascii="Calibri" w:eastAsia="Cambria" w:hAnsi="Calibri"/>
                            <w:sz w:val="18"/>
                            <w:szCs w:val="18"/>
                          </w:rPr>
                          <w:t xml:space="preserve"> must benefit from poverty reduction programs and enjoy reduced vulnerability to shocks and stresses. To achieve this, activities must be based on a sound gender analysis and implemented with attention to gender issues.</w:t>
                        </w:r>
                      </w:p>
                    </w:txbxContent>
                  </v:textbox>
                </v:shape>
                <w10:wrap anchorx="margin"/>
              </v:group>
            </w:pict>
          </mc:Fallback>
        </mc:AlternateContent>
      </w:r>
    </w:p>
    <w:p w14:paraId="782E2C49" w14:textId="3382C4B1" w:rsidR="009719DB" w:rsidRDefault="009719DB" w:rsidP="004F18C0">
      <w:pPr>
        <w:rPr>
          <w:lang w:val="en-GB"/>
        </w:rPr>
      </w:pPr>
    </w:p>
    <w:p w14:paraId="1E65F1F8" w14:textId="73205402" w:rsidR="009719DB" w:rsidRDefault="009719DB" w:rsidP="004F18C0">
      <w:pPr>
        <w:rPr>
          <w:lang w:val="en-GB"/>
        </w:rPr>
      </w:pPr>
    </w:p>
    <w:p w14:paraId="48007DE7" w14:textId="3640B9DD" w:rsidR="009719DB" w:rsidRDefault="009719DB" w:rsidP="004F18C0">
      <w:pPr>
        <w:rPr>
          <w:lang w:val="en-GB"/>
        </w:rPr>
      </w:pPr>
    </w:p>
    <w:p w14:paraId="55EAD358" w14:textId="711A8182" w:rsidR="009719DB" w:rsidRDefault="009719DB" w:rsidP="004F18C0">
      <w:pPr>
        <w:rPr>
          <w:lang w:val="en-GB"/>
        </w:rPr>
      </w:pPr>
    </w:p>
    <w:p w14:paraId="2CBABB4D" w14:textId="00583963" w:rsidR="009719DB" w:rsidRDefault="009719DB" w:rsidP="004F18C0">
      <w:pPr>
        <w:rPr>
          <w:lang w:val="en-GB"/>
        </w:rPr>
      </w:pPr>
    </w:p>
    <w:p w14:paraId="12B034C5" w14:textId="167C0471" w:rsidR="009719DB" w:rsidRDefault="009719DB" w:rsidP="004F18C0">
      <w:pPr>
        <w:rPr>
          <w:lang w:val="en-GB"/>
        </w:rPr>
      </w:pPr>
    </w:p>
    <w:p w14:paraId="0CE51B19" w14:textId="02EA0B69" w:rsidR="009719DB" w:rsidRDefault="009719DB" w:rsidP="004F18C0">
      <w:pPr>
        <w:rPr>
          <w:lang w:val="en-GB"/>
        </w:rPr>
      </w:pPr>
    </w:p>
    <w:p w14:paraId="4C4D4408" w14:textId="2001559C" w:rsidR="009719DB" w:rsidRDefault="009719DB" w:rsidP="004F18C0">
      <w:pPr>
        <w:rPr>
          <w:lang w:val="en-GB"/>
        </w:rPr>
      </w:pPr>
    </w:p>
    <w:p w14:paraId="4B37B85A" w14:textId="35779218" w:rsidR="009719DB" w:rsidRDefault="009719DB" w:rsidP="004F18C0">
      <w:pPr>
        <w:rPr>
          <w:lang w:val="en-GB"/>
        </w:rPr>
      </w:pPr>
    </w:p>
    <w:p w14:paraId="33A83F8B" w14:textId="5E625AC8" w:rsidR="009719DB" w:rsidRDefault="009719DB" w:rsidP="004F18C0">
      <w:pPr>
        <w:rPr>
          <w:lang w:val="en-GB"/>
        </w:rPr>
      </w:pPr>
    </w:p>
    <w:p w14:paraId="459A644F" w14:textId="72717AE1" w:rsidR="009719DB" w:rsidRDefault="009719DB" w:rsidP="004F18C0">
      <w:pPr>
        <w:rPr>
          <w:lang w:val="en-GB"/>
        </w:rPr>
      </w:pPr>
    </w:p>
    <w:p w14:paraId="60F34010" w14:textId="77777777" w:rsidR="009719DB" w:rsidRDefault="009719DB" w:rsidP="004F18C0">
      <w:pPr>
        <w:rPr>
          <w:lang w:val="en-GB"/>
        </w:rPr>
      </w:pPr>
    </w:p>
    <w:p w14:paraId="20A09707" w14:textId="4CA07D7F" w:rsidR="004F18C0" w:rsidRDefault="004F18C0" w:rsidP="004F18C0">
      <w:pPr>
        <w:rPr>
          <w:lang w:val="en-GB"/>
        </w:rPr>
      </w:pPr>
      <w:r>
        <w:rPr>
          <w:lang w:val="en-GB"/>
        </w:rPr>
        <w:t xml:space="preserve">The striking thing about this analysis is that it is not an analysis of whether or not the UDB had adequately incorporated gender related data. Since all the data was sex-disaggregated from the outset, this analysis could focus on what the data was telling policy makers about the challenges and constraints faced by poor women in Indonesia and identify some key issues and opportunities for TNP2K to consider.  This practical approach clearly shows the value of having a strategy in place early with clear links to the program objectives. There is huge power in presenting analysis on a policy issues using the data of the policy institution who you want to make a decision or apply resources to change the way something works. In this case, TNP2K have created the UDB precisely to improve the targeting of national programs and so analysis using this information carries more </w:t>
      </w:r>
      <w:r w:rsidR="004B0651">
        <w:rPr>
          <w:lang w:val="en-GB"/>
        </w:rPr>
        <w:t>weight. It should be</w:t>
      </w:r>
      <w:r>
        <w:rPr>
          <w:lang w:val="en-GB"/>
        </w:rPr>
        <w:t xml:space="preserve"> implicit that if TNP2K is committed to evidence based policy that the evidence will compel changes to be made to incorporate better approaches for poor women.</w:t>
      </w:r>
      <w:r w:rsidR="002321B0">
        <w:rPr>
          <w:lang w:val="en-GB"/>
        </w:rPr>
        <w:t xml:space="preserve"> </w:t>
      </w:r>
      <w:r w:rsidR="004B0651">
        <w:rPr>
          <w:lang w:val="en-GB"/>
        </w:rPr>
        <w:t xml:space="preserve">In this case it </w:t>
      </w:r>
      <w:r w:rsidR="002321B0">
        <w:rPr>
          <w:lang w:val="en-GB"/>
        </w:rPr>
        <w:t xml:space="preserve">is not clear is </w:t>
      </w:r>
      <w:r w:rsidR="004B0651">
        <w:rPr>
          <w:lang w:val="en-GB"/>
        </w:rPr>
        <w:t>that the analysis dis have</w:t>
      </w:r>
      <w:r w:rsidR="002321B0">
        <w:rPr>
          <w:lang w:val="en-GB"/>
        </w:rPr>
        <w:t xml:space="preserve"> any impact. </w:t>
      </w:r>
      <w:r w:rsidR="004B0651">
        <w:rPr>
          <w:lang w:val="en-GB"/>
        </w:rPr>
        <w:t xml:space="preserve">Certainly there was no follow up or tracking of outcomes that have been cited. </w:t>
      </w:r>
      <w:r w:rsidR="002321B0">
        <w:rPr>
          <w:lang w:val="en-GB"/>
        </w:rPr>
        <w:t>Disaggregating data by sex is a start, but gender analysis goes much further.</w:t>
      </w:r>
    </w:p>
    <w:p w14:paraId="62C3D520" w14:textId="6EED95E7" w:rsidR="003F7EDB" w:rsidRDefault="004F18C0" w:rsidP="00A51BDF">
      <w:pPr>
        <w:spacing w:before="120" w:after="120"/>
        <w:rPr>
          <w:lang w:val="en-GB"/>
        </w:rPr>
      </w:pPr>
      <w:r>
        <w:rPr>
          <w:lang w:val="en-GB"/>
        </w:rPr>
        <w:t>Much is made of mainstreaming gender issues in development programing. Much of it is used to wilfully obscure or marginalise interventions that target better policy outcomes for women. In most cases the preconditions for an evidence-based debate about policy options, data, is not prioritised and so not s</w:t>
      </w:r>
      <w:r w:rsidR="00FB3C35">
        <w:rPr>
          <w:lang w:val="en-GB"/>
        </w:rPr>
        <w:t>urprisingly little is achieved.</w:t>
      </w:r>
    </w:p>
    <w:p w14:paraId="0DD40591" w14:textId="77777777" w:rsidR="00184892" w:rsidRDefault="00184892" w:rsidP="00FB3C35">
      <w:pPr>
        <w:spacing w:before="240" w:after="120"/>
        <w:rPr>
          <w:lang w:val="en-GB"/>
        </w:rPr>
      </w:pPr>
      <w:r>
        <w:rPr>
          <w:lang w:val="en-GB"/>
        </w:rPr>
        <w:t xml:space="preserve">The </w:t>
      </w:r>
      <w:r w:rsidR="002E4515">
        <w:rPr>
          <w:lang w:val="en-GB"/>
        </w:rPr>
        <w:t xml:space="preserve">2013 </w:t>
      </w:r>
      <w:r>
        <w:rPr>
          <w:lang w:val="en-GB"/>
        </w:rPr>
        <w:t>analysis set out a range of issues and opportunities and made three general observations set out below</w:t>
      </w:r>
      <w:r w:rsidR="00B32204">
        <w:rPr>
          <w:rStyle w:val="FootnoteReference"/>
          <w:lang w:val="en-GB"/>
        </w:rPr>
        <w:footnoteReference w:id="6"/>
      </w:r>
      <w:r>
        <w:rPr>
          <w:lang w:val="en-GB"/>
        </w:rPr>
        <w:t>:</w:t>
      </w:r>
    </w:p>
    <w:p w14:paraId="19E65675" w14:textId="77777777" w:rsidR="00184892" w:rsidRPr="00B32204" w:rsidRDefault="00184892" w:rsidP="00B32204">
      <w:pPr>
        <w:ind w:left="360"/>
        <w:rPr>
          <w:i/>
          <w:lang w:val="en-GB"/>
        </w:rPr>
      </w:pPr>
      <w:r w:rsidRPr="00B32204">
        <w:rPr>
          <w:i/>
          <w:lang w:val="en-GB"/>
        </w:rPr>
        <w:t>The descriptive analysis of data in the UDB provided in this report tells us something about the what, but cannot adequately address questions about the why, or what do we do about this? It therefore should be considered as an entry point to identify areas where more focused qualitative or mixed methods research can be designed, or informed discussions can be held, aiming to answer specific policy or implementation protocol related questions. This initial analysis suggests three priorities in relation to gender differences:</w:t>
      </w:r>
    </w:p>
    <w:p w14:paraId="348F849F" w14:textId="77777777" w:rsidR="00184892" w:rsidRPr="00B32204" w:rsidRDefault="00184892" w:rsidP="00B32204">
      <w:pPr>
        <w:pStyle w:val="ListParagraph"/>
        <w:numPr>
          <w:ilvl w:val="0"/>
          <w:numId w:val="30"/>
        </w:numPr>
        <w:ind w:left="1080"/>
        <w:rPr>
          <w:i/>
          <w:lang w:val="en-GB"/>
        </w:rPr>
      </w:pPr>
      <w:r w:rsidRPr="00B32204">
        <w:rPr>
          <w:i/>
          <w:lang w:val="en-GB"/>
        </w:rPr>
        <w:t xml:space="preserve">What forms of identification are needed to access social protection? What are the barriers to obtaining these, particularly for women and the poor, and how can these </w:t>
      </w:r>
      <w:proofErr w:type="gramStart"/>
      <w:r w:rsidRPr="00B32204">
        <w:rPr>
          <w:i/>
          <w:lang w:val="en-GB"/>
        </w:rPr>
        <w:t>be</w:t>
      </w:r>
      <w:proofErr w:type="gramEnd"/>
      <w:r w:rsidRPr="00B32204">
        <w:rPr>
          <w:i/>
          <w:lang w:val="en-GB"/>
        </w:rPr>
        <w:t xml:space="preserve"> overcome?</w:t>
      </w:r>
    </w:p>
    <w:p w14:paraId="00DF917F" w14:textId="77777777" w:rsidR="00184892" w:rsidRPr="00B32204" w:rsidRDefault="00184892" w:rsidP="00B32204">
      <w:pPr>
        <w:pStyle w:val="ListParagraph"/>
        <w:numPr>
          <w:ilvl w:val="0"/>
          <w:numId w:val="30"/>
        </w:numPr>
        <w:ind w:left="1080"/>
        <w:rPr>
          <w:i/>
          <w:lang w:val="en-GB"/>
        </w:rPr>
      </w:pPr>
      <w:r w:rsidRPr="00B32204">
        <w:rPr>
          <w:i/>
          <w:lang w:val="en-GB"/>
        </w:rPr>
        <w:t xml:space="preserve">How can social protection programs to reach households where the head is illiterate or has very little education (a proportionally more frequent situation for female-headed households)? What strategies are needed to ensure effective socialization and grievance mechanisms? </w:t>
      </w:r>
    </w:p>
    <w:p w14:paraId="1BDD5E6D" w14:textId="77777777" w:rsidR="00184892" w:rsidRPr="00B32204" w:rsidRDefault="00184892" w:rsidP="00B32204">
      <w:pPr>
        <w:pStyle w:val="ListParagraph"/>
        <w:numPr>
          <w:ilvl w:val="0"/>
          <w:numId w:val="30"/>
        </w:numPr>
        <w:ind w:left="1080"/>
        <w:rPr>
          <w:i/>
          <w:lang w:val="en-GB"/>
        </w:rPr>
      </w:pPr>
      <w:r w:rsidRPr="00B32204">
        <w:rPr>
          <w:i/>
          <w:lang w:val="en-GB"/>
        </w:rPr>
        <w:t xml:space="preserve">How can female labour force participation in poor households be increased without damaging impacts on care patterns, or without prohibitive overall (unpaid and paid) labour burdens? </w:t>
      </w:r>
    </w:p>
    <w:p w14:paraId="344D0906" w14:textId="3A33E12E" w:rsidR="002321B0" w:rsidRDefault="002321B0" w:rsidP="00463E6C">
      <w:pPr>
        <w:rPr>
          <w:lang w:val="en-GB"/>
        </w:rPr>
      </w:pPr>
      <w:r>
        <w:rPr>
          <w:lang w:val="en-GB"/>
        </w:rPr>
        <w:t>In this case it appears that</w:t>
      </w:r>
      <w:r w:rsidR="00C1170F">
        <w:rPr>
          <w:lang w:val="en-GB"/>
        </w:rPr>
        <w:t xml:space="preserve"> </w:t>
      </w:r>
      <w:r w:rsidR="002E4515">
        <w:rPr>
          <w:lang w:val="en-GB"/>
        </w:rPr>
        <w:t xml:space="preserve">these </w:t>
      </w:r>
      <w:r>
        <w:rPr>
          <w:lang w:val="en-GB"/>
        </w:rPr>
        <w:t>gender considerations were not</w:t>
      </w:r>
      <w:r w:rsidR="002E4515">
        <w:rPr>
          <w:lang w:val="en-GB"/>
        </w:rPr>
        <w:t xml:space="preserve"> “</w:t>
      </w:r>
      <w:r w:rsidR="00C1170F">
        <w:rPr>
          <w:lang w:val="en-GB"/>
        </w:rPr>
        <w:t>mainstream</w:t>
      </w:r>
      <w:r>
        <w:rPr>
          <w:lang w:val="en-GB"/>
        </w:rPr>
        <w:t>ed</w:t>
      </w:r>
      <w:r w:rsidR="002E4515">
        <w:rPr>
          <w:lang w:val="en-GB"/>
        </w:rPr>
        <w:t>”</w:t>
      </w:r>
      <w:r w:rsidR="00C1170F">
        <w:rPr>
          <w:lang w:val="en-GB"/>
        </w:rPr>
        <w:t xml:space="preserve"> </w:t>
      </w:r>
      <w:r w:rsidR="00B32204">
        <w:rPr>
          <w:lang w:val="en-GB"/>
        </w:rPr>
        <w:t>in</w:t>
      </w:r>
      <w:r>
        <w:rPr>
          <w:lang w:val="en-GB"/>
        </w:rPr>
        <w:t>to</w:t>
      </w:r>
      <w:r w:rsidR="00B32204">
        <w:rPr>
          <w:lang w:val="en-GB"/>
        </w:rPr>
        <w:t xml:space="preserve"> the national programs where TNP2K has been focussed. </w:t>
      </w:r>
      <w:r>
        <w:rPr>
          <w:lang w:val="en-GB"/>
        </w:rPr>
        <w:t xml:space="preserve"> The analysis was a one-off driven by the capacity provided by PRSF through its dedicated gender adviser and once she left momentum for the strategy stalled.</w:t>
      </w:r>
    </w:p>
    <w:p w14:paraId="167C324D" w14:textId="0A600C97" w:rsidR="00942067" w:rsidRDefault="002321B0" w:rsidP="00463E6C">
      <w:pPr>
        <w:rPr>
          <w:lang w:val="en-GB"/>
        </w:rPr>
      </w:pPr>
      <w:r>
        <w:rPr>
          <w:lang w:val="en-GB"/>
        </w:rPr>
        <w:t>That is not to say there have been no outcomes for women from the programs.</w:t>
      </w:r>
      <w:r w:rsidR="00B32204">
        <w:rPr>
          <w:lang w:val="en-GB"/>
        </w:rPr>
        <w:t xml:space="preserve"> </w:t>
      </w:r>
      <w:r w:rsidR="00942067">
        <w:rPr>
          <w:lang w:val="en-GB"/>
        </w:rPr>
        <w:t xml:space="preserve">In their presentation to the new Vice President on the work of TNP2K it is obvious that being able to identify and target the poor is at the very heart of the work. By identifying women headed households in particular TNP2K has helped to reduce both exclusion errors (women not having access to programs when they should) and inclusion errors (people being given access to programs when they shouldn’t). </w:t>
      </w:r>
      <w:r>
        <w:rPr>
          <w:lang w:val="en-GB"/>
        </w:rPr>
        <w:t xml:space="preserve"> </w:t>
      </w:r>
    </w:p>
    <w:p w14:paraId="35A26384" w14:textId="77777777" w:rsidR="00577DD7" w:rsidRDefault="00942067" w:rsidP="00463E6C">
      <w:pPr>
        <w:rPr>
          <w:lang w:val="en-GB"/>
        </w:rPr>
      </w:pPr>
      <w:r>
        <w:rPr>
          <w:lang w:val="en-GB"/>
        </w:rPr>
        <w:t xml:space="preserve">The improvements to </w:t>
      </w:r>
      <w:r w:rsidR="003219F3">
        <w:rPr>
          <w:lang w:val="en-GB"/>
        </w:rPr>
        <w:t xml:space="preserve">PKH </w:t>
      </w:r>
      <w:r>
        <w:rPr>
          <w:lang w:val="en-GB"/>
        </w:rPr>
        <w:t xml:space="preserve">are </w:t>
      </w:r>
      <w:r w:rsidR="002E4515">
        <w:rPr>
          <w:lang w:val="en-GB"/>
        </w:rPr>
        <w:t xml:space="preserve">also </w:t>
      </w:r>
      <w:r>
        <w:rPr>
          <w:lang w:val="en-GB"/>
        </w:rPr>
        <w:t xml:space="preserve">a good example. This program </w:t>
      </w:r>
      <w:r w:rsidR="003219F3">
        <w:rPr>
          <w:lang w:val="en-GB"/>
        </w:rPr>
        <w:t xml:space="preserve">was always targeted at women with a focus on reproductive health and school attendance but it had always struggled to get past the pilot phase of its work, with very low coverage. Through </w:t>
      </w:r>
      <w:r w:rsidR="00C1170F">
        <w:rPr>
          <w:lang w:val="en-GB"/>
        </w:rPr>
        <w:t xml:space="preserve">better targeting using </w:t>
      </w:r>
      <w:r w:rsidR="003219F3">
        <w:rPr>
          <w:lang w:val="en-GB"/>
        </w:rPr>
        <w:t>the UDB</w:t>
      </w:r>
      <w:r w:rsidR="00C1170F">
        <w:rPr>
          <w:lang w:val="en-GB"/>
        </w:rPr>
        <w:t>,</w:t>
      </w:r>
      <w:r w:rsidR="002E4515">
        <w:rPr>
          <w:lang w:val="en-GB"/>
        </w:rPr>
        <w:t xml:space="preserve"> between 20</w:t>
      </w:r>
      <w:r w:rsidR="003219F3">
        <w:rPr>
          <w:lang w:val="en-GB"/>
        </w:rPr>
        <w:t xml:space="preserve">11 and 2014 the number of recipients went up from just over 1 million households to just under 2.8 million households with average disbursement per household increasing from </w:t>
      </w:r>
      <w:r w:rsidR="00E5623B">
        <w:rPr>
          <w:lang w:val="en-GB"/>
        </w:rPr>
        <w:t>around Rp</w:t>
      </w:r>
      <w:r w:rsidR="003219F3">
        <w:rPr>
          <w:lang w:val="en-GB"/>
        </w:rPr>
        <w:t>1 million to</w:t>
      </w:r>
      <w:r w:rsidR="00E5623B">
        <w:rPr>
          <w:lang w:val="en-GB"/>
        </w:rPr>
        <w:t xml:space="preserve"> around Rp1.4 million. </w:t>
      </w:r>
      <w:r>
        <w:rPr>
          <w:lang w:val="en-GB"/>
        </w:rPr>
        <w:t xml:space="preserve"> This has been of material benefit to women especially those in the lowest poverty </w:t>
      </w:r>
      <w:proofErr w:type="spellStart"/>
      <w:r>
        <w:rPr>
          <w:lang w:val="en-GB"/>
        </w:rPr>
        <w:t>decile</w:t>
      </w:r>
      <w:proofErr w:type="spellEnd"/>
      <w:r>
        <w:rPr>
          <w:lang w:val="en-GB"/>
        </w:rPr>
        <w:t>, and was made possible because the Government could be more confident in increasing benefits because of improved targeting.</w:t>
      </w:r>
    </w:p>
    <w:p w14:paraId="31D08F3D" w14:textId="77777777" w:rsidR="00E5623B" w:rsidRDefault="002E4515" w:rsidP="00463E6C">
      <w:pPr>
        <w:rPr>
          <w:lang w:val="en-GB"/>
        </w:rPr>
      </w:pPr>
      <w:r>
        <w:rPr>
          <w:lang w:val="en-GB"/>
        </w:rPr>
        <w:t>Under the scholarships for the poor program (BSM) the UDB has allowed for better targeting of boys in primary school (where enrolment rates of boys and girls are almost universal and equal but drop-out rates for boys are slightly higher than girls) and girls in secondary and senior secondary where the drop-out rates for girls are much higher than boys. From a scheme where schools made individual decisions about who got scholarships, BSM now has over 60% of the allocations for scholarships done through the UDB.</w:t>
      </w:r>
    </w:p>
    <w:p w14:paraId="60EB26B8" w14:textId="45266AB9" w:rsidR="0035582E" w:rsidRPr="0035582E" w:rsidRDefault="0035582E" w:rsidP="00463E6C">
      <w:r>
        <w:rPr>
          <w:lang w:val="en-GB"/>
        </w:rPr>
        <w:t>Despite these achievements, as is often the case, t</w:t>
      </w:r>
      <w:r w:rsidR="006338CA">
        <w:rPr>
          <w:lang w:val="en-GB"/>
        </w:rPr>
        <w:t xml:space="preserve">he gender strategy has </w:t>
      </w:r>
      <w:r>
        <w:rPr>
          <w:lang w:val="en-GB"/>
        </w:rPr>
        <w:t xml:space="preserve">only </w:t>
      </w:r>
      <w:r w:rsidR="006338CA">
        <w:rPr>
          <w:lang w:val="en-GB"/>
        </w:rPr>
        <w:t>be</w:t>
      </w:r>
      <w:r w:rsidR="00C1170F">
        <w:rPr>
          <w:lang w:val="en-GB"/>
        </w:rPr>
        <w:t xml:space="preserve">en </w:t>
      </w:r>
      <w:r w:rsidR="002321B0">
        <w:rPr>
          <w:lang w:val="en-GB"/>
        </w:rPr>
        <w:t xml:space="preserve">partly achieved </w:t>
      </w:r>
      <w:r>
        <w:rPr>
          <w:lang w:val="en-GB"/>
        </w:rPr>
        <w:t>and there have been a number of</w:t>
      </w:r>
      <w:r w:rsidR="006338CA">
        <w:rPr>
          <w:lang w:val="en-GB"/>
        </w:rPr>
        <w:t xml:space="preserve"> missed opportunities. </w:t>
      </w:r>
      <w:r>
        <w:t>Of the gender strategy’s three objectives, the first one has been the most successful. As noted above more information on the gender dimensions of poverty is available to policy makers. The evidence is less clear on objectives two and three</w:t>
      </w:r>
      <w:r w:rsidR="004B0651">
        <w:t xml:space="preserve"> which are more focussed on policy makers understanding how poverty affects women and directly supporting interventions that target constraints faced by poor women</w:t>
      </w:r>
      <w:r>
        <w:t xml:space="preserve">. In recent gender training conducted by PRSF for TNP2K, feedback from participants indicated that many were only now really understanding the difference between collecting sex-disaggregated data and gender analysis </w:t>
      </w:r>
      <w:r w:rsidR="004B0651">
        <w:t>(</w:t>
      </w:r>
      <w:r>
        <w:t>in the 4</w:t>
      </w:r>
      <w:r w:rsidRPr="002B7A59">
        <w:rPr>
          <w:vertAlign w:val="superscript"/>
        </w:rPr>
        <w:t>th</w:t>
      </w:r>
      <w:r>
        <w:t xml:space="preserve"> year of the program</w:t>
      </w:r>
      <w:r w:rsidR="004B0651" w:rsidRPr="00E96C1E">
        <w:t>)</w:t>
      </w:r>
      <w:r w:rsidRPr="00E96C1E">
        <w:t xml:space="preserve">. This </w:t>
      </w:r>
      <w:r w:rsidR="001B3D45" w:rsidRPr="00E96C1E">
        <w:t>indicates that</w:t>
      </w:r>
      <w:r w:rsidRPr="00E96C1E">
        <w:t xml:space="preserve"> one of the original objectives of PRSF </w:t>
      </w:r>
      <w:r w:rsidR="001B3D45" w:rsidRPr="00E96C1E">
        <w:t xml:space="preserve">is yet to be met; </w:t>
      </w:r>
      <w:r w:rsidRPr="00E96C1E">
        <w:t xml:space="preserve">“realistic, gender </w:t>
      </w:r>
      <w:proofErr w:type="gramStart"/>
      <w:r w:rsidRPr="00E96C1E">
        <w:t>sensitive,</w:t>
      </w:r>
      <w:proofErr w:type="gramEnd"/>
      <w:r w:rsidRPr="00E96C1E">
        <w:t xml:space="preserve"> and implementable policy advice is used by TNP2K to directly influence program decisions.”</w:t>
      </w:r>
      <w:r>
        <w:t xml:space="preserve"> </w:t>
      </w:r>
    </w:p>
    <w:p w14:paraId="2913F5DF" w14:textId="1A2F700F" w:rsidR="006338CA" w:rsidRDefault="0035582E" w:rsidP="00463E6C">
      <w:pPr>
        <w:rPr>
          <w:lang w:val="en-GB"/>
        </w:rPr>
      </w:pPr>
      <w:r>
        <w:rPr>
          <w:lang w:val="en-GB"/>
        </w:rPr>
        <w:t>As noted in the strategy, there is a need for senior level ownership of the issues and for that to translate to a more general culture of understanding gender issues in day to day decision making. While there is very strong commitment and leadership to make sure that the national programs collect data di</w:t>
      </w:r>
      <w:r w:rsidR="004B0651">
        <w:rPr>
          <w:lang w:val="en-GB"/>
        </w:rPr>
        <w:t>saggregated by sex this has</w:t>
      </w:r>
      <w:r>
        <w:rPr>
          <w:lang w:val="en-GB"/>
        </w:rPr>
        <w:t xml:space="preserve"> not translat</w:t>
      </w:r>
      <w:r w:rsidR="004B0651">
        <w:rPr>
          <w:lang w:val="en-GB"/>
        </w:rPr>
        <w:t>ed</w:t>
      </w:r>
      <w:r>
        <w:rPr>
          <w:lang w:val="en-GB"/>
        </w:rPr>
        <w:t xml:space="preserve"> </w:t>
      </w:r>
      <w:r w:rsidR="00A03111">
        <w:rPr>
          <w:lang w:val="en-GB"/>
        </w:rPr>
        <w:t>in</w:t>
      </w:r>
      <w:r>
        <w:rPr>
          <w:lang w:val="en-GB"/>
        </w:rPr>
        <w:t xml:space="preserve">to a </w:t>
      </w:r>
      <w:r w:rsidR="00A03111">
        <w:rPr>
          <w:lang w:val="en-GB"/>
        </w:rPr>
        <w:t xml:space="preserve">stronger more gender aware </w:t>
      </w:r>
      <w:r>
        <w:rPr>
          <w:lang w:val="en-GB"/>
        </w:rPr>
        <w:t xml:space="preserve">culture across the two organisations. The gender specialist at PRSF is still a lone champion of the cause, with some support from the Deputy Team Leader. </w:t>
      </w:r>
      <w:r w:rsidR="006338CA">
        <w:rPr>
          <w:lang w:val="en-GB"/>
        </w:rPr>
        <w:t xml:space="preserve">While much has been achieved, some institutional arrangements like a joint gender working group across both TNP2K and PRSF </w:t>
      </w:r>
      <w:r w:rsidR="00C1170F">
        <w:rPr>
          <w:lang w:val="en-GB"/>
        </w:rPr>
        <w:t xml:space="preserve">chaired by someone senior from TNP2K </w:t>
      </w:r>
      <w:r w:rsidR="006338CA">
        <w:rPr>
          <w:lang w:val="en-GB"/>
        </w:rPr>
        <w:t xml:space="preserve">would ensure that opportunities to maximise the outcomes of TNP2K work </w:t>
      </w:r>
      <w:r w:rsidR="00A03111">
        <w:rPr>
          <w:lang w:val="en-GB"/>
        </w:rPr>
        <w:t xml:space="preserve">with respect to gender </w:t>
      </w:r>
      <w:r w:rsidR="006338CA">
        <w:rPr>
          <w:lang w:val="en-GB"/>
        </w:rPr>
        <w:t>are not missed.</w:t>
      </w:r>
    </w:p>
    <w:p w14:paraId="7DCC3643" w14:textId="77777777" w:rsidR="003A47C8" w:rsidRDefault="00C1170F" w:rsidP="00C1170F">
      <w:pPr>
        <w:pStyle w:val="Heading2"/>
        <w:spacing w:before="120" w:after="120"/>
        <w:rPr>
          <w:lang w:val="en-GB"/>
        </w:rPr>
      </w:pPr>
      <w:bookmarkStart w:id="19" w:name="_Toc424302607"/>
      <w:r>
        <w:rPr>
          <w:lang w:val="en-GB"/>
        </w:rPr>
        <w:t xml:space="preserve">A </w:t>
      </w:r>
      <w:r w:rsidR="00E56561">
        <w:rPr>
          <w:lang w:val="en-GB"/>
        </w:rPr>
        <w:t xml:space="preserve">strong </w:t>
      </w:r>
      <w:r w:rsidR="003A47C8">
        <w:rPr>
          <w:lang w:val="en-GB"/>
        </w:rPr>
        <w:t xml:space="preserve">role </w:t>
      </w:r>
      <w:r w:rsidR="00E56561">
        <w:rPr>
          <w:lang w:val="en-GB"/>
        </w:rPr>
        <w:t xml:space="preserve">for the </w:t>
      </w:r>
      <w:r w:rsidR="003A47C8">
        <w:rPr>
          <w:lang w:val="en-GB"/>
        </w:rPr>
        <w:t>program management team</w:t>
      </w:r>
      <w:bookmarkEnd w:id="19"/>
    </w:p>
    <w:p w14:paraId="1E4AA8C5" w14:textId="47DAAFAA" w:rsidR="00120AC6" w:rsidRDefault="00120AC6" w:rsidP="00E52BCF">
      <w:pPr>
        <w:spacing w:before="120"/>
        <w:rPr>
          <w:lang w:val="en-GB"/>
        </w:rPr>
      </w:pPr>
      <w:r>
        <w:rPr>
          <w:lang w:val="en-GB"/>
        </w:rPr>
        <w:t>As noted above, PRSF has generally done a satisfactory job of managing this quite unique program. It should also be noted that they have not bee</w:t>
      </w:r>
      <w:r w:rsidR="00164226">
        <w:rPr>
          <w:lang w:val="en-GB"/>
        </w:rPr>
        <w:t>n alone in this task, with the e</w:t>
      </w:r>
      <w:r>
        <w:rPr>
          <w:lang w:val="en-GB"/>
        </w:rPr>
        <w:t xml:space="preserve">mbassy putting in place a strong program management team. The program management team have played two important roles. Firstly they have engaged with TNP2K and PRSF on policy issues, including by the deployment of a social protection specialist working a few days a week in the TNP2K office. Secondly, the program management team have been very active in managing the contractor and ensuring that the facility is </w:t>
      </w:r>
      <w:r w:rsidR="004E20C4">
        <w:rPr>
          <w:lang w:val="en-GB"/>
        </w:rPr>
        <w:t xml:space="preserve">not only </w:t>
      </w:r>
      <w:r>
        <w:rPr>
          <w:lang w:val="en-GB"/>
        </w:rPr>
        <w:t>flexible and responsive, but is also meeting the accountability standards required by the Australian Government.</w:t>
      </w:r>
      <w:r w:rsidR="00E52BCF">
        <w:rPr>
          <w:lang w:val="en-GB"/>
        </w:rPr>
        <w:t xml:space="preserve"> At times these two roles have overlapped. </w:t>
      </w:r>
    </w:p>
    <w:p w14:paraId="31394DEE" w14:textId="77777777" w:rsidR="00E52BCF" w:rsidRDefault="00E52BCF" w:rsidP="00E52BCF">
      <w:pPr>
        <w:spacing w:before="120"/>
        <w:rPr>
          <w:lang w:val="en-GB"/>
        </w:rPr>
      </w:pPr>
      <w:r>
        <w:rPr>
          <w:lang w:val="en-GB"/>
        </w:rPr>
        <w:t xml:space="preserve">There is clear evidence that the program management team has made an important contribution to the program. As noted in the previous section, issues like the quality assurance process are unlikely to have been implemented without the intervention of the Embassy program management team. In </w:t>
      </w:r>
      <w:r w:rsidR="004E20C4">
        <w:rPr>
          <w:lang w:val="en-GB"/>
        </w:rPr>
        <w:t xml:space="preserve">a </w:t>
      </w:r>
      <w:r>
        <w:rPr>
          <w:lang w:val="en-GB"/>
        </w:rPr>
        <w:t xml:space="preserve">similar vein to the earlier discussion about the role of PRSF </w:t>
      </w:r>
      <w:proofErr w:type="spellStart"/>
      <w:proofErr w:type="gramStart"/>
      <w:r>
        <w:rPr>
          <w:lang w:val="en-GB"/>
        </w:rPr>
        <w:t>vis</w:t>
      </w:r>
      <w:proofErr w:type="spellEnd"/>
      <w:proofErr w:type="gramEnd"/>
      <w:r>
        <w:rPr>
          <w:lang w:val="en-GB"/>
        </w:rPr>
        <w:t xml:space="preserve"> a </w:t>
      </w:r>
      <w:proofErr w:type="spellStart"/>
      <w:r>
        <w:rPr>
          <w:lang w:val="en-GB"/>
        </w:rPr>
        <w:t>vis</w:t>
      </w:r>
      <w:proofErr w:type="spellEnd"/>
      <w:r>
        <w:rPr>
          <w:lang w:val="en-GB"/>
        </w:rPr>
        <w:t xml:space="preserve"> the strategic direction of policy, it is not the Australian Embassy’s role to set an agenda for TNP2K. It is however important that the Australi</w:t>
      </w:r>
      <w:r w:rsidR="00546093">
        <w:rPr>
          <w:lang w:val="en-GB"/>
        </w:rPr>
        <w:t>a</w:t>
      </w:r>
      <w:r>
        <w:rPr>
          <w:lang w:val="en-GB"/>
        </w:rPr>
        <w:t>n Government can be a good and know</w:t>
      </w:r>
      <w:r w:rsidR="00546093">
        <w:rPr>
          <w:lang w:val="en-GB"/>
        </w:rPr>
        <w:t>l</w:t>
      </w:r>
      <w:r>
        <w:rPr>
          <w:lang w:val="en-GB"/>
        </w:rPr>
        <w:t>ed</w:t>
      </w:r>
      <w:r w:rsidR="00546093">
        <w:rPr>
          <w:lang w:val="en-GB"/>
        </w:rPr>
        <w:t>ge</w:t>
      </w:r>
      <w:r>
        <w:rPr>
          <w:lang w:val="en-GB"/>
        </w:rPr>
        <w:t>able partner to TNP2K when it comes to their policy agenda.</w:t>
      </w:r>
    </w:p>
    <w:p w14:paraId="7E6F7E6C" w14:textId="77777777" w:rsidR="00E52BCF" w:rsidRDefault="00E52BCF" w:rsidP="00E52BCF">
      <w:pPr>
        <w:spacing w:before="120"/>
        <w:rPr>
          <w:lang w:val="en-GB"/>
        </w:rPr>
      </w:pPr>
      <w:r>
        <w:rPr>
          <w:lang w:val="en-GB"/>
        </w:rPr>
        <w:t xml:space="preserve">A probably unforeseen consequence of the presence of the social protection specialist in the office where both TNP2K and PRSF were located was that the specialist </w:t>
      </w:r>
      <w:r w:rsidR="004E20C4">
        <w:rPr>
          <w:lang w:val="en-GB"/>
        </w:rPr>
        <w:t xml:space="preserve">has had </w:t>
      </w:r>
      <w:r>
        <w:rPr>
          <w:lang w:val="en-GB"/>
        </w:rPr>
        <w:t>a ground level view of how policy and operations were actually working. This certainly flowed back into performance management of the contractor by the program management team.</w:t>
      </w:r>
    </w:p>
    <w:p w14:paraId="1651E2B5" w14:textId="18819F29" w:rsidR="00E52BCF" w:rsidRDefault="00E52BCF" w:rsidP="00E52BCF">
      <w:pPr>
        <w:spacing w:before="120"/>
        <w:rPr>
          <w:lang w:val="en-GB"/>
        </w:rPr>
      </w:pPr>
      <w:r>
        <w:rPr>
          <w:lang w:val="en-GB"/>
        </w:rPr>
        <w:t xml:space="preserve">In terms of managing the performance of the contractor there is also considerable evidence that the program management team have been active. As noted in earlier sections, PRSF did not always act quickly enough nor </w:t>
      </w:r>
      <w:r w:rsidR="00164226">
        <w:rPr>
          <w:lang w:val="en-GB"/>
        </w:rPr>
        <w:t xml:space="preserve">at times </w:t>
      </w:r>
      <w:r>
        <w:rPr>
          <w:lang w:val="en-GB"/>
        </w:rPr>
        <w:t xml:space="preserve">did they put in place </w:t>
      </w:r>
      <w:r w:rsidR="00164226">
        <w:rPr>
          <w:lang w:val="en-GB"/>
        </w:rPr>
        <w:t xml:space="preserve">necessary </w:t>
      </w:r>
      <w:r>
        <w:rPr>
          <w:lang w:val="en-GB"/>
        </w:rPr>
        <w:t xml:space="preserve">procedures that would ensure the robustness of this reasonably risky investment. These issues are being dealt with through the contractor performance assessment </w:t>
      </w:r>
      <w:r w:rsidR="006C0B78">
        <w:rPr>
          <w:lang w:val="en-GB"/>
        </w:rPr>
        <w:t xml:space="preserve">process </w:t>
      </w:r>
      <w:r>
        <w:rPr>
          <w:lang w:val="en-GB"/>
        </w:rPr>
        <w:t>so this report will not go over them again.  Suffice to say that PRSF as a facility has been considerably more effective for the active management of the contract by the Embassy.</w:t>
      </w:r>
    </w:p>
    <w:p w14:paraId="5E72FBC4" w14:textId="77777777" w:rsidR="00AE17C3" w:rsidRDefault="00A03458" w:rsidP="00FB3C35">
      <w:pPr>
        <w:pStyle w:val="Heading1"/>
        <w:spacing w:before="120" w:after="120"/>
      </w:pPr>
      <w:bookmarkStart w:id="20" w:name="_Toc424302608"/>
      <w:r>
        <w:t xml:space="preserve">Section 3: </w:t>
      </w:r>
      <w:r w:rsidR="006C0B78">
        <w:t>D</w:t>
      </w:r>
      <w:r w:rsidR="00AE17C3" w:rsidRPr="00603EF1">
        <w:t xml:space="preserve">id </w:t>
      </w:r>
      <w:r w:rsidR="00F11301">
        <w:t>PRSF fa</w:t>
      </w:r>
      <w:r w:rsidR="00AE17C3" w:rsidRPr="00603EF1">
        <w:t xml:space="preserve">cilitate </w:t>
      </w:r>
      <w:r w:rsidR="00FD6B83">
        <w:t xml:space="preserve">the Australian Government’s </w:t>
      </w:r>
      <w:r w:rsidR="00AE17C3" w:rsidRPr="00603EF1">
        <w:t>engage</w:t>
      </w:r>
      <w:r w:rsidR="00FD6B83">
        <w:t>ment</w:t>
      </w:r>
      <w:r w:rsidR="00AE17C3" w:rsidRPr="00603EF1">
        <w:t xml:space="preserve"> in </w:t>
      </w:r>
      <w:r w:rsidR="00FD6B83">
        <w:t xml:space="preserve">a </w:t>
      </w:r>
      <w:r w:rsidR="00AE17C3" w:rsidRPr="00603EF1">
        <w:t>policy dialogue?</w:t>
      </w:r>
      <w:bookmarkEnd w:id="20"/>
    </w:p>
    <w:p w14:paraId="7C316903" w14:textId="77777777" w:rsidR="004548D9" w:rsidRDefault="00F11301" w:rsidP="004548D9">
      <w:r>
        <w:t>As already noted the opportunity for the Australian Government to work in close collaboration with the Vice President of Indonesia on a big agenda like social protection was and to some extent still is unique. While the success or failure of the investment rests on the outcomes already discussed, an important aspect of this program is the extent to which it changed the way the two Governments engage with each other. This section explores some of those dynamics.</w:t>
      </w:r>
    </w:p>
    <w:p w14:paraId="0E969DFD" w14:textId="77777777" w:rsidR="00AE17C3" w:rsidRDefault="00C4270B" w:rsidP="00C4270B">
      <w:pPr>
        <w:pStyle w:val="Heading2"/>
        <w:spacing w:before="120" w:after="120"/>
      </w:pPr>
      <w:bookmarkStart w:id="21" w:name="_Toc424302609"/>
      <w:r>
        <w:t>D</w:t>
      </w:r>
      <w:r w:rsidR="00AE17C3" w:rsidRPr="00603EF1">
        <w:t xml:space="preserve">id </w:t>
      </w:r>
      <w:r w:rsidR="00F11301">
        <w:t xml:space="preserve">the </w:t>
      </w:r>
      <w:r w:rsidR="00AE17C3" w:rsidRPr="00603EF1">
        <w:t>PRSF</w:t>
      </w:r>
      <w:r>
        <w:t xml:space="preserve"> facilitate a deeper policy engagement between Australia and Indonesia</w:t>
      </w:r>
      <w:r w:rsidR="00AE17C3" w:rsidRPr="00603EF1">
        <w:t>?</w:t>
      </w:r>
      <w:bookmarkEnd w:id="21"/>
    </w:p>
    <w:p w14:paraId="4337BD2A" w14:textId="2E232E14" w:rsidR="00D2781B" w:rsidRDefault="00F11301" w:rsidP="00F11301">
      <w:pPr>
        <w:spacing w:before="120"/>
      </w:pPr>
      <w:r>
        <w:t>As already discussed in an early section, PRSF is not really a model. It was a product of a unique set of circumstances. It also came at a time when Australia’s engagement in Indonesia had never been broad</w:t>
      </w:r>
      <w:r w:rsidR="00C4270B">
        <w:t>er</w:t>
      </w:r>
      <w:r>
        <w:t>. The aid program as mentioned was in the process of an unprecedented scale up of it</w:t>
      </w:r>
      <w:r w:rsidR="00C4270B">
        <w:t>s</w:t>
      </w:r>
      <w:r>
        <w:t xml:space="preserve"> operations, making it a major donor in a range of sectors where in the past it had been a small </w:t>
      </w:r>
      <w:r w:rsidR="00D2781B">
        <w:t xml:space="preserve">player. This was not the </w:t>
      </w:r>
      <w:r w:rsidR="00C4270B">
        <w:t xml:space="preserve">full </w:t>
      </w:r>
      <w:r w:rsidR="00D2781B">
        <w:t xml:space="preserve">extent of </w:t>
      </w:r>
      <w:r w:rsidR="00C4270B">
        <w:t>Australia’s engagement.</w:t>
      </w:r>
      <w:r w:rsidR="00D2781B">
        <w:t xml:space="preserve"> </w:t>
      </w:r>
      <w:r w:rsidR="00C4270B">
        <w:t>T</w:t>
      </w:r>
      <w:r w:rsidR="00D2781B">
        <w:t>he rise in importance of the G20 had made Indonesia and Australia regional partners in global geo-politics. Regional trade, security and trans-national crime issues had also seen very large increases in the level of bilateral cooperation. Jakarta was now Australia’s second largest embassy after Washington with representation by a large number of Government agencies not just the usual Foreign Affairs and Tr</w:t>
      </w:r>
      <w:r w:rsidR="006A1AB4">
        <w:t>ade and Immigration officials. Australia’s r</w:t>
      </w:r>
      <w:r w:rsidR="00D2781B">
        <w:t xml:space="preserve">elations with President </w:t>
      </w:r>
      <w:proofErr w:type="spellStart"/>
      <w:r w:rsidR="00D2781B">
        <w:t>Yudhoyono</w:t>
      </w:r>
      <w:proofErr w:type="spellEnd"/>
      <w:r w:rsidR="00D2781B">
        <w:t xml:space="preserve"> were </w:t>
      </w:r>
      <w:r w:rsidR="006A1AB4">
        <w:t>generally very positive.</w:t>
      </w:r>
    </w:p>
    <w:p w14:paraId="4C60CE52" w14:textId="77C502AC" w:rsidR="00D2781B" w:rsidRDefault="00C4270B" w:rsidP="00F11301">
      <w:pPr>
        <w:spacing w:before="120"/>
      </w:pPr>
      <w:r>
        <w:t>For the aid program though, PRSF</w:t>
      </w:r>
      <w:r w:rsidR="00D2781B">
        <w:t xml:space="preserve"> represented a different level and style of engagement. Australia would be the primary partner and funder of the coordination body for billions of dollars-worth of Indonesian Government spending. When you consider that aid had fallen to just 0.5% of GDP and Australian Aid represented approximately the same percentage, 0.5%</w:t>
      </w:r>
      <w:r w:rsidR="00164226">
        <w:t>,</w:t>
      </w:r>
      <w:r w:rsidR="00D2781B">
        <w:t xml:space="preserve"> of the national budget in Indonesia, this represented </w:t>
      </w:r>
      <w:r w:rsidR="00164226">
        <w:t xml:space="preserve">an </w:t>
      </w:r>
      <w:r w:rsidR="00D2781B">
        <w:t xml:space="preserve">unprecedented opportunity to influence national programs directed at the poorest Indonesians. More than that, TNP2K was the first step on the road to Indonesia building </w:t>
      </w:r>
      <w:r w:rsidR="00B243A3">
        <w:t>middle</w:t>
      </w:r>
      <w:r w:rsidR="00D2781B">
        <w:t xml:space="preserve"> income welfare </w:t>
      </w:r>
      <w:r w:rsidR="006C0B78">
        <w:t xml:space="preserve">and </w:t>
      </w:r>
      <w:r w:rsidR="00D2781B">
        <w:t>transfer system with large social, fiscal and macroeconomic implications.</w:t>
      </w:r>
    </w:p>
    <w:p w14:paraId="38D8065E" w14:textId="77777777" w:rsidR="00D2781B" w:rsidRDefault="00D2781B" w:rsidP="00F11301">
      <w:pPr>
        <w:spacing w:before="120"/>
      </w:pPr>
      <w:r>
        <w:t>Early discussions were not based around these broader considerations, and focussed on the three clusters that had been establi</w:t>
      </w:r>
      <w:r w:rsidR="00E60EAC">
        <w:t>shed under the TNP2K structure. Australia had recently scaled up its involvement in flagship Indonesian programs like the National Program for Community Empowerment (PNPM) and with PRSF and a couple of other programs such as the women’s empowerment program MAMPU would have investments in the hundreds of millions to support social protection and poverty alleviation.</w:t>
      </w:r>
    </w:p>
    <w:p w14:paraId="5279112D" w14:textId="77777777" w:rsidR="00E60EAC" w:rsidRDefault="00E60EAC" w:rsidP="00F11301">
      <w:pPr>
        <w:spacing w:before="120"/>
      </w:pPr>
      <w:r>
        <w:t>PRSF provided a perfect platform for engagement with senior Indonesian Government figures on key policy issues. The support provided directly to TNP2K was very much appreciated, not just for the money and the resources but also for the sp</w:t>
      </w:r>
      <w:r w:rsidR="00C4270B">
        <w:t>i</w:t>
      </w:r>
      <w:r>
        <w:t>rit in which was provided. TNP2K then and now see this support as a sign of trust by the Australian Government, something they both respect and appreciate.</w:t>
      </w:r>
    </w:p>
    <w:p w14:paraId="0994BAB3" w14:textId="77777777" w:rsidR="00AE17C3" w:rsidRDefault="00E56561" w:rsidP="00C4270B">
      <w:pPr>
        <w:pStyle w:val="Heading2"/>
        <w:spacing w:before="120" w:after="120"/>
      </w:pPr>
      <w:bookmarkStart w:id="22" w:name="_Toc424302610"/>
      <w:r>
        <w:t>W</w:t>
      </w:r>
      <w:r w:rsidR="00E60EAC">
        <w:t>ere the opportunities for policy engagement realised?</w:t>
      </w:r>
      <w:bookmarkEnd w:id="22"/>
    </w:p>
    <w:p w14:paraId="29CB2637" w14:textId="77777777" w:rsidR="00E60EAC" w:rsidRDefault="00E60EAC" w:rsidP="00E60EAC">
      <w:r>
        <w:t xml:space="preserve">The report has discussed at some length already the quite significant achievements from the partnership between PRSF, TNP2K and the Australian Embassy particularly when it comes to the </w:t>
      </w:r>
      <w:r w:rsidR="00C4270B">
        <w:t>UDB</w:t>
      </w:r>
      <w:r>
        <w:t xml:space="preserve"> and the national poverty programs. The level of engagement was very good and remains so today</w:t>
      </w:r>
      <w:r w:rsidR="002C5F6A">
        <w:t>, but if anything fell short of expectations at the start of the program</w:t>
      </w:r>
      <w:r>
        <w:t xml:space="preserve">. </w:t>
      </w:r>
      <w:r w:rsidR="002C5F6A">
        <w:t xml:space="preserve">Feedback at the </w:t>
      </w:r>
      <w:r>
        <w:t>recent Les</w:t>
      </w:r>
      <w:r w:rsidR="002C5F6A">
        <w:t>s</w:t>
      </w:r>
      <w:r>
        <w:t>ons Learned Workshop organised by PRSF</w:t>
      </w:r>
      <w:r w:rsidR="006C0B78">
        <w:rPr>
          <w:rStyle w:val="FootnoteReference"/>
        </w:rPr>
        <w:footnoteReference w:id="7"/>
      </w:r>
      <w:r w:rsidR="002C5F6A">
        <w:t xml:space="preserve"> noted that: </w:t>
      </w:r>
    </w:p>
    <w:p w14:paraId="7185E6DE" w14:textId="77777777" w:rsidR="002C5F6A" w:rsidRPr="002C5F6A" w:rsidRDefault="002C5F6A" w:rsidP="002C5F6A">
      <w:pPr>
        <w:ind w:left="357"/>
        <w:rPr>
          <w:rFonts w:asciiTheme="majorHAnsi" w:hAnsiTheme="majorHAnsi"/>
          <w:i/>
        </w:rPr>
      </w:pPr>
      <w:r w:rsidRPr="002C5F6A">
        <w:rPr>
          <w:rFonts w:asciiTheme="majorHAnsi" w:hAnsiTheme="majorHAnsi"/>
          <w:i/>
        </w:rPr>
        <w:t>Policy dialogue had not taken place as expected and this was in part attributed to the lack of direction provided by the Steering Committee. It was also noted that the Steering Committee had no formal mandate to oversee activities financed through the DFAT window. This was regarded as a weakness and as a source of misunderstanding, poor communication and missed opportunity for coordinated action. This had placed additional strain on PRSF, which was responsible for managing both TNP2K and non-TNP2K activities.</w:t>
      </w:r>
    </w:p>
    <w:p w14:paraId="38F6B927" w14:textId="724F5B56" w:rsidR="002C5F6A" w:rsidRPr="006A1AB4" w:rsidRDefault="002C5F6A" w:rsidP="00E60EAC">
      <w:r>
        <w:t xml:space="preserve">This comment refers to dialogue between TNP2K and </w:t>
      </w:r>
      <w:r w:rsidR="006C0B78">
        <w:t xml:space="preserve">the Australian Embassy at a strategic level and with PRSF at a more operational level. </w:t>
      </w:r>
      <w:r>
        <w:t xml:space="preserve">At an activity level the engagement </w:t>
      </w:r>
      <w:r w:rsidR="006C0B78">
        <w:t xml:space="preserve">has been </w:t>
      </w:r>
      <w:r>
        <w:t xml:space="preserve">strong and detailed, but at a strategic level </w:t>
      </w:r>
      <w:r w:rsidR="006C0B78">
        <w:t xml:space="preserve">at times </w:t>
      </w:r>
      <w:r>
        <w:t xml:space="preserve">less so. </w:t>
      </w:r>
      <w:r w:rsidR="006C0B78">
        <w:t xml:space="preserve">As is so often the case with facilities, the formal steering committee proved a poor vehicle for managing the policy dialogue. </w:t>
      </w:r>
      <w:r>
        <w:t>It</w:t>
      </w:r>
      <w:r w:rsidR="00C4270B">
        <w:t xml:space="preserve"> i</w:t>
      </w:r>
      <w:r>
        <w:t xml:space="preserve">s clear from this feedback, that </w:t>
      </w:r>
      <w:r w:rsidR="006C0B78">
        <w:t>t</w:t>
      </w:r>
      <w:r>
        <w:t xml:space="preserve">he DFAT window did nothing for </w:t>
      </w:r>
      <w:r w:rsidR="00C4270B">
        <w:t xml:space="preserve">the </w:t>
      </w:r>
      <w:r>
        <w:t xml:space="preserve">engagement with TNP2K, who for their part </w:t>
      </w:r>
      <w:r w:rsidR="006C0B78">
        <w:t xml:space="preserve">are </w:t>
      </w:r>
      <w:r>
        <w:t>not so much opposed to the activities, as disappointed at not being drawn into a discussion about them and how they related to the work of TN</w:t>
      </w:r>
      <w:r w:rsidR="006C0B78">
        <w:t>P2K early enough in the process</w:t>
      </w:r>
      <w:r>
        <w:t xml:space="preserve">. </w:t>
      </w:r>
      <w:r w:rsidR="006A1AB4" w:rsidRPr="006A1AB4">
        <w:rPr>
          <w:rFonts w:cs="Arial"/>
          <w:bCs/>
          <w:iCs/>
          <w:color w:val="000000"/>
        </w:rPr>
        <w:t xml:space="preserve">While this is a reasonable comment, some of the activities </w:t>
      </w:r>
      <w:r w:rsidR="006A1AB4" w:rsidRPr="006A1AB4">
        <w:t>under the DFAT window pre-date TNP2K – such as support for the PNPM Support Facility or support for PEKKA.</w:t>
      </w:r>
    </w:p>
    <w:p w14:paraId="6C29D339" w14:textId="19C1AE07" w:rsidR="0050534A" w:rsidRDefault="002C5F6A" w:rsidP="00E60EAC">
      <w:r>
        <w:t xml:space="preserve">There were also a number of </w:t>
      </w:r>
      <w:r w:rsidR="00164226">
        <w:t>examples of some cross portfolio</w:t>
      </w:r>
      <w:r w:rsidR="006C0B78">
        <w:t xml:space="preserve"> engagement with TNP2K</w:t>
      </w:r>
      <w:r w:rsidR="00164226">
        <w:t xml:space="preserve"> by other Australian funded programs</w:t>
      </w:r>
      <w:r w:rsidR="006C0B78">
        <w:t xml:space="preserve"> but in general there are more </w:t>
      </w:r>
      <w:r>
        <w:t>missed opportunities</w:t>
      </w:r>
      <w:r w:rsidR="006C0B78">
        <w:t xml:space="preserve"> than success stories. </w:t>
      </w:r>
      <w:r>
        <w:t xml:space="preserve"> There are </w:t>
      </w:r>
      <w:r w:rsidR="006C0B78">
        <w:t>three</w:t>
      </w:r>
      <w:r w:rsidR="007D76B5">
        <w:t xml:space="preserve"> </w:t>
      </w:r>
      <w:r>
        <w:t>examples</w:t>
      </w:r>
      <w:r w:rsidR="006C0B78">
        <w:t xml:space="preserve"> that are illustrative, health, </w:t>
      </w:r>
      <w:r>
        <w:t>education</w:t>
      </w:r>
      <w:r w:rsidR="006C0B78">
        <w:t xml:space="preserve"> and women’s empowerment</w:t>
      </w:r>
      <w:r>
        <w:t xml:space="preserve">. </w:t>
      </w:r>
    </w:p>
    <w:p w14:paraId="1B992B8B" w14:textId="2477B3F4" w:rsidR="0050534A" w:rsidRDefault="002C5F6A" w:rsidP="00E60EAC">
      <w:r>
        <w:t xml:space="preserve">Beginning with health, there are some positives and negatives in the engagement. Health is an important part of the national poverty programs, through PKH, </w:t>
      </w:r>
      <w:proofErr w:type="spellStart"/>
      <w:r>
        <w:t>Jamkesmas</w:t>
      </w:r>
      <w:proofErr w:type="spellEnd"/>
      <w:r>
        <w:t xml:space="preserve"> and </w:t>
      </w:r>
      <w:proofErr w:type="spellStart"/>
      <w:r>
        <w:t>Raskin</w:t>
      </w:r>
      <w:proofErr w:type="spellEnd"/>
      <w:r>
        <w:t>. In addition to the clusters already established under TNP2K, a health working group was added. This was headed up by a senior Indonesian adviser who had close links to both TNP2K and the then health m</w:t>
      </w:r>
      <w:r w:rsidR="00C4270B">
        <w:t>inister. Like many of the line m</w:t>
      </w:r>
      <w:r>
        <w:t xml:space="preserve">inistries, the Ministry of Health was not universally in favour of the TNP2K approach. Health </w:t>
      </w:r>
      <w:r w:rsidR="0050534A">
        <w:t>is a broad portfolio and is not just about social protection or poverty alleviation. So there is only a subset of issues w</w:t>
      </w:r>
      <w:r w:rsidR="00C4270B">
        <w:t>here the TNP2K mandate and the h</w:t>
      </w:r>
      <w:r w:rsidR="0050534A">
        <w:t xml:space="preserve">ealth mandate overlap. </w:t>
      </w:r>
    </w:p>
    <w:p w14:paraId="5E283475" w14:textId="011CBA9D" w:rsidR="0050534A" w:rsidRDefault="0050534A" w:rsidP="00E60EAC">
      <w:r>
        <w:t xml:space="preserve">Australia had been designing new programs and was becoming </w:t>
      </w:r>
      <w:r w:rsidR="00164226">
        <w:t>a major donor in health. The</w:t>
      </w:r>
      <w:r>
        <w:t xml:space="preserve"> Health Systems Strengthening progra</w:t>
      </w:r>
      <w:r w:rsidR="00C4270B">
        <w:t>m and our funding of Word Bank s</w:t>
      </w:r>
      <w:r>
        <w:t xml:space="preserve">upport meant we would potentially be on both sides of the table in these debates between TNP2K and the Ministry of Health. In addition, the Health Working Group under TNP2K had been asked to work on the strategic issue of reforms to the national health insurance system and steps towards universal health coverage. Our </w:t>
      </w:r>
      <w:r w:rsidR="00C4270B">
        <w:t>h</w:t>
      </w:r>
      <w:r>
        <w:t>ealth programs were still working at much more programmatic levels, so this represented an opportunity for a broader more strategic engagement in this national policy debate.</w:t>
      </w:r>
    </w:p>
    <w:p w14:paraId="477158DA" w14:textId="2447CCCE" w:rsidR="0050534A" w:rsidRDefault="0050534A" w:rsidP="00E60EAC">
      <w:r>
        <w:t>In the end, the social prot</w:t>
      </w:r>
      <w:r w:rsidR="00164226">
        <w:t>ection and health teams in the e</w:t>
      </w:r>
      <w:r>
        <w:t>mbassy agreed that it would be beneficial for the health team to lead the engagement with TNP2K as well as the health ministry. It was agreed an adviser working for the M</w:t>
      </w:r>
      <w:r w:rsidR="00164226">
        <w:t>inister for Health through the Health System Strengthening P</w:t>
      </w:r>
      <w:r>
        <w:t xml:space="preserve">rogram would also work a few days a month over at TNP2K assisting the health working group. This is exactly the type of engagement that was envisaged at the start of PRSF. While a positive development, it has not led to a change in </w:t>
      </w:r>
      <w:r w:rsidR="006C0B78">
        <w:t xml:space="preserve">the strategic direction of </w:t>
      </w:r>
      <w:r>
        <w:t>Australia’s health programs and if anything has been a way to insulate the work Australia is doing in health from the influence of TNP2K.</w:t>
      </w:r>
    </w:p>
    <w:p w14:paraId="626A6FB2" w14:textId="36F509FD" w:rsidR="0050534A" w:rsidRDefault="0050534A" w:rsidP="00E60EAC">
      <w:r>
        <w:t xml:space="preserve">Education is Australia’s largest investment in Indonesia, and the Education Partnership is the largest single program for Australia anywhere in the world. TNP2K has a number of entry points on education, through PKH, though the BSM (scholarships for the poor) program and through the pilot program </w:t>
      </w:r>
      <w:proofErr w:type="spellStart"/>
      <w:r>
        <w:t>Kia</w:t>
      </w:r>
      <w:r w:rsidR="007D76B5">
        <w:t>t</w:t>
      </w:r>
      <w:proofErr w:type="spellEnd"/>
      <w:r w:rsidR="007D76B5">
        <w:t xml:space="preserve"> Guru </w:t>
      </w:r>
      <w:r>
        <w:t xml:space="preserve">which is trialling having parents groups more involved in teacher performance. Despite these obvious areas of potential engagement, there </w:t>
      </w:r>
      <w:proofErr w:type="gramStart"/>
      <w:r>
        <w:t>has</w:t>
      </w:r>
      <w:proofErr w:type="gramEnd"/>
      <w:r>
        <w:t xml:space="preserve"> been little or no </w:t>
      </w:r>
      <w:r w:rsidR="00164226">
        <w:t xml:space="preserve">strategic </w:t>
      </w:r>
      <w:r w:rsidR="007D76B5">
        <w:t>discussions</w:t>
      </w:r>
      <w:r w:rsidR="00164226">
        <w:t xml:space="preserve"> between Australia’s education team and TNP2K or PRSF</w:t>
      </w:r>
      <w:r w:rsidR="007D76B5">
        <w:t>.</w:t>
      </w:r>
      <w:r w:rsidR="00164226" w:rsidRPr="00164226">
        <w:rPr>
          <w:rStyle w:val="FootnoteReference"/>
        </w:rPr>
        <w:t xml:space="preserve"> </w:t>
      </w:r>
      <w:r w:rsidR="00164226">
        <w:rPr>
          <w:rStyle w:val="FootnoteReference"/>
        </w:rPr>
        <w:footnoteReference w:id="8"/>
      </w:r>
      <w:r w:rsidR="00164226">
        <w:t xml:space="preserve"> </w:t>
      </w:r>
      <w:r w:rsidR="007D76B5">
        <w:t xml:space="preserve"> As with heath, education is much broader than social protection and poverty alleviation, and the overlap between the work of TNP2K and our Education Partnership is negligible. The opportunity to engage with the Vice President’s office was not inducement enough for those priorities to be reassessed. This seems to be a missed opportunity, given Australian Aid to education, even at $100 million per year is just a fraction of the over $25 billion a year Indonesia spends on education. </w:t>
      </w:r>
    </w:p>
    <w:p w14:paraId="284BEAF7" w14:textId="20533A17" w:rsidR="002E4515" w:rsidRDefault="002E4515" w:rsidP="00E60EAC">
      <w:r>
        <w:rPr>
          <w:lang w:val="en-GB"/>
        </w:rPr>
        <w:t xml:space="preserve">When the Australian program MAMPU was first being discussed, TNP2K was considered a potential government counterpart. MAMPU is a program that is designed to support better policy making for women, working from the top with policy makers, to the community </w:t>
      </w:r>
      <w:r w:rsidR="00164226">
        <w:rPr>
          <w:lang w:val="en-GB"/>
        </w:rPr>
        <w:t xml:space="preserve">by </w:t>
      </w:r>
      <w:r>
        <w:rPr>
          <w:lang w:val="en-GB"/>
        </w:rPr>
        <w:t>working with CSOs. In the end it was decided that TNP2K was not a permanent part of the Government and so was not an ideal counterpart for what was considered a long-term (8 year) investment. The early engagement with TNP2K was not wasted however, as some of the senior leadership at TNP2K proved e</w:t>
      </w:r>
      <w:r w:rsidR="00164226">
        <w:rPr>
          <w:lang w:val="en-GB"/>
        </w:rPr>
        <w:t xml:space="preserve">ffective advocates with </w:t>
      </w:r>
      <w:proofErr w:type="spellStart"/>
      <w:r w:rsidR="00164226">
        <w:rPr>
          <w:lang w:val="en-GB"/>
        </w:rPr>
        <w:t>Bappenas</w:t>
      </w:r>
      <w:proofErr w:type="spellEnd"/>
      <w:r>
        <w:rPr>
          <w:lang w:val="en-GB"/>
        </w:rPr>
        <w:t xml:space="preserve"> when the program was in its early stages. This was one of the few instances of cross portfolio cooperation with PRSF and TNP2K by other</w:t>
      </w:r>
      <w:r w:rsidR="00164226">
        <w:rPr>
          <w:lang w:val="en-GB"/>
        </w:rPr>
        <w:t xml:space="preserve"> Australian Government programs</w:t>
      </w:r>
      <w:r>
        <w:rPr>
          <w:lang w:val="en-GB"/>
        </w:rPr>
        <w:t>.</w:t>
      </w:r>
    </w:p>
    <w:p w14:paraId="0381BD68" w14:textId="77777777" w:rsidR="007D76B5" w:rsidRPr="00E60EAC" w:rsidRDefault="002E4515" w:rsidP="00E60EAC">
      <w:r>
        <w:t>T</w:t>
      </w:r>
      <w:r w:rsidR="007D76B5">
        <w:t xml:space="preserve">here has been little </w:t>
      </w:r>
      <w:r w:rsidR="006C0B78">
        <w:t xml:space="preserve">meaningful </w:t>
      </w:r>
      <w:r w:rsidR="007D76B5">
        <w:t>engagement from other programs. Even those whose objectives are strongly aligned with TNP2Ks goals and approach, like the Knowledge Sector Initiative, have largely failed to build relationships with TNP2K or take advantage of PRSF. This is something that needs to be addressed in future.</w:t>
      </w:r>
    </w:p>
    <w:p w14:paraId="234BF0B0" w14:textId="33E847F1" w:rsidR="00AE17C3" w:rsidRPr="00013BDC" w:rsidRDefault="007D76B5" w:rsidP="00013BDC">
      <w:r w:rsidRPr="00013BDC">
        <w:t xml:space="preserve">Overall, PRSF is a large net positive for the Australian Embassy in terms of opportunities to engage senior and influential figures in the Indonesian Government. While there have been some missed opportunities, </w:t>
      </w:r>
      <w:r w:rsidR="00164226" w:rsidRPr="00013BDC">
        <w:t xml:space="preserve">particularly for broader strategic engagement, </w:t>
      </w:r>
      <w:r w:rsidRPr="00013BDC">
        <w:t xml:space="preserve">the fact support to TNP2K is ongoing means those opportunities are still there. </w:t>
      </w:r>
    </w:p>
    <w:p w14:paraId="335D425E" w14:textId="77777777" w:rsidR="00807FC8" w:rsidRDefault="00A03458" w:rsidP="00FB3C35">
      <w:pPr>
        <w:pStyle w:val="Heading1"/>
        <w:spacing w:before="120" w:after="120"/>
      </w:pPr>
      <w:bookmarkStart w:id="23" w:name="_Toc424302611"/>
      <w:r>
        <w:t xml:space="preserve">Section 4: </w:t>
      </w:r>
      <w:r w:rsidR="00FD6B83">
        <w:t>What are the lessons from PRSF?</w:t>
      </w:r>
      <w:bookmarkEnd w:id="23"/>
    </w:p>
    <w:p w14:paraId="1BC7CCFE" w14:textId="77777777" w:rsidR="00FD6B83" w:rsidRDefault="00CE7C48" w:rsidP="00FD6B83">
      <w:r>
        <w:t>As the preceding discussion illustrates, PRSF has been a rich experience of engagement and activity. This section sets out the key lessons from the program.</w:t>
      </w:r>
    </w:p>
    <w:p w14:paraId="5B0FF2A1" w14:textId="77777777" w:rsidR="00CE7C48" w:rsidRDefault="00EB6A2B" w:rsidP="00EB6A2B">
      <w:r>
        <w:t>On 29 April 2015 PRSF organised a lesson learned workshop attended by a large number of PRSF, TNP2K and Australian Embassy staff.  The workshop was half a day and was split into 3 sessions covering:</w:t>
      </w:r>
    </w:p>
    <w:p w14:paraId="0DDBF9D6" w14:textId="77777777" w:rsidR="00EB6A2B" w:rsidRDefault="00EB6A2B" w:rsidP="00EB6A2B">
      <w:pPr>
        <w:pStyle w:val="ListParagraph"/>
        <w:numPr>
          <w:ilvl w:val="0"/>
          <w:numId w:val="32"/>
        </w:numPr>
      </w:pPr>
      <w:r>
        <w:t>Expectations and understanding of the partnership;</w:t>
      </w:r>
    </w:p>
    <w:p w14:paraId="4B0C3712" w14:textId="77777777" w:rsidR="00EB6A2B" w:rsidRDefault="00EB6A2B" w:rsidP="00EB6A2B">
      <w:pPr>
        <w:pStyle w:val="ListParagraph"/>
        <w:numPr>
          <w:ilvl w:val="0"/>
          <w:numId w:val="32"/>
        </w:numPr>
      </w:pPr>
      <w:r>
        <w:t xml:space="preserve">Implementation – what actually happened; and </w:t>
      </w:r>
    </w:p>
    <w:p w14:paraId="2EA98D73" w14:textId="77777777" w:rsidR="00EB6A2B" w:rsidRDefault="00EB6A2B" w:rsidP="00EB6A2B">
      <w:pPr>
        <w:pStyle w:val="ListParagraph"/>
        <w:numPr>
          <w:ilvl w:val="0"/>
          <w:numId w:val="32"/>
        </w:numPr>
      </w:pPr>
      <w:r>
        <w:t>Looking forward – Key messages for future cooperation and partnership.</w:t>
      </w:r>
    </w:p>
    <w:p w14:paraId="39A43B6F" w14:textId="549F80CD" w:rsidR="00377C22" w:rsidRDefault="00EB6A2B" w:rsidP="00EB6A2B">
      <w:r>
        <w:t xml:space="preserve">This was a very useful exercise and demonstrated again that a culture of honesty and trust has developed amongst the partners. Many of the key findings and observations from that workshop have been discussed in early sections </w:t>
      </w:r>
      <w:r w:rsidR="00CA47A3">
        <w:t xml:space="preserve">so </w:t>
      </w:r>
      <w:r w:rsidR="00377C22">
        <w:t>this last section of the report focus</w:t>
      </w:r>
      <w:r w:rsidR="00CA47A3">
        <w:t>es</w:t>
      </w:r>
      <w:r w:rsidR="00377C22">
        <w:t xml:space="preserve"> on the third element – lessons for the future.</w:t>
      </w:r>
    </w:p>
    <w:p w14:paraId="6C88F62D" w14:textId="77777777" w:rsidR="00EB6A2B" w:rsidRDefault="00377C22" w:rsidP="009C6814">
      <w:pPr>
        <w:pStyle w:val="Heading2"/>
        <w:spacing w:before="120" w:after="120"/>
      </w:pPr>
      <w:bookmarkStart w:id="24" w:name="_Toc424302612"/>
      <w:r>
        <w:t>Looking forward – Key messages for future cooperation and partnership</w:t>
      </w:r>
      <w:r>
        <w:rPr>
          <w:rStyle w:val="FootnoteReference"/>
        </w:rPr>
        <w:footnoteReference w:id="9"/>
      </w:r>
      <w:bookmarkEnd w:id="24"/>
    </w:p>
    <w:p w14:paraId="5D5908EB" w14:textId="77777777" w:rsidR="00377C22" w:rsidRPr="0035463A" w:rsidRDefault="00377C22" w:rsidP="00377C22">
      <w:pPr>
        <w:spacing w:before="120" w:after="120"/>
        <w:rPr>
          <w:i/>
        </w:rPr>
      </w:pPr>
      <w:r w:rsidRPr="0035463A">
        <w:rPr>
          <w:i/>
        </w:rPr>
        <w:t xml:space="preserve">A key overall lesson identified by a number of </w:t>
      </w:r>
      <w:r w:rsidR="00C53F7F" w:rsidRPr="0035463A">
        <w:rPr>
          <w:i/>
        </w:rPr>
        <w:t xml:space="preserve">people from all three organisations </w:t>
      </w:r>
      <w:r w:rsidRPr="0035463A">
        <w:rPr>
          <w:i/>
        </w:rPr>
        <w:t>was that the success of the partnership depended on the combination of authority (provided by the V</w:t>
      </w:r>
      <w:r w:rsidR="00C53F7F" w:rsidRPr="0035463A">
        <w:rPr>
          <w:i/>
        </w:rPr>
        <w:t xml:space="preserve">ice </w:t>
      </w:r>
      <w:r w:rsidRPr="0035463A">
        <w:rPr>
          <w:i/>
        </w:rPr>
        <w:t>P</w:t>
      </w:r>
      <w:r w:rsidR="00C53F7F" w:rsidRPr="0035463A">
        <w:rPr>
          <w:i/>
        </w:rPr>
        <w:t>resident’s</w:t>
      </w:r>
      <w:r w:rsidRPr="0035463A">
        <w:rPr>
          <w:i/>
        </w:rPr>
        <w:t xml:space="preserve"> office), change agents </w:t>
      </w:r>
      <w:r w:rsidR="00C53F7F" w:rsidRPr="0035463A">
        <w:rPr>
          <w:i/>
        </w:rPr>
        <w:t xml:space="preserve">or </w:t>
      </w:r>
      <w:r w:rsidRPr="0035463A">
        <w:rPr>
          <w:i/>
        </w:rPr>
        <w:t xml:space="preserve">“champions” (provided by the staff of the TNP2K Secretariat) and financial/ technical resources (provided through DFAT and PRSF). Particular emphasis was given to the contribution of Indonesian expertise that had been mobilized through PRSF and deployed to work in the Secretariat. This had created a capability that enjoyed technical and political legitimacy and through this, access to political leaders in Government and technocrats in the line ministries. </w:t>
      </w:r>
    </w:p>
    <w:p w14:paraId="3BB800DA" w14:textId="77777777" w:rsidR="00377C22" w:rsidRPr="0035463A" w:rsidRDefault="00377C22" w:rsidP="00377C22">
      <w:pPr>
        <w:rPr>
          <w:i/>
        </w:rPr>
      </w:pPr>
      <w:r w:rsidRPr="0035463A">
        <w:rPr>
          <w:i/>
        </w:rPr>
        <w:t xml:space="preserve">Yet there was concern over the sustainability of this model. TNP2K </w:t>
      </w:r>
      <w:r w:rsidR="00C53F7F" w:rsidRPr="0035463A">
        <w:rPr>
          <w:i/>
        </w:rPr>
        <w:t xml:space="preserve">may </w:t>
      </w:r>
      <w:r w:rsidRPr="0035463A">
        <w:rPr>
          <w:i/>
        </w:rPr>
        <w:t xml:space="preserve">continue to function </w:t>
      </w:r>
      <w:r w:rsidR="00C53F7F" w:rsidRPr="0035463A">
        <w:rPr>
          <w:i/>
        </w:rPr>
        <w:t xml:space="preserve">through the next term of Government but it is not a </w:t>
      </w:r>
      <w:r w:rsidRPr="0035463A">
        <w:rPr>
          <w:i/>
        </w:rPr>
        <w:t>permanent</w:t>
      </w:r>
      <w:r w:rsidR="00C53F7F" w:rsidRPr="0035463A">
        <w:rPr>
          <w:i/>
        </w:rPr>
        <w:t xml:space="preserve"> institution. Even if it were to become a more </w:t>
      </w:r>
      <w:r w:rsidRPr="0035463A">
        <w:rPr>
          <w:i/>
        </w:rPr>
        <w:t>permanent</w:t>
      </w:r>
      <w:r w:rsidR="00C53F7F" w:rsidRPr="0035463A">
        <w:rPr>
          <w:i/>
        </w:rPr>
        <w:t xml:space="preserve"> institution</w:t>
      </w:r>
      <w:r w:rsidRPr="0035463A">
        <w:rPr>
          <w:i/>
        </w:rPr>
        <w:t xml:space="preserve">, what funding options, beyond external funding, might be considered </w:t>
      </w:r>
      <w:r w:rsidR="00C53F7F" w:rsidRPr="0035463A">
        <w:rPr>
          <w:i/>
        </w:rPr>
        <w:t xml:space="preserve">appropriate? </w:t>
      </w:r>
      <w:r w:rsidRPr="0035463A">
        <w:rPr>
          <w:i/>
        </w:rPr>
        <w:t xml:space="preserve">If </w:t>
      </w:r>
      <w:r w:rsidR="00C53F7F" w:rsidRPr="0035463A">
        <w:rPr>
          <w:i/>
        </w:rPr>
        <w:t xml:space="preserve">TNP2K is a temporary measure that will eventually have to pass on its functions, how does the Government </w:t>
      </w:r>
      <w:r w:rsidRPr="0035463A">
        <w:rPr>
          <w:i/>
        </w:rPr>
        <w:t xml:space="preserve">avoid creating dependency within line ministries and how </w:t>
      </w:r>
      <w:r w:rsidR="00C53F7F" w:rsidRPr="0035463A">
        <w:rPr>
          <w:i/>
        </w:rPr>
        <w:t xml:space="preserve">will the Government </w:t>
      </w:r>
      <w:r w:rsidRPr="0035463A">
        <w:rPr>
          <w:i/>
        </w:rPr>
        <w:t>re-deploy capabilities from TNP2K</w:t>
      </w:r>
      <w:r w:rsidR="00C53F7F" w:rsidRPr="0035463A">
        <w:rPr>
          <w:i/>
        </w:rPr>
        <w:t xml:space="preserve"> when the time comes</w:t>
      </w:r>
      <w:r w:rsidRPr="0035463A">
        <w:rPr>
          <w:i/>
        </w:rPr>
        <w:t xml:space="preserve">? </w:t>
      </w:r>
    </w:p>
    <w:p w14:paraId="1D05911A" w14:textId="1BD5022E" w:rsidR="00C53F7F" w:rsidRDefault="00C53F7F" w:rsidP="00377C22">
      <w:r>
        <w:t xml:space="preserve">Given the very different circumstances in 2015 to 2010, these questions of sustainability and what a reasonable exit strategy will look like, for the Government </w:t>
      </w:r>
      <w:r w:rsidR="00864CB0">
        <w:t xml:space="preserve">of Indonesia </w:t>
      </w:r>
      <w:r>
        <w:t>and for Australia</w:t>
      </w:r>
      <w:r w:rsidR="00145D9E">
        <w:t>,</w:t>
      </w:r>
      <w:r>
        <w:t xml:space="preserve"> need to be discussed at the beginning of the new phase of support rather than </w:t>
      </w:r>
      <w:r w:rsidR="003F461A">
        <w:t xml:space="preserve">in </w:t>
      </w:r>
      <w:r>
        <w:t xml:space="preserve">the middle or the end. </w:t>
      </w:r>
    </w:p>
    <w:p w14:paraId="799C471E" w14:textId="77777777" w:rsidR="00377C22" w:rsidRPr="0035463A" w:rsidRDefault="00C53F7F" w:rsidP="00377C22">
      <w:pPr>
        <w:rPr>
          <w:i/>
        </w:rPr>
      </w:pPr>
      <w:r w:rsidRPr="0035463A">
        <w:rPr>
          <w:i/>
        </w:rPr>
        <w:t>The workshop also emphasised that a</w:t>
      </w:r>
      <w:r w:rsidR="00377C22" w:rsidRPr="0035463A">
        <w:rPr>
          <w:i/>
        </w:rPr>
        <w:t xml:space="preserve"> good governance system is required to ensure the smooth functioning of this kind of partnership. Ensuring good communication systems including for consultation are especially important so as to ensure partners’ interests and concerns are taken account of and emerging problems are tackled quickly. Such systems need to function at various levels from the strategic (Steering Committee) to the operational (PRSF secretariat). Regular consultatio</w:t>
      </w:r>
      <w:r w:rsidRPr="0035463A">
        <w:rPr>
          <w:i/>
        </w:rPr>
        <w:t>ns between the Australian Embassy</w:t>
      </w:r>
      <w:r w:rsidR="00377C22" w:rsidRPr="0035463A">
        <w:rPr>
          <w:i/>
        </w:rPr>
        <w:t xml:space="preserve"> and TNP2K as custodians of the partnership were considered most critical. </w:t>
      </w:r>
      <w:r w:rsidR="009C6814" w:rsidRPr="0035463A">
        <w:rPr>
          <w:i/>
        </w:rPr>
        <w:t>Indonesian</w:t>
      </w:r>
      <w:r w:rsidR="00377C22" w:rsidRPr="0035463A">
        <w:rPr>
          <w:i/>
        </w:rPr>
        <w:t xml:space="preserve"> ownership of the entire process in order to support the partnership (strategic direction, provision of support) was particularly emphasized.</w:t>
      </w:r>
    </w:p>
    <w:p w14:paraId="7B613E55" w14:textId="77777777" w:rsidR="00377C22" w:rsidRPr="0035463A" w:rsidRDefault="00377C22" w:rsidP="00377C22">
      <w:pPr>
        <w:rPr>
          <w:i/>
        </w:rPr>
      </w:pPr>
      <w:r w:rsidRPr="0035463A">
        <w:rPr>
          <w:i/>
        </w:rPr>
        <w:t>The governance system should also cover all aspects of the investment. In this case it means that activities financed through the DFAT window should be overseen by a defined governance arrangement. This could help ensure effective coordination of different activities and with different parts of government. DFATs work with local government was cited as one example where better coordination would be desirable.</w:t>
      </w:r>
    </w:p>
    <w:p w14:paraId="5CA14D92" w14:textId="113FD0EE" w:rsidR="00377C22" w:rsidRDefault="00C53F7F" w:rsidP="00377C22">
      <w:r>
        <w:t>The key message to take out of th</w:t>
      </w:r>
      <w:r w:rsidR="009C6814">
        <w:t xml:space="preserve">ese observations about governance </w:t>
      </w:r>
      <w:r>
        <w:t>is that the strategic oversight of the program through the steering committee was far less effective in the end than ha</w:t>
      </w:r>
      <w:r w:rsidR="009C6814">
        <w:t>d</w:t>
      </w:r>
      <w:r>
        <w:t xml:space="preserve"> been anticipated. It was in effect replaced by day to day, week to week and month to month back and forth and dialogue between various parties. Formal structures were less effective than informal ones based on solid working relationships and trust built up over time. In considering how to structure the oversight of the next phase of support this is worth making note of. It is a common feature of many programs that t</w:t>
      </w:r>
      <w:r w:rsidR="003F461A">
        <w:t>hey blame a poorly functioning program steering c</w:t>
      </w:r>
      <w:r>
        <w:t xml:space="preserve">ommittee for poor communication and </w:t>
      </w:r>
      <w:r w:rsidR="00353B83">
        <w:t>cooperation, when in reality, particularly in Indonesia, good communication, cooperation and trust usually leads to better strategic outcomes whether there is a function</w:t>
      </w:r>
      <w:r w:rsidR="009C6814">
        <w:t>ing</w:t>
      </w:r>
      <w:r w:rsidR="00353B83">
        <w:t xml:space="preserve"> steering committee or not. The key question in this case is, does the Deputy Minister in charge of TNP2K feel he has </w:t>
      </w:r>
      <w:r w:rsidR="00E22D16">
        <w:t>ready access to decision makers in the Embassy, and are they responsive to his needs? From the Embassy point of view, can they speak openly to the Deputy Minister and his senior leadership team about the strategic direction of the program? In this case, the answer to both questions has been yes.</w:t>
      </w:r>
    </w:p>
    <w:p w14:paraId="3329BC45" w14:textId="0511F5A2" w:rsidR="00EB6A2B" w:rsidRPr="0035463A" w:rsidRDefault="003F461A" w:rsidP="00377C22">
      <w:pPr>
        <w:rPr>
          <w:i/>
        </w:rPr>
      </w:pPr>
      <w:r>
        <w:rPr>
          <w:i/>
        </w:rPr>
        <w:t>Lastly, at an</w:t>
      </w:r>
      <w:r w:rsidR="00E22D16" w:rsidRPr="0035463A">
        <w:rPr>
          <w:i/>
        </w:rPr>
        <w:t xml:space="preserve"> </w:t>
      </w:r>
      <w:r w:rsidR="00377C22" w:rsidRPr="0035463A">
        <w:rPr>
          <w:i/>
        </w:rPr>
        <w:t>operational level</w:t>
      </w:r>
      <w:r w:rsidR="00E22D16" w:rsidRPr="0035463A">
        <w:rPr>
          <w:i/>
        </w:rPr>
        <w:t xml:space="preserve"> workshop participants f</w:t>
      </w:r>
      <w:r w:rsidR="009C6814" w:rsidRPr="0035463A">
        <w:rPr>
          <w:i/>
        </w:rPr>
        <w:t>o</w:t>
      </w:r>
      <w:r w:rsidR="00E22D16" w:rsidRPr="0035463A">
        <w:rPr>
          <w:i/>
        </w:rPr>
        <w:t xml:space="preserve">und that </w:t>
      </w:r>
      <w:r w:rsidR="00377C22" w:rsidRPr="0035463A">
        <w:rPr>
          <w:i/>
        </w:rPr>
        <w:t>robust management systems (including standard operating procedures) need to be put in place from the outset and communicated to all concerned. This would also clarify reporting requirements. From a TNP2K point of view, having the M&amp;E and reporting system embedded within the different work clusters from the very beginning would have been desirable.</w:t>
      </w:r>
    </w:p>
    <w:p w14:paraId="632881EC" w14:textId="482712FA" w:rsidR="00E22D16" w:rsidRDefault="00E22D16" w:rsidP="00377C22">
      <w:r>
        <w:t xml:space="preserve">This sounds like a fairly obvious point to make, but as already noted in an earlier section, the TNP2K staff were for the most part coming to their new role from different environments and would not be familiar with Australia’s administrative and governance requirements, and most of them would feel that they had joined the Vice President’s </w:t>
      </w:r>
      <w:r w:rsidR="00145D9E">
        <w:t>office, not a contractor firm. A</w:t>
      </w:r>
      <w:r>
        <w:t xml:space="preserve"> big lesson for the next phase of work will be to invest more heavily early on in agreement on what the program should report on, in wh</w:t>
      </w:r>
      <w:r w:rsidR="0035463A">
        <w:t>a</w:t>
      </w:r>
      <w:r>
        <w:t xml:space="preserve">t form and to </w:t>
      </w:r>
      <w:proofErr w:type="gramStart"/>
      <w:r>
        <w:t>who</w:t>
      </w:r>
      <w:proofErr w:type="gramEnd"/>
      <w:r>
        <w:t>. While HR, admin and finance systems are now working pretty well, this point raised in the workshop is consistent with a number of comments in interviews where people said they are happy to provide reporting and information, but it should be consistent with their work and clear upfront what is required. Compliance with Australian Embassy requirements is not a reasonable basis for asking for information in the case of TNP2K.</w:t>
      </w:r>
    </w:p>
    <w:p w14:paraId="1CC0E211" w14:textId="77777777" w:rsidR="00807FC8" w:rsidRDefault="00807FC8">
      <w:r>
        <w:br w:type="page"/>
      </w:r>
    </w:p>
    <w:p w14:paraId="2EAD6BEF" w14:textId="77777777" w:rsidR="006145A6" w:rsidRPr="006145A6" w:rsidRDefault="006145A6" w:rsidP="00FB3C35">
      <w:pPr>
        <w:pStyle w:val="Heading1"/>
        <w:spacing w:before="120" w:after="120"/>
      </w:pPr>
      <w:bookmarkStart w:id="25" w:name="_Toc424302613"/>
      <w:r>
        <w:t xml:space="preserve">Annex 1: </w:t>
      </w:r>
      <w:r w:rsidRPr="006145A6">
        <w:rPr>
          <w:lang w:val="en-GB"/>
        </w:rPr>
        <w:t>PRSF – Value for Money of DFAT’s investment</w:t>
      </w:r>
      <w:r>
        <w:rPr>
          <w:rStyle w:val="FootnoteReference"/>
          <w:sz w:val="22"/>
          <w:szCs w:val="22"/>
          <w:lang w:val="en-GB"/>
        </w:rPr>
        <w:footnoteReference w:id="10"/>
      </w:r>
      <w:bookmarkEnd w:id="25"/>
    </w:p>
    <w:p w14:paraId="4E128DC9" w14:textId="77777777" w:rsidR="006145A6" w:rsidRDefault="006145A6" w:rsidP="00530F10">
      <w:pPr>
        <w:spacing w:before="120" w:after="120" w:line="240" w:lineRule="auto"/>
        <w:rPr>
          <w:lang w:val="en-GB"/>
        </w:rPr>
      </w:pPr>
      <w:r>
        <w:rPr>
          <w:lang w:val="en-GB"/>
        </w:rPr>
        <w:t>From 2011 to 2015 the Poverty Reduction Support Facility</w:t>
      </w:r>
      <w:r w:rsidRPr="00F860F4">
        <w:rPr>
          <w:lang w:val="en-GB"/>
        </w:rPr>
        <w:t xml:space="preserve"> </w:t>
      </w:r>
      <w:r>
        <w:rPr>
          <w:lang w:val="en-GB"/>
        </w:rPr>
        <w:t>(</w:t>
      </w:r>
      <w:r w:rsidRPr="00F860F4">
        <w:rPr>
          <w:lang w:val="en-GB"/>
        </w:rPr>
        <w:t>PRSF</w:t>
      </w:r>
      <w:r>
        <w:rPr>
          <w:lang w:val="en-GB"/>
        </w:rPr>
        <w:t>)</w:t>
      </w:r>
      <w:r w:rsidRPr="00F860F4">
        <w:rPr>
          <w:lang w:val="en-GB"/>
        </w:rPr>
        <w:t xml:space="preserve"> </w:t>
      </w:r>
      <w:r>
        <w:rPr>
          <w:lang w:val="en-GB"/>
        </w:rPr>
        <w:t>supported the Vice President of Indonesia’s National Team to Accelerate Poverty Reduction</w:t>
      </w:r>
      <w:r w:rsidRPr="00F860F4">
        <w:rPr>
          <w:lang w:val="en-GB"/>
        </w:rPr>
        <w:t xml:space="preserve"> </w:t>
      </w:r>
      <w:r>
        <w:rPr>
          <w:lang w:val="en-GB"/>
        </w:rPr>
        <w:t>(</w:t>
      </w:r>
      <w:r w:rsidRPr="00F860F4">
        <w:rPr>
          <w:lang w:val="en-GB"/>
        </w:rPr>
        <w:t>TNP2K</w:t>
      </w:r>
      <w:r>
        <w:rPr>
          <w:lang w:val="en-GB"/>
        </w:rPr>
        <w:t xml:space="preserve">) to </w:t>
      </w:r>
      <w:r w:rsidRPr="00F860F4">
        <w:rPr>
          <w:lang w:val="en-GB"/>
        </w:rPr>
        <w:t>fund</w:t>
      </w:r>
      <w:r>
        <w:rPr>
          <w:lang w:val="en-GB"/>
        </w:rPr>
        <w:t xml:space="preserve"> </w:t>
      </w:r>
      <w:r w:rsidRPr="00F860F4">
        <w:rPr>
          <w:lang w:val="en-GB"/>
        </w:rPr>
        <w:t>a range of activities to</w:t>
      </w:r>
      <w:r>
        <w:rPr>
          <w:lang w:val="en-GB"/>
        </w:rPr>
        <w:t xml:space="preserve"> improve</w:t>
      </w:r>
      <w:r w:rsidRPr="00F860F4">
        <w:rPr>
          <w:lang w:val="en-GB"/>
        </w:rPr>
        <w:t xml:space="preserve"> </w:t>
      </w:r>
      <w:r>
        <w:rPr>
          <w:lang w:val="en-GB"/>
        </w:rPr>
        <w:t xml:space="preserve">the effectiveness and efficiency of Indonesia’s four largest national social assistance programs targeting the poor: </w:t>
      </w:r>
    </w:p>
    <w:p w14:paraId="38D62951" w14:textId="77777777" w:rsidR="006145A6" w:rsidRPr="00201C55" w:rsidRDefault="006145A6" w:rsidP="006145A6">
      <w:pPr>
        <w:pStyle w:val="ListParagraph"/>
        <w:numPr>
          <w:ilvl w:val="0"/>
          <w:numId w:val="10"/>
        </w:numPr>
        <w:spacing w:after="0" w:line="240" w:lineRule="auto"/>
        <w:jc w:val="both"/>
        <w:rPr>
          <w:lang w:val="en-GB"/>
        </w:rPr>
      </w:pPr>
      <w:proofErr w:type="spellStart"/>
      <w:r w:rsidRPr="00201C55">
        <w:rPr>
          <w:i/>
          <w:lang w:val="en-GB"/>
        </w:rPr>
        <w:t>Subsidi</w:t>
      </w:r>
      <w:proofErr w:type="spellEnd"/>
      <w:r w:rsidRPr="00201C55">
        <w:rPr>
          <w:i/>
          <w:lang w:val="en-GB"/>
        </w:rPr>
        <w:t xml:space="preserve"> </w:t>
      </w:r>
      <w:proofErr w:type="spellStart"/>
      <w:r w:rsidRPr="00201C55">
        <w:rPr>
          <w:i/>
          <w:lang w:val="en-GB"/>
        </w:rPr>
        <w:t>Beras</w:t>
      </w:r>
      <w:proofErr w:type="spellEnd"/>
      <w:r w:rsidRPr="00201C55">
        <w:rPr>
          <w:i/>
          <w:lang w:val="en-GB"/>
        </w:rPr>
        <w:t xml:space="preserve"> </w:t>
      </w:r>
      <w:proofErr w:type="spellStart"/>
      <w:r w:rsidRPr="00201C55">
        <w:rPr>
          <w:i/>
          <w:lang w:val="en-GB"/>
        </w:rPr>
        <w:t>Bagi</w:t>
      </w:r>
      <w:proofErr w:type="spellEnd"/>
      <w:r w:rsidRPr="00201C55">
        <w:rPr>
          <w:i/>
          <w:lang w:val="en-GB"/>
        </w:rPr>
        <w:t xml:space="preserve"> </w:t>
      </w:r>
      <w:proofErr w:type="spellStart"/>
      <w:r w:rsidRPr="00201C55">
        <w:rPr>
          <w:i/>
          <w:lang w:val="en-GB"/>
        </w:rPr>
        <w:t>Masyarakat</w:t>
      </w:r>
      <w:proofErr w:type="spellEnd"/>
      <w:r w:rsidRPr="00201C55">
        <w:rPr>
          <w:i/>
          <w:lang w:val="en-GB"/>
        </w:rPr>
        <w:t xml:space="preserve"> </w:t>
      </w:r>
      <w:proofErr w:type="spellStart"/>
      <w:r w:rsidRPr="00201C55">
        <w:rPr>
          <w:i/>
          <w:lang w:val="en-GB"/>
        </w:rPr>
        <w:t>Berpendapatan</w:t>
      </w:r>
      <w:proofErr w:type="spellEnd"/>
      <w:r w:rsidRPr="00201C55">
        <w:rPr>
          <w:i/>
          <w:lang w:val="en-GB"/>
        </w:rPr>
        <w:t xml:space="preserve"> </w:t>
      </w:r>
      <w:proofErr w:type="spellStart"/>
      <w:r w:rsidRPr="00201C55">
        <w:rPr>
          <w:i/>
          <w:lang w:val="en-GB"/>
        </w:rPr>
        <w:t>Rendah</w:t>
      </w:r>
      <w:proofErr w:type="spellEnd"/>
      <w:r w:rsidRPr="00201C55">
        <w:rPr>
          <w:lang w:val="en-GB"/>
        </w:rPr>
        <w:t xml:space="preserve"> (</w:t>
      </w:r>
      <w:proofErr w:type="spellStart"/>
      <w:r w:rsidRPr="00201C55">
        <w:rPr>
          <w:lang w:val="en-GB"/>
        </w:rPr>
        <w:t>Raskin</w:t>
      </w:r>
      <w:proofErr w:type="spellEnd"/>
      <w:r w:rsidRPr="00201C55">
        <w:rPr>
          <w:lang w:val="en-GB"/>
        </w:rPr>
        <w:t>): Rice for the Poor</w:t>
      </w:r>
    </w:p>
    <w:p w14:paraId="0AFBE557" w14:textId="77777777" w:rsidR="006145A6" w:rsidRPr="00201C55" w:rsidRDefault="006145A6" w:rsidP="006145A6">
      <w:pPr>
        <w:pStyle w:val="ListParagraph"/>
        <w:numPr>
          <w:ilvl w:val="0"/>
          <w:numId w:val="10"/>
        </w:numPr>
        <w:spacing w:after="0" w:line="240" w:lineRule="auto"/>
        <w:jc w:val="both"/>
        <w:rPr>
          <w:lang w:val="en-GB"/>
        </w:rPr>
      </w:pPr>
      <w:r w:rsidRPr="00201C55">
        <w:rPr>
          <w:i/>
          <w:lang w:val="en-GB"/>
        </w:rPr>
        <w:t xml:space="preserve">Program </w:t>
      </w:r>
      <w:proofErr w:type="spellStart"/>
      <w:r w:rsidRPr="00201C55">
        <w:rPr>
          <w:i/>
          <w:lang w:val="en-GB"/>
        </w:rPr>
        <w:t>Keluarga</w:t>
      </w:r>
      <w:proofErr w:type="spellEnd"/>
      <w:r w:rsidRPr="00201C55">
        <w:rPr>
          <w:i/>
          <w:lang w:val="en-GB"/>
        </w:rPr>
        <w:t xml:space="preserve"> </w:t>
      </w:r>
      <w:proofErr w:type="spellStart"/>
      <w:r w:rsidRPr="00201C55">
        <w:rPr>
          <w:i/>
          <w:lang w:val="en-GB"/>
        </w:rPr>
        <w:t>Harapan</w:t>
      </w:r>
      <w:proofErr w:type="spellEnd"/>
      <w:r w:rsidRPr="00201C55">
        <w:rPr>
          <w:lang w:val="en-GB"/>
        </w:rPr>
        <w:t xml:space="preserve"> (PKH): Conditional Cash Transfers to the extreme poor</w:t>
      </w:r>
    </w:p>
    <w:p w14:paraId="7C99F712" w14:textId="77777777" w:rsidR="006145A6" w:rsidRPr="00201C55" w:rsidRDefault="006145A6" w:rsidP="006145A6">
      <w:pPr>
        <w:pStyle w:val="ListParagraph"/>
        <w:numPr>
          <w:ilvl w:val="0"/>
          <w:numId w:val="10"/>
        </w:numPr>
        <w:spacing w:after="0" w:line="240" w:lineRule="auto"/>
        <w:jc w:val="both"/>
        <w:rPr>
          <w:lang w:val="en-GB"/>
        </w:rPr>
      </w:pPr>
      <w:proofErr w:type="spellStart"/>
      <w:r w:rsidRPr="00201C55">
        <w:rPr>
          <w:i/>
          <w:lang w:val="en-GB"/>
        </w:rPr>
        <w:t>Bantuan</w:t>
      </w:r>
      <w:proofErr w:type="spellEnd"/>
      <w:r w:rsidRPr="00201C55">
        <w:rPr>
          <w:i/>
          <w:lang w:val="en-GB"/>
        </w:rPr>
        <w:t xml:space="preserve"> </w:t>
      </w:r>
      <w:proofErr w:type="spellStart"/>
      <w:r w:rsidRPr="00201C55">
        <w:rPr>
          <w:i/>
          <w:lang w:val="en-GB"/>
        </w:rPr>
        <w:t>Siswa</w:t>
      </w:r>
      <w:proofErr w:type="spellEnd"/>
      <w:r w:rsidRPr="00201C55">
        <w:rPr>
          <w:i/>
          <w:lang w:val="en-GB"/>
        </w:rPr>
        <w:t xml:space="preserve"> </w:t>
      </w:r>
      <w:proofErr w:type="spellStart"/>
      <w:r w:rsidRPr="00201C55">
        <w:rPr>
          <w:i/>
          <w:lang w:val="en-GB"/>
        </w:rPr>
        <w:t>Miskin</w:t>
      </w:r>
      <w:proofErr w:type="spellEnd"/>
      <w:r w:rsidRPr="00201C55">
        <w:rPr>
          <w:lang w:val="en-GB"/>
        </w:rPr>
        <w:t xml:space="preserve"> (BSM): Cash Transfer for Poor Students</w:t>
      </w:r>
    </w:p>
    <w:p w14:paraId="39A85DC8" w14:textId="77777777" w:rsidR="006145A6" w:rsidRPr="00201C55" w:rsidRDefault="006145A6" w:rsidP="006145A6">
      <w:pPr>
        <w:pStyle w:val="ListParagraph"/>
        <w:numPr>
          <w:ilvl w:val="0"/>
          <w:numId w:val="10"/>
        </w:numPr>
        <w:spacing w:after="0" w:line="240" w:lineRule="auto"/>
        <w:jc w:val="both"/>
        <w:rPr>
          <w:lang w:val="en-GB"/>
        </w:rPr>
      </w:pPr>
      <w:proofErr w:type="spellStart"/>
      <w:r w:rsidRPr="00201C55">
        <w:rPr>
          <w:i/>
          <w:lang w:val="en-GB"/>
        </w:rPr>
        <w:t>Bantuan</w:t>
      </w:r>
      <w:proofErr w:type="spellEnd"/>
      <w:r w:rsidRPr="00201C55">
        <w:rPr>
          <w:i/>
          <w:lang w:val="en-GB"/>
        </w:rPr>
        <w:t xml:space="preserve"> </w:t>
      </w:r>
      <w:proofErr w:type="spellStart"/>
      <w:r w:rsidRPr="00201C55">
        <w:rPr>
          <w:i/>
          <w:lang w:val="en-GB"/>
        </w:rPr>
        <w:t>Langsung</w:t>
      </w:r>
      <w:proofErr w:type="spellEnd"/>
      <w:r w:rsidRPr="00201C55">
        <w:rPr>
          <w:i/>
          <w:lang w:val="en-GB"/>
        </w:rPr>
        <w:t xml:space="preserve"> </w:t>
      </w:r>
      <w:proofErr w:type="spellStart"/>
      <w:r w:rsidRPr="00201C55">
        <w:rPr>
          <w:i/>
          <w:lang w:val="en-GB"/>
        </w:rPr>
        <w:t>Sementara</w:t>
      </w:r>
      <w:proofErr w:type="spellEnd"/>
      <w:r w:rsidRPr="00201C55">
        <w:rPr>
          <w:i/>
          <w:lang w:val="en-GB"/>
        </w:rPr>
        <w:t xml:space="preserve"> </w:t>
      </w:r>
      <w:proofErr w:type="spellStart"/>
      <w:r w:rsidRPr="00201C55">
        <w:rPr>
          <w:i/>
          <w:lang w:val="en-GB"/>
        </w:rPr>
        <w:t>Masyarakat</w:t>
      </w:r>
      <w:proofErr w:type="spellEnd"/>
      <w:r w:rsidRPr="00201C55">
        <w:rPr>
          <w:lang w:val="en-GB"/>
        </w:rPr>
        <w:t xml:space="preserve"> (BLSM): Temporary Unconditional Cash Transfers</w:t>
      </w:r>
    </w:p>
    <w:p w14:paraId="0B229F65" w14:textId="77777777" w:rsidR="006145A6" w:rsidRDefault="006145A6" w:rsidP="00530F10">
      <w:pPr>
        <w:spacing w:before="120" w:after="120" w:line="240" w:lineRule="auto"/>
        <w:rPr>
          <w:lang w:val="en-GB"/>
        </w:rPr>
      </w:pPr>
      <w:r>
        <w:rPr>
          <w:lang w:val="en-GB"/>
        </w:rPr>
        <w:t>Together these programs represent approximately $6.6 billion of investment by the Government of Indonesia, or 0.6% GDP in 2014,</w:t>
      </w:r>
      <w:r>
        <w:rPr>
          <w:rStyle w:val="FootnoteReference"/>
          <w:lang w:val="en-GB"/>
        </w:rPr>
        <w:footnoteReference w:id="11"/>
      </w:r>
      <w:r>
        <w:rPr>
          <w:lang w:val="en-GB"/>
        </w:rPr>
        <w:t xml:space="preserve"> and cover the poorest 25%, equal to 15.5 million households or 62 million individuals.</w:t>
      </w:r>
    </w:p>
    <w:p w14:paraId="4A49A215" w14:textId="6C0E3158" w:rsidR="006145A6" w:rsidRPr="00F860F4" w:rsidRDefault="006145A6" w:rsidP="006145A6">
      <w:pPr>
        <w:spacing w:after="120" w:line="240" w:lineRule="auto"/>
        <w:rPr>
          <w:lang w:val="en-GB"/>
        </w:rPr>
      </w:pPr>
      <w:r w:rsidRPr="00A2483D">
        <w:rPr>
          <w:lang w:val="en-GB"/>
        </w:rPr>
        <w:t>A conservat</w:t>
      </w:r>
      <w:r>
        <w:rPr>
          <w:lang w:val="en-GB"/>
        </w:rPr>
        <w:t xml:space="preserve">ive economic analysis shows a very high return on DFAT’s investment: depending on the program, its level of coverage, size and nature of benefits (cash or kind) and targeting accuracy, </w:t>
      </w:r>
      <w:r w:rsidRPr="00A2483D">
        <w:rPr>
          <w:b/>
          <w:lang w:val="en-GB"/>
        </w:rPr>
        <w:t xml:space="preserve">for every dollar DFAT spent, </w:t>
      </w:r>
      <w:r>
        <w:rPr>
          <w:b/>
          <w:lang w:val="en-GB"/>
        </w:rPr>
        <w:t xml:space="preserve">between $28 to a high of </w:t>
      </w:r>
      <w:r w:rsidRPr="00A2483D">
        <w:rPr>
          <w:b/>
          <w:lang w:val="en-GB"/>
        </w:rPr>
        <w:t>$487 of benefits were generated that would not otherwise have occurred</w:t>
      </w:r>
      <w:r w:rsidRPr="00A2483D">
        <w:rPr>
          <w:lang w:val="en-GB"/>
        </w:rPr>
        <w:t xml:space="preserve">. </w:t>
      </w:r>
      <w:r w:rsidR="00CC7364" w:rsidRPr="00CC7364">
        <w:rPr>
          <w:lang w:val="en-GB"/>
        </w:rPr>
        <w:t xml:space="preserve">This is the extra value of getting more GOI spending in the hands of those who need it, rather than wasted on the better off, and </w:t>
      </w:r>
      <w:r w:rsidR="00972C3A">
        <w:rPr>
          <w:lang w:val="en-GB"/>
        </w:rPr>
        <w:t>add</w:t>
      </w:r>
      <w:r w:rsidRPr="00A2483D">
        <w:rPr>
          <w:lang w:val="en-GB"/>
        </w:rPr>
        <w:t xml:space="preserve"> up to a net present value of </w:t>
      </w:r>
      <w:r>
        <w:rPr>
          <w:lang w:val="en-GB"/>
        </w:rPr>
        <w:t xml:space="preserve">between $345 million to </w:t>
      </w:r>
      <w:r w:rsidRPr="00A2483D">
        <w:rPr>
          <w:lang w:val="en-GB"/>
        </w:rPr>
        <w:t xml:space="preserve">$2.48 billion over a </w:t>
      </w:r>
      <w:r>
        <w:rPr>
          <w:lang w:val="en-GB"/>
        </w:rPr>
        <w:t>5-10</w:t>
      </w:r>
      <w:r w:rsidRPr="00A2483D">
        <w:rPr>
          <w:lang w:val="en-GB"/>
        </w:rPr>
        <w:t xml:space="preserve"> year period.</w:t>
      </w:r>
    </w:p>
    <w:p w14:paraId="05DBE8E8" w14:textId="77777777" w:rsidR="006145A6" w:rsidRDefault="006145A6" w:rsidP="006145A6">
      <w:pPr>
        <w:spacing w:after="0" w:line="240" w:lineRule="auto"/>
        <w:jc w:val="center"/>
        <w:rPr>
          <w:b/>
          <w:lang w:val="en-GB"/>
        </w:rPr>
      </w:pPr>
      <w:proofErr w:type="gramStart"/>
      <w:r>
        <w:rPr>
          <w:b/>
          <w:lang w:val="en-GB"/>
        </w:rPr>
        <w:t>Table 1.</w:t>
      </w:r>
      <w:proofErr w:type="gramEnd"/>
      <w:r>
        <w:rPr>
          <w:b/>
          <w:lang w:val="en-GB"/>
        </w:rPr>
        <w:t xml:space="preserve"> Return on investment for PRSF support and</w:t>
      </w:r>
      <w:r w:rsidRPr="006D7499">
        <w:rPr>
          <w:b/>
          <w:lang w:val="en-GB"/>
        </w:rPr>
        <w:t xml:space="preserve"> TNP2K reforms</w:t>
      </w:r>
    </w:p>
    <w:tbl>
      <w:tblPr>
        <w:tblStyle w:val="TableGrid"/>
        <w:tblW w:w="0" w:type="auto"/>
        <w:tblLayout w:type="fixed"/>
        <w:tblLook w:val="04A0" w:firstRow="1" w:lastRow="0" w:firstColumn="1" w:lastColumn="0" w:noHBand="0" w:noVBand="1"/>
      </w:tblPr>
      <w:tblGrid>
        <w:gridCol w:w="2295"/>
        <w:gridCol w:w="2295"/>
        <w:gridCol w:w="2295"/>
        <w:gridCol w:w="2295"/>
      </w:tblGrid>
      <w:tr w:rsidR="006145A6" w:rsidRPr="00025680" w14:paraId="47723FD3" w14:textId="77777777" w:rsidTr="00060B34">
        <w:trPr>
          <w:trHeight w:val="394"/>
        </w:trPr>
        <w:tc>
          <w:tcPr>
            <w:tcW w:w="2295" w:type="dxa"/>
            <w:vAlign w:val="center"/>
          </w:tcPr>
          <w:p w14:paraId="6082C79F" w14:textId="77777777" w:rsidR="006145A6" w:rsidRPr="00025680" w:rsidRDefault="006145A6" w:rsidP="00060B34">
            <w:pPr>
              <w:jc w:val="left"/>
              <w:rPr>
                <w:b/>
              </w:rPr>
            </w:pPr>
          </w:p>
        </w:tc>
        <w:tc>
          <w:tcPr>
            <w:tcW w:w="2295" w:type="dxa"/>
            <w:vAlign w:val="center"/>
          </w:tcPr>
          <w:p w14:paraId="14311992" w14:textId="77777777" w:rsidR="006145A6" w:rsidRPr="00025680" w:rsidRDefault="006145A6" w:rsidP="00060B34">
            <w:pPr>
              <w:jc w:val="center"/>
              <w:rPr>
                <w:b/>
              </w:rPr>
            </w:pPr>
            <w:r>
              <w:rPr>
                <w:b/>
              </w:rPr>
              <w:t>DFAT i</w:t>
            </w:r>
            <w:r w:rsidRPr="00025680">
              <w:rPr>
                <w:b/>
              </w:rPr>
              <w:t>nvestment</w:t>
            </w:r>
          </w:p>
        </w:tc>
        <w:tc>
          <w:tcPr>
            <w:tcW w:w="2295" w:type="dxa"/>
            <w:vAlign w:val="center"/>
          </w:tcPr>
          <w:p w14:paraId="3AAEC4B7" w14:textId="77777777" w:rsidR="006145A6" w:rsidRPr="00025680" w:rsidRDefault="006145A6" w:rsidP="00060B34">
            <w:pPr>
              <w:jc w:val="center"/>
              <w:rPr>
                <w:b/>
              </w:rPr>
            </w:pPr>
            <w:r w:rsidRPr="00025680">
              <w:rPr>
                <w:b/>
              </w:rPr>
              <w:t>Every $1 invested yields:</w:t>
            </w:r>
          </w:p>
        </w:tc>
        <w:tc>
          <w:tcPr>
            <w:tcW w:w="2295" w:type="dxa"/>
            <w:vAlign w:val="center"/>
          </w:tcPr>
          <w:p w14:paraId="5DBD6FAE" w14:textId="77777777" w:rsidR="006145A6" w:rsidRPr="00025680" w:rsidRDefault="006145A6" w:rsidP="00060B34">
            <w:pPr>
              <w:jc w:val="center"/>
              <w:rPr>
                <w:b/>
              </w:rPr>
            </w:pPr>
            <w:r w:rsidRPr="00025680">
              <w:rPr>
                <w:b/>
              </w:rPr>
              <w:t>Net Present Value</w:t>
            </w:r>
          </w:p>
        </w:tc>
      </w:tr>
      <w:tr w:rsidR="006145A6" w:rsidRPr="00025680" w14:paraId="2B88990E" w14:textId="77777777" w:rsidTr="00060B34">
        <w:trPr>
          <w:trHeight w:val="273"/>
        </w:trPr>
        <w:tc>
          <w:tcPr>
            <w:tcW w:w="2295" w:type="dxa"/>
            <w:tcBorders>
              <w:bottom w:val="single" w:sz="4" w:space="0" w:color="auto"/>
            </w:tcBorders>
            <w:vAlign w:val="center"/>
          </w:tcPr>
          <w:p w14:paraId="050764C9" w14:textId="77777777" w:rsidR="006145A6" w:rsidRPr="00025680" w:rsidRDefault="006145A6" w:rsidP="00060B34">
            <w:pPr>
              <w:jc w:val="left"/>
              <w:rPr>
                <w:b/>
              </w:rPr>
            </w:pPr>
            <w:proofErr w:type="spellStart"/>
            <w:r w:rsidRPr="00025680">
              <w:rPr>
                <w:b/>
              </w:rPr>
              <w:t>Raskin</w:t>
            </w:r>
            <w:proofErr w:type="spellEnd"/>
            <w:r w:rsidRPr="00025680">
              <w:rPr>
                <w:b/>
              </w:rPr>
              <w:t xml:space="preserve"> </w:t>
            </w:r>
          </w:p>
        </w:tc>
        <w:tc>
          <w:tcPr>
            <w:tcW w:w="2295" w:type="dxa"/>
            <w:tcBorders>
              <w:bottom w:val="single" w:sz="4" w:space="0" w:color="auto"/>
            </w:tcBorders>
            <w:vAlign w:val="center"/>
          </w:tcPr>
          <w:p w14:paraId="07B2326A" w14:textId="77777777" w:rsidR="006145A6" w:rsidRPr="00025680" w:rsidRDefault="006145A6" w:rsidP="00060B34">
            <w:pPr>
              <w:jc w:val="right"/>
            </w:pPr>
            <w:r w:rsidRPr="00025680">
              <w:t>$12.2 million</w:t>
            </w:r>
          </w:p>
        </w:tc>
        <w:tc>
          <w:tcPr>
            <w:tcW w:w="2295" w:type="dxa"/>
            <w:tcBorders>
              <w:bottom w:val="single" w:sz="4" w:space="0" w:color="auto"/>
            </w:tcBorders>
            <w:vAlign w:val="center"/>
          </w:tcPr>
          <w:p w14:paraId="5A44B33F" w14:textId="77777777" w:rsidR="006145A6" w:rsidRPr="00025680" w:rsidRDefault="006145A6" w:rsidP="00060B34">
            <w:pPr>
              <w:jc w:val="right"/>
            </w:pPr>
            <w:r w:rsidRPr="00025680">
              <w:t>$28</w:t>
            </w:r>
          </w:p>
        </w:tc>
        <w:tc>
          <w:tcPr>
            <w:tcW w:w="2295" w:type="dxa"/>
            <w:tcBorders>
              <w:bottom w:val="single" w:sz="4" w:space="0" w:color="auto"/>
            </w:tcBorders>
            <w:vAlign w:val="center"/>
          </w:tcPr>
          <w:p w14:paraId="189D4E35" w14:textId="77777777" w:rsidR="006145A6" w:rsidRPr="00025680" w:rsidRDefault="006145A6" w:rsidP="00060B34">
            <w:pPr>
              <w:jc w:val="right"/>
            </w:pPr>
            <w:r w:rsidRPr="00025680">
              <w:t xml:space="preserve">$345 million </w:t>
            </w:r>
          </w:p>
          <w:p w14:paraId="65CE0452" w14:textId="77777777" w:rsidR="006145A6" w:rsidRPr="00025680" w:rsidRDefault="006145A6" w:rsidP="00060B34">
            <w:pPr>
              <w:jc w:val="right"/>
            </w:pPr>
            <w:r w:rsidRPr="00025680">
              <w:t>(</w:t>
            </w:r>
            <w:r>
              <w:t>2013-17</w:t>
            </w:r>
            <w:r w:rsidRPr="00025680">
              <w:t>)</w:t>
            </w:r>
          </w:p>
        </w:tc>
      </w:tr>
      <w:tr w:rsidR="006145A6" w:rsidRPr="00025680" w14:paraId="1C8BE9FB" w14:textId="77777777" w:rsidTr="00060B34">
        <w:trPr>
          <w:trHeight w:val="325"/>
        </w:trPr>
        <w:tc>
          <w:tcPr>
            <w:tcW w:w="2295" w:type="dxa"/>
            <w:tcBorders>
              <w:bottom w:val="single" w:sz="4" w:space="0" w:color="auto"/>
            </w:tcBorders>
            <w:vAlign w:val="center"/>
          </w:tcPr>
          <w:p w14:paraId="32646AB4" w14:textId="77777777" w:rsidR="006145A6" w:rsidRDefault="006145A6" w:rsidP="00060B34">
            <w:pPr>
              <w:jc w:val="left"/>
              <w:rPr>
                <w:b/>
              </w:rPr>
            </w:pPr>
            <w:r w:rsidRPr="00025680">
              <w:rPr>
                <w:b/>
              </w:rPr>
              <w:t xml:space="preserve">PKH </w:t>
            </w:r>
          </w:p>
        </w:tc>
        <w:tc>
          <w:tcPr>
            <w:tcW w:w="2295" w:type="dxa"/>
            <w:tcBorders>
              <w:bottom w:val="single" w:sz="4" w:space="0" w:color="auto"/>
            </w:tcBorders>
            <w:vAlign w:val="center"/>
          </w:tcPr>
          <w:p w14:paraId="515E5335" w14:textId="77777777" w:rsidR="006145A6" w:rsidRPr="00025680" w:rsidRDefault="006145A6" w:rsidP="00060B34">
            <w:pPr>
              <w:jc w:val="right"/>
            </w:pPr>
            <w:r w:rsidRPr="00025680">
              <w:t>$23.3 million</w:t>
            </w:r>
          </w:p>
        </w:tc>
        <w:tc>
          <w:tcPr>
            <w:tcW w:w="2295" w:type="dxa"/>
            <w:tcBorders>
              <w:bottom w:val="single" w:sz="4" w:space="0" w:color="auto"/>
            </w:tcBorders>
            <w:vAlign w:val="center"/>
          </w:tcPr>
          <w:p w14:paraId="2AAAED99" w14:textId="7B608A0A" w:rsidR="006145A6" w:rsidRPr="00025680" w:rsidRDefault="006145A6" w:rsidP="00CC7364">
            <w:pPr>
              <w:jc w:val="right"/>
            </w:pPr>
            <w:r w:rsidRPr="00025680">
              <w:t>$5</w:t>
            </w:r>
            <w:r w:rsidR="00CC7364">
              <w:t>7</w:t>
            </w:r>
          </w:p>
        </w:tc>
        <w:tc>
          <w:tcPr>
            <w:tcW w:w="2295" w:type="dxa"/>
            <w:tcBorders>
              <w:bottom w:val="single" w:sz="4" w:space="0" w:color="auto"/>
            </w:tcBorders>
            <w:vAlign w:val="center"/>
          </w:tcPr>
          <w:p w14:paraId="7A69DC26" w14:textId="419C9B9E" w:rsidR="006145A6" w:rsidRPr="00025680" w:rsidRDefault="006145A6" w:rsidP="00060B34">
            <w:pPr>
              <w:jc w:val="right"/>
            </w:pPr>
            <w:r w:rsidRPr="00025680">
              <w:t>$1.</w:t>
            </w:r>
            <w:r w:rsidR="00CC7364">
              <w:t>33</w:t>
            </w:r>
            <w:r w:rsidRPr="00025680">
              <w:t xml:space="preserve"> billion </w:t>
            </w:r>
          </w:p>
          <w:p w14:paraId="4A2F8847" w14:textId="77777777" w:rsidR="006145A6" w:rsidRPr="00025680" w:rsidRDefault="006145A6" w:rsidP="00060B34">
            <w:pPr>
              <w:jc w:val="right"/>
            </w:pPr>
            <w:r w:rsidRPr="00025680">
              <w:t>(</w:t>
            </w:r>
            <w:r>
              <w:t>2012-2021</w:t>
            </w:r>
            <w:r w:rsidRPr="00025680">
              <w:t>)</w:t>
            </w:r>
          </w:p>
        </w:tc>
      </w:tr>
      <w:tr w:rsidR="006145A6" w:rsidRPr="00025680" w14:paraId="6B601665" w14:textId="77777777" w:rsidTr="00060B34">
        <w:trPr>
          <w:trHeight w:val="401"/>
        </w:trPr>
        <w:tc>
          <w:tcPr>
            <w:tcW w:w="2295" w:type="dxa"/>
            <w:tcBorders>
              <w:bottom w:val="single" w:sz="4" w:space="0" w:color="auto"/>
            </w:tcBorders>
            <w:vAlign w:val="center"/>
          </w:tcPr>
          <w:p w14:paraId="3E9C0206" w14:textId="77777777" w:rsidR="006145A6" w:rsidRPr="00025680" w:rsidRDefault="006145A6" w:rsidP="00060B34">
            <w:pPr>
              <w:jc w:val="left"/>
              <w:rPr>
                <w:b/>
              </w:rPr>
            </w:pPr>
            <w:r>
              <w:rPr>
                <w:b/>
              </w:rPr>
              <w:t>BSM</w:t>
            </w:r>
          </w:p>
        </w:tc>
        <w:tc>
          <w:tcPr>
            <w:tcW w:w="2295" w:type="dxa"/>
            <w:tcBorders>
              <w:bottom w:val="single" w:sz="4" w:space="0" w:color="auto"/>
            </w:tcBorders>
            <w:vAlign w:val="center"/>
          </w:tcPr>
          <w:p w14:paraId="020670BB" w14:textId="77777777" w:rsidR="006145A6" w:rsidRPr="00025680" w:rsidRDefault="006145A6" w:rsidP="00060B34">
            <w:pPr>
              <w:jc w:val="right"/>
            </w:pPr>
            <w:r w:rsidRPr="00025680">
              <w:t>$10.6 million</w:t>
            </w:r>
          </w:p>
        </w:tc>
        <w:tc>
          <w:tcPr>
            <w:tcW w:w="2295" w:type="dxa"/>
            <w:tcBorders>
              <w:bottom w:val="single" w:sz="4" w:space="0" w:color="auto"/>
            </w:tcBorders>
            <w:vAlign w:val="center"/>
          </w:tcPr>
          <w:p w14:paraId="4C1F7386" w14:textId="77777777" w:rsidR="006145A6" w:rsidRPr="00025680" w:rsidRDefault="006145A6" w:rsidP="00060B34">
            <w:pPr>
              <w:jc w:val="right"/>
            </w:pPr>
            <w:r w:rsidRPr="00025680">
              <w:t>$157</w:t>
            </w:r>
          </w:p>
        </w:tc>
        <w:tc>
          <w:tcPr>
            <w:tcW w:w="2295" w:type="dxa"/>
            <w:tcBorders>
              <w:bottom w:val="single" w:sz="4" w:space="0" w:color="auto"/>
            </w:tcBorders>
            <w:vAlign w:val="center"/>
          </w:tcPr>
          <w:p w14:paraId="6D9FC15B" w14:textId="77777777" w:rsidR="006145A6" w:rsidRPr="00025680" w:rsidRDefault="006145A6" w:rsidP="00060B34">
            <w:pPr>
              <w:jc w:val="right"/>
            </w:pPr>
            <w:r w:rsidRPr="00025680">
              <w:t xml:space="preserve">$1.6 billion </w:t>
            </w:r>
          </w:p>
          <w:p w14:paraId="24C9C38F" w14:textId="77777777" w:rsidR="006145A6" w:rsidRPr="00025680" w:rsidRDefault="006145A6" w:rsidP="00060B34">
            <w:pPr>
              <w:jc w:val="right"/>
            </w:pPr>
            <w:r w:rsidRPr="00025680">
              <w:t>(</w:t>
            </w:r>
            <w:r>
              <w:t>2012-2021</w:t>
            </w:r>
            <w:r w:rsidRPr="00025680">
              <w:t>)</w:t>
            </w:r>
          </w:p>
        </w:tc>
      </w:tr>
      <w:tr w:rsidR="006145A6" w:rsidRPr="00025680" w14:paraId="6C5CA747" w14:textId="77777777" w:rsidTr="00060B34">
        <w:trPr>
          <w:trHeight w:val="337"/>
        </w:trPr>
        <w:tc>
          <w:tcPr>
            <w:tcW w:w="2295" w:type="dxa"/>
            <w:tcBorders>
              <w:bottom w:val="single" w:sz="4" w:space="0" w:color="auto"/>
            </w:tcBorders>
            <w:vAlign w:val="center"/>
          </w:tcPr>
          <w:p w14:paraId="60480B8A" w14:textId="77777777" w:rsidR="006145A6" w:rsidRPr="00025680" w:rsidRDefault="006145A6" w:rsidP="00060B34">
            <w:pPr>
              <w:jc w:val="left"/>
              <w:rPr>
                <w:b/>
              </w:rPr>
            </w:pPr>
            <w:r w:rsidRPr="00025680">
              <w:rPr>
                <w:b/>
              </w:rPr>
              <w:t xml:space="preserve">BLSM </w:t>
            </w:r>
          </w:p>
        </w:tc>
        <w:tc>
          <w:tcPr>
            <w:tcW w:w="2295" w:type="dxa"/>
            <w:tcBorders>
              <w:bottom w:val="single" w:sz="4" w:space="0" w:color="auto"/>
            </w:tcBorders>
            <w:vAlign w:val="center"/>
          </w:tcPr>
          <w:p w14:paraId="46EF87DF" w14:textId="77777777" w:rsidR="006145A6" w:rsidRPr="00025680" w:rsidRDefault="006145A6" w:rsidP="00060B34">
            <w:pPr>
              <w:jc w:val="right"/>
            </w:pPr>
            <w:r w:rsidRPr="00025680">
              <w:t>$5.1 million</w:t>
            </w:r>
          </w:p>
        </w:tc>
        <w:tc>
          <w:tcPr>
            <w:tcW w:w="2295" w:type="dxa"/>
            <w:tcBorders>
              <w:bottom w:val="single" w:sz="4" w:space="0" w:color="auto"/>
            </w:tcBorders>
            <w:vAlign w:val="center"/>
          </w:tcPr>
          <w:p w14:paraId="6E3C4E93" w14:textId="77777777" w:rsidR="006145A6" w:rsidRPr="00025680" w:rsidRDefault="006145A6" w:rsidP="00060B34">
            <w:pPr>
              <w:jc w:val="right"/>
            </w:pPr>
            <w:r w:rsidRPr="00025680">
              <w:t>$487</w:t>
            </w:r>
          </w:p>
        </w:tc>
        <w:tc>
          <w:tcPr>
            <w:tcW w:w="2295" w:type="dxa"/>
            <w:tcBorders>
              <w:bottom w:val="single" w:sz="4" w:space="0" w:color="auto"/>
            </w:tcBorders>
            <w:vAlign w:val="center"/>
          </w:tcPr>
          <w:p w14:paraId="1A9F5211" w14:textId="77777777" w:rsidR="006145A6" w:rsidRPr="00025680" w:rsidRDefault="006145A6" w:rsidP="00060B34">
            <w:pPr>
              <w:jc w:val="right"/>
            </w:pPr>
            <w:r w:rsidRPr="00025680">
              <w:t xml:space="preserve">$2.48 billion </w:t>
            </w:r>
          </w:p>
          <w:p w14:paraId="6D1C28F8" w14:textId="77777777" w:rsidR="006145A6" w:rsidRPr="00025680" w:rsidRDefault="006145A6" w:rsidP="00060B34">
            <w:pPr>
              <w:jc w:val="right"/>
            </w:pPr>
            <w:r w:rsidRPr="00025680">
              <w:t>(</w:t>
            </w:r>
            <w:r>
              <w:t>2013-17</w:t>
            </w:r>
            <w:r w:rsidRPr="00025680">
              <w:t>)</w:t>
            </w:r>
          </w:p>
        </w:tc>
      </w:tr>
    </w:tbl>
    <w:p w14:paraId="398A524B" w14:textId="77777777" w:rsidR="006145A6" w:rsidRDefault="006145A6" w:rsidP="006145A6">
      <w:pPr>
        <w:spacing w:after="120" w:line="240" w:lineRule="auto"/>
        <w:rPr>
          <w:i/>
          <w:sz w:val="16"/>
        </w:rPr>
      </w:pPr>
      <w:r w:rsidRPr="0080477C">
        <w:rPr>
          <w:i/>
          <w:sz w:val="16"/>
        </w:rPr>
        <w:t xml:space="preserve">Source: </w:t>
      </w:r>
      <w:r>
        <w:rPr>
          <w:i/>
          <w:sz w:val="16"/>
        </w:rPr>
        <w:t>PRSF 2015</w:t>
      </w:r>
      <w:r w:rsidRPr="0080477C">
        <w:rPr>
          <w:i/>
          <w:sz w:val="16"/>
        </w:rPr>
        <w:t xml:space="preserve">. </w:t>
      </w:r>
    </w:p>
    <w:p w14:paraId="0A83D8B2" w14:textId="77777777" w:rsidR="006145A6" w:rsidRDefault="006145A6" w:rsidP="00530F10">
      <w:pPr>
        <w:spacing w:before="120" w:after="0" w:line="240" w:lineRule="auto"/>
        <w:rPr>
          <w:b/>
          <w:lang w:val="en-GB"/>
        </w:rPr>
      </w:pPr>
      <w:r>
        <w:rPr>
          <w:b/>
          <w:lang w:val="en-GB"/>
        </w:rPr>
        <w:t>C</w:t>
      </w:r>
      <w:r w:rsidRPr="00515AA1">
        <w:rPr>
          <w:b/>
          <w:lang w:val="en-GB"/>
        </w:rPr>
        <w:t xml:space="preserve">ost-efficiency </w:t>
      </w:r>
    </w:p>
    <w:p w14:paraId="7F1CE925" w14:textId="77777777" w:rsidR="006145A6" w:rsidRDefault="006145A6" w:rsidP="006145A6">
      <w:pPr>
        <w:spacing w:after="120" w:line="240" w:lineRule="auto"/>
        <w:rPr>
          <w:lang w:val="en-GB"/>
        </w:rPr>
      </w:pPr>
      <w:r w:rsidRPr="004C280E">
        <w:rPr>
          <w:lang w:val="en-GB"/>
        </w:rPr>
        <w:t xml:space="preserve">Cost-efficiency analysis </w:t>
      </w:r>
      <w:r>
        <w:rPr>
          <w:lang w:val="en-GB"/>
        </w:rPr>
        <w:t>is</w:t>
      </w:r>
      <w:r w:rsidRPr="004C280E">
        <w:rPr>
          <w:lang w:val="en-GB"/>
        </w:rPr>
        <w:t xml:space="preserve"> the</w:t>
      </w:r>
      <w:r>
        <w:rPr>
          <w:lang w:val="en-GB"/>
        </w:rPr>
        <w:t xml:space="preserve"> relation of </w:t>
      </w:r>
      <w:r w:rsidRPr="004C280E">
        <w:rPr>
          <w:lang w:val="en-GB"/>
        </w:rPr>
        <w:t xml:space="preserve">administrative costs </w:t>
      </w:r>
      <w:r>
        <w:rPr>
          <w:lang w:val="en-GB"/>
        </w:rPr>
        <w:t>to</w:t>
      </w:r>
      <w:r w:rsidRPr="004C280E">
        <w:rPr>
          <w:lang w:val="en-GB"/>
        </w:rPr>
        <w:t xml:space="preserve"> </w:t>
      </w:r>
      <w:r>
        <w:rPr>
          <w:lang w:val="en-GB"/>
        </w:rPr>
        <w:t xml:space="preserve">program </w:t>
      </w:r>
      <w:r w:rsidRPr="004C280E">
        <w:rPr>
          <w:lang w:val="en-GB"/>
        </w:rPr>
        <w:t>outputs</w:t>
      </w:r>
      <w:r>
        <w:rPr>
          <w:lang w:val="en-GB"/>
        </w:rPr>
        <w:t>; fo</w:t>
      </w:r>
      <w:r w:rsidRPr="004C280E">
        <w:rPr>
          <w:lang w:val="en-GB"/>
        </w:rPr>
        <w:t>r soci</w:t>
      </w:r>
      <w:r>
        <w:rPr>
          <w:lang w:val="en-GB"/>
        </w:rPr>
        <w:t>al protection programs this is the cost</w:t>
      </w:r>
      <w:r w:rsidRPr="004C280E">
        <w:rPr>
          <w:lang w:val="en-GB"/>
        </w:rPr>
        <w:t xml:space="preserve"> of</w:t>
      </w:r>
      <w:r>
        <w:rPr>
          <w:lang w:val="en-GB"/>
        </w:rPr>
        <w:t xml:space="preserve"> delivering</w:t>
      </w:r>
      <w:r w:rsidRPr="004C280E">
        <w:rPr>
          <w:lang w:val="en-GB"/>
        </w:rPr>
        <w:t xml:space="preserve"> transfers to beneficiaries</w:t>
      </w:r>
      <w:r>
        <w:rPr>
          <w:lang w:val="en-GB"/>
        </w:rPr>
        <w:t>. Table 2 shows efficiency ratios for each of the four national programs, before and after the PRSF-supported TNP2K reforms. Three programs have made significant gains, and while BSM’s cost-transfer ratio has marginally increased, this was accompanied by a large increase in targeting accuracy. Administrative costs compare well to benchmarks for international programs which average 8-15% for cash transfers and 22% for food programs.</w:t>
      </w:r>
      <w:r>
        <w:rPr>
          <w:rStyle w:val="FootnoteReference"/>
          <w:lang w:val="en-GB"/>
        </w:rPr>
        <w:footnoteReference w:id="12"/>
      </w:r>
      <w:r>
        <w:rPr>
          <w:lang w:val="en-GB"/>
        </w:rPr>
        <w:t xml:space="preserve"> While improved efficiency does not necessarily reflect more effective programs, as a proxy for this the last column shows each program has improved coverage of the poorest Indonesians.</w:t>
      </w:r>
    </w:p>
    <w:p w14:paraId="13293165" w14:textId="77777777" w:rsidR="00530F10" w:rsidRDefault="00530F10" w:rsidP="006145A6">
      <w:pPr>
        <w:spacing w:after="120" w:line="240" w:lineRule="auto"/>
        <w:rPr>
          <w:lang w:val="en-GB"/>
        </w:rPr>
      </w:pPr>
    </w:p>
    <w:p w14:paraId="2E58BA65" w14:textId="77777777" w:rsidR="00530F10" w:rsidRDefault="00530F10" w:rsidP="006145A6">
      <w:pPr>
        <w:spacing w:after="120" w:line="240" w:lineRule="auto"/>
      </w:pPr>
    </w:p>
    <w:p w14:paraId="1CF39234" w14:textId="77777777" w:rsidR="006145A6" w:rsidRPr="009E27D9" w:rsidRDefault="006145A6" w:rsidP="006145A6">
      <w:pPr>
        <w:spacing w:after="0" w:line="240" w:lineRule="auto"/>
        <w:jc w:val="center"/>
        <w:rPr>
          <w:b/>
        </w:rPr>
      </w:pPr>
      <w:proofErr w:type="gramStart"/>
      <w:r>
        <w:rPr>
          <w:b/>
        </w:rPr>
        <w:t>Table 2.</w:t>
      </w:r>
      <w:proofErr w:type="gramEnd"/>
      <w:r>
        <w:rPr>
          <w:b/>
        </w:rPr>
        <w:t xml:space="preserve"> Cost-Efficiency of national social transfer programs, before &amp; after TNP2K</w:t>
      </w:r>
    </w:p>
    <w:tbl>
      <w:tblPr>
        <w:tblStyle w:val="TableGrid"/>
        <w:tblW w:w="0" w:type="auto"/>
        <w:tblLayout w:type="fixed"/>
        <w:tblLook w:val="04A0" w:firstRow="1" w:lastRow="0" w:firstColumn="1" w:lastColumn="0" w:noHBand="0" w:noVBand="1"/>
      </w:tblPr>
      <w:tblGrid>
        <w:gridCol w:w="1311"/>
        <w:gridCol w:w="1311"/>
        <w:gridCol w:w="1312"/>
        <w:gridCol w:w="1311"/>
        <w:gridCol w:w="1311"/>
        <w:gridCol w:w="1311"/>
        <w:gridCol w:w="1311"/>
      </w:tblGrid>
      <w:tr w:rsidR="006145A6" w14:paraId="60FC1348" w14:textId="77777777" w:rsidTr="00060B34">
        <w:trPr>
          <w:trHeight w:val="629"/>
        </w:trPr>
        <w:tc>
          <w:tcPr>
            <w:tcW w:w="1311" w:type="dxa"/>
            <w:vAlign w:val="center"/>
          </w:tcPr>
          <w:p w14:paraId="473CA2BE" w14:textId="77777777" w:rsidR="006145A6" w:rsidRPr="001D1CF1" w:rsidRDefault="006145A6" w:rsidP="00060B34">
            <w:pPr>
              <w:jc w:val="left"/>
              <w:rPr>
                <w:b/>
                <w:sz w:val="16"/>
              </w:rPr>
            </w:pPr>
          </w:p>
        </w:tc>
        <w:tc>
          <w:tcPr>
            <w:tcW w:w="1311" w:type="dxa"/>
            <w:vAlign w:val="center"/>
          </w:tcPr>
          <w:p w14:paraId="7C3C224B" w14:textId="77777777" w:rsidR="006145A6" w:rsidRPr="001D1CF1" w:rsidRDefault="006145A6" w:rsidP="00060B34">
            <w:pPr>
              <w:jc w:val="right"/>
              <w:rPr>
                <w:b/>
                <w:sz w:val="16"/>
              </w:rPr>
            </w:pPr>
            <w:r>
              <w:rPr>
                <w:b/>
                <w:sz w:val="16"/>
              </w:rPr>
              <w:t>R</w:t>
            </w:r>
            <w:r w:rsidRPr="001D1CF1">
              <w:rPr>
                <w:b/>
                <w:sz w:val="16"/>
              </w:rPr>
              <w:t>ecipients</w:t>
            </w:r>
          </w:p>
        </w:tc>
        <w:tc>
          <w:tcPr>
            <w:tcW w:w="1312" w:type="dxa"/>
            <w:vAlign w:val="center"/>
          </w:tcPr>
          <w:p w14:paraId="29FC9E32" w14:textId="77777777" w:rsidR="006145A6" w:rsidRPr="001D1CF1" w:rsidRDefault="006145A6" w:rsidP="00060B34">
            <w:pPr>
              <w:jc w:val="right"/>
              <w:rPr>
                <w:b/>
                <w:sz w:val="16"/>
              </w:rPr>
            </w:pPr>
            <w:r w:rsidRPr="001D1CF1">
              <w:rPr>
                <w:b/>
                <w:sz w:val="16"/>
              </w:rPr>
              <w:t>Prog</w:t>
            </w:r>
            <w:r>
              <w:rPr>
                <w:b/>
                <w:sz w:val="16"/>
              </w:rPr>
              <w:t>ram</w:t>
            </w:r>
          </w:p>
          <w:p w14:paraId="5B4D9CE2" w14:textId="77777777" w:rsidR="006145A6" w:rsidRPr="001D1CF1" w:rsidRDefault="006145A6" w:rsidP="00060B34">
            <w:pPr>
              <w:jc w:val="right"/>
              <w:rPr>
                <w:b/>
                <w:sz w:val="16"/>
              </w:rPr>
            </w:pPr>
            <w:r w:rsidRPr="001D1CF1">
              <w:rPr>
                <w:b/>
                <w:sz w:val="16"/>
              </w:rPr>
              <w:t>Cost</w:t>
            </w:r>
          </w:p>
        </w:tc>
        <w:tc>
          <w:tcPr>
            <w:tcW w:w="1311" w:type="dxa"/>
            <w:vAlign w:val="center"/>
          </w:tcPr>
          <w:p w14:paraId="4B887732" w14:textId="77777777" w:rsidR="006145A6" w:rsidRPr="001D1CF1" w:rsidRDefault="006145A6" w:rsidP="00060B34">
            <w:pPr>
              <w:jc w:val="right"/>
              <w:rPr>
                <w:b/>
                <w:sz w:val="16"/>
              </w:rPr>
            </w:pPr>
            <w:r w:rsidRPr="001D1CF1">
              <w:rPr>
                <w:b/>
                <w:sz w:val="16"/>
              </w:rPr>
              <w:t>Admin cost per recipient</w:t>
            </w:r>
          </w:p>
        </w:tc>
        <w:tc>
          <w:tcPr>
            <w:tcW w:w="1311" w:type="dxa"/>
            <w:vAlign w:val="center"/>
          </w:tcPr>
          <w:p w14:paraId="4D51A4FC" w14:textId="77777777" w:rsidR="006145A6" w:rsidRPr="001D1CF1" w:rsidRDefault="006145A6" w:rsidP="00060B34">
            <w:pPr>
              <w:jc w:val="right"/>
              <w:rPr>
                <w:b/>
                <w:sz w:val="16"/>
              </w:rPr>
            </w:pPr>
            <w:r w:rsidRPr="001D1CF1">
              <w:rPr>
                <w:b/>
                <w:sz w:val="16"/>
              </w:rPr>
              <w:t>Admin cost as % of total cost</w:t>
            </w:r>
          </w:p>
        </w:tc>
        <w:tc>
          <w:tcPr>
            <w:tcW w:w="1311" w:type="dxa"/>
            <w:vAlign w:val="center"/>
          </w:tcPr>
          <w:p w14:paraId="50333FFF" w14:textId="77777777" w:rsidR="006145A6" w:rsidRDefault="006145A6" w:rsidP="00060B34">
            <w:pPr>
              <w:jc w:val="right"/>
              <w:rPr>
                <w:b/>
                <w:sz w:val="16"/>
              </w:rPr>
            </w:pPr>
            <w:r>
              <w:rPr>
                <w:b/>
                <w:sz w:val="16"/>
              </w:rPr>
              <w:t>Cost Transfer Ratio*</w:t>
            </w:r>
          </w:p>
        </w:tc>
        <w:tc>
          <w:tcPr>
            <w:tcW w:w="1311" w:type="dxa"/>
            <w:vAlign w:val="center"/>
          </w:tcPr>
          <w:p w14:paraId="592AFB6B" w14:textId="77777777" w:rsidR="006145A6" w:rsidRPr="001D1CF1" w:rsidRDefault="006145A6" w:rsidP="00060B34">
            <w:pPr>
              <w:jc w:val="right"/>
              <w:rPr>
                <w:b/>
                <w:sz w:val="16"/>
              </w:rPr>
            </w:pPr>
            <w:r>
              <w:rPr>
                <w:b/>
                <w:sz w:val="16"/>
              </w:rPr>
              <w:t xml:space="preserve">% beneficiaries in bottom 40% </w:t>
            </w:r>
          </w:p>
        </w:tc>
      </w:tr>
      <w:tr w:rsidR="006145A6" w14:paraId="4D6E1161" w14:textId="77777777" w:rsidTr="00060B34">
        <w:trPr>
          <w:trHeight w:val="335"/>
        </w:trPr>
        <w:tc>
          <w:tcPr>
            <w:tcW w:w="1311" w:type="dxa"/>
            <w:tcBorders>
              <w:bottom w:val="single" w:sz="4" w:space="0" w:color="auto"/>
            </w:tcBorders>
            <w:vAlign w:val="center"/>
          </w:tcPr>
          <w:p w14:paraId="417CA213" w14:textId="77777777" w:rsidR="006145A6" w:rsidRPr="00485DEE" w:rsidRDefault="006145A6" w:rsidP="00060B34">
            <w:pPr>
              <w:jc w:val="left"/>
              <w:rPr>
                <w:sz w:val="16"/>
              </w:rPr>
            </w:pPr>
            <w:proofErr w:type="spellStart"/>
            <w:r w:rsidRPr="00485DEE">
              <w:rPr>
                <w:sz w:val="16"/>
              </w:rPr>
              <w:t>Raskin</w:t>
            </w:r>
            <w:proofErr w:type="spellEnd"/>
            <w:r w:rsidRPr="00485DEE">
              <w:rPr>
                <w:sz w:val="16"/>
              </w:rPr>
              <w:t xml:space="preserve"> 2010</w:t>
            </w:r>
          </w:p>
        </w:tc>
        <w:tc>
          <w:tcPr>
            <w:tcW w:w="1311" w:type="dxa"/>
            <w:tcBorders>
              <w:bottom w:val="single" w:sz="4" w:space="0" w:color="auto"/>
            </w:tcBorders>
            <w:vAlign w:val="center"/>
          </w:tcPr>
          <w:p w14:paraId="65628279" w14:textId="77777777" w:rsidR="006145A6" w:rsidRPr="00485DEE" w:rsidRDefault="006145A6" w:rsidP="00060B34">
            <w:pPr>
              <w:jc w:val="right"/>
              <w:rPr>
                <w:sz w:val="16"/>
              </w:rPr>
            </w:pPr>
            <w:r w:rsidRPr="00485DEE">
              <w:rPr>
                <w:sz w:val="16"/>
              </w:rPr>
              <w:t>31,000,000</w:t>
            </w:r>
          </w:p>
        </w:tc>
        <w:tc>
          <w:tcPr>
            <w:tcW w:w="1312" w:type="dxa"/>
            <w:tcBorders>
              <w:bottom w:val="single" w:sz="4" w:space="0" w:color="auto"/>
            </w:tcBorders>
            <w:vAlign w:val="center"/>
          </w:tcPr>
          <w:p w14:paraId="0F34586B" w14:textId="77777777" w:rsidR="006145A6" w:rsidRPr="00485DEE" w:rsidRDefault="006145A6" w:rsidP="00060B34">
            <w:pPr>
              <w:jc w:val="right"/>
              <w:rPr>
                <w:sz w:val="16"/>
              </w:rPr>
            </w:pPr>
            <w:r w:rsidRPr="00485DEE">
              <w:rPr>
                <w:sz w:val="16"/>
              </w:rPr>
              <w:t>$1,820 m</w:t>
            </w:r>
          </w:p>
        </w:tc>
        <w:tc>
          <w:tcPr>
            <w:tcW w:w="1311" w:type="dxa"/>
            <w:tcBorders>
              <w:bottom w:val="single" w:sz="4" w:space="0" w:color="auto"/>
            </w:tcBorders>
            <w:vAlign w:val="center"/>
          </w:tcPr>
          <w:p w14:paraId="6630A908" w14:textId="77777777" w:rsidR="006145A6" w:rsidRPr="00485DEE" w:rsidRDefault="006145A6" w:rsidP="00060B34">
            <w:pPr>
              <w:jc w:val="right"/>
              <w:rPr>
                <w:sz w:val="16"/>
              </w:rPr>
            </w:pPr>
            <w:r w:rsidRPr="00485DEE">
              <w:rPr>
                <w:sz w:val="16"/>
              </w:rPr>
              <w:t>$6</w:t>
            </w:r>
          </w:p>
        </w:tc>
        <w:tc>
          <w:tcPr>
            <w:tcW w:w="1311" w:type="dxa"/>
            <w:tcBorders>
              <w:bottom w:val="single" w:sz="4" w:space="0" w:color="auto"/>
            </w:tcBorders>
            <w:vAlign w:val="center"/>
          </w:tcPr>
          <w:p w14:paraId="73D17F87" w14:textId="77777777" w:rsidR="006145A6" w:rsidRPr="00485DEE" w:rsidRDefault="006145A6" w:rsidP="00060B34">
            <w:pPr>
              <w:jc w:val="right"/>
              <w:rPr>
                <w:sz w:val="16"/>
              </w:rPr>
            </w:pPr>
            <w:r w:rsidRPr="00485DEE">
              <w:rPr>
                <w:sz w:val="16"/>
              </w:rPr>
              <w:t>10%</w:t>
            </w:r>
          </w:p>
        </w:tc>
        <w:tc>
          <w:tcPr>
            <w:tcW w:w="1311" w:type="dxa"/>
            <w:tcBorders>
              <w:bottom w:val="single" w:sz="4" w:space="0" w:color="auto"/>
            </w:tcBorders>
            <w:vAlign w:val="center"/>
          </w:tcPr>
          <w:p w14:paraId="47166643" w14:textId="77777777" w:rsidR="006145A6" w:rsidRDefault="006145A6" w:rsidP="00060B34">
            <w:pPr>
              <w:jc w:val="right"/>
              <w:rPr>
                <w:sz w:val="16"/>
              </w:rPr>
            </w:pPr>
            <w:r w:rsidRPr="00485DEE">
              <w:rPr>
                <w:sz w:val="16"/>
              </w:rPr>
              <w:t>0.10</w:t>
            </w:r>
          </w:p>
        </w:tc>
        <w:tc>
          <w:tcPr>
            <w:tcW w:w="1311" w:type="dxa"/>
            <w:tcBorders>
              <w:bottom w:val="single" w:sz="4" w:space="0" w:color="auto"/>
            </w:tcBorders>
            <w:vAlign w:val="center"/>
          </w:tcPr>
          <w:p w14:paraId="415DFADF" w14:textId="77777777" w:rsidR="006145A6" w:rsidRPr="00485DEE" w:rsidRDefault="006145A6" w:rsidP="00060B34">
            <w:pPr>
              <w:jc w:val="right"/>
              <w:rPr>
                <w:sz w:val="16"/>
              </w:rPr>
            </w:pPr>
            <w:r>
              <w:rPr>
                <w:sz w:val="16"/>
              </w:rPr>
              <w:t>40%</w:t>
            </w:r>
          </w:p>
        </w:tc>
      </w:tr>
      <w:tr w:rsidR="006145A6" w:rsidRPr="00D82C36" w14:paraId="5DBA9694" w14:textId="77777777" w:rsidTr="00060B34">
        <w:trPr>
          <w:trHeight w:val="282"/>
        </w:trPr>
        <w:tc>
          <w:tcPr>
            <w:tcW w:w="1311" w:type="dxa"/>
            <w:tcBorders>
              <w:bottom w:val="single" w:sz="4" w:space="0" w:color="auto"/>
            </w:tcBorders>
            <w:shd w:val="clear" w:color="auto" w:fill="D9D9D9" w:themeFill="background1" w:themeFillShade="D9"/>
            <w:vAlign w:val="center"/>
          </w:tcPr>
          <w:p w14:paraId="129DA450" w14:textId="77777777" w:rsidR="006145A6" w:rsidRPr="00D82C36" w:rsidRDefault="006145A6" w:rsidP="00060B34">
            <w:pPr>
              <w:jc w:val="left"/>
              <w:rPr>
                <w:b/>
                <w:sz w:val="16"/>
              </w:rPr>
            </w:pPr>
            <w:proofErr w:type="spellStart"/>
            <w:r w:rsidRPr="00D82C36">
              <w:rPr>
                <w:b/>
                <w:sz w:val="16"/>
              </w:rPr>
              <w:t>Raskin</w:t>
            </w:r>
            <w:proofErr w:type="spellEnd"/>
            <w:r w:rsidRPr="00D82C36">
              <w:rPr>
                <w:b/>
                <w:sz w:val="16"/>
              </w:rPr>
              <w:t xml:space="preserve"> 2013</w:t>
            </w:r>
          </w:p>
        </w:tc>
        <w:tc>
          <w:tcPr>
            <w:tcW w:w="1311" w:type="dxa"/>
            <w:tcBorders>
              <w:bottom w:val="single" w:sz="4" w:space="0" w:color="auto"/>
            </w:tcBorders>
            <w:shd w:val="clear" w:color="auto" w:fill="D9D9D9" w:themeFill="background1" w:themeFillShade="D9"/>
            <w:vAlign w:val="center"/>
          </w:tcPr>
          <w:p w14:paraId="44B53E05" w14:textId="77777777" w:rsidR="006145A6" w:rsidRPr="00D82C36" w:rsidRDefault="006145A6" w:rsidP="00060B34">
            <w:pPr>
              <w:jc w:val="right"/>
              <w:rPr>
                <w:b/>
                <w:sz w:val="16"/>
              </w:rPr>
            </w:pPr>
            <w:r w:rsidRPr="00D82C36">
              <w:rPr>
                <w:b/>
                <w:sz w:val="16"/>
              </w:rPr>
              <w:t>33,300,000</w:t>
            </w:r>
          </w:p>
        </w:tc>
        <w:tc>
          <w:tcPr>
            <w:tcW w:w="1312" w:type="dxa"/>
            <w:tcBorders>
              <w:bottom w:val="single" w:sz="4" w:space="0" w:color="auto"/>
            </w:tcBorders>
            <w:shd w:val="clear" w:color="auto" w:fill="D9D9D9" w:themeFill="background1" w:themeFillShade="D9"/>
            <w:vAlign w:val="center"/>
          </w:tcPr>
          <w:p w14:paraId="78191F0E" w14:textId="77777777" w:rsidR="006145A6" w:rsidRPr="00D82C36" w:rsidRDefault="006145A6" w:rsidP="00060B34">
            <w:pPr>
              <w:jc w:val="right"/>
              <w:rPr>
                <w:b/>
                <w:sz w:val="16"/>
              </w:rPr>
            </w:pPr>
            <w:r w:rsidRPr="00D82C36">
              <w:rPr>
                <w:b/>
                <w:sz w:val="16"/>
              </w:rPr>
              <w:t>$2,150 m</w:t>
            </w:r>
          </w:p>
        </w:tc>
        <w:tc>
          <w:tcPr>
            <w:tcW w:w="1311" w:type="dxa"/>
            <w:tcBorders>
              <w:bottom w:val="single" w:sz="4" w:space="0" w:color="auto"/>
            </w:tcBorders>
            <w:shd w:val="clear" w:color="auto" w:fill="D9D9D9" w:themeFill="background1" w:themeFillShade="D9"/>
            <w:vAlign w:val="center"/>
          </w:tcPr>
          <w:p w14:paraId="76C942BC" w14:textId="77777777" w:rsidR="006145A6" w:rsidRPr="00D82C36" w:rsidRDefault="006145A6" w:rsidP="00060B34">
            <w:pPr>
              <w:jc w:val="right"/>
              <w:rPr>
                <w:b/>
                <w:sz w:val="16"/>
              </w:rPr>
            </w:pPr>
            <w:r w:rsidRPr="00D82C36">
              <w:rPr>
                <w:b/>
                <w:sz w:val="16"/>
              </w:rPr>
              <w:t>$13</w:t>
            </w:r>
          </w:p>
        </w:tc>
        <w:tc>
          <w:tcPr>
            <w:tcW w:w="1311" w:type="dxa"/>
            <w:tcBorders>
              <w:bottom w:val="single" w:sz="4" w:space="0" w:color="auto"/>
            </w:tcBorders>
            <w:shd w:val="clear" w:color="auto" w:fill="D9D9D9" w:themeFill="background1" w:themeFillShade="D9"/>
            <w:vAlign w:val="center"/>
          </w:tcPr>
          <w:p w14:paraId="221220CF" w14:textId="77777777" w:rsidR="006145A6" w:rsidRPr="00D82C36" w:rsidRDefault="006145A6" w:rsidP="00060B34">
            <w:pPr>
              <w:jc w:val="right"/>
              <w:rPr>
                <w:b/>
                <w:sz w:val="16"/>
              </w:rPr>
            </w:pPr>
            <w:r w:rsidRPr="00D82C36">
              <w:rPr>
                <w:b/>
                <w:sz w:val="16"/>
              </w:rPr>
              <w:t>21%</w:t>
            </w:r>
          </w:p>
        </w:tc>
        <w:tc>
          <w:tcPr>
            <w:tcW w:w="1311" w:type="dxa"/>
            <w:tcBorders>
              <w:bottom w:val="single" w:sz="4" w:space="0" w:color="auto"/>
            </w:tcBorders>
            <w:shd w:val="clear" w:color="auto" w:fill="D9D9D9" w:themeFill="background1" w:themeFillShade="D9"/>
            <w:vAlign w:val="center"/>
          </w:tcPr>
          <w:p w14:paraId="2C815814" w14:textId="77777777" w:rsidR="006145A6" w:rsidRPr="00B578C4" w:rsidRDefault="006145A6" w:rsidP="00060B34">
            <w:pPr>
              <w:jc w:val="right"/>
              <w:rPr>
                <w:b/>
                <w:sz w:val="16"/>
              </w:rPr>
            </w:pPr>
            <w:r w:rsidRPr="00B578C4">
              <w:rPr>
                <w:b/>
                <w:sz w:val="16"/>
              </w:rPr>
              <w:t>0.03</w:t>
            </w:r>
          </w:p>
        </w:tc>
        <w:tc>
          <w:tcPr>
            <w:tcW w:w="1311" w:type="dxa"/>
            <w:tcBorders>
              <w:bottom w:val="single" w:sz="4" w:space="0" w:color="auto"/>
            </w:tcBorders>
            <w:shd w:val="clear" w:color="auto" w:fill="D9D9D9" w:themeFill="background1" w:themeFillShade="D9"/>
            <w:vAlign w:val="center"/>
          </w:tcPr>
          <w:p w14:paraId="791CB78D" w14:textId="77777777" w:rsidR="006145A6" w:rsidRPr="00D82C36" w:rsidRDefault="006145A6" w:rsidP="00060B34">
            <w:pPr>
              <w:jc w:val="right"/>
              <w:rPr>
                <w:b/>
                <w:sz w:val="16"/>
              </w:rPr>
            </w:pPr>
            <w:r w:rsidRPr="00D82C36">
              <w:rPr>
                <w:b/>
                <w:sz w:val="16"/>
              </w:rPr>
              <w:t>54%</w:t>
            </w:r>
          </w:p>
        </w:tc>
      </w:tr>
      <w:tr w:rsidR="006145A6" w14:paraId="51F6ED3D" w14:textId="77777777" w:rsidTr="00060B34">
        <w:trPr>
          <w:trHeight w:val="272"/>
        </w:trPr>
        <w:tc>
          <w:tcPr>
            <w:tcW w:w="1311" w:type="dxa"/>
            <w:tcBorders>
              <w:bottom w:val="single" w:sz="4" w:space="0" w:color="auto"/>
            </w:tcBorders>
            <w:vAlign w:val="center"/>
          </w:tcPr>
          <w:p w14:paraId="5A2F9D6E" w14:textId="77777777" w:rsidR="006145A6" w:rsidRPr="00C8382B" w:rsidRDefault="006145A6" w:rsidP="00060B34">
            <w:pPr>
              <w:jc w:val="left"/>
              <w:rPr>
                <w:sz w:val="16"/>
              </w:rPr>
            </w:pPr>
            <w:r w:rsidRPr="00C8382B">
              <w:rPr>
                <w:sz w:val="16"/>
              </w:rPr>
              <w:t>PKH 2011</w:t>
            </w:r>
          </w:p>
        </w:tc>
        <w:tc>
          <w:tcPr>
            <w:tcW w:w="1311" w:type="dxa"/>
            <w:tcBorders>
              <w:bottom w:val="single" w:sz="4" w:space="0" w:color="auto"/>
            </w:tcBorders>
            <w:vAlign w:val="center"/>
          </w:tcPr>
          <w:p w14:paraId="6FB773DA" w14:textId="77777777" w:rsidR="006145A6" w:rsidRPr="00C8382B" w:rsidRDefault="006145A6" w:rsidP="00060B34">
            <w:pPr>
              <w:jc w:val="right"/>
              <w:rPr>
                <w:sz w:val="16"/>
              </w:rPr>
            </w:pPr>
            <w:r w:rsidRPr="00C8382B">
              <w:rPr>
                <w:sz w:val="16"/>
              </w:rPr>
              <w:t>1,052,201</w:t>
            </w:r>
          </w:p>
        </w:tc>
        <w:tc>
          <w:tcPr>
            <w:tcW w:w="1312" w:type="dxa"/>
            <w:tcBorders>
              <w:bottom w:val="single" w:sz="4" w:space="0" w:color="auto"/>
            </w:tcBorders>
            <w:vAlign w:val="center"/>
          </w:tcPr>
          <w:p w14:paraId="6BE46BCD" w14:textId="77777777" w:rsidR="006145A6" w:rsidRPr="00C8382B" w:rsidRDefault="006145A6" w:rsidP="00060B34">
            <w:pPr>
              <w:jc w:val="right"/>
              <w:rPr>
                <w:sz w:val="16"/>
              </w:rPr>
            </w:pPr>
            <w:r w:rsidRPr="00C8382B">
              <w:rPr>
                <w:sz w:val="16"/>
              </w:rPr>
              <w:t>$174 m</w:t>
            </w:r>
          </w:p>
        </w:tc>
        <w:tc>
          <w:tcPr>
            <w:tcW w:w="1311" w:type="dxa"/>
            <w:tcBorders>
              <w:bottom w:val="single" w:sz="4" w:space="0" w:color="auto"/>
            </w:tcBorders>
            <w:vAlign w:val="center"/>
          </w:tcPr>
          <w:p w14:paraId="3508902F" w14:textId="77777777" w:rsidR="006145A6" w:rsidRPr="00C8382B" w:rsidRDefault="006145A6" w:rsidP="00060B34">
            <w:pPr>
              <w:jc w:val="right"/>
              <w:rPr>
                <w:sz w:val="16"/>
              </w:rPr>
            </w:pPr>
            <w:r w:rsidRPr="00C8382B">
              <w:rPr>
                <w:sz w:val="16"/>
              </w:rPr>
              <w:t>$31</w:t>
            </w:r>
          </w:p>
        </w:tc>
        <w:tc>
          <w:tcPr>
            <w:tcW w:w="1311" w:type="dxa"/>
            <w:tcBorders>
              <w:bottom w:val="single" w:sz="4" w:space="0" w:color="auto"/>
            </w:tcBorders>
            <w:vAlign w:val="center"/>
          </w:tcPr>
          <w:p w14:paraId="24902687" w14:textId="300ACB26" w:rsidR="006145A6" w:rsidRPr="00C8382B" w:rsidRDefault="00CC7364" w:rsidP="00CC7364">
            <w:pPr>
              <w:jc w:val="right"/>
              <w:rPr>
                <w:sz w:val="16"/>
              </w:rPr>
            </w:pPr>
            <w:r>
              <w:rPr>
                <w:sz w:val="16"/>
              </w:rPr>
              <w:t>22</w:t>
            </w:r>
            <w:r w:rsidR="006145A6" w:rsidRPr="00C8382B">
              <w:rPr>
                <w:sz w:val="16"/>
              </w:rPr>
              <w:t>.4%</w:t>
            </w:r>
          </w:p>
        </w:tc>
        <w:tc>
          <w:tcPr>
            <w:tcW w:w="1311" w:type="dxa"/>
            <w:tcBorders>
              <w:bottom w:val="single" w:sz="4" w:space="0" w:color="auto"/>
            </w:tcBorders>
            <w:vAlign w:val="center"/>
          </w:tcPr>
          <w:p w14:paraId="4922DF83" w14:textId="292046F9" w:rsidR="006145A6" w:rsidRDefault="006145A6" w:rsidP="00CC7364">
            <w:pPr>
              <w:jc w:val="right"/>
              <w:rPr>
                <w:sz w:val="16"/>
              </w:rPr>
            </w:pPr>
            <w:r w:rsidRPr="00C8382B">
              <w:rPr>
                <w:sz w:val="16"/>
              </w:rPr>
              <w:t>0.2</w:t>
            </w:r>
            <w:r w:rsidR="00CC7364">
              <w:rPr>
                <w:sz w:val="16"/>
              </w:rPr>
              <w:t>9</w:t>
            </w:r>
          </w:p>
        </w:tc>
        <w:tc>
          <w:tcPr>
            <w:tcW w:w="1311" w:type="dxa"/>
            <w:tcBorders>
              <w:bottom w:val="single" w:sz="4" w:space="0" w:color="auto"/>
            </w:tcBorders>
            <w:vAlign w:val="center"/>
          </w:tcPr>
          <w:p w14:paraId="59E56F98" w14:textId="564F93F3" w:rsidR="006145A6" w:rsidRPr="00C8382B" w:rsidRDefault="00CC7364" w:rsidP="00CC7364">
            <w:pPr>
              <w:jc w:val="right"/>
              <w:rPr>
                <w:sz w:val="16"/>
              </w:rPr>
            </w:pPr>
            <w:r>
              <w:rPr>
                <w:sz w:val="16"/>
              </w:rPr>
              <w:t>64</w:t>
            </w:r>
            <w:r w:rsidR="006145A6">
              <w:rPr>
                <w:sz w:val="16"/>
              </w:rPr>
              <w:t>%</w:t>
            </w:r>
          </w:p>
        </w:tc>
      </w:tr>
      <w:tr w:rsidR="006145A6" w:rsidRPr="00D82C36" w14:paraId="47BEA425" w14:textId="77777777" w:rsidTr="00060B34">
        <w:trPr>
          <w:trHeight w:val="276"/>
        </w:trPr>
        <w:tc>
          <w:tcPr>
            <w:tcW w:w="1311" w:type="dxa"/>
            <w:shd w:val="clear" w:color="auto" w:fill="D9D9D9" w:themeFill="background1" w:themeFillShade="D9"/>
            <w:vAlign w:val="center"/>
          </w:tcPr>
          <w:p w14:paraId="08F820E5" w14:textId="77777777" w:rsidR="006145A6" w:rsidRPr="00D82C36" w:rsidRDefault="006145A6" w:rsidP="00060B34">
            <w:pPr>
              <w:jc w:val="left"/>
              <w:rPr>
                <w:b/>
                <w:sz w:val="16"/>
              </w:rPr>
            </w:pPr>
            <w:r w:rsidRPr="00D82C36">
              <w:rPr>
                <w:b/>
                <w:sz w:val="16"/>
              </w:rPr>
              <w:t>PKH 2014</w:t>
            </w:r>
          </w:p>
        </w:tc>
        <w:tc>
          <w:tcPr>
            <w:tcW w:w="1311" w:type="dxa"/>
            <w:shd w:val="clear" w:color="auto" w:fill="D9D9D9" w:themeFill="background1" w:themeFillShade="D9"/>
            <w:vAlign w:val="center"/>
          </w:tcPr>
          <w:p w14:paraId="32129B9A" w14:textId="77777777" w:rsidR="006145A6" w:rsidRPr="00D82C36" w:rsidRDefault="006145A6" w:rsidP="00060B34">
            <w:pPr>
              <w:jc w:val="right"/>
              <w:rPr>
                <w:b/>
                <w:sz w:val="16"/>
              </w:rPr>
            </w:pPr>
            <w:r w:rsidRPr="00D82C36">
              <w:rPr>
                <w:b/>
                <w:sz w:val="16"/>
              </w:rPr>
              <w:t>2,797,773</w:t>
            </w:r>
          </w:p>
        </w:tc>
        <w:tc>
          <w:tcPr>
            <w:tcW w:w="1312" w:type="dxa"/>
            <w:shd w:val="clear" w:color="auto" w:fill="D9D9D9" w:themeFill="background1" w:themeFillShade="D9"/>
            <w:vAlign w:val="center"/>
          </w:tcPr>
          <w:p w14:paraId="0EE83572" w14:textId="77777777" w:rsidR="006145A6" w:rsidRPr="00D82C36" w:rsidRDefault="006145A6" w:rsidP="00060B34">
            <w:pPr>
              <w:jc w:val="right"/>
              <w:rPr>
                <w:b/>
                <w:sz w:val="16"/>
              </w:rPr>
            </w:pPr>
            <w:r w:rsidRPr="00D82C36">
              <w:rPr>
                <w:b/>
                <w:sz w:val="16"/>
              </w:rPr>
              <w:t>$415 m</w:t>
            </w:r>
          </w:p>
        </w:tc>
        <w:tc>
          <w:tcPr>
            <w:tcW w:w="1311" w:type="dxa"/>
            <w:shd w:val="clear" w:color="auto" w:fill="D9D9D9" w:themeFill="background1" w:themeFillShade="D9"/>
            <w:vAlign w:val="center"/>
          </w:tcPr>
          <w:p w14:paraId="7D57095D" w14:textId="77777777" w:rsidR="006145A6" w:rsidRPr="00D82C36" w:rsidRDefault="006145A6" w:rsidP="00060B34">
            <w:pPr>
              <w:jc w:val="right"/>
              <w:rPr>
                <w:b/>
                <w:sz w:val="16"/>
              </w:rPr>
            </w:pPr>
            <w:r w:rsidRPr="00D82C36">
              <w:rPr>
                <w:b/>
                <w:sz w:val="16"/>
              </w:rPr>
              <w:t>$19</w:t>
            </w:r>
          </w:p>
        </w:tc>
        <w:tc>
          <w:tcPr>
            <w:tcW w:w="1311" w:type="dxa"/>
            <w:shd w:val="clear" w:color="auto" w:fill="D9D9D9" w:themeFill="background1" w:themeFillShade="D9"/>
            <w:vAlign w:val="center"/>
          </w:tcPr>
          <w:p w14:paraId="0F0F2269" w14:textId="77777777" w:rsidR="006145A6" w:rsidRPr="00D82C36" w:rsidRDefault="006145A6" w:rsidP="00060B34">
            <w:pPr>
              <w:jc w:val="right"/>
              <w:rPr>
                <w:b/>
                <w:sz w:val="16"/>
              </w:rPr>
            </w:pPr>
            <w:r w:rsidRPr="00D82C36">
              <w:rPr>
                <w:b/>
                <w:sz w:val="16"/>
              </w:rPr>
              <w:t>12.7%</w:t>
            </w:r>
          </w:p>
        </w:tc>
        <w:tc>
          <w:tcPr>
            <w:tcW w:w="1311" w:type="dxa"/>
            <w:shd w:val="clear" w:color="auto" w:fill="D9D9D9" w:themeFill="background1" w:themeFillShade="D9"/>
            <w:vAlign w:val="center"/>
          </w:tcPr>
          <w:p w14:paraId="52A7BFBB" w14:textId="77777777" w:rsidR="006145A6" w:rsidRPr="00B578C4" w:rsidRDefault="006145A6" w:rsidP="00060B34">
            <w:pPr>
              <w:jc w:val="right"/>
              <w:rPr>
                <w:b/>
                <w:sz w:val="16"/>
              </w:rPr>
            </w:pPr>
            <w:r w:rsidRPr="00B578C4">
              <w:rPr>
                <w:b/>
                <w:sz w:val="16"/>
              </w:rPr>
              <w:t>0.15</w:t>
            </w:r>
          </w:p>
        </w:tc>
        <w:tc>
          <w:tcPr>
            <w:tcW w:w="1311" w:type="dxa"/>
            <w:shd w:val="clear" w:color="auto" w:fill="D9D9D9" w:themeFill="background1" w:themeFillShade="D9"/>
            <w:vAlign w:val="center"/>
          </w:tcPr>
          <w:p w14:paraId="08733B82" w14:textId="45EBB4C8" w:rsidR="006145A6" w:rsidRPr="00D82C36" w:rsidRDefault="00CC7364" w:rsidP="00CC7364">
            <w:pPr>
              <w:jc w:val="right"/>
              <w:rPr>
                <w:b/>
                <w:sz w:val="16"/>
              </w:rPr>
            </w:pPr>
            <w:r>
              <w:rPr>
                <w:b/>
                <w:sz w:val="16"/>
              </w:rPr>
              <w:t>78</w:t>
            </w:r>
            <w:r w:rsidR="006145A6" w:rsidRPr="00D82C36">
              <w:rPr>
                <w:b/>
                <w:sz w:val="16"/>
              </w:rPr>
              <w:t>%</w:t>
            </w:r>
          </w:p>
        </w:tc>
      </w:tr>
      <w:tr w:rsidR="006145A6" w14:paraId="792B4825" w14:textId="77777777" w:rsidTr="00060B34">
        <w:trPr>
          <w:trHeight w:val="280"/>
        </w:trPr>
        <w:tc>
          <w:tcPr>
            <w:tcW w:w="1311" w:type="dxa"/>
            <w:tcBorders>
              <w:bottom w:val="single" w:sz="4" w:space="0" w:color="auto"/>
            </w:tcBorders>
            <w:vAlign w:val="center"/>
          </w:tcPr>
          <w:p w14:paraId="77AC08F0" w14:textId="77777777" w:rsidR="006145A6" w:rsidRPr="00485DEE" w:rsidRDefault="006145A6" w:rsidP="00060B34">
            <w:pPr>
              <w:jc w:val="left"/>
              <w:rPr>
                <w:sz w:val="16"/>
              </w:rPr>
            </w:pPr>
            <w:r w:rsidRPr="00485DEE">
              <w:rPr>
                <w:sz w:val="16"/>
              </w:rPr>
              <w:t>BSM 2010</w:t>
            </w:r>
          </w:p>
        </w:tc>
        <w:tc>
          <w:tcPr>
            <w:tcW w:w="1311" w:type="dxa"/>
            <w:tcBorders>
              <w:bottom w:val="single" w:sz="4" w:space="0" w:color="auto"/>
            </w:tcBorders>
            <w:vAlign w:val="center"/>
          </w:tcPr>
          <w:p w14:paraId="1DDFD5CD" w14:textId="77777777" w:rsidR="006145A6" w:rsidRPr="00485DEE" w:rsidRDefault="006145A6" w:rsidP="00060B34">
            <w:pPr>
              <w:jc w:val="right"/>
              <w:rPr>
                <w:sz w:val="16"/>
              </w:rPr>
            </w:pPr>
            <w:r w:rsidRPr="00485DEE">
              <w:rPr>
                <w:sz w:val="16"/>
              </w:rPr>
              <w:t>5,200,000</w:t>
            </w:r>
          </w:p>
        </w:tc>
        <w:tc>
          <w:tcPr>
            <w:tcW w:w="1312" w:type="dxa"/>
            <w:tcBorders>
              <w:bottom w:val="single" w:sz="4" w:space="0" w:color="auto"/>
            </w:tcBorders>
            <w:vAlign w:val="center"/>
          </w:tcPr>
          <w:p w14:paraId="2F19E1A1" w14:textId="77777777" w:rsidR="006145A6" w:rsidRPr="00485DEE" w:rsidRDefault="006145A6" w:rsidP="00060B34">
            <w:pPr>
              <w:jc w:val="right"/>
              <w:rPr>
                <w:sz w:val="16"/>
              </w:rPr>
            </w:pPr>
            <w:r w:rsidRPr="00485DEE">
              <w:rPr>
                <w:sz w:val="16"/>
              </w:rPr>
              <w:t>$338 m</w:t>
            </w:r>
          </w:p>
        </w:tc>
        <w:tc>
          <w:tcPr>
            <w:tcW w:w="1311" w:type="dxa"/>
            <w:tcBorders>
              <w:bottom w:val="single" w:sz="4" w:space="0" w:color="auto"/>
            </w:tcBorders>
            <w:vAlign w:val="center"/>
          </w:tcPr>
          <w:p w14:paraId="0EF1B442" w14:textId="77777777" w:rsidR="006145A6" w:rsidRPr="00485DEE" w:rsidRDefault="006145A6" w:rsidP="00060B34">
            <w:pPr>
              <w:jc w:val="right"/>
              <w:rPr>
                <w:sz w:val="16"/>
              </w:rPr>
            </w:pPr>
            <w:r w:rsidRPr="00485DEE">
              <w:rPr>
                <w:sz w:val="16"/>
              </w:rPr>
              <w:t>$3</w:t>
            </w:r>
          </w:p>
        </w:tc>
        <w:tc>
          <w:tcPr>
            <w:tcW w:w="1311" w:type="dxa"/>
            <w:tcBorders>
              <w:bottom w:val="single" w:sz="4" w:space="0" w:color="auto"/>
            </w:tcBorders>
            <w:vAlign w:val="center"/>
          </w:tcPr>
          <w:p w14:paraId="699D087D" w14:textId="77777777" w:rsidR="006145A6" w:rsidRPr="00485DEE" w:rsidRDefault="006145A6" w:rsidP="00060B34">
            <w:pPr>
              <w:jc w:val="right"/>
              <w:rPr>
                <w:sz w:val="16"/>
              </w:rPr>
            </w:pPr>
            <w:r w:rsidRPr="00485DEE">
              <w:rPr>
                <w:sz w:val="16"/>
              </w:rPr>
              <w:t>5.1%</w:t>
            </w:r>
          </w:p>
        </w:tc>
        <w:tc>
          <w:tcPr>
            <w:tcW w:w="1311" w:type="dxa"/>
            <w:tcBorders>
              <w:bottom w:val="single" w:sz="4" w:space="0" w:color="auto"/>
            </w:tcBorders>
            <w:vAlign w:val="center"/>
          </w:tcPr>
          <w:p w14:paraId="485B8C4F" w14:textId="77777777" w:rsidR="006145A6" w:rsidRPr="00DB5F60" w:rsidRDefault="006145A6" w:rsidP="00060B34">
            <w:pPr>
              <w:jc w:val="right"/>
              <w:rPr>
                <w:b/>
                <w:sz w:val="16"/>
              </w:rPr>
            </w:pPr>
            <w:r w:rsidRPr="00485DEE">
              <w:rPr>
                <w:sz w:val="16"/>
              </w:rPr>
              <w:t>0.05</w:t>
            </w:r>
          </w:p>
        </w:tc>
        <w:tc>
          <w:tcPr>
            <w:tcW w:w="1311" w:type="dxa"/>
            <w:tcBorders>
              <w:bottom w:val="single" w:sz="4" w:space="0" w:color="auto"/>
            </w:tcBorders>
            <w:vAlign w:val="center"/>
          </w:tcPr>
          <w:p w14:paraId="7B2297ED" w14:textId="77777777" w:rsidR="006145A6" w:rsidRPr="00485DEE" w:rsidRDefault="006145A6" w:rsidP="00060B34">
            <w:pPr>
              <w:jc w:val="right"/>
              <w:rPr>
                <w:sz w:val="16"/>
              </w:rPr>
            </w:pPr>
            <w:r>
              <w:rPr>
                <w:sz w:val="16"/>
              </w:rPr>
              <w:t>13%</w:t>
            </w:r>
          </w:p>
        </w:tc>
      </w:tr>
      <w:tr w:rsidR="006145A6" w:rsidRPr="00D82C36" w14:paraId="65D4150F" w14:textId="77777777" w:rsidTr="00060B34">
        <w:trPr>
          <w:trHeight w:val="256"/>
        </w:trPr>
        <w:tc>
          <w:tcPr>
            <w:tcW w:w="1311" w:type="dxa"/>
            <w:shd w:val="clear" w:color="auto" w:fill="D9D9D9" w:themeFill="background1" w:themeFillShade="D9"/>
            <w:vAlign w:val="center"/>
          </w:tcPr>
          <w:p w14:paraId="0C7BA6C2" w14:textId="77777777" w:rsidR="006145A6" w:rsidRPr="00D82C36" w:rsidRDefault="006145A6" w:rsidP="00060B34">
            <w:pPr>
              <w:jc w:val="left"/>
              <w:rPr>
                <w:b/>
                <w:sz w:val="16"/>
              </w:rPr>
            </w:pPr>
            <w:r w:rsidRPr="00D82C36">
              <w:rPr>
                <w:b/>
                <w:sz w:val="16"/>
              </w:rPr>
              <w:t>BSM 2014</w:t>
            </w:r>
          </w:p>
        </w:tc>
        <w:tc>
          <w:tcPr>
            <w:tcW w:w="1311" w:type="dxa"/>
            <w:shd w:val="clear" w:color="auto" w:fill="D9D9D9" w:themeFill="background1" w:themeFillShade="D9"/>
            <w:vAlign w:val="center"/>
          </w:tcPr>
          <w:p w14:paraId="7EB928EE" w14:textId="77777777" w:rsidR="006145A6" w:rsidRPr="00D82C36" w:rsidRDefault="006145A6" w:rsidP="00060B34">
            <w:pPr>
              <w:jc w:val="right"/>
              <w:rPr>
                <w:b/>
                <w:sz w:val="16"/>
              </w:rPr>
            </w:pPr>
            <w:r w:rsidRPr="00D82C36">
              <w:rPr>
                <w:b/>
                <w:sz w:val="16"/>
              </w:rPr>
              <w:t>11,100,000</w:t>
            </w:r>
          </w:p>
        </w:tc>
        <w:tc>
          <w:tcPr>
            <w:tcW w:w="1312" w:type="dxa"/>
            <w:shd w:val="clear" w:color="auto" w:fill="D9D9D9" w:themeFill="background1" w:themeFillShade="D9"/>
            <w:vAlign w:val="center"/>
          </w:tcPr>
          <w:p w14:paraId="2064251A" w14:textId="77777777" w:rsidR="006145A6" w:rsidRPr="00D82C36" w:rsidRDefault="006145A6" w:rsidP="00060B34">
            <w:pPr>
              <w:jc w:val="right"/>
              <w:rPr>
                <w:b/>
                <w:sz w:val="16"/>
              </w:rPr>
            </w:pPr>
            <w:r w:rsidRPr="00D82C36">
              <w:rPr>
                <w:b/>
                <w:sz w:val="16"/>
              </w:rPr>
              <w:t>$689 m</w:t>
            </w:r>
          </w:p>
        </w:tc>
        <w:tc>
          <w:tcPr>
            <w:tcW w:w="1311" w:type="dxa"/>
            <w:shd w:val="clear" w:color="auto" w:fill="D9D9D9" w:themeFill="background1" w:themeFillShade="D9"/>
            <w:vAlign w:val="center"/>
          </w:tcPr>
          <w:p w14:paraId="3CF02CFD" w14:textId="77777777" w:rsidR="006145A6" w:rsidRPr="00D82C36" w:rsidRDefault="006145A6" w:rsidP="00060B34">
            <w:pPr>
              <w:jc w:val="right"/>
              <w:rPr>
                <w:b/>
                <w:sz w:val="16"/>
              </w:rPr>
            </w:pPr>
            <w:r w:rsidRPr="00D82C36">
              <w:rPr>
                <w:b/>
                <w:sz w:val="16"/>
              </w:rPr>
              <w:t>$5</w:t>
            </w:r>
          </w:p>
        </w:tc>
        <w:tc>
          <w:tcPr>
            <w:tcW w:w="1311" w:type="dxa"/>
            <w:shd w:val="clear" w:color="auto" w:fill="D9D9D9" w:themeFill="background1" w:themeFillShade="D9"/>
            <w:vAlign w:val="center"/>
          </w:tcPr>
          <w:p w14:paraId="64FAB7E1" w14:textId="77777777" w:rsidR="006145A6" w:rsidRPr="00D82C36" w:rsidRDefault="006145A6" w:rsidP="00060B34">
            <w:pPr>
              <w:jc w:val="right"/>
              <w:rPr>
                <w:b/>
                <w:sz w:val="16"/>
              </w:rPr>
            </w:pPr>
            <w:r w:rsidRPr="00D82C36">
              <w:rPr>
                <w:b/>
                <w:sz w:val="16"/>
              </w:rPr>
              <w:t>8.4%</w:t>
            </w:r>
          </w:p>
        </w:tc>
        <w:tc>
          <w:tcPr>
            <w:tcW w:w="1311" w:type="dxa"/>
            <w:shd w:val="clear" w:color="auto" w:fill="D9D9D9" w:themeFill="background1" w:themeFillShade="D9"/>
            <w:vAlign w:val="center"/>
          </w:tcPr>
          <w:p w14:paraId="016D2801" w14:textId="77777777" w:rsidR="006145A6" w:rsidRPr="00B578C4" w:rsidRDefault="006145A6" w:rsidP="00060B34">
            <w:pPr>
              <w:jc w:val="right"/>
              <w:rPr>
                <w:b/>
                <w:sz w:val="16"/>
              </w:rPr>
            </w:pPr>
            <w:r w:rsidRPr="00B578C4">
              <w:rPr>
                <w:b/>
                <w:sz w:val="16"/>
              </w:rPr>
              <w:t>0.09</w:t>
            </w:r>
          </w:p>
        </w:tc>
        <w:tc>
          <w:tcPr>
            <w:tcW w:w="1311" w:type="dxa"/>
            <w:shd w:val="clear" w:color="auto" w:fill="D9D9D9" w:themeFill="background1" w:themeFillShade="D9"/>
            <w:vAlign w:val="center"/>
          </w:tcPr>
          <w:p w14:paraId="53A46C1A" w14:textId="77777777" w:rsidR="006145A6" w:rsidRPr="00D82C36" w:rsidRDefault="006145A6" w:rsidP="00060B34">
            <w:pPr>
              <w:jc w:val="right"/>
              <w:rPr>
                <w:b/>
                <w:sz w:val="16"/>
              </w:rPr>
            </w:pPr>
            <w:r w:rsidRPr="00D82C36">
              <w:rPr>
                <w:b/>
                <w:sz w:val="16"/>
              </w:rPr>
              <w:t>44%</w:t>
            </w:r>
          </w:p>
        </w:tc>
      </w:tr>
      <w:tr w:rsidR="006145A6" w14:paraId="20F58906" w14:textId="77777777" w:rsidTr="00060B34">
        <w:trPr>
          <w:trHeight w:val="271"/>
        </w:trPr>
        <w:tc>
          <w:tcPr>
            <w:tcW w:w="1311" w:type="dxa"/>
            <w:tcBorders>
              <w:bottom w:val="single" w:sz="4" w:space="0" w:color="auto"/>
            </w:tcBorders>
            <w:shd w:val="clear" w:color="auto" w:fill="auto"/>
            <w:vAlign w:val="center"/>
          </w:tcPr>
          <w:p w14:paraId="1438D02C" w14:textId="77777777" w:rsidR="006145A6" w:rsidRPr="00485DEE" w:rsidRDefault="006145A6" w:rsidP="00060B34">
            <w:pPr>
              <w:jc w:val="left"/>
              <w:rPr>
                <w:sz w:val="16"/>
              </w:rPr>
            </w:pPr>
            <w:r w:rsidRPr="00485DEE">
              <w:rPr>
                <w:sz w:val="16"/>
              </w:rPr>
              <w:t>BLSM 2008</w:t>
            </w:r>
          </w:p>
        </w:tc>
        <w:tc>
          <w:tcPr>
            <w:tcW w:w="1311" w:type="dxa"/>
            <w:tcBorders>
              <w:bottom w:val="single" w:sz="4" w:space="0" w:color="auto"/>
            </w:tcBorders>
            <w:shd w:val="clear" w:color="auto" w:fill="auto"/>
            <w:vAlign w:val="center"/>
          </w:tcPr>
          <w:p w14:paraId="6296D4CA" w14:textId="77777777" w:rsidR="006145A6" w:rsidRPr="00485DEE" w:rsidRDefault="006145A6" w:rsidP="00060B34">
            <w:pPr>
              <w:jc w:val="right"/>
              <w:rPr>
                <w:sz w:val="16"/>
              </w:rPr>
            </w:pPr>
            <w:r w:rsidRPr="00485DEE">
              <w:rPr>
                <w:sz w:val="16"/>
              </w:rPr>
              <w:t>19,000,000</w:t>
            </w:r>
          </w:p>
        </w:tc>
        <w:tc>
          <w:tcPr>
            <w:tcW w:w="1312" w:type="dxa"/>
            <w:tcBorders>
              <w:bottom w:val="single" w:sz="4" w:space="0" w:color="auto"/>
            </w:tcBorders>
            <w:shd w:val="clear" w:color="auto" w:fill="auto"/>
            <w:vAlign w:val="center"/>
          </w:tcPr>
          <w:p w14:paraId="4F6E3B0C" w14:textId="77777777" w:rsidR="006145A6" w:rsidRPr="00485DEE" w:rsidRDefault="006145A6" w:rsidP="00060B34">
            <w:pPr>
              <w:jc w:val="right"/>
              <w:rPr>
                <w:sz w:val="16"/>
              </w:rPr>
            </w:pPr>
            <w:r w:rsidRPr="00485DEE">
              <w:rPr>
                <w:sz w:val="16"/>
              </w:rPr>
              <w:t>$2,200 m</w:t>
            </w:r>
          </w:p>
        </w:tc>
        <w:tc>
          <w:tcPr>
            <w:tcW w:w="1311" w:type="dxa"/>
            <w:tcBorders>
              <w:bottom w:val="single" w:sz="4" w:space="0" w:color="auto"/>
            </w:tcBorders>
            <w:vAlign w:val="center"/>
          </w:tcPr>
          <w:p w14:paraId="52DC2A41" w14:textId="77777777" w:rsidR="006145A6" w:rsidRPr="00485DEE" w:rsidRDefault="006145A6" w:rsidP="00060B34">
            <w:pPr>
              <w:jc w:val="right"/>
              <w:rPr>
                <w:sz w:val="16"/>
              </w:rPr>
            </w:pPr>
            <w:r w:rsidRPr="00485DEE">
              <w:rPr>
                <w:sz w:val="16"/>
              </w:rPr>
              <w:t>$5.9</w:t>
            </w:r>
          </w:p>
        </w:tc>
        <w:tc>
          <w:tcPr>
            <w:tcW w:w="1311" w:type="dxa"/>
            <w:tcBorders>
              <w:bottom w:val="single" w:sz="4" w:space="0" w:color="auto"/>
            </w:tcBorders>
            <w:vAlign w:val="center"/>
          </w:tcPr>
          <w:p w14:paraId="634DD2DB" w14:textId="77777777" w:rsidR="006145A6" w:rsidRPr="00485DEE" w:rsidRDefault="006145A6" w:rsidP="00060B34">
            <w:pPr>
              <w:jc w:val="right"/>
              <w:rPr>
                <w:sz w:val="16"/>
              </w:rPr>
            </w:pPr>
            <w:r w:rsidRPr="00485DEE">
              <w:rPr>
                <w:sz w:val="16"/>
              </w:rPr>
              <w:t>5.12%</w:t>
            </w:r>
          </w:p>
        </w:tc>
        <w:tc>
          <w:tcPr>
            <w:tcW w:w="1311" w:type="dxa"/>
            <w:tcBorders>
              <w:bottom w:val="single" w:sz="4" w:space="0" w:color="auto"/>
            </w:tcBorders>
            <w:vAlign w:val="center"/>
          </w:tcPr>
          <w:p w14:paraId="3B9F1432" w14:textId="77777777" w:rsidR="006145A6" w:rsidRDefault="006145A6" w:rsidP="00060B34">
            <w:pPr>
              <w:jc w:val="right"/>
              <w:rPr>
                <w:sz w:val="16"/>
              </w:rPr>
            </w:pPr>
            <w:r w:rsidRPr="00485DEE">
              <w:rPr>
                <w:sz w:val="16"/>
              </w:rPr>
              <w:t>0.05</w:t>
            </w:r>
          </w:p>
        </w:tc>
        <w:tc>
          <w:tcPr>
            <w:tcW w:w="1311" w:type="dxa"/>
            <w:tcBorders>
              <w:bottom w:val="single" w:sz="4" w:space="0" w:color="auto"/>
            </w:tcBorders>
            <w:vAlign w:val="center"/>
          </w:tcPr>
          <w:p w14:paraId="60D68692" w14:textId="77777777" w:rsidR="006145A6" w:rsidRPr="00485DEE" w:rsidRDefault="006145A6" w:rsidP="00060B34">
            <w:pPr>
              <w:jc w:val="right"/>
              <w:rPr>
                <w:sz w:val="16"/>
              </w:rPr>
            </w:pPr>
            <w:r>
              <w:rPr>
                <w:sz w:val="16"/>
              </w:rPr>
              <w:t>63%</w:t>
            </w:r>
          </w:p>
        </w:tc>
      </w:tr>
      <w:tr w:rsidR="006145A6" w:rsidRPr="00D82C36" w14:paraId="41C5A932" w14:textId="77777777" w:rsidTr="00060B34">
        <w:trPr>
          <w:trHeight w:val="277"/>
        </w:trPr>
        <w:tc>
          <w:tcPr>
            <w:tcW w:w="1311" w:type="dxa"/>
            <w:shd w:val="clear" w:color="auto" w:fill="D9D9D9" w:themeFill="background1" w:themeFillShade="D9"/>
            <w:vAlign w:val="center"/>
          </w:tcPr>
          <w:p w14:paraId="069679EF" w14:textId="77777777" w:rsidR="006145A6" w:rsidRPr="00D82C36" w:rsidRDefault="006145A6" w:rsidP="00060B34">
            <w:pPr>
              <w:jc w:val="left"/>
              <w:rPr>
                <w:b/>
                <w:sz w:val="16"/>
              </w:rPr>
            </w:pPr>
            <w:r w:rsidRPr="00D82C36">
              <w:rPr>
                <w:b/>
                <w:sz w:val="16"/>
              </w:rPr>
              <w:t>BLSM 2013</w:t>
            </w:r>
          </w:p>
        </w:tc>
        <w:tc>
          <w:tcPr>
            <w:tcW w:w="1311" w:type="dxa"/>
            <w:shd w:val="clear" w:color="auto" w:fill="D9D9D9" w:themeFill="background1" w:themeFillShade="D9"/>
            <w:vAlign w:val="center"/>
          </w:tcPr>
          <w:p w14:paraId="55D075A1" w14:textId="77777777" w:rsidR="006145A6" w:rsidRPr="00D82C36" w:rsidRDefault="006145A6" w:rsidP="00060B34">
            <w:pPr>
              <w:jc w:val="right"/>
              <w:rPr>
                <w:b/>
                <w:sz w:val="16"/>
              </w:rPr>
            </w:pPr>
            <w:r w:rsidRPr="00D82C36">
              <w:rPr>
                <w:b/>
                <w:sz w:val="16"/>
              </w:rPr>
              <w:t>15,500,000</w:t>
            </w:r>
          </w:p>
        </w:tc>
        <w:tc>
          <w:tcPr>
            <w:tcW w:w="1312" w:type="dxa"/>
            <w:shd w:val="clear" w:color="auto" w:fill="D9D9D9" w:themeFill="background1" w:themeFillShade="D9"/>
            <w:vAlign w:val="center"/>
          </w:tcPr>
          <w:p w14:paraId="393D76FB" w14:textId="77777777" w:rsidR="006145A6" w:rsidRPr="00D82C36" w:rsidRDefault="006145A6" w:rsidP="00060B34">
            <w:pPr>
              <w:jc w:val="right"/>
              <w:rPr>
                <w:b/>
                <w:sz w:val="16"/>
              </w:rPr>
            </w:pPr>
            <w:r w:rsidRPr="00D82C36">
              <w:rPr>
                <w:b/>
                <w:sz w:val="16"/>
              </w:rPr>
              <w:t>$960 m</w:t>
            </w:r>
          </w:p>
        </w:tc>
        <w:tc>
          <w:tcPr>
            <w:tcW w:w="1311" w:type="dxa"/>
            <w:shd w:val="clear" w:color="auto" w:fill="D9D9D9" w:themeFill="background1" w:themeFillShade="D9"/>
            <w:vAlign w:val="center"/>
          </w:tcPr>
          <w:p w14:paraId="060A5EB1" w14:textId="77777777" w:rsidR="006145A6" w:rsidRPr="00D82C36" w:rsidRDefault="006145A6" w:rsidP="00060B34">
            <w:pPr>
              <w:jc w:val="right"/>
              <w:rPr>
                <w:b/>
                <w:sz w:val="16"/>
              </w:rPr>
            </w:pPr>
            <w:r w:rsidRPr="00D82C36">
              <w:rPr>
                <w:b/>
                <w:sz w:val="16"/>
              </w:rPr>
              <w:t>$2.3</w:t>
            </w:r>
          </w:p>
        </w:tc>
        <w:tc>
          <w:tcPr>
            <w:tcW w:w="1311" w:type="dxa"/>
            <w:shd w:val="clear" w:color="auto" w:fill="D9D9D9" w:themeFill="background1" w:themeFillShade="D9"/>
            <w:vAlign w:val="center"/>
          </w:tcPr>
          <w:p w14:paraId="56DF682B" w14:textId="77777777" w:rsidR="006145A6" w:rsidRPr="00D82C36" w:rsidRDefault="006145A6" w:rsidP="00060B34">
            <w:pPr>
              <w:jc w:val="right"/>
              <w:rPr>
                <w:b/>
                <w:sz w:val="16"/>
              </w:rPr>
            </w:pPr>
            <w:r w:rsidRPr="00D82C36">
              <w:rPr>
                <w:b/>
                <w:sz w:val="16"/>
              </w:rPr>
              <w:t>4%</w:t>
            </w:r>
          </w:p>
        </w:tc>
        <w:tc>
          <w:tcPr>
            <w:tcW w:w="1311" w:type="dxa"/>
            <w:shd w:val="clear" w:color="auto" w:fill="D9D9D9" w:themeFill="background1" w:themeFillShade="D9"/>
            <w:vAlign w:val="center"/>
          </w:tcPr>
          <w:p w14:paraId="53AC187B" w14:textId="77777777" w:rsidR="006145A6" w:rsidRPr="00B578C4" w:rsidRDefault="006145A6" w:rsidP="00060B34">
            <w:pPr>
              <w:jc w:val="right"/>
              <w:rPr>
                <w:b/>
                <w:sz w:val="16"/>
              </w:rPr>
            </w:pPr>
            <w:r w:rsidRPr="00B578C4">
              <w:rPr>
                <w:b/>
                <w:sz w:val="16"/>
              </w:rPr>
              <w:t>0.04</w:t>
            </w:r>
          </w:p>
        </w:tc>
        <w:tc>
          <w:tcPr>
            <w:tcW w:w="1311" w:type="dxa"/>
            <w:shd w:val="clear" w:color="auto" w:fill="D9D9D9" w:themeFill="background1" w:themeFillShade="D9"/>
            <w:vAlign w:val="center"/>
          </w:tcPr>
          <w:p w14:paraId="0C33FEE1" w14:textId="77777777" w:rsidR="006145A6" w:rsidRPr="00D82C36" w:rsidRDefault="006145A6" w:rsidP="00060B34">
            <w:pPr>
              <w:jc w:val="right"/>
              <w:rPr>
                <w:b/>
                <w:sz w:val="16"/>
              </w:rPr>
            </w:pPr>
            <w:r w:rsidRPr="00D82C36">
              <w:rPr>
                <w:b/>
                <w:sz w:val="16"/>
              </w:rPr>
              <w:t>78%</w:t>
            </w:r>
          </w:p>
        </w:tc>
      </w:tr>
    </w:tbl>
    <w:p w14:paraId="56F8CA7D" w14:textId="77777777" w:rsidR="006145A6" w:rsidRDefault="006145A6" w:rsidP="006145A6">
      <w:pPr>
        <w:spacing w:after="0" w:line="240" w:lineRule="auto"/>
        <w:rPr>
          <w:i/>
          <w:sz w:val="16"/>
        </w:rPr>
      </w:pPr>
      <w:r w:rsidRPr="0080477C">
        <w:rPr>
          <w:i/>
          <w:sz w:val="16"/>
        </w:rPr>
        <w:t xml:space="preserve">Source: </w:t>
      </w:r>
      <w:r>
        <w:rPr>
          <w:i/>
          <w:sz w:val="16"/>
        </w:rPr>
        <w:t>SUSENAS 2012, 2014; TNP2K 2014; World Bank 2014</w:t>
      </w:r>
      <w:r w:rsidRPr="0080477C">
        <w:rPr>
          <w:i/>
          <w:sz w:val="16"/>
        </w:rPr>
        <w:t xml:space="preserve">. </w:t>
      </w:r>
      <w:r>
        <w:rPr>
          <w:i/>
          <w:sz w:val="16"/>
        </w:rPr>
        <w:tab/>
      </w:r>
      <w:r>
        <w:rPr>
          <w:i/>
          <w:sz w:val="16"/>
        </w:rPr>
        <w:tab/>
      </w:r>
      <w:r>
        <w:rPr>
          <w:i/>
          <w:sz w:val="16"/>
        </w:rPr>
        <w:tab/>
        <w:t>*R</w:t>
      </w:r>
      <w:r w:rsidRPr="009F0A31">
        <w:rPr>
          <w:i/>
          <w:sz w:val="16"/>
        </w:rPr>
        <w:t>atio of administrative to transfer costs</w:t>
      </w:r>
    </w:p>
    <w:p w14:paraId="217D09C2" w14:textId="77777777" w:rsidR="006145A6" w:rsidRDefault="006145A6" w:rsidP="006145A6">
      <w:pPr>
        <w:spacing w:after="120" w:line="240" w:lineRule="auto"/>
        <w:rPr>
          <w:i/>
          <w:sz w:val="16"/>
        </w:rPr>
      </w:pPr>
    </w:p>
    <w:p w14:paraId="54EC23FA" w14:textId="77777777" w:rsidR="00807FC8" w:rsidRDefault="00807FC8" w:rsidP="00807FC8"/>
    <w:p w14:paraId="022D191F" w14:textId="77777777" w:rsidR="00807FC8" w:rsidRDefault="00807FC8">
      <w:r>
        <w:br w:type="page"/>
      </w:r>
    </w:p>
    <w:p w14:paraId="2C04B618" w14:textId="7BA68729" w:rsidR="00EA4EAB" w:rsidRDefault="00807FC8" w:rsidP="00FB3C35">
      <w:pPr>
        <w:pStyle w:val="Heading1"/>
        <w:spacing w:before="120" w:after="240"/>
      </w:pPr>
      <w:bookmarkStart w:id="26" w:name="_Toc424302614"/>
      <w:r>
        <w:t>Annex 2</w:t>
      </w:r>
      <w:r w:rsidR="00EA4EAB">
        <w:t>: List of people interviewed for</w:t>
      </w:r>
      <w:r w:rsidR="00851A37">
        <w:t xml:space="preserve"> </w:t>
      </w:r>
      <w:r w:rsidR="00EA4EAB">
        <w:t>the ICR</w:t>
      </w:r>
      <w:bookmarkEnd w:id="26"/>
      <w:r w:rsidR="008051E7">
        <w:t xml:space="preserve"> (in alphabetical order)</w:t>
      </w:r>
    </w:p>
    <w:tbl>
      <w:tblPr>
        <w:tblW w:w="9796" w:type="dxa"/>
        <w:tblInd w:w="93" w:type="dxa"/>
        <w:tblLook w:val="04A0" w:firstRow="1" w:lastRow="0" w:firstColumn="1" w:lastColumn="0" w:noHBand="0" w:noVBand="1"/>
      </w:tblPr>
      <w:tblGrid>
        <w:gridCol w:w="3276"/>
        <w:gridCol w:w="6520"/>
      </w:tblGrid>
      <w:tr w:rsidR="008051E7" w:rsidRPr="008051E7" w14:paraId="7986B962" w14:textId="77777777" w:rsidTr="008051E7">
        <w:trPr>
          <w:trHeight w:val="300"/>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6D537" w14:textId="77777777" w:rsidR="008051E7" w:rsidRPr="008051E7" w:rsidRDefault="008051E7" w:rsidP="008051E7">
            <w:pPr>
              <w:spacing w:after="0" w:line="240" w:lineRule="auto"/>
              <w:jc w:val="center"/>
              <w:rPr>
                <w:rFonts w:eastAsia="Times New Roman" w:cstheme="minorHAnsi"/>
                <w:b/>
                <w:bCs/>
                <w:color w:val="000000"/>
                <w:sz w:val="20"/>
                <w:szCs w:val="20"/>
                <w:lang w:eastAsia="en-AU"/>
              </w:rPr>
            </w:pPr>
            <w:r w:rsidRPr="008051E7">
              <w:rPr>
                <w:rFonts w:eastAsia="Times New Roman" w:cstheme="minorHAnsi"/>
                <w:b/>
                <w:bCs/>
                <w:color w:val="000000"/>
                <w:sz w:val="20"/>
                <w:szCs w:val="20"/>
                <w:lang w:eastAsia="en-AU"/>
              </w:rPr>
              <w:t>Person Met</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386E462B" w14:textId="77777777" w:rsidR="008051E7" w:rsidRPr="008051E7" w:rsidRDefault="008051E7" w:rsidP="008051E7">
            <w:pPr>
              <w:spacing w:after="0" w:line="240" w:lineRule="auto"/>
              <w:jc w:val="center"/>
              <w:rPr>
                <w:rFonts w:eastAsia="Times New Roman" w:cstheme="minorHAnsi"/>
                <w:b/>
                <w:bCs/>
                <w:color w:val="000000"/>
                <w:sz w:val="20"/>
                <w:szCs w:val="20"/>
                <w:lang w:eastAsia="en-AU"/>
              </w:rPr>
            </w:pPr>
            <w:r w:rsidRPr="008051E7">
              <w:rPr>
                <w:rFonts w:eastAsia="Times New Roman" w:cstheme="minorHAnsi"/>
                <w:b/>
                <w:bCs/>
                <w:color w:val="000000"/>
                <w:sz w:val="20"/>
                <w:szCs w:val="20"/>
                <w:lang w:eastAsia="en-AU"/>
              </w:rPr>
              <w:t>Title</w:t>
            </w:r>
          </w:p>
        </w:tc>
      </w:tr>
      <w:tr w:rsidR="008051E7" w:rsidRPr="008051E7" w14:paraId="0C7B0595" w14:textId="77777777" w:rsidTr="008051E7">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4082E40E" w14:textId="77777777" w:rsidR="008051E7" w:rsidRPr="008051E7" w:rsidRDefault="008051E7" w:rsidP="008051E7">
            <w:pPr>
              <w:spacing w:after="0" w:line="240" w:lineRule="auto"/>
              <w:rPr>
                <w:rFonts w:eastAsia="Times New Roman" w:cstheme="minorHAnsi"/>
                <w:color w:val="000000"/>
                <w:sz w:val="20"/>
                <w:szCs w:val="20"/>
                <w:lang w:eastAsia="en-AU"/>
              </w:rPr>
            </w:pPr>
            <w:proofErr w:type="spellStart"/>
            <w:r w:rsidRPr="008051E7">
              <w:rPr>
                <w:rFonts w:eastAsia="Times New Roman" w:cstheme="minorHAnsi"/>
                <w:color w:val="000000"/>
                <w:sz w:val="20"/>
                <w:szCs w:val="20"/>
                <w:lang w:eastAsia="en-AU"/>
              </w:rPr>
              <w:t>Abdurahman</w:t>
            </w:r>
            <w:proofErr w:type="spellEnd"/>
            <w:r w:rsidRPr="008051E7">
              <w:rPr>
                <w:rFonts w:eastAsia="Times New Roman" w:cstheme="minorHAnsi"/>
                <w:color w:val="000000"/>
                <w:sz w:val="20"/>
                <w:szCs w:val="20"/>
                <w:lang w:eastAsia="en-AU"/>
              </w:rPr>
              <w:t xml:space="preserve"> </w:t>
            </w:r>
            <w:proofErr w:type="spellStart"/>
            <w:r w:rsidRPr="008051E7">
              <w:rPr>
                <w:rFonts w:eastAsia="Times New Roman" w:cstheme="minorHAnsi"/>
                <w:color w:val="000000"/>
                <w:sz w:val="20"/>
                <w:szCs w:val="20"/>
                <w:lang w:eastAsia="en-AU"/>
              </w:rPr>
              <w:t>Syebubakar</w:t>
            </w:r>
            <w:proofErr w:type="spellEnd"/>
          </w:p>
        </w:tc>
        <w:tc>
          <w:tcPr>
            <w:tcW w:w="6520" w:type="dxa"/>
            <w:tcBorders>
              <w:top w:val="nil"/>
              <w:left w:val="nil"/>
              <w:bottom w:val="single" w:sz="4" w:space="0" w:color="auto"/>
              <w:right w:val="single" w:sz="4" w:space="0" w:color="auto"/>
            </w:tcBorders>
            <w:shd w:val="clear" w:color="auto" w:fill="auto"/>
            <w:noWrap/>
            <w:vAlign w:val="center"/>
            <w:hideMark/>
          </w:tcPr>
          <w:p w14:paraId="7873C5DF"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PRSF Senior Policy and Planning Adviser</w:t>
            </w:r>
          </w:p>
        </w:tc>
      </w:tr>
      <w:tr w:rsidR="008051E7" w:rsidRPr="008051E7" w14:paraId="3B374A05" w14:textId="77777777" w:rsidTr="008051E7">
        <w:trPr>
          <w:trHeight w:val="30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6691EB7C" w14:textId="77777777" w:rsidR="008051E7" w:rsidRPr="008051E7" w:rsidRDefault="008051E7" w:rsidP="008051E7">
            <w:pPr>
              <w:spacing w:after="0" w:line="240" w:lineRule="auto"/>
              <w:rPr>
                <w:rFonts w:eastAsia="Times New Roman" w:cstheme="minorHAnsi"/>
                <w:color w:val="000000"/>
                <w:sz w:val="20"/>
                <w:szCs w:val="20"/>
                <w:lang w:eastAsia="en-AU"/>
              </w:rPr>
            </w:pPr>
            <w:proofErr w:type="spellStart"/>
            <w:r w:rsidRPr="008051E7">
              <w:rPr>
                <w:rFonts w:eastAsia="Times New Roman" w:cstheme="minorHAnsi"/>
                <w:color w:val="000000"/>
                <w:sz w:val="20"/>
                <w:szCs w:val="20"/>
                <w:lang w:eastAsia="en-AU"/>
              </w:rPr>
              <w:t>Agus</w:t>
            </w:r>
            <w:proofErr w:type="spellEnd"/>
            <w:r w:rsidRPr="008051E7">
              <w:rPr>
                <w:rFonts w:eastAsia="Times New Roman" w:cstheme="minorHAnsi"/>
                <w:color w:val="000000"/>
                <w:sz w:val="20"/>
                <w:szCs w:val="20"/>
                <w:lang w:eastAsia="en-AU"/>
              </w:rPr>
              <w:t xml:space="preserve"> </w:t>
            </w:r>
            <w:proofErr w:type="spellStart"/>
            <w:r w:rsidRPr="008051E7">
              <w:rPr>
                <w:rFonts w:eastAsia="Times New Roman" w:cstheme="minorHAnsi"/>
                <w:color w:val="000000"/>
                <w:sz w:val="20"/>
                <w:szCs w:val="20"/>
                <w:lang w:eastAsia="en-AU"/>
              </w:rPr>
              <w:t>Munawar</w:t>
            </w:r>
            <w:proofErr w:type="spellEnd"/>
          </w:p>
        </w:tc>
        <w:tc>
          <w:tcPr>
            <w:tcW w:w="6520" w:type="dxa"/>
            <w:tcBorders>
              <w:top w:val="nil"/>
              <w:left w:val="nil"/>
              <w:bottom w:val="single" w:sz="4" w:space="0" w:color="auto"/>
              <w:right w:val="single" w:sz="4" w:space="0" w:color="auto"/>
            </w:tcBorders>
            <w:shd w:val="clear" w:color="auto" w:fill="auto"/>
            <w:noWrap/>
            <w:vAlign w:val="center"/>
            <w:hideMark/>
          </w:tcPr>
          <w:p w14:paraId="0703E365"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TNP2K Cluster 3 Working Groups</w:t>
            </w:r>
          </w:p>
        </w:tc>
      </w:tr>
      <w:tr w:rsidR="008051E7" w:rsidRPr="008051E7" w14:paraId="46772CEC" w14:textId="77777777" w:rsidTr="008051E7">
        <w:trPr>
          <w:trHeight w:val="30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531F81B9"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Andi Yoga Tama</w:t>
            </w:r>
          </w:p>
        </w:tc>
        <w:tc>
          <w:tcPr>
            <w:tcW w:w="6520" w:type="dxa"/>
            <w:tcBorders>
              <w:top w:val="nil"/>
              <w:left w:val="nil"/>
              <w:bottom w:val="single" w:sz="4" w:space="0" w:color="auto"/>
              <w:right w:val="single" w:sz="4" w:space="0" w:color="auto"/>
            </w:tcBorders>
            <w:shd w:val="clear" w:color="auto" w:fill="auto"/>
            <w:noWrap/>
            <w:vAlign w:val="center"/>
            <w:hideMark/>
          </w:tcPr>
          <w:p w14:paraId="7AC08339"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TNP2K Cluster 2</w:t>
            </w:r>
          </w:p>
        </w:tc>
      </w:tr>
      <w:tr w:rsidR="008051E7" w:rsidRPr="008051E7" w14:paraId="0CDBFAF6" w14:textId="77777777" w:rsidTr="008051E7">
        <w:trPr>
          <w:trHeight w:val="30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6503464E"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 xml:space="preserve">Ari </w:t>
            </w:r>
            <w:proofErr w:type="spellStart"/>
            <w:r w:rsidRPr="008051E7">
              <w:rPr>
                <w:rFonts w:eastAsia="Times New Roman" w:cstheme="minorHAnsi"/>
                <w:color w:val="000000"/>
                <w:sz w:val="20"/>
                <w:szCs w:val="20"/>
                <w:lang w:eastAsia="en-AU"/>
              </w:rPr>
              <w:t>Perdana</w:t>
            </w:r>
            <w:proofErr w:type="spellEnd"/>
          </w:p>
        </w:tc>
        <w:tc>
          <w:tcPr>
            <w:tcW w:w="6520" w:type="dxa"/>
            <w:tcBorders>
              <w:top w:val="nil"/>
              <w:left w:val="nil"/>
              <w:bottom w:val="single" w:sz="4" w:space="0" w:color="auto"/>
              <w:right w:val="single" w:sz="4" w:space="0" w:color="auto"/>
            </w:tcBorders>
            <w:shd w:val="clear" w:color="auto" w:fill="auto"/>
            <w:noWrap/>
            <w:vAlign w:val="center"/>
            <w:hideMark/>
          </w:tcPr>
          <w:p w14:paraId="49ACFFBE"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Former TNP2K Head of Cluster 3</w:t>
            </w:r>
          </w:p>
        </w:tc>
      </w:tr>
      <w:tr w:rsidR="008051E7" w:rsidRPr="008051E7" w14:paraId="4FF9FEC7" w14:textId="77777777" w:rsidTr="008051E7">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6E376829" w14:textId="77777777" w:rsidR="008051E7" w:rsidRPr="008051E7" w:rsidRDefault="008051E7" w:rsidP="008051E7">
            <w:pPr>
              <w:spacing w:after="0" w:line="240" w:lineRule="auto"/>
              <w:rPr>
                <w:rFonts w:eastAsia="Times New Roman" w:cstheme="minorHAnsi"/>
                <w:color w:val="000000"/>
                <w:sz w:val="20"/>
                <w:szCs w:val="20"/>
                <w:lang w:eastAsia="en-AU"/>
              </w:rPr>
            </w:pPr>
            <w:proofErr w:type="spellStart"/>
            <w:r w:rsidRPr="008051E7">
              <w:rPr>
                <w:rFonts w:eastAsia="Times New Roman" w:cstheme="minorHAnsi"/>
                <w:color w:val="000000"/>
                <w:sz w:val="20"/>
                <w:szCs w:val="20"/>
                <w:lang w:eastAsia="en-AU"/>
              </w:rPr>
              <w:t>Bambang</w:t>
            </w:r>
            <w:proofErr w:type="spellEnd"/>
            <w:r w:rsidRPr="008051E7">
              <w:rPr>
                <w:rFonts w:eastAsia="Times New Roman" w:cstheme="minorHAnsi"/>
                <w:color w:val="000000"/>
                <w:sz w:val="20"/>
                <w:szCs w:val="20"/>
                <w:lang w:eastAsia="en-AU"/>
              </w:rPr>
              <w:t xml:space="preserve"> </w:t>
            </w:r>
            <w:proofErr w:type="spellStart"/>
            <w:r w:rsidRPr="008051E7">
              <w:rPr>
                <w:rFonts w:eastAsia="Times New Roman" w:cstheme="minorHAnsi"/>
                <w:color w:val="000000"/>
                <w:sz w:val="20"/>
                <w:szCs w:val="20"/>
                <w:lang w:eastAsia="en-AU"/>
              </w:rPr>
              <w:t>Widianto</w:t>
            </w:r>
            <w:proofErr w:type="spellEnd"/>
          </w:p>
        </w:tc>
        <w:tc>
          <w:tcPr>
            <w:tcW w:w="6520" w:type="dxa"/>
            <w:tcBorders>
              <w:top w:val="nil"/>
              <w:left w:val="nil"/>
              <w:bottom w:val="single" w:sz="4" w:space="0" w:color="auto"/>
              <w:right w:val="single" w:sz="4" w:space="0" w:color="auto"/>
            </w:tcBorders>
            <w:shd w:val="clear" w:color="auto" w:fill="auto"/>
            <w:noWrap/>
            <w:vAlign w:val="center"/>
            <w:hideMark/>
          </w:tcPr>
          <w:p w14:paraId="5EA3E0F5"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TNP2K Executive Secretary</w:t>
            </w:r>
          </w:p>
        </w:tc>
      </w:tr>
      <w:tr w:rsidR="008051E7" w:rsidRPr="008051E7" w14:paraId="31B1F589" w14:textId="77777777" w:rsidTr="008051E7">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44B00816" w14:textId="77777777" w:rsidR="008051E7" w:rsidRPr="008051E7" w:rsidRDefault="008051E7" w:rsidP="008051E7">
            <w:pPr>
              <w:spacing w:after="0" w:line="240" w:lineRule="auto"/>
              <w:rPr>
                <w:rFonts w:eastAsia="Times New Roman" w:cstheme="minorHAnsi"/>
                <w:color w:val="000000"/>
                <w:sz w:val="20"/>
                <w:szCs w:val="20"/>
                <w:lang w:eastAsia="en-AU"/>
              </w:rPr>
            </w:pPr>
            <w:proofErr w:type="spellStart"/>
            <w:r w:rsidRPr="008051E7">
              <w:rPr>
                <w:rFonts w:eastAsia="Times New Roman" w:cstheme="minorHAnsi"/>
                <w:color w:val="000000"/>
                <w:sz w:val="20"/>
                <w:szCs w:val="20"/>
                <w:lang w:eastAsia="en-AU"/>
              </w:rPr>
              <w:t>Boediono</w:t>
            </w:r>
            <w:proofErr w:type="spellEnd"/>
          </w:p>
        </w:tc>
        <w:tc>
          <w:tcPr>
            <w:tcW w:w="6520" w:type="dxa"/>
            <w:tcBorders>
              <w:top w:val="nil"/>
              <w:left w:val="nil"/>
              <w:bottom w:val="single" w:sz="4" w:space="0" w:color="auto"/>
              <w:right w:val="single" w:sz="4" w:space="0" w:color="auto"/>
            </w:tcBorders>
            <w:shd w:val="clear" w:color="auto" w:fill="auto"/>
            <w:noWrap/>
            <w:vAlign w:val="center"/>
            <w:hideMark/>
          </w:tcPr>
          <w:p w14:paraId="30330E22"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Former Indonesia Vice President (2009-2014)</w:t>
            </w:r>
          </w:p>
        </w:tc>
      </w:tr>
      <w:tr w:rsidR="008051E7" w:rsidRPr="008051E7" w14:paraId="3C36AA12" w14:textId="77777777" w:rsidTr="008051E7">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132551AE"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Cipta Setiawan + team</w:t>
            </w:r>
          </w:p>
        </w:tc>
        <w:tc>
          <w:tcPr>
            <w:tcW w:w="6520" w:type="dxa"/>
            <w:tcBorders>
              <w:top w:val="nil"/>
              <w:left w:val="nil"/>
              <w:bottom w:val="single" w:sz="4" w:space="0" w:color="auto"/>
              <w:right w:val="single" w:sz="4" w:space="0" w:color="auto"/>
            </w:tcBorders>
            <w:shd w:val="clear" w:color="auto" w:fill="auto"/>
            <w:noWrap/>
            <w:vAlign w:val="center"/>
            <w:hideMark/>
          </w:tcPr>
          <w:p w14:paraId="19BB2993"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PRSF Human Resource Director</w:t>
            </w:r>
          </w:p>
        </w:tc>
      </w:tr>
      <w:tr w:rsidR="008051E7" w:rsidRPr="008051E7" w14:paraId="4323BE92" w14:textId="77777777" w:rsidTr="008051E7">
        <w:trPr>
          <w:trHeight w:val="30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18273AD3"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David Smith</w:t>
            </w:r>
          </w:p>
        </w:tc>
        <w:tc>
          <w:tcPr>
            <w:tcW w:w="6520" w:type="dxa"/>
            <w:tcBorders>
              <w:top w:val="nil"/>
              <w:left w:val="nil"/>
              <w:bottom w:val="single" w:sz="4" w:space="0" w:color="auto"/>
              <w:right w:val="single" w:sz="4" w:space="0" w:color="auto"/>
            </w:tcBorders>
            <w:shd w:val="clear" w:color="auto" w:fill="auto"/>
            <w:noWrap/>
            <w:vAlign w:val="center"/>
            <w:hideMark/>
          </w:tcPr>
          <w:p w14:paraId="340872AA"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PRSF Operation Manager</w:t>
            </w:r>
          </w:p>
        </w:tc>
      </w:tr>
      <w:tr w:rsidR="008051E7" w:rsidRPr="008051E7" w14:paraId="2DFA8A3A" w14:textId="77777777" w:rsidTr="008051E7">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4D52C692"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Dewi Sudharta</w:t>
            </w:r>
          </w:p>
        </w:tc>
        <w:tc>
          <w:tcPr>
            <w:tcW w:w="6520" w:type="dxa"/>
            <w:tcBorders>
              <w:top w:val="nil"/>
              <w:left w:val="nil"/>
              <w:bottom w:val="single" w:sz="4" w:space="0" w:color="auto"/>
              <w:right w:val="single" w:sz="4" w:space="0" w:color="auto"/>
            </w:tcBorders>
            <w:shd w:val="clear" w:color="auto" w:fill="auto"/>
            <w:noWrap/>
            <w:vAlign w:val="center"/>
            <w:hideMark/>
          </w:tcPr>
          <w:p w14:paraId="7B98BF94"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Former DFAT Program Manager - Education Unit</w:t>
            </w:r>
          </w:p>
        </w:tc>
      </w:tr>
      <w:tr w:rsidR="008051E7" w:rsidRPr="008051E7" w14:paraId="5F2E0816" w14:textId="77777777" w:rsidTr="008051E7">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7F95977A"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Dewi Susanti</w:t>
            </w:r>
          </w:p>
        </w:tc>
        <w:tc>
          <w:tcPr>
            <w:tcW w:w="6520" w:type="dxa"/>
            <w:tcBorders>
              <w:top w:val="nil"/>
              <w:left w:val="nil"/>
              <w:bottom w:val="single" w:sz="4" w:space="0" w:color="auto"/>
              <w:right w:val="single" w:sz="4" w:space="0" w:color="auto"/>
            </w:tcBorders>
            <w:shd w:val="clear" w:color="auto" w:fill="auto"/>
            <w:noWrap/>
            <w:vAlign w:val="center"/>
            <w:hideMark/>
          </w:tcPr>
          <w:p w14:paraId="28E11D4E"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KIAT Guru Manager</w:t>
            </w:r>
          </w:p>
        </w:tc>
      </w:tr>
      <w:tr w:rsidR="008051E7" w:rsidRPr="008051E7" w14:paraId="33076579" w14:textId="77777777" w:rsidTr="008051E7">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03F90A2A"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Elan Satriawan</w:t>
            </w:r>
          </w:p>
        </w:tc>
        <w:tc>
          <w:tcPr>
            <w:tcW w:w="6520" w:type="dxa"/>
            <w:tcBorders>
              <w:top w:val="nil"/>
              <w:left w:val="nil"/>
              <w:bottom w:val="single" w:sz="4" w:space="0" w:color="auto"/>
              <w:right w:val="single" w:sz="4" w:space="0" w:color="auto"/>
            </w:tcBorders>
            <w:shd w:val="clear" w:color="auto" w:fill="auto"/>
            <w:noWrap/>
            <w:vAlign w:val="center"/>
            <w:hideMark/>
          </w:tcPr>
          <w:p w14:paraId="04079C64"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TNP2K Head of Working Groups</w:t>
            </w:r>
          </w:p>
        </w:tc>
      </w:tr>
      <w:tr w:rsidR="008051E7" w:rsidRPr="008051E7" w14:paraId="114960C9" w14:textId="77777777" w:rsidTr="008051E7">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3DCC8ED3" w14:textId="77777777" w:rsidR="008051E7" w:rsidRPr="008051E7" w:rsidRDefault="008051E7" w:rsidP="008051E7">
            <w:pPr>
              <w:spacing w:after="0" w:line="240" w:lineRule="auto"/>
              <w:rPr>
                <w:rFonts w:eastAsia="Times New Roman" w:cstheme="minorHAnsi"/>
                <w:color w:val="000000"/>
                <w:sz w:val="20"/>
                <w:szCs w:val="20"/>
                <w:lang w:eastAsia="en-AU"/>
              </w:rPr>
            </w:pPr>
            <w:proofErr w:type="spellStart"/>
            <w:r w:rsidRPr="008051E7">
              <w:rPr>
                <w:rFonts w:eastAsia="Times New Roman" w:cstheme="minorHAnsi"/>
                <w:color w:val="000000"/>
                <w:sz w:val="20"/>
                <w:szCs w:val="20"/>
                <w:lang w:eastAsia="en-AU"/>
              </w:rPr>
              <w:t>Emmy</w:t>
            </w:r>
            <w:proofErr w:type="spellEnd"/>
            <w:r w:rsidRPr="008051E7">
              <w:rPr>
                <w:rFonts w:eastAsia="Times New Roman" w:cstheme="minorHAnsi"/>
                <w:color w:val="000000"/>
                <w:sz w:val="20"/>
                <w:szCs w:val="20"/>
                <w:lang w:eastAsia="en-AU"/>
              </w:rPr>
              <w:t xml:space="preserve"> </w:t>
            </w:r>
            <w:proofErr w:type="spellStart"/>
            <w:r w:rsidRPr="008051E7">
              <w:rPr>
                <w:rFonts w:eastAsia="Times New Roman" w:cstheme="minorHAnsi"/>
                <w:color w:val="000000"/>
                <w:sz w:val="20"/>
                <w:szCs w:val="20"/>
                <w:lang w:eastAsia="en-AU"/>
              </w:rPr>
              <w:t>Widayanti</w:t>
            </w:r>
            <w:proofErr w:type="spellEnd"/>
            <w:r w:rsidRPr="008051E7">
              <w:rPr>
                <w:rFonts w:eastAsia="Times New Roman" w:cstheme="minorHAnsi"/>
                <w:color w:val="000000"/>
                <w:sz w:val="20"/>
                <w:szCs w:val="20"/>
                <w:lang w:eastAsia="en-AU"/>
              </w:rPr>
              <w:t xml:space="preserve">, </w:t>
            </w:r>
            <w:proofErr w:type="spellStart"/>
            <w:r w:rsidRPr="008051E7">
              <w:rPr>
                <w:rFonts w:eastAsia="Times New Roman" w:cstheme="minorHAnsi"/>
                <w:color w:val="000000"/>
                <w:sz w:val="20"/>
                <w:szCs w:val="20"/>
                <w:lang w:eastAsia="en-AU"/>
              </w:rPr>
              <w:t>MPd</w:t>
            </w:r>
            <w:proofErr w:type="spellEnd"/>
          </w:p>
        </w:tc>
        <w:tc>
          <w:tcPr>
            <w:tcW w:w="6520" w:type="dxa"/>
            <w:tcBorders>
              <w:top w:val="nil"/>
              <w:left w:val="nil"/>
              <w:bottom w:val="single" w:sz="4" w:space="0" w:color="auto"/>
              <w:right w:val="single" w:sz="4" w:space="0" w:color="auto"/>
            </w:tcBorders>
            <w:shd w:val="clear" w:color="auto" w:fill="auto"/>
            <w:noWrap/>
            <w:vAlign w:val="center"/>
            <w:hideMark/>
          </w:tcPr>
          <w:p w14:paraId="6B901382"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MOSA – Senior Adviser on Inter-institution Relations (former Director of Social Assistance Programs)</w:t>
            </w:r>
          </w:p>
        </w:tc>
      </w:tr>
      <w:tr w:rsidR="008051E7" w:rsidRPr="008051E7" w14:paraId="6FE39D2D" w14:textId="77777777" w:rsidTr="008051E7">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4712AA8E"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Hannah Derwent</w:t>
            </w:r>
          </w:p>
        </w:tc>
        <w:tc>
          <w:tcPr>
            <w:tcW w:w="6520" w:type="dxa"/>
            <w:tcBorders>
              <w:top w:val="nil"/>
              <w:left w:val="nil"/>
              <w:bottom w:val="single" w:sz="4" w:space="0" w:color="auto"/>
              <w:right w:val="single" w:sz="4" w:space="0" w:color="auto"/>
            </w:tcBorders>
            <w:shd w:val="clear" w:color="auto" w:fill="auto"/>
            <w:noWrap/>
            <w:vAlign w:val="center"/>
            <w:hideMark/>
          </w:tcPr>
          <w:p w14:paraId="3225D185"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DFAT Unit Manager - Women in Leadership Unit</w:t>
            </w:r>
          </w:p>
        </w:tc>
      </w:tr>
      <w:tr w:rsidR="008051E7" w:rsidRPr="008051E7" w14:paraId="7BBAC47E" w14:textId="77777777" w:rsidTr="008051E7">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0A11BA97" w14:textId="77777777" w:rsidR="008051E7" w:rsidRPr="008051E7" w:rsidRDefault="008051E7" w:rsidP="008051E7">
            <w:pPr>
              <w:spacing w:after="0" w:line="240" w:lineRule="auto"/>
              <w:rPr>
                <w:rFonts w:eastAsia="Times New Roman" w:cstheme="minorHAnsi"/>
                <w:color w:val="000000"/>
                <w:sz w:val="20"/>
                <w:szCs w:val="20"/>
                <w:lang w:eastAsia="en-AU"/>
              </w:rPr>
            </w:pPr>
            <w:proofErr w:type="spellStart"/>
            <w:r w:rsidRPr="008051E7">
              <w:rPr>
                <w:rFonts w:eastAsia="Times New Roman" w:cstheme="minorHAnsi"/>
                <w:color w:val="000000"/>
                <w:sz w:val="20"/>
                <w:szCs w:val="20"/>
                <w:lang w:eastAsia="en-AU"/>
              </w:rPr>
              <w:t>Imma</w:t>
            </w:r>
            <w:proofErr w:type="spellEnd"/>
            <w:r w:rsidRPr="008051E7">
              <w:rPr>
                <w:rFonts w:eastAsia="Times New Roman" w:cstheme="minorHAnsi"/>
                <w:color w:val="000000"/>
                <w:sz w:val="20"/>
                <w:szCs w:val="20"/>
                <w:lang w:eastAsia="en-AU"/>
              </w:rPr>
              <w:t xml:space="preserve"> </w:t>
            </w:r>
            <w:proofErr w:type="spellStart"/>
            <w:r w:rsidRPr="008051E7">
              <w:rPr>
                <w:rFonts w:eastAsia="Times New Roman" w:cstheme="minorHAnsi"/>
                <w:color w:val="000000"/>
                <w:sz w:val="20"/>
                <w:szCs w:val="20"/>
                <w:lang w:eastAsia="en-AU"/>
              </w:rPr>
              <w:t>Yuliajati</w:t>
            </w:r>
            <w:proofErr w:type="spellEnd"/>
          </w:p>
        </w:tc>
        <w:tc>
          <w:tcPr>
            <w:tcW w:w="6520" w:type="dxa"/>
            <w:tcBorders>
              <w:top w:val="nil"/>
              <w:left w:val="nil"/>
              <w:bottom w:val="single" w:sz="4" w:space="0" w:color="auto"/>
              <w:right w:val="single" w:sz="4" w:space="0" w:color="auto"/>
            </w:tcBorders>
            <w:shd w:val="clear" w:color="auto" w:fill="auto"/>
            <w:noWrap/>
            <w:vAlign w:val="center"/>
            <w:hideMark/>
          </w:tcPr>
          <w:p w14:paraId="652FF444"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PRSF Gender Adviser</w:t>
            </w:r>
          </w:p>
        </w:tc>
      </w:tr>
      <w:tr w:rsidR="008051E7" w:rsidRPr="008051E7" w14:paraId="401AE799" w14:textId="77777777" w:rsidTr="008051E7">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47111646"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James Gilling</w:t>
            </w:r>
          </w:p>
        </w:tc>
        <w:tc>
          <w:tcPr>
            <w:tcW w:w="6520" w:type="dxa"/>
            <w:tcBorders>
              <w:top w:val="nil"/>
              <w:left w:val="nil"/>
              <w:bottom w:val="single" w:sz="4" w:space="0" w:color="auto"/>
              <w:right w:val="single" w:sz="4" w:space="0" w:color="auto"/>
            </w:tcBorders>
            <w:shd w:val="clear" w:color="auto" w:fill="auto"/>
            <w:noWrap/>
            <w:vAlign w:val="center"/>
            <w:hideMark/>
          </w:tcPr>
          <w:p w14:paraId="7590690C"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Minister (Development Cooperation) DFAT Jakarta</w:t>
            </w:r>
          </w:p>
        </w:tc>
      </w:tr>
      <w:tr w:rsidR="008051E7" w:rsidRPr="008051E7" w14:paraId="4676C872" w14:textId="77777777" w:rsidTr="008051E7">
        <w:trPr>
          <w:trHeight w:val="30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6333A42F"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Jean-Charles Rouge</w:t>
            </w:r>
          </w:p>
        </w:tc>
        <w:tc>
          <w:tcPr>
            <w:tcW w:w="6520" w:type="dxa"/>
            <w:tcBorders>
              <w:top w:val="nil"/>
              <w:left w:val="nil"/>
              <w:bottom w:val="single" w:sz="4" w:space="0" w:color="auto"/>
              <w:right w:val="single" w:sz="4" w:space="0" w:color="auto"/>
            </w:tcBorders>
            <w:shd w:val="clear" w:color="auto" w:fill="auto"/>
            <w:noWrap/>
            <w:vAlign w:val="center"/>
            <w:hideMark/>
          </w:tcPr>
          <w:p w14:paraId="4F2E837A"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PRSF M&amp;E Specialist</w:t>
            </w:r>
          </w:p>
        </w:tc>
      </w:tr>
      <w:tr w:rsidR="008051E7" w:rsidRPr="008051E7" w14:paraId="20C1CAC4" w14:textId="77777777" w:rsidTr="008051E7">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55F4912F"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Joanne Dowling</w:t>
            </w:r>
          </w:p>
        </w:tc>
        <w:tc>
          <w:tcPr>
            <w:tcW w:w="6520" w:type="dxa"/>
            <w:tcBorders>
              <w:top w:val="nil"/>
              <w:left w:val="nil"/>
              <w:bottom w:val="single" w:sz="4" w:space="0" w:color="auto"/>
              <w:right w:val="single" w:sz="4" w:space="0" w:color="auto"/>
            </w:tcBorders>
            <w:shd w:val="clear" w:color="auto" w:fill="auto"/>
            <w:noWrap/>
            <w:vAlign w:val="center"/>
            <w:hideMark/>
          </w:tcPr>
          <w:p w14:paraId="227294C3"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DFAT Unit Manager - Education Unit</w:t>
            </w:r>
          </w:p>
        </w:tc>
      </w:tr>
      <w:tr w:rsidR="008051E7" w:rsidRPr="008051E7" w14:paraId="76B28CC1" w14:textId="77777777" w:rsidTr="008051E7">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458C9772"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John Leigh</w:t>
            </w:r>
          </w:p>
        </w:tc>
        <w:tc>
          <w:tcPr>
            <w:tcW w:w="6520" w:type="dxa"/>
            <w:tcBorders>
              <w:top w:val="nil"/>
              <w:left w:val="nil"/>
              <w:bottom w:val="single" w:sz="4" w:space="0" w:color="auto"/>
              <w:right w:val="single" w:sz="4" w:space="0" w:color="auto"/>
            </w:tcBorders>
            <w:shd w:val="clear" w:color="auto" w:fill="auto"/>
            <w:noWrap/>
            <w:vAlign w:val="center"/>
            <w:hideMark/>
          </w:tcPr>
          <w:p w14:paraId="3D9ACCE0"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DFAT Counsellor Health Section</w:t>
            </w:r>
          </w:p>
        </w:tc>
      </w:tr>
      <w:tr w:rsidR="008051E7" w:rsidRPr="008051E7" w14:paraId="1BB106AE" w14:textId="77777777" w:rsidTr="008051E7">
        <w:trPr>
          <w:trHeight w:val="30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3ACED115"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Martin Kurnia</w:t>
            </w:r>
          </w:p>
        </w:tc>
        <w:tc>
          <w:tcPr>
            <w:tcW w:w="6520" w:type="dxa"/>
            <w:tcBorders>
              <w:top w:val="nil"/>
              <w:left w:val="nil"/>
              <w:bottom w:val="single" w:sz="4" w:space="0" w:color="auto"/>
              <w:right w:val="single" w:sz="4" w:space="0" w:color="auto"/>
            </w:tcBorders>
            <w:shd w:val="clear" w:color="auto" w:fill="auto"/>
            <w:noWrap/>
            <w:vAlign w:val="center"/>
            <w:hideMark/>
          </w:tcPr>
          <w:p w14:paraId="2B37EDF8"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PRSF Procurement Manager</w:t>
            </w:r>
          </w:p>
        </w:tc>
      </w:tr>
      <w:tr w:rsidR="008051E7" w:rsidRPr="008051E7" w14:paraId="78B1780B" w14:textId="77777777" w:rsidTr="008051E7">
        <w:trPr>
          <w:trHeight w:val="30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715A14E7"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Martyn Ambury</w:t>
            </w:r>
          </w:p>
        </w:tc>
        <w:tc>
          <w:tcPr>
            <w:tcW w:w="6520" w:type="dxa"/>
            <w:tcBorders>
              <w:top w:val="nil"/>
              <w:left w:val="nil"/>
              <w:bottom w:val="single" w:sz="4" w:space="0" w:color="auto"/>
              <w:right w:val="single" w:sz="4" w:space="0" w:color="auto"/>
            </w:tcBorders>
            <w:shd w:val="clear" w:color="auto" w:fill="auto"/>
            <w:noWrap/>
            <w:vAlign w:val="center"/>
            <w:hideMark/>
          </w:tcPr>
          <w:p w14:paraId="27E0DE00"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PRSF Deputy Team Leader - Technical</w:t>
            </w:r>
          </w:p>
        </w:tc>
      </w:tr>
      <w:tr w:rsidR="008051E7" w:rsidRPr="008051E7" w14:paraId="78B91DB5" w14:textId="77777777" w:rsidTr="008051E7">
        <w:trPr>
          <w:trHeight w:val="30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4B573A3A"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 xml:space="preserve">Matt </w:t>
            </w:r>
            <w:proofErr w:type="spellStart"/>
            <w:r w:rsidRPr="008051E7">
              <w:rPr>
                <w:rFonts w:eastAsia="Times New Roman" w:cstheme="minorHAnsi"/>
                <w:color w:val="000000"/>
                <w:sz w:val="20"/>
                <w:szCs w:val="20"/>
                <w:lang w:eastAsia="en-AU"/>
              </w:rPr>
              <w:t>Wai</w:t>
            </w:r>
            <w:proofErr w:type="spellEnd"/>
            <w:r w:rsidRPr="008051E7">
              <w:rPr>
                <w:rFonts w:eastAsia="Times New Roman" w:cstheme="minorHAnsi"/>
                <w:color w:val="000000"/>
                <w:sz w:val="20"/>
                <w:szCs w:val="20"/>
                <w:lang w:eastAsia="en-AU"/>
              </w:rPr>
              <w:t>-Poi</w:t>
            </w:r>
          </w:p>
        </w:tc>
        <w:tc>
          <w:tcPr>
            <w:tcW w:w="6520" w:type="dxa"/>
            <w:tcBorders>
              <w:top w:val="nil"/>
              <w:left w:val="nil"/>
              <w:bottom w:val="single" w:sz="4" w:space="0" w:color="auto"/>
              <w:right w:val="single" w:sz="4" w:space="0" w:color="auto"/>
            </w:tcBorders>
            <w:shd w:val="clear" w:color="auto" w:fill="auto"/>
            <w:noWrap/>
            <w:vAlign w:val="center"/>
            <w:hideMark/>
          </w:tcPr>
          <w:p w14:paraId="6C61A30D"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World Bank PREM Team</w:t>
            </w:r>
          </w:p>
        </w:tc>
      </w:tr>
      <w:tr w:rsidR="008051E7" w:rsidRPr="008051E7" w14:paraId="6B4F041F" w14:textId="77777777" w:rsidTr="008051E7">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70B5AFD9" w14:textId="77777777" w:rsidR="008051E7" w:rsidRPr="008051E7" w:rsidRDefault="008051E7" w:rsidP="008051E7">
            <w:pPr>
              <w:spacing w:after="0" w:line="240" w:lineRule="auto"/>
              <w:rPr>
                <w:rFonts w:eastAsia="Times New Roman" w:cstheme="minorHAnsi"/>
                <w:color w:val="000000"/>
                <w:sz w:val="20"/>
                <w:szCs w:val="20"/>
                <w:lang w:eastAsia="en-AU"/>
              </w:rPr>
            </w:pPr>
            <w:proofErr w:type="spellStart"/>
            <w:r w:rsidRPr="008051E7">
              <w:rPr>
                <w:rFonts w:eastAsia="Times New Roman" w:cstheme="minorHAnsi"/>
                <w:color w:val="000000"/>
                <w:sz w:val="20"/>
                <w:szCs w:val="20"/>
                <w:lang w:eastAsia="en-AU"/>
              </w:rPr>
              <w:t>Megha</w:t>
            </w:r>
            <w:proofErr w:type="spellEnd"/>
            <w:r w:rsidRPr="008051E7">
              <w:rPr>
                <w:rFonts w:eastAsia="Times New Roman" w:cstheme="minorHAnsi"/>
                <w:color w:val="000000"/>
                <w:sz w:val="20"/>
                <w:szCs w:val="20"/>
                <w:lang w:eastAsia="en-AU"/>
              </w:rPr>
              <w:t xml:space="preserve"> Kapoor + team</w:t>
            </w:r>
          </w:p>
        </w:tc>
        <w:tc>
          <w:tcPr>
            <w:tcW w:w="6520" w:type="dxa"/>
            <w:tcBorders>
              <w:top w:val="nil"/>
              <w:left w:val="nil"/>
              <w:bottom w:val="single" w:sz="4" w:space="0" w:color="auto"/>
              <w:right w:val="single" w:sz="4" w:space="0" w:color="auto"/>
            </w:tcBorders>
            <w:shd w:val="clear" w:color="auto" w:fill="auto"/>
            <w:noWrap/>
            <w:vAlign w:val="center"/>
            <w:hideMark/>
          </w:tcPr>
          <w:p w14:paraId="052804DB"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PRSF Knowledge Management Manager</w:t>
            </w:r>
          </w:p>
        </w:tc>
      </w:tr>
      <w:tr w:rsidR="008051E7" w:rsidRPr="008051E7" w14:paraId="37D07EC9" w14:textId="77777777" w:rsidTr="008051E7">
        <w:trPr>
          <w:trHeight w:val="30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515E0CCD" w14:textId="77777777" w:rsidR="008051E7" w:rsidRPr="008051E7" w:rsidRDefault="008051E7" w:rsidP="008051E7">
            <w:pPr>
              <w:spacing w:after="0" w:line="240" w:lineRule="auto"/>
              <w:rPr>
                <w:rFonts w:eastAsia="Times New Roman" w:cstheme="minorHAnsi"/>
                <w:color w:val="000000"/>
                <w:sz w:val="20"/>
                <w:szCs w:val="20"/>
                <w:lang w:eastAsia="en-AU"/>
              </w:rPr>
            </w:pPr>
            <w:proofErr w:type="spellStart"/>
            <w:r w:rsidRPr="008051E7">
              <w:rPr>
                <w:rFonts w:eastAsia="Times New Roman" w:cstheme="minorHAnsi"/>
                <w:color w:val="000000"/>
                <w:sz w:val="20"/>
                <w:szCs w:val="20"/>
                <w:lang w:eastAsia="en-AU"/>
              </w:rPr>
              <w:t>Mehnaz</w:t>
            </w:r>
            <w:proofErr w:type="spellEnd"/>
            <w:r w:rsidRPr="008051E7">
              <w:rPr>
                <w:rFonts w:eastAsia="Times New Roman" w:cstheme="minorHAnsi"/>
                <w:color w:val="000000"/>
                <w:sz w:val="20"/>
                <w:szCs w:val="20"/>
                <w:lang w:eastAsia="en-AU"/>
              </w:rPr>
              <w:t xml:space="preserve"> </w:t>
            </w:r>
            <w:proofErr w:type="spellStart"/>
            <w:r w:rsidRPr="008051E7">
              <w:rPr>
                <w:rFonts w:eastAsia="Times New Roman" w:cstheme="minorHAnsi"/>
                <w:color w:val="000000"/>
                <w:sz w:val="20"/>
                <w:szCs w:val="20"/>
                <w:lang w:eastAsia="en-AU"/>
              </w:rPr>
              <w:t>Bhaur</w:t>
            </w:r>
            <w:proofErr w:type="spellEnd"/>
          </w:p>
        </w:tc>
        <w:tc>
          <w:tcPr>
            <w:tcW w:w="6520" w:type="dxa"/>
            <w:tcBorders>
              <w:top w:val="nil"/>
              <w:left w:val="nil"/>
              <w:bottom w:val="single" w:sz="4" w:space="0" w:color="auto"/>
              <w:right w:val="single" w:sz="4" w:space="0" w:color="auto"/>
            </w:tcBorders>
            <w:shd w:val="clear" w:color="auto" w:fill="auto"/>
            <w:noWrap/>
            <w:vAlign w:val="center"/>
            <w:hideMark/>
          </w:tcPr>
          <w:p w14:paraId="201DF1C3"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PRSF Quality Assurance Manager</w:t>
            </w:r>
          </w:p>
        </w:tc>
      </w:tr>
      <w:tr w:rsidR="008051E7" w:rsidRPr="008051E7" w14:paraId="068CC0FD" w14:textId="77777777" w:rsidTr="008051E7">
        <w:trPr>
          <w:trHeight w:val="30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549CC0A8"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Michael Joyce</w:t>
            </w:r>
          </w:p>
        </w:tc>
        <w:tc>
          <w:tcPr>
            <w:tcW w:w="6520" w:type="dxa"/>
            <w:tcBorders>
              <w:top w:val="nil"/>
              <w:left w:val="nil"/>
              <w:bottom w:val="single" w:sz="4" w:space="0" w:color="auto"/>
              <w:right w:val="single" w:sz="4" w:space="0" w:color="auto"/>
            </w:tcBorders>
            <w:shd w:val="clear" w:color="auto" w:fill="auto"/>
            <w:noWrap/>
            <w:vAlign w:val="center"/>
            <w:hideMark/>
          </w:tcPr>
          <w:p w14:paraId="1C97CC7E"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TNP2K Mobile Money Specialist</w:t>
            </w:r>
          </w:p>
        </w:tc>
      </w:tr>
      <w:tr w:rsidR="008051E7" w:rsidRPr="008051E7" w14:paraId="2DC07C6F" w14:textId="77777777" w:rsidTr="008051E7">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60D45AC3"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 xml:space="preserve">Mohammad </w:t>
            </w:r>
            <w:proofErr w:type="spellStart"/>
            <w:r w:rsidRPr="008051E7">
              <w:rPr>
                <w:rFonts w:eastAsia="Times New Roman" w:cstheme="minorHAnsi"/>
                <w:color w:val="000000"/>
                <w:sz w:val="20"/>
                <w:szCs w:val="20"/>
                <w:lang w:eastAsia="en-AU"/>
              </w:rPr>
              <w:t>Ilyas</w:t>
            </w:r>
            <w:proofErr w:type="spellEnd"/>
          </w:p>
        </w:tc>
        <w:tc>
          <w:tcPr>
            <w:tcW w:w="6520" w:type="dxa"/>
            <w:tcBorders>
              <w:top w:val="nil"/>
              <w:left w:val="nil"/>
              <w:bottom w:val="single" w:sz="4" w:space="0" w:color="auto"/>
              <w:right w:val="single" w:sz="4" w:space="0" w:color="auto"/>
            </w:tcBorders>
            <w:shd w:val="clear" w:color="auto" w:fill="auto"/>
            <w:noWrap/>
            <w:vAlign w:val="center"/>
            <w:hideMark/>
          </w:tcPr>
          <w:p w14:paraId="4DAAD52A"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TNP2K Head of Unified Database</w:t>
            </w:r>
          </w:p>
        </w:tc>
      </w:tr>
      <w:tr w:rsidR="008051E7" w:rsidRPr="008051E7" w14:paraId="2CD9F7EF" w14:textId="77777777" w:rsidTr="008051E7">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4C726F70"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 xml:space="preserve">Muhammad </w:t>
            </w:r>
            <w:proofErr w:type="spellStart"/>
            <w:r w:rsidRPr="008051E7">
              <w:rPr>
                <w:rFonts w:eastAsia="Times New Roman" w:cstheme="minorHAnsi"/>
                <w:color w:val="000000"/>
                <w:sz w:val="20"/>
                <w:szCs w:val="20"/>
                <w:lang w:eastAsia="en-AU"/>
              </w:rPr>
              <w:t>Ikhsan</w:t>
            </w:r>
            <w:proofErr w:type="spellEnd"/>
          </w:p>
        </w:tc>
        <w:tc>
          <w:tcPr>
            <w:tcW w:w="6520" w:type="dxa"/>
            <w:tcBorders>
              <w:top w:val="nil"/>
              <w:left w:val="nil"/>
              <w:bottom w:val="single" w:sz="4" w:space="0" w:color="auto"/>
              <w:right w:val="single" w:sz="4" w:space="0" w:color="auto"/>
            </w:tcBorders>
            <w:shd w:val="clear" w:color="auto" w:fill="auto"/>
            <w:noWrap/>
            <w:vAlign w:val="center"/>
            <w:hideMark/>
          </w:tcPr>
          <w:p w14:paraId="5D29EF9B"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Former Deputy for Vice President's Office</w:t>
            </w:r>
          </w:p>
        </w:tc>
      </w:tr>
      <w:tr w:rsidR="008051E7" w:rsidRPr="008051E7" w14:paraId="221C9CC4" w14:textId="77777777" w:rsidTr="008051E7">
        <w:trPr>
          <w:trHeight w:val="30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41095182"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 xml:space="preserve">Muhammad </w:t>
            </w:r>
            <w:proofErr w:type="spellStart"/>
            <w:r w:rsidRPr="008051E7">
              <w:rPr>
                <w:rFonts w:eastAsia="Times New Roman" w:cstheme="minorHAnsi"/>
                <w:color w:val="000000"/>
                <w:sz w:val="20"/>
                <w:szCs w:val="20"/>
                <w:lang w:eastAsia="en-AU"/>
              </w:rPr>
              <w:t>Maulana</w:t>
            </w:r>
            <w:proofErr w:type="spellEnd"/>
            <w:r w:rsidRPr="008051E7">
              <w:rPr>
                <w:rFonts w:eastAsia="Times New Roman" w:cstheme="minorHAnsi"/>
                <w:color w:val="000000"/>
                <w:sz w:val="20"/>
                <w:szCs w:val="20"/>
                <w:lang w:eastAsia="en-AU"/>
              </w:rPr>
              <w:t xml:space="preserve"> </w:t>
            </w:r>
          </w:p>
        </w:tc>
        <w:tc>
          <w:tcPr>
            <w:tcW w:w="6520" w:type="dxa"/>
            <w:tcBorders>
              <w:top w:val="nil"/>
              <w:left w:val="nil"/>
              <w:bottom w:val="single" w:sz="4" w:space="0" w:color="auto"/>
              <w:right w:val="single" w:sz="4" w:space="0" w:color="auto"/>
            </w:tcBorders>
            <w:shd w:val="clear" w:color="auto" w:fill="auto"/>
            <w:noWrap/>
            <w:vAlign w:val="center"/>
            <w:hideMark/>
          </w:tcPr>
          <w:p w14:paraId="1D88BF39"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TNP2K CDD Specialist</w:t>
            </w:r>
          </w:p>
        </w:tc>
      </w:tr>
      <w:tr w:rsidR="008051E7" w:rsidRPr="008051E7" w14:paraId="29CF9D8E" w14:textId="77777777" w:rsidTr="008051E7">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3EB6C160" w14:textId="77777777" w:rsidR="008051E7" w:rsidRPr="008051E7" w:rsidRDefault="008051E7" w:rsidP="008051E7">
            <w:pPr>
              <w:spacing w:after="0" w:line="240" w:lineRule="auto"/>
              <w:rPr>
                <w:rFonts w:eastAsia="Times New Roman" w:cstheme="minorHAnsi"/>
                <w:color w:val="000000"/>
                <w:sz w:val="20"/>
                <w:szCs w:val="20"/>
                <w:lang w:eastAsia="en-AU"/>
              </w:rPr>
            </w:pPr>
            <w:proofErr w:type="spellStart"/>
            <w:r w:rsidRPr="008051E7">
              <w:rPr>
                <w:rFonts w:eastAsia="Times New Roman" w:cstheme="minorHAnsi"/>
                <w:color w:val="000000"/>
                <w:sz w:val="20"/>
                <w:szCs w:val="20"/>
                <w:lang w:eastAsia="en-AU"/>
              </w:rPr>
              <w:t>Oetami</w:t>
            </w:r>
            <w:proofErr w:type="spellEnd"/>
            <w:r w:rsidRPr="008051E7">
              <w:rPr>
                <w:rFonts w:eastAsia="Times New Roman" w:cstheme="minorHAnsi"/>
                <w:color w:val="000000"/>
                <w:sz w:val="20"/>
                <w:szCs w:val="20"/>
                <w:lang w:eastAsia="en-AU"/>
              </w:rPr>
              <w:t xml:space="preserve"> </w:t>
            </w:r>
            <w:proofErr w:type="spellStart"/>
            <w:r w:rsidRPr="008051E7">
              <w:rPr>
                <w:rFonts w:eastAsia="Times New Roman" w:cstheme="minorHAnsi"/>
                <w:color w:val="000000"/>
                <w:sz w:val="20"/>
                <w:szCs w:val="20"/>
                <w:lang w:eastAsia="en-AU"/>
              </w:rPr>
              <w:t>Dewi</w:t>
            </w:r>
            <w:proofErr w:type="spellEnd"/>
          </w:p>
        </w:tc>
        <w:tc>
          <w:tcPr>
            <w:tcW w:w="6520" w:type="dxa"/>
            <w:tcBorders>
              <w:top w:val="nil"/>
              <w:left w:val="nil"/>
              <w:bottom w:val="single" w:sz="4" w:space="0" w:color="auto"/>
              <w:right w:val="single" w:sz="4" w:space="0" w:color="auto"/>
            </w:tcBorders>
            <w:shd w:val="clear" w:color="auto" w:fill="auto"/>
            <w:noWrap/>
            <w:vAlign w:val="center"/>
            <w:hideMark/>
          </w:tcPr>
          <w:p w14:paraId="0425663B"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MOSA - Head of Cooperation Unit</w:t>
            </w:r>
          </w:p>
        </w:tc>
      </w:tr>
      <w:tr w:rsidR="008051E7" w:rsidRPr="008051E7" w14:paraId="1737ACBA" w14:textId="77777777" w:rsidTr="008051E7">
        <w:trPr>
          <w:trHeight w:val="30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1CDC2C4D"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Oliver Mathieson</w:t>
            </w:r>
          </w:p>
        </w:tc>
        <w:tc>
          <w:tcPr>
            <w:tcW w:w="6520" w:type="dxa"/>
            <w:tcBorders>
              <w:top w:val="nil"/>
              <w:left w:val="nil"/>
              <w:bottom w:val="single" w:sz="4" w:space="0" w:color="auto"/>
              <w:right w:val="single" w:sz="4" w:space="0" w:color="auto"/>
            </w:tcBorders>
            <w:shd w:val="clear" w:color="auto" w:fill="auto"/>
            <w:noWrap/>
            <w:vAlign w:val="center"/>
            <w:hideMark/>
          </w:tcPr>
          <w:p w14:paraId="459C4609"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GRM International Country Director Indonesia</w:t>
            </w:r>
          </w:p>
        </w:tc>
      </w:tr>
      <w:tr w:rsidR="008051E7" w:rsidRPr="008051E7" w14:paraId="5969D093" w14:textId="77777777" w:rsidTr="008051E7">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4DEA0CCC"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Patrick Hermanus</w:t>
            </w:r>
          </w:p>
        </w:tc>
        <w:tc>
          <w:tcPr>
            <w:tcW w:w="6520" w:type="dxa"/>
            <w:tcBorders>
              <w:top w:val="nil"/>
              <w:left w:val="nil"/>
              <w:bottom w:val="single" w:sz="4" w:space="0" w:color="auto"/>
              <w:right w:val="single" w:sz="4" w:space="0" w:color="auto"/>
            </w:tcBorders>
            <w:shd w:val="clear" w:color="auto" w:fill="auto"/>
            <w:noWrap/>
            <w:vAlign w:val="center"/>
            <w:hideMark/>
          </w:tcPr>
          <w:p w14:paraId="26F9D4EA"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DFAT Senior Program Manager - PNPM Unit</w:t>
            </w:r>
          </w:p>
        </w:tc>
      </w:tr>
      <w:tr w:rsidR="008051E7" w:rsidRPr="008051E7" w14:paraId="2C44DBEC" w14:textId="77777777" w:rsidTr="008051E7">
        <w:trPr>
          <w:trHeight w:val="30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4B7380C0"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Patrick Sweeting</w:t>
            </w:r>
          </w:p>
        </w:tc>
        <w:tc>
          <w:tcPr>
            <w:tcW w:w="6520" w:type="dxa"/>
            <w:tcBorders>
              <w:top w:val="nil"/>
              <w:left w:val="nil"/>
              <w:bottom w:val="single" w:sz="4" w:space="0" w:color="auto"/>
              <w:right w:val="single" w:sz="4" w:space="0" w:color="auto"/>
            </w:tcBorders>
            <w:shd w:val="clear" w:color="auto" w:fill="auto"/>
            <w:noWrap/>
            <w:vAlign w:val="center"/>
            <w:hideMark/>
          </w:tcPr>
          <w:p w14:paraId="291F2E6D"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PRSF Team Leader</w:t>
            </w:r>
          </w:p>
        </w:tc>
      </w:tr>
      <w:tr w:rsidR="008051E7" w:rsidRPr="008051E7" w14:paraId="3F396D09" w14:textId="77777777" w:rsidTr="008051E7">
        <w:trPr>
          <w:trHeight w:val="30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68B5BBC8"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Peter Riddell-Carre</w:t>
            </w:r>
          </w:p>
        </w:tc>
        <w:tc>
          <w:tcPr>
            <w:tcW w:w="6520" w:type="dxa"/>
            <w:tcBorders>
              <w:top w:val="nil"/>
              <w:left w:val="nil"/>
              <w:bottom w:val="single" w:sz="4" w:space="0" w:color="auto"/>
              <w:right w:val="single" w:sz="4" w:space="0" w:color="auto"/>
            </w:tcBorders>
            <w:shd w:val="clear" w:color="auto" w:fill="auto"/>
            <w:noWrap/>
            <w:vAlign w:val="center"/>
            <w:hideMark/>
          </w:tcPr>
          <w:p w14:paraId="1EF1D9B3"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PRSF Deputy Team Leader - Management</w:t>
            </w:r>
          </w:p>
        </w:tc>
      </w:tr>
      <w:tr w:rsidR="008051E7" w:rsidRPr="008051E7" w14:paraId="5CDD1C91" w14:textId="77777777" w:rsidTr="008051E7">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1918D747" w14:textId="77777777" w:rsidR="008051E7" w:rsidRPr="008051E7" w:rsidRDefault="008051E7" w:rsidP="008051E7">
            <w:pPr>
              <w:spacing w:after="0" w:line="240" w:lineRule="auto"/>
              <w:rPr>
                <w:rFonts w:eastAsia="Times New Roman" w:cstheme="minorHAnsi"/>
                <w:color w:val="000000"/>
                <w:sz w:val="20"/>
                <w:szCs w:val="20"/>
                <w:lang w:eastAsia="en-AU"/>
              </w:rPr>
            </w:pPr>
            <w:proofErr w:type="spellStart"/>
            <w:r w:rsidRPr="008051E7">
              <w:rPr>
                <w:rFonts w:eastAsia="Times New Roman" w:cstheme="minorHAnsi"/>
                <w:color w:val="000000"/>
                <w:sz w:val="20"/>
                <w:szCs w:val="20"/>
                <w:lang w:eastAsia="en-AU"/>
              </w:rPr>
              <w:t>Prastuti</w:t>
            </w:r>
            <w:proofErr w:type="spellEnd"/>
            <w:r w:rsidRPr="008051E7">
              <w:rPr>
                <w:rFonts w:eastAsia="Times New Roman" w:cstheme="minorHAnsi"/>
                <w:color w:val="000000"/>
                <w:sz w:val="20"/>
                <w:szCs w:val="20"/>
                <w:lang w:eastAsia="en-AU"/>
              </w:rPr>
              <w:t xml:space="preserve"> </w:t>
            </w:r>
            <w:proofErr w:type="spellStart"/>
            <w:r w:rsidRPr="008051E7">
              <w:rPr>
                <w:rFonts w:eastAsia="Times New Roman" w:cstheme="minorHAnsi"/>
                <w:color w:val="000000"/>
                <w:sz w:val="20"/>
                <w:szCs w:val="20"/>
                <w:lang w:eastAsia="en-AU"/>
              </w:rPr>
              <w:t>Soewondo</w:t>
            </w:r>
            <w:proofErr w:type="spellEnd"/>
            <w:r w:rsidRPr="008051E7">
              <w:rPr>
                <w:rFonts w:eastAsia="Times New Roman" w:cstheme="minorHAnsi"/>
                <w:color w:val="000000"/>
                <w:sz w:val="20"/>
                <w:szCs w:val="20"/>
                <w:lang w:eastAsia="en-AU"/>
              </w:rPr>
              <w:t xml:space="preserve"> (Becky)</w:t>
            </w:r>
          </w:p>
        </w:tc>
        <w:tc>
          <w:tcPr>
            <w:tcW w:w="6520" w:type="dxa"/>
            <w:tcBorders>
              <w:top w:val="nil"/>
              <w:left w:val="nil"/>
              <w:bottom w:val="single" w:sz="4" w:space="0" w:color="auto"/>
              <w:right w:val="single" w:sz="4" w:space="0" w:color="auto"/>
            </w:tcBorders>
            <w:shd w:val="clear" w:color="auto" w:fill="auto"/>
            <w:noWrap/>
            <w:vAlign w:val="center"/>
            <w:hideMark/>
          </w:tcPr>
          <w:p w14:paraId="69076C92"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TNP2K Health Working Group</w:t>
            </w:r>
          </w:p>
        </w:tc>
      </w:tr>
      <w:tr w:rsidR="008051E7" w:rsidRPr="008051E7" w14:paraId="49C26BFC" w14:textId="77777777" w:rsidTr="008051E7">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299DC65C"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 xml:space="preserve">Ruddy </w:t>
            </w:r>
            <w:proofErr w:type="spellStart"/>
            <w:r w:rsidRPr="008051E7">
              <w:rPr>
                <w:rFonts w:eastAsia="Times New Roman" w:cstheme="minorHAnsi"/>
                <w:color w:val="000000"/>
                <w:sz w:val="20"/>
                <w:szCs w:val="20"/>
                <w:lang w:eastAsia="en-AU"/>
              </w:rPr>
              <w:t>Gobel</w:t>
            </w:r>
            <w:proofErr w:type="spellEnd"/>
          </w:p>
        </w:tc>
        <w:tc>
          <w:tcPr>
            <w:tcW w:w="6520" w:type="dxa"/>
            <w:tcBorders>
              <w:top w:val="nil"/>
              <w:left w:val="nil"/>
              <w:bottom w:val="single" w:sz="4" w:space="0" w:color="auto"/>
              <w:right w:val="single" w:sz="4" w:space="0" w:color="auto"/>
            </w:tcBorders>
            <w:shd w:val="clear" w:color="auto" w:fill="auto"/>
            <w:noWrap/>
            <w:vAlign w:val="center"/>
            <w:hideMark/>
          </w:tcPr>
          <w:p w14:paraId="24CF8F8A"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TNP2K Head of Communication Unit</w:t>
            </w:r>
          </w:p>
        </w:tc>
      </w:tr>
      <w:tr w:rsidR="008051E7" w:rsidRPr="008051E7" w14:paraId="2AA881E9" w14:textId="77777777" w:rsidTr="008051E7">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42B58DFF"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 xml:space="preserve">Sri </w:t>
            </w:r>
            <w:proofErr w:type="spellStart"/>
            <w:r w:rsidRPr="008051E7">
              <w:rPr>
                <w:rFonts w:eastAsia="Times New Roman" w:cstheme="minorHAnsi"/>
                <w:color w:val="000000"/>
                <w:sz w:val="20"/>
                <w:szCs w:val="20"/>
                <w:lang w:eastAsia="en-AU"/>
              </w:rPr>
              <w:t>Kusumastuti</w:t>
            </w:r>
            <w:proofErr w:type="spellEnd"/>
            <w:r w:rsidRPr="008051E7">
              <w:rPr>
                <w:rFonts w:eastAsia="Times New Roman" w:cstheme="minorHAnsi"/>
                <w:color w:val="000000"/>
                <w:sz w:val="20"/>
                <w:szCs w:val="20"/>
                <w:lang w:eastAsia="en-AU"/>
              </w:rPr>
              <w:t xml:space="preserve"> </w:t>
            </w:r>
            <w:proofErr w:type="spellStart"/>
            <w:r w:rsidRPr="008051E7">
              <w:rPr>
                <w:rFonts w:eastAsia="Times New Roman" w:cstheme="minorHAnsi"/>
                <w:color w:val="000000"/>
                <w:sz w:val="20"/>
                <w:szCs w:val="20"/>
                <w:lang w:eastAsia="en-AU"/>
              </w:rPr>
              <w:t>Rahayu</w:t>
            </w:r>
            <w:proofErr w:type="spellEnd"/>
          </w:p>
        </w:tc>
        <w:tc>
          <w:tcPr>
            <w:tcW w:w="6520" w:type="dxa"/>
            <w:tcBorders>
              <w:top w:val="nil"/>
              <w:left w:val="nil"/>
              <w:bottom w:val="single" w:sz="4" w:space="0" w:color="auto"/>
              <w:right w:val="single" w:sz="4" w:space="0" w:color="auto"/>
            </w:tcBorders>
            <w:shd w:val="clear" w:color="auto" w:fill="auto"/>
            <w:noWrap/>
            <w:vAlign w:val="center"/>
            <w:hideMark/>
          </w:tcPr>
          <w:p w14:paraId="4A15353F"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TNP2K Head of Cluster 1 Task Force</w:t>
            </w:r>
          </w:p>
        </w:tc>
      </w:tr>
      <w:tr w:rsidR="008051E7" w:rsidRPr="008051E7" w14:paraId="0AE23BAD" w14:textId="77777777" w:rsidTr="008051E7">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1D8CA130" w14:textId="77777777" w:rsidR="008051E7" w:rsidRPr="008051E7" w:rsidRDefault="008051E7" w:rsidP="008051E7">
            <w:pPr>
              <w:spacing w:after="0" w:line="240" w:lineRule="auto"/>
              <w:rPr>
                <w:rFonts w:eastAsia="Times New Roman" w:cstheme="minorHAnsi"/>
                <w:color w:val="000000"/>
                <w:sz w:val="20"/>
                <w:szCs w:val="20"/>
                <w:lang w:eastAsia="en-AU"/>
              </w:rPr>
            </w:pPr>
            <w:proofErr w:type="spellStart"/>
            <w:r w:rsidRPr="008051E7">
              <w:rPr>
                <w:rFonts w:eastAsia="Times New Roman" w:cstheme="minorHAnsi"/>
                <w:color w:val="000000"/>
                <w:sz w:val="20"/>
                <w:szCs w:val="20"/>
                <w:lang w:eastAsia="en-AU"/>
              </w:rPr>
              <w:t>Suahasil</w:t>
            </w:r>
            <w:proofErr w:type="spellEnd"/>
            <w:r w:rsidRPr="008051E7">
              <w:rPr>
                <w:rFonts w:eastAsia="Times New Roman" w:cstheme="minorHAnsi"/>
                <w:color w:val="000000"/>
                <w:sz w:val="20"/>
                <w:szCs w:val="20"/>
                <w:lang w:eastAsia="en-AU"/>
              </w:rPr>
              <w:t xml:space="preserve"> </w:t>
            </w:r>
            <w:proofErr w:type="spellStart"/>
            <w:r w:rsidRPr="008051E7">
              <w:rPr>
                <w:rFonts w:eastAsia="Times New Roman" w:cstheme="minorHAnsi"/>
                <w:color w:val="000000"/>
                <w:sz w:val="20"/>
                <w:szCs w:val="20"/>
                <w:lang w:eastAsia="en-AU"/>
              </w:rPr>
              <w:t>Nazara</w:t>
            </w:r>
            <w:proofErr w:type="spellEnd"/>
          </w:p>
        </w:tc>
        <w:tc>
          <w:tcPr>
            <w:tcW w:w="6520" w:type="dxa"/>
            <w:tcBorders>
              <w:top w:val="nil"/>
              <w:left w:val="nil"/>
              <w:bottom w:val="single" w:sz="4" w:space="0" w:color="auto"/>
              <w:right w:val="single" w:sz="4" w:space="0" w:color="auto"/>
            </w:tcBorders>
            <w:shd w:val="clear" w:color="auto" w:fill="auto"/>
            <w:noWrap/>
            <w:vAlign w:val="center"/>
            <w:hideMark/>
          </w:tcPr>
          <w:p w14:paraId="3710643D"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Head of Indonesia Fiscal Policy Agency (former TNP2K Head of Working Groups)</w:t>
            </w:r>
          </w:p>
        </w:tc>
      </w:tr>
      <w:tr w:rsidR="008051E7" w:rsidRPr="008051E7" w14:paraId="1BD3792E" w14:textId="77777777" w:rsidTr="008051E7">
        <w:trPr>
          <w:trHeight w:val="30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24180237" w14:textId="77777777" w:rsidR="008051E7" w:rsidRPr="008051E7" w:rsidRDefault="008051E7" w:rsidP="008051E7">
            <w:pPr>
              <w:spacing w:after="0" w:line="240" w:lineRule="auto"/>
              <w:rPr>
                <w:rFonts w:eastAsia="Times New Roman" w:cstheme="minorHAnsi"/>
                <w:color w:val="000000"/>
                <w:sz w:val="20"/>
                <w:szCs w:val="20"/>
                <w:lang w:eastAsia="en-AU"/>
              </w:rPr>
            </w:pPr>
            <w:proofErr w:type="spellStart"/>
            <w:r w:rsidRPr="008051E7">
              <w:rPr>
                <w:rFonts w:eastAsia="Times New Roman" w:cstheme="minorHAnsi"/>
                <w:color w:val="000000"/>
                <w:sz w:val="20"/>
                <w:szCs w:val="20"/>
                <w:lang w:eastAsia="en-AU"/>
              </w:rPr>
              <w:t>Sudarno</w:t>
            </w:r>
            <w:proofErr w:type="spellEnd"/>
            <w:r w:rsidRPr="008051E7">
              <w:rPr>
                <w:rFonts w:eastAsia="Times New Roman" w:cstheme="minorHAnsi"/>
                <w:color w:val="000000"/>
                <w:sz w:val="20"/>
                <w:szCs w:val="20"/>
                <w:lang w:eastAsia="en-AU"/>
              </w:rPr>
              <w:t xml:space="preserve"> </w:t>
            </w:r>
            <w:proofErr w:type="spellStart"/>
            <w:r w:rsidRPr="008051E7">
              <w:rPr>
                <w:rFonts w:eastAsia="Times New Roman" w:cstheme="minorHAnsi"/>
                <w:color w:val="000000"/>
                <w:sz w:val="20"/>
                <w:szCs w:val="20"/>
                <w:lang w:eastAsia="en-AU"/>
              </w:rPr>
              <w:t>Sumarto</w:t>
            </w:r>
            <w:proofErr w:type="spellEnd"/>
          </w:p>
        </w:tc>
        <w:tc>
          <w:tcPr>
            <w:tcW w:w="6520" w:type="dxa"/>
            <w:tcBorders>
              <w:top w:val="nil"/>
              <w:left w:val="nil"/>
              <w:bottom w:val="single" w:sz="4" w:space="0" w:color="auto"/>
              <w:right w:val="single" w:sz="4" w:space="0" w:color="auto"/>
            </w:tcBorders>
            <w:shd w:val="clear" w:color="auto" w:fill="auto"/>
            <w:noWrap/>
            <w:vAlign w:val="center"/>
            <w:hideMark/>
          </w:tcPr>
          <w:p w14:paraId="4819AB75"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TNP2K Senior Policy Advisor</w:t>
            </w:r>
          </w:p>
        </w:tc>
      </w:tr>
      <w:tr w:rsidR="008051E7" w:rsidRPr="008051E7" w14:paraId="72655C37" w14:textId="77777777" w:rsidTr="008051E7">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1ADC8CBD"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Surya Aslim</w:t>
            </w:r>
          </w:p>
        </w:tc>
        <w:tc>
          <w:tcPr>
            <w:tcW w:w="6520" w:type="dxa"/>
            <w:tcBorders>
              <w:top w:val="nil"/>
              <w:left w:val="nil"/>
              <w:bottom w:val="single" w:sz="4" w:space="0" w:color="auto"/>
              <w:right w:val="single" w:sz="4" w:space="0" w:color="auto"/>
            </w:tcBorders>
            <w:shd w:val="clear" w:color="auto" w:fill="auto"/>
            <w:noWrap/>
            <w:vAlign w:val="center"/>
            <w:hideMark/>
          </w:tcPr>
          <w:p w14:paraId="1A0FFCE3"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PRSF Outreach Specialist</w:t>
            </w:r>
          </w:p>
        </w:tc>
      </w:tr>
      <w:tr w:rsidR="008051E7" w:rsidRPr="008051E7" w14:paraId="27745901" w14:textId="77777777" w:rsidTr="008051E7">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358F9C52" w14:textId="77777777" w:rsidR="008051E7" w:rsidRPr="008051E7" w:rsidRDefault="008051E7" w:rsidP="008051E7">
            <w:pPr>
              <w:spacing w:after="0" w:line="240" w:lineRule="auto"/>
              <w:rPr>
                <w:rFonts w:eastAsia="Times New Roman" w:cstheme="minorHAnsi"/>
                <w:color w:val="000000"/>
                <w:sz w:val="20"/>
                <w:szCs w:val="20"/>
                <w:lang w:eastAsia="en-AU"/>
              </w:rPr>
            </w:pPr>
            <w:proofErr w:type="spellStart"/>
            <w:r w:rsidRPr="008051E7">
              <w:rPr>
                <w:rFonts w:eastAsia="Times New Roman" w:cstheme="minorHAnsi"/>
                <w:color w:val="000000"/>
                <w:sz w:val="20"/>
                <w:szCs w:val="20"/>
                <w:lang w:eastAsia="en-AU"/>
              </w:rPr>
              <w:t>Thamrin</w:t>
            </w:r>
            <w:proofErr w:type="spellEnd"/>
            <w:r w:rsidRPr="008051E7">
              <w:rPr>
                <w:rFonts w:eastAsia="Times New Roman" w:cstheme="minorHAnsi"/>
                <w:color w:val="000000"/>
                <w:sz w:val="20"/>
                <w:szCs w:val="20"/>
                <w:lang w:eastAsia="en-AU"/>
              </w:rPr>
              <w:t xml:space="preserve"> </w:t>
            </w:r>
            <w:proofErr w:type="spellStart"/>
            <w:r w:rsidRPr="008051E7">
              <w:rPr>
                <w:rFonts w:eastAsia="Times New Roman" w:cstheme="minorHAnsi"/>
                <w:color w:val="000000"/>
                <w:sz w:val="20"/>
                <w:szCs w:val="20"/>
                <w:lang w:eastAsia="en-AU"/>
              </w:rPr>
              <w:t>Kasman</w:t>
            </w:r>
            <w:proofErr w:type="spellEnd"/>
          </w:p>
        </w:tc>
        <w:tc>
          <w:tcPr>
            <w:tcW w:w="6520" w:type="dxa"/>
            <w:tcBorders>
              <w:top w:val="nil"/>
              <w:left w:val="nil"/>
              <w:bottom w:val="single" w:sz="4" w:space="0" w:color="auto"/>
              <w:right w:val="single" w:sz="4" w:space="0" w:color="auto"/>
            </w:tcBorders>
            <w:shd w:val="clear" w:color="auto" w:fill="auto"/>
            <w:noWrap/>
            <w:vAlign w:val="center"/>
            <w:hideMark/>
          </w:tcPr>
          <w:p w14:paraId="616CD6AB" w14:textId="77777777" w:rsidR="008051E7" w:rsidRPr="008051E7" w:rsidRDefault="008051E7" w:rsidP="008051E7">
            <w:pPr>
              <w:spacing w:after="0" w:line="240" w:lineRule="auto"/>
              <w:rPr>
                <w:rFonts w:eastAsia="Times New Roman" w:cstheme="minorHAnsi"/>
                <w:color w:val="000000"/>
                <w:sz w:val="20"/>
                <w:szCs w:val="20"/>
                <w:lang w:eastAsia="en-AU"/>
              </w:rPr>
            </w:pPr>
            <w:proofErr w:type="spellStart"/>
            <w:r w:rsidRPr="008051E7">
              <w:rPr>
                <w:rFonts w:eastAsia="Times New Roman" w:cstheme="minorHAnsi"/>
                <w:color w:val="000000"/>
                <w:sz w:val="20"/>
                <w:szCs w:val="20"/>
                <w:lang w:eastAsia="en-AU"/>
              </w:rPr>
              <w:t>Secretrary</w:t>
            </w:r>
            <w:proofErr w:type="spellEnd"/>
            <w:r w:rsidRPr="008051E7">
              <w:rPr>
                <w:rFonts w:eastAsia="Times New Roman" w:cstheme="minorHAnsi"/>
                <w:color w:val="000000"/>
                <w:sz w:val="20"/>
                <w:szCs w:val="20"/>
                <w:lang w:eastAsia="en-AU"/>
              </w:rPr>
              <w:t>, Basic Education Directorate, MOEC</w:t>
            </w:r>
          </w:p>
        </w:tc>
      </w:tr>
      <w:tr w:rsidR="008051E7" w:rsidRPr="008051E7" w14:paraId="3D62ACD3" w14:textId="77777777" w:rsidTr="008051E7">
        <w:trPr>
          <w:trHeight w:val="30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35875102"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Theo van der Loop</w:t>
            </w:r>
          </w:p>
        </w:tc>
        <w:tc>
          <w:tcPr>
            <w:tcW w:w="6520" w:type="dxa"/>
            <w:tcBorders>
              <w:top w:val="nil"/>
              <w:left w:val="nil"/>
              <w:bottom w:val="single" w:sz="4" w:space="0" w:color="auto"/>
              <w:right w:val="single" w:sz="4" w:space="0" w:color="auto"/>
            </w:tcBorders>
            <w:shd w:val="clear" w:color="auto" w:fill="auto"/>
            <w:noWrap/>
            <w:vAlign w:val="center"/>
            <w:hideMark/>
          </w:tcPr>
          <w:p w14:paraId="233B84CF"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TNP2K SME Project Design Specialist</w:t>
            </w:r>
          </w:p>
        </w:tc>
      </w:tr>
      <w:tr w:rsidR="008051E7" w:rsidRPr="008051E7" w14:paraId="15316363" w14:textId="77777777" w:rsidTr="008051E7">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0D8CFA44"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 xml:space="preserve">Vanya Abuthan </w:t>
            </w:r>
          </w:p>
        </w:tc>
        <w:tc>
          <w:tcPr>
            <w:tcW w:w="6520" w:type="dxa"/>
            <w:tcBorders>
              <w:top w:val="nil"/>
              <w:left w:val="nil"/>
              <w:bottom w:val="single" w:sz="4" w:space="0" w:color="auto"/>
              <w:right w:val="single" w:sz="4" w:space="0" w:color="auto"/>
            </w:tcBorders>
            <w:shd w:val="clear" w:color="auto" w:fill="auto"/>
            <w:noWrap/>
            <w:vAlign w:val="center"/>
            <w:hideMark/>
          </w:tcPr>
          <w:p w14:paraId="7469AD7C"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DFAT A/g Unit Manager - PNPM Unit</w:t>
            </w:r>
          </w:p>
        </w:tc>
      </w:tr>
      <w:tr w:rsidR="008051E7" w:rsidRPr="008051E7" w14:paraId="5ECCF573" w14:textId="77777777" w:rsidTr="008051E7">
        <w:trPr>
          <w:trHeight w:val="30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22BE91AD" w14:textId="77777777" w:rsidR="008051E7" w:rsidRPr="008051E7" w:rsidRDefault="008051E7" w:rsidP="008051E7">
            <w:pPr>
              <w:spacing w:after="0" w:line="240" w:lineRule="auto"/>
              <w:rPr>
                <w:rFonts w:eastAsia="Times New Roman" w:cstheme="minorHAnsi"/>
                <w:color w:val="000000"/>
                <w:sz w:val="20"/>
                <w:szCs w:val="20"/>
                <w:lang w:eastAsia="en-AU"/>
              </w:rPr>
            </w:pPr>
            <w:proofErr w:type="spellStart"/>
            <w:r w:rsidRPr="008051E7">
              <w:rPr>
                <w:rFonts w:eastAsia="Times New Roman" w:cstheme="minorHAnsi"/>
                <w:color w:val="000000"/>
                <w:sz w:val="20"/>
                <w:szCs w:val="20"/>
                <w:lang w:eastAsia="en-AU"/>
              </w:rPr>
              <w:t>Vivi</w:t>
            </w:r>
            <w:proofErr w:type="spellEnd"/>
            <w:r w:rsidRPr="008051E7">
              <w:rPr>
                <w:rFonts w:eastAsia="Times New Roman" w:cstheme="minorHAnsi"/>
                <w:color w:val="000000"/>
                <w:sz w:val="20"/>
                <w:szCs w:val="20"/>
                <w:lang w:eastAsia="en-AU"/>
              </w:rPr>
              <w:t xml:space="preserve"> </w:t>
            </w:r>
            <w:proofErr w:type="spellStart"/>
            <w:r w:rsidRPr="008051E7">
              <w:rPr>
                <w:rFonts w:eastAsia="Times New Roman" w:cstheme="minorHAnsi"/>
                <w:color w:val="000000"/>
                <w:sz w:val="20"/>
                <w:szCs w:val="20"/>
                <w:lang w:eastAsia="en-AU"/>
              </w:rPr>
              <w:t>Alatas</w:t>
            </w:r>
            <w:proofErr w:type="spellEnd"/>
          </w:p>
        </w:tc>
        <w:tc>
          <w:tcPr>
            <w:tcW w:w="6520" w:type="dxa"/>
            <w:tcBorders>
              <w:top w:val="nil"/>
              <w:left w:val="nil"/>
              <w:bottom w:val="single" w:sz="4" w:space="0" w:color="auto"/>
              <w:right w:val="single" w:sz="4" w:space="0" w:color="auto"/>
            </w:tcBorders>
            <w:shd w:val="clear" w:color="auto" w:fill="auto"/>
            <w:noWrap/>
            <w:vAlign w:val="center"/>
            <w:hideMark/>
          </w:tcPr>
          <w:p w14:paraId="03E762FB"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World Bank PREM Team Leader</w:t>
            </w:r>
          </w:p>
        </w:tc>
      </w:tr>
      <w:tr w:rsidR="008051E7" w:rsidRPr="008051E7" w14:paraId="77B9F62C" w14:textId="77777777" w:rsidTr="008051E7">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77F11471" w14:textId="77777777" w:rsidR="008051E7" w:rsidRPr="008051E7" w:rsidRDefault="008051E7" w:rsidP="008051E7">
            <w:pPr>
              <w:spacing w:after="0" w:line="240" w:lineRule="auto"/>
              <w:rPr>
                <w:rFonts w:eastAsia="Times New Roman" w:cstheme="minorHAnsi"/>
                <w:color w:val="000000"/>
                <w:sz w:val="20"/>
                <w:szCs w:val="20"/>
                <w:lang w:eastAsia="en-AU"/>
              </w:rPr>
            </w:pPr>
            <w:proofErr w:type="spellStart"/>
            <w:r w:rsidRPr="008051E7">
              <w:rPr>
                <w:rFonts w:eastAsia="Times New Roman" w:cstheme="minorHAnsi"/>
                <w:color w:val="000000"/>
                <w:sz w:val="20"/>
                <w:szCs w:val="20"/>
                <w:lang w:eastAsia="en-AU"/>
              </w:rPr>
              <w:t>Vivi</w:t>
            </w:r>
            <w:proofErr w:type="spellEnd"/>
            <w:r w:rsidRPr="008051E7">
              <w:rPr>
                <w:rFonts w:eastAsia="Times New Roman" w:cstheme="minorHAnsi"/>
                <w:color w:val="000000"/>
                <w:sz w:val="20"/>
                <w:szCs w:val="20"/>
                <w:lang w:eastAsia="en-AU"/>
              </w:rPr>
              <w:t xml:space="preserve"> </w:t>
            </w:r>
            <w:proofErr w:type="spellStart"/>
            <w:r w:rsidRPr="008051E7">
              <w:rPr>
                <w:rFonts w:eastAsia="Times New Roman" w:cstheme="minorHAnsi"/>
                <w:color w:val="000000"/>
                <w:sz w:val="20"/>
                <w:szCs w:val="20"/>
                <w:lang w:eastAsia="en-AU"/>
              </w:rPr>
              <w:t>Yulaswati</w:t>
            </w:r>
            <w:proofErr w:type="spellEnd"/>
          </w:p>
        </w:tc>
        <w:tc>
          <w:tcPr>
            <w:tcW w:w="6520" w:type="dxa"/>
            <w:tcBorders>
              <w:top w:val="nil"/>
              <w:left w:val="nil"/>
              <w:bottom w:val="single" w:sz="4" w:space="0" w:color="auto"/>
              <w:right w:val="single" w:sz="4" w:space="0" w:color="auto"/>
            </w:tcBorders>
            <w:shd w:val="clear" w:color="auto" w:fill="auto"/>
            <w:noWrap/>
            <w:vAlign w:val="center"/>
            <w:hideMark/>
          </w:tcPr>
          <w:p w14:paraId="76AA20D1" w14:textId="77777777" w:rsidR="008051E7" w:rsidRPr="008051E7" w:rsidRDefault="008051E7" w:rsidP="008051E7">
            <w:pPr>
              <w:spacing w:after="0" w:line="240" w:lineRule="auto"/>
              <w:rPr>
                <w:rFonts w:eastAsia="Times New Roman" w:cstheme="minorHAnsi"/>
                <w:color w:val="000000"/>
                <w:sz w:val="20"/>
                <w:szCs w:val="20"/>
                <w:lang w:eastAsia="en-AU"/>
              </w:rPr>
            </w:pPr>
            <w:proofErr w:type="spellStart"/>
            <w:r w:rsidRPr="008051E7">
              <w:rPr>
                <w:rFonts w:eastAsia="Times New Roman" w:cstheme="minorHAnsi"/>
                <w:color w:val="000000"/>
                <w:sz w:val="20"/>
                <w:szCs w:val="20"/>
                <w:lang w:eastAsia="en-AU"/>
              </w:rPr>
              <w:t>Bappenas</w:t>
            </w:r>
            <w:proofErr w:type="spellEnd"/>
            <w:r w:rsidRPr="008051E7">
              <w:rPr>
                <w:rFonts w:eastAsia="Times New Roman" w:cstheme="minorHAnsi"/>
                <w:color w:val="000000"/>
                <w:sz w:val="20"/>
                <w:szCs w:val="20"/>
                <w:lang w:eastAsia="en-AU"/>
              </w:rPr>
              <w:t>, Director for Social Protection and Welfare</w:t>
            </w:r>
          </w:p>
        </w:tc>
      </w:tr>
      <w:tr w:rsidR="008051E7" w:rsidRPr="008051E7" w14:paraId="2F8DF2F5" w14:textId="77777777" w:rsidTr="008051E7">
        <w:trPr>
          <w:trHeight w:val="30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3425E6C1" w14:textId="77777777" w:rsidR="008051E7" w:rsidRPr="008051E7" w:rsidRDefault="008051E7" w:rsidP="008051E7">
            <w:pPr>
              <w:spacing w:after="0" w:line="240" w:lineRule="auto"/>
              <w:rPr>
                <w:rFonts w:eastAsia="Times New Roman" w:cstheme="minorHAnsi"/>
                <w:color w:val="000000"/>
                <w:sz w:val="20"/>
                <w:szCs w:val="20"/>
                <w:lang w:eastAsia="en-AU"/>
              </w:rPr>
            </w:pPr>
            <w:proofErr w:type="spellStart"/>
            <w:r w:rsidRPr="008051E7">
              <w:rPr>
                <w:rFonts w:eastAsia="Times New Roman" w:cstheme="minorHAnsi"/>
                <w:color w:val="000000"/>
                <w:sz w:val="20"/>
                <w:szCs w:val="20"/>
                <w:lang w:eastAsia="en-AU"/>
              </w:rPr>
              <w:t>Wali</w:t>
            </w:r>
            <w:proofErr w:type="spellEnd"/>
            <w:r w:rsidRPr="008051E7">
              <w:rPr>
                <w:rFonts w:eastAsia="Times New Roman" w:cstheme="minorHAnsi"/>
                <w:color w:val="000000"/>
                <w:sz w:val="20"/>
                <w:szCs w:val="20"/>
                <w:lang w:eastAsia="en-AU"/>
              </w:rPr>
              <w:t xml:space="preserve"> Akbar</w:t>
            </w:r>
          </w:p>
        </w:tc>
        <w:tc>
          <w:tcPr>
            <w:tcW w:w="6520" w:type="dxa"/>
            <w:tcBorders>
              <w:top w:val="nil"/>
              <w:left w:val="nil"/>
              <w:bottom w:val="single" w:sz="4" w:space="0" w:color="auto"/>
              <w:right w:val="single" w:sz="4" w:space="0" w:color="auto"/>
            </w:tcBorders>
            <w:shd w:val="clear" w:color="auto" w:fill="auto"/>
            <w:noWrap/>
            <w:vAlign w:val="center"/>
            <w:hideMark/>
          </w:tcPr>
          <w:p w14:paraId="2D123BD4" w14:textId="77777777" w:rsidR="008051E7" w:rsidRPr="008051E7" w:rsidRDefault="008051E7" w:rsidP="008051E7">
            <w:pPr>
              <w:spacing w:after="0" w:line="240" w:lineRule="auto"/>
              <w:rPr>
                <w:rFonts w:eastAsia="Times New Roman" w:cstheme="minorHAnsi"/>
                <w:color w:val="000000"/>
                <w:sz w:val="20"/>
                <w:szCs w:val="20"/>
                <w:lang w:eastAsia="en-AU"/>
              </w:rPr>
            </w:pPr>
            <w:r w:rsidRPr="008051E7">
              <w:rPr>
                <w:rFonts w:eastAsia="Times New Roman" w:cstheme="minorHAnsi"/>
                <w:color w:val="000000"/>
                <w:sz w:val="20"/>
                <w:szCs w:val="20"/>
                <w:lang w:eastAsia="en-AU"/>
              </w:rPr>
              <w:t>PRSF Grant Manager</w:t>
            </w:r>
          </w:p>
        </w:tc>
      </w:tr>
    </w:tbl>
    <w:p w14:paraId="50FCF555" w14:textId="3E9C3591" w:rsidR="000E0BB4" w:rsidRPr="00EA4EAB" w:rsidRDefault="000E0BB4" w:rsidP="00EA4EAB"/>
    <w:sectPr w:rsidR="000E0BB4" w:rsidRPr="00EA4EAB" w:rsidSect="00D85A72">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08373" w14:textId="77777777" w:rsidR="000E0AE5" w:rsidRDefault="000E0AE5" w:rsidP="00DB5726">
      <w:pPr>
        <w:spacing w:after="0" w:line="240" w:lineRule="auto"/>
      </w:pPr>
      <w:r>
        <w:separator/>
      </w:r>
    </w:p>
  </w:endnote>
  <w:endnote w:type="continuationSeparator" w:id="0">
    <w:p w14:paraId="7AFAE108" w14:textId="77777777" w:rsidR="000E0AE5" w:rsidRDefault="000E0AE5" w:rsidP="00DB5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BD38F" w14:textId="77777777" w:rsidR="00472622" w:rsidRDefault="004726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762A3" w14:textId="77777777" w:rsidR="00472622" w:rsidRDefault="004726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A1754" w14:textId="77777777" w:rsidR="00472622" w:rsidRDefault="004726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431722"/>
      <w:docPartObj>
        <w:docPartGallery w:val="Page Numbers (Bottom of Page)"/>
        <w:docPartUnique/>
      </w:docPartObj>
    </w:sdtPr>
    <w:sdtEndPr>
      <w:rPr>
        <w:color w:val="808080" w:themeColor="background1" w:themeShade="80"/>
        <w:spacing w:val="60"/>
      </w:rPr>
    </w:sdtEndPr>
    <w:sdtContent>
      <w:p w14:paraId="5DD3975F" w14:textId="77777777" w:rsidR="000E0AE5" w:rsidRDefault="000E0AE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72622" w:rsidRPr="00472622">
          <w:rPr>
            <w:b/>
            <w:bCs/>
            <w:noProof/>
          </w:rPr>
          <w:t>1</w:t>
        </w:r>
        <w:r>
          <w:rPr>
            <w:b/>
            <w:bCs/>
            <w:noProof/>
          </w:rPr>
          <w:fldChar w:fldCharType="end"/>
        </w:r>
        <w:r>
          <w:rPr>
            <w:b/>
            <w:bCs/>
          </w:rPr>
          <w:t xml:space="preserve"> | </w:t>
        </w:r>
        <w:r>
          <w:rPr>
            <w:color w:val="808080" w:themeColor="background1" w:themeShade="80"/>
            <w:spacing w:val="60"/>
          </w:rPr>
          <w:t>Page</w:t>
        </w:r>
      </w:p>
    </w:sdtContent>
  </w:sdt>
  <w:p w14:paraId="19630522" w14:textId="77777777" w:rsidR="000E0AE5" w:rsidRDefault="000E0A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28A4C" w14:textId="77777777" w:rsidR="000E0AE5" w:rsidRDefault="000E0AE5" w:rsidP="00DB5726">
      <w:pPr>
        <w:spacing w:after="0" w:line="240" w:lineRule="auto"/>
      </w:pPr>
      <w:r>
        <w:separator/>
      </w:r>
    </w:p>
  </w:footnote>
  <w:footnote w:type="continuationSeparator" w:id="0">
    <w:p w14:paraId="7AA9C333" w14:textId="77777777" w:rsidR="000E0AE5" w:rsidRDefault="000E0AE5" w:rsidP="00DB5726">
      <w:pPr>
        <w:spacing w:after="0" w:line="240" w:lineRule="auto"/>
      </w:pPr>
      <w:r>
        <w:continuationSeparator/>
      </w:r>
    </w:p>
  </w:footnote>
  <w:footnote w:id="1">
    <w:p w14:paraId="56607207" w14:textId="0A0EF21C" w:rsidR="000E0AE5" w:rsidRPr="009F622D" w:rsidRDefault="000E0AE5">
      <w:pPr>
        <w:pStyle w:val="FootnoteText"/>
        <w:rPr>
          <w:lang w:val="en-GB"/>
        </w:rPr>
      </w:pPr>
      <w:r>
        <w:rPr>
          <w:rStyle w:val="FootnoteReference"/>
        </w:rPr>
        <w:footnoteRef/>
      </w:r>
      <w:r>
        <w:t xml:space="preserve"> </w:t>
      </w:r>
      <w:r w:rsidRPr="000F5D95">
        <w:rPr>
          <w:sz w:val="16"/>
          <w:szCs w:val="16"/>
          <w:lang w:val="en-GB"/>
        </w:rPr>
        <w:t>TNP2K is the Ministerial committee chaired by the Vice President, but unless otherwise stated then this report refers to TNP2K it is referring to the Secretariat that supports the Vice President and his ministerial colleagues.</w:t>
      </w:r>
    </w:p>
  </w:footnote>
  <w:footnote w:id="2">
    <w:p w14:paraId="2C162731" w14:textId="77777777" w:rsidR="000E0AE5" w:rsidRPr="000F5D95" w:rsidRDefault="000E0AE5" w:rsidP="00830EAC">
      <w:pPr>
        <w:pStyle w:val="FootnoteText"/>
        <w:rPr>
          <w:sz w:val="16"/>
          <w:szCs w:val="16"/>
        </w:rPr>
      </w:pPr>
      <w:r w:rsidRPr="002A2131">
        <w:rPr>
          <w:rStyle w:val="FootnoteReference"/>
          <w:rFonts w:ascii="Calibri" w:hAnsi="Calibri"/>
          <w:sz w:val="18"/>
        </w:rPr>
        <w:footnoteRef/>
      </w:r>
      <w:r w:rsidRPr="002A2131">
        <w:rPr>
          <w:rFonts w:ascii="Calibri" w:hAnsi="Calibri"/>
          <w:sz w:val="18"/>
        </w:rPr>
        <w:t xml:space="preserve"> </w:t>
      </w:r>
      <w:r w:rsidRPr="000F5D95">
        <w:rPr>
          <w:sz w:val="16"/>
          <w:szCs w:val="16"/>
        </w:rPr>
        <w:t xml:space="preserve">The interim phase began in April 2010-June 2011 to lay the foundation for PRSF and prepare the system (e.g. hire premises, set-up the office, recruit staff) while PRSF was being designed and tendered. Due to funding constraints, TNP2K was not able to undertake any activities/studies during the interim phase.  </w:t>
      </w:r>
    </w:p>
  </w:footnote>
  <w:footnote w:id="3">
    <w:p w14:paraId="1D821A47" w14:textId="77D44670" w:rsidR="000E0AE5" w:rsidRPr="000F5D95" w:rsidRDefault="000E0AE5">
      <w:pPr>
        <w:pStyle w:val="FootnoteText"/>
        <w:rPr>
          <w:sz w:val="16"/>
          <w:szCs w:val="16"/>
        </w:rPr>
      </w:pPr>
      <w:r w:rsidRPr="000F5D95">
        <w:rPr>
          <w:rStyle w:val="FootnoteReference"/>
          <w:sz w:val="16"/>
          <w:szCs w:val="16"/>
        </w:rPr>
        <w:footnoteRef/>
      </w:r>
      <w:r w:rsidRPr="000F5D95">
        <w:rPr>
          <w:sz w:val="16"/>
          <w:szCs w:val="16"/>
        </w:rPr>
        <w:t xml:space="preserve"> The UDB is a central element of the Government of Indonesia’s social protection reforms, and is used to identify target beneficiaries for national social protection programs.</w:t>
      </w:r>
    </w:p>
  </w:footnote>
  <w:footnote w:id="4">
    <w:p w14:paraId="68EA4DBA" w14:textId="5408064C" w:rsidR="000E0AE5" w:rsidRPr="000F5D95" w:rsidRDefault="000E0AE5">
      <w:pPr>
        <w:pStyle w:val="FootnoteText"/>
        <w:rPr>
          <w:sz w:val="16"/>
          <w:szCs w:val="16"/>
        </w:rPr>
      </w:pPr>
      <w:r>
        <w:rPr>
          <w:rStyle w:val="FootnoteReference"/>
        </w:rPr>
        <w:footnoteRef/>
      </w:r>
      <w:r>
        <w:t xml:space="preserve"> </w:t>
      </w:r>
      <w:r w:rsidRPr="000F5D95">
        <w:rPr>
          <w:sz w:val="16"/>
          <w:szCs w:val="16"/>
        </w:rPr>
        <w:t xml:space="preserve">For this ICR, PRSF commissioned Value for Money Assessments on </w:t>
      </w:r>
      <w:proofErr w:type="spellStart"/>
      <w:r w:rsidRPr="000F5D95">
        <w:rPr>
          <w:sz w:val="16"/>
          <w:szCs w:val="16"/>
        </w:rPr>
        <w:t>Raskin</w:t>
      </w:r>
      <w:proofErr w:type="spellEnd"/>
      <w:r w:rsidRPr="000F5D95">
        <w:rPr>
          <w:sz w:val="16"/>
          <w:szCs w:val="16"/>
        </w:rPr>
        <w:t>, PKH, BSM, and BLSM. They were produced by PRSF and reviewed by 2 independent economists. A summary of these assessments is at Annex 1.</w:t>
      </w:r>
    </w:p>
  </w:footnote>
  <w:footnote w:id="5">
    <w:p w14:paraId="7FB4CAFB" w14:textId="77777777" w:rsidR="000E0AE5" w:rsidRPr="000F5D95" w:rsidRDefault="000E0AE5" w:rsidP="002E4515">
      <w:pPr>
        <w:pStyle w:val="FootnoteText"/>
        <w:rPr>
          <w:sz w:val="16"/>
          <w:szCs w:val="16"/>
        </w:rPr>
      </w:pPr>
      <w:r w:rsidRPr="000F5D95">
        <w:rPr>
          <w:rStyle w:val="FootnoteReference"/>
          <w:sz w:val="16"/>
          <w:szCs w:val="16"/>
        </w:rPr>
        <w:footnoteRef/>
      </w:r>
      <w:r w:rsidRPr="000F5D95">
        <w:rPr>
          <w:sz w:val="16"/>
          <w:szCs w:val="16"/>
        </w:rPr>
        <w:t xml:space="preserve"> See Gender Analysis of the Unified Data Base by Lockley, Tobias and Bah</w:t>
      </w:r>
    </w:p>
  </w:footnote>
  <w:footnote w:id="6">
    <w:p w14:paraId="55DC0D66" w14:textId="77777777" w:rsidR="000E0AE5" w:rsidRDefault="000E0AE5">
      <w:pPr>
        <w:pStyle w:val="FootnoteText"/>
      </w:pPr>
      <w:r>
        <w:rPr>
          <w:rStyle w:val="FootnoteReference"/>
        </w:rPr>
        <w:footnoteRef/>
      </w:r>
      <w:r>
        <w:t xml:space="preserve"> </w:t>
      </w:r>
      <w:r w:rsidRPr="000F5D95">
        <w:rPr>
          <w:sz w:val="16"/>
          <w:szCs w:val="16"/>
        </w:rPr>
        <w:t>See page 19 Gender Analysis of the Unified Data Base 2013</w:t>
      </w:r>
    </w:p>
  </w:footnote>
  <w:footnote w:id="7">
    <w:p w14:paraId="75FAD29A" w14:textId="13C46F11" w:rsidR="000E0AE5" w:rsidRDefault="000E0AE5">
      <w:pPr>
        <w:pStyle w:val="FootnoteText"/>
      </w:pPr>
      <w:r>
        <w:rPr>
          <w:rStyle w:val="FootnoteReference"/>
        </w:rPr>
        <w:footnoteRef/>
      </w:r>
      <w:r>
        <w:t xml:space="preserve"> </w:t>
      </w:r>
      <w:r w:rsidRPr="000F5D95">
        <w:rPr>
          <w:sz w:val="16"/>
          <w:szCs w:val="16"/>
        </w:rPr>
        <w:t xml:space="preserve">On 29 April 2015 PRSF </w:t>
      </w:r>
      <w:proofErr w:type="spellStart"/>
      <w:r w:rsidRPr="000F5D95">
        <w:rPr>
          <w:sz w:val="16"/>
          <w:szCs w:val="16"/>
        </w:rPr>
        <w:t>organised</w:t>
      </w:r>
      <w:proofErr w:type="spellEnd"/>
      <w:r w:rsidRPr="000F5D95">
        <w:rPr>
          <w:sz w:val="16"/>
          <w:szCs w:val="16"/>
        </w:rPr>
        <w:t xml:space="preserve"> a lessons learned workshop attended by a large number of PRSF, TNP2K and Australian Embassy staff.  See Section 4 for more detail.</w:t>
      </w:r>
    </w:p>
  </w:footnote>
  <w:footnote w:id="8">
    <w:p w14:paraId="5216AECF" w14:textId="7EC7BCDC" w:rsidR="000E0AE5" w:rsidRPr="000F5D95" w:rsidRDefault="000E0AE5" w:rsidP="00164226">
      <w:pPr>
        <w:pStyle w:val="FootnoteText"/>
        <w:rPr>
          <w:sz w:val="16"/>
          <w:szCs w:val="16"/>
          <w:lang w:val="en-GB"/>
        </w:rPr>
      </w:pPr>
      <w:r>
        <w:rPr>
          <w:rStyle w:val="FootnoteReference"/>
        </w:rPr>
        <w:footnoteRef/>
      </w:r>
      <w:r>
        <w:t xml:space="preserve"> </w:t>
      </w:r>
      <w:r>
        <w:rPr>
          <w:sz w:val="16"/>
          <w:szCs w:val="16"/>
          <w:lang w:val="en-GB"/>
        </w:rPr>
        <w:t>Even when KIAT</w:t>
      </w:r>
      <w:r w:rsidRPr="000F5D95">
        <w:rPr>
          <w:sz w:val="16"/>
          <w:szCs w:val="16"/>
          <w:lang w:val="en-GB"/>
        </w:rPr>
        <w:t xml:space="preserve"> Guru was part of the Education Portfolio within the Embassy, there was little cross over with the larger work of the Education Partnership.</w:t>
      </w:r>
    </w:p>
  </w:footnote>
  <w:footnote w:id="9">
    <w:p w14:paraId="4AE2FA62" w14:textId="77777777" w:rsidR="000E0AE5" w:rsidRPr="00F11422" w:rsidRDefault="000E0AE5">
      <w:pPr>
        <w:pStyle w:val="FootnoteText"/>
        <w:rPr>
          <w:sz w:val="16"/>
          <w:szCs w:val="16"/>
        </w:rPr>
      </w:pPr>
      <w:r w:rsidRPr="00F11422">
        <w:rPr>
          <w:rStyle w:val="FootnoteReference"/>
          <w:sz w:val="16"/>
          <w:szCs w:val="16"/>
        </w:rPr>
        <w:footnoteRef/>
      </w:r>
      <w:r w:rsidRPr="00F11422">
        <w:rPr>
          <w:sz w:val="16"/>
          <w:szCs w:val="16"/>
        </w:rPr>
        <w:t xml:space="preserve">  This sub section heavily para phrases the workshop report which captured feedback from both a written survey and through discussion. This is important as the workshop report captures the views of the various stakeholders themselves and therefore presents a picture of how people inside this program view its progress. Sections drawn largely from the workshop report are in italics.</w:t>
      </w:r>
    </w:p>
  </w:footnote>
  <w:footnote w:id="10">
    <w:p w14:paraId="00AC55AD" w14:textId="77777777" w:rsidR="000E0AE5" w:rsidRPr="00F11422" w:rsidRDefault="000E0AE5" w:rsidP="00530F10">
      <w:pPr>
        <w:pStyle w:val="FootnoteText"/>
        <w:spacing w:before="0" w:after="0" w:line="240" w:lineRule="auto"/>
        <w:rPr>
          <w:sz w:val="16"/>
          <w:szCs w:val="16"/>
          <w:lang w:val="en-AU"/>
        </w:rPr>
      </w:pPr>
      <w:r w:rsidRPr="00F11422">
        <w:rPr>
          <w:rStyle w:val="FootnoteReference"/>
          <w:sz w:val="16"/>
          <w:szCs w:val="16"/>
        </w:rPr>
        <w:footnoteRef/>
      </w:r>
      <w:r w:rsidRPr="00F11422">
        <w:rPr>
          <w:sz w:val="16"/>
          <w:szCs w:val="16"/>
        </w:rPr>
        <w:t xml:space="preserve"> </w:t>
      </w:r>
      <w:proofErr w:type="gramStart"/>
      <w:r w:rsidRPr="00F11422">
        <w:rPr>
          <w:sz w:val="16"/>
          <w:szCs w:val="16"/>
          <w:lang w:val="en-AU"/>
        </w:rPr>
        <w:t>All monetary values in Australian dollars.</w:t>
      </w:r>
      <w:proofErr w:type="gramEnd"/>
    </w:p>
  </w:footnote>
  <w:footnote w:id="11">
    <w:p w14:paraId="6E5F79AE" w14:textId="77777777" w:rsidR="000E0AE5" w:rsidRPr="00F11422" w:rsidRDefault="000E0AE5" w:rsidP="00530F10">
      <w:pPr>
        <w:pStyle w:val="FootnoteText"/>
        <w:spacing w:before="0" w:after="0"/>
        <w:rPr>
          <w:sz w:val="16"/>
          <w:szCs w:val="16"/>
          <w:lang w:val="en-AU"/>
        </w:rPr>
      </w:pPr>
      <w:r w:rsidRPr="00F11422">
        <w:rPr>
          <w:rStyle w:val="FootnoteReference"/>
          <w:sz w:val="16"/>
          <w:szCs w:val="16"/>
        </w:rPr>
        <w:footnoteRef/>
      </w:r>
      <w:r w:rsidRPr="00F11422">
        <w:rPr>
          <w:sz w:val="16"/>
          <w:szCs w:val="16"/>
        </w:rPr>
        <w:t xml:space="preserve"> </w:t>
      </w:r>
      <w:proofErr w:type="gramStart"/>
      <w:r w:rsidRPr="00F11422">
        <w:rPr>
          <w:sz w:val="16"/>
          <w:szCs w:val="16"/>
          <w:lang w:val="en-AU"/>
        </w:rPr>
        <w:t>World Bank Indonesia country program analysis, 2015.</w:t>
      </w:r>
      <w:proofErr w:type="gramEnd"/>
    </w:p>
  </w:footnote>
  <w:footnote w:id="12">
    <w:p w14:paraId="5FCBEC04" w14:textId="77777777" w:rsidR="000E0AE5" w:rsidRPr="00F11422" w:rsidRDefault="000E0AE5" w:rsidP="00530F10">
      <w:pPr>
        <w:pStyle w:val="FootnoteText"/>
        <w:spacing w:before="0" w:after="120"/>
        <w:rPr>
          <w:sz w:val="16"/>
          <w:szCs w:val="16"/>
          <w:lang w:val="en-AU"/>
        </w:rPr>
      </w:pPr>
      <w:r w:rsidRPr="00F11422">
        <w:rPr>
          <w:rStyle w:val="FootnoteReference"/>
          <w:sz w:val="16"/>
          <w:szCs w:val="16"/>
        </w:rPr>
        <w:footnoteRef/>
      </w:r>
      <w:r w:rsidRPr="00F11422">
        <w:rPr>
          <w:sz w:val="16"/>
          <w:szCs w:val="16"/>
        </w:rPr>
        <w:t xml:space="preserve"> </w:t>
      </w:r>
      <w:proofErr w:type="gramStart"/>
      <w:r w:rsidRPr="00F11422">
        <w:rPr>
          <w:sz w:val="16"/>
          <w:szCs w:val="16"/>
          <w:lang w:val="en-AU"/>
        </w:rPr>
        <w:t>World Bank 2008.</w:t>
      </w:r>
      <w:proofErr w:type="gramEnd"/>
      <w:r w:rsidRPr="00F11422">
        <w:rPr>
          <w:sz w:val="16"/>
          <w:szCs w:val="16"/>
          <w:lang w:val="en-AU"/>
        </w:rPr>
        <w:t xml:space="preserve"> “For Protection and Promotion: The Design and Implementation of Effective Safety Nets.” World Bank: Washington.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62465" w14:textId="77777777" w:rsidR="00472622" w:rsidRDefault="004726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AEFB5" w14:textId="77F359C2" w:rsidR="000E0AE5" w:rsidRDefault="000E0AE5">
    <w:pPr>
      <w:pStyle w:val="Header"/>
    </w:pPr>
    <w:r>
      <w:t>UNCLASSIFIED</w:t>
    </w:r>
  </w:p>
  <w:p w14:paraId="3A450151" w14:textId="77777777" w:rsidR="000E0AE5" w:rsidRDefault="000E0A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F780D" w14:textId="77777777" w:rsidR="00472622" w:rsidRDefault="004726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078"/>
    <w:multiLevelType w:val="hybridMultilevel"/>
    <w:tmpl w:val="5B04101C"/>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A12BC8"/>
    <w:multiLevelType w:val="hybridMultilevel"/>
    <w:tmpl w:val="AFA84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2E65A13"/>
    <w:multiLevelType w:val="hybridMultilevel"/>
    <w:tmpl w:val="C128C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A769C4"/>
    <w:multiLevelType w:val="hybridMultilevel"/>
    <w:tmpl w:val="8FEA90CE"/>
    <w:lvl w:ilvl="0" w:tplc="04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15D4F5C"/>
    <w:multiLevelType w:val="hybridMultilevel"/>
    <w:tmpl w:val="5FDCE63C"/>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15D532E"/>
    <w:multiLevelType w:val="hybridMultilevel"/>
    <w:tmpl w:val="C0AE5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94C3AFB"/>
    <w:multiLevelType w:val="hybridMultilevel"/>
    <w:tmpl w:val="CA361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DEC15F5"/>
    <w:multiLevelType w:val="hybridMultilevel"/>
    <w:tmpl w:val="022A66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B137CC"/>
    <w:multiLevelType w:val="hybridMultilevel"/>
    <w:tmpl w:val="9F9C98BA"/>
    <w:lvl w:ilvl="0" w:tplc="0409000F">
      <w:start w:val="1"/>
      <w:numFmt w:val="decimal"/>
      <w:pStyle w:val="List-bullet-2"/>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24877DF8"/>
    <w:multiLevelType w:val="hybridMultilevel"/>
    <w:tmpl w:val="BB58A0A8"/>
    <w:lvl w:ilvl="0" w:tplc="0C090017">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2AF41DC0"/>
    <w:multiLevelType w:val="hybridMultilevel"/>
    <w:tmpl w:val="05889D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BA04435"/>
    <w:multiLevelType w:val="hybridMultilevel"/>
    <w:tmpl w:val="CB9A6E0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C156C9C"/>
    <w:multiLevelType w:val="hybridMultilevel"/>
    <w:tmpl w:val="F5B60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FE20C1"/>
    <w:multiLevelType w:val="hybridMultilevel"/>
    <w:tmpl w:val="980213E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EBA59C9"/>
    <w:multiLevelType w:val="hybridMultilevel"/>
    <w:tmpl w:val="729401A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3D9477B"/>
    <w:multiLevelType w:val="hybridMultilevel"/>
    <w:tmpl w:val="DDDE2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DC044A"/>
    <w:multiLevelType w:val="hybridMultilevel"/>
    <w:tmpl w:val="8E6A1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261597"/>
    <w:multiLevelType w:val="hybridMultilevel"/>
    <w:tmpl w:val="D65C3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3E3314"/>
    <w:multiLevelType w:val="hybridMultilevel"/>
    <w:tmpl w:val="A41068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7531147"/>
    <w:multiLevelType w:val="hybridMultilevel"/>
    <w:tmpl w:val="D5B06BB0"/>
    <w:lvl w:ilvl="0" w:tplc="DC38EF22">
      <w:start w:val="1"/>
      <w:numFmt w:val="bullet"/>
      <w:lvlText w:val="–"/>
      <w:lvlJc w:val="left"/>
      <w:pPr>
        <w:tabs>
          <w:tab w:val="num" w:pos="1021"/>
        </w:tabs>
        <w:ind w:left="1021" w:hanging="301"/>
      </w:pPr>
      <w:rPr>
        <w:rFonts w:hint="default"/>
        <w:color w:val="auto"/>
        <w:sz w:val="20"/>
      </w:rPr>
    </w:lvl>
    <w:lvl w:ilvl="1" w:tplc="3F7AB1DE">
      <w:start w:val="1"/>
      <w:numFmt w:val="bullet"/>
      <w:lvlText w:val="–"/>
      <w:lvlJc w:val="left"/>
      <w:pPr>
        <w:tabs>
          <w:tab w:val="num" w:pos="1724"/>
        </w:tabs>
        <w:ind w:left="1724" w:hanging="363"/>
      </w:pPr>
      <w:rPr>
        <w:rFonts w:hint="default"/>
      </w:rPr>
    </w:lvl>
    <w:lvl w:ilvl="2" w:tplc="0409001B">
      <w:start w:val="1"/>
      <w:numFmt w:val="bullet"/>
      <w:lvlText w:val=""/>
      <w:lvlJc w:val="left"/>
      <w:pPr>
        <w:tabs>
          <w:tab w:val="num" w:pos="2444"/>
        </w:tabs>
        <w:ind w:left="2444" w:hanging="360"/>
      </w:pPr>
      <w:rPr>
        <w:rFonts w:ascii="Wingdings" w:hAnsi="Wingdings" w:hint="default"/>
      </w:rPr>
    </w:lvl>
    <w:lvl w:ilvl="3" w:tplc="0409000F">
      <w:start w:val="1"/>
      <w:numFmt w:val="bullet"/>
      <w:lvlText w:val=""/>
      <w:lvlJc w:val="left"/>
      <w:pPr>
        <w:tabs>
          <w:tab w:val="num" w:pos="3164"/>
        </w:tabs>
        <w:ind w:left="3164" w:hanging="360"/>
      </w:pPr>
      <w:rPr>
        <w:rFonts w:ascii="Symbol" w:hAnsi="Symbol" w:hint="default"/>
      </w:rPr>
    </w:lvl>
    <w:lvl w:ilvl="4" w:tplc="04090019" w:tentative="1">
      <w:start w:val="1"/>
      <w:numFmt w:val="bullet"/>
      <w:lvlText w:val="o"/>
      <w:lvlJc w:val="left"/>
      <w:pPr>
        <w:tabs>
          <w:tab w:val="num" w:pos="3884"/>
        </w:tabs>
        <w:ind w:left="3884" w:hanging="360"/>
      </w:pPr>
      <w:rPr>
        <w:rFonts w:ascii="Courier New" w:hAnsi="Courier New" w:hint="default"/>
      </w:rPr>
    </w:lvl>
    <w:lvl w:ilvl="5" w:tplc="0409001B" w:tentative="1">
      <w:start w:val="1"/>
      <w:numFmt w:val="bullet"/>
      <w:lvlText w:val=""/>
      <w:lvlJc w:val="left"/>
      <w:pPr>
        <w:tabs>
          <w:tab w:val="num" w:pos="4604"/>
        </w:tabs>
        <w:ind w:left="4604" w:hanging="360"/>
      </w:pPr>
      <w:rPr>
        <w:rFonts w:ascii="Wingdings" w:hAnsi="Wingdings" w:hint="default"/>
      </w:rPr>
    </w:lvl>
    <w:lvl w:ilvl="6" w:tplc="0409000F" w:tentative="1">
      <w:start w:val="1"/>
      <w:numFmt w:val="bullet"/>
      <w:lvlText w:val=""/>
      <w:lvlJc w:val="left"/>
      <w:pPr>
        <w:tabs>
          <w:tab w:val="num" w:pos="5324"/>
        </w:tabs>
        <w:ind w:left="5324" w:hanging="360"/>
      </w:pPr>
      <w:rPr>
        <w:rFonts w:ascii="Symbol" w:hAnsi="Symbol" w:hint="default"/>
      </w:rPr>
    </w:lvl>
    <w:lvl w:ilvl="7" w:tplc="04090019" w:tentative="1">
      <w:start w:val="1"/>
      <w:numFmt w:val="bullet"/>
      <w:lvlText w:val="o"/>
      <w:lvlJc w:val="left"/>
      <w:pPr>
        <w:tabs>
          <w:tab w:val="num" w:pos="6044"/>
        </w:tabs>
        <w:ind w:left="6044" w:hanging="360"/>
      </w:pPr>
      <w:rPr>
        <w:rFonts w:ascii="Courier New" w:hAnsi="Courier New" w:hint="default"/>
      </w:rPr>
    </w:lvl>
    <w:lvl w:ilvl="8" w:tplc="0409001B" w:tentative="1">
      <w:start w:val="1"/>
      <w:numFmt w:val="bullet"/>
      <w:lvlText w:val=""/>
      <w:lvlJc w:val="left"/>
      <w:pPr>
        <w:tabs>
          <w:tab w:val="num" w:pos="6764"/>
        </w:tabs>
        <w:ind w:left="6764" w:hanging="360"/>
      </w:pPr>
      <w:rPr>
        <w:rFonts w:ascii="Wingdings" w:hAnsi="Wingdings" w:hint="default"/>
      </w:rPr>
    </w:lvl>
  </w:abstractNum>
  <w:abstractNum w:abstractNumId="21">
    <w:nsid w:val="523C0952"/>
    <w:multiLevelType w:val="hybridMultilevel"/>
    <w:tmpl w:val="9BCC8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4074BD"/>
    <w:multiLevelType w:val="hybridMultilevel"/>
    <w:tmpl w:val="AD8ED1F2"/>
    <w:lvl w:ilvl="0" w:tplc="2794E1E0">
      <w:start w:val="1"/>
      <w:numFmt w:val="lowerRoman"/>
      <w:lvlText w:val="(%1)"/>
      <w:lvlJc w:val="left"/>
      <w:pPr>
        <w:ind w:left="3636" w:hanging="720"/>
      </w:pPr>
      <w:rPr>
        <w:rFonts w:hint="default"/>
      </w:rPr>
    </w:lvl>
    <w:lvl w:ilvl="1" w:tplc="04090003" w:tentative="1">
      <w:start w:val="1"/>
      <w:numFmt w:val="bullet"/>
      <w:lvlText w:val="o"/>
      <w:lvlJc w:val="left"/>
      <w:pPr>
        <w:ind w:left="3996" w:hanging="360"/>
      </w:pPr>
      <w:rPr>
        <w:rFonts w:ascii="Courier New" w:hAnsi="Courier New" w:hint="default"/>
      </w:rPr>
    </w:lvl>
    <w:lvl w:ilvl="2" w:tplc="04090005" w:tentative="1">
      <w:start w:val="1"/>
      <w:numFmt w:val="bullet"/>
      <w:lvlText w:val=""/>
      <w:lvlJc w:val="left"/>
      <w:pPr>
        <w:ind w:left="4716" w:hanging="360"/>
      </w:pPr>
      <w:rPr>
        <w:rFonts w:ascii="Wingdings" w:hAnsi="Wingdings" w:hint="default"/>
      </w:rPr>
    </w:lvl>
    <w:lvl w:ilvl="3" w:tplc="04090001" w:tentative="1">
      <w:start w:val="1"/>
      <w:numFmt w:val="bullet"/>
      <w:lvlText w:val=""/>
      <w:lvlJc w:val="left"/>
      <w:pPr>
        <w:ind w:left="5436" w:hanging="360"/>
      </w:pPr>
      <w:rPr>
        <w:rFonts w:ascii="Symbol" w:hAnsi="Symbol" w:hint="default"/>
      </w:rPr>
    </w:lvl>
    <w:lvl w:ilvl="4" w:tplc="04090003" w:tentative="1">
      <w:start w:val="1"/>
      <w:numFmt w:val="bullet"/>
      <w:lvlText w:val="o"/>
      <w:lvlJc w:val="left"/>
      <w:pPr>
        <w:ind w:left="6156" w:hanging="360"/>
      </w:pPr>
      <w:rPr>
        <w:rFonts w:ascii="Courier New" w:hAnsi="Courier New" w:hint="default"/>
      </w:rPr>
    </w:lvl>
    <w:lvl w:ilvl="5" w:tplc="04090005" w:tentative="1">
      <w:start w:val="1"/>
      <w:numFmt w:val="bullet"/>
      <w:lvlText w:val=""/>
      <w:lvlJc w:val="left"/>
      <w:pPr>
        <w:ind w:left="6876" w:hanging="360"/>
      </w:pPr>
      <w:rPr>
        <w:rFonts w:ascii="Wingdings" w:hAnsi="Wingdings" w:hint="default"/>
      </w:rPr>
    </w:lvl>
    <w:lvl w:ilvl="6" w:tplc="04090001" w:tentative="1">
      <w:start w:val="1"/>
      <w:numFmt w:val="bullet"/>
      <w:lvlText w:val=""/>
      <w:lvlJc w:val="left"/>
      <w:pPr>
        <w:ind w:left="7596" w:hanging="360"/>
      </w:pPr>
      <w:rPr>
        <w:rFonts w:ascii="Symbol" w:hAnsi="Symbol" w:hint="default"/>
      </w:rPr>
    </w:lvl>
    <w:lvl w:ilvl="7" w:tplc="04090003" w:tentative="1">
      <w:start w:val="1"/>
      <w:numFmt w:val="bullet"/>
      <w:lvlText w:val="o"/>
      <w:lvlJc w:val="left"/>
      <w:pPr>
        <w:ind w:left="8316" w:hanging="360"/>
      </w:pPr>
      <w:rPr>
        <w:rFonts w:ascii="Courier New" w:hAnsi="Courier New" w:hint="default"/>
      </w:rPr>
    </w:lvl>
    <w:lvl w:ilvl="8" w:tplc="04090005" w:tentative="1">
      <w:start w:val="1"/>
      <w:numFmt w:val="bullet"/>
      <w:lvlText w:val=""/>
      <w:lvlJc w:val="left"/>
      <w:pPr>
        <w:ind w:left="9036" w:hanging="360"/>
      </w:pPr>
      <w:rPr>
        <w:rFonts w:ascii="Wingdings" w:hAnsi="Wingdings" w:hint="default"/>
      </w:rPr>
    </w:lvl>
  </w:abstractNum>
  <w:abstractNum w:abstractNumId="23">
    <w:nsid w:val="57F229E6"/>
    <w:multiLevelType w:val="hybridMultilevel"/>
    <w:tmpl w:val="4F5C001C"/>
    <w:lvl w:ilvl="0" w:tplc="04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A581AEE"/>
    <w:multiLevelType w:val="hybridMultilevel"/>
    <w:tmpl w:val="C00E7F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DFF3CDE"/>
    <w:multiLevelType w:val="hybridMultilevel"/>
    <w:tmpl w:val="584818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5E412849"/>
    <w:multiLevelType w:val="hybridMultilevel"/>
    <w:tmpl w:val="64EC38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4707242"/>
    <w:multiLevelType w:val="hybridMultilevel"/>
    <w:tmpl w:val="969096B0"/>
    <w:lvl w:ilvl="0" w:tplc="121CFD5A">
      <w:start w:val="1"/>
      <w:numFmt w:val="bullet"/>
      <w:pStyle w:val="Bullets"/>
      <w:lvlText w:val=""/>
      <w:lvlJc w:val="left"/>
      <w:pPr>
        <w:tabs>
          <w:tab w:val="num" w:pos="284"/>
        </w:tabs>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96200C"/>
    <w:multiLevelType w:val="hybridMultilevel"/>
    <w:tmpl w:val="26200B40"/>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7C70797"/>
    <w:multiLevelType w:val="hybridMultilevel"/>
    <w:tmpl w:val="B6D69DA6"/>
    <w:lvl w:ilvl="0" w:tplc="7B642ED6">
      <w:start w:val="1"/>
      <w:numFmt w:val="bullet"/>
      <w:pStyle w:val="Bullet1normal"/>
      <w:lvlText w:val=""/>
      <w:lvlJc w:val="left"/>
      <w:pPr>
        <w:ind w:left="720" w:hanging="360"/>
      </w:pPr>
      <w:rPr>
        <w:rFonts w:ascii="Symbol" w:hAnsi="Symbol" w:hint="default"/>
        <w:color w:val="984806" w:themeColor="accent6" w:themeShade="80"/>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9540DBF"/>
    <w:multiLevelType w:val="multilevel"/>
    <w:tmpl w:val="28C8C89E"/>
    <w:lvl w:ilvl="0">
      <w:start w:val="1"/>
      <w:numFmt w:val="decimal"/>
      <w:lvlText w:val="%1."/>
      <w:lvlJc w:val="left"/>
      <w:pPr>
        <w:tabs>
          <w:tab w:val="num" w:pos="720"/>
        </w:tabs>
        <w:ind w:left="720" w:hanging="720"/>
      </w:pPr>
      <w:rPr>
        <w:rFonts w:ascii="Times New Roman Bold" w:hAnsi="Times New Roman Bold" w:cs="Times New Roman" w:hint="default"/>
        <w:b/>
        <w:i w:val="0"/>
        <w:sz w:val="24"/>
      </w:rPr>
    </w:lvl>
    <w:lvl w:ilvl="1">
      <w:start w:val="1"/>
      <w:numFmt w:val="decimal"/>
      <w:lvlText w:val="%1.%2"/>
      <w:lvlJc w:val="left"/>
      <w:pPr>
        <w:tabs>
          <w:tab w:val="num" w:pos="720"/>
        </w:tabs>
        <w:ind w:left="720" w:hanging="706"/>
      </w:pPr>
      <w:rPr>
        <w:rFonts w:ascii="Times New Roman" w:hAnsi="Times New Roman" w:cs="Times New Roman" w:hint="default"/>
        <w:b w:val="0"/>
        <w:i w:val="0"/>
        <w:sz w:val="24"/>
        <w:lang w:val="en-GB"/>
      </w:rPr>
    </w:lvl>
    <w:lvl w:ilvl="2">
      <w:start w:val="1"/>
      <w:numFmt w:val="lowerLetter"/>
      <w:lvlText w:val="(%3)"/>
      <w:lvlJc w:val="left"/>
      <w:pPr>
        <w:tabs>
          <w:tab w:val="num" w:pos="1440"/>
        </w:tabs>
        <w:ind w:left="1440" w:hanging="720"/>
      </w:pPr>
      <w:rPr>
        <w:rFonts w:ascii="Times New Roman" w:hAnsi="Times New Roman" w:cs="Times New Roman" w:hint="default"/>
        <w:b w:val="0"/>
        <w:i w:val="0"/>
        <w:sz w:val="24"/>
      </w:rPr>
    </w:lvl>
    <w:lvl w:ilvl="3">
      <w:start w:val="1"/>
      <w:numFmt w:val="lowerRoman"/>
      <w:lvlText w:val="(%4)"/>
      <w:lvlJc w:val="left"/>
      <w:pPr>
        <w:tabs>
          <w:tab w:val="num" w:pos="2160"/>
        </w:tabs>
        <w:ind w:left="2160" w:hanging="720"/>
      </w:pPr>
      <w:rPr>
        <w:rFonts w:ascii="Times New Roman" w:hAnsi="Times New Roman" w:cs="Times New Roman" w:hint="default"/>
        <w:b w:val="0"/>
        <w:i w:val="0"/>
        <w:sz w:val="24"/>
      </w:rPr>
    </w:lvl>
    <w:lvl w:ilvl="4">
      <w:start w:val="1"/>
      <w:numFmt w:val="bullet"/>
      <w:lvlText w:val=""/>
      <w:lvlJc w:val="left"/>
      <w:pPr>
        <w:tabs>
          <w:tab w:val="num" w:pos="2520"/>
        </w:tabs>
        <w:ind w:left="2520" w:hanging="360"/>
      </w:pPr>
      <w:rPr>
        <w:rFonts w:ascii="Symbol" w:hAnsi="Symbol" w:hint="default"/>
        <w:b w:val="0"/>
        <w:i w:val="0"/>
        <w:sz w:val="16"/>
      </w:rPr>
    </w:lvl>
    <w:lvl w:ilvl="5">
      <w:start w:val="1"/>
      <w:numFmt w:val="upperRoman"/>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1">
    <w:nsid w:val="6E4E6B45"/>
    <w:multiLevelType w:val="multilevel"/>
    <w:tmpl w:val="28C8C89E"/>
    <w:lvl w:ilvl="0">
      <w:start w:val="1"/>
      <w:numFmt w:val="decimal"/>
      <w:lvlText w:val="%1."/>
      <w:lvlJc w:val="left"/>
      <w:pPr>
        <w:tabs>
          <w:tab w:val="num" w:pos="720"/>
        </w:tabs>
        <w:ind w:left="720" w:hanging="720"/>
      </w:pPr>
      <w:rPr>
        <w:rFonts w:ascii="Times New Roman Bold" w:hAnsi="Times New Roman Bold" w:cs="Times New Roman" w:hint="default"/>
        <w:b/>
        <w:i w:val="0"/>
        <w:sz w:val="24"/>
      </w:rPr>
    </w:lvl>
    <w:lvl w:ilvl="1">
      <w:start w:val="1"/>
      <w:numFmt w:val="decimal"/>
      <w:lvlText w:val="%1.%2"/>
      <w:lvlJc w:val="left"/>
      <w:pPr>
        <w:tabs>
          <w:tab w:val="num" w:pos="720"/>
        </w:tabs>
        <w:ind w:left="720" w:hanging="706"/>
      </w:pPr>
      <w:rPr>
        <w:rFonts w:ascii="Times New Roman" w:hAnsi="Times New Roman" w:cs="Times New Roman" w:hint="default"/>
        <w:b w:val="0"/>
        <w:i w:val="0"/>
        <w:sz w:val="24"/>
        <w:lang w:val="en-GB"/>
      </w:rPr>
    </w:lvl>
    <w:lvl w:ilvl="2">
      <w:start w:val="1"/>
      <w:numFmt w:val="lowerLetter"/>
      <w:lvlText w:val="(%3)"/>
      <w:lvlJc w:val="left"/>
      <w:pPr>
        <w:tabs>
          <w:tab w:val="num" w:pos="1440"/>
        </w:tabs>
        <w:ind w:left="1440" w:hanging="720"/>
      </w:pPr>
      <w:rPr>
        <w:rFonts w:ascii="Times New Roman" w:hAnsi="Times New Roman" w:cs="Times New Roman" w:hint="default"/>
        <w:b w:val="0"/>
        <w:i w:val="0"/>
        <w:sz w:val="24"/>
      </w:rPr>
    </w:lvl>
    <w:lvl w:ilvl="3">
      <w:start w:val="1"/>
      <w:numFmt w:val="lowerRoman"/>
      <w:lvlText w:val="(%4)"/>
      <w:lvlJc w:val="left"/>
      <w:pPr>
        <w:tabs>
          <w:tab w:val="num" w:pos="2160"/>
        </w:tabs>
        <w:ind w:left="2160" w:hanging="720"/>
      </w:pPr>
      <w:rPr>
        <w:rFonts w:ascii="Times New Roman" w:hAnsi="Times New Roman" w:cs="Times New Roman" w:hint="default"/>
        <w:b w:val="0"/>
        <w:i w:val="0"/>
        <w:sz w:val="24"/>
      </w:rPr>
    </w:lvl>
    <w:lvl w:ilvl="4">
      <w:start w:val="1"/>
      <w:numFmt w:val="bullet"/>
      <w:lvlText w:val=""/>
      <w:lvlJc w:val="left"/>
      <w:pPr>
        <w:tabs>
          <w:tab w:val="num" w:pos="2520"/>
        </w:tabs>
        <w:ind w:left="2520" w:hanging="360"/>
      </w:pPr>
      <w:rPr>
        <w:rFonts w:ascii="Symbol" w:hAnsi="Symbol" w:hint="default"/>
        <w:b w:val="0"/>
        <w:i w:val="0"/>
        <w:sz w:val="16"/>
      </w:rPr>
    </w:lvl>
    <w:lvl w:ilvl="5">
      <w:start w:val="1"/>
      <w:numFmt w:val="upperRoman"/>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2">
    <w:nsid w:val="6FAB4E15"/>
    <w:multiLevelType w:val="hybridMultilevel"/>
    <w:tmpl w:val="988A53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7EE2F0A"/>
    <w:multiLevelType w:val="hybridMultilevel"/>
    <w:tmpl w:val="90DAA200"/>
    <w:lvl w:ilvl="0" w:tplc="8752CBE6">
      <w:start w:val="1"/>
      <w:numFmt w:val="bullet"/>
      <w:pStyle w:val="Tablebullets"/>
      <w:lvlText w:val=""/>
      <w:lvlJc w:val="left"/>
      <w:pPr>
        <w:tabs>
          <w:tab w:val="num" w:pos="357"/>
        </w:tabs>
        <w:ind w:left="357" w:hanging="357"/>
      </w:pPr>
      <w:rPr>
        <w:rFonts w:ascii="Symbol" w:hAnsi="Symbol" w:hint="default"/>
        <w:color w:val="984806" w:themeColor="accent6" w:themeShade="8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78BE5946"/>
    <w:multiLevelType w:val="hybridMultilevel"/>
    <w:tmpl w:val="D63C4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12"/>
  </w:num>
  <w:num w:numId="3">
    <w:abstractNumId w:val="17"/>
  </w:num>
  <w:num w:numId="4">
    <w:abstractNumId w:val="8"/>
  </w:num>
  <w:num w:numId="5">
    <w:abstractNumId w:val="30"/>
  </w:num>
  <w:num w:numId="6">
    <w:abstractNumId w:val="31"/>
  </w:num>
  <w:num w:numId="7">
    <w:abstractNumId w:val="20"/>
  </w:num>
  <w:num w:numId="8">
    <w:abstractNumId w:val="9"/>
  </w:num>
  <w:num w:numId="9">
    <w:abstractNumId w:val="4"/>
  </w:num>
  <w:num w:numId="10">
    <w:abstractNumId w:val="5"/>
  </w:num>
  <w:num w:numId="11">
    <w:abstractNumId w:val="6"/>
  </w:num>
  <w:num w:numId="12">
    <w:abstractNumId w:val="26"/>
  </w:num>
  <w:num w:numId="13">
    <w:abstractNumId w:val="10"/>
  </w:num>
  <w:num w:numId="14">
    <w:abstractNumId w:val="18"/>
  </w:num>
  <w:num w:numId="15">
    <w:abstractNumId w:val="22"/>
  </w:num>
  <w:num w:numId="16">
    <w:abstractNumId w:val="21"/>
  </w:num>
  <w:num w:numId="17">
    <w:abstractNumId w:val="29"/>
  </w:num>
  <w:num w:numId="18">
    <w:abstractNumId w:val="2"/>
  </w:num>
  <w:num w:numId="19">
    <w:abstractNumId w:val="1"/>
  </w:num>
  <w:num w:numId="20">
    <w:abstractNumId w:val="7"/>
  </w:num>
  <w:num w:numId="21">
    <w:abstractNumId w:val="16"/>
  </w:num>
  <w:num w:numId="22">
    <w:abstractNumId w:val="14"/>
  </w:num>
  <w:num w:numId="23">
    <w:abstractNumId w:val="3"/>
  </w:num>
  <w:num w:numId="24">
    <w:abstractNumId w:val="0"/>
  </w:num>
  <w:num w:numId="25">
    <w:abstractNumId w:val="28"/>
  </w:num>
  <w:num w:numId="26">
    <w:abstractNumId w:val="23"/>
  </w:num>
  <w:num w:numId="27">
    <w:abstractNumId w:val="32"/>
  </w:num>
  <w:num w:numId="28">
    <w:abstractNumId w:val="27"/>
  </w:num>
  <w:num w:numId="29">
    <w:abstractNumId w:val="34"/>
  </w:num>
  <w:num w:numId="30">
    <w:abstractNumId w:val="13"/>
  </w:num>
  <w:num w:numId="31">
    <w:abstractNumId w:val="19"/>
  </w:num>
  <w:num w:numId="32">
    <w:abstractNumId w:val="24"/>
  </w:num>
  <w:num w:numId="33">
    <w:abstractNumId w:val="11"/>
  </w:num>
  <w:num w:numId="34">
    <w:abstractNumId w:val="15"/>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7C3"/>
    <w:rsid w:val="00013BDC"/>
    <w:rsid w:val="0002403E"/>
    <w:rsid w:val="0002510C"/>
    <w:rsid w:val="000362E9"/>
    <w:rsid w:val="00042BE0"/>
    <w:rsid w:val="00047866"/>
    <w:rsid w:val="00060B34"/>
    <w:rsid w:val="00067856"/>
    <w:rsid w:val="00067F88"/>
    <w:rsid w:val="00073B6F"/>
    <w:rsid w:val="00085C8E"/>
    <w:rsid w:val="00091564"/>
    <w:rsid w:val="0009270D"/>
    <w:rsid w:val="000A3C29"/>
    <w:rsid w:val="000A7DF0"/>
    <w:rsid w:val="000D14EA"/>
    <w:rsid w:val="000E0AE5"/>
    <w:rsid w:val="000E0BB4"/>
    <w:rsid w:val="000E7BB3"/>
    <w:rsid w:val="000F5D95"/>
    <w:rsid w:val="00106FED"/>
    <w:rsid w:val="0011639D"/>
    <w:rsid w:val="00120AC6"/>
    <w:rsid w:val="00121393"/>
    <w:rsid w:val="00130D21"/>
    <w:rsid w:val="00145D9E"/>
    <w:rsid w:val="00152D95"/>
    <w:rsid w:val="00164226"/>
    <w:rsid w:val="001656C0"/>
    <w:rsid w:val="00184892"/>
    <w:rsid w:val="00192797"/>
    <w:rsid w:val="00195F4E"/>
    <w:rsid w:val="001B3D45"/>
    <w:rsid w:val="001B756D"/>
    <w:rsid w:val="001E715D"/>
    <w:rsid w:val="001F6D6F"/>
    <w:rsid w:val="0022058D"/>
    <w:rsid w:val="002321B0"/>
    <w:rsid w:val="00234278"/>
    <w:rsid w:val="002469EC"/>
    <w:rsid w:val="00250774"/>
    <w:rsid w:val="002541E1"/>
    <w:rsid w:val="0025532A"/>
    <w:rsid w:val="00290C9C"/>
    <w:rsid w:val="002A0929"/>
    <w:rsid w:val="002B7A59"/>
    <w:rsid w:val="002C5F6A"/>
    <w:rsid w:val="002D2D8B"/>
    <w:rsid w:val="002E4515"/>
    <w:rsid w:val="002F13D9"/>
    <w:rsid w:val="003219F3"/>
    <w:rsid w:val="00332B84"/>
    <w:rsid w:val="00353B83"/>
    <w:rsid w:val="0035463A"/>
    <w:rsid w:val="0035582E"/>
    <w:rsid w:val="00374C8A"/>
    <w:rsid w:val="00377C22"/>
    <w:rsid w:val="00381B8B"/>
    <w:rsid w:val="003A47C8"/>
    <w:rsid w:val="003A6D0C"/>
    <w:rsid w:val="003C7974"/>
    <w:rsid w:val="003D4131"/>
    <w:rsid w:val="003D49A0"/>
    <w:rsid w:val="003F461A"/>
    <w:rsid w:val="003F5956"/>
    <w:rsid w:val="003F7EDB"/>
    <w:rsid w:val="0041783A"/>
    <w:rsid w:val="0042089B"/>
    <w:rsid w:val="004224CA"/>
    <w:rsid w:val="0043167B"/>
    <w:rsid w:val="00431725"/>
    <w:rsid w:val="00444EB8"/>
    <w:rsid w:val="004458CA"/>
    <w:rsid w:val="004548D9"/>
    <w:rsid w:val="00463E6C"/>
    <w:rsid w:val="00465176"/>
    <w:rsid w:val="0046649D"/>
    <w:rsid w:val="00472622"/>
    <w:rsid w:val="004860E0"/>
    <w:rsid w:val="004B0651"/>
    <w:rsid w:val="004B1858"/>
    <w:rsid w:val="004B5DAB"/>
    <w:rsid w:val="004E20C4"/>
    <w:rsid w:val="004F18C0"/>
    <w:rsid w:val="004F3DCE"/>
    <w:rsid w:val="0050534A"/>
    <w:rsid w:val="005077B0"/>
    <w:rsid w:val="00511E23"/>
    <w:rsid w:val="00521AEA"/>
    <w:rsid w:val="00530511"/>
    <w:rsid w:val="00530F10"/>
    <w:rsid w:val="00546093"/>
    <w:rsid w:val="005660A4"/>
    <w:rsid w:val="00571691"/>
    <w:rsid w:val="00572E82"/>
    <w:rsid w:val="00577DD7"/>
    <w:rsid w:val="005928BB"/>
    <w:rsid w:val="005B0186"/>
    <w:rsid w:val="005B68E2"/>
    <w:rsid w:val="005C6CAF"/>
    <w:rsid w:val="006145A6"/>
    <w:rsid w:val="006338CA"/>
    <w:rsid w:val="00662233"/>
    <w:rsid w:val="00670C36"/>
    <w:rsid w:val="00675520"/>
    <w:rsid w:val="006A1AB4"/>
    <w:rsid w:val="006C0B78"/>
    <w:rsid w:val="006E7D64"/>
    <w:rsid w:val="007015BD"/>
    <w:rsid w:val="0070541A"/>
    <w:rsid w:val="00753981"/>
    <w:rsid w:val="00781960"/>
    <w:rsid w:val="00784195"/>
    <w:rsid w:val="00793FE1"/>
    <w:rsid w:val="007A48C5"/>
    <w:rsid w:val="007C270E"/>
    <w:rsid w:val="007D1E15"/>
    <w:rsid w:val="007D1EEB"/>
    <w:rsid w:val="007D76B5"/>
    <w:rsid w:val="007E1B95"/>
    <w:rsid w:val="00803096"/>
    <w:rsid w:val="008051E7"/>
    <w:rsid w:val="00807FC8"/>
    <w:rsid w:val="008112EB"/>
    <w:rsid w:val="008169DE"/>
    <w:rsid w:val="00830EAC"/>
    <w:rsid w:val="00851A37"/>
    <w:rsid w:val="00854106"/>
    <w:rsid w:val="00864CB0"/>
    <w:rsid w:val="00867B47"/>
    <w:rsid w:val="00870CE0"/>
    <w:rsid w:val="0088529D"/>
    <w:rsid w:val="008B03DF"/>
    <w:rsid w:val="008B5B1B"/>
    <w:rsid w:val="008D3C20"/>
    <w:rsid w:val="008D667B"/>
    <w:rsid w:val="00901E41"/>
    <w:rsid w:val="00902166"/>
    <w:rsid w:val="00911EC9"/>
    <w:rsid w:val="0092050F"/>
    <w:rsid w:val="00925A76"/>
    <w:rsid w:val="00936EEA"/>
    <w:rsid w:val="009371FE"/>
    <w:rsid w:val="00937CFC"/>
    <w:rsid w:val="00942067"/>
    <w:rsid w:val="00964912"/>
    <w:rsid w:val="009719DB"/>
    <w:rsid w:val="00972C3A"/>
    <w:rsid w:val="00981050"/>
    <w:rsid w:val="009A582B"/>
    <w:rsid w:val="009C6814"/>
    <w:rsid w:val="009F084A"/>
    <w:rsid w:val="009F622D"/>
    <w:rsid w:val="00A023C3"/>
    <w:rsid w:val="00A03111"/>
    <w:rsid w:val="00A03458"/>
    <w:rsid w:val="00A22B89"/>
    <w:rsid w:val="00A3147B"/>
    <w:rsid w:val="00A51BDF"/>
    <w:rsid w:val="00A71E7D"/>
    <w:rsid w:val="00A75547"/>
    <w:rsid w:val="00A85644"/>
    <w:rsid w:val="00A936E5"/>
    <w:rsid w:val="00AD1C8A"/>
    <w:rsid w:val="00AD6341"/>
    <w:rsid w:val="00AE17C3"/>
    <w:rsid w:val="00AE55B5"/>
    <w:rsid w:val="00B0399A"/>
    <w:rsid w:val="00B243A3"/>
    <w:rsid w:val="00B26A29"/>
    <w:rsid w:val="00B32204"/>
    <w:rsid w:val="00B53814"/>
    <w:rsid w:val="00B6044B"/>
    <w:rsid w:val="00B82EE9"/>
    <w:rsid w:val="00B84045"/>
    <w:rsid w:val="00C1170F"/>
    <w:rsid w:val="00C22F4A"/>
    <w:rsid w:val="00C239E4"/>
    <w:rsid w:val="00C41524"/>
    <w:rsid w:val="00C4270B"/>
    <w:rsid w:val="00C53C55"/>
    <w:rsid w:val="00C53F7F"/>
    <w:rsid w:val="00CA47A3"/>
    <w:rsid w:val="00CA5E49"/>
    <w:rsid w:val="00CC7364"/>
    <w:rsid w:val="00CE7C48"/>
    <w:rsid w:val="00CF0C95"/>
    <w:rsid w:val="00CF3276"/>
    <w:rsid w:val="00D1658D"/>
    <w:rsid w:val="00D2781B"/>
    <w:rsid w:val="00D85A72"/>
    <w:rsid w:val="00D879A8"/>
    <w:rsid w:val="00DA1CB7"/>
    <w:rsid w:val="00DA348A"/>
    <w:rsid w:val="00DB5726"/>
    <w:rsid w:val="00DD360A"/>
    <w:rsid w:val="00DF4F1D"/>
    <w:rsid w:val="00E22D16"/>
    <w:rsid w:val="00E2440D"/>
    <w:rsid w:val="00E336FA"/>
    <w:rsid w:val="00E52A56"/>
    <w:rsid w:val="00E52BCF"/>
    <w:rsid w:val="00E5623B"/>
    <w:rsid w:val="00E56561"/>
    <w:rsid w:val="00E60EAC"/>
    <w:rsid w:val="00E658E1"/>
    <w:rsid w:val="00E7008C"/>
    <w:rsid w:val="00E73474"/>
    <w:rsid w:val="00E96C1E"/>
    <w:rsid w:val="00EA4D82"/>
    <w:rsid w:val="00EA4EAB"/>
    <w:rsid w:val="00EB6A2B"/>
    <w:rsid w:val="00EC172B"/>
    <w:rsid w:val="00EC1A4C"/>
    <w:rsid w:val="00F11301"/>
    <w:rsid w:val="00F11422"/>
    <w:rsid w:val="00F23813"/>
    <w:rsid w:val="00F625EB"/>
    <w:rsid w:val="00F65F85"/>
    <w:rsid w:val="00F7323D"/>
    <w:rsid w:val="00FA3DDD"/>
    <w:rsid w:val="00FA3E24"/>
    <w:rsid w:val="00FB1FDA"/>
    <w:rsid w:val="00FB3C35"/>
    <w:rsid w:val="00FD6B83"/>
    <w:rsid w:val="00FF3F90"/>
    <w:rsid w:val="00FF6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3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AE17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57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39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7C3"/>
    <w:rPr>
      <w:rFonts w:asciiTheme="majorHAnsi" w:eastAsiaTheme="majorEastAsia" w:hAnsiTheme="majorHAnsi" w:cstheme="majorBidi"/>
      <w:b/>
      <w:bCs/>
      <w:color w:val="365F91" w:themeColor="accent1" w:themeShade="BF"/>
      <w:sz w:val="28"/>
      <w:szCs w:val="28"/>
      <w:lang w:val="en-AU"/>
    </w:rPr>
  </w:style>
  <w:style w:type="paragraph" w:customStyle="1" w:styleId="Tablebullets">
    <w:name w:val="Table bullets"/>
    <w:basedOn w:val="Normal"/>
    <w:link w:val="TablebulletsChar"/>
    <w:uiPriority w:val="2"/>
    <w:qFormat/>
    <w:rsid w:val="00AE17C3"/>
    <w:pPr>
      <w:numPr>
        <w:numId w:val="1"/>
      </w:numPr>
      <w:spacing w:after="0" w:line="240" w:lineRule="auto"/>
    </w:pPr>
    <w:rPr>
      <w:rFonts w:asciiTheme="majorHAnsi" w:eastAsiaTheme="minorEastAsia" w:hAnsiTheme="majorHAnsi" w:cs="Arial"/>
      <w:bCs/>
      <w:sz w:val="20"/>
      <w:lang w:val="en-US" w:eastAsia="en-AU"/>
    </w:rPr>
  </w:style>
  <w:style w:type="character" w:customStyle="1" w:styleId="TablebulletsChar">
    <w:name w:val="Table bullets Char"/>
    <w:basedOn w:val="DefaultParagraphFont"/>
    <w:link w:val="Tablebullets"/>
    <w:uiPriority w:val="2"/>
    <w:locked/>
    <w:rsid w:val="00AE17C3"/>
    <w:rPr>
      <w:rFonts w:asciiTheme="majorHAnsi" w:eastAsiaTheme="minorEastAsia" w:hAnsiTheme="majorHAnsi" w:cs="Arial"/>
      <w:bCs/>
      <w:sz w:val="20"/>
      <w:lang w:eastAsia="en-AU"/>
    </w:rPr>
  </w:style>
  <w:style w:type="character" w:customStyle="1" w:styleId="Heading2Char">
    <w:name w:val="Heading 2 Char"/>
    <w:basedOn w:val="DefaultParagraphFont"/>
    <w:link w:val="Heading2"/>
    <w:uiPriority w:val="9"/>
    <w:rsid w:val="00DB5726"/>
    <w:rPr>
      <w:rFonts w:asciiTheme="majorHAnsi" w:eastAsiaTheme="majorEastAsia" w:hAnsiTheme="majorHAnsi" w:cstheme="majorBidi"/>
      <w:b/>
      <w:bCs/>
      <w:color w:val="4F81BD" w:themeColor="accent1"/>
      <w:sz w:val="26"/>
      <w:szCs w:val="26"/>
      <w:lang w:val="en-AU"/>
    </w:rPr>
  </w:style>
  <w:style w:type="paragraph" w:styleId="ListParagraph">
    <w:name w:val="List Paragraph"/>
    <w:basedOn w:val="Normal"/>
    <w:link w:val="ListParagraphChar"/>
    <w:uiPriority w:val="34"/>
    <w:qFormat/>
    <w:rsid w:val="00DB5726"/>
    <w:pPr>
      <w:ind w:left="720"/>
      <w:contextualSpacing/>
    </w:pPr>
  </w:style>
  <w:style w:type="paragraph" w:styleId="FootnoteText">
    <w:name w:val="footnote text"/>
    <w:basedOn w:val="Normal"/>
    <w:link w:val="FootnoteTextChar"/>
    <w:rsid w:val="00DB5726"/>
    <w:pPr>
      <w:spacing w:before="240" w:after="240" w:line="264" w:lineRule="auto"/>
    </w:pPr>
    <w:rPr>
      <w:rFonts w:asciiTheme="majorHAnsi" w:eastAsiaTheme="minorEastAsia" w:hAnsiTheme="majorHAnsi" w:cs="Times New Roman"/>
      <w:sz w:val="20"/>
      <w:szCs w:val="20"/>
      <w:lang w:val="en-US"/>
    </w:rPr>
  </w:style>
  <w:style w:type="character" w:customStyle="1" w:styleId="FootnoteTextChar">
    <w:name w:val="Footnote Text Char"/>
    <w:basedOn w:val="DefaultParagraphFont"/>
    <w:link w:val="FootnoteText"/>
    <w:uiPriority w:val="99"/>
    <w:rsid w:val="00DB5726"/>
    <w:rPr>
      <w:rFonts w:asciiTheme="majorHAnsi" w:eastAsiaTheme="minorEastAsia" w:hAnsiTheme="majorHAnsi" w:cs="Times New Roman"/>
      <w:sz w:val="20"/>
      <w:szCs w:val="20"/>
    </w:rPr>
  </w:style>
  <w:style w:type="character" w:styleId="FootnoteReference">
    <w:name w:val="footnote reference"/>
    <w:rsid w:val="00DB5726"/>
    <w:rPr>
      <w:vertAlign w:val="superscript"/>
    </w:rPr>
  </w:style>
  <w:style w:type="character" w:customStyle="1" w:styleId="ListParagraphChar">
    <w:name w:val="List Paragraph Char"/>
    <w:basedOn w:val="DefaultParagraphFont"/>
    <w:link w:val="ListParagraph"/>
    <w:uiPriority w:val="34"/>
    <w:locked/>
    <w:rsid w:val="00DB5726"/>
    <w:rPr>
      <w:lang w:val="en-AU"/>
    </w:rPr>
  </w:style>
  <w:style w:type="character" w:styleId="Strong">
    <w:name w:val="Strong"/>
    <w:basedOn w:val="DefaultParagraphFont"/>
    <w:uiPriority w:val="99"/>
    <w:qFormat/>
    <w:rsid w:val="00DB5726"/>
    <w:rPr>
      <w:b/>
      <w:bCs/>
    </w:rPr>
  </w:style>
  <w:style w:type="paragraph" w:styleId="Subtitle">
    <w:name w:val="Subtitle"/>
    <w:basedOn w:val="Normal"/>
    <w:next w:val="Normal"/>
    <w:link w:val="SubtitleChar"/>
    <w:qFormat/>
    <w:rsid w:val="00DB5726"/>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DB5726"/>
    <w:rPr>
      <w:rFonts w:asciiTheme="majorHAnsi" w:eastAsiaTheme="majorEastAsia" w:hAnsiTheme="majorHAnsi" w:cstheme="majorBidi"/>
      <w:i/>
      <w:iCs/>
      <w:color w:val="4F81BD" w:themeColor="accent1"/>
      <w:spacing w:val="15"/>
      <w:sz w:val="24"/>
      <w:szCs w:val="24"/>
      <w:lang w:val="en-AU"/>
    </w:rPr>
  </w:style>
  <w:style w:type="paragraph" w:styleId="BalloonText">
    <w:name w:val="Balloon Text"/>
    <w:basedOn w:val="Normal"/>
    <w:link w:val="BalloonTextChar"/>
    <w:uiPriority w:val="99"/>
    <w:semiHidden/>
    <w:unhideWhenUsed/>
    <w:rsid w:val="008D6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67B"/>
    <w:rPr>
      <w:rFonts w:ascii="Tahoma" w:hAnsi="Tahoma" w:cs="Tahoma"/>
      <w:sz w:val="16"/>
      <w:szCs w:val="16"/>
      <w:lang w:val="en-AU"/>
    </w:rPr>
  </w:style>
  <w:style w:type="character" w:customStyle="1" w:styleId="SoSMajorHeadChar">
    <w:name w:val="SoS Major Head Char"/>
    <w:basedOn w:val="DefaultParagraphFont"/>
    <w:locked/>
    <w:rsid w:val="00B84045"/>
    <w:rPr>
      <w:b/>
      <w:sz w:val="24"/>
      <w:szCs w:val="22"/>
      <w:lang w:val="en-AU" w:eastAsia="en-US" w:bidi="ar-SA"/>
    </w:rPr>
  </w:style>
  <w:style w:type="paragraph" w:customStyle="1" w:styleId="List-bullet-2">
    <w:name w:val="List-bullet-2"/>
    <w:basedOn w:val="Normal"/>
    <w:link w:val="List-bullet-2Char"/>
    <w:rsid w:val="00B84045"/>
    <w:pPr>
      <w:numPr>
        <w:numId w:val="4"/>
      </w:numPr>
      <w:spacing w:before="80" w:after="0" w:line="240" w:lineRule="auto"/>
    </w:pPr>
    <w:rPr>
      <w:rFonts w:ascii="Arial" w:eastAsia="Times New Roman" w:hAnsi="Arial" w:cs="Arial"/>
      <w:sz w:val="20"/>
      <w:lang w:val="en-US"/>
    </w:rPr>
  </w:style>
  <w:style w:type="character" w:customStyle="1" w:styleId="List-bullet-2Char">
    <w:name w:val="List-bullet-2 Char"/>
    <w:basedOn w:val="DefaultParagraphFont"/>
    <w:link w:val="List-bullet-2"/>
    <w:rsid w:val="00B84045"/>
    <w:rPr>
      <w:rFonts w:ascii="Arial" w:eastAsia="Times New Roman" w:hAnsi="Arial" w:cs="Arial"/>
      <w:sz w:val="20"/>
    </w:rPr>
  </w:style>
  <w:style w:type="character" w:styleId="Emphasis">
    <w:name w:val="Emphasis"/>
    <w:basedOn w:val="DefaultParagraphFont"/>
    <w:uiPriority w:val="99"/>
    <w:qFormat/>
    <w:rsid w:val="00DA1CB7"/>
    <w:rPr>
      <w:i/>
      <w:iCs/>
    </w:rPr>
  </w:style>
  <w:style w:type="table" w:styleId="TableGrid">
    <w:name w:val="Table Grid"/>
    <w:basedOn w:val="TableNormal"/>
    <w:uiPriority w:val="39"/>
    <w:rsid w:val="00D1658D"/>
    <w:pPr>
      <w:spacing w:after="0" w:line="240" w:lineRule="auto"/>
      <w:jc w:val="both"/>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normal">
    <w:name w:val="Bullet 1 (normal)"/>
    <w:basedOn w:val="ListParagraph"/>
    <w:link w:val="Bullet1normalChar"/>
    <w:uiPriority w:val="1"/>
    <w:qFormat/>
    <w:rsid w:val="00830EAC"/>
    <w:pPr>
      <w:numPr>
        <w:numId w:val="17"/>
      </w:numPr>
      <w:spacing w:before="120" w:after="120" w:line="264" w:lineRule="auto"/>
      <w:contextualSpacing w:val="0"/>
    </w:pPr>
    <w:rPr>
      <w:rFonts w:asciiTheme="majorHAnsi" w:eastAsiaTheme="minorEastAsia" w:hAnsiTheme="majorHAnsi" w:cs="Times New Roman"/>
      <w:szCs w:val="24"/>
    </w:rPr>
  </w:style>
  <w:style w:type="character" w:customStyle="1" w:styleId="Bullet1normalChar">
    <w:name w:val="Bullet 1 (normal) Char"/>
    <w:basedOn w:val="ListParagraphChar"/>
    <w:link w:val="Bullet1normal"/>
    <w:uiPriority w:val="1"/>
    <w:rsid w:val="00830EAC"/>
    <w:rPr>
      <w:rFonts w:asciiTheme="majorHAnsi" w:eastAsiaTheme="minorEastAsia" w:hAnsiTheme="majorHAnsi" w:cs="Times New Roman"/>
      <w:szCs w:val="24"/>
      <w:lang w:val="en-AU"/>
    </w:rPr>
  </w:style>
  <w:style w:type="paragraph" w:customStyle="1" w:styleId="Bullets">
    <w:name w:val="Bullets"/>
    <w:basedOn w:val="BodyText"/>
    <w:qFormat/>
    <w:rsid w:val="003A47C8"/>
    <w:pPr>
      <w:numPr>
        <w:numId w:val="28"/>
      </w:numPr>
      <w:tabs>
        <w:tab w:val="clear" w:pos="284"/>
      </w:tabs>
      <w:spacing w:before="100" w:after="0" w:line="240" w:lineRule="auto"/>
      <w:ind w:left="720" w:hanging="360"/>
      <w:jc w:val="both"/>
    </w:pPr>
    <w:rPr>
      <w:rFonts w:ascii="Calibri" w:eastAsia="Times New Roman" w:hAnsi="Calibri" w:cs="Angsana New"/>
      <w:sz w:val="20"/>
      <w:lang w:eastAsia="en-GB" w:bidi="th-TH"/>
    </w:rPr>
  </w:style>
  <w:style w:type="paragraph" w:styleId="BodyText">
    <w:name w:val="Body Text"/>
    <w:basedOn w:val="Normal"/>
    <w:link w:val="BodyTextChar"/>
    <w:uiPriority w:val="99"/>
    <w:semiHidden/>
    <w:unhideWhenUsed/>
    <w:rsid w:val="003A47C8"/>
    <w:pPr>
      <w:spacing w:after="120"/>
    </w:pPr>
  </w:style>
  <w:style w:type="character" w:customStyle="1" w:styleId="BodyTextChar">
    <w:name w:val="Body Text Char"/>
    <w:basedOn w:val="DefaultParagraphFont"/>
    <w:link w:val="BodyText"/>
    <w:uiPriority w:val="99"/>
    <w:semiHidden/>
    <w:rsid w:val="003A47C8"/>
    <w:rPr>
      <w:lang w:val="en-AU"/>
    </w:rPr>
  </w:style>
  <w:style w:type="paragraph" w:customStyle="1" w:styleId="Textbox9pt">
    <w:name w:val="Text box 9pt"/>
    <w:basedOn w:val="BodyText"/>
    <w:qFormat/>
    <w:rsid w:val="00060B34"/>
    <w:pPr>
      <w:spacing w:before="60" w:after="0" w:line="240" w:lineRule="auto"/>
      <w:jc w:val="both"/>
    </w:pPr>
    <w:rPr>
      <w:rFonts w:ascii="Calibri" w:eastAsia="Cambria" w:hAnsi="Calibri" w:cs="Times New Roman"/>
      <w:sz w:val="18"/>
    </w:rPr>
  </w:style>
  <w:style w:type="paragraph" w:customStyle="1" w:styleId="List-number-2">
    <w:name w:val="List-number-2"/>
    <w:basedOn w:val="Normal"/>
    <w:rsid w:val="001B756D"/>
    <w:pPr>
      <w:numPr>
        <w:ilvl w:val="1"/>
        <w:numId w:val="34"/>
      </w:numPr>
      <w:spacing w:before="120" w:after="240" w:line="264" w:lineRule="auto"/>
    </w:pPr>
    <w:rPr>
      <w:rFonts w:ascii="Arial" w:eastAsiaTheme="minorEastAsia" w:hAnsi="Arial" w:cs="Times New Roman"/>
      <w:sz w:val="20"/>
    </w:rPr>
  </w:style>
  <w:style w:type="paragraph" w:customStyle="1" w:styleId="List-number-1">
    <w:name w:val="List-number-1"/>
    <w:basedOn w:val="Normal"/>
    <w:rsid w:val="001B756D"/>
    <w:pPr>
      <w:numPr>
        <w:numId w:val="34"/>
      </w:numPr>
      <w:spacing w:before="120" w:after="240" w:line="264" w:lineRule="auto"/>
    </w:pPr>
    <w:rPr>
      <w:rFonts w:ascii="Arial" w:eastAsiaTheme="minorEastAsia" w:hAnsi="Arial" w:cs="Times New Roman"/>
      <w:sz w:val="20"/>
    </w:rPr>
  </w:style>
  <w:style w:type="paragraph" w:styleId="Header">
    <w:name w:val="header"/>
    <w:basedOn w:val="Normal"/>
    <w:link w:val="HeaderChar"/>
    <w:uiPriority w:val="99"/>
    <w:unhideWhenUsed/>
    <w:rsid w:val="007A4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8C5"/>
    <w:rPr>
      <w:lang w:val="en-AU"/>
    </w:rPr>
  </w:style>
  <w:style w:type="paragraph" w:styleId="Footer">
    <w:name w:val="footer"/>
    <w:basedOn w:val="Normal"/>
    <w:link w:val="FooterChar"/>
    <w:uiPriority w:val="99"/>
    <w:unhideWhenUsed/>
    <w:rsid w:val="007A4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8C5"/>
    <w:rPr>
      <w:lang w:val="en-AU"/>
    </w:rPr>
  </w:style>
  <w:style w:type="paragraph" w:styleId="TOCHeading">
    <w:name w:val="TOC Heading"/>
    <w:basedOn w:val="Heading1"/>
    <w:next w:val="Normal"/>
    <w:uiPriority w:val="39"/>
    <w:semiHidden/>
    <w:unhideWhenUsed/>
    <w:qFormat/>
    <w:rsid w:val="007A48C5"/>
    <w:pPr>
      <w:outlineLvl w:val="9"/>
    </w:pPr>
    <w:rPr>
      <w:lang w:val="en-US" w:eastAsia="ja-JP"/>
    </w:rPr>
  </w:style>
  <w:style w:type="paragraph" w:styleId="TOC1">
    <w:name w:val="toc 1"/>
    <w:basedOn w:val="Normal"/>
    <w:next w:val="Normal"/>
    <w:autoRedefine/>
    <w:uiPriority w:val="39"/>
    <w:unhideWhenUsed/>
    <w:rsid w:val="007A48C5"/>
    <w:pPr>
      <w:spacing w:after="100"/>
    </w:pPr>
  </w:style>
  <w:style w:type="character" w:styleId="Hyperlink">
    <w:name w:val="Hyperlink"/>
    <w:basedOn w:val="DefaultParagraphFont"/>
    <w:uiPriority w:val="99"/>
    <w:unhideWhenUsed/>
    <w:rsid w:val="007A48C5"/>
    <w:rPr>
      <w:color w:val="0000FF" w:themeColor="hyperlink"/>
      <w:u w:val="single"/>
    </w:rPr>
  </w:style>
  <w:style w:type="character" w:customStyle="1" w:styleId="Heading3Char">
    <w:name w:val="Heading 3 Char"/>
    <w:basedOn w:val="DefaultParagraphFont"/>
    <w:link w:val="Heading3"/>
    <w:uiPriority w:val="9"/>
    <w:rsid w:val="00B0399A"/>
    <w:rPr>
      <w:rFonts w:asciiTheme="majorHAnsi" w:eastAsiaTheme="majorEastAsia" w:hAnsiTheme="majorHAnsi" w:cstheme="majorBidi"/>
      <w:b/>
      <w:bCs/>
      <w:color w:val="4F81BD" w:themeColor="accent1"/>
      <w:lang w:val="en-AU"/>
    </w:rPr>
  </w:style>
  <w:style w:type="paragraph" w:styleId="TOC2">
    <w:name w:val="toc 2"/>
    <w:basedOn w:val="Normal"/>
    <w:next w:val="Normal"/>
    <w:autoRedefine/>
    <w:uiPriority w:val="39"/>
    <w:unhideWhenUsed/>
    <w:rsid w:val="00E56561"/>
    <w:pPr>
      <w:spacing w:after="100"/>
      <w:ind w:left="220"/>
    </w:pPr>
  </w:style>
  <w:style w:type="paragraph" w:styleId="TOC3">
    <w:name w:val="toc 3"/>
    <w:basedOn w:val="Normal"/>
    <w:next w:val="Normal"/>
    <w:autoRedefine/>
    <w:uiPriority w:val="39"/>
    <w:unhideWhenUsed/>
    <w:rsid w:val="00E56561"/>
    <w:pPr>
      <w:spacing w:after="100"/>
      <w:ind w:left="440"/>
    </w:pPr>
  </w:style>
  <w:style w:type="paragraph" w:customStyle="1" w:styleId="Default">
    <w:name w:val="Default"/>
    <w:rsid w:val="004F18C0"/>
    <w:pPr>
      <w:autoSpaceDE w:val="0"/>
      <w:autoSpaceDN w:val="0"/>
      <w:adjustRightInd w:val="0"/>
      <w:spacing w:after="0" w:line="240" w:lineRule="auto"/>
    </w:pPr>
    <w:rPr>
      <w:rFonts w:ascii="Arial" w:hAnsi="Arial" w:cs="Arial"/>
      <w:color w:val="000000"/>
      <w:sz w:val="24"/>
      <w:szCs w:val="24"/>
      <w:lang w:val="en-AU"/>
    </w:rPr>
  </w:style>
  <w:style w:type="paragraph" w:styleId="NormalWeb">
    <w:name w:val="Normal (Web)"/>
    <w:basedOn w:val="Normal"/>
    <w:uiPriority w:val="99"/>
    <w:semiHidden/>
    <w:unhideWhenUsed/>
    <w:rsid w:val="003F7EDB"/>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CommentReference">
    <w:name w:val="annotation reference"/>
    <w:basedOn w:val="DefaultParagraphFont"/>
    <w:uiPriority w:val="99"/>
    <w:semiHidden/>
    <w:unhideWhenUsed/>
    <w:rsid w:val="005C6CAF"/>
    <w:rPr>
      <w:sz w:val="16"/>
      <w:szCs w:val="16"/>
    </w:rPr>
  </w:style>
  <w:style w:type="paragraph" w:styleId="CommentText">
    <w:name w:val="annotation text"/>
    <w:basedOn w:val="Normal"/>
    <w:link w:val="CommentTextChar"/>
    <w:uiPriority w:val="99"/>
    <w:semiHidden/>
    <w:unhideWhenUsed/>
    <w:rsid w:val="005C6CAF"/>
    <w:pPr>
      <w:spacing w:line="240" w:lineRule="auto"/>
    </w:pPr>
    <w:rPr>
      <w:sz w:val="20"/>
      <w:szCs w:val="20"/>
    </w:rPr>
  </w:style>
  <w:style w:type="character" w:customStyle="1" w:styleId="CommentTextChar">
    <w:name w:val="Comment Text Char"/>
    <w:basedOn w:val="DefaultParagraphFont"/>
    <w:link w:val="CommentText"/>
    <w:uiPriority w:val="99"/>
    <w:semiHidden/>
    <w:rsid w:val="005C6CAF"/>
    <w:rPr>
      <w:sz w:val="20"/>
      <w:szCs w:val="20"/>
      <w:lang w:val="en-AU"/>
    </w:rPr>
  </w:style>
  <w:style w:type="paragraph" w:styleId="CommentSubject">
    <w:name w:val="annotation subject"/>
    <w:basedOn w:val="CommentText"/>
    <w:next w:val="CommentText"/>
    <w:link w:val="CommentSubjectChar"/>
    <w:uiPriority w:val="99"/>
    <w:semiHidden/>
    <w:unhideWhenUsed/>
    <w:rsid w:val="005C6CAF"/>
    <w:rPr>
      <w:b/>
      <w:bCs/>
    </w:rPr>
  </w:style>
  <w:style w:type="character" w:customStyle="1" w:styleId="CommentSubjectChar">
    <w:name w:val="Comment Subject Char"/>
    <w:basedOn w:val="CommentTextChar"/>
    <w:link w:val="CommentSubject"/>
    <w:uiPriority w:val="99"/>
    <w:semiHidden/>
    <w:rsid w:val="005C6CAF"/>
    <w:rPr>
      <w:b/>
      <w:bCs/>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AE17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57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39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7C3"/>
    <w:rPr>
      <w:rFonts w:asciiTheme="majorHAnsi" w:eastAsiaTheme="majorEastAsia" w:hAnsiTheme="majorHAnsi" w:cstheme="majorBidi"/>
      <w:b/>
      <w:bCs/>
      <w:color w:val="365F91" w:themeColor="accent1" w:themeShade="BF"/>
      <w:sz w:val="28"/>
      <w:szCs w:val="28"/>
      <w:lang w:val="en-AU"/>
    </w:rPr>
  </w:style>
  <w:style w:type="paragraph" w:customStyle="1" w:styleId="Tablebullets">
    <w:name w:val="Table bullets"/>
    <w:basedOn w:val="Normal"/>
    <w:link w:val="TablebulletsChar"/>
    <w:uiPriority w:val="2"/>
    <w:qFormat/>
    <w:rsid w:val="00AE17C3"/>
    <w:pPr>
      <w:numPr>
        <w:numId w:val="1"/>
      </w:numPr>
      <w:spacing w:after="0" w:line="240" w:lineRule="auto"/>
    </w:pPr>
    <w:rPr>
      <w:rFonts w:asciiTheme="majorHAnsi" w:eastAsiaTheme="minorEastAsia" w:hAnsiTheme="majorHAnsi" w:cs="Arial"/>
      <w:bCs/>
      <w:sz w:val="20"/>
      <w:lang w:val="en-US" w:eastAsia="en-AU"/>
    </w:rPr>
  </w:style>
  <w:style w:type="character" w:customStyle="1" w:styleId="TablebulletsChar">
    <w:name w:val="Table bullets Char"/>
    <w:basedOn w:val="DefaultParagraphFont"/>
    <w:link w:val="Tablebullets"/>
    <w:uiPriority w:val="2"/>
    <w:locked/>
    <w:rsid w:val="00AE17C3"/>
    <w:rPr>
      <w:rFonts w:asciiTheme="majorHAnsi" w:eastAsiaTheme="minorEastAsia" w:hAnsiTheme="majorHAnsi" w:cs="Arial"/>
      <w:bCs/>
      <w:sz w:val="20"/>
      <w:lang w:eastAsia="en-AU"/>
    </w:rPr>
  </w:style>
  <w:style w:type="character" w:customStyle="1" w:styleId="Heading2Char">
    <w:name w:val="Heading 2 Char"/>
    <w:basedOn w:val="DefaultParagraphFont"/>
    <w:link w:val="Heading2"/>
    <w:uiPriority w:val="9"/>
    <w:rsid w:val="00DB5726"/>
    <w:rPr>
      <w:rFonts w:asciiTheme="majorHAnsi" w:eastAsiaTheme="majorEastAsia" w:hAnsiTheme="majorHAnsi" w:cstheme="majorBidi"/>
      <w:b/>
      <w:bCs/>
      <w:color w:val="4F81BD" w:themeColor="accent1"/>
      <w:sz w:val="26"/>
      <w:szCs w:val="26"/>
      <w:lang w:val="en-AU"/>
    </w:rPr>
  </w:style>
  <w:style w:type="paragraph" w:styleId="ListParagraph">
    <w:name w:val="List Paragraph"/>
    <w:basedOn w:val="Normal"/>
    <w:link w:val="ListParagraphChar"/>
    <w:uiPriority w:val="34"/>
    <w:qFormat/>
    <w:rsid w:val="00DB5726"/>
    <w:pPr>
      <w:ind w:left="720"/>
      <w:contextualSpacing/>
    </w:pPr>
  </w:style>
  <w:style w:type="paragraph" w:styleId="FootnoteText">
    <w:name w:val="footnote text"/>
    <w:basedOn w:val="Normal"/>
    <w:link w:val="FootnoteTextChar"/>
    <w:rsid w:val="00DB5726"/>
    <w:pPr>
      <w:spacing w:before="240" w:after="240" w:line="264" w:lineRule="auto"/>
    </w:pPr>
    <w:rPr>
      <w:rFonts w:asciiTheme="majorHAnsi" w:eastAsiaTheme="minorEastAsia" w:hAnsiTheme="majorHAnsi" w:cs="Times New Roman"/>
      <w:sz w:val="20"/>
      <w:szCs w:val="20"/>
      <w:lang w:val="en-US"/>
    </w:rPr>
  </w:style>
  <w:style w:type="character" w:customStyle="1" w:styleId="FootnoteTextChar">
    <w:name w:val="Footnote Text Char"/>
    <w:basedOn w:val="DefaultParagraphFont"/>
    <w:link w:val="FootnoteText"/>
    <w:uiPriority w:val="99"/>
    <w:rsid w:val="00DB5726"/>
    <w:rPr>
      <w:rFonts w:asciiTheme="majorHAnsi" w:eastAsiaTheme="minorEastAsia" w:hAnsiTheme="majorHAnsi" w:cs="Times New Roman"/>
      <w:sz w:val="20"/>
      <w:szCs w:val="20"/>
    </w:rPr>
  </w:style>
  <w:style w:type="character" w:styleId="FootnoteReference">
    <w:name w:val="footnote reference"/>
    <w:rsid w:val="00DB5726"/>
    <w:rPr>
      <w:vertAlign w:val="superscript"/>
    </w:rPr>
  </w:style>
  <w:style w:type="character" w:customStyle="1" w:styleId="ListParagraphChar">
    <w:name w:val="List Paragraph Char"/>
    <w:basedOn w:val="DefaultParagraphFont"/>
    <w:link w:val="ListParagraph"/>
    <w:uiPriority w:val="34"/>
    <w:locked/>
    <w:rsid w:val="00DB5726"/>
    <w:rPr>
      <w:lang w:val="en-AU"/>
    </w:rPr>
  </w:style>
  <w:style w:type="character" w:styleId="Strong">
    <w:name w:val="Strong"/>
    <w:basedOn w:val="DefaultParagraphFont"/>
    <w:uiPriority w:val="99"/>
    <w:qFormat/>
    <w:rsid w:val="00DB5726"/>
    <w:rPr>
      <w:b/>
      <w:bCs/>
    </w:rPr>
  </w:style>
  <w:style w:type="paragraph" w:styleId="Subtitle">
    <w:name w:val="Subtitle"/>
    <w:basedOn w:val="Normal"/>
    <w:next w:val="Normal"/>
    <w:link w:val="SubtitleChar"/>
    <w:qFormat/>
    <w:rsid w:val="00DB5726"/>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DB5726"/>
    <w:rPr>
      <w:rFonts w:asciiTheme="majorHAnsi" w:eastAsiaTheme="majorEastAsia" w:hAnsiTheme="majorHAnsi" w:cstheme="majorBidi"/>
      <w:i/>
      <w:iCs/>
      <w:color w:val="4F81BD" w:themeColor="accent1"/>
      <w:spacing w:val="15"/>
      <w:sz w:val="24"/>
      <w:szCs w:val="24"/>
      <w:lang w:val="en-AU"/>
    </w:rPr>
  </w:style>
  <w:style w:type="paragraph" w:styleId="BalloonText">
    <w:name w:val="Balloon Text"/>
    <w:basedOn w:val="Normal"/>
    <w:link w:val="BalloonTextChar"/>
    <w:uiPriority w:val="99"/>
    <w:semiHidden/>
    <w:unhideWhenUsed/>
    <w:rsid w:val="008D6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67B"/>
    <w:rPr>
      <w:rFonts w:ascii="Tahoma" w:hAnsi="Tahoma" w:cs="Tahoma"/>
      <w:sz w:val="16"/>
      <w:szCs w:val="16"/>
      <w:lang w:val="en-AU"/>
    </w:rPr>
  </w:style>
  <w:style w:type="character" w:customStyle="1" w:styleId="SoSMajorHeadChar">
    <w:name w:val="SoS Major Head Char"/>
    <w:basedOn w:val="DefaultParagraphFont"/>
    <w:locked/>
    <w:rsid w:val="00B84045"/>
    <w:rPr>
      <w:b/>
      <w:sz w:val="24"/>
      <w:szCs w:val="22"/>
      <w:lang w:val="en-AU" w:eastAsia="en-US" w:bidi="ar-SA"/>
    </w:rPr>
  </w:style>
  <w:style w:type="paragraph" w:customStyle="1" w:styleId="List-bullet-2">
    <w:name w:val="List-bullet-2"/>
    <w:basedOn w:val="Normal"/>
    <w:link w:val="List-bullet-2Char"/>
    <w:rsid w:val="00B84045"/>
    <w:pPr>
      <w:numPr>
        <w:numId w:val="4"/>
      </w:numPr>
      <w:spacing w:before="80" w:after="0" w:line="240" w:lineRule="auto"/>
    </w:pPr>
    <w:rPr>
      <w:rFonts w:ascii="Arial" w:eastAsia="Times New Roman" w:hAnsi="Arial" w:cs="Arial"/>
      <w:sz w:val="20"/>
      <w:lang w:val="en-US"/>
    </w:rPr>
  </w:style>
  <w:style w:type="character" w:customStyle="1" w:styleId="List-bullet-2Char">
    <w:name w:val="List-bullet-2 Char"/>
    <w:basedOn w:val="DefaultParagraphFont"/>
    <w:link w:val="List-bullet-2"/>
    <w:rsid w:val="00B84045"/>
    <w:rPr>
      <w:rFonts w:ascii="Arial" w:eastAsia="Times New Roman" w:hAnsi="Arial" w:cs="Arial"/>
      <w:sz w:val="20"/>
    </w:rPr>
  </w:style>
  <w:style w:type="character" w:styleId="Emphasis">
    <w:name w:val="Emphasis"/>
    <w:basedOn w:val="DefaultParagraphFont"/>
    <w:uiPriority w:val="99"/>
    <w:qFormat/>
    <w:rsid w:val="00DA1CB7"/>
    <w:rPr>
      <w:i/>
      <w:iCs/>
    </w:rPr>
  </w:style>
  <w:style w:type="table" w:styleId="TableGrid">
    <w:name w:val="Table Grid"/>
    <w:basedOn w:val="TableNormal"/>
    <w:uiPriority w:val="39"/>
    <w:rsid w:val="00D1658D"/>
    <w:pPr>
      <w:spacing w:after="0" w:line="240" w:lineRule="auto"/>
      <w:jc w:val="both"/>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normal">
    <w:name w:val="Bullet 1 (normal)"/>
    <w:basedOn w:val="ListParagraph"/>
    <w:link w:val="Bullet1normalChar"/>
    <w:uiPriority w:val="1"/>
    <w:qFormat/>
    <w:rsid w:val="00830EAC"/>
    <w:pPr>
      <w:numPr>
        <w:numId w:val="17"/>
      </w:numPr>
      <w:spacing w:before="120" w:after="120" w:line="264" w:lineRule="auto"/>
      <w:contextualSpacing w:val="0"/>
    </w:pPr>
    <w:rPr>
      <w:rFonts w:asciiTheme="majorHAnsi" w:eastAsiaTheme="minorEastAsia" w:hAnsiTheme="majorHAnsi" w:cs="Times New Roman"/>
      <w:szCs w:val="24"/>
    </w:rPr>
  </w:style>
  <w:style w:type="character" w:customStyle="1" w:styleId="Bullet1normalChar">
    <w:name w:val="Bullet 1 (normal) Char"/>
    <w:basedOn w:val="ListParagraphChar"/>
    <w:link w:val="Bullet1normal"/>
    <w:uiPriority w:val="1"/>
    <w:rsid w:val="00830EAC"/>
    <w:rPr>
      <w:rFonts w:asciiTheme="majorHAnsi" w:eastAsiaTheme="minorEastAsia" w:hAnsiTheme="majorHAnsi" w:cs="Times New Roman"/>
      <w:szCs w:val="24"/>
      <w:lang w:val="en-AU"/>
    </w:rPr>
  </w:style>
  <w:style w:type="paragraph" w:customStyle="1" w:styleId="Bullets">
    <w:name w:val="Bullets"/>
    <w:basedOn w:val="BodyText"/>
    <w:qFormat/>
    <w:rsid w:val="003A47C8"/>
    <w:pPr>
      <w:numPr>
        <w:numId w:val="28"/>
      </w:numPr>
      <w:tabs>
        <w:tab w:val="clear" w:pos="284"/>
      </w:tabs>
      <w:spacing w:before="100" w:after="0" w:line="240" w:lineRule="auto"/>
      <w:ind w:left="720" w:hanging="360"/>
      <w:jc w:val="both"/>
    </w:pPr>
    <w:rPr>
      <w:rFonts w:ascii="Calibri" w:eastAsia="Times New Roman" w:hAnsi="Calibri" w:cs="Angsana New"/>
      <w:sz w:val="20"/>
      <w:lang w:eastAsia="en-GB" w:bidi="th-TH"/>
    </w:rPr>
  </w:style>
  <w:style w:type="paragraph" w:styleId="BodyText">
    <w:name w:val="Body Text"/>
    <w:basedOn w:val="Normal"/>
    <w:link w:val="BodyTextChar"/>
    <w:uiPriority w:val="99"/>
    <w:semiHidden/>
    <w:unhideWhenUsed/>
    <w:rsid w:val="003A47C8"/>
    <w:pPr>
      <w:spacing w:after="120"/>
    </w:pPr>
  </w:style>
  <w:style w:type="character" w:customStyle="1" w:styleId="BodyTextChar">
    <w:name w:val="Body Text Char"/>
    <w:basedOn w:val="DefaultParagraphFont"/>
    <w:link w:val="BodyText"/>
    <w:uiPriority w:val="99"/>
    <w:semiHidden/>
    <w:rsid w:val="003A47C8"/>
    <w:rPr>
      <w:lang w:val="en-AU"/>
    </w:rPr>
  </w:style>
  <w:style w:type="paragraph" w:customStyle="1" w:styleId="Textbox9pt">
    <w:name w:val="Text box 9pt"/>
    <w:basedOn w:val="BodyText"/>
    <w:qFormat/>
    <w:rsid w:val="00060B34"/>
    <w:pPr>
      <w:spacing w:before="60" w:after="0" w:line="240" w:lineRule="auto"/>
      <w:jc w:val="both"/>
    </w:pPr>
    <w:rPr>
      <w:rFonts w:ascii="Calibri" w:eastAsia="Cambria" w:hAnsi="Calibri" w:cs="Times New Roman"/>
      <w:sz w:val="18"/>
    </w:rPr>
  </w:style>
  <w:style w:type="paragraph" w:customStyle="1" w:styleId="List-number-2">
    <w:name w:val="List-number-2"/>
    <w:basedOn w:val="Normal"/>
    <w:rsid w:val="001B756D"/>
    <w:pPr>
      <w:numPr>
        <w:ilvl w:val="1"/>
        <w:numId w:val="34"/>
      </w:numPr>
      <w:spacing w:before="120" w:after="240" w:line="264" w:lineRule="auto"/>
    </w:pPr>
    <w:rPr>
      <w:rFonts w:ascii="Arial" w:eastAsiaTheme="minorEastAsia" w:hAnsi="Arial" w:cs="Times New Roman"/>
      <w:sz w:val="20"/>
    </w:rPr>
  </w:style>
  <w:style w:type="paragraph" w:customStyle="1" w:styleId="List-number-1">
    <w:name w:val="List-number-1"/>
    <w:basedOn w:val="Normal"/>
    <w:rsid w:val="001B756D"/>
    <w:pPr>
      <w:numPr>
        <w:numId w:val="34"/>
      </w:numPr>
      <w:spacing w:before="120" w:after="240" w:line="264" w:lineRule="auto"/>
    </w:pPr>
    <w:rPr>
      <w:rFonts w:ascii="Arial" w:eastAsiaTheme="minorEastAsia" w:hAnsi="Arial" w:cs="Times New Roman"/>
      <w:sz w:val="20"/>
    </w:rPr>
  </w:style>
  <w:style w:type="paragraph" w:styleId="Header">
    <w:name w:val="header"/>
    <w:basedOn w:val="Normal"/>
    <w:link w:val="HeaderChar"/>
    <w:uiPriority w:val="99"/>
    <w:unhideWhenUsed/>
    <w:rsid w:val="007A4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8C5"/>
    <w:rPr>
      <w:lang w:val="en-AU"/>
    </w:rPr>
  </w:style>
  <w:style w:type="paragraph" w:styleId="Footer">
    <w:name w:val="footer"/>
    <w:basedOn w:val="Normal"/>
    <w:link w:val="FooterChar"/>
    <w:uiPriority w:val="99"/>
    <w:unhideWhenUsed/>
    <w:rsid w:val="007A4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8C5"/>
    <w:rPr>
      <w:lang w:val="en-AU"/>
    </w:rPr>
  </w:style>
  <w:style w:type="paragraph" w:styleId="TOCHeading">
    <w:name w:val="TOC Heading"/>
    <w:basedOn w:val="Heading1"/>
    <w:next w:val="Normal"/>
    <w:uiPriority w:val="39"/>
    <w:semiHidden/>
    <w:unhideWhenUsed/>
    <w:qFormat/>
    <w:rsid w:val="007A48C5"/>
    <w:pPr>
      <w:outlineLvl w:val="9"/>
    </w:pPr>
    <w:rPr>
      <w:lang w:val="en-US" w:eastAsia="ja-JP"/>
    </w:rPr>
  </w:style>
  <w:style w:type="paragraph" w:styleId="TOC1">
    <w:name w:val="toc 1"/>
    <w:basedOn w:val="Normal"/>
    <w:next w:val="Normal"/>
    <w:autoRedefine/>
    <w:uiPriority w:val="39"/>
    <w:unhideWhenUsed/>
    <w:rsid w:val="007A48C5"/>
    <w:pPr>
      <w:spacing w:after="100"/>
    </w:pPr>
  </w:style>
  <w:style w:type="character" w:styleId="Hyperlink">
    <w:name w:val="Hyperlink"/>
    <w:basedOn w:val="DefaultParagraphFont"/>
    <w:uiPriority w:val="99"/>
    <w:unhideWhenUsed/>
    <w:rsid w:val="007A48C5"/>
    <w:rPr>
      <w:color w:val="0000FF" w:themeColor="hyperlink"/>
      <w:u w:val="single"/>
    </w:rPr>
  </w:style>
  <w:style w:type="character" w:customStyle="1" w:styleId="Heading3Char">
    <w:name w:val="Heading 3 Char"/>
    <w:basedOn w:val="DefaultParagraphFont"/>
    <w:link w:val="Heading3"/>
    <w:uiPriority w:val="9"/>
    <w:rsid w:val="00B0399A"/>
    <w:rPr>
      <w:rFonts w:asciiTheme="majorHAnsi" w:eastAsiaTheme="majorEastAsia" w:hAnsiTheme="majorHAnsi" w:cstheme="majorBidi"/>
      <w:b/>
      <w:bCs/>
      <w:color w:val="4F81BD" w:themeColor="accent1"/>
      <w:lang w:val="en-AU"/>
    </w:rPr>
  </w:style>
  <w:style w:type="paragraph" w:styleId="TOC2">
    <w:name w:val="toc 2"/>
    <w:basedOn w:val="Normal"/>
    <w:next w:val="Normal"/>
    <w:autoRedefine/>
    <w:uiPriority w:val="39"/>
    <w:unhideWhenUsed/>
    <w:rsid w:val="00E56561"/>
    <w:pPr>
      <w:spacing w:after="100"/>
      <w:ind w:left="220"/>
    </w:pPr>
  </w:style>
  <w:style w:type="paragraph" w:styleId="TOC3">
    <w:name w:val="toc 3"/>
    <w:basedOn w:val="Normal"/>
    <w:next w:val="Normal"/>
    <w:autoRedefine/>
    <w:uiPriority w:val="39"/>
    <w:unhideWhenUsed/>
    <w:rsid w:val="00E56561"/>
    <w:pPr>
      <w:spacing w:after="100"/>
      <w:ind w:left="440"/>
    </w:pPr>
  </w:style>
  <w:style w:type="paragraph" w:customStyle="1" w:styleId="Default">
    <w:name w:val="Default"/>
    <w:rsid w:val="004F18C0"/>
    <w:pPr>
      <w:autoSpaceDE w:val="0"/>
      <w:autoSpaceDN w:val="0"/>
      <w:adjustRightInd w:val="0"/>
      <w:spacing w:after="0" w:line="240" w:lineRule="auto"/>
    </w:pPr>
    <w:rPr>
      <w:rFonts w:ascii="Arial" w:hAnsi="Arial" w:cs="Arial"/>
      <w:color w:val="000000"/>
      <w:sz w:val="24"/>
      <w:szCs w:val="24"/>
      <w:lang w:val="en-AU"/>
    </w:rPr>
  </w:style>
  <w:style w:type="paragraph" w:styleId="NormalWeb">
    <w:name w:val="Normal (Web)"/>
    <w:basedOn w:val="Normal"/>
    <w:uiPriority w:val="99"/>
    <w:semiHidden/>
    <w:unhideWhenUsed/>
    <w:rsid w:val="003F7EDB"/>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CommentReference">
    <w:name w:val="annotation reference"/>
    <w:basedOn w:val="DefaultParagraphFont"/>
    <w:uiPriority w:val="99"/>
    <w:semiHidden/>
    <w:unhideWhenUsed/>
    <w:rsid w:val="005C6CAF"/>
    <w:rPr>
      <w:sz w:val="16"/>
      <w:szCs w:val="16"/>
    </w:rPr>
  </w:style>
  <w:style w:type="paragraph" w:styleId="CommentText">
    <w:name w:val="annotation text"/>
    <w:basedOn w:val="Normal"/>
    <w:link w:val="CommentTextChar"/>
    <w:uiPriority w:val="99"/>
    <w:semiHidden/>
    <w:unhideWhenUsed/>
    <w:rsid w:val="005C6CAF"/>
    <w:pPr>
      <w:spacing w:line="240" w:lineRule="auto"/>
    </w:pPr>
    <w:rPr>
      <w:sz w:val="20"/>
      <w:szCs w:val="20"/>
    </w:rPr>
  </w:style>
  <w:style w:type="character" w:customStyle="1" w:styleId="CommentTextChar">
    <w:name w:val="Comment Text Char"/>
    <w:basedOn w:val="DefaultParagraphFont"/>
    <w:link w:val="CommentText"/>
    <w:uiPriority w:val="99"/>
    <w:semiHidden/>
    <w:rsid w:val="005C6CAF"/>
    <w:rPr>
      <w:sz w:val="20"/>
      <w:szCs w:val="20"/>
      <w:lang w:val="en-AU"/>
    </w:rPr>
  </w:style>
  <w:style w:type="paragraph" w:styleId="CommentSubject">
    <w:name w:val="annotation subject"/>
    <w:basedOn w:val="CommentText"/>
    <w:next w:val="CommentText"/>
    <w:link w:val="CommentSubjectChar"/>
    <w:uiPriority w:val="99"/>
    <w:semiHidden/>
    <w:unhideWhenUsed/>
    <w:rsid w:val="005C6CAF"/>
    <w:rPr>
      <w:b/>
      <w:bCs/>
    </w:rPr>
  </w:style>
  <w:style w:type="character" w:customStyle="1" w:styleId="CommentSubjectChar">
    <w:name w:val="Comment Subject Char"/>
    <w:basedOn w:val="CommentTextChar"/>
    <w:link w:val="CommentSubject"/>
    <w:uiPriority w:val="99"/>
    <w:semiHidden/>
    <w:rsid w:val="005C6CAF"/>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81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4B2AC9-EE1D-40C6-9296-8D289D9A336E}"/>
</file>

<file path=customXml/itemProps2.xml><?xml version="1.0" encoding="utf-8"?>
<ds:datastoreItem xmlns:ds="http://schemas.openxmlformats.org/officeDocument/2006/customXml" ds:itemID="{597704BD-E942-4679-BCEC-992710DB7B0A}"/>
</file>

<file path=customXml/itemProps3.xml><?xml version="1.0" encoding="utf-8"?>
<ds:datastoreItem xmlns:ds="http://schemas.openxmlformats.org/officeDocument/2006/customXml" ds:itemID="{23157936-29C7-4B83-9979-D31167EE1B5B}"/>
</file>

<file path=customXml/itemProps4.xml><?xml version="1.0" encoding="utf-8"?>
<ds:datastoreItem xmlns:ds="http://schemas.openxmlformats.org/officeDocument/2006/customXml" ds:itemID="{F24C7D04-1890-46C6-9F06-D743EFAC0148}"/>
</file>

<file path=docProps/app.xml><?xml version="1.0" encoding="utf-8"?>
<Properties xmlns="http://schemas.openxmlformats.org/officeDocument/2006/extended-properties" xmlns:vt="http://schemas.openxmlformats.org/officeDocument/2006/docPropsVTypes">
  <Template>C107C8AC</Template>
  <TotalTime>0</TotalTime>
  <Pages>39</Pages>
  <Words>14920</Words>
  <Characters>76843</Characters>
  <Application>Microsoft Office Word</Application>
  <DocSecurity>0</DocSecurity>
  <Lines>1348</Lines>
  <Paragraphs>559</Paragraphs>
  <ScaleCrop>false</ScaleCrop>
  <Company/>
  <LinksUpToDate>false</LinksUpToDate>
  <CharactersWithSpaces>91204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2015-10-29T22:37:00Z</dcterms:created>
  <dcterms:modified xsi:type="dcterms:W3CDTF">2015-10-29T22:37:00Z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977800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