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72163609"/>
        <w:docPartObj>
          <w:docPartGallery w:val="Cover Pages"/>
          <w:docPartUnique/>
        </w:docPartObj>
      </w:sdtPr>
      <w:sdtEndPr/>
      <w:sdtContent>
        <w:p w14:paraId="156CB00B" w14:textId="77777777" w:rsidR="0010621E" w:rsidRDefault="0010621E">
          <w:r>
            <w:rPr>
              <w:noProof/>
              <w:lang w:eastAsia="en-AU"/>
            </w:rPr>
            <mc:AlternateContent>
              <mc:Choice Requires="wpg">
                <w:drawing>
                  <wp:anchor distT="0" distB="0" distL="114300" distR="114300" simplePos="0" relativeHeight="251674624" behindDoc="1" locked="0" layoutInCell="1" allowOverlap="1" wp14:anchorId="78811128" wp14:editId="0A7C26DE">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B4634" w14:textId="43EA9B7D" w:rsidR="00551718" w:rsidRDefault="00551718">
                                  <w:pPr>
                                    <w:pStyle w:val="NoSpacing"/>
                                    <w:rPr>
                                      <w:color w:val="FFFFFF" w:themeColor="background1"/>
                                      <w:sz w:val="32"/>
                                      <w:szCs w:val="32"/>
                                    </w:rPr>
                                  </w:pPr>
                                  <w:r>
                                    <w:rPr>
                                      <w:color w:val="FFFFFF" w:themeColor="background1"/>
                                      <w:sz w:val="32"/>
                                      <w:szCs w:val="32"/>
                                    </w:rPr>
                                    <w:t>Dr Linda Kelly &amp; Ibu Nila Wardini</w:t>
                                  </w:r>
                                </w:p>
                                <w:p w14:paraId="22F145D5" w14:textId="698C5DAC" w:rsidR="00551718" w:rsidRDefault="00551718">
                                  <w:pPr>
                                    <w:pStyle w:val="NoSpacing"/>
                                    <w:rPr>
                                      <w:caps/>
                                      <w:color w:val="FFFFFF" w:themeColor="background1"/>
                                    </w:rPr>
                                  </w:pPr>
                                  <w:r>
                                    <w:rPr>
                                      <w:caps/>
                                      <w:color w:val="FFFFFF" w:themeColor="background1"/>
                                    </w:rPr>
                                    <w:t xml:space="preserve">FEBRUARY 2019 |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E4A01" w14:textId="6811B343" w:rsidR="00551718" w:rsidRDefault="00551718">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MAMPU Phase 2 Independent Strategic Review</w:t>
                                  </w:r>
                                </w:p>
                                <w:p w14:paraId="4739C56E" w14:textId="518FA596" w:rsidR="00551718" w:rsidRDefault="00551718">
                                  <w:pPr>
                                    <w:pStyle w:val="NoSpacing"/>
                                    <w:spacing w:before="240"/>
                                    <w:rPr>
                                      <w:caps/>
                                      <w:color w:val="44546A" w:themeColor="text2"/>
                                      <w:sz w:val="36"/>
                                      <w:szCs w:val="36"/>
                                    </w:rPr>
                                  </w:pPr>
                                  <w:r>
                                    <w:rPr>
                                      <w:caps/>
                                      <w:color w:val="44546A" w:themeColor="text2"/>
                                      <w:sz w:val="36"/>
                                      <w:szCs w:val="36"/>
                                    </w:rPr>
                                    <w:t>Independent Strategic Review</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811128" id="Group 119" o:spid="_x0000_s1026" style="position:absolute;margin-left:0;margin-top:0;width:539.6pt;height:719.9pt;z-index:-25164185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7EEB4634" w14:textId="43EA9B7D" w:rsidR="00551718" w:rsidRDefault="00551718">
                            <w:pPr>
                              <w:pStyle w:val="NoSpacing"/>
                              <w:rPr>
                                <w:color w:val="FFFFFF" w:themeColor="background1"/>
                                <w:sz w:val="32"/>
                                <w:szCs w:val="32"/>
                              </w:rPr>
                            </w:pPr>
                            <w:r>
                              <w:rPr>
                                <w:color w:val="FFFFFF" w:themeColor="background1"/>
                                <w:sz w:val="32"/>
                                <w:szCs w:val="32"/>
                              </w:rPr>
                              <w:t>Dr Linda Kelly &amp; Ibu Nila Wardini</w:t>
                            </w:r>
                          </w:p>
                          <w:p w14:paraId="22F145D5" w14:textId="698C5DAC" w:rsidR="00551718" w:rsidRDefault="00551718">
                            <w:pPr>
                              <w:pStyle w:val="NoSpacing"/>
                              <w:rPr>
                                <w:caps/>
                                <w:color w:val="FFFFFF" w:themeColor="background1"/>
                              </w:rPr>
                            </w:pPr>
                            <w:r>
                              <w:rPr>
                                <w:caps/>
                                <w:color w:val="FFFFFF" w:themeColor="background1"/>
                              </w:rPr>
                              <w:t xml:space="preserve">FEBRUARY 2019 |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280E4A01" w14:textId="6811B343" w:rsidR="00551718" w:rsidRDefault="00551718">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MAMPU Phase 2 Independent Strategic Review</w:t>
                            </w:r>
                          </w:p>
                          <w:p w14:paraId="4739C56E" w14:textId="518FA596" w:rsidR="00551718" w:rsidRDefault="00551718">
                            <w:pPr>
                              <w:pStyle w:val="NoSpacing"/>
                              <w:spacing w:before="240"/>
                              <w:rPr>
                                <w:caps/>
                                <w:color w:val="44546A" w:themeColor="text2"/>
                                <w:sz w:val="36"/>
                                <w:szCs w:val="36"/>
                              </w:rPr>
                            </w:pPr>
                            <w:r>
                              <w:rPr>
                                <w:caps/>
                                <w:color w:val="44546A" w:themeColor="text2"/>
                                <w:sz w:val="36"/>
                                <w:szCs w:val="36"/>
                              </w:rPr>
                              <w:t>Independent Strategic Review</w:t>
                            </w:r>
                          </w:p>
                        </w:txbxContent>
                      </v:textbox>
                    </v:shape>
                    <w10:wrap anchorx="page" anchory="page"/>
                  </v:group>
                </w:pict>
              </mc:Fallback>
            </mc:AlternateContent>
          </w:r>
        </w:p>
        <w:p w14:paraId="05AA46A1" w14:textId="77777777" w:rsidR="0010621E" w:rsidRDefault="0010621E">
          <w:r>
            <w:br w:type="page"/>
          </w:r>
        </w:p>
      </w:sdtContent>
    </w:sdt>
    <w:p w14:paraId="70643D8A" w14:textId="77777777" w:rsidR="00525B4A" w:rsidRDefault="00525B4A" w:rsidP="00525B4A">
      <w:pPr>
        <w:pStyle w:val="Heading1"/>
      </w:pPr>
      <w:bookmarkStart w:id="1" w:name="_Toc21523881"/>
      <w:r>
        <w:lastRenderedPageBreak/>
        <w:t>Executive Summary</w:t>
      </w:r>
      <w:bookmarkEnd w:id="1"/>
    </w:p>
    <w:p w14:paraId="5099DA08" w14:textId="0FF14840" w:rsidR="005E637F" w:rsidRDefault="005E637F" w:rsidP="00D05AAA">
      <w:pPr>
        <w:jc w:val="both"/>
      </w:pPr>
      <w:r>
        <w:t xml:space="preserve">The Australia-Indonesia Partnership for Gender Equality and Women’s Empowerment (MAMPU) Phase 2 (2016-20) is an Australian Government funded program working with the Government of Indonesia and Civil Society Organisations </w:t>
      </w:r>
      <w:r w:rsidR="00E134A2">
        <w:t>(CSO</w:t>
      </w:r>
      <w:r w:rsidR="00D44358">
        <w:t>s</w:t>
      </w:r>
      <w:r w:rsidR="00E134A2">
        <w:t xml:space="preserve">) </w:t>
      </w:r>
      <w:r>
        <w:t>to achieve improved women’s empowerment and gender equality.</w:t>
      </w:r>
      <w:r w:rsidRPr="005E637F">
        <w:t xml:space="preserve"> </w:t>
      </w:r>
      <w:r>
        <w:t xml:space="preserve">An Independent Strategic Review </w:t>
      </w:r>
      <w:r w:rsidR="00374BF8">
        <w:t xml:space="preserve">(ISR) </w:t>
      </w:r>
      <w:r>
        <w:t>was commissioned to inform DFAT and the Government of In</w:t>
      </w:r>
      <w:r w:rsidR="00E71BDE">
        <w:t xml:space="preserve">donesia about the </w:t>
      </w:r>
      <w:r w:rsidR="00030218">
        <w:t>program effectiveness and</w:t>
      </w:r>
      <w:r w:rsidR="00E71BDE">
        <w:t xml:space="preserve"> </w:t>
      </w:r>
      <w:r>
        <w:t xml:space="preserve">relevance and to identify </w:t>
      </w:r>
      <w:r w:rsidR="00E71BDE">
        <w:t xml:space="preserve">future </w:t>
      </w:r>
      <w:r w:rsidR="00174250">
        <w:t>possible</w:t>
      </w:r>
      <w:r w:rsidR="00E71BDE">
        <w:t xml:space="preserve"> options</w:t>
      </w:r>
      <w:r w:rsidR="00375D44">
        <w:t xml:space="preserve"> for investment</w:t>
      </w:r>
      <w:r>
        <w:t>.</w:t>
      </w:r>
    </w:p>
    <w:p w14:paraId="05341DA0" w14:textId="3B614669" w:rsidR="00BC7EC9" w:rsidRDefault="00BC7EC9" w:rsidP="00BC7EC9">
      <w:pPr>
        <w:pStyle w:val="Heading4"/>
      </w:pPr>
      <w:r>
        <w:t>Context</w:t>
      </w:r>
    </w:p>
    <w:p w14:paraId="1DD70855" w14:textId="262D7D6D" w:rsidR="00BC7EC9" w:rsidRDefault="00BC7EC9" w:rsidP="001C48E2">
      <w:pPr>
        <w:jc w:val="both"/>
      </w:pPr>
      <w:r>
        <w:t xml:space="preserve">The context for </w:t>
      </w:r>
      <w:r w:rsidR="00174250">
        <w:t>women’s empowerment</w:t>
      </w:r>
      <w:r>
        <w:t xml:space="preserve"> and gender equality in </w:t>
      </w:r>
      <w:r w:rsidR="00174250">
        <w:t>Indonesia</w:t>
      </w:r>
      <w:r>
        <w:t xml:space="preserve"> is</w:t>
      </w:r>
      <w:r w:rsidR="00710FD1">
        <w:t xml:space="preserve"> dynamic</w:t>
      </w:r>
      <w:r>
        <w:t xml:space="preserve">. </w:t>
      </w:r>
      <w:r w:rsidR="00710FD1">
        <w:t>Several commentators suggest that</w:t>
      </w:r>
      <w:r>
        <w:t xml:space="preserve"> </w:t>
      </w:r>
      <w:r w:rsidR="00710FD1">
        <w:t xml:space="preserve">further </w:t>
      </w:r>
      <w:r>
        <w:t>economic and social develo</w:t>
      </w:r>
      <w:r w:rsidR="00030218">
        <w:t>pment</w:t>
      </w:r>
      <w:r>
        <w:t xml:space="preserve"> </w:t>
      </w:r>
      <w:r w:rsidR="00174250">
        <w:t>for</w:t>
      </w:r>
      <w:r>
        <w:t xml:space="preserve"> the country is dep</w:t>
      </w:r>
      <w:r w:rsidR="00174250">
        <w:t>en</w:t>
      </w:r>
      <w:r>
        <w:t xml:space="preserve">dent </w:t>
      </w:r>
      <w:r w:rsidR="00F677EC">
        <w:t>requires</w:t>
      </w:r>
      <w:r>
        <w:t xml:space="preserve"> a more </w:t>
      </w:r>
      <w:r w:rsidR="00174250">
        <w:t>inclusive</w:t>
      </w:r>
      <w:r>
        <w:t xml:space="preserve"> and fair society. </w:t>
      </w:r>
      <w:r w:rsidR="00174250">
        <w:t>In line with this, Government</w:t>
      </w:r>
      <w:r>
        <w:t xml:space="preserve"> of </w:t>
      </w:r>
      <w:r w:rsidR="00174250">
        <w:t>Indonesia</w:t>
      </w:r>
      <w:r>
        <w:t xml:space="preserve"> policy supports gender </w:t>
      </w:r>
      <w:r w:rsidR="00174250">
        <w:t>equality</w:t>
      </w:r>
      <w:r>
        <w:t xml:space="preserve"> and </w:t>
      </w:r>
      <w:r w:rsidR="00174250">
        <w:t>women’s</w:t>
      </w:r>
      <w:r>
        <w:t xml:space="preserve"> </w:t>
      </w:r>
      <w:r w:rsidR="00174250">
        <w:t>empowerment</w:t>
      </w:r>
      <w:r>
        <w:t xml:space="preserve"> and the inclusion of </w:t>
      </w:r>
      <w:r w:rsidR="00174250">
        <w:t>people</w:t>
      </w:r>
      <w:r>
        <w:t xml:space="preserve"> with </w:t>
      </w:r>
      <w:r w:rsidR="00174250">
        <w:t>disability</w:t>
      </w:r>
      <w:r>
        <w:t xml:space="preserve">. </w:t>
      </w:r>
      <w:r w:rsidR="00F677EC">
        <w:t xml:space="preserve">MAMPU has been highly relevant in this space. </w:t>
      </w:r>
      <w:r>
        <w:t>However</w:t>
      </w:r>
      <w:r w:rsidR="00030218">
        <w:t>,</w:t>
      </w:r>
      <w:r>
        <w:t xml:space="preserve"> since the in</w:t>
      </w:r>
      <w:r w:rsidR="00030218">
        <w:t>ception of MAMPU,</w:t>
      </w:r>
      <w:r>
        <w:t xml:space="preserve"> </w:t>
      </w:r>
      <w:r w:rsidR="00DD57E0">
        <w:t xml:space="preserve">several commentators report </w:t>
      </w:r>
      <w:r>
        <w:t xml:space="preserve">an increasing conservatism, </w:t>
      </w:r>
      <w:r w:rsidR="00174250">
        <w:t>influencing</w:t>
      </w:r>
      <w:r>
        <w:t xml:space="preserve"> both politics and religion, has mitigated against attempts to </w:t>
      </w:r>
      <w:r w:rsidR="00174250">
        <w:t>support</w:t>
      </w:r>
      <w:r>
        <w:t xml:space="preserve"> equal </w:t>
      </w:r>
      <w:r w:rsidR="00174250">
        <w:t>opportun</w:t>
      </w:r>
      <w:r>
        <w:t xml:space="preserve">ity for </w:t>
      </w:r>
      <w:r w:rsidR="00174250">
        <w:t>women</w:t>
      </w:r>
      <w:r>
        <w:t xml:space="preserve"> and </w:t>
      </w:r>
      <w:r w:rsidR="00174250">
        <w:t>marginalised</w:t>
      </w:r>
      <w:r>
        <w:t xml:space="preserve"> groups</w:t>
      </w:r>
      <w:r w:rsidR="00DD57E0">
        <w:t xml:space="preserve"> across many areas of Indonesia</w:t>
      </w:r>
      <w:r>
        <w:t xml:space="preserve">. </w:t>
      </w:r>
      <w:r w:rsidR="00F677EC">
        <w:t>In addition</w:t>
      </w:r>
      <w:r w:rsidR="00030218">
        <w:t xml:space="preserve">, </w:t>
      </w:r>
      <w:r w:rsidR="00174250">
        <w:t>economic</w:t>
      </w:r>
      <w:r>
        <w:t xml:space="preserve"> develo</w:t>
      </w:r>
      <w:r w:rsidR="00174250">
        <w:t>pment</w:t>
      </w:r>
      <w:r>
        <w:t xml:space="preserve"> has slowed across the country, undermining broader effort</w:t>
      </w:r>
      <w:r w:rsidR="00030218">
        <w:t>s</w:t>
      </w:r>
      <w:r>
        <w:t xml:space="preserve"> by the </w:t>
      </w:r>
      <w:r w:rsidR="00174250">
        <w:t>government</w:t>
      </w:r>
      <w:r>
        <w:t xml:space="preserve"> to </w:t>
      </w:r>
      <w:r w:rsidR="00DE0D19">
        <w:t xml:space="preserve">address </w:t>
      </w:r>
      <w:r w:rsidR="00174250">
        <w:t>poverty</w:t>
      </w:r>
      <w:r w:rsidR="00DE0D19">
        <w:t xml:space="preserve">, </w:t>
      </w:r>
      <w:r w:rsidR="00174250">
        <w:t>including</w:t>
      </w:r>
      <w:r w:rsidR="00DE0D19">
        <w:t xml:space="preserve"> for women. </w:t>
      </w:r>
      <w:r w:rsidR="0077583F">
        <w:t>Finally,</w:t>
      </w:r>
      <w:r w:rsidR="00DE0D19">
        <w:t xml:space="preserve"> the </w:t>
      </w:r>
      <w:r w:rsidR="00174250">
        <w:t>decentralisation</w:t>
      </w:r>
      <w:r w:rsidR="00DE0D19">
        <w:t xml:space="preserve"> process, which has br</w:t>
      </w:r>
      <w:r w:rsidR="00174250">
        <w:t>ought resources</w:t>
      </w:r>
      <w:r w:rsidR="00DE0D19">
        <w:t xml:space="preserve"> </w:t>
      </w:r>
      <w:r w:rsidR="00174250">
        <w:t xml:space="preserve">and control </w:t>
      </w:r>
      <w:r w:rsidR="00DE0D19">
        <w:t>closer to</w:t>
      </w:r>
      <w:r w:rsidR="00174250">
        <w:t xml:space="preserve"> people</w:t>
      </w:r>
      <w:r w:rsidR="00DE0D19">
        <w:t xml:space="preserve"> in the </w:t>
      </w:r>
      <w:r w:rsidR="00174250">
        <w:t>rural</w:t>
      </w:r>
      <w:r w:rsidR="00DE0D19">
        <w:t xml:space="preserve"> </w:t>
      </w:r>
      <w:r w:rsidR="00174250">
        <w:t>a</w:t>
      </w:r>
      <w:r w:rsidR="00DE0D19">
        <w:t>reas</w:t>
      </w:r>
      <w:r w:rsidR="00375D44">
        <w:t xml:space="preserve"> providing opportunities for increasing women’s empowerment and gender equality</w:t>
      </w:r>
      <w:r w:rsidR="00DE0D19">
        <w:t>, has also</w:t>
      </w:r>
      <w:r w:rsidR="00375D44">
        <w:t xml:space="preserve"> in some cases,</w:t>
      </w:r>
      <w:r w:rsidR="00DE0D19">
        <w:t xml:space="preserve"> </w:t>
      </w:r>
      <w:r w:rsidR="00F677EC">
        <w:t xml:space="preserve">entrenched </w:t>
      </w:r>
      <w:r w:rsidR="00DE0D19">
        <w:t xml:space="preserve">local </w:t>
      </w:r>
      <w:r w:rsidR="00174250">
        <w:t>social</w:t>
      </w:r>
      <w:r w:rsidR="00DE0D19">
        <w:t xml:space="preserve"> </w:t>
      </w:r>
      <w:r w:rsidR="00174250">
        <w:t>and</w:t>
      </w:r>
      <w:r w:rsidR="00DE0D19">
        <w:t xml:space="preserve"> </w:t>
      </w:r>
      <w:r w:rsidR="00174250">
        <w:t>cultural</w:t>
      </w:r>
      <w:r w:rsidR="00DE0D19">
        <w:t xml:space="preserve"> norms</w:t>
      </w:r>
      <w:r w:rsidR="00030218">
        <w:t>,</w:t>
      </w:r>
      <w:r w:rsidR="00DE0D19">
        <w:t xml:space="preserve"> which </w:t>
      </w:r>
      <w:r w:rsidR="00F677EC">
        <w:t xml:space="preserve">can </w:t>
      </w:r>
      <w:r w:rsidR="00174250">
        <w:t>discriminate</w:t>
      </w:r>
      <w:r w:rsidR="00DE0D19">
        <w:t xml:space="preserve"> against </w:t>
      </w:r>
      <w:r w:rsidR="00174250">
        <w:t>women</w:t>
      </w:r>
      <w:r w:rsidR="00DE0D19">
        <w:t xml:space="preserve"> </w:t>
      </w:r>
      <w:r w:rsidR="00174250">
        <w:t>and</w:t>
      </w:r>
      <w:r w:rsidR="00DE0D19">
        <w:t xml:space="preserve"> </w:t>
      </w:r>
      <w:r w:rsidR="00174250">
        <w:t>marginalised</w:t>
      </w:r>
      <w:r w:rsidR="00DE0D19">
        <w:t xml:space="preserve"> </w:t>
      </w:r>
      <w:r w:rsidR="00174250">
        <w:t>groups</w:t>
      </w:r>
      <w:r w:rsidR="00DE0D19">
        <w:t xml:space="preserve">. </w:t>
      </w:r>
    </w:p>
    <w:p w14:paraId="720E837E" w14:textId="4B191A22" w:rsidR="00DE0D19" w:rsidRPr="00BC7EC9" w:rsidRDefault="00DE0D19" w:rsidP="001C48E2">
      <w:pPr>
        <w:jc w:val="both"/>
      </w:pPr>
      <w:r>
        <w:t xml:space="preserve">These factors and others have increasingly </w:t>
      </w:r>
      <w:r w:rsidR="00174250">
        <w:t>challenged</w:t>
      </w:r>
      <w:r>
        <w:t xml:space="preserve"> the </w:t>
      </w:r>
      <w:r w:rsidR="00174250">
        <w:t xml:space="preserve">outcomes able to </w:t>
      </w:r>
      <w:r>
        <w:t xml:space="preserve">be </w:t>
      </w:r>
      <w:r w:rsidR="00174250">
        <w:t>achieved</w:t>
      </w:r>
      <w:r>
        <w:t xml:space="preserve"> by </w:t>
      </w:r>
      <w:r w:rsidR="00174250">
        <w:t>women’s</w:t>
      </w:r>
      <w:r>
        <w:t xml:space="preserve"> </w:t>
      </w:r>
      <w:r w:rsidR="00174250">
        <w:t>organisations</w:t>
      </w:r>
      <w:r>
        <w:t xml:space="preserve"> in </w:t>
      </w:r>
      <w:r w:rsidR="00174250">
        <w:t>Indonesia</w:t>
      </w:r>
      <w:r>
        <w:t xml:space="preserve">, </w:t>
      </w:r>
      <w:r w:rsidR="00174250">
        <w:t>including</w:t>
      </w:r>
      <w:r>
        <w:t xml:space="preserve"> those supported by MAMPU. </w:t>
      </w:r>
    </w:p>
    <w:p w14:paraId="394E4B55" w14:textId="77777777" w:rsidR="005E637F" w:rsidRDefault="005E637F" w:rsidP="005E637F">
      <w:pPr>
        <w:pStyle w:val="Heading4"/>
      </w:pPr>
      <w:r>
        <w:t>Findings</w:t>
      </w:r>
    </w:p>
    <w:p w14:paraId="0BACE156" w14:textId="103DA7AC" w:rsidR="005E637F" w:rsidRPr="00952B36" w:rsidRDefault="005E637F" w:rsidP="00D05AAA">
      <w:pPr>
        <w:jc w:val="both"/>
        <w:rPr>
          <w:b/>
        </w:rPr>
      </w:pPr>
      <w:r w:rsidRPr="00952B36">
        <w:t xml:space="preserve">MAMPU phase 2 </w:t>
      </w:r>
      <w:r w:rsidR="0009003B" w:rsidRPr="00952B36">
        <w:t>has evolved into a</w:t>
      </w:r>
      <w:r w:rsidRPr="00952B36">
        <w:t xml:space="preserve"> complex program. It retains many of the features from the first phase but has undergone some significant shifts. This contributes to a broad range of expectations for likely program achievements and outcomes. It presently works with 14 national partners, more than 105 local partners, across 27 provinces and 151 districts in Indonesia.</w:t>
      </w:r>
    </w:p>
    <w:p w14:paraId="024D5179" w14:textId="1A500673" w:rsidR="005E637F" w:rsidRPr="00952B36" w:rsidRDefault="008B27F4" w:rsidP="00D05AAA">
      <w:pPr>
        <w:jc w:val="both"/>
      </w:pPr>
      <w:r w:rsidRPr="00952B36">
        <w:t xml:space="preserve">MAMPU is making strong progress against its three end of program outcomes. </w:t>
      </w:r>
      <w:r w:rsidR="005E637F" w:rsidRPr="00952B36">
        <w:t>The available evidence indicates that the program has been effective in increasing capacity across the various partner organisations</w:t>
      </w:r>
      <w:r w:rsidRPr="00952B36">
        <w:t xml:space="preserve"> (EOPO 1)</w:t>
      </w:r>
      <w:r w:rsidR="005E637F" w:rsidRPr="00952B36">
        <w:t xml:space="preserve">. There is considerable evidence, further verified through independent assessment by the </w:t>
      </w:r>
      <w:r w:rsidR="00E134A2" w:rsidRPr="00952B36">
        <w:t>review</w:t>
      </w:r>
      <w:r w:rsidR="005E637F" w:rsidRPr="00952B36">
        <w:t>, that partner CSO</w:t>
      </w:r>
      <w:r w:rsidR="00D44358">
        <w:t>s</w:t>
      </w:r>
      <w:r w:rsidR="005E637F" w:rsidRPr="00952B36">
        <w:t xml:space="preserve"> are working effectively at the subnational level, often addressing quite challenging contexts</w:t>
      </w:r>
      <w:r w:rsidR="00710FD1" w:rsidRPr="00952B36">
        <w:t xml:space="preserve"> </w:t>
      </w:r>
      <w:r w:rsidRPr="00952B36">
        <w:t xml:space="preserve">and </w:t>
      </w:r>
      <w:r w:rsidR="00174250" w:rsidRPr="00952B36">
        <w:t>demonstrating</w:t>
      </w:r>
      <w:r w:rsidRPr="00952B36">
        <w:t xml:space="preserve"> </w:t>
      </w:r>
      <w:r w:rsidR="005E637F" w:rsidRPr="00952B36">
        <w:t>a rich diversity of strategies drawn from good local contextual analysis. CSO partners have been effective in organising women at the grassroots to work collectively and advocate for change. At the national level, CSO</w:t>
      </w:r>
      <w:r w:rsidR="00D44358">
        <w:t>s</w:t>
      </w:r>
      <w:r w:rsidR="005E637F" w:rsidRPr="00952B36">
        <w:t xml:space="preserve"> have been supported to work collectively and with government for change. The development of a network of organisations concerned with women’s empowerment and gender equality was identified in itself as an achievement by many respondents to the ISR.</w:t>
      </w:r>
    </w:p>
    <w:p w14:paraId="08CE4F1E" w14:textId="48039C0F" w:rsidR="005E637F" w:rsidRDefault="008B27F4" w:rsidP="00D05AAA">
      <w:pPr>
        <w:jc w:val="both"/>
      </w:pPr>
      <w:r w:rsidRPr="00952B36">
        <w:t xml:space="preserve">MAMPU has made </w:t>
      </w:r>
      <w:r w:rsidR="00D44358">
        <w:t xml:space="preserve">a </w:t>
      </w:r>
      <w:r w:rsidR="00174250" w:rsidRPr="00952B36">
        <w:t>demonstrable</w:t>
      </w:r>
      <w:r w:rsidRPr="00952B36">
        <w:t xml:space="preserve"> difference to the </w:t>
      </w:r>
      <w:r w:rsidR="00174250" w:rsidRPr="00952B36">
        <w:t>opportunity</w:t>
      </w:r>
      <w:r w:rsidR="00710FD1" w:rsidRPr="00952B36">
        <w:t xml:space="preserve"> for women to have voice and </w:t>
      </w:r>
      <w:r w:rsidR="00174250" w:rsidRPr="00952B36">
        <w:t>influence</w:t>
      </w:r>
      <w:r w:rsidRPr="00952B36">
        <w:t xml:space="preserve">, </w:t>
      </w:r>
      <w:r w:rsidR="00174250" w:rsidRPr="00952B36">
        <w:t>particularly</w:t>
      </w:r>
      <w:r w:rsidRPr="00952B36">
        <w:t xml:space="preserve"> at the subnational </w:t>
      </w:r>
      <w:r w:rsidR="00174250" w:rsidRPr="00952B36">
        <w:t>level</w:t>
      </w:r>
      <w:r w:rsidRPr="00952B36">
        <w:t xml:space="preserve"> (EOPO 2). For example, </w:t>
      </w:r>
      <w:r w:rsidR="00EE0F6A" w:rsidRPr="00952B36">
        <w:t xml:space="preserve">MAMPU has </w:t>
      </w:r>
      <w:r w:rsidR="00174250" w:rsidRPr="00952B36">
        <w:t>supported</w:t>
      </w:r>
      <w:r w:rsidR="00EE0F6A" w:rsidRPr="00952B36">
        <w:t xml:space="preserve"> the </w:t>
      </w:r>
      <w:r w:rsidR="00174250" w:rsidRPr="00952B36">
        <w:t>develo</w:t>
      </w:r>
      <w:r w:rsidR="00030218" w:rsidRPr="00952B36">
        <w:t>pment</w:t>
      </w:r>
      <w:r w:rsidR="00EE0F6A" w:rsidRPr="00952B36">
        <w:t xml:space="preserve"> of </w:t>
      </w:r>
      <w:r w:rsidR="005E637F" w:rsidRPr="00952B36">
        <w:t xml:space="preserve">1300 </w:t>
      </w:r>
      <w:r w:rsidR="00EE0F6A" w:rsidRPr="00952B36">
        <w:t xml:space="preserve">women’s groups, </w:t>
      </w:r>
      <w:r w:rsidR="005E637F" w:rsidRPr="00952B36">
        <w:t xml:space="preserve">working with more than 32,000 women. </w:t>
      </w:r>
      <w:r w:rsidR="00EE0F6A" w:rsidRPr="00952B36">
        <w:t xml:space="preserve">These women </w:t>
      </w:r>
      <w:r w:rsidR="00710FD1" w:rsidRPr="00952B36">
        <w:t xml:space="preserve">have increased </w:t>
      </w:r>
      <w:r w:rsidR="00EE0F6A" w:rsidRPr="00952B36">
        <w:t xml:space="preserve"> </w:t>
      </w:r>
      <w:r w:rsidR="005E637F" w:rsidRPr="00952B36">
        <w:t xml:space="preserve"> knowledge and awareness</w:t>
      </w:r>
      <w:r w:rsidR="00EE0F6A" w:rsidRPr="00952B36">
        <w:t xml:space="preserve"> leading to more </w:t>
      </w:r>
      <w:r w:rsidR="005E637F" w:rsidRPr="00952B36">
        <w:t xml:space="preserve">confidence and ‘agency’. As </w:t>
      </w:r>
      <w:r w:rsidR="00710FD1" w:rsidRPr="00952B36">
        <w:t xml:space="preserve">a </w:t>
      </w:r>
      <w:r w:rsidR="005E637F" w:rsidRPr="00952B36">
        <w:t>result, partners and women’s groups have contributed to 317 policy decisions in 70 districts in 13 provinces.</w:t>
      </w:r>
      <w:r w:rsidR="000C39CF" w:rsidRPr="00952B36">
        <w:t xml:space="preserve"> </w:t>
      </w:r>
      <w:r w:rsidR="005E637F" w:rsidRPr="00952B36">
        <w:t xml:space="preserve">Partners have contributed to national level policy, mostly in the areas of gender-based violence and conditions </w:t>
      </w:r>
      <w:r w:rsidR="005E637F" w:rsidRPr="00952B36">
        <w:lastRenderedPageBreak/>
        <w:t>for migrant-workers. Partners have also formed horizontal coalitions, in particular to address cross</w:t>
      </w:r>
      <w:r w:rsidR="005E637F">
        <w:t xml:space="preserve"> cutting issues outside the five thematic areas. This includes for example, joint advocacy in the areas of national health insurance and child marriage.</w:t>
      </w:r>
      <w:r w:rsidR="00BB18D7">
        <w:t xml:space="preserve"> </w:t>
      </w:r>
    </w:p>
    <w:p w14:paraId="29F2BB97" w14:textId="469BEED0" w:rsidR="004235B7" w:rsidRPr="00952B36" w:rsidRDefault="004235B7" w:rsidP="00D05AAA">
      <w:pPr>
        <w:jc w:val="both"/>
      </w:pPr>
      <w:r w:rsidRPr="00952B36">
        <w:t>Internal monitoring evidence demonstrates that there is increased access to services as a result of MAMPU supported programs</w:t>
      </w:r>
      <w:r w:rsidR="00EE0F6A" w:rsidRPr="00952B36">
        <w:t xml:space="preserve"> (EOPO 3)</w:t>
      </w:r>
      <w:r w:rsidRPr="00952B36">
        <w:t xml:space="preserve">. Since 2014, MAMPU partners have directly assisted 51,000 women and 5000 men to access government services across the five thematic areas. </w:t>
      </w:r>
      <w:r w:rsidR="00EE0F6A" w:rsidRPr="00952B36">
        <w:t xml:space="preserve">This is a </w:t>
      </w:r>
      <w:r w:rsidR="00174250" w:rsidRPr="00952B36">
        <w:t>considerable</w:t>
      </w:r>
      <w:r w:rsidR="00EE0F6A" w:rsidRPr="00952B36">
        <w:t xml:space="preserve"> ac</w:t>
      </w:r>
      <w:r w:rsidR="00174250" w:rsidRPr="00952B36">
        <w:t>hievement</w:t>
      </w:r>
      <w:r w:rsidR="00710FD1" w:rsidRPr="00952B36">
        <w:t>,</w:t>
      </w:r>
      <w:r w:rsidR="00EE0F6A" w:rsidRPr="00952B36">
        <w:t xml:space="preserve"> although </w:t>
      </w:r>
      <w:r w:rsidR="00174250" w:rsidRPr="00952B36">
        <w:t>research</w:t>
      </w:r>
      <w:r w:rsidR="00BC7EC9" w:rsidRPr="00952B36">
        <w:t xml:space="preserve"> suggest</w:t>
      </w:r>
      <w:r w:rsidR="00710FD1" w:rsidRPr="00952B36">
        <w:t>s</w:t>
      </w:r>
      <w:r w:rsidR="00BC7EC9" w:rsidRPr="00952B36">
        <w:t xml:space="preserve"> </w:t>
      </w:r>
      <w:r w:rsidR="00DD57E0">
        <w:t xml:space="preserve">the original target of increasing access for over 3 million women </w:t>
      </w:r>
      <w:r w:rsidR="00BC7EC9" w:rsidRPr="00952B36">
        <w:t xml:space="preserve">will </w:t>
      </w:r>
      <w:r w:rsidR="00DE0D19" w:rsidRPr="00952B36">
        <w:t>be</w:t>
      </w:r>
      <w:r w:rsidR="00BC7EC9" w:rsidRPr="00952B36">
        <w:t xml:space="preserve"> difficult for MAMPU to </w:t>
      </w:r>
      <w:r w:rsidR="00DF7010" w:rsidRPr="00952B36">
        <w:t xml:space="preserve">fully </w:t>
      </w:r>
      <w:r w:rsidR="00174250" w:rsidRPr="00952B36">
        <w:t>achieve</w:t>
      </w:r>
      <w:r w:rsidR="00BC7EC9" w:rsidRPr="00952B36">
        <w:t xml:space="preserve"> without increased </w:t>
      </w:r>
      <w:r w:rsidR="00174250" w:rsidRPr="00952B36">
        <w:t>coordination</w:t>
      </w:r>
      <w:r w:rsidR="00BC7EC9" w:rsidRPr="00952B36">
        <w:t xml:space="preserve"> with </w:t>
      </w:r>
      <w:r w:rsidR="00174250" w:rsidRPr="00952B36">
        <w:t>Government</w:t>
      </w:r>
      <w:r w:rsidR="00BC7EC9" w:rsidRPr="00952B36">
        <w:t xml:space="preserve"> and other service providers.</w:t>
      </w:r>
    </w:p>
    <w:p w14:paraId="60135EE7" w14:textId="67258E6E" w:rsidR="004235B7" w:rsidRDefault="004235B7" w:rsidP="00D05AAA">
      <w:pPr>
        <w:jc w:val="both"/>
      </w:pPr>
      <w:r w:rsidRPr="00952B36">
        <w:t>It is the view of the ISR team that without MAMPU, several, perhaps most, of the partners CSO would</w:t>
      </w:r>
      <w:r>
        <w:t xml:space="preserve"> likely still exist and be working for change, </w:t>
      </w:r>
      <w:r w:rsidR="00DF7010">
        <w:t>but</w:t>
      </w:r>
      <w:r>
        <w:t xml:space="preserve"> the women’s movement in Indonesia would have reduced leadership and be less </w:t>
      </w:r>
      <w:r w:rsidR="00030218">
        <w:t>able</w:t>
      </w:r>
      <w:r>
        <w:t xml:space="preserve"> to work for women’s empowerment and gender equality in Indonesia into the future.</w:t>
      </w:r>
      <w:r w:rsidR="00344B57">
        <w:t xml:space="preserve"> </w:t>
      </w:r>
      <w:r w:rsidRPr="00DF7010">
        <w:rPr>
          <w:b/>
          <w:i/>
        </w:rPr>
        <w:t xml:space="preserve">Given the compelling international research on the correlation between a competent national women’s movement and shifts in national policy and legislation which address issues for women, this contribution </w:t>
      </w:r>
      <w:r w:rsidR="007678EF">
        <w:rPr>
          <w:b/>
          <w:i/>
        </w:rPr>
        <w:t xml:space="preserve">is </w:t>
      </w:r>
      <w:r w:rsidRPr="00DF7010">
        <w:rPr>
          <w:b/>
          <w:i/>
        </w:rPr>
        <w:t>of some significance.</w:t>
      </w:r>
    </w:p>
    <w:p w14:paraId="622CB5F5" w14:textId="77777777" w:rsidR="00AD490A" w:rsidRDefault="004235B7" w:rsidP="00D05AAA">
      <w:pPr>
        <w:pStyle w:val="Heading4"/>
        <w:jc w:val="both"/>
      </w:pPr>
      <w:r>
        <w:t>Relevance</w:t>
      </w:r>
    </w:p>
    <w:p w14:paraId="684D6360" w14:textId="0FD870E0" w:rsidR="00AD490A" w:rsidRDefault="00AD490A" w:rsidP="00D05AAA">
      <w:pPr>
        <w:jc w:val="both"/>
      </w:pPr>
      <w:r>
        <w:t>MAMPU is considered highly relevant to the priorities of the partner CSO</w:t>
      </w:r>
      <w:r w:rsidR="007678EF">
        <w:t>s</w:t>
      </w:r>
      <w:r>
        <w:t xml:space="preserve">, the women’s movement in Indonesia and the CSO sector more widely. </w:t>
      </w:r>
    </w:p>
    <w:p w14:paraId="7BEA3EE0" w14:textId="44B95ED4" w:rsidR="00AD490A" w:rsidRDefault="00AD490A" w:rsidP="00D05AAA">
      <w:pPr>
        <w:jc w:val="both"/>
      </w:pPr>
      <w:r>
        <w:t xml:space="preserve">Through its work at the subnational level MAMPU has sought to work in line with the political momentum of Indonesia, giving particular attention to the implementation of Village law, local elections and cooperation with local leaders. At the National level, there was a deliberate shift in phase II of the program to increase its alignment and relevance with national technical ministries. BAPPENAS </w:t>
      </w:r>
      <w:r w:rsidR="00DE0D19">
        <w:t xml:space="preserve">has </w:t>
      </w:r>
      <w:r>
        <w:t>identified that both the new Medium-Term Development Plan and the SDGs are the relevant policy frameworks which should direct ongoing CSO work</w:t>
      </w:r>
      <w:r w:rsidR="00E134A2">
        <w:t xml:space="preserve"> through</w:t>
      </w:r>
      <w:r>
        <w:t xml:space="preserve"> MAMPU. </w:t>
      </w:r>
    </w:p>
    <w:p w14:paraId="647B11E2" w14:textId="7D138BF8" w:rsidR="00AD490A" w:rsidRDefault="00AD490A" w:rsidP="00D05AAA">
      <w:pPr>
        <w:jc w:val="both"/>
      </w:pPr>
      <w:r>
        <w:t xml:space="preserve">MAMPU phase 2 is strongly aligned to Australian Government policy. This includes alignment to the Australian Foreign Policy White Paper. MAMPU also reflects the key priorities of the Australian Aid policy on Gender Equality and Women’s Empowerment. </w:t>
      </w:r>
      <w:r w:rsidR="007678EF">
        <w:t>A r</w:t>
      </w:r>
      <w:r>
        <w:t xml:space="preserve">ecent review of MAMPU </w:t>
      </w:r>
      <w:r w:rsidR="007678EF">
        <w:t>P</w:t>
      </w:r>
      <w:r>
        <w:t>hase 2 indicates that the program also makes a contribution to disability inclusion, in line with Australian Government policy</w:t>
      </w:r>
      <w:r>
        <w:rPr>
          <w:rStyle w:val="FootnoteReference"/>
        </w:rPr>
        <w:footnoteReference w:id="1"/>
      </w:r>
      <w:r>
        <w:t xml:space="preserve">, although there is room for this to be </w:t>
      </w:r>
      <w:r w:rsidR="001F0E43">
        <w:t>more strongly communicated by the program</w:t>
      </w:r>
      <w:r>
        <w:t xml:space="preserve">. </w:t>
      </w:r>
    </w:p>
    <w:p w14:paraId="5969C442" w14:textId="77777777" w:rsidR="00AD490A" w:rsidRDefault="00AD490A" w:rsidP="00AD490A">
      <w:pPr>
        <w:pStyle w:val="Heading4"/>
      </w:pPr>
      <w:r>
        <w:t>Going Forward</w:t>
      </w:r>
    </w:p>
    <w:p w14:paraId="575B7AAF" w14:textId="5507E9F7" w:rsidR="00B13007" w:rsidRDefault="00DF7010" w:rsidP="00D05AAA">
      <w:pPr>
        <w:jc w:val="both"/>
      </w:pPr>
      <w:r>
        <w:t>For the remaining program life of MAMPU Phase 2, t</w:t>
      </w:r>
      <w:r w:rsidR="00AD490A">
        <w:t>he ISR recommends</w:t>
      </w:r>
    </w:p>
    <w:p w14:paraId="294EAC9C" w14:textId="381ECB62" w:rsidR="00B13007" w:rsidRDefault="00AD490A" w:rsidP="00CD6F7A">
      <w:pPr>
        <w:pStyle w:val="ListParagraph"/>
        <w:numPr>
          <w:ilvl w:val="0"/>
          <w:numId w:val="21"/>
        </w:numPr>
        <w:jc w:val="both"/>
      </w:pPr>
      <w:r>
        <w:t xml:space="preserve"> </w:t>
      </w:r>
      <w:r w:rsidR="00B13007">
        <w:t>T</w:t>
      </w:r>
      <w:r>
        <w:t xml:space="preserve">hat independent research is commissioned </w:t>
      </w:r>
      <w:r w:rsidR="00DF7010">
        <w:t xml:space="preserve">by </w:t>
      </w:r>
      <w:r w:rsidR="00DF7010" w:rsidRPr="00E134A2">
        <w:rPr>
          <w:b/>
        </w:rPr>
        <w:t>DFAT</w:t>
      </w:r>
      <w:r w:rsidR="00DF7010">
        <w:t xml:space="preserve"> </w:t>
      </w:r>
      <w:r>
        <w:t>to examine and document</w:t>
      </w:r>
      <w:r w:rsidR="00E71BDE">
        <w:t xml:space="preserve"> </w:t>
      </w:r>
      <w:r>
        <w:t>MA</w:t>
      </w:r>
      <w:r w:rsidR="00E71BDE">
        <w:t>MPU partner practice in context and t</w:t>
      </w:r>
      <w:r>
        <w:t xml:space="preserve">he overall program learnings about effective approaches to women’s empowerment and gender equality in the Indonesian context. </w:t>
      </w:r>
    </w:p>
    <w:p w14:paraId="4A409D42" w14:textId="15EEF2AA" w:rsidR="00B13007" w:rsidRDefault="00B13007" w:rsidP="00CD6F7A">
      <w:pPr>
        <w:pStyle w:val="ListParagraph"/>
        <w:numPr>
          <w:ilvl w:val="0"/>
          <w:numId w:val="21"/>
        </w:numPr>
        <w:jc w:val="both"/>
      </w:pPr>
      <w:r>
        <w:t xml:space="preserve">That consideration </w:t>
      </w:r>
      <w:r w:rsidR="00DF7010">
        <w:t xml:space="preserve">is given by </w:t>
      </w:r>
      <w:r w:rsidR="00DF7010" w:rsidRPr="00E134A2">
        <w:rPr>
          <w:b/>
        </w:rPr>
        <w:t>BAPPENAS and DFAT</w:t>
      </w:r>
      <w:r w:rsidR="00DF7010">
        <w:t xml:space="preserve"> </w:t>
      </w:r>
      <w:r>
        <w:t xml:space="preserve">to reconfiguring MAMPU beyond a program to a </w:t>
      </w:r>
      <w:r w:rsidR="00DF7010">
        <w:t>more flexible</w:t>
      </w:r>
      <w:r>
        <w:t xml:space="preserve"> modality</w:t>
      </w:r>
      <w:r w:rsidR="00DF7010">
        <w:t xml:space="preserve"> which </w:t>
      </w:r>
      <w:r w:rsidR="00174250">
        <w:t>better</w:t>
      </w:r>
      <w:r w:rsidR="00DF7010">
        <w:t xml:space="preserve"> explains and </w:t>
      </w:r>
      <w:r w:rsidR="002C1140">
        <w:t>accommodates</w:t>
      </w:r>
      <w:r w:rsidR="00DF7010">
        <w:t xml:space="preserve"> its wide </w:t>
      </w:r>
      <w:r w:rsidR="002C1140">
        <w:t>range</w:t>
      </w:r>
      <w:r w:rsidR="00DF7010">
        <w:t xml:space="preserve"> of </w:t>
      </w:r>
      <w:r w:rsidR="002C1140">
        <w:t>activities</w:t>
      </w:r>
      <w:r>
        <w:t>.</w:t>
      </w:r>
    </w:p>
    <w:p w14:paraId="2BDDDCD9" w14:textId="42133759" w:rsidR="00B13007" w:rsidRDefault="00B13007" w:rsidP="00CD6F7A">
      <w:pPr>
        <w:pStyle w:val="ListParagraph"/>
        <w:numPr>
          <w:ilvl w:val="0"/>
          <w:numId w:val="21"/>
        </w:numPr>
        <w:jc w:val="both"/>
      </w:pPr>
      <w:r>
        <w:t xml:space="preserve">That some work be undertaken </w:t>
      </w:r>
      <w:r w:rsidR="00DF7010">
        <w:t xml:space="preserve">by the </w:t>
      </w:r>
      <w:r w:rsidR="00DF7010" w:rsidRPr="00E134A2">
        <w:rPr>
          <w:b/>
        </w:rPr>
        <w:t>MAMPU program management and partners</w:t>
      </w:r>
      <w:r w:rsidR="00DF7010">
        <w:t xml:space="preserve">, </w:t>
      </w:r>
      <w:r>
        <w:t xml:space="preserve">to further develop the MAMPU </w:t>
      </w:r>
      <w:r w:rsidR="001F0E43">
        <w:t>approach to change.</w:t>
      </w:r>
      <w:r>
        <w:t xml:space="preserve"> </w:t>
      </w:r>
    </w:p>
    <w:p w14:paraId="6236E3F3" w14:textId="1677C8E7" w:rsidR="00D47EEF" w:rsidRDefault="00D47EEF" w:rsidP="00CD6F7A">
      <w:pPr>
        <w:pStyle w:val="ListParagraph"/>
        <w:numPr>
          <w:ilvl w:val="0"/>
          <w:numId w:val="21"/>
        </w:numPr>
        <w:jc w:val="both"/>
      </w:pPr>
      <w:r>
        <w:t xml:space="preserve">That </w:t>
      </w:r>
      <w:r w:rsidRPr="00E134A2">
        <w:rPr>
          <w:b/>
        </w:rPr>
        <w:t xml:space="preserve">MAMPU program </w:t>
      </w:r>
      <w:r w:rsidR="002C1140" w:rsidRPr="00E134A2">
        <w:rPr>
          <w:b/>
        </w:rPr>
        <w:t>management</w:t>
      </w:r>
      <w:r>
        <w:t xml:space="preserve"> urgently implement the new MAMPU disability inclusive strategy. Further</w:t>
      </w:r>
      <w:r w:rsidR="00E134A2">
        <w:t>,</w:t>
      </w:r>
      <w:r>
        <w:t xml:space="preserve"> that it specifically includes </w:t>
      </w:r>
      <w:r w:rsidR="002C1140">
        <w:t>monitoring</w:t>
      </w:r>
      <w:r>
        <w:t xml:space="preserve"> of </w:t>
      </w:r>
      <w:r w:rsidR="002C1140">
        <w:t>disability</w:t>
      </w:r>
      <w:r>
        <w:t xml:space="preserve"> inclusion in </w:t>
      </w:r>
      <w:r w:rsidR="002C1140">
        <w:t>further</w:t>
      </w:r>
      <w:r>
        <w:t xml:space="preserve"> program reporting.</w:t>
      </w:r>
    </w:p>
    <w:p w14:paraId="796E2B93" w14:textId="530A6925" w:rsidR="00B13007" w:rsidRDefault="00B13007" w:rsidP="00CD6F7A">
      <w:pPr>
        <w:pStyle w:val="ListParagraph"/>
        <w:numPr>
          <w:ilvl w:val="0"/>
          <w:numId w:val="21"/>
        </w:numPr>
        <w:jc w:val="both"/>
      </w:pPr>
      <w:r>
        <w:lastRenderedPageBreak/>
        <w:t xml:space="preserve">That </w:t>
      </w:r>
      <w:r w:rsidRPr="00E134A2">
        <w:rPr>
          <w:b/>
        </w:rPr>
        <w:t xml:space="preserve">MAMPU </w:t>
      </w:r>
      <w:r w:rsidR="00DF7010" w:rsidRPr="00E134A2">
        <w:rPr>
          <w:b/>
        </w:rPr>
        <w:t xml:space="preserve">program </w:t>
      </w:r>
      <w:r w:rsidR="002C1140" w:rsidRPr="00E134A2">
        <w:rPr>
          <w:b/>
        </w:rPr>
        <w:t>management</w:t>
      </w:r>
      <w:r w:rsidR="00DF7010">
        <w:t xml:space="preserve"> </w:t>
      </w:r>
      <w:r>
        <w:t xml:space="preserve">create </w:t>
      </w:r>
      <w:r w:rsidR="00DF7010">
        <w:t xml:space="preserve">additional </w:t>
      </w:r>
      <w:r>
        <w:t>space for CSO partners and others to come together to examine emerging areas of challenge for women’s empowerment and gender equality.</w:t>
      </w:r>
    </w:p>
    <w:p w14:paraId="128A8FD4" w14:textId="00989A62" w:rsidR="00B13007" w:rsidRDefault="00B13007" w:rsidP="00CD6F7A">
      <w:pPr>
        <w:pStyle w:val="ListParagraph"/>
        <w:numPr>
          <w:ilvl w:val="0"/>
          <w:numId w:val="21"/>
        </w:numPr>
        <w:jc w:val="both"/>
      </w:pPr>
      <w:r>
        <w:t xml:space="preserve">That </w:t>
      </w:r>
      <w:r w:rsidRPr="00E134A2">
        <w:rPr>
          <w:b/>
        </w:rPr>
        <w:t>DFAT</w:t>
      </w:r>
      <w:r>
        <w:t xml:space="preserve"> </w:t>
      </w:r>
      <w:r w:rsidR="003C54DF">
        <w:t>further</w:t>
      </w:r>
      <w:r>
        <w:t xml:space="preserve"> improve co</w:t>
      </w:r>
      <w:r w:rsidR="00CE7747">
        <w:t>llaboration</w:t>
      </w:r>
      <w:r>
        <w:t xml:space="preserve"> </w:t>
      </w:r>
      <w:r w:rsidR="00CE7747">
        <w:t xml:space="preserve">for women’s empowerment </w:t>
      </w:r>
      <w:r>
        <w:t xml:space="preserve">across its programs to maximise the learning </w:t>
      </w:r>
      <w:r w:rsidR="00CE7747">
        <w:t xml:space="preserve">between programs. Further that </w:t>
      </w:r>
      <w:r w:rsidR="00CE7747" w:rsidRPr="00CE7747">
        <w:rPr>
          <w:b/>
        </w:rPr>
        <w:t>DFAT</w:t>
      </w:r>
      <w:r w:rsidR="00CE7747">
        <w:t xml:space="preserve"> develop a system for program collaboration in order to </w:t>
      </w:r>
      <w:r>
        <w:t xml:space="preserve">increase its </w:t>
      </w:r>
      <w:r w:rsidR="003C54DF">
        <w:t xml:space="preserve">focus on voice and participation </w:t>
      </w:r>
      <w:r>
        <w:t xml:space="preserve">for women and girls. </w:t>
      </w:r>
    </w:p>
    <w:p w14:paraId="68BC815E" w14:textId="1ED69A5D" w:rsidR="00B13007" w:rsidRDefault="00B13007" w:rsidP="00CD6F7A">
      <w:pPr>
        <w:pStyle w:val="ListParagraph"/>
        <w:numPr>
          <w:ilvl w:val="0"/>
          <w:numId w:val="21"/>
        </w:numPr>
        <w:jc w:val="both"/>
      </w:pPr>
      <w:r>
        <w:t>That</w:t>
      </w:r>
      <w:r w:rsidRPr="00E134A2">
        <w:rPr>
          <w:b/>
        </w:rPr>
        <w:t xml:space="preserve"> DFAT</w:t>
      </w:r>
      <w:r>
        <w:t xml:space="preserve"> develop an overall strategy for its engagement with CSO</w:t>
      </w:r>
      <w:r w:rsidR="00B17089">
        <w:t>s</w:t>
      </w:r>
      <w:r>
        <w:t xml:space="preserve">. </w:t>
      </w:r>
    </w:p>
    <w:p w14:paraId="22BBECAF" w14:textId="77777777" w:rsidR="00B13007" w:rsidRDefault="00B13007" w:rsidP="00D05AAA">
      <w:pPr>
        <w:pStyle w:val="Heading4"/>
        <w:jc w:val="both"/>
      </w:pPr>
      <w:r>
        <w:t>Future Options</w:t>
      </w:r>
    </w:p>
    <w:p w14:paraId="65458516" w14:textId="77777777" w:rsidR="00710FD1" w:rsidRPr="009F274F" w:rsidRDefault="00710FD1" w:rsidP="001C48E2">
      <w:pPr>
        <w:jc w:val="both"/>
        <w:rPr>
          <w:b/>
        </w:rPr>
      </w:pPr>
      <w:r w:rsidRPr="000C39CF">
        <w:t xml:space="preserve">Prior to reviewing options, the ISR recommends that </w:t>
      </w:r>
      <w:r w:rsidRPr="000C39CF">
        <w:rPr>
          <w:b/>
        </w:rPr>
        <w:t xml:space="preserve">DFAT </w:t>
      </w:r>
      <w:r w:rsidRPr="000C39CF">
        <w:t>give consideration to the following questions, which in turn would help shape decision-making about those options</w:t>
      </w:r>
      <w:r w:rsidRPr="009F274F">
        <w:rPr>
          <w:b/>
        </w:rPr>
        <w:t xml:space="preserve">. </w:t>
      </w:r>
    </w:p>
    <w:p w14:paraId="370F86F1" w14:textId="33649CAD" w:rsidR="00710FD1" w:rsidRDefault="00710FD1" w:rsidP="00CD6F7A">
      <w:pPr>
        <w:pStyle w:val="ListParagraph"/>
        <w:numPr>
          <w:ilvl w:val="0"/>
          <w:numId w:val="18"/>
        </w:numPr>
        <w:jc w:val="both"/>
      </w:pPr>
      <w:r w:rsidRPr="003F3936">
        <w:rPr>
          <w:b/>
        </w:rPr>
        <w:t>The horizon of investment</w:t>
      </w:r>
      <w:r>
        <w:t xml:space="preserve">: MAMPU was described by some respondents as part of the trajectory of development and change in Indonesia that has taken place since </w:t>
      </w:r>
      <w:r w:rsidRPr="00CD60D2">
        <w:rPr>
          <w:i/>
        </w:rPr>
        <w:t>Reformasi</w:t>
      </w:r>
      <w:r>
        <w:rPr>
          <w:i/>
        </w:rPr>
        <w:t>.</w:t>
      </w:r>
      <w:r>
        <w:t xml:space="preserve"> </w:t>
      </w:r>
      <w:r w:rsidRPr="008C6A1F">
        <w:rPr>
          <w:i/>
        </w:rPr>
        <w:t>Is DFAT interested to make a similar ambitious (in terms of vision and time) contribution going forward?</w:t>
      </w:r>
    </w:p>
    <w:p w14:paraId="69B89F3E" w14:textId="35DB78E8" w:rsidR="00710FD1" w:rsidRDefault="00710FD1" w:rsidP="00CD6F7A">
      <w:pPr>
        <w:pStyle w:val="ListParagraph"/>
        <w:numPr>
          <w:ilvl w:val="0"/>
          <w:numId w:val="18"/>
        </w:numPr>
        <w:jc w:val="both"/>
      </w:pPr>
      <w:r w:rsidRPr="003F3936">
        <w:rPr>
          <w:b/>
        </w:rPr>
        <w:t>National and/or subnational focus</w:t>
      </w:r>
      <w:r>
        <w:t xml:space="preserve">: DFAT has the opportunity through a future program for women’s empowerment and gender equality and possibly other existing programs, to have a more comprehensive subnational focus in selected geographic areas. </w:t>
      </w:r>
      <w:r w:rsidRPr="008C6A1F">
        <w:rPr>
          <w:i/>
        </w:rPr>
        <w:t>What is the intended focus of DFAT work going forward in an increasingly decentralised Indonesian context?</w:t>
      </w:r>
      <w:r>
        <w:t xml:space="preserve"> </w:t>
      </w:r>
    </w:p>
    <w:p w14:paraId="6AC2099A" w14:textId="202E5434" w:rsidR="00710FD1" w:rsidRDefault="00710FD1" w:rsidP="00CD6F7A">
      <w:pPr>
        <w:pStyle w:val="ListParagraph"/>
        <w:numPr>
          <w:ilvl w:val="0"/>
          <w:numId w:val="18"/>
        </w:numPr>
        <w:jc w:val="both"/>
      </w:pPr>
      <w:r w:rsidRPr="003F3936">
        <w:rPr>
          <w:b/>
        </w:rPr>
        <w:t>Internal DFAT collaboration</w:t>
      </w:r>
      <w:r>
        <w:t xml:space="preserve">: there is opportunity for increased impact from DFAT programs, through more collaboration around strategies for women’s empowerment and gender equality. </w:t>
      </w:r>
      <w:r w:rsidRPr="008C6A1F">
        <w:rPr>
          <w:i/>
        </w:rPr>
        <w:t>Is DFAT in Indonesia prepared to consider these shifts, particularly in the upcoming Australia Indonesia aid investment plan, as a basis for more comprehensive and improved programming going forward?</w:t>
      </w:r>
    </w:p>
    <w:p w14:paraId="6D3B5C05" w14:textId="3D7E3D71" w:rsidR="000C39CF" w:rsidRDefault="000C39CF" w:rsidP="001C48E2">
      <w:pPr>
        <w:jc w:val="both"/>
      </w:pPr>
      <w:r>
        <w:t xml:space="preserve">Going forward, it is strongly recommended by the ISR, that </w:t>
      </w:r>
      <w:r w:rsidRPr="000C39CF">
        <w:rPr>
          <w:b/>
        </w:rPr>
        <w:t>DFAT</w:t>
      </w:r>
      <w:r>
        <w:t xml:space="preserve"> consider options which maintain some dedicated focus on women’s empowerment and gender equality and provide</w:t>
      </w:r>
      <w:r w:rsidR="00670A9B">
        <w:t>s</w:t>
      </w:r>
      <w:r>
        <w:t xml:space="preserve"> the opportunity for DFAT to continue to work towards that end with good quality CSO partners and the Government of Indonesia.</w:t>
      </w:r>
    </w:p>
    <w:p w14:paraId="1E73C0E1" w14:textId="22177124" w:rsidR="00B13007" w:rsidRDefault="008C6A1F" w:rsidP="00D05AAA">
      <w:pPr>
        <w:pStyle w:val="Heading4"/>
        <w:jc w:val="both"/>
      </w:pPr>
      <w:r>
        <w:t xml:space="preserve">Option 1. </w:t>
      </w:r>
      <w:r w:rsidR="00B13007">
        <w:t xml:space="preserve">A new standalone program </w:t>
      </w:r>
    </w:p>
    <w:p w14:paraId="59BB4045" w14:textId="71D29C27" w:rsidR="00B13007" w:rsidRDefault="008C6A1F" w:rsidP="00D05AAA">
      <w:pPr>
        <w:jc w:val="both"/>
      </w:pPr>
      <w:r>
        <w:t xml:space="preserve">A new </w:t>
      </w:r>
      <w:r w:rsidR="002C1140">
        <w:t>program</w:t>
      </w:r>
      <w:r>
        <w:t xml:space="preserve"> </w:t>
      </w:r>
      <w:r w:rsidR="00B13007">
        <w:t xml:space="preserve">would enable continuation of the current program </w:t>
      </w:r>
      <w:r w:rsidR="00670A9B">
        <w:t xml:space="preserve">of </w:t>
      </w:r>
      <w:r w:rsidR="00B13007">
        <w:t xml:space="preserve">work over </w:t>
      </w:r>
      <w:r w:rsidR="000C39CF">
        <w:t xml:space="preserve">a </w:t>
      </w:r>
      <w:r w:rsidR="00B13007">
        <w:t xml:space="preserve">further 3 to 4 years and provide the time that is required for current program strategies </w:t>
      </w:r>
      <w:r w:rsidR="000C39CF">
        <w:t xml:space="preserve">for </w:t>
      </w:r>
      <w:r w:rsidR="00B13007">
        <w:t xml:space="preserve">increased service delivery and sustained changes for women to be fully realised. While there are considerable merits in a further stand-alone program for women’s empowerment and gender equality, including the opportunity to build upon lessons learned and improve programming approaches and program focus, this will not serve the DFAT intention to consolidate its large number of stand-alone programs. </w:t>
      </w:r>
    </w:p>
    <w:p w14:paraId="7F9D6A4F" w14:textId="26C597C8" w:rsidR="00B13007" w:rsidRDefault="008C6A1F" w:rsidP="00D05AAA">
      <w:pPr>
        <w:pStyle w:val="Heading4"/>
        <w:jc w:val="both"/>
      </w:pPr>
      <w:r>
        <w:t xml:space="preserve">Option 2. </w:t>
      </w:r>
      <w:r w:rsidR="00B13007">
        <w:t xml:space="preserve">Mainstreamed work </w:t>
      </w:r>
    </w:p>
    <w:p w14:paraId="21B114CE" w14:textId="5DF5A696" w:rsidR="00B13007" w:rsidRDefault="00B13007" w:rsidP="00D05AAA">
      <w:pPr>
        <w:jc w:val="both"/>
      </w:pPr>
      <w:r>
        <w:t>The considerable learning, strategies for change and working relationships with competent CSO</w:t>
      </w:r>
      <w:r w:rsidR="00670A9B">
        <w:t>s</w:t>
      </w:r>
      <w:r>
        <w:t xml:space="preserve"> developed through MAMPU Phase 2 could be taken forward in a systematic way into other DFAT programs in Indonesia. The ISR recommend</w:t>
      </w:r>
      <w:r w:rsidR="00670A9B">
        <w:t>s</w:t>
      </w:r>
      <w:r>
        <w:t xml:space="preserve"> that if DFAT consider</w:t>
      </w:r>
      <w:r w:rsidR="00C85EE7">
        <w:t>s</w:t>
      </w:r>
      <w:r>
        <w:t xml:space="preserve"> this option, a comprehensive plan for integration of learning, activities and CSO relationships is developed in advance, with appropriate con</w:t>
      </w:r>
      <w:r w:rsidR="00E71BDE">
        <w:t xml:space="preserve">tractual and design amendments. </w:t>
      </w:r>
      <w:r>
        <w:t>However</w:t>
      </w:r>
      <w:r w:rsidR="00344B57">
        <w:t>,</w:t>
      </w:r>
      <w:r>
        <w:t xml:space="preserve"> the ISR also note</w:t>
      </w:r>
      <w:r w:rsidR="00C85EE7">
        <w:t>s</w:t>
      </w:r>
      <w:r>
        <w:t xml:space="preserve"> that wholly mainstreaming the existing work would risk </w:t>
      </w:r>
      <w:r w:rsidR="003D628B">
        <w:t xml:space="preserve">losing </w:t>
      </w:r>
      <w:r>
        <w:t>the momentum for transformational change</w:t>
      </w:r>
      <w:r w:rsidR="003D628B">
        <w:t>.</w:t>
      </w:r>
      <w:r>
        <w:t xml:space="preserve"> </w:t>
      </w:r>
    </w:p>
    <w:p w14:paraId="2177DE08" w14:textId="516B9FF3" w:rsidR="004966F0" w:rsidRPr="00952B36" w:rsidRDefault="004966F0" w:rsidP="00D05AAA">
      <w:pPr>
        <w:pStyle w:val="Heading4"/>
        <w:jc w:val="both"/>
      </w:pPr>
      <w:r w:rsidRPr="00952B36">
        <w:t xml:space="preserve">Option </w:t>
      </w:r>
      <w:r w:rsidR="008C6A1F" w:rsidRPr="00952B36">
        <w:t xml:space="preserve">3. </w:t>
      </w:r>
      <w:r w:rsidRPr="00952B36">
        <w:t xml:space="preserve"> A combined modality</w:t>
      </w:r>
    </w:p>
    <w:p w14:paraId="0E8D9F6B" w14:textId="71686714" w:rsidR="00B13007" w:rsidRPr="00952B36" w:rsidRDefault="004966F0" w:rsidP="00D05AAA">
      <w:pPr>
        <w:jc w:val="both"/>
      </w:pPr>
      <w:r w:rsidRPr="00952B36">
        <w:t xml:space="preserve">Drawing from examples in other DFAT posts, DFAT </w:t>
      </w:r>
      <w:r w:rsidR="008C6A1F" w:rsidRPr="00952B36">
        <w:t>could establish</w:t>
      </w:r>
      <w:r w:rsidRPr="00952B36">
        <w:t xml:space="preserve"> a facility with a shared platform of operational services. In practice this means there </w:t>
      </w:r>
      <w:r w:rsidR="008C6A1F" w:rsidRPr="00952B36">
        <w:t>would be</w:t>
      </w:r>
      <w:r w:rsidRPr="00952B36">
        <w:t xml:space="preserve"> distinct components of work, each with their own appropriate set of strategies, approaches and locations for change but </w:t>
      </w:r>
      <w:r w:rsidR="008C6A1F" w:rsidRPr="00952B36">
        <w:t>sharing</w:t>
      </w:r>
      <w:r w:rsidRPr="00952B36">
        <w:t xml:space="preserve"> one operational platform which addresses human resources, financing, operations, communications and monitoring and evaluation.</w:t>
      </w:r>
    </w:p>
    <w:p w14:paraId="3F15C143" w14:textId="77EB2B13" w:rsidR="008C6A1F" w:rsidRPr="008C6A1F" w:rsidRDefault="008C6A1F" w:rsidP="00D05AAA">
      <w:pPr>
        <w:jc w:val="both"/>
        <w:rPr>
          <w:b/>
        </w:rPr>
      </w:pPr>
      <w:r w:rsidRPr="00952B36">
        <w:rPr>
          <w:b/>
        </w:rPr>
        <w:t>The ISR recommend</w:t>
      </w:r>
      <w:r w:rsidR="00C85EE7">
        <w:rPr>
          <w:b/>
        </w:rPr>
        <w:t>s</w:t>
      </w:r>
      <w:r w:rsidRPr="00952B36">
        <w:rPr>
          <w:b/>
        </w:rPr>
        <w:t xml:space="preserve"> that DFAT consider this option but do so with careful consideration to the </w:t>
      </w:r>
      <w:r w:rsidR="00E71BDE" w:rsidRPr="00952B36">
        <w:rPr>
          <w:b/>
        </w:rPr>
        <w:t xml:space="preserve">likely </w:t>
      </w:r>
      <w:r w:rsidR="002C1140" w:rsidRPr="00952B36">
        <w:rPr>
          <w:b/>
        </w:rPr>
        <w:t>challenges</w:t>
      </w:r>
      <w:r w:rsidR="00E71BDE" w:rsidRPr="00952B36">
        <w:rPr>
          <w:b/>
        </w:rPr>
        <w:t xml:space="preserve"> for </w:t>
      </w:r>
      <w:r w:rsidRPr="00952B36">
        <w:rPr>
          <w:b/>
        </w:rPr>
        <w:t xml:space="preserve">program </w:t>
      </w:r>
      <w:r w:rsidR="002C1140" w:rsidRPr="00952B36">
        <w:rPr>
          <w:b/>
        </w:rPr>
        <w:t>management</w:t>
      </w:r>
      <w:r w:rsidR="00E71BDE" w:rsidRPr="00952B36">
        <w:rPr>
          <w:b/>
        </w:rPr>
        <w:t xml:space="preserve"> and implementation</w:t>
      </w:r>
      <w:r w:rsidRPr="00952B36">
        <w:rPr>
          <w:b/>
        </w:rPr>
        <w:t>.</w:t>
      </w:r>
    </w:p>
    <w:p w14:paraId="3A0EF4EA" w14:textId="77777777" w:rsidR="000C39CF" w:rsidRDefault="000C39CF">
      <w:pPr>
        <w:rPr>
          <w:rFonts w:asciiTheme="majorHAnsi" w:eastAsiaTheme="majorEastAsia" w:hAnsiTheme="majorHAnsi" w:cstheme="majorBidi"/>
          <w:color w:val="2E74B5" w:themeColor="accent1" w:themeShade="BF"/>
          <w:sz w:val="32"/>
          <w:szCs w:val="32"/>
        </w:rPr>
      </w:pPr>
      <w:r>
        <w:br w:type="page"/>
      </w:r>
    </w:p>
    <w:p w14:paraId="5497300C" w14:textId="29AF02E6" w:rsidR="0048100F" w:rsidRDefault="0048100F" w:rsidP="001C48E2">
      <w:pPr>
        <w:pStyle w:val="Heading1"/>
        <w:jc w:val="both"/>
      </w:pPr>
      <w:bookmarkStart w:id="2" w:name="_Toc21523882"/>
      <w:r>
        <w:t>Acronyms</w:t>
      </w:r>
      <w:bookmarkEnd w:id="2"/>
      <w:r w:rsidR="003B1EA5">
        <w:t xml:space="preserve"> </w:t>
      </w:r>
    </w:p>
    <w:p w14:paraId="1FC93826" w14:textId="0278459F" w:rsidR="00525788" w:rsidRPr="00F541E0" w:rsidRDefault="00525788" w:rsidP="001C48E2">
      <w:pPr>
        <w:tabs>
          <w:tab w:val="left" w:pos="2127"/>
        </w:tabs>
        <w:spacing w:after="120" w:line="240" w:lineRule="auto"/>
        <w:jc w:val="both"/>
        <w:rPr>
          <w:rFonts w:eastAsia="Arial Unicode MS" w:cstheme="minorHAnsi"/>
          <w:sz w:val="32"/>
        </w:rPr>
      </w:pPr>
      <w:r w:rsidRPr="00F541E0">
        <w:rPr>
          <w:rStyle w:val="A7"/>
          <w:bCs/>
          <w:sz w:val="24"/>
        </w:rPr>
        <w:t xml:space="preserve">APBD </w:t>
      </w:r>
      <w:r w:rsidRPr="00F541E0">
        <w:rPr>
          <w:rStyle w:val="A7"/>
          <w:b/>
          <w:bCs/>
          <w:sz w:val="24"/>
        </w:rPr>
        <w:tab/>
      </w:r>
      <w:r w:rsidRPr="00F541E0">
        <w:rPr>
          <w:rStyle w:val="A7"/>
          <w:sz w:val="24"/>
        </w:rPr>
        <w:t>Anggaran Pendapatan dan Belanja Daerah / Local Government Budget</w:t>
      </w:r>
    </w:p>
    <w:p w14:paraId="18EF7768" w14:textId="0F02310F" w:rsidR="00525788" w:rsidRPr="00F541E0" w:rsidRDefault="00525788" w:rsidP="001C48E2">
      <w:pPr>
        <w:tabs>
          <w:tab w:val="left" w:pos="2127"/>
        </w:tabs>
        <w:spacing w:after="120" w:line="240" w:lineRule="auto"/>
        <w:ind w:left="2126" w:hanging="2126"/>
        <w:jc w:val="both"/>
        <w:rPr>
          <w:rFonts w:eastAsia="Arial Unicode MS" w:cstheme="minorHAnsi"/>
          <w:sz w:val="28"/>
        </w:rPr>
      </w:pPr>
      <w:r w:rsidRPr="00E83564">
        <w:rPr>
          <w:rStyle w:val="A7"/>
          <w:bCs/>
          <w:sz w:val="22"/>
        </w:rPr>
        <w:t xml:space="preserve">BaKTI </w:t>
      </w:r>
      <w:r w:rsidRPr="00F541E0">
        <w:rPr>
          <w:rStyle w:val="A7"/>
          <w:b/>
          <w:bCs/>
          <w:sz w:val="22"/>
        </w:rPr>
        <w:tab/>
      </w:r>
      <w:r w:rsidRPr="00F541E0">
        <w:rPr>
          <w:rStyle w:val="A7"/>
          <w:sz w:val="22"/>
        </w:rPr>
        <w:t>Bursa Pengetahuan Kawasan Timur Indonesia / Eastern Indonesian Knowledge Exchange Foundation</w:t>
      </w:r>
    </w:p>
    <w:p w14:paraId="471B1D04" w14:textId="5B1392B1"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BAPPENAS</w:t>
      </w:r>
      <w:r w:rsidRPr="00160AA7">
        <w:rPr>
          <w:rFonts w:eastAsia="Arial Unicode MS" w:cstheme="minorHAnsi"/>
        </w:rPr>
        <w:tab/>
        <w:t xml:space="preserve">Ministry for National Development Planning </w:t>
      </w:r>
    </w:p>
    <w:p w14:paraId="7635086D" w14:textId="77777777" w:rsidR="003659F9" w:rsidRPr="00160AA7" w:rsidRDefault="003659F9" w:rsidP="001C48E2">
      <w:pPr>
        <w:tabs>
          <w:tab w:val="left" w:pos="2127"/>
        </w:tabs>
        <w:spacing w:after="120" w:line="240" w:lineRule="auto"/>
        <w:jc w:val="both"/>
        <w:rPr>
          <w:rFonts w:eastAsia="Arial Unicode MS" w:cstheme="minorHAnsi"/>
        </w:rPr>
      </w:pPr>
      <w:r w:rsidRPr="00160AA7">
        <w:rPr>
          <w:rFonts w:eastAsia="Arial Unicode MS" w:cstheme="minorHAnsi"/>
        </w:rPr>
        <w:t>COR</w:t>
      </w:r>
      <w:r w:rsidRPr="00160AA7">
        <w:rPr>
          <w:rFonts w:eastAsia="Arial Unicode MS" w:cstheme="minorHAnsi"/>
        </w:rPr>
        <w:tab/>
      </w:r>
      <w:r w:rsidRPr="00160AA7">
        <w:rPr>
          <w:rFonts w:cstheme="minorHAnsi"/>
        </w:rPr>
        <w:t>Collaborative Outcomes Reporting</w:t>
      </w:r>
    </w:p>
    <w:p w14:paraId="6B9145F7" w14:textId="77777777" w:rsidR="0010621E" w:rsidRPr="00160AA7" w:rsidRDefault="0010621E" w:rsidP="001C48E2">
      <w:pPr>
        <w:tabs>
          <w:tab w:val="left" w:pos="2127"/>
        </w:tabs>
        <w:spacing w:after="120" w:line="240" w:lineRule="auto"/>
        <w:jc w:val="both"/>
        <w:rPr>
          <w:rFonts w:eastAsia="Arial Unicode MS" w:cstheme="minorHAnsi"/>
        </w:rPr>
      </w:pPr>
      <w:r w:rsidRPr="00160AA7">
        <w:rPr>
          <w:rFonts w:eastAsia="Arial Unicode MS" w:cstheme="minorHAnsi"/>
        </w:rPr>
        <w:t>CSO</w:t>
      </w:r>
      <w:r w:rsidRPr="00160AA7">
        <w:rPr>
          <w:rFonts w:eastAsia="Arial Unicode MS" w:cstheme="minorHAnsi"/>
        </w:rPr>
        <w:tab/>
        <w:t>Civil Society Organisation</w:t>
      </w:r>
    </w:p>
    <w:p w14:paraId="3F36050C" w14:textId="77777777" w:rsidR="00BA2B06" w:rsidRPr="00160AA7" w:rsidRDefault="00BA2B06" w:rsidP="001C48E2">
      <w:pPr>
        <w:tabs>
          <w:tab w:val="left" w:pos="2127"/>
        </w:tabs>
        <w:spacing w:after="120" w:line="240" w:lineRule="auto"/>
        <w:ind w:left="2126" w:hanging="2126"/>
        <w:jc w:val="both"/>
        <w:rPr>
          <w:rFonts w:eastAsia="Arial Unicode MS" w:cstheme="minorHAnsi"/>
        </w:rPr>
      </w:pPr>
      <w:r w:rsidRPr="00160AA7">
        <w:rPr>
          <w:rFonts w:cstheme="minorHAnsi"/>
        </w:rPr>
        <w:t>DES</w:t>
      </w:r>
      <w:r w:rsidR="00D104F6" w:rsidRPr="00160AA7">
        <w:rPr>
          <w:rFonts w:cstheme="minorHAnsi"/>
        </w:rPr>
        <w:t>BUMI</w:t>
      </w:r>
      <w:r w:rsidR="00D104F6" w:rsidRPr="00160AA7">
        <w:rPr>
          <w:rFonts w:cstheme="minorHAnsi"/>
        </w:rPr>
        <w:tab/>
      </w:r>
      <w:r w:rsidR="00D104F6" w:rsidRPr="00952B36">
        <w:rPr>
          <w:rFonts w:cstheme="minorHAnsi"/>
          <w:i/>
        </w:rPr>
        <w:t>Desa Peduli Buruh Migran</w:t>
      </w:r>
      <w:r w:rsidR="00D104F6" w:rsidRPr="00160AA7">
        <w:rPr>
          <w:rFonts w:cstheme="minorHAnsi"/>
        </w:rPr>
        <w:t xml:space="preserve"> /</w:t>
      </w:r>
      <w:r w:rsidRPr="00160AA7">
        <w:rPr>
          <w:rFonts w:cstheme="minorHAnsi"/>
        </w:rPr>
        <w:t>An approach to providing services at the village level for women migrant workers pre, during and post migration</w:t>
      </w:r>
    </w:p>
    <w:p w14:paraId="166C81FE" w14:textId="77777777"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DFAT</w:t>
      </w:r>
      <w:r w:rsidRPr="00160AA7">
        <w:rPr>
          <w:rFonts w:eastAsia="Arial Unicode MS" w:cstheme="minorHAnsi"/>
        </w:rPr>
        <w:tab/>
        <w:t>Australia Department of Foreign Affairs and Trade</w:t>
      </w:r>
    </w:p>
    <w:p w14:paraId="5BC39E93" w14:textId="5E692030" w:rsidR="00BA2B06" w:rsidRPr="00160AA7" w:rsidRDefault="00BA2B06" w:rsidP="001C48E2">
      <w:pPr>
        <w:tabs>
          <w:tab w:val="left" w:pos="2127"/>
        </w:tabs>
        <w:spacing w:after="120" w:line="240" w:lineRule="auto"/>
        <w:jc w:val="both"/>
        <w:rPr>
          <w:rFonts w:eastAsia="Arial Unicode MS" w:cstheme="minorHAnsi"/>
        </w:rPr>
      </w:pPr>
      <w:r w:rsidRPr="00160AA7">
        <w:rPr>
          <w:rFonts w:eastAsia="Arial Unicode MS" w:cstheme="minorHAnsi"/>
        </w:rPr>
        <w:t>DPR</w:t>
      </w:r>
      <w:r w:rsidR="00476EB1">
        <w:rPr>
          <w:rFonts w:eastAsia="Arial Unicode MS" w:cstheme="minorHAnsi"/>
        </w:rPr>
        <w:t>RI</w:t>
      </w:r>
      <w:r w:rsidR="002E31D6" w:rsidRPr="00160AA7">
        <w:rPr>
          <w:rFonts w:eastAsia="Arial Unicode MS" w:cstheme="minorHAnsi"/>
        </w:rPr>
        <w:tab/>
      </w:r>
      <w:r w:rsidR="002E31D6" w:rsidRPr="00160AA7">
        <w:rPr>
          <w:rStyle w:val="A7"/>
          <w:rFonts w:cstheme="minorHAnsi"/>
          <w:sz w:val="22"/>
          <w:szCs w:val="22"/>
        </w:rPr>
        <w:t>Dewan Perwakilan Rakyat Republik Indonesia/ House of Representatives</w:t>
      </w:r>
    </w:p>
    <w:p w14:paraId="7AA75B2B" w14:textId="5293B4CD" w:rsidR="00BA2B06" w:rsidRDefault="00BA2B06" w:rsidP="001C48E2">
      <w:pPr>
        <w:tabs>
          <w:tab w:val="left" w:pos="2127"/>
        </w:tabs>
        <w:spacing w:after="120" w:line="240" w:lineRule="auto"/>
        <w:ind w:left="2127" w:hanging="2127"/>
        <w:jc w:val="both"/>
        <w:rPr>
          <w:rStyle w:val="A7"/>
          <w:rFonts w:cstheme="minorHAnsi"/>
          <w:sz w:val="22"/>
          <w:szCs w:val="22"/>
        </w:rPr>
      </w:pPr>
      <w:r w:rsidRPr="00160AA7">
        <w:rPr>
          <w:rFonts w:eastAsia="Arial Unicode MS" w:cstheme="minorHAnsi"/>
        </w:rPr>
        <w:t>DPRD</w:t>
      </w:r>
      <w:r w:rsidR="003B1EA5" w:rsidRPr="00160AA7">
        <w:rPr>
          <w:rFonts w:eastAsia="Arial Unicode MS" w:cstheme="minorHAnsi"/>
        </w:rPr>
        <w:tab/>
      </w:r>
      <w:r w:rsidR="002E31D6" w:rsidRPr="00160AA7">
        <w:rPr>
          <w:rFonts w:eastAsia="Arial Unicode MS" w:cstheme="minorHAnsi"/>
        </w:rPr>
        <w:tab/>
      </w:r>
      <w:r w:rsidR="003B1EA5" w:rsidRPr="00160AA7">
        <w:rPr>
          <w:rStyle w:val="A7"/>
          <w:rFonts w:cstheme="minorHAnsi"/>
          <w:sz w:val="22"/>
          <w:szCs w:val="22"/>
        </w:rPr>
        <w:t>Dewan Perwakilan Rakyat Daerah / Regional Council of People’s Representatives</w:t>
      </w:r>
    </w:p>
    <w:p w14:paraId="078BF56B" w14:textId="60448323" w:rsidR="00D61630" w:rsidRPr="00160AA7" w:rsidRDefault="00D61630" w:rsidP="001C48E2">
      <w:pPr>
        <w:tabs>
          <w:tab w:val="left" w:pos="2127"/>
        </w:tabs>
        <w:spacing w:after="120" w:line="240" w:lineRule="auto"/>
        <w:ind w:left="2127" w:hanging="2127"/>
        <w:jc w:val="both"/>
        <w:rPr>
          <w:rFonts w:eastAsia="Arial Unicode MS" w:cstheme="minorHAnsi"/>
        </w:rPr>
      </w:pPr>
      <w:r>
        <w:rPr>
          <w:rFonts w:eastAsia="Arial Unicode MS" w:cstheme="minorHAnsi"/>
        </w:rPr>
        <w:t>EOPO</w:t>
      </w:r>
      <w:r>
        <w:rPr>
          <w:rFonts w:eastAsia="Arial Unicode MS" w:cstheme="minorHAnsi"/>
        </w:rPr>
        <w:tab/>
        <w:t>End of program outcomes</w:t>
      </w:r>
    </w:p>
    <w:p w14:paraId="016184CC" w14:textId="77777777"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ISR</w:t>
      </w:r>
      <w:r w:rsidRPr="00160AA7">
        <w:rPr>
          <w:rFonts w:eastAsia="Arial Unicode MS" w:cstheme="minorHAnsi"/>
        </w:rPr>
        <w:tab/>
        <w:t>Independent Strategic Review</w:t>
      </w:r>
    </w:p>
    <w:p w14:paraId="787F65BF" w14:textId="77777777" w:rsidR="00BA2B06"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Kementerian PPN</w:t>
      </w:r>
      <w:r w:rsidRPr="00160AA7">
        <w:rPr>
          <w:rFonts w:eastAsia="Arial Unicode MS" w:cstheme="minorHAnsi"/>
        </w:rPr>
        <w:tab/>
        <w:t>Ministry for National Development Planning</w:t>
      </w:r>
    </w:p>
    <w:p w14:paraId="4A6F3DF8" w14:textId="588221ED"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Komnas P</w:t>
      </w:r>
      <w:r w:rsidR="005C1D47">
        <w:rPr>
          <w:rFonts w:eastAsia="Arial Unicode MS" w:cstheme="minorHAnsi"/>
        </w:rPr>
        <w:t>erempuan</w:t>
      </w:r>
      <w:r w:rsidR="005C1D47">
        <w:rPr>
          <w:rFonts w:eastAsia="Arial Unicode MS" w:cstheme="minorHAnsi"/>
        </w:rPr>
        <w:tab/>
        <w:t xml:space="preserve">National Commission on </w:t>
      </w:r>
      <w:r w:rsidR="00304417">
        <w:t xml:space="preserve">The Elimination of </w:t>
      </w:r>
      <w:r w:rsidRPr="00160AA7">
        <w:rPr>
          <w:rFonts w:eastAsia="Arial Unicode MS" w:cstheme="minorHAnsi"/>
        </w:rPr>
        <w:t>Violence Against Women</w:t>
      </w:r>
    </w:p>
    <w:p w14:paraId="28A932C7" w14:textId="350CBFA4" w:rsidR="003659F9" w:rsidRPr="00160AA7" w:rsidRDefault="003659F9" w:rsidP="001C48E2">
      <w:pPr>
        <w:tabs>
          <w:tab w:val="left" w:pos="2127"/>
        </w:tabs>
        <w:spacing w:after="120" w:line="240" w:lineRule="auto"/>
        <w:ind w:left="2126" w:hanging="2126"/>
        <w:jc w:val="both"/>
        <w:rPr>
          <w:rFonts w:eastAsia="Arial Unicode MS" w:cstheme="minorHAnsi"/>
        </w:rPr>
      </w:pPr>
      <w:r w:rsidRPr="00F541E0">
        <w:rPr>
          <w:rFonts w:cstheme="minorHAnsi"/>
        </w:rPr>
        <w:t>KOMPAK</w:t>
      </w:r>
      <w:r w:rsidRPr="00F541E0">
        <w:rPr>
          <w:rFonts w:cstheme="minorHAnsi"/>
        </w:rPr>
        <w:tab/>
      </w:r>
      <w:r w:rsidR="00476EB1" w:rsidRPr="00525788">
        <w:t>Kolaborasi Masyarakat dan Pelayanan untuk Kesejahteraan (Community Collaboration and Services for Welfare)</w:t>
      </w:r>
      <w:r w:rsidR="00525788">
        <w:t xml:space="preserve"> </w:t>
      </w:r>
      <w:r w:rsidRPr="00F541E0">
        <w:rPr>
          <w:rFonts w:cstheme="minorHAnsi"/>
        </w:rPr>
        <w:t>The Australia Indonesia Government Partnership</w:t>
      </w:r>
    </w:p>
    <w:p w14:paraId="7E0DD468" w14:textId="77777777" w:rsidR="003659F9" w:rsidRPr="00160AA7" w:rsidRDefault="003659F9" w:rsidP="001C48E2">
      <w:pPr>
        <w:tabs>
          <w:tab w:val="left" w:pos="2127"/>
        </w:tabs>
        <w:spacing w:after="120" w:line="240" w:lineRule="auto"/>
        <w:jc w:val="both"/>
        <w:rPr>
          <w:rFonts w:eastAsia="Arial Unicode MS" w:cstheme="minorHAnsi"/>
        </w:rPr>
      </w:pPr>
      <w:r w:rsidRPr="00160AA7">
        <w:rPr>
          <w:rFonts w:cstheme="minorHAnsi"/>
        </w:rPr>
        <w:t>KPPPA</w:t>
      </w:r>
      <w:r w:rsidRPr="00160AA7">
        <w:rPr>
          <w:rFonts w:cstheme="minorHAnsi"/>
        </w:rPr>
        <w:tab/>
        <w:t>Ministry of Women’s Empowerment and Child Protection</w:t>
      </w:r>
    </w:p>
    <w:p w14:paraId="739A8AFF" w14:textId="77777777" w:rsidR="0048100F" w:rsidRPr="00160AA7" w:rsidRDefault="0048100F" w:rsidP="001C48E2">
      <w:pPr>
        <w:tabs>
          <w:tab w:val="left" w:pos="2127"/>
        </w:tabs>
        <w:spacing w:after="120" w:line="240" w:lineRule="auto"/>
        <w:ind w:left="1440" w:hanging="1440"/>
        <w:jc w:val="both"/>
        <w:rPr>
          <w:rFonts w:eastAsia="Arial Unicode MS" w:cstheme="minorHAnsi"/>
        </w:rPr>
      </w:pPr>
      <w:r w:rsidRPr="00160AA7">
        <w:rPr>
          <w:rFonts w:eastAsia="Arial Unicode MS" w:cstheme="minorHAnsi"/>
        </w:rPr>
        <w:t>KPPN</w:t>
      </w:r>
      <w:r w:rsidRPr="00160AA7">
        <w:rPr>
          <w:rFonts w:eastAsia="Arial Unicode MS" w:cstheme="minorHAnsi"/>
        </w:rPr>
        <w:tab/>
      </w:r>
      <w:r w:rsidRPr="00160AA7">
        <w:rPr>
          <w:rFonts w:eastAsia="Arial Unicode MS" w:cstheme="minorHAnsi"/>
        </w:rPr>
        <w:tab/>
        <w:t>State Treasury Service Office</w:t>
      </w:r>
    </w:p>
    <w:p w14:paraId="0AD3442A" w14:textId="77777777" w:rsidR="0048100F" w:rsidRPr="00160AA7" w:rsidRDefault="0048100F" w:rsidP="001C48E2">
      <w:pPr>
        <w:tabs>
          <w:tab w:val="left" w:pos="2127"/>
        </w:tabs>
        <w:spacing w:after="120" w:line="240" w:lineRule="auto"/>
        <w:ind w:left="1440" w:hanging="1440"/>
        <w:jc w:val="both"/>
        <w:rPr>
          <w:rFonts w:eastAsia="Arial Unicode MS" w:cstheme="minorHAnsi"/>
        </w:rPr>
      </w:pPr>
      <w:r w:rsidRPr="00160AA7">
        <w:rPr>
          <w:rFonts w:eastAsia="Arial Unicode MS" w:cstheme="minorHAnsi"/>
        </w:rPr>
        <w:t>Komnas HAM</w:t>
      </w:r>
      <w:r w:rsidRPr="00160AA7">
        <w:rPr>
          <w:rFonts w:eastAsia="Arial Unicode MS" w:cstheme="minorHAnsi"/>
        </w:rPr>
        <w:tab/>
      </w:r>
      <w:r w:rsidRPr="00160AA7">
        <w:rPr>
          <w:rFonts w:eastAsia="Arial Unicode MS" w:cstheme="minorHAnsi"/>
        </w:rPr>
        <w:tab/>
        <w:t>National Commission on Human Rights</w:t>
      </w:r>
    </w:p>
    <w:p w14:paraId="65EAA58B" w14:textId="77777777" w:rsidR="003659F9" w:rsidRPr="00160AA7" w:rsidRDefault="003659F9" w:rsidP="001C48E2">
      <w:pPr>
        <w:tabs>
          <w:tab w:val="left" w:pos="2127"/>
        </w:tabs>
        <w:spacing w:after="120" w:line="240" w:lineRule="auto"/>
        <w:ind w:left="1440" w:hanging="1440"/>
        <w:jc w:val="both"/>
        <w:rPr>
          <w:rFonts w:eastAsia="Arial Unicode MS" w:cstheme="minorHAnsi"/>
        </w:rPr>
      </w:pPr>
      <w:r w:rsidRPr="00160AA7">
        <w:rPr>
          <w:rFonts w:cstheme="minorHAnsi"/>
        </w:rPr>
        <w:t>KSI</w:t>
      </w:r>
      <w:r w:rsidRPr="00160AA7">
        <w:rPr>
          <w:rFonts w:cstheme="minorHAnsi"/>
        </w:rPr>
        <w:tab/>
      </w:r>
      <w:r w:rsidRPr="00160AA7">
        <w:rPr>
          <w:rFonts w:cstheme="minorHAnsi"/>
        </w:rPr>
        <w:tab/>
        <w:t>Knowledge Sector Initiative</w:t>
      </w:r>
    </w:p>
    <w:p w14:paraId="75DDBEBA" w14:textId="77777777" w:rsidR="0048100F" w:rsidRPr="00160AA7" w:rsidRDefault="00B41CAC" w:rsidP="001C48E2">
      <w:pPr>
        <w:tabs>
          <w:tab w:val="left" w:pos="2127"/>
        </w:tabs>
        <w:spacing w:after="120" w:line="240" w:lineRule="auto"/>
        <w:jc w:val="both"/>
        <w:rPr>
          <w:rFonts w:eastAsia="Arial Unicode MS" w:cstheme="minorHAnsi"/>
        </w:rPr>
      </w:pPr>
      <w:r w:rsidRPr="00160AA7">
        <w:rPr>
          <w:rFonts w:eastAsia="Arial Unicode MS" w:cstheme="minorHAnsi"/>
        </w:rPr>
        <w:t>M</w:t>
      </w:r>
      <w:r w:rsidR="0048100F" w:rsidRPr="00160AA7">
        <w:rPr>
          <w:rFonts w:eastAsia="Arial Unicode MS" w:cstheme="minorHAnsi"/>
        </w:rPr>
        <w:t>&amp;E</w:t>
      </w:r>
      <w:r w:rsidR="0048100F" w:rsidRPr="00160AA7">
        <w:rPr>
          <w:rFonts w:eastAsia="Arial Unicode MS" w:cstheme="minorHAnsi"/>
        </w:rPr>
        <w:tab/>
        <w:t>Monitoring and Evaluation</w:t>
      </w:r>
    </w:p>
    <w:p w14:paraId="56EAE1BA" w14:textId="77777777" w:rsidR="0048100F" w:rsidRPr="00160AA7" w:rsidRDefault="0048100F" w:rsidP="001C48E2">
      <w:pPr>
        <w:tabs>
          <w:tab w:val="left" w:pos="2127"/>
        </w:tabs>
        <w:spacing w:after="120" w:line="240" w:lineRule="auto"/>
        <w:ind w:left="2268" w:hanging="2268"/>
        <w:jc w:val="both"/>
        <w:rPr>
          <w:rFonts w:eastAsia="Arial Unicode MS" w:cstheme="minorHAnsi"/>
        </w:rPr>
      </w:pPr>
      <w:r w:rsidRPr="00160AA7">
        <w:rPr>
          <w:rFonts w:eastAsia="Arial Unicode MS" w:cstheme="minorHAnsi"/>
        </w:rPr>
        <w:t>MAMPU</w:t>
      </w:r>
      <w:r w:rsidRPr="00160AA7">
        <w:rPr>
          <w:rFonts w:eastAsia="Arial Unicode MS" w:cstheme="minorHAnsi"/>
        </w:rPr>
        <w:tab/>
        <w:t xml:space="preserve">Australia-Indonesia Partnership </w:t>
      </w:r>
      <w:r w:rsidR="0010621E" w:rsidRPr="00160AA7">
        <w:rPr>
          <w:rFonts w:eastAsia="Arial Unicode MS" w:cstheme="minorHAnsi"/>
        </w:rPr>
        <w:t>for Gender Equality and Women’s</w:t>
      </w:r>
      <w:r w:rsidR="003B1EA5" w:rsidRPr="00160AA7">
        <w:rPr>
          <w:rFonts w:eastAsia="Arial Unicode MS" w:cstheme="minorHAnsi"/>
        </w:rPr>
        <w:t xml:space="preserve"> </w:t>
      </w:r>
      <w:r w:rsidRPr="00160AA7">
        <w:rPr>
          <w:rFonts w:eastAsia="Arial Unicode MS" w:cstheme="minorHAnsi"/>
        </w:rPr>
        <w:t xml:space="preserve">Empowerment  </w:t>
      </w:r>
    </w:p>
    <w:p w14:paraId="0BE275AA" w14:textId="597E0A27" w:rsidR="003659F9" w:rsidRPr="00160AA7" w:rsidRDefault="003659F9" w:rsidP="001C48E2">
      <w:pPr>
        <w:tabs>
          <w:tab w:val="left" w:pos="2127"/>
        </w:tabs>
        <w:spacing w:after="120" w:line="240" w:lineRule="auto"/>
        <w:ind w:left="2268" w:hanging="2268"/>
        <w:jc w:val="both"/>
        <w:rPr>
          <w:rFonts w:eastAsia="Arial Unicode MS" w:cstheme="minorHAnsi"/>
        </w:rPr>
      </w:pPr>
      <w:r w:rsidRPr="00160AA7">
        <w:rPr>
          <w:rFonts w:cstheme="minorHAnsi"/>
        </w:rPr>
        <w:t>MANIS</w:t>
      </w:r>
      <w:r w:rsidRPr="00160AA7">
        <w:rPr>
          <w:rFonts w:cstheme="minorHAnsi"/>
        </w:rPr>
        <w:tab/>
      </w:r>
      <w:r w:rsidR="00476EB1">
        <w:t xml:space="preserve">MAMPU National </w:t>
      </w:r>
      <w:r w:rsidRPr="00160AA7">
        <w:rPr>
          <w:rFonts w:cstheme="minorHAnsi"/>
        </w:rPr>
        <w:t>Management information system</w:t>
      </w:r>
    </w:p>
    <w:p w14:paraId="09C8AD1D" w14:textId="77777777" w:rsidR="003659F9" w:rsidRPr="00160AA7" w:rsidRDefault="003659F9" w:rsidP="001C48E2">
      <w:pPr>
        <w:tabs>
          <w:tab w:val="left" w:pos="2127"/>
        </w:tabs>
        <w:spacing w:after="120" w:line="240" w:lineRule="auto"/>
        <w:ind w:left="2268" w:hanging="2268"/>
        <w:jc w:val="both"/>
        <w:rPr>
          <w:rFonts w:eastAsia="Arial Unicode MS" w:cstheme="minorHAnsi"/>
        </w:rPr>
      </w:pPr>
      <w:r w:rsidRPr="00160AA7">
        <w:rPr>
          <w:rFonts w:cstheme="minorHAnsi"/>
        </w:rPr>
        <w:t>OCPAT</w:t>
      </w:r>
      <w:r w:rsidRPr="00160AA7">
        <w:rPr>
          <w:rFonts w:cstheme="minorHAnsi"/>
        </w:rPr>
        <w:tab/>
        <w:t>Organisational Capacity and Performance Assessments</w:t>
      </w:r>
    </w:p>
    <w:p w14:paraId="72A5E768" w14:textId="77777777" w:rsidR="00BA2B06" w:rsidRPr="00160AA7" w:rsidRDefault="00BA2B06" w:rsidP="001C48E2">
      <w:pPr>
        <w:tabs>
          <w:tab w:val="left" w:pos="2127"/>
        </w:tabs>
        <w:spacing w:after="120" w:line="240" w:lineRule="auto"/>
        <w:ind w:left="2268" w:hanging="2268"/>
        <w:jc w:val="both"/>
        <w:rPr>
          <w:rFonts w:eastAsia="Arial Unicode MS" w:cstheme="minorHAnsi"/>
        </w:rPr>
      </w:pPr>
      <w:r w:rsidRPr="00160AA7">
        <w:rPr>
          <w:rFonts w:eastAsia="Arial Unicode MS" w:cstheme="minorHAnsi"/>
        </w:rPr>
        <w:t>ODE</w:t>
      </w:r>
      <w:r w:rsidRPr="00160AA7">
        <w:rPr>
          <w:rFonts w:eastAsia="Arial Unicode MS" w:cstheme="minorHAnsi"/>
        </w:rPr>
        <w:tab/>
        <w:t>Office of Development Effectiveness (DFAT)</w:t>
      </w:r>
    </w:p>
    <w:p w14:paraId="61AB719F" w14:textId="5358629E" w:rsidR="00BA2B06" w:rsidRPr="00160AA7" w:rsidRDefault="00BA2B06" w:rsidP="001C48E2">
      <w:pPr>
        <w:pStyle w:val="Pa3"/>
        <w:ind w:left="2268" w:hanging="2268"/>
        <w:jc w:val="both"/>
        <w:rPr>
          <w:rFonts w:asciiTheme="minorHAnsi" w:hAnsiTheme="minorHAnsi" w:cstheme="minorHAnsi"/>
          <w:sz w:val="28"/>
          <w:szCs w:val="22"/>
        </w:rPr>
      </w:pPr>
      <w:r w:rsidRPr="00160AA7">
        <w:rPr>
          <w:rFonts w:asciiTheme="minorHAnsi" w:hAnsiTheme="minorHAnsi" w:cstheme="minorHAnsi"/>
          <w:sz w:val="22"/>
          <w:szCs w:val="22"/>
        </w:rPr>
        <w:t>P2TP2A</w:t>
      </w:r>
      <w:r w:rsidR="00946D00">
        <w:rPr>
          <w:rFonts w:asciiTheme="minorHAnsi" w:hAnsiTheme="minorHAnsi" w:cstheme="minorHAnsi"/>
          <w:sz w:val="22"/>
          <w:szCs w:val="22"/>
        </w:rPr>
        <w:tab/>
      </w:r>
      <w:r w:rsidR="002E31D6" w:rsidRPr="005C1D47">
        <w:rPr>
          <w:rStyle w:val="A7"/>
          <w:rFonts w:asciiTheme="minorHAnsi" w:hAnsiTheme="minorHAnsi" w:cstheme="minorHAnsi"/>
          <w:i/>
          <w:sz w:val="22"/>
        </w:rPr>
        <w:t>Pusat Pelaya</w:t>
      </w:r>
      <w:r w:rsidR="00476EB1">
        <w:rPr>
          <w:rStyle w:val="A7"/>
          <w:rFonts w:asciiTheme="minorHAnsi" w:hAnsiTheme="minorHAnsi" w:cstheme="minorHAnsi"/>
          <w:i/>
          <w:sz w:val="22"/>
        </w:rPr>
        <w:t>n</w:t>
      </w:r>
      <w:r w:rsidR="002E31D6" w:rsidRPr="005C1D47">
        <w:rPr>
          <w:rStyle w:val="A7"/>
          <w:rFonts w:asciiTheme="minorHAnsi" w:hAnsiTheme="minorHAnsi" w:cstheme="minorHAnsi"/>
          <w:i/>
          <w:sz w:val="22"/>
        </w:rPr>
        <w:t>an Terpadu Pe</w:t>
      </w:r>
      <w:r w:rsidR="00D104F6" w:rsidRPr="005C1D47">
        <w:rPr>
          <w:rStyle w:val="A7"/>
          <w:rFonts w:asciiTheme="minorHAnsi" w:hAnsiTheme="minorHAnsi" w:cstheme="minorHAnsi"/>
          <w:i/>
          <w:sz w:val="22"/>
        </w:rPr>
        <w:t>mberdayaan Perempuan dan Anak</w:t>
      </w:r>
      <w:r w:rsidR="00D104F6" w:rsidRPr="00160AA7">
        <w:rPr>
          <w:rStyle w:val="A7"/>
          <w:rFonts w:asciiTheme="minorHAnsi" w:hAnsiTheme="minorHAnsi" w:cstheme="minorHAnsi"/>
          <w:sz w:val="22"/>
        </w:rPr>
        <w:t xml:space="preserve"> /</w:t>
      </w:r>
      <w:r w:rsidR="002E31D6" w:rsidRPr="00160AA7">
        <w:rPr>
          <w:rStyle w:val="A7"/>
          <w:rFonts w:asciiTheme="minorHAnsi" w:hAnsiTheme="minorHAnsi" w:cstheme="minorHAnsi"/>
          <w:sz w:val="22"/>
        </w:rPr>
        <w:t>Integrated Services Center for Women and Children’s Empowerment</w:t>
      </w:r>
    </w:p>
    <w:p w14:paraId="0932CFE2" w14:textId="77777777" w:rsidR="003659F9" w:rsidRPr="00160AA7" w:rsidRDefault="003659F9" w:rsidP="001C48E2">
      <w:pPr>
        <w:tabs>
          <w:tab w:val="left" w:pos="2127"/>
        </w:tabs>
        <w:spacing w:after="120" w:line="240" w:lineRule="auto"/>
        <w:ind w:left="2268" w:hanging="2268"/>
        <w:jc w:val="both"/>
        <w:rPr>
          <w:rFonts w:eastAsia="Arial Unicode MS" w:cstheme="minorHAnsi"/>
        </w:rPr>
      </w:pPr>
      <w:r w:rsidRPr="00160AA7">
        <w:rPr>
          <w:rFonts w:cstheme="minorHAnsi"/>
        </w:rPr>
        <w:t>PA</w:t>
      </w:r>
      <w:r w:rsidRPr="00160AA7">
        <w:rPr>
          <w:rFonts w:cstheme="minorHAnsi"/>
        </w:rPr>
        <w:tab/>
        <w:t>Participatory Audit</w:t>
      </w:r>
    </w:p>
    <w:p w14:paraId="7D5DD2E3" w14:textId="77777777"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Pokja</w:t>
      </w:r>
      <w:r w:rsidRPr="00160AA7">
        <w:rPr>
          <w:rFonts w:eastAsia="Arial Unicode MS" w:cstheme="minorHAnsi"/>
        </w:rPr>
        <w:tab/>
        <w:t>Working Group</w:t>
      </w:r>
    </w:p>
    <w:p w14:paraId="13703ABD" w14:textId="77777777"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RPJMN</w:t>
      </w:r>
      <w:r w:rsidRPr="00160AA7">
        <w:rPr>
          <w:rFonts w:eastAsia="Arial Unicode MS" w:cstheme="minorHAnsi"/>
        </w:rPr>
        <w:tab/>
        <w:t>National Medium Term Development Plan</w:t>
      </w:r>
    </w:p>
    <w:p w14:paraId="538A2A45" w14:textId="77777777" w:rsidR="0048100F" w:rsidRPr="00160AA7" w:rsidRDefault="0048100F" w:rsidP="001C48E2">
      <w:pPr>
        <w:tabs>
          <w:tab w:val="left" w:pos="2127"/>
        </w:tabs>
        <w:spacing w:after="120" w:line="240" w:lineRule="auto"/>
        <w:jc w:val="both"/>
        <w:rPr>
          <w:rFonts w:eastAsia="Arial Unicode MS" w:cstheme="minorHAnsi"/>
        </w:rPr>
      </w:pPr>
      <w:r w:rsidRPr="00160AA7">
        <w:rPr>
          <w:rFonts w:eastAsia="Arial Unicode MS" w:cstheme="minorHAnsi"/>
        </w:rPr>
        <w:t>SDG</w:t>
      </w:r>
      <w:r w:rsidRPr="00160AA7">
        <w:rPr>
          <w:rFonts w:eastAsia="Arial Unicode MS" w:cstheme="minorHAnsi"/>
        </w:rPr>
        <w:tab/>
        <w:t>S</w:t>
      </w:r>
      <w:r w:rsidR="00E3126D" w:rsidRPr="00160AA7">
        <w:rPr>
          <w:rFonts w:eastAsia="Arial Unicode MS" w:cstheme="minorHAnsi"/>
        </w:rPr>
        <w:t>ustainable</w:t>
      </w:r>
      <w:r w:rsidRPr="00160AA7">
        <w:rPr>
          <w:rFonts w:eastAsia="Arial Unicode MS" w:cstheme="minorHAnsi"/>
        </w:rPr>
        <w:t xml:space="preserve"> Development Goals</w:t>
      </w:r>
    </w:p>
    <w:p w14:paraId="76846916" w14:textId="77777777" w:rsidR="00BA2B06" w:rsidRPr="00160AA7" w:rsidRDefault="00BA2B06" w:rsidP="001C48E2">
      <w:pPr>
        <w:pStyle w:val="Pa3"/>
        <w:ind w:left="2126" w:hanging="2126"/>
        <w:jc w:val="both"/>
        <w:rPr>
          <w:rFonts w:asciiTheme="minorHAnsi" w:eastAsia="Arial Unicode MS" w:hAnsiTheme="minorHAnsi" w:cstheme="minorHAnsi"/>
          <w:sz w:val="22"/>
          <w:szCs w:val="22"/>
        </w:rPr>
      </w:pPr>
      <w:r w:rsidRPr="00160AA7">
        <w:rPr>
          <w:rFonts w:asciiTheme="minorHAnsi" w:hAnsiTheme="minorHAnsi" w:cstheme="minorHAnsi"/>
          <w:sz w:val="22"/>
          <w:szCs w:val="22"/>
        </w:rPr>
        <w:t>SPPT-PKKTP</w:t>
      </w:r>
      <w:r w:rsidR="002E31D6" w:rsidRPr="00160AA7">
        <w:rPr>
          <w:rFonts w:asciiTheme="minorHAnsi" w:hAnsiTheme="minorHAnsi" w:cstheme="minorHAnsi"/>
        </w:rPr>
        <w:tab/>
      </w:r>
      <w:r w:rsidR="002E31D6" w:rsidRPr="00160AA7">
        <w:rPr>
          <w:rFonts w:asciiTheme="minorHAnsi" w:hAnsiTheme="minorHAnsi" w:cstheme="minorHAnsi"/>
        </w:rPr>
        <w:tab/>
      </w:r>
      <w:r w:rsidR="002E31D6" w:rsidRPr="00160AA7">
        <w:rPr>
          <w:rStyle w:val="A7"/>
          <w:rFonts w:asciiTheme="minorHAnsi" w:hAnsiTheme="minorHAnsi" w:cstheme="minorHAnsi"/>
          <w:sz w:val="22"/>
          <w:szCs w:val="22"/>
        </w:rPr>
        <w:t xml:space="preserve">Sistem Peradilan Pidana Terpadu – Penanganan Kasus Kekerasan Terhadap </w:t>
      </w:r>
      <w:r w:rsidR="002E31D6" w:rsidRPr="005C1D47">
        <w:rPr>
          <w:rStyle w:val="A7"/>
          <w:rFonts w:asciiTheme="minorHAnsi" w:hAnsiTheme="minorHAnsi" w:cstheme="minorHAnsi"/>
          <w:i/>
          <w:sz w:val="22"/>
          <w:szCs w:val="22"/>
        </w:rPr>
        <w:t>Perempuan</w:t>
      </w:r>
      <w:r w:rsidR="00D104F6" w:rsidRPr="00160AA7">
        <w:rPr>
          <w:rStyle w:val="A7"/>
          <w:rFonts w:asciiTheme="minorHAnsi" w:hAnsiTheme="minorHAnsi" w:cstheme="minorHAnsi"/>
          <w:sz w:val="22"/>
          <w:szCs w:val="22"/>
        </w:rPr>
        <w:t>/</w:t>
      </w:r>
      <w:r w:rsidR="002E31D6" w:rsidRPr="00160AA7">
        <w:rPr>
          <w:rStyle w:val="A7"/>
          <w:rFonts w:asciiTheme="minorHAnsi" w:hAnsiTheme="minorHAnsi" w:cstheme="minorHAnsi"/>
          <w:sz w:val="22"/>
          <w:szCs w:val="22"/>
        </w:rPr>
        <w:t xml:space="preserve"> Integrated Criminal Justice System for Handling Cases of Violence Against Women</w:t>
      </w:r>
    </w:p>
    <w:p w14:paraId="50C070E5" w14:textId="77777777" w:rsidR="00BA2B06" w:rsidRPr="00160AA7" w:rsidRDefault="00BA2B06" w:rsidP="0048100F">
      <w:pPr>
        <w:tabs>
          <w:tab w:val="left" w:pos="2127"/>
        </w:tabs>
        <w:spacing w:after="120" w:line="240" w:lineRule="auto"/>
        <w:rPr>
          <w:rFonts w:eastAsia="Arial Unicode MS" w:cstheme="minorHAnsi"/>
        </w:rPr>
      </w:pPr>
      <w:r w:rsidRPr="00160AA7">
        <w:rPr>
          <w:rFonts w:cstheme="minorHAnsi"/>
        </w:rPr>
        <w:t>TNP2K</w:t>
      </w:r>
      <w:r w:rsidR="002E31D6" w:rsidRPr="00160AA7">
        <w:rPr>
          <w:rFonts w:cstheme="minorHAnsi"/>
        </w:rPr>
        <w:tab/>
      </w:r>
      <w:r w:rsidR="002E31D6" w:rsidRPr="00160AA7">
        <w:rPr>
          <w:rStyle w:val="A7"/>
          <w:rFonts w:cstheme="minorHAnsi"/>
          <w:sz w:val="22"/>
          <w:szCs w:val="22"/>
        </w:rPr>
        <w:t>National Team for the Acceleration of Poverty Reduction</w:t>
      </w:r>
    </w:p>
    <w:p w14:paraId="01B7DD6F" w14:textId="206586AD" w:rsidR="00E83564" w:rsidRDefault="0048100F" w:rsidP="0048100F">
      <w:pPr>
        <w:tabs>
          <w:tab w:val="left" w:pos="2127"/>
        </w:tabs>
        <w:spacing w:after="120" w:line="240" w:lineRule="auto"/>
        <w:rPr>
          <w:rFonts w:eastAsia="Arial Unicode MS" w:cstheme="minorHAnsi"/>
        </w:rPr>
      </w:pPr>
      <w:r w:rsidRPr="00160AA7">
        <w:rPr>
          <w:rFonts w:eastAsia="Arial Unicode MS" w:cstheme="minorHAnsi"/>
        </w:rPr>
        <w:t>TOR</w:t>
      </w:r>
      <w:r w:rsidRPr="00160AA7">
        <w:rPr>
          <w:rFonts w:eastAsia="Arial Unicode MS" w:cstheme="minorHAnsi"/>
        </w:rPr>
        <w:tab/>
        <w:t>Terms of Reference</w:t>
      </w:r>
    </w:p>
    <w:p w14:paraId="71EC66D2" w14:textId="77777777" w:rsidR="00E83564" w:rsidRDefault="00E83564">
      <w:pPr>
        <w:rPr>
          <w:rFonts w:eastAsia="Arial Unicode MS" w:cstheme="minorHAnsi"/>
        </w:rPr>
      </w:pPr>
      <w:r>
        <w:rPr>
          <w:rFonts w:eastAsia="Arial Unicode MS" w:cstheme="minorHAnsi"/>
        </w:rPr>
        <w:br w:type="page"/>
      </w:r>
    </w:p>
    <w:bookmarkStart w:id="3" w:name="_Toc21523883" w:displacedByCustomXml="next"/>
    <w:sdt>
      <w:sdtPr>
        <w:rPr>
          <w:rFonts w:asciiTheme="minorHAnsi" w:eastAsiaTheme="minorHAnsi" w:hAnsiTheme="minorHAnsi" w:cstheme="minorBidi"/>
          <w:color w:val="auto"/>
          <w:sz w:val="22"/>
          <w:szCs w:val="22"/>
        </w:rPr>
        <w:id w:val="-140580758"/>
        <w:docPartObj>
          <w:docPartGallery w:val="Table of Contents"/>
          <w:docPartUnique/>
        </w:docPartObj>
      </w:sdtPr>
      <w:sdtEndPr>
        <w:rPr>
          <w:b/>
          <w:bCs/>
          <w:noProof/>
        </w:rPr>
      </w:sdtEndPr>
      <w:sdtContent>
        <w:p w14:paraId="47A9AAA9" w14:textId="77777777" w:rsidR="00525B4A" w:rsidRDefault="00525B4A" w:rsidP="00525B4A">
          <w:pPr>
            <w:pStyle w:val="Heading1"/>
          </w:pPr>
          <w:r>
            <w:t>Contents</w:t>
          </w:r>
          <w:bookmarkEnd w:id="3"/>
        </w:p>
        <w:p w14:paraId="4427AE7E" w14:textId="7F97A7CD" w:rsidR="008B18EF" w:rsidRPr="008B18EF" w:rsidRDefault="00525B4A">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21523881" w:history="1">
            <w:r w:rsidR="008B18EF" w:rsidRPr="008B18EF">
              <w:rPr>
                <w:rStyle w:val="Hyperlink"/>
                <w:noProof/>
                <w:color w:val="auto"/>
              </w:rPr>
              <w:t>Executive Summary</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_Toc21523881 \h </w:instrText>
            </w:r>
            <w:r w:rsidR="008B18EF" w:rsidRPr="008B18EF">
              <w:rPr>
                <w:noProof/>
                <w:webHidden/>
              </w:rPr>
            </w:r>
            <w:r w:rsidR="008B18EF" w:rsidRPr="008B18EF">
              <w:rPr>
                <w:noProof/>
                <w:webHidden/>
              </w:rPr>
              <w:fldChar w:fldCharType="separate"/>
            </w:r>
            <w:r w:rsidR="00E80C3C">
              <w:rPr>
                <w:noProof/>
                <w:webHidden/>
              </w:rPr>
              <w:t>2</w:t>
            </w:r>
            <w:r w:rsidR="008B18EF" w:rsidRPr="008B18EF">
              <w:rPr>
                <w:noProof/>
                <w:webHidden/>
              </w:rPr>
              <w:fldChar w:fldCharType="end"/>
            </w:r>
          </w:hyperlink>
        </w:p>
        <w:p w14:paraId="415DF44F" w14:textId="30B49E79" w:rsidR="008B18EF" w:rsidRPr="008B18EF" w:rsidRDefault="00FC4C4C">
          <w:pPr>
            <w:pStyle w:val="TOC1"/>
            <w:tabs>
              <w:tab w:val="right" w:leader="dot" w:pos="9016"/>
            </w:tabs>
            <w:rPr>
              <w:rFonts w:eastAsiaTheme="minorEastAsia"/>
              <w:noProof/>
              <w:lang w:eastAsia="en-AU"/>
            </w:rPr>
          </w:pPr>
          <w:hyperlink w:anchor="_Toc21523882" w:history="1">
            <w:r w:rsidR="008B18EF" w:rsidRPr="008B18EF">
              <w:rPr>
                <w:rStyle w:val="Hyperlink"/>
                <w:noProof/>
                <w:color w:val="auto"/>
              </w:rPr>
              <w:t>Acronyms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_Toc21523882 \h </w:instrText>
            </w:r>
            <w:r w:rsidR="008B18EF" w:rsidRPr="008B18EF">
              <w:rPr>
                <w:noProof/>
                <w:webHidden/>
              </w:rPr>
            </w:r>
            <w:r w:rsidR="008B18EF" w:rsidRPr="008B18EF">
              <w:rPr>
                <w:noProof/>
                <w:webHidden/>
              </w:rPr>
              <w:fldChar w:fldCharType="separate"/>
            </w:r>
            <w:r w:rsidR="00E80C3C">
              <w:rPr>
                <w:noProof/>
                <w:webHidden/>
              </w:rPr>
              <w:t>6</w:t>
            </w:r>
            <w:r w:rsidR="008B18EF" w:rsidRPr="008B18EF">
              <w:rPr>
                <w:noProof/>
                <w:webHidden/>
              </w:rPr>
              <w:fldChar w:fldCharType="end"/>
            </w:r>
          </w:hyperlink>
        </w:p>
        <w:p w14:paraId="4C72610D" w14:textId="075E1E33" w:rsidR="008B18EF" w:rsidRPr="008B18EF" w:rsidRDefault="00FC4C4C">
          <w:pPr>
            <w:pStyle w:val="TOC1"/>
            <w:tabs>
              <w:tab w:val="right" w:leader="dot" w:pos="9016"/>
            </w:tabs>
            <w:rPr>
              <w:rFonts w:eastAsiaTheme="minorEastAsia"/>
              <w:noProof/>
              <w:lang w:eastAsia="en-AU"/>
            </w:rPr>
          </w:pPr>
          <w:hyperlink w:anchor="_Toc21523883" w:history="1">
            <w:r w:rsidR="008B18EF" w:rsidRPr="008B18EF">
              <w:rPr>
                <w:rStyle w:val="Hyperlink"/>
                <w:noProof/>
                <w:color w:val="auto"/>
              </w:rPr>
              <w:t>Contents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_Toc21523883 \h </w:instrText>
            </w:r>
            <w:r w:rsidR="008B18EF" w:rsidRPr="008B18EF">
              <w:rPr>
                <w:noProof/>
                <w:webHidden/>
              </w:rPr>
            </w:r>
            <w:r w:rsidR="008B18EF" w:rsidRPr="008B18EF">
              <w:rPr>
                <w:noProof/>
                <w:webHidden/>
              </w:rPr>
              <w:fldChar w:fldCharType="separate"/>
            </w:r>
            <w:r w:rsidR="00E80C3C">
              <w:rPr>
                <w:noProof/>
                <w:webHidden/>
              </w:rPr>
              <w:t>8</w:t>
            </w:r>
            <w:r w:rsidR="008B18EF" w:rsidRPr="008B18EF">
              <w:rPr>
                <w:noProof/>
                <w:webHidden/>
              </w:rPr>
              <w:fldChar w:fldCharType="end"/>
            </w:r>
          </w:hyperlink>
        </w:p>
        <w:p w14:paraId="5B020E35" w14:textId="1CA0C8A4" w:rsidR="008B18EF" w:rsidRPr="008B18EF" w:rsidRDefault="00FC4C4C">
          <w:pPr>
            <w:pStyle w:val="TOC1"/>
            <w:tabs>
              <w:tab w:val="left" w:pos="440"/>
              <w:tab w:val="right" w:leader="dot" w:pos="9016"/>
            </w:tabs>
            <w:rPr>
              <w:rFonts w:eastAsiaTheme="minorEastAsia"/>
              <w:noProof/>
              <w:lang w:eastAsia="en-AU"/>
            </w:rPr>
          </w:pPr>
          <w:hyperlink w:anchor="_Toc21523884" w:history="1">
            <w:r w:rsidR="008B18EF" w:rsidRPr="008B18EF">
              <w:rPr>
                <w:rStyle w:val="Hyperlink"/>
                <w:noProof/>
                <w:color w:val="auto"/>
              </w:rPr>
              <w:t>1.</w:t>
            </w:r>
            <w:r w:rsidR="008B18EF" w:rsidRPr="008B18EF">
              <w:rPr>
                <w:rFonts w:eastAsiaTheme="minorEastAsia"/>
                <w:noProof/>
                <w:lang w:eastAsia="en-AU"/>
              </w:rPr>
              <w:tab/>
            </w:r>
            <w:r w:rsidR="008B18EF" w:rsidRPr="008B18EF">
              <w:rPr>
                <w:rStyle w:val="Hyperlink"/>
                <w:noProof/>
                <w:color w:val="auto"/>
              </w:rPr>
              <w:t>Introduction</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_Toc21523884 \h </w:instrText>
            </w:r>
            <w:r w:rsidR="008B18EF" w:rsidRPr="008B18EF">
              <w:rPr>
                <w:noProof/>
                <w:webHidden/>
              </w:rPr>
            </w:r>
            <w:r w:rsidR="008B18EF" w:rsidRPr="008B18EF">
              <w:rPr>
                <w:noProof/>
                <w:webHidden/>
              </w:rPr>
              <w:fldChar w:fldCharType="separate"/>
            </w:r>
            <w:r w:rsidR="00E80C3C">
              <w:rPr>
                <w:noProof/>
                <w:webHidden/>
              </w:rPr>
              <w:t>10</w:t>
            </w:r>
            <w:r w:rsidR="008B18EF" w:rsidRPr="008B18EF">
              <w:rPr>
                <w:noProof/>
                <w:webHidden/>
              </w:rPr>
              <w:fldChar w:fldCharType="end"/>
            </w:r>
          </w:hyperlink>
        </w:p>
        <w:p w14:paraId="78E7E2F7" w14:textId="6A9D88FE" w:rsidR="008B18EF" w:rsidRPr="008B18EF" w:rsidRDefault="00FC4C4C">
          <w:pPr>
            <w:pStyle w:val="TOC1"/>
            <w:tabs>
              <w:tab w:val="left" w:pos="440"/>
              <w:tab w:val="right" w:leader="dot" w:pos="9016"/>
            </w:tabs>
            <w:rPr>
              <w:rFonts w:eastAsiaTheme="minorEastAsia"/>
              <w:noProof/>
              <w:lang w:eastAsia="en-AU"/>
            </w:rPr>
          </w:pPr>
          <w:hyperlink w:anchor="_Toc21523885" w:history="1">
            <w:r w:rsidR="008B18EF" w:rsidRPr="008B18EF">
              <w:rPr>
                <w:rStyle w:val="Hyperlink"/>
                <w:noProof/>
                <w:color w:val="auto"/>
              </w:rPr>
              <w:t>2.</w:t>
            </w:r>
            <w:r w:rsidR="008B18EF" w:rsidRPr="008B18EF">
              <w:rPr>
                <w:rFonts w:eastAsiaTheme="minorEastAsia"/>
                <w:noProof/>
                <w:lang w:eastAsia="en-AU"/>
              </w:rPr>
              <w:tab/>
            </w:r>
            <w:r w:rsidR="008B18EF" w:rsidRPr="008B18EF">
              <w:rPr>
                <w:rStyle w:val="Hyperlink"/>
                <w:noProof/>
                <w:color w:val="auto"/>
              </w:rPr>
              <w:t>Methodology</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_Toc21523885 \h </w:instrText>
            </w:r>
            <w:r w:rsidR="008B18EF" w:rsidRPr="008B18EF">
              <w:rPr>
                <w:noProof/>
                <w:webHidden/>
              </w:rPr>
            </w:r>
            <w:r w:rsidR="008B18EF" w:rsidRPr="008B18EF">
              <w:rPr>
                <w:noProof/>
                <w:webHidden/>
              </w:rPr>
              <w:fldChar w:fldCharType="separate"/>
            </w:r>
            <w:r w:rsidR="00E80C3C">
              <w:rPr>
                <w:noProof/>
                <w:webHidden/>
              </w:rPr>
              <w:t>10</w:t>
            </w:r>
            <w:r w:rsidR="008B18EF" w:rsidRPr="008B18EF">
              <w:rPr>
                <w:noProof/>
                <w:webHidden/>
              </w:rPr>
              <w:fldChar w:fldCharType="end"/>
            </w:r>
          </w:hyperlink>
        </w:p>
        <w:p w14:paraId="72FB0428" w14:textId="074FA99B" w:rsidR="008B18EF" w:rsidRPr="008B18EF" w:rsidRDefault="00FC4C4C">
          <w:pPr>
            <w:pStyle w:val="TOC2"/>
            <w:tabs>
              <w:tab w:val="left" w:pos="880"/>
              <w:tab w:val="right" w:leader="dot" w:pos="9016"/>
            </w:tabs>
            <w:rPr>
              <w:rFonts w:eastAsiaTheme="minorEastAsia"/>
              <w:noProof/>
              <w:lang w:eastAsia="en-AU"/>
            </w:rPr>
          </w:pPr>
          <w:hyperlink w:anchor="_Toc21523886" w:history="1">
            <w:r w:rsidR="008B18EF" w:rsidRPr="008B18EF">
              <w:rPr>
                <w:rStyle w:val="Hyperlink"/>
                <w:noProof/>
                <w:color w:val="auto"/>
              </w:rPr>
              <w:t>2.1.</w:t>
            </w:r>
            <w:r w:rsidR="008B18EF" w:rsidRPr="008B18EF">
              <w:rPr>
                <w:rFonts w:eastAsiaTheme="minorEastAsia"/>
                <w:noProof/>
                <w:lang w:eastAsia="en-AU"/>
              </w:rPr>
              <w:tab/>
            </w:r>
            <w:r w:rsidR="008B18EF" w:rsidRPr="008B18EF">
              <w:rPr>
                <w:rStyle w:val="Hyperlink"/>
                <w:noProof/>
                <w:color w:val="auto"/>
              </w:rPr>
              <w:t>Purpose</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_Toc21523886 \h </w:instrText>
            </w:r>
            <w:r w:rsidR="008B18EF" w:rsidRPr="008B18EF">
              <w:rPr>
                <w:noProof/>
                <w:webHidden/>
              </w:rPr>
            </w:r>
            <w:r w:rsidR="008B18EF" w:rsidRPr="008B18EF">
              <w:rPr>
                <w:noProof/>
                <w:webHidden/>
              </w:rPr>
              <w:fldChar w:fldCharType="separate"/>
            </w:r>
            <w:r w:rsidR="00E80C3C">
              <w:rPr>
                <w:noProof/>
                <w:webHidden/>
              </w:rPr>
              <w:t>10</w:t>
            </w:r>
            <w:r w:rsidR="008B18EF" w:rsidRPr="008B18EF">
              <w:rPr>
                <w:noProof/>
                <w:webHidden/>
              </w:rPr>
              <w:fldChar w:fldCharType="end"/>
            </w:r>
          </w:hyperlink>
        </w:p>
        <w:p w14:paraId="22DB5810" w14:textId="71BF2ECA" w:rsidR="008B18EF" w:rsidRPr="008B18EF" w:rsidRDefault="00FC4C4C">
          <w:pPr>
            <w:pStyle w:val="TOC2"/>
            <w:tabs>
              <w:tab w:val="left" w:pos="880"/>
              <w:tab w:val="right" w:leader="dot" w:pos="9016"/>
            </w:tabs>
            <w:rPr>
              <w:rFonts w:eastAsiaTheme="minorEastAsia"/>
              <w:noProof/>
              <w:lang w:eastAsia="en-AU"/>
            </w:rPr>
          </w:pPr>
          <w:hyperlink w:anchor="_Toc21523887" w:history="1">
            <w:r w:rsidR="008B18EF" w:rsidRPr="008B18EF">
              <w:rPr>
                <w:rStyle w:val="Hyperlink"/>
                <w:noProof/>
                <w:color w:val="auto"/>
              </w:rPr>
              <w:t>2.2.</w:t>
            </w:r>
            <w:r w:rsidR="008B18EF" w:rsidRPr="008B18EF">
              <w:rPr>
                <w:rFonts w:eastAsiaTheme="minorEastAsia"/>
                <w:noProof/>
                <w:lang w:eastAsia="en-AU"/>
              </w:rPr>
              <w:tab/>
            </w:r>
            <w:r w:rsidR="008B18EF" w:rsidRPr="008B18EF">
              <w:rPr>
                <w:rStyle w:val="Hyperlink"/>
                <w:noProof/>
                <w:color w:val="auto"/>
              </w:rPr>
              <w:t>Approach</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_Toc21523887 \h </w:instrText>
            </w:r>
            <w:r w:rsidR="008B18EF" w:rsidRPr="008B18EF">
              <w:rPr>
                <w:noProof/>
                <w:webHidden/>
              </w:rPr>
            </w:r>
            <w:r w:rsidR="008B18EF" w:rsidRPr="008B18EF">
              <w:rPr>
                <w:noProof/>
                <w:webHidden/>
              </w:rPr>
              <w:fldChar w:fldCharType="separate"/>
            </w:r>
            <w:r w:rsidR="00E80C3C">
              <w:rPr>
                <w:noProof/>
                <w:webHidden/>
              </w:rPr>
              <w:t>10</w:t>
            </w:r>
            <w:r w:rsidR="008B18EF" w:rsidRPr="008B18EF">
              <w:rPr>
                <w:noProof/>
                <w:webHidden/>
              </w:rPr>
              <w:fldChar w:fldCharType="end"/>
            </w:r>
          </w:hyperlink>
        </w:p>
        <w:p w14:paraId="53CE1615" w14:textId="2CC5B442" w:rsidR="008B18EF" w:rsidRPr="008B18EF" w:rsidRDefault="00FC4C4C">
          <w:pPr>
            <w:pStyle w:val="TOC2"/>
            <w:tabs>
              <w:tab w:val="left" w:pos="880"/>
              <w:tab w:val="right" w:leader="dot" w:pos="9016"/>
            </w:tabs>
            <w:rPr>
              <w:rFonts w:eastAsiaTheme="minorEastAsia"/>
              <w:noProof/>
              <w:lang w:eastAsia="en-AU"/>
            </w:rPr>
          </w:pPr>
          <w:hyperlink w:anchor="_Toc21523888" w:history="1">
            <w:r w:rsidR="008B18EF" w:rsidRPr="008B18EF">
              <w:rPr>
                <w:rStyle w:val="Hyperlink"/>
                <w:noProof/>
                <w:color w:val="auto"/>
              </w:rPr>
              <w:t>2.3.</w:t>
            </w:r>
            <w:r w:rsidR="008B18EF" w:rsidRPr="008B18EF">
              <w:rPr>
                <w:rFonts w:eastAsiaTheme="minorEastAsia"/>
                <w:noProof/>
                <w:lang w:eastAsia="en-AU"/>
              </w:rPr>
              <w:tab/>
            </w:r>
            <w:r w:rsidR="008B18EF" w:rsidRPr="008B18EF">
              <w:rPr>
                <w:rStyle w:val="Hyperlink"/>
                <w:noProof/>
                <w:color w:val="auto"/>
              </w:rPr>
              <w:t>Limitations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_Toc21523888 \h </w:instrText>
            </w:r>
            <w:r w:rsidR="008B18EF" w:rsidRPr="008B18EF">
              <w:rPr>
                <w:noProof/>
                <w:webHidden/>
              </w:rPr>
            </w:r>
            <w:r w:rsidR="008B18EF" w:rsidRPr="008B18EF">
              <w:rPr>
                <w:noProof/>
                <w:webHidden/>
              </w:rPr>
              <w:fldChar w:fldCharType="separate"/>
            </w:r>
            <w:r w:rsidR="00E80C3C">
              <w:rPr>
                <w:noProof/>
                <w:webHidden/>
              </w:rPr>
              <w:t>11</w:t>
            </w:r>
            <w:r w:rsidR="008B18EF" w:rsidRPr="008B18EF">
              <w:rPr>
                <w:noProof/>
                <w:webHidden/>
              </w:rPr>
              <w:fldChar w:fldCharType="end"/>
            </w:r>
          </w:hyperlink>
        </w:p>
        <w:p w14:paraId="24320D48" w14:textId="37FAAA5F" w:rsidR="008B18EF" w:rsidRPr="008B18EF" w:rsidRDefault="00FC4C4C">
          <w:pPr>
            <w:pStyle w:val="TOC1"/>
            <w:tabs>
              <w:tab w:val="left" w:pos="440"/>
              <w:tab w:val="right" w:leader="dot" w:pos="9016"/>
            </w:tabs>
            <w:rPr>
              <w:rFonts w:eastAsiaTheme="minorEastAsia"/>
              <w:noProof/>
              <w:lang w:eastAsia="en-AU"/>
            </w:rPr>
          </w:pPr>
          <w:hyperlink w:anchor="_Toc21523889" w:history="1">
            <w:r w:rsidR="008B18EF" w:rsidRPr="008B18EF">
              <w:rPr>
                <w:rStyle w:val="Hyperlink"/>
                <w:noProof/>
                <w:color w:val="auto"/>
              </w:rPr>
              <w:t>3.</w:t>
            </w:r>
            <w:r w:rsidR="008B18EF" w:rsidRPr="008B18EF">
              <w:rPr>
                <w:rFonts w:eastAsiaTheme="minorEastAsia"/>
                <w:noProof/>
                <w:lang w:eastAsia="en-AU"/>
              </w:rPr>
              <w:tab/>
            </w:r>
            <w:r w:rsidR="008B18EF" w:rsidRPr="008B18EF">
              <w:rPr>
                <w:rStyle w:val="Hyperlink"/>
                <w:noProof/>
                <w:color w:val="auto"/>
              </w:rPr>
              <w:t>Program background and context</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_Toc21523889 \h </w:instrText>
            </w:r>
            <w:r w:rsidR="008B18EF" w:rsidRPr="008B18EF">
              <w:rPr>
                <w:noProof/>
                <w:webHidden/>
              </w:rPr>
            </w:r>
            <w:r w:rsidR="008B18EF" w:rsidRPr="008B18EF">
              <w:rPr>
                <w:noProof/>
                <w:webHidden/>
              </w:rPr>
              <w:fldChar w:fldCharType="separate"/>
            </w:r>
            <w:r w:rsidR="00E80C3C">
              <w:rPr>
                <w:noProof/>
                <w:webHidden/>
              </w:rPr>
              <w:t>11</w:t>
            </w:r>
            <w:r w:rsidR="008B18EF" w:rsidRPr="008B18EF">
              <w:rPr>
                <w:noProof/>
                <w:webHidden/>
              </w:rPr>
              <w:fldChar w:fldCharType="end"/>
            </w:r>
          </w:hyperlink>
        </w:p>
        <w:p w14:paraId="2F343AFB" w14:textId="50B7FB30" w:rsidR="008B18EF" w:rsidRPr="008B18EF" w:rsidRDefault="00FC4C4C">
          <w:pPr>
            <w:pStyle w:val="TOC2"/>
            <w:tabs>
              <w:tab w:val="left" w:pos="880"/>
              <w:tab w:val="right" w:leader="dot" w:pos="9016"/>
            </w:tabs>
            <w:rPr>
              <w:rFonts w:eastAsiaTheme="minorEastAsia"/>
              <w:noProof/>
              <w:lang w:eastAsia="en-AU"/>
            </w:rPr>
          </w:pPr>
          <w:hyperlink w:anchor="_Toc21523890" w:history="1">
            <w:r w:rsidR="008B18EF" w:rsidRPr="008B18EF">
              <w:rPr>
                <w:rStyle w:val="Hyperlink"/>
                <w:noProof/>
                <w:color w:val="auto"/>
              </w:rPr>
              <w:t>3.1.</w:t>
            </w:r>
            <w:r w:rsidR="008B18EF" w:rsidRPr="008B18EF">
              <w:rPr>
                <w:rFonts w:eastAsiaTheme="minorEastAsia"/>
                <w:noProof/>
                <w:lang w:eastAsia="en-AU"/>
              </w:rPr>
              <w:tab/>
            </w:r>
            <w:r w:rsidR="008B18EF" w:rsidRPr="008B18EF">
              <w:rPr>
                <w:rStyle w:val="Hyperlink"/>
                <w:noProof/>
                <w:color w:val="auto"/>
              </w:rPr>
              <w:t>The context for women’s empowerment and gender equality in Indonesia</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_Toc21523890 \h </w:instrText>
            </w:r>
            <w:r w:rsidR="008B18EF" w:rsidRPr="008B18EF">
              <w:rPr>
                <w:noProof/>
                <w:webHidden/>
              </w:rPr>
            </w:r>
            <w:r w:rsidR="008B18EF" w:rsidRPr="008B18EF">
              <w:rPr>
                <w:noProof/>
                <w:webHidden/>
              </w:rPr>
              <w:fldChar w:fldCharType="separate"/>
            </w:r>
            <w:r w:rsidR="00E80C3C">
              <w:rPr>
                <w:noProof/>
                <w:webHidden/>
              </w:rPr>
              <w:t>11</w:t>
            </w:r>
            <w:r w:rsidR="008B18EF" w:rsidRPr="008B18EF">
              <w:rPr>
                <w:noProof/>
                <w:webHidden/>
              </w:rPr>
              <w:fldChar w:fldCharType="end"/>
            </w:r>
          </w:hyperlink>
        </w:p>
        <w:p w14:paraId="01C76F07" w14:textId="666554B6" w:rsidR="008B18EF" w:rsidRPr="008B18EF" w:rsidRDefault="00FC4C4C">
          <w:pPr>
            <w:pStyle w:val="TOC2"/>
            <w:tabs>
              <w:tab w:val="left" w:pos="880"/>
              <w:tab w:val="right" w:leader="dot" w:pos="9016"/>
            </w:tabs>
            <w:rPr>
              <w:rFonts w:eastAsiaTheme="minorEastAsia"/>
              <w:noProof/>
              <w:lang w:eastAsia="en-AU"/>
            </w:rPr>
          </w:pPr>
          <w:hyperlink w:anchor="_Toc21523891" w:history="1">
            <w:r w:rsidR="008B18EF" w:rsidRPr="008B18EF">
              <w:rPr>
                <w:rStyle w:val="Hyperlink"/>
                <w:rFonts w:asciiTheme="majorHAnsi" w:hAnsiTheme="majorHAnsi"/>
                <w:noProof/>
                <w:color w:val="auto"/>
              </w:rPr>
              <w:t>3.2.</w:t>
            </w:r>
            <w:r w:rsidR="008B18EF" w:rsidRPr="008B18EF">
              <w:rPr>
                <w:rFonts w:eastAsiaTheme="minorEastAsia"/>
                <w:noProof/>
                <w:lang w:eastAsia="en-AU"/>
              </w:rPr>
              <w:tab/>
            </w:r>
            <w:r w:rsidR="008B18EF" w:rsidRPr="008B18EF">
              <w:rPr>
                <w:rStyle w:val="Hyperlink"/>
                <w:rFonts w:asciiTheme="majorHAnsi" w:hAnsiTheme="majorHAnsi"/>
                <w:noProof/>
                <w:color w:val="auto"/>
              </w:rPr>
              <w:t>MAMPU Phase 1</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_Toc21523891 \h </w:instrText>
            </w:r>
            <w:r w:rsidR="008B18EF" w:rsidRPr="008B18EF">
              <w:rPr>
                <w:noProof/>
                <w:webHidden/>
              </w:rPr>
            </w:r>
            <w:r w:rsidR="008B18EF" w:rsidRPr="008B18EF">
              <w:rPr>
                <w:noProof/>
                <w:webHidden/>
              </w:rPr>
              <w:fldChar w:fldCharType="separate"/>
            </w:r>
            <w:r w:rsidR="00E80C3C">
              <w:rPr>
                <w:noProof/>
                <w:webHidden/>
              </w:rPr>
              <w:t>14</w:t>
            </w:r>
            <w:r w:rsidR="008B18EF" w:rsidRPr="008B18EF">
              <w:rPr>
                <w:noProof/>
                <w:webHidden/>
              </w:rPr>
              <w:fldChar w:fldCharType="end"/>
            </w:r>
          </w:hyperlink>
        </w:p>
        <w:p w14:paraId="5AFB09BA" w14:textId="50504463" w:rsidR="008B18EF" w:rsidRPr="008B18EF" w:rsidRDefault="00FC4C4C">
          <w:pPr>
            <w:pStyle w:val="TOC2"/>
            <w:tabs>
              <w:tab w:val="left" w:pos="880"/>
              <w:tab w:val="right" w:leader="dot" w:pos="9016"/>
            </w:tabs>
            <w:rPr>
              <w:rFonts w:eastAsiaTheme="minorEastAsia"/>
              <w:noProof/>
              <w:lang w:eastAsia="en-AU"/>
            </w:rPr>
          </w:pPr>
          <w:hyperlink w:anchor="_Toc21523892" w:history="1">
            <w:r w:rsidR="008B18EF" w:rsidRPr="008B18EF">
              <w:rPr>
                <w:rStyle w:val="Hyperlink"/>
                <w:noProof/>
                <w:color w:val="auto"/>
              </w:rPr>
              <w:t>3.3.</w:t>
            </w:r>
            <w:r w:rsidR="008B18EF" w:rsidRPr="008B18EF">
              <w:rPr>
                <w:rFonts w:eastAsiaTheme="minorEastAsia"/>
                <w:noProof/>
                <w:lang w:eastAsia="en-AU"/>
              </w:rPr>
              <w:tab/>
            </w:r>
            <w:r w:rsidR="008B18EF" w:rsidRPr="008B18EF">
              <w:rPr>
                <w:rStyle w:val="Hyperlink"/>
                <w:noProof/>
                <w:color w:val="auto"/>
              </w:rPr>
              <w:t>Shifting from Phase 1 to Phase 2</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_Toc21523892 \h </w:instrText>
            </w:r>
            <w:r w:rsidR="008B18EF" w:rsidRPr="008B18EF">
              <w:rPr>
                <w:noProof/>
                <w:webHidden/>
              </w:rPr>
            </w:r>
            <w:r w:rsidR="008B18EF" w:rsidRPr="008B18EF">
              <w:rPr>
                <w:noProof/>
                <w:webHidden/>
              </w:rPr>
              <w:fldChar w:fldCharType="separate"/>
            </w:r>
            <w:r w:rsidR="00E80C3C">
              <w:rPr>
                <w:noProof/>
                <w:webHidden/>
              </w:rPr>
              <w:t>15</w:t>
            </w:r>
            <w:r w:rsidR="008B18EF" w:rsidRPr="008B18EF">
              <w:rPr>
                <w:noProof/>
                <w:webHidden/>
              </w:rPr>
              <w:fldChar w:fldCharType="end"/>
            </w:r>
          </w:hyperlink>
        </w:p>
        <w:p w14:paraId="6BB10886" w14:textId="1F47F22C" w:rsidR="008B18EF" w:rsidRPr="008B18EF" w:rsidRDefault="00FC4C4C">
          <w:pPr>
            <w:pStyle w:val="TOC2"/>
            <w:tabs>
              <w:tab w:val="left" w:pos="880"/>
              <w:tab w:val="right" w:leader="dot" w:pos="9016"/>
            </w:tabs>
            <w:rPr>
              <w:rFonts w:eastAsiaTheme="minorEastAsia"/>
              <w:noProof/>
              <w:lang w:eastAsia="en-AU"/>
            </w:rPr>
          </w:pPr>
          <w:hyperlink w:anchor="_Toc21523893" w:history="1">
            <w:r w:rsidR="008B18EF" w:rsidRPr="008B18EF">
              <w:rPr>
                <w:rStyle w:val="Hyperlink"/>
                <w:noProof/>
                <w:color w:val="auto"/>
              </w:rPr>
              <w:t>3.4.</w:t>
            </w:r>
            <w:r w:rsidR="008B18EF" w:rsidRPr="008B18EF">
              <w:rPr>
                <w:rFonts w:eastAsiaTheme="minorEastAsia"/>
                <w:noProof/>
                <w:lang w:eastAsia="en-AU"/>
              </w:rPr>
              <w:tab/>
            </w:r>
            <w:r w:rsidR="008B18EF" w:rsidRPr="008B18EF">
              <w:rPr>
                <w:rStyle w:val="Hyperlink"/>
                <w:noProof/>
                <w:color w:val="auto"/>
              </w:rPr>
              <w:t>MAMPU Phase 2</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_Toc21523893 \h </w:instrText>
            </w:r>
            <w:r w:rsidR="008B18EF" w:rsidRPr="008B18EF">
              <w:rPr>
                <w:noProof/>
                <w:webHidden/>
              </w:rPr>
            </w:r>
            <w:r w:rsidR="008B18EF" w:rsidRPr="008B18EF">
              <w:rPr>
                <w:noProof/>
                <w:webHidden/>
              </w:rPr>
              <w:fldChar w:fldCharType="separate"/>
            </w:r>
            <w:r w:rsidR="00E80C3C">
              <w:rPr>
                <w:noProof/>
                <w:webHidden/>
              </w:rPr>
              <w:t>16</w:t>
            </w:r>
            <w:r w:rsidR="008B18EF" w:rsidRPr="008B18EF">
              <w:rPr>
                <w:noProof/>
                <w:webHidden/>
              </w:rPr>
              <w:fldChar w:fldCharType="end"/>
            </w:r>
          </w:hyperlink>
        </w:p>
        <w:p w14:paraId="01A0F95D" w14:textId="0AEDD015" w:rsidR="008B18EF" w:rsidRPr="008B18EF" w:rsidRDefault="00FC4C4C">
          <w:pPr>
            <w:pStyle w:val="TOC1"/>
            <w:tabs>
              <w:tab w:val="left" w:pos="440"/>
              <w:tab w:val="right" w:leader="dot" w:pos="9016"/>
            </w:tabs>
            <w:rPr>
              <w:rFonts w:eastAsiaTheme="minorEastAsia"/>
              <w:noProof/>
              <w:lang w:eastAsia="en-AU"/>
            </w:rPr>
          </w:pPr>
          <w:hyperlink w:anchor="_Toc21523894" w:history="1">
            <w:r w:rsidR="008B18EF" w:rsidRPr="008B18EF">
              <w:rPr>
                <w:rStyle w:val="Hyperlink"/>
                <w:noProof/>
                <w:color w:val="auto"/>
              </w:rPr>
              <w:t>4.</w:t>
            </w:r>
            <w:r w:rsidR="008B18EF" w:rsidRPr="008B18EF">
              <w:rPr>
                <w:rFonts w:eastAsiaTheme="minorEastAsia"/>
                <w:noProof/>
                <w:lang w:eastAsia="en-AU"/>
              </w:rPr>
              <w:tab/>
            </w:r>
            <w:r w:rsidR="008B18EF" w:rsidRPr="008B18EF">
              <w:rPr>
                <w:rStyle w:val="Hyperlink"/>
                <w:noProof/>
                <w:color w:val="auto"/>
              </w:rPr>
              <w:t>Findings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_Toc21523894 \h </w:instrText>
            </w:r>
            <w:r w:rsidR="008B18EF" w:rsidRPr="008B18EF">
              <w:rPr>
                <w:noProof/>
                <w:webHidden/>
              </w:rPr>
            </w:r>
            <w:r w:rsidR="008B18EF" w:rsidRPr="008B18EF">
              <w:rPr>
                <w:noProof/>
                <w:webHidden/>
              </w:rPr>
              <w:fldChar w:fldCharType="separate"/>
            </w:r>
            <w:r w:rsidR="00E80C3C">
              <w:rPr>
                <w:noProof/>
                <w:webHidden/>
              </w:rPr>
              <w:t>17</w:t>
            </w:r>
            <w:r w:rsidR="008B18EF" w:rsidRPr="008B18EF">
              <w:rPr>
                <w:noProof/>
                <w:webHidden/>
              </w:rPr>
              <w:fldChar w:fldCharType="end"/>
            </w:r>
          </w:hyperlink>
        </w:p>
        <w:p w14:paraId="178B21DB" w14:textId="241CC248" w:rsidR="008B18EF" w:rsidRPr="008B18EF" w:rsidRDefault="00FC4C4C">
          <w:pPr>
            <w:pStyle w:val="TOC2"/>
            <w:tabs>
              <w:tab w:val="left" w:pos="880"/>
              <w:tab w:val="right" w:leader="dot" w:pos="9016"/>
            </w:tabs>
            <w:rPr>
              <w:rFonts w:eastAsiaTheme="minorEastAsia"/>
              <w:noProof/>
              <w:lang w:eastAsia="en-AU"/>
            </w:rPr>
          </w:pPr>
          <w:hyperlink w:anchor="_Toc21523895" w:history="1">
            <w:r w:rsidR="008B18EF" w:rsidRPr="008B18EF">
              <w:rPr>
                <w:rStyle w:val="Hyperlink"/>
                <w:noProof/>
                <w:color w:val="auto"/>
              </w:rPr>
              <w:t>4.1.</w:t>
            </w:r>
            <w:r w:rsidR="008B18EF" w:rsidRPr="008B18EF">
              <w:rPr>
                <w:rFonts w:eastAsiaTheme="minorEastAsia"/>
                <w:noProof/>
                <w:lang w:eastAsia="en-AU"/>
              </w:rPr>
              <w:tab/>
            </w:r>
            <w:r w:rsidR="008B18EF" w:rsidRPr="008B18EF">
              <w:rPr>
                <w:rStyle w:val="Hyperlink"/>
                <w:noProof/>
                <w:color w:val="auto"/>
              </w:rPr>
              <w:t>Program Effectiveness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_Toc21523895 \h </w:instrText>
            </w:r>
            <w:r w:rsidR="008B18EF" w:rsidRPr="008B18EF">
              <w:rPr>
                <w:noProof/>
                <w:webHidden/>
              </w:rPr>
            </w:r>
            <w:r w:rsidR="008B18EF" w:rsidRPr="008B18EF">
              <w:rPr>
                <w:noProof/>
                <w:webHidden/>
              </w:rPr>
              <w:fldChar w:fldCharType="separate"/>
            </w:r>
            <w:r w:rsidR="00E80C3C">
              <w:rPr>
                <w:noProof/>
                <w:webHidden/>
              </w:rPr>
              <w:t>17</w:t>
            </w:r>
            <w:r w:rsidR="008B18EF" w:rsidRPr="008B18EF">
              <w:rPr>
                <w:noProof/>
                <w:webHidden/>
              </w:rPr>
              <w:fldChar w:fldCharType="end"/>
            </w:r>
          </w:hyperlink>
        </w:p>
        <w:p w14:paraId="4F9E8375" w14:textId="446B639E" w:rsidR="008B18EF" w:rsidRPr="008B18EF" w:rsidRDefault="00FC4C4C" w:rsidP="004A5B47">
          <w:pPr>
            <w:pStyle w:val="TOC3"/>
            <w:tabs>
              <w:tab w:val="left" w:pos="1320"/>
              <w:tab w:val="right" w:leader="dot" w:pos="9016"/>
            </w:tabs>
            <w:ind w:left="1320" w:hanging="880"/>
            <w:rPr>
              <w:rFonts w:eastAsiaTheme="minorEastAsia"/>
              <w:noProof/>
              <w:lang w:eastAsia="en-AU"/>
            </w:rPr>
          </w:pPr>
          <w:hyperlink w:anchor="_Toc21523896" w:history="1">
            <w:r w:rsidR="008B18EF" w:rsidRPr="008B18EF">
              <w:rPr>
                <w:rStyle w:val="Hyperlink"/>
                <w:noProof/>
                <w:color w:val="auto"/>
              </w:rPr>
              <w:t>4.1.1.</w:t>
            </w:r>
            <w:r w:rsidR="008B18EF" w:rsidRPr="008B18EF">
              <w:rPr>
                <w:rFonts w:eastAsiaTheme="minorEastAsia"/>
                <w:noProof/>
                <w:lang w:eastAsia="en-AU"/>
              </w:rPr>
              <w:tab/>
            </w:r>
            <w:r w:rsidR="008B18EF" w:rsidRPr="008B18EF">
              <w:rPr>
                <w:rStyle w:val="Hyperlink"/>
                <w:noProof/>
                <w:color w:val="auto"/>
              </w:rPr>
              <w:t>EOPO 1 – Increased capacity in readiness for collective action among MAMPU partners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_Toc21523896 \h </w:instrText>
            </w:r>
            <w:r w:rsidR="008B18EF" w:rsidRPr="008B18EF">
              <w:rPr>
                <w:noProof/>
                <w:webHidden/>
              </w:rPr>
            </w:r>
            <w:r w:rsidR="008B18EF" w:rsidRPr="008B18EF">
              <w:rPr>
                <w:noProof/>
                <w:webHidden/>
              </w:rPr>
              <w:fldChar w:fldCharType="separate"/>
            </w:r>
            <w:r w:rsidR="00E80C3C">
              <w:rPr>
                <w:noProof/>
                <w:webHidden/>
              </w:rPr>
              <w:t>17</w:t>
            </w:r>
            <w:r w:rsidR="008B18EF" w:rsidRPr="008B18EF">
              <w:rPr>
                <w:noProof/>
                <w:webHidden/>
              </w:rPr>
              <w:fldChar w:fldCharType="end"/>
            </w:r>
          </w:hyperlink>
        </w:p>
        <w:p w14:paraId="0F260DFD" w14:textId="3F850A93" w:rsidR="008B18EF" w:rsidRPr="008B18EF" w:rsidRDefault="00FC4C4C">
          <w:pPr>
            <w:pStyle w:val="TOC3"/>
            <w:tabs>
              <w:tab w:val="left" w:pos="1320"/>
              <w:tab w:val="right" w:leader="dot" w:pos="9016"/>
            </w:tabs>
            <w:rPr>
              <w:rFonts w:eastAsiaTheme="minorEastAsia"/>
              <w:noProof/>
              <w:lang w:eastAsia="en-AU"/>
            </w:rPr>
          </w:pPr>
          <w:hyperlink w:anchor="_Toc21523897" w:history="1">
            <w:r w:rsidR="008B18EF" w:rsidRPr="008B18EF">
              <w:rPr>
                <w:rStyle w:val="Hyperlink"/>
                <w:noProof/>
                <w:color w:val="auto"/>
              </w:rPr>
              <w:t>4.1.2.</w:t>
            </w:r>
            <w:r w:rsidR="008B18EF" w:rsidRPr="008B18EF">
              <w:rPr>
                <w:rFonts w:eastAsiaTheme="minorEastAsia"/>
                <w:noProof/>
                <w:lang w:eastAsia="en-AU"/>
              </w:rPr>
              <w:tab/>
            </w:r>
            <w:r w:rsidR="008B18EF" w:rsidRPr="008B18EF">
              <w:rPr>
                <w:rStyle w:val="Hyperlink"/>
                <w:noProof/>
                <w:color w:val="auto"/>
              </w:rPr>
              <w:t>EOPO 2 – Increased women’s voice and influence on multiple levels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_Toc21523897 \h </w:instrText>
            </w:r>
            <w:r w:rsidR="008B18EF" w:rsidRPr="008B18EF">
              <w:rPr>
                <w:noProof/>
                <w:webHidden/>
              </w:rPr>
            </w:r>
            <w:r w:rsidR="008B18EF" w:rsidRPr="008B18EF">
              <w:rPr>
                <w:noProof/>
                <w:webHidden/>
              </w:rPr>
              <w:fldChar w:fldCharType="separate"/>
            </w:r>
            <w:r w:rsidR="00E80C3C">
              <w:rPr>
                <w:noProof/>
                <w:webHidden/>
              </w:rPr>
              <w:t>19</w:t>
            </w:r>
            <w:r w:rsidR="008B18EF" w:rsidRPr="008B18EF">
              <w:rPr>
                <w:noProof/>
                <w:webHidden/>
              </w:rPr>
              <w:fldChar w:fldCharType="end"/>
            </w:r>
          </w:hyperlink>
        </w:p>
        <w:p w14:paraId="41F3630D" w14:textId="3357A3AD" w:rsidR="008B18EF" w:rsidRPr="008B18EF" w:rsidRDefault="00FC4C4C">
          <w:pPr>
            <w:pStyle w:val="TOC3"/>
            <w:tabs>
              <w:tab w:val="left" w:pos="1320"/>
              <w:tab w:val="right" w:leader="dot" w:pos="9016"/>
            </w:tabs>
            <w:rPr>
              <w:rFonts w:eastAsiaTheme="minorEastAsia"/>
              <w:noProof/>
              <w:lang w:eastAsia="en-AU"/>
            </w:rPr>
          </w:pPr>
          <w:hyperlink w:anchor="_Toc21523898" w:history="1">
            <w:r w:rsidR="008B18EF" w:rsidRPr="008B18EF">
              <w:rPr>
                <w:rStyle w:val="Hyperlink"/>
                <w:noProof/>
                <w:color w:val="auto"/>
              </w:rPr>
              <w:t>4.1.3.</w:t>
            </w:r>
            <w:r w:rsidR="008B18EF" w:rsidRPr="008B18EF">
              <w:rPr>
                <w:rFonts w:eastAsiaTheme="minorEastAsia"/>
                <w:noProof/>
                <w:lang w:eastAsia="en-AU"/>
              </w:rPr>
              <w:tab/>
            </w:r>
            <w:r w:rsidR="008B18EF" w:rsidRPr="008B18EF">
              <w:rPr>
                <w:rStyle w:val="Hyperlink"/>
                <w:noProof/>
                <w:color w:val="auto"/>
              </w:rPr>
              <w:t>EOPO 3  – Improved access to services, across the five thematic areas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_Toc21523898 \h </w:instrText>
            </w:r>
            <w:r w:rsidR="008B18EF" w:rsidRPr="008B18EF">
              <w:rPr>
                <w:noProof/>
                <w:webHidden/>
              </w:rPr>
            </w:r>
            <w:r w:rsidR="008B18EF" w:rsidRPr="008B18EF">
              <w:rPr>
                <w:noProof/>
                <w:webHidden/>
              </w:rPr>
              <w:fldChar w:fldCharType="separate"/>
            </w:r>
            <w:r w:rsidR="00E80C3C">
              <w:rPr>
                <w:noProof/>
                <w:webHidden/>
              </w:rPr>
              <w:t>25</w:t>
            </w:r>
            <w:r w:rsidR="008B18EF" w:rsidRPr="008B18EF">
              <w:rPr>
                <w:noProof/>
                <w:webHidden/>
              </w:rPr>
              <w:fldChar w:fldCharType="end"/>
            </w:r>
          </w:hyperlink>
        </w:p>
        <w:p w14:paraId="312BAFC8" w14:textId="5A5C93E2" w:rsidR="008B18EF" w:rsidRPr="008B18EF" w:rsidRDefault="00FC4C4C">
          <w:pPr>
            <w:pStyle w:val="TOC3"/>
            <w:tabs>
              <w:tab w:val="left" w:pos="1320"/>
              <w:tab w:val="right" w:leader="dot" w:pos="9016"/>
            </w:tabs>
            <w:rPr>
              <w:rFonts w:eastAsiaTheme="minorEastAsia"/>
              <w:noProof/>
              <w:lang w:eastAsia="en-AU"/>
            </w:rPr>
          </w:pPr>
          <w:hyperlink w:anchor="_Toc21523899" w:history="1">
            <w:r w:rsidR="008B18EF" w:rsidRPr="008B18EF">
              <w:rPr>
                <w:rStyle w:val="Hyperlink"/>
                <w:noProof/>
                <w:color w:val="auto"/>
              </w:rPr>
              <w:t>4.1.4.</w:t>
            </w:r>
            <w:r w:rsidR="008B18EF" w:rsidRPr="008B18EF">
              <w:rPr>
                <w:rFonts w:eastAsiaTheme="minorEastAsia"/>
                <w:noProof/>
                <w:lang w:eastAsia="en-AU"/>
              </w:rPr>
              <w:tab/>
            </w:r>
            <w:r w:rsidR="008B18EF" w:rsidRPr="008B18EF">
              <w:rPr>
                <w:rStyle w:val="Hyperlink"/>
                <w:noProof/>
                <w:color w:val="auto"/>
              </w:rPr>
              <w:t>Beyond program outcomes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_Toc21523899 \h </w:instrText>
            </w:r>
            <w:r w:rsidR="008B18EF" w:rsidRPr="008B18EF">
              <w:rPr>
                <w:noProof/>
                <w:webHidden/>
              </w:rPr>
            </w:r>
            <w:r w:rsidR="008B18EF" w:rsidRPr="008B18EF">
              <w:rPr>
                <w:noProof/>
                <w:webHidden/>
              </w:rPr>
              <w:fldChar w:fldCharType="separate"/>
            </w:r>
            <w:r w:rsidR="00E80C3C">
              <w:rPr>
                <w:noProof/>
                <w:webHidden/>
              </w:rPr>
              <w:t>27</w:t>
            </w:r>
            <w:r w:rsidR="008B18EF" w:rsidRPr="008B18EF">
              <w:rPr>
                <w:noProof/>
                <w:webHidden/>
              </w:rPr>
              <w:fldChar w:fldCharType="end"/>
            </w:r>
          </w:hyperlink>
        </w:p>
        <w:p w14:paraId="74035F20" w14:textId="64D9FA94" w:rsidR="008B18EF" w:rsidRPr="008B18EF" w:rsidRDefault="00FC4C4C">
          <w:pPr>
            <w:pStyle w:val="TOC2"/>
            <w:tabs>
              <w:tab w:val="left" w:pos="880"/>
              <w:tab w:val="right" w:leader="dot" w:pos="9016"/>
            </w:tabs>
            <w:rPr>
              <w:rFonts w:eastAsiaTheme="minorEastAsia"/>
              <w:noProof/>
              <w:lang w:eastAsia="en-AU"/>
            </w:rPr>
          </w:pPr>
          <w:hyperlink w:anchor="_Toc21523900" w:history="1">
            <w:r w:rsidR="008B18EF" w:rsidRPr="008B18EF">
              <w:rPr>
                <w:rStyle w:val="Hyperlink"/>
                <w:noProof/>
                <w:color w:val="auto"/>
              </w:rPr>
              <w:t>4.2.</w:t>
            </w:r>
            <w:r w:rsidR="008B18EF" w:rsidRPr="008B18EF">
              <w:rPr>
                <w:rFonts w:eastAsiaTheme="minorEastAsia"/>
                <w:noProof/>
                <w:lang w:eastAsia="en-AU"/>
              </w:rPr>
              <w:tab/>
            </w:r>
            <w:r w:rsidR="008B18EF" w:rsidRPr="008B18EF">
              <w:rPr>
                <w:rStyle w:val="Hyperlink"/>
                <w:noProof/>
                <w:color w:val="auto"/>
              </w:rPr>
              <w:t>Relevance</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_Toc21523900 \h </w:instrText>
            </w:r>
            <w:r w:rsidR="008B18EF" w:rsidRPr="008B18EF">
              <w:rPr>
                <w:noProof/>
                <w:webHidden/>
              </w:rPr>
            </w:r>
            <w:r w:rsidR="008B18EF" w:rsidRPr="008B18EF">
              <w:rPr>
                <w:noProof/>
                <w:webHidden/>
              </w:rPr>
              <w:fldChar w:fldCharType="separate"/>
            </w:r>
            <w:r w:rsidR="00E80C3C">
              <w:rPr>
                <w:noProof/>
                <w:webHidden/>
              </w:rPr>
              <w:t>28</w:t>
            </w:r>
            <w:r w:rsidR="008B18EF" w:rsidRPr="008B18EF">
              <w:rPr>
                <w:noProof/>
                <w:webHidden/>
              </w:rPr>
              <w:fldChar w:fldCharType="end"/>
            </w:r>
          </w:hyperlink>
        </w:p>
        <w:p w14:paraId="406535CD" w14:textId="518FA814" w:rsidR="008B18EF" w:rsidRPr="008B18EF" w:rsidRDefault="00FC4C4C">
          <w:pPr>
            <w:pStyle w:val="TOC3"/>
            <w:tabs>
              <w:tab w:val="left" w:pos="1320"/>
              <w:tab w:val="right" w:leader="dot" w:pos="9016"/>
            </w:tabs>
            <w:rPr>
              <w:rFonts w:eastAsiaTheme="minorEastAsia"/>
              <w:noProof/>
              <w:lang w:eastAsia="en-AU"/>
            </w:rPr>
          </w:pPr>
          <w:hyperlink w:anchor="_Toc21523901" w:history="1">
            <w:r w:rsidR="008B18EF" w:rsidRPr="008B18EF">
              <w:rPr>
                <w:rStyle w:val="Hyperlink"/>
                <w:noProof/>
                <w:color w:val="auto"/>
              </w:rPr>
              <w:t>4.2.1.</w:t>
            </w:r>
            <w:r w:rsidR="008B18EF" w:rsidRPr="008B18EF">
              <w:rPr>
                <w:rFonts w:eastAsiaTheme="minorEastAsia"/>
                <w:noProof/>
                <w:lang w:eastAsia="en-AU"/>
              </w:rPr>
              <w:tab/>
            </w:r>
            <w:r w:rsidR="008B18EF" w:rsidRPr="008B18EF">
              <w:rPr>
                <w:rStyle w:val="Hyperlink"/>
                <w:noProof/>
                <w:color w:val="auto"/>
              </w:rPr>
              <w:t>MAMPU CSO Partners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_Toc21523901 \h </w:instrText>
            </w:r>
            <w:r w:rsidR="008B18EF" w:rsidRPr="008B18EF">
              <w:rPr>
                <w:noProof/>
                <w:webHidden/>
              </w:rPr>
            </w:r>
            <w:r w:rsidR="008B18EF" w:rsidRPr="008B18EF">
              <w:rPr>
                <w:noProof/>
                <w:webHidden/>
              </w:rPr>
              <w:fldChar w:fldCharType="separate"/>
            </w:r>
            <w:r w:rsidR="00E80C3C">
              <w:rPr>
                <w:noProof/>
                <w:webHidden/>
              </w:rPr>
              <w:t>28</w:t>
            </w:r>
            <w:r w:rsidR="008B18EF" w:rsidRPr="008B18EF">
              <w:rPr>
                <w:noProof/>
                <w:webHidden/>
              </w:rPr>
              <w:fldChar w:fldCharType="end"/>
            </w:r>
          </w:hyperlink>
        </w:p>
        <w:p w14:paraId="05CDD7F6" w14:textId="39436CD8" w:rsidR="008B18EF" w:rsidRPr="008B18EF" w:rsidRDefault="00FC4C4C">
          <w:pPr>
            <w:pStyle w:val="TOC3"/>
            <w:tabs>
              <w:tab w:val="left" w:pos="1320"/>
              <w:tab w:val="right" w:leader="dot" w:pos="9016"/>
            </w:tabs>
            <w:rPr>
              <w:rFonts w:eastAsiaTheme="minorEastAsia"/>
              <w:noProof/>
              <w:lang w:eastAsia="en-AU"/>
            </w:rPr>
          </w:pPr>
          <w:hyperlink w:anchor="_Toc21523902" w:history="1">
            <w:r w:rsidR="008B18EF" w:rsidRPr="008B18EF">
              <w:rPr>
                <w:rStyle w:val="Hyperlink"/>
                <w:noProof/>
                <w:color w:val="auto"/>
              </w:rPr>
              <w:t>4.2.2.</w:t>
            </w:r>
            <w:r w:rsidR="008B18EF" w:rsidRPr="008B18EF">
              <w:rPr>
                <w:rFonts w:eastAsiaTheme="minorEastAsia"/>
                <w:noProof/>
                <w:lang w:eastAsia="en-AU"/>
              </w:rPr>
              <w:tab/>
            </w:r>
            <w:r w:rsidR="008B18EF" w:rsidRPr="008B18EF">
              <w:rPr>
                <w:rStyle w:val="Hyperlink"/>
                <w:noProof/>
                <w:color w:val="auto"/>
              </w:rPr>
              <w:t>The women’s movement</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_Toc21523902 \h </w:instrText>
            </w:r>
            <w:r w:rsidR="008B18EF" w:rsidRPr="008B18EF">
              <w:rPr>
                <w:noProof/>
                <w:webHidden/>
              </w:rPr>
            </w:r>
            <w:r w:rsidR="008B18EF" w:rsidRPr="008B18EF">
              <w:rPr>
                <w:noProof/>
                <w:webHidden/>
              </w:rPr>
              <w:fldChar w:fldCharType="separate"/>
            </w:r>
            <w:r w:rsidR="00E80C3C">
              <w:rPr>
                <w:noProof/>
                <w:webHidden/>
              </w:rPr>
              <w:t>29</w:t>
            </w:r>
            <w:r w:rsidR="008B18EF" w:rsidRPr="008B18EF">
              <w:rPr>
                <w:noProof/>
                <w:webHidden/>
              </w:rPr>
              <w:fldChar w:fldCharType="end"/>
            </w:r>
          </w:hyperlink>
        </w:p>
        <w:p w14:paraId="44E2ADB7" w14:textId="02E63C57" w:rsidR="008B18EF" w:rsidRPr="008B18EF" w:rsidRDefault="00FC4C4C">
          <w:pPr>
            <w:pStyle w:val="TOC3"/>
            <w:tabs>
              <w:tab w:val="left" w:pos="1320"/>
              <w:tab w:val="right" w:leader="dot" w:pos="9016"/>
            </w:tabs>
            <w:rPr>
              <w:rFonts w:eastAsiaTheme="minorEastAsia"/>
              <w:noProof/>
              <w:lang w:eastAsia="en-AU"/>
            </w:rPr>
          </w:pPr>
          <w:hyperlink w:anchor="_Toc21523903" w:history="1">
            <w:r w:rsidR="008B18EF" w:rsidRPr="008B18EF">
              <w:rPr>
                <w:rStyle w:val="Hyperlink"/>
                <w:noProof/>
                <w:color w:val="auto"/>
              </w:rPr>
              <w:t>4.2.3.</w:t>
            </w:r>
            <w:r w:rsidR="008B18EF" w:rsidRPr="008B18EF">
              <w:rPr>
                <w:rFonts w:eastAsiaTheme="minorEastAsia"/>
                <w:noProof/>
                <w:lang w:eastAsia="en-AU"/>
              </w:rPr>
              <w:tab/>
            </w:r>
            <w:r w:rsidR="008B18EF" w:rsidRPr="008B18EF">
              <w:rPr>
                <w:rStyle w:val="Hyperlink"/>
                <w:noProof/>
                <w:color w:val="auto"/>
              </w:rPr>
              <w:t>Civil Society</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_Toc21523903 \h </w:instrText>
            </w:r>
            <w:r w:rsidR="008B18EF" w:rsidRPr="008B18EF">
              <w:rPr>
                <w:noProof/>
                <w:webHidden/>
              </w:rPr>
            </w:r>
            <w:r w:rsidR="008B18EF" w:rsidRPr="008B18EF">
              <w:rPr>
                <w:noProof/>
                <w:webHidden/>
              </w:rPr>
              <w:fldChar w:fldCharType="separate"/>
            </w:r>
            <w:r w:rsidR="00E80C3C">
              <w:rPr>
                <w:noProof/>
                <w:webHidden/>
              </w:rPr>
              <w:t>30</w:t>
            </w:r>
            <w:r w:rsidR="008B18EF" w:rsidRPr="008B18EF">
              <w:rPr>
                <w:noProof/>
                <w:webHidden/>
              </w:rPr>
              <w:fldChar w:fldCharType="end"/>
            </w:r>
          </w:hyperlink>
        </w:p>
        <w:p w14:paraId="472F2BE8" w14:textId="48A0124A" w:rsidR="008B18EF" w:rsidRPr="008B18EF" w:rsidRDefault="00FC4C4C">
          <w:pPr>
            <w:pStyle w:val="TOC3"/>
            <w:tabs>
              <w:tab w:val="left" w:pos="1320"/>
              <w:tab w:val="right" w:leader="dot" w:pos="9016"/>
            </w:tabs>
            <w:rPr>
              <w:rFonts w:eastAsiaTheme="minorEastAsia"/>
              <w:noProof/>
              <w:lang w:eastAsia="en-AU"/>
            </w:rPr>
          </w:pPr>
          <w:hyperlink w:anchor="_Toc21523904" w:history="1">
            <w:r w:rsidR="008B18EF" w:rsidRPr="008B18EF">
              <w:rPr>
                <w:rStyle w:val="Hyperlink"/>
                <w:noProof/>
                <w:color w:val="auto"/>
              </w:rPr>
              <w:t>4.2.4.</w:t>
            </w:r>
            <w:r w:rsidR="008B18EF" w:rsidRPr="008B18EF">
              <w:rPr>
                <w:rFonts w:eastAsiaTheme="minorEastAsia"/>
                <w:noProof/>
                <w:lang w:eastAsia="en-AU"/>
              </w:rPr>
              <w:tab/>
            </w:r>
            <w:r w:rsidR="008B18EF" w:rsidRPr="008B18EF">
              <w:rPr>
                <w:rStyle w:val="Hyperlink"/>
                <w:noProof/>
                <w:color w:val="auto"/>
              </w:rPr>
              <w:t>Government of Indonesia</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_Toc21523904 \h </w:instrText>
            </w:r>
            <w:r w:rsidR="008B18EF" w:rsidRPr="008B18EF">
              <w:rPr>
                <w:noProof/>
                <w:webHidden/>
              </w:rPr>
            </w:r>
            <w:r w:rsidR="008B18EF" w:rsidRPr="008B18EF">
              <w:rPr>
                <w:noProof/>
                <w:webHidden/>
              </w:rPr>
              <w:fldChar w:fldCharType="separate"/>
            </w:r>
            <w:r w:rsidR="00E80C3C">
              <w:rPr>
                <w:noProof/>
                <w:webHidden/>
              </w:rPr>
              <w:t>30</w:t>
            </w:r>
            <w:r w:rsidR="008B18EF" w:rsidRPr="008B18EF">
              <w:rPr>
                <w:noProof/>
                <w:webHidden/>
              </w:rPr>
              <w:fldChar w:fldCharType="end"/>
            </w:r>
          </w:hyperlink>
        </w:p>
        <w:p w14:paraId="77B448BB" w14:textId="209586D7" w:rsidR="008B18EF" w:rsidRPr="008B18EF" w:rsidRDefault="00FC4C4C">
          <w:pPr>
            <w:pStyle w:val="TOC3"/>
            <w:tabs>
              <w:tab w:val="left" w:pos="1320"/>
              <w:tab w:val="right" w:leader="dot" w:pos="9016"/>
            </w:tabs>
            <w:rPr>
              <w:rFonts w:eastAsiaTheme="minorEastAsia"/>
              <w:noProof/>
              <w:lang w:eastAsia="en-AU"/>
            </w:rPr>
          </w:pPr>
          <w:hyperlink w:anchor="_Toc21523905" w:history="1">
            <w:r w:rsidR="008B18EF" w:rsidRPr="008B18EF">
              <w:rPr>
                <w:rStyle w:val="Hyperlink"/>
                <w:noProof/>
                <w:color w:val="auto"/>
              </w:rPr>
              <w:t>4.2.5.</w:t>
            </w:r>
            <w:r w:rsidR="008B18EF" w:rsidRPr="008B18EF">
              <w:rPr>
                <w:rFonts w:eastAsiaTheme="minorEastAsia"/>
                <w:noProof/>
                <w:lang w:eastAsia="en-AU"/>
              </w:rPr>
              <w:tab/>
            </w:r>
            <w:r w:rsidR="008B18EF" w:rsidRPr="008B18EF">
              <w:rPr>
                <w:rStyle w:val="Hyperlink"/>
                <w:noProof/>
                <w:color w:val="auto"/>
              </w:rPr>
              <w:t>Government of Australia</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_Toc21523905 \h </w:instrText>
            </w:r>
            <w:r w:rsidR="008B18EF" w:rsidRPr="008B18EF">
              <w:rPr>
                <w:noProof/>
                <w:webHidden/>
              </w:rPr>
            </w:r>
            <w:r w:rsidR="008B18EF" w:rsidRPr="008B18EF">
              <w:rPr>
                <w:noProof/>
                <w:webHidden/>
              </w:rPr>
              <w:fldChar w:fldCharType="separate"/>
            </w:r>
            <w:r w:rsidR="00E80C3C">
              <w:rPr>
                <w:noProof/>
                <w:webHidden/>
              </w:rPr>
              <w:t>31</w:t>
            </w:r>
            <w:r w:rsidR="008B18EF" w:rsidRPr="008B18EF">
              <w:rPr>
                <w:noProof/>
                <w:webHidden/>
              </w:rPr>
              <w:fldChar w:fldCharType="end"/>
            </w:r>
          </w:hyperlink>
        </w:p>
        <w:p w14:paraId="5A572BE3" w14:textId="1A29099A" w:rsidR="008B18EF" w:rsidRPr="008B18EF" w:rsidRDefault="00FC4C4C">
          <w:pPr>
            <w:pStyle w:val="TOC2"/>
            <w:tabs>
              <w:tab w:val="left" w:pos="880"/>
              <w:tab w:val="right" w:leader="dot" w:pos="9016"/>
            </w:tabs>
            <w:rPr>
              <w:rFonts w:eastAsiaTheme="minorEastAsia"/>
              <w:noProof/>
              <w:lang w:eastAsia="en-AU"/>
            </w:rPr>
          </w:pPr>
          <w:hyperlink w:anchor="_Toc21523906" w:history="1">
            <w:r w:rsidR="008B18EF" w:rsidRPr="008B18EF">
              <w:rPr>
                <w:rStyle w:val="Hyperlink"/>
                <w:noProof/>
                <w:color w:val="auto"/>
              </w:rPr>
              <w:t>4.3.</w:t>
            </w:r>
            <w:r w:rsidR="008B18EF" w:rsidRPr="008B18EF">
              <w:rPr>
                <w:rFonts w:eastAsiaTheme="minorEastAsia"/>
                <w:noProof/>
                <w:lang w:eastAsia="en-AU"/>
              </w:rPr>
              <w:tab/>
            </w:r>
            <w:r w:rsidR="008B18EF" w:rsidRPr="008B18EF">
              <w:rPr>
                <w:rStyle w:val="Hyperlink"/>
                <w:noProof/>
                <w:color w:val="auto"/>
              </w:rPr>
              <w:t>Modality</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_Toc21523906 \h </w:instrText>
            </w:r>
            <w:r w:rsidR="008B18EF" w:rsidRPr="008B18EF">
              <w:rPr>
                <w:noProof/>
                <w:webHidden/>
              </w:rPr>
            </w:r>
            <w:r w:rsidR="008B18EF" w:rsidRPr="008B18EF">
              <w:rPr>
                <w:noProof/>
                <w:webHidden/>
              </w:rPr>
              <w:fldChar w:fldCharType="separate"/>
            </w:r>
            <w:r w:rsidR="00E80C3C">
              <w:rPr>
                <w:noProof/>
                <w:webHidden/>
              </w:rPr>
              <w:t>33</w:t>
            </w:r>
            <w:r w:rsidR="008B18EF" w:rsidRPr="008B18EF">
              <w:rPr>
                <w:noProof/>
                <w:webHidden/>
              </w:rPr>
              <w:fldChar w:fldCharType="end"/>
            </w:r>
          </w:hyperlink>
        </w:p>
        <w:p w14:paraId="5D3B8A57" w14:textId="578B4E7A" w:rsidR="008B18EF" w:rsidRPr="008B18EF" w:rsidRDefault="00FC4C4C">
          <w:pPr>
            <w:pStyle w:val="TOC1"/>
            <w:tabs>
              <w:tab w:val="left" w:pos="440"/>
              <w:tab w:val="right" w:leader="dot" w:pos="9016"/>
            </w:tabs>
            <w:rPr>
              <w:rFonts w:eastAsiaTheme="minorEastAsia"/>
              <w:noProof/>
              <w:lang w:eastAsia="en-AU"/>
            </w:rPr>
          </w:pPr>
          <w:hyperlink w:anchor="_Toc21523907" w:history="1">
            <w:r w:rsidR="008B18EF" w:rsidRPr="008B18EF">
              <w:rPr>
                <w:rStyle w:val="Hyperlink"/>
                <w:noProof/>
                <w:color w:val="auto"/>
              </w:rPr>
              <w:t>5.</w:t>
            </w:r>
            <w:r w:rsidR="008B18EF" w:rsidRPr="008B18EF">
              <w:rPr>
                <w:rFonts w:eastAsiaTheme="minorEastAsia"/>
                <w:noProof/>
                <w:lang w:eastAsia="en-AU"/>
              </w:rPr>
              <w:tab/>
            </w:r>
            <w:r w:rsidR="008B18EF" w:rsidRPr="008B18EF">
              <w:rPr>
                <w:rStyle w:val="Hyperlink"/>
                <w:noProof/>
                <w:color w:val="auto"/>
              </w:rPr>
              <w:t>Analysis and recommendations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_Toc21523907 \h </w:instrText>
            </w:r>
            <w:r w:rsidR="008B18EF" w:rsidRPr="008B18EF">
              <w:rPr>
                <w:noProof/>
                <w:webHidden/>
              </w:rPr>
            </w:r>
            <w:r w:rsidR="008B18EF" w:rsidRPr="008B18EF">
              <w:rPr>
                <w:noProof/>
                <w:webHidden/>
              </w:rPr>
              <w:fldChar w:fldCharType="separate"/>
            </w:r>
            <w:r w:rsidR="00E80C3C">
              <w:rPr>
                <w:noProof/>
                <w:webHidden/>
              </w:rPr>
              <w:t>35</w:t>
            </w:r>
            <w:r w:rsidR="008B18EF" w:rsidRPr="008B18EF">
              <w:rPr>
                <w:noProof/>
                <w:webHidden/>
              </w:rPr>
              <w:fldChar w:fldCharType="end"/>
            </w:r>
          </w:hyperlink>
        </w:p>
        <w:p w14:paraId="50371481" w14:textId="5DD45280" w:rsidR="008B18EF" w:rsidRPr="008B18EF" w:rsidRDefault="00FC4C4C">
          <w:pPr>
            <w:pStyle w:val="TOC2"/>
            <w:tabs>
              <w:tab w:val="left" w:pos="880"/>
              <w:tab w:val="right" w:leader="dot" w:pos="9016"/>
            </w:tabs>
            <w:rPr>
              <w:rFonts w:eastAsiaTheme="minorEastAsia"/>
              <w:noProof/>
              <w:lang w:eastAsia="en-AU"/>
            </w:rPr>
          </w:pPr>
          <w:hyperlink w:anchor="_Toc21523908" w:history="1">
            <w:r w:rsidR="008B18EF" w:rsidRPr="008B18EF">
              <w:rPr>
                <w:rStyle w:val="Hyperlink"/>
                <w:noProof/>
                <w:color w:val="auto"/>
              </w:rPr>
              <w:t>5.1.</w:t>
            </w:r>
            <w:r w:rsidR="008B18EF" w:rsidRPr="008B18EF">
              <w:rPr>
                <w:rFonts w:eastAsiaTheme="minorEastAsia"/>
                <w:noProof/>
                <w:lang w:eastAsia="en-AU"/>
              </w:rPr>
              <w:tab/>
            </w:r>
            <w:r w:rsidR="008B18EF" w:rsidRPr="008B18EF">
              <w:rPr>
                <w:rStyle w:val="Hyperlink"/>
                <w:noProof/>
                <w:color w:val="auto"/>
              </w:rPr>
              <w:t>Overall conclusions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_Toc21523908 \h </w:instrText>
            </w:r>
            <w:r w:rsidR="008B18EF" w:rsidRPr="008B18EF">
              <w:rPr>
                <w:noProof/>
                <w:webHidden/>
              </w:rPr>
            </w:r>
            <w:r w:rsidR="008B18EF" w:rsidRPr="008B18EF">
              <w:rPr>
                <w:noProof/>
                <w:webHidden/>
              </w:rPr>
              <w:fldChar w:fldCharType="separate"/>
            </w:r>
            <w:r w:rsidR="00E80C3C">
              <w:rPr>
                <w:noProof/>
                <w:webHidden/>
              </w:rPr>
              <w:t>35</w:t>
            </w:r>
            <w:r w:rsidR="008B18EF" w:rsidRPr="008B18EF">
              <w:rPr>
                <w:noProof/>
                <w:webHidden/>
              </w:rPr>
              <w:fldChar w:fldCharType="end"/>
            </w:r>
          </w:hyperlink>
        </w:p>
        <w:p w14:paraId="6C1A7E17" w14:textId="55109866" w:rsidR="008B18EF" w:rsidRPr="008B18EF" w:rsidRDefault="00FC4C4C">
          <w:pPr>
            <w:pStyle w:val="TOC2"/>
            <w:tabs>
              <w:tab w:val="left" w:pos="880"/>
              <w:tab w:val="right" w:leader="dot" w:pos="9016"/>
            </w:tabs>
            <w:rPr>
              <w:rFonts w:eastAsiaTheme="minorEastAsia"/>
              <w:noProof/>
              <w:lang w:eastAsia="en-AU"/>
            </w:rPr>
          </w:pPr>
          <w:hyperlink w:anchor="_Toc21523909" w:history="1">
            <w:r w:rsidR="008B18EF" w:rsidRPr="008B18EF">
              <w:rPr>
                <w:rStyle w:val="Hyperlink"/>
                <w:noProof/>
                <w:color w:val="auto"/>
              </w:rPr>
              <w:t>5.2.</w:t>
            </w:r>
            <w:r w:rsidR="008B18EF" w:rsidRPr="008B18EF">
              <w:rPr>
                <w:rFonts w:eastAsiaTheme="minorEastAsia"/>
                <w:noProof/>
                <w:lang w:eastAsia="en-AU"/>
              </w:rPr>
              <w:tab/>
            </w:r>
            <w:r w:rsidR="008B18EF" w:rsidRPr="008B18EF">
              <w:rPr>
                <w:rStyle w:val="Hyperlink"/>
                <w:noProof/>
                <w:color w:val="auto"/>
              </w:rPr>
              <w:t>MAMPU Phase 2 recommendations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_Toc21523909 \h </w:instrText>
            </w:r>
            <w:r w:rsidR="008B18EF" w:rsidRPr="008B18EF">
              <w:rPr>
                <w:noProof/>
                <w:webHidden/>
              </w:rPr>
            </w:r>
            <w:r w:rsidR="008B18EF" w:rsidRPr="008B18EF">
              <w:rPr>
                <w:noProof/>
                <w:webHidden/>
              </w:rPr>
              <w:fldChar w:fldCharType="separate"/>
            </w:r>
            <w:r w:rsidR="00E80C3C">
              <w:rPr>
                <w:noProof/>
                <w:webHidden/>
              </w:rPr>
              <w:t>35</w:t>
            </w:r>
            <w:r w:rsidR="008B18EF" w:rsidRPr="008B18EF">
              <w:rPr>
                <w:noProof/>
                <w:webHidden/>
              </w:rPr>
              <w:fldChar w:fldCharType="end"/>
            </w:r>
          </w:hyperlink>
        </w:p>
        <w:p w14:paraId="4F642168" w14:textId="17CC05A9" w:rsidR="008B18EF" w:rsidRPr="008B18EF" w:rsidRDefault="00FC4C4C">
          <w:pPr>
            <w:pStyle w:val="TOC2"/>
            <w:tabs>
              <w:tab w:val="left" w:pos="880"/>
              <w:tab w:val="right" w:leader="dot" w:pos="9016"/>
            </w:tabs>
            <w:rPr>
              <w:rFonts w:eastAsiaTheme="minorEastAsia"/>
              <w:noProof/>
              <w:lang w:eastAsia="en-AU"/>
            </w:rPr>
          </w:pPr>
          <w:hyperlink w:anchor="_Toc21523910" w:history="1">
            <w:r w:rsidR="008B18EF" w:rsidRPr="008B18EF">
              <w:rPr>
                <w:rStyle w:val="Hyperlink"/>
                <w:noProof/>
                <w:color w:val="auto"/>
              </w:rPr>
              <w:t>5.3.</w:t>
            </w:r>
            <w:r w:rsidR="008B18EF" w:rsidRPr="008B18EF">
              <w:rPr>
                <w:rFonts w:eastAsiaTheme="minorEastAsia"/>
                <w:noProof/>
                <w:lang w:eastAsia="en-AU"/>
              </w:rPr>
              <w:tab/>
            </w:r>
            <w:r w:rsidR="008B18EF" w:rsidRPr="008B18EF">
              <w:rPr>
                <w:rStyle w:val="Hyperlink"/>
                <w:noProof/>
                <w:color w:val="auto"/>
              </w:rPr>
              <w:t>Future options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_Toc21523910 \h </w:instrText>
            </w:r>
            <w:r w:rsidR="008B18EF" w:rsidRPr="008B18EF">
              <w:rPr>
                <w:noProof/>
                <w:webHidden/>
              </w:rPr>
            </w:r>
            <w:r w:rsidR="008B18EF" w:rsidRPr="008B18EF">
              <w:rPr>
                <w:noProof/>
                <w:webHidden/>
              </w:rPr>
              <w:fldChar w:fldCharType="separate"/>
            </w:r>
            <w:r w:rsidR="00E80C3C">
              <w:rPr>
                <w:noProof/>
                <w:webHidden/>
              </w:rPr>
              <w:t>39</w:t>
            </w:r>
            <w:r w:rsidR="008B18EF" w:rsidRPr="008B18EF">
              <w:rPr>
                <w:noProof/>
                <w:webHidden/>
              </w:rPr>
              <w:fldChar w:fldCharType="end"/>
            </w:r>
          </w:hyperlink>
        </w:p>
        <w:p w14:paraId="4F625FBB" w14:textId="06F31D1C" w:rsidR="008B18EF" w:rsidRPr="008B18EF" w:rsidRDefault="00FC4C4C">
          <w:pPr>
            <w:pStyle w:val="TOC3"/>
            <w:tabs>
              <w:tab w:val="left" w:pos="1320"/>
              <w:tab w:val="right" w:leader="dot" w:pos="9016"/>
            </w:tabs>
            <w:rPr>
              <w:rFonts w:eastAsiaTheme="minorEastAsia"/>
              <w:noProof/>
              <w:lang w:eastAsia="en-AU"/>
            </w:rPr>
          </w:pPr>
          <w:hyperlink w:anchor="_Toc21523911" w:history="1">
            <w:r w:rsidR="008B18EF" w:rsidRPr="008B18EF">
              <w:rPr>
                <w:rStyle w:val="Hyperlink"/>
                <w:noProof/>
                <w:color w:val="auto"/>
              </w:rPr>
              <w:t>5.3.1.</w:t>
            </w:r>
            <w:r w:rsidR="008B18EF" w:rsidRPr="008B18EF">
              <w:rPr>
                <w:rFonts w:eastAsiaTheme="minorEastAsia"/>
                <w:noProof/>
                <w:lang w:eastAsia="en-AU"/>
              </w:rPr>
              <w:tab/>
            </w:r>
            <w:r w:rsidR="008B18EF" w:rsidRPr="008B18EF">
              <w:rPr>
                <w:rStyle w:val="Hyperlink"/>
                <w:noProof/>
                <w:color w:val="auto"/>
              </w:rPr>
              <w:t>DFAT considerations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_Toc21523911 \h </w:instrText>
            </w:r>
            <w:r w:rsidR="008B18EF" w:rsidRPr="008B18EF">
              <w:rPr>
                <w:noProof/>
                <w:webHidden/>
              </w:rPr>
            </w:r>
            <w:r w:rsidR="008B18EF" w:rsidRPr="008B18EF">
              <w:rPr>
                <w:noProof/>
                <w:webHidden/>
              </w:rPr>
              <w:fldChar w:fldCharType="separate"/>
            </w:r>
            <w:r w:rsidR="00E80C3C">
              <w:rPr>
                <w:noProof/>
                <w:webHidden/>
              </w:rPr>
              <w:t>39</w:t>
            </w:r>
            <w:r w:rsidR="008B18EF" w:rsidRPr="008B18EF">
              <w:rPr>
                <w:noProof/>
                <w:webHidden/>
              </w:rPr>
              <w:fldChar w:fldCharType="end"/>
            </w:r>
          </w:hyperlink>
        </w:p>
        <w:p w14:paraId="0BFF77AE" w14:textId="5A9C72A4" w:rsidR="008B18EF" w:rsidRPr="008B18EF" w:rsidRDefault="00FC4C4C">
          <w:pPr>
            <w:pStyle w:val="TOC3"/>
            <w:tabs>
              <w:tab w:val="left" w:pos="1320"/>
              <w:tab w:val="right" w:leader="dot" w:pos="9016"/>
            </w:tabs>
            <w:rPr>
              <w:rFonts w:eastAsiaTheme="minorEastAsia"/>
              <w:noProof/>
              <w:lang w:eastAsia="en-AU"/>
            </w:rPr>
          </w:pPr>
          <w:hyperlink w:anchor="_Toc21523912" w:history="1">
            <w:r w:rsidR="008B18EF" w:rsidRPr="008B18EF">
              <w:rPr>
                <w:rStyle w:val="Hyperlink"/>
                <w:noProof/>
                <w:color w:val="auto"/>
              </w:rPr>
              <w:t>5.3.2.</w:t>
            </w:r>
            <w:r w:rsidR="008B18EF" w:rsidRPr="008B18EF">
              <w:rPr>
                <w:rFonts w:eastAsiaTheme="minorEastAsia"/>
                <w:noProof/>
                <w:lang w:eastAsia="en-AU"/>
              </w:rPr>
              <w:tab/>
            </w:r>
            <w:r w:rsidR="008B18EF" w:rsidRPr="008B18EF">
              <w:rPr>
                <w:rStyle w:val="Hyperlink"/>
                <w:noProof/>
                <w:color w:val="auto"/>
              </w:rPr>
              <w:t>Option one: A new stand-alone program</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_Toc21523912 \h </w:instrText>
            </w:r>
            <w:r w:rsidR="008B18EF" w:rsidRPr="008B18EF">
              <w:rPr>
                <w:noProof/>
                <w:webHidden/>
              </w:rPr>
            </w:r>
            <w:r w:rsidR="008B18EF" w:rsidRPr="008B18EF">
              <w:rPr>
                <w:noProof/>
                <w:webHidden/>
              </w:rPr>
              <w:fldChar w:fldCharType="separate"/>
            </w:r>
            <w:r w:rsidR="00E80C3C">
              <w:rPr>
                <w:noProof/>
                <w:webHidden/>
              </w:rPr>
              <w:t>39</w:t>
            </w:r>
            <w:r w:rsidR="008B18EF" w:rsidRPr="008B18EF">
              <w:rPr>
                <w:noProof/>
                <w:webHidden/>
              </w:rPr>
              <w:fldChar w:fldCharType="end"/>
            </w:r>
          </w:hyperlink>
        </w:p>
        <w:p w14:paraId="629F1385" w14:textId="3C528DF8" w:rsidR="008B18EF" w:rsidRPr="008B18EF" w:rsidRDefault="00FC4C4C" w:rsidP="004A5B47">
          <w:pPr>
            <w:pStyle w:val="TOC3"/>
            <w:tabs>
              <w:tab w:val="left" w:pos="1320"/>
              <w:tab w:val="right" w:leader="dot" w:pos="9016"/>
            </w:tabs>
            <w:ind w:left="1320" w:hanging="880"/>
            <w:rPr>
              <w:rFonts w:eastAsiaTheme="minorEastAsia"/>
              <w:noProof/>
              <w:lang w:eastAsia="en-AU"/>
            </w:rPr>
          </w:pPr>
          <w:hyperlink w:anchor="_Toc21523913" w:history="1">
            <w:r w:rsidR="008B18EF" w:rsidRPr="008B18EF">
              <w:rPr>
                <w:rStyle w:val="Hyperlink"/>
                <w:noProof/>
                <w:color w:val="auto"/>
              </w:rPr>
              <w:t>5.3.3.</w:t>
            </w:r>
            <w:r w:rsidR="008B18EF" w:rsidRPr="008B18EF">
              <w:rPr>
                <w:rFonts w:eastAsiaTheme="minorEastAsia"/>
                <w:noProof/>
                <w:lang w:eastAsia="en-AU"/>
              </w:rPr>
              <w:tab/>
            </w:r>
            <w:r w:rsidR="008B18EF" w:rsidRPr="008B18EF">
              <w:rPr>
                <w:rStyle w:val="Hyperlink"/>
                <w:noProof/>
                <w:color w:val="auto"/>
              </w:rPr>
              <w:t>Option two: Mainstream work for women’s empowerment and gender equality into other DFAT programs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_Toc21523913 \h </w:instrText>
            </w:r>
            <w:r w:rsidR="008B18EF" w:rsidRPr="008B18EF">
              <w:rPr>
                <w:noProof/>
                <w:webHidden/>
              </w:rPr>
            </w:r>
            <w:r w:rsidR="008B18EF" w:rsidRPr="008B18EF">
              <w:rPr>
                <w:noProof/>
                <w:webHidden/>
              </w:rPr>
              <w:fldChar w:fldCharType="separate"/>
            </w:r>
            <w:r w:rsidR="00E80C3C">
              <w:rPr>
                <w:noProof/>
                <w:webHidden/>
              </w:rPr>
              <w:t>40</w:t>
            </w:r>
            <w:r w:rsidR="008B18EF" w:rsidRPr="008B18EF">
              <w:rPr>
                <w:noProof/>
                <w:webHidden/>
              </w:rPr>
              <w:fldChar w:fldCharType="end"/>
            </w:r>
          </w:hyperlink>
        </w:p>
        <w:p w14:paraId="0BBCAFD5" w14:textId="6B63E6BC" w:rsidR="008B18EF" w:rsidRPr="008B18EF" w:rsidRDefault="00FC4C4C">
          <w:pPr>
            <w:pStyle w:val="TOC3"/>
            <w:tabs>
              <w:tab w:val="left" w:pos="1320"/>
              <w:tab w:val="right" w:leader="dot" w:pos="9016"/>
            </w:tabs>
            <w:rPr>
              <w:rFonts w:eastAsiaTheme="minorEastAsia"/>
              <w:noProof/>
              <w:lang w:eastAsia="en-AU"/>
            </w:rPr>
          </w:pPr>
          <w:hyperlink w:anchor="_Toc21523914" w:history="1">
            <w:r w:rsidR="008B18EF" w:rsidRPr="008B18EF">
              <w:rPr>
                <w:rStyle w:val="Hyperlink"/>
                <w:noProof/>
                <w:color w:val="auto"/>
              </w:rPr>
              <w:t>5.3.4.</w:t>
            </w:r>
            <w:r w:rsidR="008B18EF" w:rsidRPr="008B18EF">
              <w:rPr>
                <w:rFonts w:eastAsiaTheme="minorEastAsia"/>
                <w:noProof/>
                <w:lang w:eastAsia="en-AU"/>
              </w:rPr>
              <w:tab/>
            </w:r>
            <w:r w:rsidR="008B18EF" w:rsidRPr="008B18EF">
              <w:rPr>
                <w:rStyle w:val="Hyperlink"/>
                <w:noProof/>
                <w:color w:val="auto"/>
              </w:rPr>
              <w:t>Option three: A combined modality</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_Toc21523914 \h </w:instrText>
            </w:r>
            <w:r w:rsidR="008B18EF" w:rsidRPr="008B18EF">
              <w:rPr>
                <w:noProof/>
                <w:webHidden/>
              </w:rPr>
            </w:r>
            <w:r w:rsidR="008B18EF" w:rsidRPr="008B18EF">
              <w:rPr>
                <w:noProof/>
                <w:webHidden/>
              </w:rPr>
              <w:fldChar w:fldCharType="separate"/>
            </w:r>
            <w:r w:rsidR="00E80C3C">
              <w:rPr>
                <w:noProof/>
                <w:webHidden/>
              </w:rPr>
              <w:t>41</w:t>
            </w:r>
            <w:r w:rsidR="008B18EF" w:rsidRPr="008B18EF">
              <w:rPr>
                <w:noProof/>
                <w:webHidden/>
              </w:rPr>
              <w:fldChar w:fldCharType="end"/>
            </w:r>
          </w:hyperlink>
        </w:p>
        <w:p w14:paraId="60B2420A" w14:textId="3F39F082" w:rsidR="008B18EF" w:rsidRDefault="00FC4C4C">
          <w:pPr>
            <w:pStyle w:val="TOC1"/>
            <w:tabs>
              <w:tab w:val="left" w:pos="440"/>
              <w:tab w:val="right" w:leader="dot" w:pos="9016"/>
            </w:tabs>
            <w:rPr>
              <w:rFonts w:eastAsiaTheme="minorEastAsia"/>
              <w:noProof/>
              <w:lang w:eastAsia="en-AU"/>
            </w:rPr>
          </w:pPr>
          <w:hyperlink w:anchor="_Toc21523915" w:history="1">
            <w:r w:rsidR="008B18EF" w:rsidRPr="008B18EF">
              <w:rPr>
                <w:rStyle w:val="Hyperlink"/>
                <w:noProof/>
                <w:color w:val="auto"/>
              </w:rPr>
              <w:t>6.</w:t>
            </w:r>
            <w:r w:rsidR="008B18EF" w:rsidRPr="008B18EF">
              <w:rPr>
                <w:rFonts w:eastAsiaTheme="minorEastAsia"/>
                <w:noProof/>
                <w:lang w:eastAsia="en-AU"/>
              </w:rPr>
              <w:tab/>
            </w:r>
            <w:r w:rsidR="008B18EF" w:rsidRPr="008B18EF">
              <w:rPr>
                <w:rStyle w:val="Hyperlink"/>
                <w:noProof/>
                <w:color w:val="auto"/>
              </w:rPr>
              <w:t>Conclusions</w:t>
            </w:r>
            <w:r w:rsidR="008B18EF" w:rsidRPr="008B18EF">
              <w:rPr>
                <w:noProof/>
                <w:webHidden/>
              </w:rPr>
              <w:tab/>
            </w:r>
            <w:r w:rsidR="008B18EF" w:rsidRPr="008B18EF">
              <w:rPr>
                <w:noProof/>
                <w:webHidden/>
              </w:rPr>
              <w:fldChar w:fldCharType="begin"/>
            </w:r>
            <w:r w:rsidR="008B18EF" w:rsidRPr="008B18EF">
              <w:rPr>
                <w:noProof/>
                <w:webHidden/>
              </w:rPr>
              <w:instrText xml:space="preserve"> PAGEREF _Toc21523915 \h </w:instrText>
            </w:r>
            <w:r w:rsidR="008B18EF" w:rsidRPr="008B18EF">
              <w:rPr>
                <w:noProof/>
                <w:webHidden/>
              </w:rPr>
            </w:r>
            <w:r w:rsidR="008B18EF" w:rsidRPr="008B18EF">
              <w:rPr>
                <w:noProof/>
                <w:webHidden/>
              </w:rPr>
              <w:fldChar w:fldCharType="separate"/>
            </w:r>
            <w:r w:rsidR="00E80C3C">
              <w:rPr>
                <w:noProof/>
                <w:webHidden/>
              </w:rPr>
              <w:t>43</w:t>
            </w:r>
            <w:r w:rsidR="008B18EF" w:rsidRPr="008B18EF">
              <w:rPr>
                <w:noProof/>
                <w:webHidden/>
              </w:rPr>
              <w:fldChar w:fldCharType="end"/>
            </w:r>
          </w:hyperlink>
        </w:p>
        <w:p w14:paraId="319C544C" w14:textId="3EDFDA6A" w:rsidR="008B18EF" w:rsidRDefault="00FC4C4C">
          <w:pPr>
            <w:pStyle w:val="TOC1"/>
            <w:tabs>
              <w:tab w:val="right" w:leader="dot" w:pos="9016"/>
            </w:tabs>
            <w:rPr>
              <w:rFonts w:eastAsiaTheme="minorEastAsia"/>
              <w:noProof/>
              <w:lang w:eastAsia="en-AU"/>
            </w:rPr>
          </w:pPr>
          <w:hyperlink w:anchor="_Toc21523916" w:history="1">
            <w:r w:rsidR="008B18EF" w:rsidRPr="00F93A29">
              <w:rPr>
                <w:rStyle w:val="Hyperlink"/>
                <w:noProof/>
              </w:rPr>
              <w:t>Annex One: Evaluation plan</w:t>
            </w:r>
            <w:r w:rsidR="008B18EF">
              <w:rPr>
                <w:noProof/>
                <w:webHidden/>
              </w:rPr>
              <w:tab/>
            </w:r>
            <w:r w:rsidR="008B18EF">
              <w:rPr>
                <w:noProof/>
                <w:webHidden/>
              </w:rPr>
              <w:fldChar w:fldCharType="begin"/>
            </w:r>
            <w:r w:rsidR="008B18EF">
              <w:rPr>
                <w:noProof/>
                <w:webHidden/>
              </w:rPr>
              <w:instrText xml:space="preserve"> PAGEREF _Toc21523916 \h </w:instrText>
            </w:r>
            <w:r w:rsidR="008B18EF">
              <w:rPr>
                <w:noProof/>
                <w:webHidden/>
              </w:rPr>
            </w:r>
            <w:r w:rsidR="008B18EF">
              <w:rPr>
                <w:noProof/>
                <w:webHidden/>
              </w:rPr>
              <w:fldChar w:fldCharType="separate"/>
            </w:r>
            <w:r w:rsidR="00E80C3C">
              <w:rPr>
                <w:noProof/>
                <w:webHidden/>
              </w:rPr>
              <w:t>44</w:t>
            </w:r>
            <w:r w:rsidR="008B18EF">
              <w:rPr>
                <w:noProof/>
                <w:webHidden/>
              </w:rPr>
              <w:fldChar w:fldCharType="end"/>
            </w:r>
          </w:hyperlink>
        </w:p>
        <w:p w14:paraId="555AB935" w14:textId="003D9CF9" w:rsidR="008B18EF" w:rsidRDefault="00FC4C4C">
          <w:pPr>
            <w:pStyle w:val="TOC1"/>
            <w:tabs>
              <w:tab w:val="right" w:leader="dot" w:pos="9016"/>
            </w:tabs>
            <w:rPr>
              <w:rFonts w:eastAsiaTheme="minorEastAsia"/>
              <w:noProof/>
              <w:lang w:eastAsia="en-AU"/>
            </w:rPr>
          </w:pPr>
          <w:hyperlink w:anchor="_Toc21523917" w:history="1">
            <w:r w:rsidR="008B18EF" w:rsidRPr="00F93A29">
              <w:rPr>
                <w:rStyle w:val="Hyperlink"/>
                <w:noProof/>
              </w:rPr>
              <w:t>Annex Two: People and documents consulted</w:t>
            </w:r>
            <w:r w:rsidR="008B18EF">
              <w:rPr>
                <w:noProof/>
                <w:webHidden/>
              </w:rPr>
              <w:tab/>
            </w:r>
            <w:r w:rsidR="008B18EF">
              <w:rPr>
                <w:noProof/>
                <w:webHidden/>
              </w:rPr>
              <w:fldChar w:fldCharType="begin"/>
            </w:r>
            <w:r w:rsidR="008B18EF">
              <w:rPr>
                <w:noProof/>
                <w:webHidden/>
              </w:rPr>
              <w:instrText xml:space="preserve"> PAGEREF _Toc21523917 \h </w:instrText>
            </w:r>
            <w:r w:rsidR="008B18EF">
              <w:rPr>
                <w:noProof/>
                <w:webHidden/>
              </w:rPr>
            </w:r>
            <w:r w:rsidR="008B18EF">
              <w:rPr>
                <w:noProof/>
                <w:webHidden/>
              </w:rPr>
              <w:fldChar w:fldCharType="separate"/>
            </w:r>
            <w:r w:rsidR="00E80C3C">
              <w:rPr>
                <w:noProof/>
                <w:webHidden/>
              </w:rPr>
              <w:t>61</w:t>
            </w:r>
            <w:r w:rsidR="008B18EF">
              <w:rPr>
                <w:noProof/>
                <w:webHidden/>
              </w:rPr>
              <w:fldChar w:fldCharType="end"/>
            </w:r>
          </w:hyperlink>
        </w:p>
        <w:p w14:paraId="147FF8AE" w14:textId="7A16ECF5" w:rsidR="008B18EF" w:rsidRDefault="00FC4C4C">
          <w:pPr>
            <w:pStyle w:val="TOC1"/>
            <w:tabs>
              <w:tab w:val="right" w:leader="dot" w:pos="9016"/>
            </w:tabs>
            <w:rPr>
              <w:rFonts w:eastAsiaTheme="minorEastAsia"/>
              <w:noProof/>
              <w:lang w:eastAsia="en-AU"/>
            </w:rPr>
          </w:pPr>
          <w:hyperlink w:anchor="_Toc21523918" w:history="1">
            <w:r w:rsidR="008B18EF" w:rsidRPr="00F93A29">
              <w:rPr>
                <w:rStyle w:val="Hyperlink"/>
                <w:noProof/>
              </w:rPr>
              <w:t>Annex Three: MAMPU Phase 2 CSO Partners</w:t>
            </w:r>
            <w:r w:rsidR="008B18EF">
              <w:rPr>
                <w:noProof/>
                <w:webHidden/>
              </w:rPr>
              <w:tab/>
            </w:r>
            <w:r w:rsidR="008B18EF">
              <w:rPr>
                <w:noProof/>
                <w:webHidden/>
              </w:rPr>
              <w:fldChar w:fldCharType="begin"/>
            </w:r>
            <w:r w:rsidR="008B18EF">
              <w:rPr>
                <w:noProof/>
                <w:webHidden/>
              </w:rPr>
              <w:instrText xml:space="preserve"> PAGEREF _Toc21523918 \h </w:instrText>
            </w:r>
            <w:r w:rsidR="008B18EF">
              <w:rPr>
                <w:noProof/>
                <w:webHidden/>
              </w:rPr>
            </w:r>
            <w:r w:rsidR="008B18EF">
              <w:rPr>
                <w:noProof/>
                <w:webHidden/>
              </w:rPr>
              <w:fldChar w:fldCharType="separate"/>
            </w:r>
            <w:r w:rsidR="00E80C3C">
              <w:rPr>
                <w:noProof/>
                <w:webHidden/>
              </w:rPr>
              <w:t>68</w:t>
            </w:r>
            <w:r w:rsidR="008B18EF">
              <w:rPr>
                <w:noProof/>
                <w:webHidden/>
              </w:rPr>
              <w:fldChar w:fldCharType="end"/>
            </w:r>
          </w:hyperlink>
        </w:p>
        <w:p w14:paraId="0C73D733" w14:textId="3B1BF7E5" w:rsidR="008B18EF" w:rsidRDefault="00FC4C4C">
          <w:pPr>
            <w:pStyle w:val="TOC1"/>
            <w:tabs>
              <w:tab w:val="right" w:leader="dot" w:pos="9016"/>
            </w:tabs>
            <w:rPr>
              <w:rFonts w:eastAsiaTheme="minorEastAsia"/>
              <w:noProof/>
              <w:lang w:eastAsia="en-AU"/>
            </w:rPr>
          </w:pPr>
          <w:hyperlink w:anchor="_Toc21523919" w:history="1">
            <w:r w:rsidR="008B18EF" w:rsidRPr="00F93A29">
              <w:rPr>
                <w:rStyle w:val="Hyperlink"/>
                <w:noProof/>
              </w:rPr>
              <w:t>Annex Four: MAMPU program management systems</w:t>
            </w:r>
            <w:r w:rsidR="008B18EF">
              <w:rPr>
                <w:noProof/>
                <w:webHidden/>
              </w:rPr>
              <w:tab/>
            </w:r>
            <w:r w:rsidR="008B18EF">
              <w:rPr>
                <w:noProof/>
                <w:webHidden/>
              </w:rPr>
              <w:fldChar w:fldCharType="begin"/>
            </w:r>
            <w:r w:rsidR="008B18EF">
              <w:rPr>
                <w:noProof/>
                <w:webHidden/>
              </w:rPr>
              <w:instrText xml:space="preserve"> PAGEREF _Toc21523919 \h </w:instrText>
            </w:r>
            <w:r w:rsidR="008B18EF">
              <w:rPr>
                <w:noProof/>
                <w:webHidden/>
              </w:rPr>
            </w:r>
            <w:r w:rsidR="008B18EF">
              <w:rPr>
                <w:noProof/>
                <w:webHidden/>
              </w:rPr>
              <w:fldChar w:fldCharType="separate"/>
            </w:r>
            <w:r w:rsidR="00E80C3C">
              <w:rPr>
                <w:noProof/>
                <w:webHidden/>
              </w:rPr>
              <w:t>70</w:t>
            </w:r>
            <w:r w:rsidR="008B18EF">
              <w:rPr>
                <w:noProof/>
                <w:webHidden/>
              </w:rPr>
              <w:fldChar w:fldCharType="end"/>
            </w:r>
          </w:hyperlink>
        </w:p>
        <w:p w14:paraId="5313648B" w14:textId="53A329EA" w:rsidR="008B18EF" w:rsidRDefault="00FC4C4C">
          <w:pPr>
            <w:pStyle w:val="TOC1"/>
            <w:tabs>
              <w:tab w:val="right" w:leader="dot" w:pos="9016"/>
            </w:tabs>
            <w:rPr>
              <w:rFonts w:eastAsiaTheme="minorEastAsia"/>
              <w:noProof/>
              <w:lang w:eastAsia="en-AU"/>
            </w:rPr>
          </w:pPr>
          <w:hyperlink w:anchor="_Toc21523920" w:history="1">
            <w:r w:rsidR="008B18EF" w:rsidRPr="00F93A29">
              <w:rPr>
                <w:rStyle w:val="Hyperlink"/>
                <w:noProof/>
              </w:rPr>
              <w:t>Annex Five: Socio-political analysis framework for women’s empowerment</w:t>
            </w:r>
            <w:r w:rsidR="008B18EF">
              <w:rPr>
                <w:noProof/>
                <w:webHidden/>
              </w:rPr>
              <w:tab/>
            </w:r>
            <w:r w:rsidR="008B18EF">
              <w:rPr>
                <w:noProof/>
                <w:webHidden/>
              </w:rPr>
              <w:fldChar w:fldCharType="begin"/>
            </w:r>
            <w:r w:rsidR="008B18EF">
              <w:rPr>
                <w:noProof/>
                <w:webHidden/>
              </w:rPr>
              <w:instrText xml:space="preserve"> PAGEREF _Toc21523920 \h </w:instrText>
            </w:r>
            <w:r w:rsidR="008B18EF">
              <w:rPr>
                <w:noProof/>
                <w:webHidden/>
              </w:rPr>
            </w:r>
            <w:r w:rsidR="008B18EF">
              <w:rPr>
                <w:noProof/>
                <w:webHidden/>
              </w:rPr>
              <w:fldChar w:fldCharType="separate"/>
            </w:r>
            <w:r w:rsidR="00E80C3C">
              <w:rPr>
                <w:noProof/>
                <w:webHidden/>
              </w:rPr>
              <w:t>72</w:t>
            </w:r>
            <w:r w:rsidR="008B18EF">
              <w:rPr>
                <w:noProof/>
                <w:webHidden/>
              </w:rPr>
              <w:fldChar w:fldCharType="end"/>
            </w:r>
          </w:hyperlink>
        </w:p>
        <w:p w14:paraId="44DF18AD" w14:textId="76CA262E" w:rsidR="00525B4A" w:rsidRDefault="00525B4A">
          <w:r>
            <w:rPr>
              <w:b/>
              <w:bCs/>
              <w:noProof/>
            </w:rPr>
            <w:fldChar w:fldCharType="end"/>
          </w:r>
        </w:p>
      </w:sdtContent>
    </w:sdt>
    <w:p w14:paraId="3DC26D74" w14:textId="77777777" w:rsidR="00525B4A" w:rsidRDefault="00525B4A" w:rsidP="00525B4A">
      <w:pPr>
        <w:pStyle w:val="Heading1"/>
      </w:pPr>
      <w:r>
        <w:br w:type="page"/>
      </w:r>
    </w:p>
    <w:p w14:paraId="66EDD55A" w14:textId="77777777" w:rsidR="00B411CB" w:rsidRDefault="008C2B26" w:rsidP="00CD6F7A">
      <w:pPr>
        <w:pStyle w:val="Heading1"/>
        <w:numPr>
          <w:ilvl w:val="0"/>
          <w:numId w:val="19"/>
        </w:numPr>
      </w:pPr>
      <w:bookmarkStart w:id="4" w:name="_Toc21523884"/>
      <w:r>
        <w:t>Introduction</w:t>
      </w:r>
      <w:bookmarkEnd w:id="4"/>
    </w:p>
    <w:p w14:paraId="4D1ED235" w14:textId="008AB81A" w:rsidR="007A4A14" w:rsidRDefault="000B682F" w:rsidP="00AD5AF0">
      <w:pPr>
        <w:jc w:val="both"/>
      </w:pPr>
      <w:r>
        <w:t>The Australia-</w:t>
      </w:r>
      <w:r w:rsidR="00B3589D">
        <w:t>Indonesia Partnership for Gender Equality and Women’s Empowerment (MAMPU)</w:t>
      </w:r>
      <w:r w:rsidR="00092051">
        <w:t xml:space="preserve"> </w:t>
      </w:r>
      <w:r w:rsidR="007A4A14">
        <w:t xml:space="preserve">Phase 2 is an Australian </w:t>
      </w:r>
      <w:r w:rsidR="0034157E">
        <w:t xml:space="preserve">Government </w:t>
      </w:r>
      <w:r w:rsidR="007A4A14">
        <w:t xml:space="preserve">funded program working with the Government of Indonesia and </w:t>
      </w:r>
      <w:r w:rsidR="0034157E">
        <w:t xml:space="preserve">Civil Society Organisations (CSO) </w:t>
      </w:r>
      <w:r w:rsidR="007A4A14">
        <w:t>to achieve improved women’s empowerment and gender equality. The second phase of the program commenced in 2016 and will be completed in mid-2020.</w:t>
      </w:r>
      <w:r w:rsidR="00FE6B49">
        <w:t xml:space="preserve"> The combined funding for both phases of the program will amount to A$108.3million, with A$51.9million allocated for the second phase. </w:t>
      </w:r>
    </w:p>
    <w:p w14:paraId="32732667" w14:textId="77777777" w:rsidR="006E5927" w:rsidRDefault="007A4A14" w:rsidP="00AD5AF0">
      <w:pPr>
        <w:jc w:val="both"/>
      </w:pPr>
      <w:r>
        <w:t xml:space="preserve">In anticipation of the end of </w:t>
      </w:r>
      <w:r w:rsidR="006E5927">
        <w:t>the program,</w:t>
      </w:r>
      <w:r>
        <w:t xml:space="preserve"> an Independent Strategic Review (ISR) was commissioned at the midpoint of the second phase. The intention of the ISR is to inform DFAT and the </w:t>
      </w:r>
      <w:r w:rsidR="006E5927">
        <w:t xml:space="preserve">Government </w:t>
      </w:r>
      <w:r>
        <w:t xml:space="preserve">of Indonesia about the effectiveness and ongoing relevance of </w:t>
      </w:r>
      <w:r w:rsidR="006E5927">
        <w:t>MAMPU</w:t>
      </w:r>
      <w:r>
        <w:t xml:space="preserve"> </w:t>
      </w:r>
      <w:r w:rsidR="006E5927">
        <w:t>and to identify opportunities and challenges for any future DFAT investment in gender equality and women’s empowerment beyond 2020.</w:t>
      </w:r>
    </w:p>
    <w:p w14:paraId="06950D85" w14:textId="77777777" w:rsidR="006E5927" w:rsidRDefault="006E5927" w:rsidP="00AD5AF0">
      <w:pPr>
        <w:jc w:val="both"/>
      </w:pPr>
      <w:r>
        <w:t>This report outlines the findings, analysis and recommendations from the ISR.</w:t>
      </w:r>
    </w:p>
    <w:p w14:paraId="1F346177" w14:textId="77777777" w:rsidR="006E5927" w:rsidRDefault="006E5927" w:rsidP="00CD6F7A">
      <w:pPr>
        <w:pStyle w:val="Heading1"/>
        <w:numPr>
          <w:ilvl w:val="0"/>
          <w:numId w:val="19"/>
        </w:numPr>
      </w:pPr>
      <w:bookmarkStart w:id="5" w:name="_Toc21523885"/>
      <w:r>
        <w:t>Methodology</w:t>
      </w:r>
      <w:bookmarkEnd w:id="5"/>
      <w:r>
        <w:t xml:space="preserve"> </w:t>
      </w:r>
    </w:p>
    <w:p w14:paraId="378BC3E9" w14:textId="77777777" w:rsidR="006E5927" w:rsidRDefault="006E5927" w:rsidP="00CD6F7A">
      <w:pPr>
        <w:pStyle w:val="Heading2"/>
        <w:numPr>
          <w:ilvl w:val="1"/>
          <w:numId w:val="19"/>
        </w:numPr>
      </w:pPr>
      <w:bookmarkStart w:id="6" w:name="_Toc21523886"/>
      <w:r>
        <w:t>Purpose</w:t>
      </w:r>
      <w:bookmarkEnd w:id="6"/>
    </w:p>
    <w:p w14:paraId="07E78589" w14:textId="77777777" w:rsidR="006E5927" w:rsidRDefault="000B682F" w:rsidP="001C48E2">
      <w:pPr>
        <w:jc w:val="both"/>
      </w:pPr>
      <w:r>
        <w:t>T</w:t>
      </w:r>
      <w:r w:rsidR="006E5927">
        <w:t>he terms of reference (TOR) for the review</w:t>
      </w:r>
      <w:r w:rsidR="00EA6677">
        <w:t xml:space="preserve"> direct</w:t>
      </w:r>
      <w:r>
        <w:t>ed</w:t>
      </w:r>
      <w:r w:rsidR="00EA6677">
        <w:t xml:space="preserve"> it to address three questions:</w:t>
      </w:r>
    </w:p>
    <w:p w14:paraId="57FA7B9C" w14:textId="77777777" w:rsidR="00EA6677" w:rsidRDefault="00EA6677" w:rsidP="001C48E2">
      <w:pPr>
        <w:pStyle w:val="ListParagraph"/>
        <w:numPr>
          <w:ilvl w:val="0"/>
          <w:numId w:val="1"/>
        </w:numPr>
        <w:jc w:val="both"/>
      </w:pPr>
      <w:r>
        <w:t xml:space="preserve">Does the </w:t>
      </w:r>
      <w:r w:rsidR="00B41CAC">
        <w:t>MAMPU</w:t>
      </w:r>
      <w:r>
        <w:t xml:space="preserve"> program remain relevant and effective in addressing Government of Indonesia and CSO partner policy and program priorities?</w:t>
      </w:r>
    </w:p>
    <w:p w14:paraId="3F64FB45" w14:textId="77777777" w:rsidR="00EA6677" w:rsidRDefault="00EA6677" w:rsidP="001C48E2">
      <w:pPr>
        <w:pStyle w:val="ListParagraph"/>
        <w:numPr>
          <w:ilvl w:val="0"/>
          <w:numId w:val="1"/>
        </w:numPr>
        <w:jc w:val="both"/>
      </w:pPr>
      <w:r>
        <w:t xml:space="preserve">Does the </w:t>
      </w:r>
      <w:r w:rsidR="00B41CAC">
        <w:t>MAMPU</w:t>
      </w:r>
      <w:r>
        <w:t xml:space="preserve"> program remain relevant and effective in addressing DFAT policy and program priorities?</w:t>
      </w:r>
    </w:p>
    <w:p w14:paraId="2008599D" w14:textId="77777777" w:rsidR="00EA6677" w:rsidRDefault="00EA6677" w:rsidP="001C48E2">
      <w:pPr>
        <w:pStyle w:val="ListParagraph"/>
        <w:numPr>
          <w:ilvl w:val="0"/>
          <w:numId w:val="1"/>
        </w:numPr>
        <w:jc w:val="both"/>
      </w:pPr>
      <w:r>
        <w:t xml:space="preserve">Does the current </w:t>
      </w:r>
      <w:r w:rsidR="00B41CAC">
        <w:t>MAMPU</w:t>
      </w:r>
      <w:r>
        <w:t xml:space="preserve"> program modality and strategic approach remain appropriate in responding to the changing political economy context in Indonesia?</w:t>
      </w:r>
    </w:p>
    <w:p w14:paraId="7B62A3D0" w14:textId="77777777" w:rsidR="006E5927" w:rsidRDefault="00EA6677" w:rsidP="001C48E2">
      <w:pPr>
        <w:jc w:val="both"/>
      </w:pPr>
      <w:r>
        <w:t>In addition</w:t>
      </w:r>
      <w:r w:rsidR="000B682F">
        <w:t>,</w:t>
      </w:r>
      <w:r>
        <w:t xml:space="preserve"> the review</w:t>
      </w:r>
      <w:r w:rsidR="000B682F">
        <w:t xml:space="preserve"> wa</w:t>
      </w:r>
      <w:r>
        <w:t>s required to provide recommendations about future DFAT support to gender equality and women’s empowerment in Indonesia,</w:t>
      </w:r>
      <w:r w:rsidR="00946545">
        <w:t xml:space="preserve"> exploring alternative approaches, addressing issues of scale </w:t>
      </w:r>
      <w:r w:rsidR="000B682F">
        <w:t xml:space="preserve">and </w:t>
      </w:r>
      <w:r w:rsidR="00946545">
        <w:t xml:space="preserve">modality and identifying any implications that </w:t>
      </w:r>
      <w:r w:rsidR="000B682F">
        <w:t xml:space="preserve">might </w:t>
      </w:r>
      <w:r w:rsidR="00946545">
        <w:t xml:space="preserve">arise from phasing out the existing </w:t>
      </w:r>
      <w:r w:rsidR="00B41CAC">
        <w:t>MAMPU</w:t>
      </w:r>
      <w:r w:rsidR="00946545">
        <w:t xml:space="preserve"> program.</w:t>
      </w:r>
    </w:p>
    <w:p w14:paraId="6564A6E3" w14:textId="167039A3" w:rsidR="00841E38" w:rsidRPr="00841E38" w:rsidRDefault="00946545" w:rsidP="00CD6F7A">
      <w:pPr>
        <w:pStyle w:val="Heading2"/>
        <w:numPr>
          <w:ilvl w:val="1"/>
          <w:numId w:val="19"/>
        </w:numPr>
        <w:jc w:val="both"/>
      </w:pPr>
      <w:bookmarkStart w:id="7" w:name="_Toc21523887"/>
      <w:r>
        <w:t>Approach</w:t>
      </w:r>
      <w:bookmarkEnd w:id="7"/>
    </w:p>
    <w:p w14:paraId="58720A2C" w14:textId="77777777" w:rsidR="00946545" w:rsidRDefault="00946545" w:rsidP="001C48E2">
      <w:pPr>
        <w:jc w:val="both"/>
      </w:pPr>
      <w:r>
        <w:t>A comprehensive evaluation plan was developed for the ISR (</w:t>
      </w:r>
      <w:r w:rsidRPr="00946545">
        <w:rPr>
          <w:u w:val="single"/>
        </w:rPr>
        <w:t>see Annex one</w:t>
      </w:r>
      <w:r>
        <w:t xml:space="preserve">). </w:t>
      </w:r>
    </w:p>
    <w:p w14:paraId="29FD27FB" w14:textId="4FB23F45" w:rsidR="006E5927" w:rsidRDefault="00A211F5" w:rsidP="001C48E2">
      <w:pPr>
        <w:jc w:val="both"/>
      </w:pPr>
      <w:r>
        <w:t xml:space="preserve">In line with the TOR, the </w:t>
      </w:r>
      <w:r w:rsidR="00946545">
        <w:t xml:space="preserve">ISR focused on understanding </w:t>
      </w:r>
      <w:r w:rsidR="00B41CAC">
        <w:t>MAMPU</w:t>
      </w:r>
      <w:r w:rsidR="00946545">
        <w:t xml:space="preserve"> </w:t>
      </w:r>
      <w:r w:rsidR="00C85EE7">
        <w:t>P</w:t>
      </w:r>
      <w:r w:rsidR="00946545">
        <w:t xml:space="preserve">hase </w:t>
      </w:r>
      <w:r w:rsidR="00A71C32">
        <w:t>2</w:t>
      </w:r>
      <w:r w:rsidR="00946545">
        <w:t xml:space="preserve"> in the current</w:t>
      </w:r>
      <w:r w:rsidR="00993F31">
        <w:t>,</w:t>
      </w:r>
      <w:r w:rsidR="00946545">
        <w:t xml:space="preserve"> </w:t>
      </w:r>
      <w:r w:rsidR="00A71C32">
        <w:t>and likely future</w:t>
      </w:r>
      <w:r w:rsidR="00993F31">
        <w:t>,</w:t>
      </w:r>
      <w:r w:rsidR="00A71C32">
        <w:t xml:space="preserve"> </w:t>
      </w:r>
      <w:r w:rsidR="00946545">
        <w:t>Indonesian context for women’s empowerment and gender equality. While attention</w:t>
      </w:r>
      <w:r w:rsidR="00A71C32">
        <w:t xml:space="preserve"> was</w:t>
      </w:r>
      <w:r w:rsidR="00C85EE7">
        <w:t xml:space="preserve"> </w:t>
      </w:r>
      <w:r w:rsidR="00946545">
        <w:t>given to program effectiveness</w:t>
      </w:r>
      <w:r w:rsidR="00A71C32">
        <w:t xml:space="preserve">, this was largely </w:t>
      </w:r>
      <w:r w:rsidR="00946545">
        <w:t>achieved through</w:t>
      </w:r>
      <w:r w:rsidR="00A71C32">
        <w:t xml:space="preserve"> review and</w:t>
      </w:r>
      <w:r w:rsidR="00946545">
        <w:t xml:space="preserve"> verification of existing program evidence. The majority of the review </w:t>
      </w:r>
      <w:r w:rsidR="00A71C32">
        <w:t>was</w:t>
      </w:r>
      <w:r w:rsidR="00946545">
        <w:t xml:space="preserve"> dedicated to consideration of Australian and Indonesian </w:t>
      </w:r>
      <w:r w:rsidR="00A71C32">
        <w:t xml:space="preserve">Governments’ respective </w:t>
      </w:r>
      <w:r w:rsidR="00946545">
        <w:t xml:space="preserve">priorities and </w:t>
      </w:r>
      <w:r w:rsidR="00A71C32">
        <w:t>future possible options</w:t>
      </w:r>
      <w:r w:rsidR="00C85EE7">
        <w:t xml:space="preserve"> for investment</w:t>
      </w:r>
      <w:r w:rsidR="0034157E">
        <w:t>,</w:t>
      </w:r>
      <w:r w:rsidR="00A71C32">
        <w:t xml:space="preserve"> based on achievements and lessons learned from </w:t>
      </w:r>
      <w:r w:rsidR="00B41CAC">
        <w:t>MAMPU</w:t>
      </w:r>
      <w:r w:rsidR="00A71C32">
        <w:t xml:space="preserve"> </w:t>
      </w:r>
      <w:r w:rsidR="00C85EE7">
        <w:t>P</w:t>
      </w:r>
      <w:r w:rsidR="00A71C32">
        <w:t>hase 2.</w:t>
      </w:r>
    </w:p>
    <w:p w14:paraId="6FF39488" w14:textId="77777777" w:rsidR="00A71C32" w:rsidRDefault="00A71C32" w:rsidP="001C48E2">
      <w:pPr>
        <w:jc w:val="both"/>
      </w:pPr>
      <w:r>
        <w:t>The data collection process included several areas of work:</w:t>
      </w:r>
    </w:p>
    <w:p w14:paraId="6E962921" w14:textId="0432134F" w:rsidR="00A71C32" w:rsidRDefault="006C5D08" w:rsidP="001C48E2">
      <w:pPr>
        <w:pStyle w:val="ListParagraph"/>
        <w:numPr>
          <w:ilvl w:val="0"/>
          <w:numId w:val="2"/>
        </w:numPr>
        <w:jc w:val="both"/>
      </w:pPr>
      <w:r>
        <w:t>A comprehensive document review (</w:t>
      </w:r>
      <w:r w:rsidRPr="006C5D08">
        <w:rPr>
          <w:u w:val="single"/>
        </w:rPr>
        <w:t>see Annex two</w:t>
      </w:r>
      <w:r>
        <w:t>)</w:t>
      </w:r>
    </w:p>
    <w:p w14:paraId="11B4BD6B" w14:textId="77777777" w:rsidR="006E5927" w:rsidRDefault="00993F31" w:rsidP="001C48E2">
      <w:pPr>
        <w:pStyle w:val="ListParagraph"/>
        <w:numPr>
          <w:ilvl w:val="0"/>
          <w:numId w:val="2"/>
        </w:numPr>
        <w:jc w:val="both"/>
      </w:pPr>
      <w:r>
        <w:t>Focus</w:t>
      </w:r>
      <w:r w:rsidR="006C5D08">
        <w:t xml:space="preserve"> group discussions with CSO and women’s organisations (including </w:t>
      </w:r>
      <w:r w:rsidR="00B41CAC">
        <w:t>MAMPU</w:t>
      </w:r>
      <w:r w:rsidR="006C5D08">
        <w:t xml:space="preserve"> </w:t>
      </w:r>
      <w:r>
        <w:t xml:space="preserve">partner </w:t>
      </w:r>
      <w:r w:rsidR="006C5D08">
        <w:t>and non-</w:t>
      </w:r>
      <w:r w:rsidR="00B41CAC">
        <w:t>MAMPU</w:t>
      </w:r>
      <w:r w:rsidR="006C5D08">
        <w:t xml:space="preserve"> organisations)</w:t>
      </w:r>
      <w:r w:rsidR="002755B6">
        <w:t>.</w:t>
      </w:r>
    </w:p>
    <w:p w14:paraId="64C56C93" w14:textId="55BE3C86" w:rsidR="00FE6B49" w:rsidRDefault="00FE6B49" w:rsidP="001C48E2">
      <w:pPr>
        <w:pStyle w:val="ListParagraph"/>
        <w:numPr>
          <w:ilvl w:val="0"/>
          <w:numId w:val="2"/>
        </w:numPr>
        <w:jc w:val="both"/>
      </w:pPr>
      <w:r>
        <w:t xml:space="preserve">Participation in and review of findings from the MAMPU internal collaborative outcomes reporting </w:t>
      </w:r>
      <w:r w:rsidR="007428ED">
        <w:t xml:space="preserve">(COR) </w:t>
      </w:r>
      <w:r>
        <w:t>exercise.</w:t>
      </w:r>
    </w:p>
    <w:p w14:paraId="5DD37109" w14:textId="77777777" w:rsidR="006C5D08" w:rsidRDefault="006C5D08" w:rsidP="001C48E2">
      <w:pPr>
        <w:pStyle w:val="ListParagraph"/>
        <w:numPr>
          <w:ilvl w:val="0"/>
          <w:numId w:val="2"/>
        </w:numPr>
        <w:jc w:val="both"/>
      </w:pPr>
      <w:r>
        <w:t xml:space="preserve">Semi-structured interviews with </w:t>
      </w:r>
      <w:r w:rsidR="000B682F">
        <w:t xml:space="preserve">representatives from </w:t>
      </w:r>
      <w:r w:rsidR="00B87212">
        <w:t>Government</w:t>
      </w:r>
      <w:r>
        <w:t xml:space="preserve"> of Indonesia</w:t>
      </w:r>
      <w:r w:rsidR="000B682F">
        <w:t xml:space="preserve"> and</w:t>
      </w:r>
      <w:r>
        <w:t xml:space="preserve"> DFAT in Indonesia and Australia, </w:t>
      </w:r>
      <w:r w:rsidR="00B41CAC">
        <w:t>MAMPU</w:t>
      </w:r>
      <w:r>
        <w:t xml:space="preserve"> CSO partners, </w:t>
      </w:r>
      <w:r w:rsidR="00B41CAC">
        <w:t>MAMPU</w:t>
      </w:r>
      <w:r>
        <w:t xml:space="preserve"> senior and technical staff, relevant technical experts (both those working with </w:t>
      </w:r>
      <w:r w:rsidR="00B41CAC">
        <w:t>MAMPU</w:t>
      </w:r>
      <w:r>
        <w:t xml:space="preserve"> and people external to the program), and other relevant informants and stakeholders</w:t>
      </w:r>
      <w:r w:rsidR="002755B6">
        <w:t xml:space="preserve"> (see Annex two).</w:t>
      </w:r>
    </w:p>
    <w:p w14:paraId="13A444D5" w14:textId="799945FC" w:rsidR="002755B6" w:rsidRDefault="002755B6" w:rsidP="001C48E2">
      <w:pPr>
        <w:pStyle w:val="ListParagraph"/>
        <w:numPr>
          <w:ilvl w:val="0"/>
          <w:numId w:val="2"/>
        </w:numPr>
        <w:jc w:val="both"/>
      </w:pPr>
      <w:r>
        <w:t xml:space="preserve">Field visits to two provinces in Indonesia, visiting </w:t>
      </w:r>
      <w:r w:rsidR="00B41CAC">
        <w:t>MAMPU</w:t>
      </w:r>
      <w:r w:rsidR="002B3BAB">
        <w:t xml:space="preserve"> local</w:t>
      </w:r>
      <w:r>
        <w:t xml:space="preserve"> partners and district and provincial governments</w:t>
      </w:r>
      <w:r w:rsidR="00B87212">
        <w:t xml:space="preserve"> (</w:t>
      </w:r>
      <w:r w:rsidR="00B87212" w:rsidRPr="00B87212">
        <w:rPr>
          <w:u w:val="single"/>
        </w:rPr>
        <w:t>see Annex Two</w:t>
      </w:r>
      <w:r w:rsidR="00B87212">
        <w:t>)</w:t>
      </w:r>
      <w:r>
        <w:t>.</w:t>
      </w:r>
    </w:p>
    <w:p w14:paraId="63FB01DF" w14:textId="20096BDE" w:rsidR="00841E38" w:rsidRPr="005C1D47" w:rsidRDefault="00B4130C" w:rsidP="001C48E2">
      <w:pPr>
        <w:jc w:val="both"/>
      </w:pPr>
      <w:r>
        <w:t>T</w:t>
      </w:r>
      <w:r w:rsidR="007428ED">
        <w:t>he analysis focused on triangulating information</w:t>
      </w:r>
      <w:r>
        <w:t xml:space="preserve"> to identify core trends and issues. The data collection process included a large number of sub questions for each three key review questions, allowing the review team to shape and adapt their enquiry to the particular interests and focus of the various respondents. </w:t>
      </w:r>
      <w:r w:rsidR="001D48A6">
        <w:t xml:space="preserve">Data pertaining to all the questions was collected and analysed, with particular attention to areas of major correspondence and consensus. </w:t>
      </w:r>
      <w:r w:rsidR="00D84D2C">
        <w:t>T</w:t>
      </w:r>
      <w:r>
        <w:t xml:space="preserve">he outcomes and the issues identified in this report were those which </w:t>
      </w:r>
      <w:r w:rsidR="00D84D2C">
        <w:t>were</w:t>
      </w:r>
      <w:r>
        <w:t xml:space="preserve"> </w:t>
      </w:r>
      <w:r w:rsidR="00D61630">
        <w:t>verified</w:t>
      </w:r>
      <w:r>
        <w:t xml:space="preserve"> by several different sources throughout the review. It is important to note that there were lots of individual opinions</w:t>
      </w:r>
      <w:r w:rsidR="00D84D2C">
        <w:t>,</w:t>
      </w:r>
      <w:r>
        <w:t xml:space="preserve"> ideas and reflections,</w:t>
      </w:r>
      <w:r w:rsidR="00D84D2C">
        <w:t xml:space="preserve"> which obviously were of</w:t>
      </w:r>
      <w:r>
        <w:t xml:space="preserve"> value, </w:t>
      </w:r>
      <w:r w:rsidR="00D84D2C">
        <w:t xml:space="preserve">but </w:t>
      </w:r>
      <w:r>
        <w:t>apart from some expert opinion</w:t>
      </w:r>
      <w:r w:rsidR="00D84D2C">
        <w:t xml:space="preserve"> a</w:t>
      </w:r>
      <w:r>
        <w:t xml:space="preserve">s identified in the report, the </w:t>
      </w:r>
      <w:r w:rsidRPr="005C1D47">
        <w:t xml:space="preserve">findings </w:t>
      </w:r>
      <w:r w:rsidR="00D61630" w:rsidRPr="005C1D47">
        <w:t xml:space="preserve">only </w:t>
      </w:r>
      <w:r w:rsidRPr="005C1D47">
        <w:t xml:space="preserve">reflect areas </w:t>
      </w:r>
      <w:r w:rsidR="00D84D2C" w:rsidRPr="005C1D47">
        <w:t xml:space="preserve">where there </w:t>
      </w:r>
      <w:r w:rsidR="00D61630" w:rsidRPr="005C1D47">
        <w:t>wa</w:t>
      </w:r>
      <w:r w:rsidR="00D84D2C" w:rsidRPr="005C1D47">
        <w:t>s</w:t>
      </w:r>
      <w:r w:rsidRPr="005C1D47">
        <w:t xml:space="preserve"> strong consensus from a wide range of data sources.</w:t>
      </w:r>
    </w:p>
    <w:p w14:paraId="09579DF9" w14:textId="2D252277" w:rsidR="001212EE" w:rsidRPr="005C1D47" w:rsidRDefault="001212EE" w:rsidP="00CD6F7A">
      <w:pPr>
        <w:pStyle w:val="Heading2"/>
        <w:numPr>
          <w:ilvl w:val="1"/>
          <w:numId w:val="19"/>
        </w:numPr>
        <w:jc w:val="both"/>
      </w:pPr>
      <w:bookmarkStart w:id="8" w:name="_Toc21523888"/>
      <w:r w:rsidRPr="005C1D47">
        <w:t>Limitation</w:t>
      </w:r>
      <w:r w:rsidR="00D84D2C" w:rsidRPr="005C1D47">
        <w:t>s</w:t>
      </w:r>
      <w:bookmarkEnd w:id="8"/>
    </w:p>
    <w:p w14:paraId="0328CEE6" w14:textId="6CE14851" w:rsidR="00987919" w:rsidRDefault="00987919" w:rsidP="001C48E2">
      <w:pPr>
        <w:jc w:val="both"/>
      </w:pPr>
      <w:r w:rsidRPr="005C1D47">
        <w:t>The ISR was undertaken at the midpoint of the second</w:t>
      </w:r>
      <w:r>
        <w:t xml:space="preserve"> phase of MAMPU implementation. It is not an impact evaluation or final outcome evaluation. It focused on the value of MAMPU Phase 2 in the current context, and its strategic value going forward, not the absolute value of the investment as a whole. Further, in light of the focus areas identified for the ISR, it did not undertake a detailed study of MAMPU activities and outputs. The focus was on the high-level strategic interface between MAMPU and its approach, and the current and likely future context for program implementation.</w:t>
      </w:r>
    </w:p>
    <w:p w14:paraId="4F95F065" w14:textId="3391533F" w:rsidR="00987919" w:rsidRDefault="00987919" w:rsidP="001C48E2">
      <w:pPr>
        <w:jc w:val="both"/>
      </w:pPr>
      <w:r>
        <w:t xml:space="preserve">As </w:t>
      </w:r>
      <w:r w:rsidR="0077583F">
        <w:t>noted,</w:t>
      </w:r>
      <w:r>
        <w:t xml:space="preserve"> the ISR team utilised existing information with some verification processes</w:t>
      </w:r>
      <w:r w:rsidR="00344537">
        <w:t xml:space="preserve"> (the field visits in particular were an important verification process for this check on existing data)</w:t>
      </w:r>
      <w:r>
        <w:t xml:space="preserve">. While this provided for efficiency in data collection, there are clearly some limitations given that </w:t>
      </w:r>
      <w:r w:rsidR="00C85EE7">
        <w:t xml:space="preserve">the </w:t>
      </w:r>
      <w:r>
        <w:t xml:space="preserve">ISR team was not able </w:t>
      </w:r>
      <w:r w:rsidR="00C85EE7">
        <w:t xml:space="preserve">to </w:t>
      </w:r>
      <w:r>
        <w:t>examine firsthand all aspects of program operation and relationships.</w:t>
      </w:r>
    </w:p>
    <w:p w14:paraId="5D46876E" w14:textId="77777777" w:rsidR="00987919" w:rsidRDefault="00987919" w:rsidP="001C48E2">
      <w:pPr>
        <w:jc w:val="both"/>
      </w:pPr>
      <w:r>
        <w:t>The ISR conclusions and recommendations will need to be considered in light of these limitations.</w:t>
      </w:r>
    </w:p>
    <w:p w14:paraId="015418ED" w14:textId="25C7F993" w:rsidR="001212EE" w:rsidRDefault="001212EE" w:rsidP="00CD6F7A">
      <w:pPr>
        <w:pStyle w:val="Heading1"/>
        <w:numPr>
          <w:ilvl w:val="0"/>
          <w:numId w:val="19"/>
        </w:numPr>
        <w:jc w:val="both"/>
      </w:pPr>
      <w:bookmarkStart w:id="9" w:name="_Toc21523889"/>
      <w:r>
        <w:t xml:space="preserve">Program background </w:t>
      </w:r>
      <w:r w:rsidR="00745410">
        <w:t xml:space="preserve">and </w:t>
      </w:r>
      <w:r>
        <w:t>context</w:t>
      </w:r>
      <w:bookmarkEnd w:id="9"/>
    </w:p>
    <w:p w14:paraId="34EE5224" w14:textId="0677B76D" w:rsidR="00344537" w:rsidRDefault="00344537" w:rsidP="00CD6F7A">
      <w:pPr>
        <w:pStyle w:val="Heading2"/>
        <w:numPr>
          <w:ilvl w:val="1"/>
          <w:numId w:val="19"/>
        </w:numPr>
        <w:jc w:val="both"/>
      </w:pPr>
      <w:bookmarkStart w:id="10" w:name="_Toc21523890"/>
      <w:r>
        <w:t>The context for women</w:t>
      </w:r>
      <w:r w:rsidR="00C75F81">
        <w:t>’</w:t>
      </w:r>
      <w:r>
        <w:t>s empowerment and gender equality in Indonesia</w:t>
      </w:r>
      <w:bookmarkEnd w:id="10"/>
      <w:r>
        <w:t xml:space="preserve"> </w:t>
      </w:r>
    </w:p>
    <w:p w14:paraId="0F3744CF" w14:textId="5F48D7C8" w:rsidR="00C75F81" w:rsidRDefault="00C75F81" w:rsidP="001C48E2">
      <w:pPr>
        <w:pStyle w:val="Heading4"/>
        <w:jc w:val="both"/>
      </w:pPr>
      <w:r>
        <w:t>Gender equality</w:t>
      </w:r>
      <w:r w:rsidR="00E966ED">
        <w:t xml:space="preserve"> and national development</w:t>
      </w:r>
    </w:p>
    <w:p w14:paraId="5EAA4F1B" w14:textId="7237C56D" w:rsidR="00344537" w:rsidRDefault="003D3B93" w:rsidP="001C48E2">
      <w:pPr>
        <w:jc w:val="both"/>
      </w:pPr>
      <w:r>
        <w:t xml:space="preserve">Gender equality is highly relevant to Indonesian development. As </w:t>
      </w:r>
      <w:r w:rsidR="000D2FC4">
        <w:t xml:space="preserve">an emerging advanced </w:t>
      </w:r>
      <w:r w:rsidR="0077583F">
        <w:t>middle-income</w:t>
      </w:r>
      <w:r w:rsidR="000D2FC4">
        <w:t xml:space="preserve"> country</w:t>
      </w:r>
      <w:r>
        <w:t>, looking to move to t</w:t>
      </w:r>
      <w:r w:rsidR="000D2FC4">
        <w:t xml:space="preserve">he next stage of economic and social development, </w:t>
      </w:r>
      <w:r>
        <w:t>Indonesia</w:t>
      </w:r>
      <w:r w:rsidR="000D2FC4">
        <w:t xml:space="preserve"> </w:t>
      </w:r>
      <w:r w:rsidR="00D61630">
        <w:t>has</w:t>
      </w:r>
      <w:r w:rsidR="000D2FC4">
        <w:t xml:space="preserve"> several challenges</w:t>
      </w:r>
      <w:r>
        <w:t>.</w:t>
      </w:r>
      <w:r w:rsidR="000D2FC4">
        <w:t xml:space="preserve"> </w:t>
      </w:r>
      <w:r>
        <w:t xml:space="preserve">Included in these </w:t>
      </w:r>
      <w:r w:rsidR="00D61630">
        <w:t xml:space="preserve">is the need to </w:t>
      </w:r>
      <w:r w:rsidR="000D2FC4">
        <w:t>increase access and opportunity for all citizens especially women and minority groups</w:t>
      </w:r>
      <w:r w:rsidR="000D2FC4">
        <w:rPr>
          <w:rStyle w:val="FootnoteReference"/>
        </w:rPr>
        <w:footnoteReference w:id="2"/>
      </w:r>
      <w:r w:rsidR="00990AA0">
        <w:t xml:space="preserve"> </w:t>
      </w:r>
      <w:r w:rsidR="006934DA">
        <w:t>and</w:t>
      </w:r>
      <w:r w:rsidR="00990AA0">
        <w:t xml:space="preserve"> </w:t>
      </w:r>
      <w:r>
        <w:t xml:space="preserve">the development of </w:t>
      </w:r>
      <w:r w:rsidR="00990AA0">
        <w:t>an inclusive sense of collective national identity.</w:t>
      </w:r>
      <w:r w:rsidR="00990AA0">
        <w:rPr>
          <w:rStyle w:val="FootnoteReference"/>
        </w:rPr>
        <w:footnoteReference w:id="3"/>
      </w:r>
      <w:r w:rsidR="006934DA">
        <w:t xml:space="preserve"> </w:t>
      </w:r>
    </w:p>
    <w:p w14:paraId="0B936277" w14:textId="374D8D9D" w:rsidR="008A27BA" w:rsidRDefault="009B26F4" w:rsidP="001C48E2">
      <w:pPr>
        <w:jc w:val="both"/>
      </w:pPr>
      <w:r>
        <w:t xml:space="preserve">Indonesia has a strong policy framework for gender equality. This includes the </w:t>
      </w:r>
      <w:r w:rsidR="008A27BA">
        <w:t>Government of Indonesia 2015-2019 National Mid-Term Development Plan (RP</w:t>
      </w:r>
      <w:r>
        <w:t>JMN)</w:t>
      </w:r>
      <w:r w:rsidR="008A27BA">
        <w:rPr>
          <w:rStyle w:val="FootnoteReference"/>
        </w:rPr>
        <w:footnoteReference w:id="4"/>
      </w:r>
      <w:r>
        <w:t>,</w:t>
      </w:r>
      <w:r w:rsidR="008A27BA">
        <w:t xml:space="preserve"> </w:t>
      </w:r>
      <w:r w:rsidR="003D3B93">
        <w:t>a</w:t>
      </w:r>
      <w:r>
        <w:t xml:space="preserve">nd </w:t>
      </w:r>
      <w:r w:rsidR="008A27BA">
        <w:t>the Presidential Instruction No. 9/2000 on gender mainstreaming in each ministry’s planning, budgeting, implementing, monitoring and evaluation processes from national to local levels. The implementation at the local level is spelled out in Ministerial Regulation from the Ministry of Home Affairs (MOHA) No.15/2008. In addition, Law No.6/2014, or the Village Law, provides the institutional framework for local development led by communities that is inclusive, equitable and pro-poor.</w:t>
      </w:r>
      <w:r w:rsidR="000D0F9B">
        <w:t xml:space="preserve"> </w:t>
      </w:r>
    </w:p>
    <w:p w14:paraId="734A1039" w14:textId="6660C938" w:rsidR="00613294" w:rsidRDefault="00472947" w:rsidP="001C48E2">
      <w:pPr>
        <w:jc w:val="both"/>
      </w:pPr>
      <w:r>
        <w:t>The Indonesian women’s movement has worked to reduce gender inequality</w:t>
      </w:r>
      <w:r w:rsidR="00E00322">
        <w:t>,</w:t>
      </w:r>
      <w:r>
        <w:t xml:space="preserve"> particularly in </w:t>
      </w:r>
      <w:r w:rsidR="0028093E">
        <w:t xml:space="preserve">specific </w:t>
      </w:r>
      <w:r>
        <w:t xml:space="preserve">areas such as violence against women, child marriage and labour force participation. As a result, </w:t>
      </w:r>
      <w:r w:rsidR="009B26F4">
        <w:t xml:space="preserve">Indonesia </w:t>
      </w:r>
      <w:r>
        <w:t xml:space="preserve">has </w:t>
      </w:r>
      <w:r w:rsidR="009B26F4">
        <w:t>made progress in gender equality</w:t>
      </w:r>
      <w:r>
        <w:rPr>
          <w:rStyle w:val="FootnoteReference"/>
        </w:rPr>
        <w:footnoteReference w:id="5"/>
      </w:r>
      <w:r w:rsidR="009B26F4">
        <w:t xml:space="preserve">, </w:t>
      </w:r>
      <w:r>
        <w:t xml:space="preserve">although </w:t>
      </w:r>
      <w:r w:rsidR="009B26F4">
        <w:t xml:space="preserve">the </w:t>
      </w:r>
      <w:r>
        <w:t>experience for women has been un</w:t>
      </w:r>
      <w:r w:rsidR="009B26F4">
        <w:t xml:space="preserve">even </w:t>
      </w:r>
      <w:r w:rsidR="00D61630">
        <w:t>(</w:t>
      </w:r>
      <w:r w:rsidR="004B721E">
        <w:t>i</w:t>
      </w:r>
      <w:r w:rsidR="009B26F4">
        <w:t>n particular</w:t>
      </w:r>
      <w:r w:rsidR="00BF216B">
        <w:t>,</w:t>
      </w:r>
      <w:r w:rsidR="009B26F4">
        <w:t xml:space="preserve"> </w:t>
      </w:r>
      <w:r>
        <w:t>po</w:t>
      </w:r>
      <w:r w:rsidR="009B26F4">
        <w:t>or and rural women alongside women with disability and women from ethnic groups</w:t>
      </w:r>
      <w:r>
        <w:t>, still encounter significant disadvantage</w:t>
      </w:r>
      <w:r w:rsidR="00D61630">
        <w:t>)</w:t>
      </w:r>
      <w:r>
        <w:t>.</w:t>
      </w:r>
      <w:r w:rsidR="0028093E">
        <w:t xml:space="preserve"> </w:t>
      </w:r>
    </w:p>
    <w:p w14:paraId="6D70C618" w14:textId="4BB4459E" w:rsidR="00613294" w:rsidRDefault="00613294" w:rsidP="001C48E2">
      <w:pPr>
        <w:jc w:val="both"/>
      </w:pPr>
      <w:r>
        <w:t>Most recently Indonesia’s commitment to the Sustainable Development Goals (SDG) supports work for gender equality, and a partnership approach between government and civil society.</w:t>
      </w:r>
    </w:p>
    <w:p w14:paraId="077C0C46" w14:textId="3AA48E37" w:rsidR="00C75F81" w:rsidRDefault="00E966ED" w:rsidP="001C48E2">
      <w:pPr>
        <w:pStyle w:val="Heading4"/>
        <w:jc w:val="both"/>
      </w:pPr>
      <w:r>
        <w:t xml:space="preserve">Emerging challenges to women’s empowerment </w:t>
      </w:r>
    </w:p>
    <w:p w14:paraId="09D356CD" w14:textId="41CDC072" w:rsidR="00F36BCC" w:rsidRDefault="00B2158B" w:rsidP="001C48E2">
      <w:pPr>
        <w:jc w:val="both"/>
      </w:pPr>
      <w:r>
        <w:t>D</w:t>
      </w:r>
      <w:r w:rsidR="00ED5AF3">
        <w:t xml:space="preserve">espite progress, in recent years there have been new challenges to women’s empowerment in Indonesia and the potential </w:t>
      </w:r>
      <w:r>
        <w:t xml:space="preserve">for </w:t>
      </w:r>
      <w:r w:rsidR="00ED5AF3">
        <w:t xml:space="preserve">reversals in gender equality. </w:t>
      </w:r>
      <w:r w:rsidR="006444C4">
        <w:t>Reviewing</w:t>
      </w:r>
      <w:r w:rsidR="00F36BCC" w:rsidRPr="006E5E98">
        <w:t xml:space="preserve"> the 20 years since </w:t>
      </w:r>
      <w:r w:rsidR="00F36BCC" w:rsidRPr="006E5E98">
        <w:rPr>
          <w:i/>
        </w:rPr>
        <w:t xml:space="preserve">reformasi, </w:t>
      </w:r>
      <w:r w:rsidR="00F36BCC" w:rsidRPr="006E5E98">
        <w:t xml:space="preserve">several respondents </w:t>
      </w:r>
      <w:r w:rsidR="002423BB">
        <w:t xml:space="preserve">to this review </w:t>
      </w:r>
      <w:r w:rsidR="00F36BCC" w:rsidRPr="006E5E98">
        <w:t xml:space="preserve">suggested that there are </w:t>
      </w:r>
      <w:r w:rsidR="00613294">
        <w:t>now</w:t>
      </w:r>
      <w:r w:rsidR="00F36BCC" w:rsidRPr="006E5E98">
        <w:t xml:space="preserve"> signs of regression</w:t>
      </w:r>
      <w:r w:rsidR="00F36BCC" w:rsidRPr="006E5E98">
        <w:rPr>
          <w:rStyle w:val="FootnoteReference"/>
          <w:rFonts w:cstheme="minorHAnsi"/>
        </w:rPr>
        <w:footnoteReference w:id="6"/>
      </w:r>
      <w:r w:rsidR="00F36BCC" w:rsidRPr="006E5E98">
        <w:t xml:space="preserve">, and that the women’s movement in Indonesia is now under some challenge due to a complex political and social reality. </w:t>
      </w:r>
      <w:r w:rsidR="006444C4">
        <w:t>Consistently, r</w:t>
      </w:r>
      <w:r w:rsidR="00F36BCC">
        <w:t>espondents pointed to the growing conservatism in religious and political circles in Indo</w:t>
      </w:r>
      <w:r w:rsidR="002423BB">
        <w:t>nesia which has deliberately sought to restrict the roles of women and limit their voice and agency</w:t>
      </w:r>
      <w:r w:rsidR="00F36BCC">
        <w:t>.</w:t>
      </w:r>
      <w:r w:rsidR="00714974">
        <w:rPr>
          <w:rStyle w:val="FootnoteReference"/>
        </w:rPr>
        <w:footnoteReference w:id="7"/>
      </w:r>
    </w:p>
    <w:p w14:paraId="7268709F" w14:textId="101B7DFE" w:rsidR="00F02A26" w:rsidRDefault="00F02A26" w:rsidP="001C48E2">
      <w:pPr>
        <w:jc w:val="both"/>
      </w:pPr>
      <w:r>
        <w:t xml:space="preserve">Decentralised governance has </w:t>
      </w:r>
      <w:r w:rsidR="00613294">
        <w:t xml:space="preserve">opened </w:t>
      </w:r>
      <w:r w:rsidR="00BF216B">
        <w:t xml:space="preserve">up </w:t>
      </w:r>
      <w:r w:rsidR="00613294">
        <w:t>opportunit</w:t>
      </w:r>
      <w:r w:rsidR="00BF216B">
        <w:t>ies</w:t>
      </w:r>
      <w:r w:rsidR="00613294">
        <w:t xml:space="preserve"> for women to engage at the local level but it has also </w:t>
      </w:r>
      <w:r>
        <w:t>provided the opportunity for religious conservatism to align with existing ethnic</w:t>
      </w:r>
      <w:r w:rsidR="006444C4">
        <w:t>,</w:t>
      </w:r>
      <w:r>
        <w:t xml:space="preserve"> social and other norms to further limit agency and control for women. According to Indonesia’s National Commission on Violence against women (</w:t>
      </w:r>
      <w:r w:rsidRPr="00F02A26">
        <w:rPr>
          <w:i/>
        </w:rPr>
        <w:t>Komnas Perempuan</w:t>
      </w:r>
      <w:r>
        <w:t xml:space="preserve">), there are currently more than 400 local regulations and circulation letters at the subnational level that discriminate against women. These regulations limit women’s mobility and expression, including guidance on women’s dress code, curfews for women, and </w:t>
      </w:r>
      <w:r w:rsidR="00521A59">
        <w:t xml:space="preserve">place </w:t>
      </w:r>
      <w:r>
        <w:t>restrictions on minority religious groups.</w:t>
      </w:r>
      <w:r>
        <w:rPr>
          <w:rStyle w:val="FootnoteReference"/>
        </w:rPr>
        <w:footnoteReference w:id="8"/>
      </w:r>
    </w:p>
    <w:p w14:paraId="65183FBD" w14:textId="09BD26E9" w:rsidR="002423BB" w:rsidRDefault="00910E27" w:rsidP="001C48E2">
      <w:pPr>
        <w:jc w:val="both"/>
      </w:pPr>
      <w:r>
        <w:t>There i</w:t>
      </w:r>
      <w:r w:rsidR="002423BB">
        <w:t xml:space="preserve">s particular concern </w:t>
      </w:r>
      <w:r>
        <w:t xml:space="preserve">about </w:t>
      </w:r>
      <w:r w:rsidR="002423BB">
        <w:t xml:space="preserve">the impact </w:t>
      </w:r>
      <w:r>
        <w:t xml:space="preserve">of religious conservatism </w:t>
      </w:r>
      <w:r w:rsidR="002423BB">
        <w:t>on young wome</w:t>
      </w:r>
      <w:r w:rsidR="006444C4">
        <w:t>n. Expert opinion sought for this</w:t>
      </w:r>
      <w:r w:rsidR="002423BB">
        <w:t xml:space="preserve"> review noted the rise of </w:t>
      </w:r>
      <w:r w:rsidR="002423BB" w:rsidRPr="002423BB">
        <w:rPr>
          <w:i/>
        </w:rPr>
        <w:t>hijrah</w:t>
      </w:r>
      <w:r w:rsidR="002423BB">
        <w:t xml:space="preserve"> or purification for young women, encouraging them to confine themselves to domestic duties</w:t>
      </w:r>
      <w:r w:rsidR="00802441">
        <w:t xml:space="preserve">. Recent </w:t>
      </w:r>
      <w:r w:rsidR="00BC0047">
        <w:t>research</w:t>
      </w:r>
      <w:r w:rsidR="00802441">
        <w:t xml:space="preserve"> suggest</w:t>
      </w:r>
      <w:r w:rsidR="006444C4">
        <w:t>s</w:t>
      </w:r>
      <w:r w:rsidR="00802441">
        <w:t xml:space="preserve"> young pe</w:t>
      </w:r>
      <w:r w:rsidR="00BC0047">
        <w:t>ople</w:t>
      </w:r>
      <w:r w:rsidR="00802441">
        <w:t xml:space="preserve"> in Indonesia are less tolerant of diversity and </w:t>
      </w:r>
      <w:r w:rsidR="00BC0047">
        <w:t>less</w:t>
      </w:r>
      <w:r w:rsidR="00802441">
        <w:t xml:space="preserve"> </w:t>
      </w:r>
      <w:r w:rsidR="00BC0047">
        <w:t>inclined</w:t>
      </w:r>
      <w:r w:rsidR="00802441">
        <w:t xml:space="preserve"> to support </w:t>
      </w:r>
      <w:r w:rsidR="00BC0047">
        <w:t>an</w:t>
      </w:r>
      <w:r w:rsidR="00802441">
        <w:t xml:space="preserve"> inclusive</w:t>
      </w:r>
      <w:r w:rsidR="00BC0047">
        <w:t xml:space="preserve"> society</w:t>
      </w:r>
      <w:r w:rsidR="002423BB">
        <w:t>.</w:t>
      </w:r>
      <w:r w:rsidR="00714974">
        <w:rPr>
          <w:rStyle w:val="FootnoteReference"/>
        </w:rPr>
        <w:footnoteReference w:id="9"/>
      </w:r>
      <w:r w:rsidR="002423BB">
        <w:t xml:space="preserve"> Respondents from </w:t>
      </w:r>
      <w:r w:rsidR="00BC0047">
        <w:t xml:space="preserve">some </w:t>
      </w:r>
      <w:r w:rsidR="002423BB">
        <w:t xml:space="preserve">women’s organisations </w:t>
      </w:r>
      <w:r w:rsidR="009F418A">
        <w:t>reported</w:t>
      </w:r>
      <w:r w:rsidR="002423BB">
        <w:t xml:space="preserve"> that they</w:t>
      </w:r>
      <w:r w:rsidR="007318EA">
        <w:t xml:space="preserve"> had failed to engage </w:t>
      </w:r>
      <w:r w:rsidR="00BC0047">
        <w:t xml:space="preserve">sufficiently </w:t>
      </w:r>
      <w:r w:rsidR="007318EA">
        <w:t xml:space="preserve">with young women and failed to connect with them around issues of gender equality. </w:t>
      </w:r>
    </w:p>
    <w:p w14:paraId="212E431B" w14:textId="609DD50A" w:rsidR="00910E27" w:rsidRDefault="009F418A" w:rsidP="001C48E2">
      <w:pPr>
        <w:jc w:val="both"/>
      </w:pPr>
      <w:r>
        <w:t xml:space="preserve">Women’s organisations are also concerned by the </w:t>
      </w:r>
      <w:r w:rsidR="00B2158B">
        <w:t>increasing politicisation of national development</w:t>
      </w:r>
      <w:r w:rsidR="00476EB1">
        <w:t xml:space="preserve"> debates</w:t>
      </w:r>
      <w:r w:rsidR="00B2158B">
        <w:t xml:space="preserve">. This </w:t>
      </w:r>
      <w:r w:rsidR="00910E27">
        <w:t>has</w:t>
      </w:r>
      <w:r w:rsidR="00B2158B">
        <w:t xml:space="preserve"> caused polarisation in some area</w:t>
      </w:r>
      <w:r w:rsidR="00521A59">
        <w:t xml:space="preserve">s of civil society in Indonesia, including </w:t>
      </w:r>
      <w:r w:rsidR="00B2158B">
        <w:t>the women’s movement</w:t>
      </w:r>
      <w:r w:rsidR="00910E27">
        <w:t>, dividing organisations</w:t>
      </w:r>
      <w:r w:rsidR="00476EB1">
        <w:t xml:space="preserve"> with groups and individuals choosing to be aligned with particular political parties or candidates. </w:t>
      </w:r>
    </w:p>
    <w:p w14:paraId="6400429B" w14:textId="7B549E26" w:rsidR="008D20D8" w:rsidRDefault="008D20D8" w:rsidP="001C48E2">
      <w:pPr>
        <w:jc w:val="both"/>
      </w:pPr>
      <w:r>
        <w:t>Finally</w:t>
      </w:r>
      <w:r w:rsidR="00521A59">
        <w:t>,</w:t>
      </w:r>
      <w:r>
        <w:t xml:space="preserve"> the </w:t>
      </w:r>
      <w:r w:rsidR="00521A59">
        <w:t xml:space="preserve">rate of </w:t>
      </w:r>
      <w:r>
        <w:t xml:space="preserve">economic growth </w:t>
      </w:r>
      <w:r w:rsidR="00521A59">
        <w:t>anticipated for Indonesia</w:t>
      </w:r>
      <w:r>
        <w:t xml:space="preserve"> has slowed. This has implications for government resources for services. It also has implications for opportunities available for economic empowerment</w:t>
      </w:r>
      <w:r w:rsidR="00521A59">
        <w:t xml:space="preserve"> and livelihood development</w:t>
      </w:r>
      <w:r>
        <w:t>, particularly for women and other disadvantaged groups.</w:t>
      </w:r>
    </w:p>
    <w:p w14:paraId="06C693EB" w14:textId="62B0B110" w:rsidR="005641FF" w:rsidRDefault="005641FF" w:rsidP="001C48E2">
      <w:pPr>
        <w:jc w:val="both"/>
      </w:pPr>
      <w:r>
        <w:t xml:space="preserve">Some of the expert commentary on the women’s movement in Indonesia suggested that </w:t>
      </w:r>
      <w:r w:rsidR="00BA4F10">
        <w:t xml:space="preserve">there </w:t>
      </w:r>
      <w:r>
        <w:t xml:space="preserve">had been too much focus on single issues and a failure to connect issues within a broader understanding of the challenges to women’s empowerment. </w:t>
      </w:r>
      <w:r w:rsidR="00BA4F10">
        <w:t xml:space="preserve">It was suggested that the future for the women’s movement ought to be </w:t>
      </w:r>
      <w:r w:rsidR="006444C4">
        <w:t>through</w:t>
      </w:r>
      <w:r w:rsidR="00BA4F10">
        <w:t xml:space="preserve"> combined </w:t>
      </w:r>
      <w:r w:rsidR="006444C4">
        <w:t xml:space="preserve">or collective </w:t>
      </w:r>
      <w:r w:rsidR="00BA4F10">
        <w:t xml:space="preserve">action </w:t>
      </w:r>
      <w:r w:rsidR="006444C4">
        <w:t xml:space="preserve">that goes beyond single issues and is </w:t>
      </w:r>
      <w:r w:rsidR="00BA4F10">
        <w:t xml:space="preserve">based on </w:t>
      </w:r>
      <w:r w:rsidR="00BF216B">
        <w:t xml:space="preserve">a </w:t>
      </w:r>
      <w:r w:rsidR="006444C4">
        <w:t>more comprehensive</w:t>
      </w:r>
      <w:r w:rsidR="00BA4F10">
        <w:t xml:space="preserve"> understanding of social</w:t>
      </w:r>
      <w:r w:rsidR="009F418A">
        <w:t>,</w:t>
      </w:r>
      <w:r w:rsidR="00BA4F10">
        <w:t xml:space="preserve"> economic and political </w:t>
      </w:r>
      <w:r w:rsidR="009F418A">
        <w:t>realities</w:t>
      </w:r>
      <w:r w:rsidR="00BA4F10">
        <w:t>.</w:t>
      </w:r>
    </w:p>
    <w:p w14:paraId="7B6338E2" w14:textId="55F0AAAC" w:rsidR="00C75F81" w:rsidRDefault="00C75F81" w:rsidP="001C48E2">
      <w:pPr>
        <w:pStyle w:val="Heading4"/>
        <w:jc w:val="both"/>
      </w:pPr>
      <w:r>
        <w:t xml:space="preserve">Indonesian civil society </w:t>
      </w:r>
      <w:r w:rsidR="00E966ED">
        <w:t>development and challenges</w:t>
      </w:r>
    </w:p>
    <w:p w14:paraId="5264AE0B" w14:textId="3B707955" w:rsidR="00BB6201" w:rsidRDefault="00910E27" w:rsidP="001C48E2">
      <w:pPr>
        <w:jc w:val="both"/>
      </w:pPr>
      <w:r>
        <w:t xml:space="preserve">The challenges for the women’s movement in Indonesia </w:t>
      </w:r>
      <w:r w:rsidR="00C943DA">
        <w:t>are</w:t>
      </w:r>
      <w:r>
        <w:t xml:space="preserve"> situated within broader</w:t>
      </w:r>
      <w:r w:rsidR="00C943DA">
        <w:t xml:space="preserve"> challenges for </w:t>
      </w:r>
      <w:r>
        <w:t xml:space="preserve">the civil society </w:t>
      </w:r>
      <w:r w:rsidR="006444C4">
        <w:t>sector within the country. T</w:t>
      </w:r>
      <w:r>
        <w:t xml:space="preserve">hat sector is </w:t>
      </w:r>
      <w:r w:rsidR="00C943DA">
        <w:t>diverse</w:t>
      </w:r>
      <w:r>
        <w:t>, including</w:t>
      </w:r>
      <w:r w:rsidR="00C943DA">
        <w:t xml:space="preserve"> mass </w:t>
      </w:r>
      <w:r w:rsidR="0077583F">
        <w:t>membership-based</w:t>
      </w:r>
      <w:r w:rsidR="00C943DA">
        <w:t xml:space="preserve"> organisations, local civil society groups, large national NGOs and i</w:t>
      </w:r>
      <w:r w:rsidR="006444C4">
        <w:t>nternational NGOs</w:t>
      </w:r>
      <w:r w:rsidR="009F418A">
        <w:t>.</w:t>
      </w:r>
      <w:r w:rsidR="006444C4">
        <w:t xml:space="preserve"> It also </w:t>
      </w:r>
      <w:r w:rsidR="00BB6201">
        <w:t>continues to be a significant part of the emerging democratic space in Indonesia. It support</w:t>
      </w:r>
      <w:r w:rsidR="00A873C7">
        <w:t>s</w:t>
      </w:r>
      <w:r w:rsidR="00BB6201">
        <w:t xml:space="preserve"> opportunities</w:t>
      </w:r>
      <w:r w:rsidR="00521A59">
        <w:t xml:space="preserve"> for citizens</w:t>
      </w:r>
      <w:r w:rsidR="00BB6201">
        <w:t>, particularly marginalised groups, to participate in development. Evidence shows that it has been particularly relevant to the work of donors including DFAT.</w:t>
      </w:r>
      <w:r w:rsidR="00D06B43">
        <w:t xml:space="preserve"> It is </w:t>
      </w:r>
      <w:r w:rsidR="00521A59">
        <w:t xml:space="preserve">expected to remain </w:t>
      </w:r>
      <w:r w:rsidR="00D06B43">
        <w:t>essential to building the transparency and accountability</w:t>
      </w:r>
      <w:r w:rsidR="00521A59">
        <w:t>,</w:t>
      </w:r>
      <w:r w:rsidR="00D06B43">
        <w:t xml:space="preserve"> and the perception of fairness and justice </w:t>
      </w:r>
      <w:r w:rsidR="00521A59">
        <w:t>required</w:t>
      </w:r>
      <w:r w:rsidR="00D06B43">
        <w:t xml:space="preserve"> to further economic and social growth in Indonesia.</w:t>
      </w:r>
      <w:r w:rsidR="00BB6201">
        <w:rPr>
          <w:rStyle w:val="FootnoteReference"/>
        </w:rPr>
        <w:footnoteReference w:id="10"/>
      </w:r>
      <w:r w:rsidR="00D06B43">
        <w:t xml:space="preserve"> </w:t>
      </w:r>
    </w:p>
    <w:p w14:paraId="00F5A537" w14:textId="388A5D83" w:rsidR="00641CEC" w:rsidRDefault="00BB6201" w:rsidP="001C48E2">
      <w:pPr>
        <w:jc w:val="both"/>
      </w:pPr>
      <w:r>
        <w:t xml:space="preserve">The shape and form of civil society in Indonesia is still under development. More work is required to ensure a robust, sustainable and independent civil society sector which is able to engage with the private sector and government to work for stable and secure development in Indonesia. </w:t>
      </w:r>
      <w:r w:rsidR="00641CEC">
        <w:t>Particular challenges include the limited connection between civil society organisations</w:t>
      </w:r>
      <w:r w:rsidR="00521A59">
        <w:t>,</w:t>
      </w:r>
      <w:r w:rsidR="00641CEC">
        <w:t xml:space="preserve"> except where they are required to work together to serve donor projects. </w:t>
      </w:r>
      <w:r w:rsidR="00641CEC" w:rsidRPr="005C1D47">
        <w:t xml:space="preserve">While some new </w:t>
      </w:r>
      <w:r w:rsidR="00475AE3" w:rsidRPr="005C1D47">
        <w:t>intermediary</w:t>
      </w:r>
      <w:r w:rsidR="00641CEC" w:rsidRPr="005C1D47">
        <w:t xml:space="preserve"> organisations are now emerging, there </w:t>
      </w:r>
      <w:r w:rsidR="00521A59" w:rsidRPr="005C1D47">
        <w:t>are</w:t>
      </w:r>
      <w:r w:rsidR="00641CEC" w:rsidRPr="005C1D47">
        <w:t xml:space="preserve"> still limited connections across the sector. Donor funding is plateauing or decreasing and alternative sources of funding across the sector are still largely under developed.</w:t>
      </w:r>
      <w:r w:rsidR="00475AE3" w:rsidRPr="005C1D47">
        <w:rPr>
          <w:rStyle w:val="FootnoteReference"/>
        </w:rPr>
        <w:footnoteReference w:id="11"/>
      </w:r>
      <w:r w:rsidR="00802441" w:rsidRPr="005C1D47">
        <w:t xml:space="preserve"> Among respondents to this review, t</w:t>
      </w:r>
      <w:r w:rsidR="00641CEC" w:rsidRPr="005C1D47">
        <w:t>here is considerable concern with sustainability</w:t>
      </w:r>
      <w:r w:rsidR="009F418A" w:rsidRPr="005C1D47">
        <w:t xml:space="preserve"> o</w:t>
      </w:r>
      <w:r w:rsidR="00347D8B">
        <w:t>f</w:t>
      </w:r>
      <w:r w:rsidR="009F418A" w:rsidRPr="005C1D47">
        <w:t xml:space="preserve"> organisations</w:t>
      </w:r>
      <w:r w:rsidR="0079653D" w:rsidRPr="005C1D47">
        <w:t>.</w:t>
      </w:r>
    </w:p>
    <w:p w14:paraId="035AB949" w14:textId="233A9805" w:rsidR="00290153" w:rsidRDefault="00641CEC" w:rsidP="001C48E2">
      <w:pPr>
        <w:jc w:val="both"/>
      </w:pPr>
      <w:r>
        <w:t xml:space="preserve">Significantly, </w:t>
      </w:r>
      <w:r w:rsidR="00CC18D0">
        <w:t>research</w:t>
      </w:r>
      <w:r>
        <w:t xml:space="preserve"> suggests that the relationship between civil society and the </w:t>
      </w:r>
      <w:r w:rsidR="003357DE">
        <w:t xml:space="preserve">Government </w:t>
      </w:r>
      <w:r>
        <w:t>of Indonesia ha</w:t>
      </w:r>
      <w:r w:rsidR="00802441">
        <w:t>s</w:t>
      </w:r>
      <w:r>
        <w:t xml:space="preserve"> changed. The </w:t>
      </w:r>
      <w:r w:rsidR="0079653D">
        <w:t>dual</w:t>
      </w:r>
      <w:r>
        <w:t xml:space="preserve"> processes of democratisation and decentralisation require that civil society organisations </w:t>
      </w:r>
      <w:r w:rsidR="00802441">
        <w:t>develop</w:t>
      </w:r>
      <w:r>
        <w:t xml:space="preserve"> a more sophisticated way of engaging </w:t>
      </w:r>
      <w:r w:rsidR="0079653D">
        <w:t xml:space="preserve">with government </w:t>
      </w:r>
      <w:r>
        <w:t xml:space="preserve">beyond opposition and protest. </w:t>
      </w:r>
      <w:r w:rsidR="00CC18D0">
        <w:t>N</w:t>
      </w:r>
      <w:r>
        <w:t>ot all NGOs and CSOs have been able to develop this capacity.</w:t>
      </w:r>
      <w:r w:rsidR="00475AE3">
        <w:rPr>
          <w:rStyle w:val="FootnoteReference"/>
        </w:rPr>
        <w:footnoteReference w:id="12"/>
      </w:r>
      <w:r w:rsidR="00290153">
        <w:t xml:space="preserve"> </w:t>
      </w:r>
      <w:r w:rsidR="003357DE">
        <w:t>Further, c</w:t>
      </w:r>
      <w:r w:rsidR="0079653D">
        <w:t xml:space="preserve">ivil society engagement with the private sector has been limited until recently. While some successful examples of cooperation are now emerging, there is still an overall view within civil society that the private sector are not natural allies. </w:t>
      </w:r>
      <w:r w:rsidR="00290153">
        <w:t>Recent opportunities have emerged to work more closely with the government</w:t>
      </w:r>
      <w:r w:rsidR="00290153">
        <w:rPr>
          <w:rStyle w:val="FootnoteReference"/>
        </w:rPr>
        <w:footnoteReference w:id="13"/>
      </w:r>
      <w:r w:rsidR="00290153">
        <w:t xml:space="preserve"> and the private sector, but organisations report that this will require them to learn new strategies and adapt to new organisational forms.</w:t>
      </w:r>
    </w:p>
    <w:p w14:paraId="7B75C857" w14:textId="3E44C531" w:rsidR="00BB6201" w:rsidRDefault="003357DE" w:rsidP="001C48E2">
      <w:pPr>
        <w:jc w:val="both"/>
      </w:pPr>
      <w:r>
        <w:t xml:space="preserve">Similar to the feedback from women’s organisations, </w:t>
      </w:r>
      <w:r w:rsidR="00802441">
        <w:t>CSO</w:t>
      </w:r>
      <w:r w:rsidR="00B01A9A">
        <w:t>s</w:t>
      </w:r>
      <w:r>
        <w:t xml:space="preserve"> </w:t>
      </w:r>
      <w:r w:rsidR="00BB6201">
        <w:t>report that they are challenged by the increasing</w:t>
      </w:r>
      <w:r>
        <w:t xml:space="preserve"> conservative political and religious agendas in Indonesia</w:t>
      </w:r>
      <w:r w:rsidR="00BB6201">
        <w:t xml:space="preserve">. This has divided parts of the CSO community and undermined shared agendas. </w:t>
      </w:r>
      <w:r w:rsidR="00802441">
        <w:t>CSO</w:t>
      </w:r>
      <w:r w:rsidR="00B01A9A">
        <w:t>s</w:t>
      </w:r>
      <w:r>
        <w:t xml:space="preserve"> report they have struggled to attract younger people, raising further issues with sustainability and the development of new leadership.</w:t>
      </w:r>
      <w:r w:rsidR="00FF7DFA">
        <w:t xml:space="preserve"> Significantly, respondents to this review identified the need for CSO</w:t>
      </w:r>
      <w:r w:rsidR="00B01A9A">
        <w:t>s</w:t>
      </w:r>
      <w:r w:rsidR="00FF7DFA">
        <w:t xml:space="preserve"> to develop new strategies to engage with government and others and new ways of working in coalition.</w:t>
      </w:r>
    </w:p>
    <w:p w14:paraId="28B5983E" w14:textId="2F322C27" w:rsidR="00FF7DFA" w:rsidRDefault="00FF7DFA" w:rsidP="001C48E2">
      <w:pPr>
        <w:jc w:val="both"/>
      </w:pPr>
      <w:r>
        <w:t xml:space="preserve">A particular area identified both </w:t>
      </w:r>
      <w:r w:rsidR="004F6D43">
        <w:t>by</w:t>
      </w:r>
      <w:r>
        <w:t xml:space="preserve"> women’s organisations and other </w:t>
      </w:r>
      <w:r w:rsidR="004F6D43">
        <w:t>CSO</w:t>
      </w:r>
      <w:r w:rsidR="00B01A9A">
        <w:t>s</w:t>
      </w:r>
      <w:r>
        <w:t>, was the need to grow their knowledge, particularly about government</w:t>
      </w:r>
      <w:r w:rsidR="004F6D43">
        <w:t xml:space="preserve"> regulations, policies and programs</w:t>
      </w:r>
      <w:r w:rsidR="00802441">
        <w:t>,</w:t>
      </w:r>
      <w:r w:rsidR="004F6D43">
        <w:t xml:space="preserve"> as well as developing increased technical information in their area</w:t>
      </w:r>
      <w:r w:rsidR="00B01A9A">
        <w:t>s</w:t>
      </w:r>
      <w:r w:rsidR="004F6D43">
        <w:t xml:space="preserve"> of focus. Organisations were also concerned to better manage information</w:t>
      </w:r>
      <w:r w:rsidR="00CC18D0">
        <w:t>:</w:t>
      </w:r>
      <w:r w:rsidR="004F6D43">
        <w:t xml:space="preserve"> internally,</w:t>
      </w:r>
      <w:r w:rsidR="00A873C7">
        <w:t xml:space="preserve"> between organisations and to external groups.</w:t>
      </w:r>
      <w:r w:rsidR="005641FF">
        <w:t xml:space="preserve"> Finally</w:t>
      </w:r>
      <w:r w:rsidR="00CC18D0">
        <w:t>,</w:t>
      </w:r>
      <w:r w:rsidR="005641FF">
        <w:t xml:space="preserve"> there was interest in better analysis, particularly analysis beyond the local level</w:t>
      </w:r>
      <w:r w:rsidR="00CC18D0">
        <w:t>,</w:t>
      </w:r>
      <w:r w:rsidR="005641FF">
        <w:t xml:space="preserve"> that dr</w:t>
      </w:r>
      <w:r w:rsidR="00CC18D0">
        <w:t>aws</w:t>
      </w:r>
      <w:r w:rsidR="005641FF">
        <w:t xml:space="preserve"> together experience from across the country.</w:t>
      </w:r>
    </w:p>
    <w:p w14:paraId="7093A478" w14:textId="32D4AB89" w:rsidR="00BB6201" w:rsidRDefault="00BB6201" w:rsidP="001C48E2">
      <w:pPr>
        <w:jc w:val="both"/>
      </w:pPr>
      <w:r>
        <w:t>Other donors continue to utilise CSO</w:t>
      </w:r>
      <w:r w:rsidR="00B01A9A">
        <w:t>s</w:t>
      </w:r>
      <w:r>
        <w:t xml:space="preserve"> both to work as service delivery mechanisms and to support advocacy for change. Thoughtful consideration is be</w:t>
      </w:r>
      <w:r w:rsidR="00B01A9A">
        <w:t>i</w:t>
      </w:r>
      <w:r>
        <w:t>n</w:t>
      </w:r>
      <w:r w:rsidR="00B01A9A">
        <w:t>g</w:t>
      </w:r>
      <w:r>
        <w:t xml:space="preserve"> applied by </w:t>
      </w:r>
      <w:r w:rsidR="00802441">
        <w:t>a few</w:t>
      </w:r>
      <w:r>
        <w:t xml:space="preserve"> of these donors to grants for CSO work and the need to incentivise sustainable approaches to change and sustainable organisational forms.</w:t>
      </w:r>
      <w:r w:rsidR="003357DE">
        <w:t xml:space="preserve"> For example</w:t>
      </w:r>
      <w:r w:rsidR="00802441">
        <w:t>, the Dutch agency HIVOS</w:t>
      </w:r>
      <w:r w:rsidR="003357DE">
        <w:t xml:space="preserve"> has developed a grants mechanism that supports more agile and responsive development approaches and minimises the dependency of CSO</w:t>
      </w:r>
      <w:r w:rsidR="00B01A9A">
        <w:t>s</w:t>
      </w:r>
      <w:r w:rsidR="003357DE">
        <w:t xml:space="preserve"> on donors.</w:t>
      </w:r>
      <w:r w:rsidR="003357DE">
        <w:rPr>
          <w:rStyle w:val="FootnoteReference"/>
        </w:rPr>
        <w:footnoteReference w:id="14"/>
      </w:r>
      <w:r w:rsidR="00A873C7">
        <w:t xml:space="preserve"> Indications are however that</w:t>
      </w:r>
      <w:r w:rsidR="00C75F81">
        <w:t xml:space="preserve"> donor support will be less of a driving feature for </w:t>
      </w:r>
      <w:r w:rsidR="00B01A9A">
        <w:t xml:space="preserve">the </w:t>
      </w:r>
      <w:r w:rsidR="00C75F81">
        <w:t xml:space="preserve">civil society sector in Indonesia into the future, as donors continue to reduce their funding or focus funding </w:t>
      </w:r>
      <w:r w:rsidR="00CC18D0">
        <w:t>only to</w:t>
      </w:r>
      <w:r w:rsidR="00C75F81">
        <w:t xml:space="preserve"> their areas of interest.</w:t>
      </w:r>
    </w:p>
    <w:p w14:paraId="21D34B15" w14:textId="47B756E5" w:rsidR="00841E38" w:rsidRPr="00841E38" w:rsidRDefault="00841E38" w:rsidP="008215EF">
      <w:pPr>
        <w:pStyle w:val="ListParagraph"/>
        <w:numPr>
          <w:ilvl w:val="1"/>
          <w:numId w:val="19"/>
        </w:numPr>
        <w:outlineLvl w:val="1"/>
        <w:rPr>
          <w:rFonts w:asciiTheme="majorHAnsi" w:hAnsiTheme="majorHAnsi"/>
          <w:color w:val="2E74B5" w:themeColor="accent1" w:themeShade="BF"/>
          <w:sz w:val="26"/>
          <w:szCs w:val="26"/>
        </w:rPr>
      </w:pPr>
      <w:bookmarkStart w:id="11" w:name="_Toc21523891"/>
      <w:r w:rsidRPr="00841E38">
        <w:rPr>
          <w:rFonts w:asciiTheme="majorHAnsi" w:hAnsiTheme="majorHAnsi"/>
          <w:color w:val="2E74B5" w:themeColor="accent1" w:themeShade="BF"/>
          <w:sz w:val="26"/>
          <w:szCs w:val="26"/>
        </w:rPr>
        <w:t>MAMPU Phase 1</w:t>
      </w:r>
      <w:bookmarkEnd w:id="11"/>
    </w:p>
    <w:p w14:paraId="6AF3FB3A" w14:textId="3E4E8F5D" w:rsidR="002A0B04" w:rsidRDefault="00FF6330" w:rsidP="001C48E2">
      <w:pPr>
        <w:jc w:val="both"/>
      </w:pPr>
      <w:r>
        <w:t xml:space="preserve">The first phase of the </w:t>
      </w:r>
      <w:r w:rsidR="00B41CAC">
        <w:t>MAMPU</w:t>
      </w:r>
      <w:r w:rsidR="00425796">
        <w:t xml:space="preserve"> </w:t>
      </w:r>
      <w:r>
        <w:t xml:space="preserve">program </w:t>
      </w:r>
      <w:r w:rsidR="00425796">
        <w:t xml:space="preserve">(2012-16) </w:t>
      </w:r>
      <w:r>
        <w:t>emerged from a comprehensive consultation and design process.</w:t>
      </w:r>
      <w:r w:rsidR="009527CC">
        <w:rPr>
          <w:rStyle w:val="FootnoteReference"/>
        </w:rPr>
        <w:footnoteReference w:id="15"/>
      </w:r>
      <w:r>
        <w:t xml:space="preserve"> </w:t>
      </w:r>
      <w:r w:rsidR="002866A5">
        <w:t>Its</w:t>
      </w:r>
      <w:r>
        <w:t xml:space="preserve"> goal of</w:t>
      </w:r>
      <w:r w:rsidR="002F5AA8">
        <w:t xml:space="preserve"> “</w:t>
      </w:r>
      <w:r w:rsidR="002F5AA8" w:rsidRPr="00BC0047">
        <w:rPr>
          <w:i/>
        </w:rPr>
        <w:t>improved access and livelihoods for poor women in Indonesia in selected geographic areas, within the targeted themes</w:t>
      </w:r>
      <w:r w:rsidR="002F5AA8">
        <w:t>”</w:t>
      </w:r>
      <w:r w:rsidR="002866A5">
        <w:t>, was</w:t>
      </w:r>
      <w:r w:rsidR="00D66B10">
        <w:t xml:space="preserve"> anchored </w:t>
      </w:r>
      <w:r w:rsidR="002866A5">
        <w:t>in</w:t>
      </w:r>
      <w:r w:rsidR="00D66B10">
        <w:t xml:space="preserve"> a core assumption that given the increasing economic growth in Indonesia, influencing laws, policies and programs to include women would enable</w:t>
      </w:r>
      <w:r w:rsidR="00745410">
        <w:t xml:space="preserve"> those women</w:t>
      </w:r>
      <w:r w:rsidR="002866A5">
        <w:t>,</w:t>
      </w:r>
      <w:r w:rsidR="00D66B10">
        <w:t xml:space="preserve"> </w:t>
      </w:r>
      <w:r w:rsidR="00A03F20">
        <w:t>in particular</w:t>
      </w:r>
      <w:r w:rsidR="002866A5">
        <w:t xml:space="preserve"> </w:t>
      </w:r>
      <w:r w:rsidR="0085266B">
        <w:t xml:space="preserve">poor women, </w:t>
      </w:r>
      <w:r w:rsidR="00D66B10">
        <w:t xml:space="preserve">to share in </w:t>
      </w:r>
      <w:r w:rsidR="00B95121">
        <w:t xml:space="preserve">emerging </w:t>
      </w:r>
      <w:r w:rsidR="00D66B10">
        <w:t>development opportunities.</w:t>
      </w:r>
      <w:r w:rsidR="00856972">
        <w:t xml:space="preserve"> Based on this core assumption</w:t>
      </w:r>
      <w:r w:rsidR="002A0B04">
        <w:t>,</w:t>
      </w:r>
      <w:r w:rsidR="00856972">
        <w:t xml:space="preserve"> the first phase of the program outlined a clear theory of change which has been maintained into the second phase (</w:t>
      </w:r>
      <w:r w:rsidR="002A0B04">
        <w:rPr>
          <w:u w:val="single"/>
        </w:rPr>
        <w:t>see F</w:t>
      </w:r>
      <w:r w:rsidR="00856972" w:rsidRPr="00856972">
        <w:rPr>
          <w:u w:val="single"/>
        </w:rPr>
        <w:t>igure 1</w:t>
      </w:r>
      <w:r w:rsidR="00856972">
        <w:t>).</w:t>
      </w:r>
      <w:r w:rsidR="002A0B04">
        <w:t xml:space="preserve"> </w:t>
      </w:r>
    </w:p>
    <w:p w14:paraId="2CF9D3B0" w14:textId="77777777" w:rsidR="00B87212" w:rsidRDefault="00B45986" w:rsidP="00B45986">
      <w:pPr>
        <w:pStyle w:val="Caption"/>
      </w:pPr>
      <w:r w:rsidRPr="00B45986">
        <w:rPr>
          <w:sz w:val="22"/>
        </w:rPr>
        <w:t>Figure 1. Theory of change: Outcomes by timeframe</w:t>
      </w:r>
      <w:r w:rsidR="00D05414" w:rsidRPr="00D05414">
        <w:rPr>
          <w:noProof/>
          <w:lang w:eastAsia="en-AU"/>
        </w:rPr>
        <w:drawing>
          <wp:inline distT="0" distB="0" distL="0" distR="0" wp14:anchorId="1D34F5B1" wp14:editId="13C23875">
            <wp:extent cx="5110962"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469"/>
                    <a:stretch/>
                  </pic:blipFill>
                  <pic:spPr bwMode="auto">
                    <a:xfrm>
                      <a:off x="0" y="0"/>
                      <a:ext cx="5119180" cy="1612949"/>
                    </a:xfrm>
                    <a:prstGeom prst="rect">
                      <a:avLst/>
                    </a:prstGeom>
                    <a:noFill/>
                    <a:ln>
                      <a:noFill/>
                    </a:ln>
                    <a:extLst>
                      <a:ext uri="{53640926-AAD7-44D8-BBD7-CCE9431645EC}">
                        <a14:shadowObscured xmlns:a14="http://schemas.microsoft.com/office/drawing/2010/main"/>
                      </a:ext>
                    </a:extLst>
                  </pic:spPr>
                </pic:pic>
              </a:graphicData>
            </a:graphic>
          </wp:inline>
        </w:drawing>
      </w:r>
    </w:p>
    <w:p w14:paraId="073AC4E8" w14:textId="3543C8C2" w:rsidR="006D147A" w:rsidRDefault="006D147A" w:rsidP="001C48E2">
      <w:pPr>
        <w:jc w:val="both"/>
      </w:pPr>
      <w:r>
        <w:t xml:space="preserve">The program </w:t>
      </w:r>
      <w:r w:rsidR="00697230">
        <w:t>entered into partnership</w:t>
      </w:r>
      <w:r w:rsidR="00192DBB">
        <w:t>s</w:t>
      </w:r>
      <w:r w:rsidR="00697230">
        <w:t xml:space="preserve"> with a diverse range of CSO partners who brought with them a large number of </w:t>
      </w:r>
      <w:r w:rsidR="002B3BAB">
        <w:t>local</w:t>
      </w:r>
      <w:r w:rsidR="00697230">
        <w:t xml:space="preserve"> partners. It </w:t>
      </w:r>
      <w:r>
        <w:t>identified five themes</w:t>
      </w:r>
      <w:r w:rsidR="00697230">
        <w:t xml:space="preserve"> as a way of describing the different</w:t>
      </w:r>
      <w:r w:rsidR="00476EB1">
        <w:t xml:space="preserve"> </w:t>
      </w:r>
      <w:r w:rsidR="0077583F">
        <w:t>efforts</w:t>
      </w:r>
      <w:r w:rsidR="00697230">
        <w:t xml:space="preserve"> of the various CSO partners</w:t>
      </w:r>
      <w:r>
        <w:t>.</w:t>
      </w:r>
      <w:r w:rsidR="001B7F84" w:rsidRPr="001B7F84">
        <w:rPr>
          <w:rStyle w:val="FootnoteReference"/>
        </w:rPr>
        <w:t xml:space="preserve"> </w:t>
      </w:r>
      <w:r w:rsidR="001B7F84">
        <w:rPr>
          <w:rStyle w:val="FootnoteReference"/>
        </w:rPr>
        <w:footnoteReference w:id="16"/>
      </w:r>
      <w:r w:rsidR="001B7F84">
        <w:t xml:space="preserve"> These five areas were intended to be areas where change would make a significant difference for women, especially poor women. In many ways they continued the common pattern of CSO focus on single issue areas, albeit within a </w:t>
      </w:r>
      <w:r w:rsidR="0077583F">
        <w:t>network-based</w:t>
      </w:r>
      <w:r w:rsidR="001B7F84">
        <w:t xml:space="preserve"> approach.</w:t>
      </w:r>
      <w:r>
        <w:t xml:space="preserve"> The original design document notes that </w:t>
      </w:r>
      <w:r w:rsidR="00B41CAC">
        <w:t>MAMPU</w:t>
      </w:r>
      <w:r>
        <w:t xml:space="preserve"> was intended to be a flagship program that would provide lessons for other Australian Government programs in Indonesia and beyond.</w:t>
      </w:r>
    </w:p>
    <w:p w14:paraId="74A0B412" w14:textId="58BE1418" w:rsidR="002A0B04" w:rsidRDefault="00FC0D96" w:rsidP="001C48E2">
      <w:pPr>
        <w:jc w:val="both"/>
      </w:pPr>
      <w:r>
        <w:t xml:space="preserve">A mid-term review of </w:t>
      </w:r>
      <w:r w:rsidR="00B41CAC">
        <w:t>MAMPU</w:t>
      </w:r>
      <w:r w:rsidR="00BC0047">
        <w:t xml:space="preserve"> P</w:t>
      </w:r>
      <w:r>
        <w:t xml:space="preserve">hase 1 found strong evidence of performance </w:t>
      </w:r>
      <w:r w:rsidR="006D147A">
        <w:t xml:space="preserve">in </w:t>
      </w:r>
      <w:r>
        <w:t>improved capacity of CSO partners and improved voice and influence for women. It also found that the program narrative gave good representation to the views and perspectives of partners</w:t>
      </w:r>
      <w:r w:rsidR="00D90533">
        <w:t>,</w:t>
      </w:r>
      <w:r>
        <w:t xml:space="preserve"> but less attention to those of </w:t>
      </w:r>
      <w:r w:rsidR="00D90533">
        <w:t xml:space="preserve">Government </w:t>
      </w:r>
      <w:r>
        <w:t>of Indonesia and DFAT.</w:t>
      </w:r>
      <w:r>
        <w:rPr>
          <w:rStyle w:val="FootnoteReference"/>
        </w:rPr>
        <w:footnoteReference w:id="17"/>
      </w:r>
    </w:p>
    <w:p w14:paraId="7CC3D7A6" w14:textId="0BE767E3" w:rsidR="00841E38" w:rsidRDefault="00841E38" w:rsidP="00CD6F7A">
      <w:pPr>
        <w:pStyle w:val="Heading2"/>
        <w:numPr>
          <w:ilvl w:val="1"/>
          <w:numId w:val="19"/>
        </w:numPr>
        <w:jc w:val="both"/>
      </w:pPr>
      <w:bookmarkStart w:id="12" w:name="_Toc21523892"/>
      <w:r w:rsidRPr="00BB0517">
        <w:t>Shifting from Phase 1 to Phase 2</w:t>
      </w:r>
      <w:bookmarkEnd w:id="12"/>
    </w:p>
    <w:p w14:paraId="06E00590" w14:textId="77777777" w:rsidR="00841E38" w:rsidRPr="00841E38" w:rsidRDefault="00841E38" w:rsidP="00841E38"/>
    <w:p w14:paraId="714EB308" w14:textId="487D6927" w:rsidR="00F5721B" w:rsidRDefault="00235393" w:rsidP="001C48E2">
      <w:pPr>
        <w:jc w:val="both"/>
      </w:pPr>
      <w:r w:rsidRPr="00BB0517">
        <w:t xml:space="preserve">The shift from </w:t>
      </w:r>
      <w:r w:rsidR="00BA0BA4" w:rsidRPr="00BB0517">
        <w:t xml:space="preserve">Phase </w:t>
      </w:r>
      <w:r w:rsidRPr="00BB0517">
        <w:t xml:space="preserve">1 </w:t>
      </w:r>
      <w:r w:rsidR="00BA0BA4" w:rsidRPr="00BB0517">
        <w:t>to</w:t>
      </w:r>
      <w:r w:rsidRPr="00BB0517">
        <w:t xml:space="preserve"> </w:t>
      </w:r>
      <w:r w:rsidR="00BA0BA4" w:rsidRPr="00BB0517">
        <w:t xml:space="preserve">Phase </w:t>
      </w:r>
      <w:r w:rsidRPr="00BB0517">
        <w:t>2 of MAMPU required attention to a changing gove</w:t>
      </w:r>
      <w:r w:rsidR="00CC18D0" w:rsidRPr="00BB0517">
        <w:t>rnance</w:t>
      </w:r>
      <w:r w:rsidRPr="00BB0517">
        <w:t xml:space="preserve"> context. The Government of Indonesia had moved to apply more strict governance arrangement</w:t>
      </w:r>
      <w:r w:rsidR="000D0F9B" w:rsidRPr="00BB0517">
        <w:t>s</w:t>
      </w:r>
      <w:r w:rsidRPr="00BB0517">
        <w:t xml:space="preserve"> to its bilateral cooperation since </w:t>
      </w:r>
      <w:r w:rsidR="00DF3F9F" w:rsidRPr="00BB0517">
        <w:t xml:space="preserve">the commencement of </w:t>
      </w:r>
      <w:r w:rsidR="001603A5">
        <w:t>P</w:t>
      </w:r>
      <w:r w:rsidR="00DF3F9F" w:rsidRPr="00BB0517">
        <w:t>hase 1</w:t>
      </w:r>
      <w:r w:rsidRPr="00BB0517">
        <w:t xml:space="preserve">. </w:t>
      </w:r>
      <w:r w:rsidR="00DF3F9F" w:rsidRPr="00BB0517">
        <w:t xml:space="preserve">While </w:t>
      </w:r>
      <w:r w:rsidR="000D0F9B" w:rsidRPr="00BB0517">
        <w:t>MAMPU had always been a government to government program</w:t>
      </w:r>
      <w:r w:rsidR="00DF3F9F" w:rsidRPr="00BB0517">
        <w:t xml:space="preserve">, required to receive approval from BAPPENAS for annual work plans, due to various factors this governance oversight was not strictly in place in </w:t>
      </w:r>
      <w:r w:rsidR="00BA0BA4" w:rsidRPr="00BB0517">
        <w:t xml:space="preserve">Phase </w:t>
      </w:r>
      <w:r w:rsidR="00DF3F9F" w:rsidRPr="00BB0517">
        <w:t xml:space="preserve">I. The shift to </w:t>
      </w:r>
      <w:r w:rsidR="00BA0BA4" w:rsidRPr="00BB0517">
        <w:t xml:space="preserve">Phase </w:t>
      </w:r>
      <w:r w:rsidR="00DF3F9F" w:rsidRPr="00BB0517">
        <w:t>2 was therefore accompanied by a much stronger focus on engagement with government</w:t>
      </w:r>
      <w:r w:rsidR="00F5721B" w:rsidRPr="00BB0517">
        <w:t xml:space="preserve">, </w:t>
      </w:r>
      <w:r w:rsidR="00BE74F7" w:rsidRPr="00BB0517">
        <w:t xml:space="preserve">with the Government of Indonesia through </w:t>
      </w:r>
      <w:r w:rsidR="003B1EA5" w:rsidRPr="00BB0517">
        <w:t>BAPPENAS</w:t>
      </w:r>
      <w:r w:rsidR="00BE74F7" w:rsidRPr="00BB0517">
        <w:t xml:space="preserve">, taking a more significant role in program </w:t>
      </w:r>
      <w:r w:rsidR="00697230" w:rsidRPr="00BB0517">
        <w:t xml:space="preserve">oversight and </w:t>
      </w:r>
      <w:r w:rsidR="00BE74F7" w:rsidRPr="00BB0517">
        <w:t>implementation.</w:t>
      </w:r>
      <w:r w:rsidR="00BE74F7">
        <w:t xml:space="preserve"> </w:t>
      </w:r>
    </w:p>
    <w:p w14:paraId="542914CB" w14:textId="73373982" w:rsidR="008C2B26" w:rsidRDefault="009A4993" w:rsidP="001C48E2">
      <w:pPr>
        <w:jc w:val="both"/>
      </w:pPr>
      <w:r>
        <w:t>Early in the second phase of the program</w:t>
      </w:r>
      <w:r w:rsidR="00BE5E15">
        <w:t>, the long-term goal was redeveloped:</w:t>
      </w:r>
    </w:p>
    <w:p w14:paraId="470F8C22" w14:textId="3F5F42B0" w:rsidR="00556A30" w:rsidRDefault="00556A30" w:rsidP="001C48E2">
      <w:pPr>
        <w:ind w:left="720"/>
        <w:jc w:val="both"/>
        <w:rPr>
          <w:i/>
        </w:rPr>
      </w:pPr>
      <w:r w:rsidRPr="00556A30">
        <w:rPr>
          <w:i/>
        </w:rPr>
        <w:t xml:space="preserve">To improve the access for women in Indonesia to essential services and other government programs in order to achieve gender equality and women’s empowerment and support the achievement of relevant </w:t>
      </w:r>
      <w:r w:rsidR="00CA6CEE" w:rsidRPr="00556A30">
        <w:rPr>
          <w:i/>
        </w:rPr>
        <w:t xml:space="preserve">Government </w:t>
      </w:r>
      <w:r w:rsidRPr="00556A30">
        <w:rPr>
          <w:i/>
        </w:rPr>
        <w:t>of Indonesia SDG targets</w:t>
      </w:r>
      <w:r w:rsidR="00BE5E15">
        <w:rPr>
          <w:i/>
        </w:rPr>
        <w:t>.</w:t>
      </w:r>
    </w:p>
    <w:p w14:paraId="6407FC67" w14:textId="59D0130C" w:rsidR="007D7770" w:rsidRDefault="00BA0BA4" w:rsidP="001C48E2">
      <w:pPr>
        <w:jc w:val="both"/>
      </w:pPr>
      <w:r>
        <w:t>Prior to the shift to the second phase</w:t>
      </w:r>
      <w:r w:rsidR="00FC62D1">
        <w:t>, program</w:t>
      </w:r>
      <w:r>
        <w:t xml:space="preserve"> reporting identified several changes in the context of program implementation. As noted above these included </w:t>
      </w:r>
      <w:r w:rsidR="000B510B">
        <w:t xml:space="preserve">the identification of </w:t>
      </w:r>
      <w:r>
        <w:t xml:space="preserve">emerging nationalism entwined with political Islam, </w:t>
      </w:r>
      <w:r w:rsidR="000B510B">
        <w:t xml:space="preserve">that posed </w:t>
      </w:r>
      <w:r>
        <w:t>particular challenges for women’s organisations</w:t>
      </w:r>
      <w:r w:rsidR="000B510B">
        <w:t xml:space="preserve">. Also </w:t>
      </w:r>
      <w:r w:rsidR="00BC0047">
        <w:t xml:space="preserve">identified </w:t>
      </w:r>
      <w:r w:rsidR="000B510B">
        <w:t>was</w:t>
      </w:r>
      <w:r>
        <w:t xml:space="preserve"> slower economic growth</w:t>
      </w:r>
      <w:r w:rsidR="000B510B">
        <w:t>,</w:t>
      </w:r>
      <w:r>
        <w:t xml:space="preserve"> </w:t>
      </w:r>
      <w:r w:rsidR="000B510B">
        <w:t xml:space="preserve">likely to </w:t>
      </w:r>
      <w:r>
        <w:t>undermin</w:t>
      </w:r>
      <w:r w:rsidR="000B510B">
        <w:t>e</w:t>
      </w:r>
      <w:r>
        <w:t xml:space="preserve"> the original </w:t>
      </w:r>
      <w:r w:rsidR="000B510B">
        <w:t xml:space="preserve">program </w:t>
      </w:r>
      <w:r>
        <w:t>assumption that the form</w:t>
      </w:r>
      <w:r w:rsidR="000B510B">
        <w:t>al</w:t>
      </w:r>
      <w:r>
        <w:t xml:space="preserve"> sector w</w:t>
      </w:r>
      <w:r w:rsidR="000B510B">
        <w:t>ould</w:t>
      </w:r>
      <w:r>
        <w:t xml:space="preserve"> continue to expand and provide new opportunities. The</w:t>
      </w:r>
      <w:r w:rsidR="000B510B">
        <w:t xml:space="preserve"> program</w:t>
      </w:r>
      <w:r w:rsidR="001B482E">
        <w:t xml:space="preserve"> also identified the challenge from </w:t>
      </w:r>
      <w:r>
        <w:t xml:space="preserve">deeply ingrained social </w:t>
      </w:r>
      <w:r w:rsidR="000B510B">
        <w:t xml:space="preserve">norms </w:t>
      </w:r>
      <w:r>
        <w:t>that</w:t>
      </w:r>
      <w:r w:rsidR="000B510B">
        <w:t>, despite progressive national laws and policies,</w:t>
      </w:r>
      <w:r>
        <w:t xml:space="preserve"> were reinforcing more limited opportunities for girls </w:t>
      </w:r>
      <w:r w:rsidR="00F406D1">
        <w:t xml:space="preserve">and </w:t>
      </w:r>
      <w:r>
        <w:t>women in several ways.</w:t>
      </w:r>
      <w:r w:rsidR="001B482E">
        <w:rPr>
          <w:rStyle w:val="FootnoteReference"/>
        </w:rPr>
        <w:footnoteReference w:id="18"/>
      </w:r>
    </w:p>
    <w:p w14:paraId="7C02BFD8" w14:textId="0178AEEC" w:rsidR="00841E38" w:rsidRDefault="00841E38" w:rsidP="008215EF">
      <w:pPr>
        <w:pStyle w:val="ListParagraph"/>
        <w:numPr>
          <w:ilvl w:val="1"/>
          <w:numId w:val="19"/>
        </w:numPr>
        <w:jc w:val="both"/>
        <w:outlineLvl w:val="1"/>
        <w:rPr>
          <w:color w:val="2E74B5" w:themeColor="accent1" w:themeShade="BF"/>
          <w:sz w:val="26"/>
          <w:szCs w:val="26"/>
        </w:rPr>
      </w:pPr>
      <w:bookmarkStart w:id="13" w:name="_Toc21523893"/>
      <w:r w:rsidRPr="00D07989">
        <w:rPr>
          <w:color w:val="2E74B5" w:themeColor="accent1" w:themeShade="BF"/>
          <w:sz w:val="26"/>
          <w:szCs w:val="26"/>
        </w:rPr>
        <w:t>MAMPU Phase 2</w:t>
      </w:r>
      <w:bookmarkEnd w:id="13"/>
    </w:p>
    <w:p w14:paraId="5418A6F9" w14:textId="17CBAEEF" w:rsidR="00562306" w:rsidRDefault="00BE5E15" w:rsidP="001C48E2">
      <w:pPr>
        <w:jc w:val="both"/>
      </w:pPr>
      <w:r>
        <w:t xml:space="preserve">Notwithstanding identification of changes in the overall context, the </w:t>
      </w:r>
      <w:r w:rsidR="00CA6CEE">
        <w:t>MAMPU Phase 2</w:t>
      </w:r>
      <w:r>
        <w:t xml:space="preserve"> retained the original theory of change</w:t>
      </w:r>
      <w:r w:rsidR="007D7770">
        <w:t xml:space="preserve"> and assumptions</w:t>
      </w:r>
      <w:r w:rsidR="000C480A">
        <w:t>.</w:t>
      </w:r>
      <w:r w:rsidR="00F406D1">
        <w:rPr>
          <w:rStyle w:val="FootnoteReference"/>
        </w:rPr>
        <w:footnoteReference w:id="19"/>
      </w:r>
      <w:r w:rsidR="001B7F84">
        <w:t xml:space="preserve"> </w:t>
      </w:r>
      <w:r w:rsidR="00425796">
        <w:t xml:space="preserve">The five themes remained, and became the focus for engagement with technical ministries within the </w:t>
      </w:r>
      <w:r w:rsidR="00550CBB">
        <w:t xml:space="preserve">Government </w:t>
      </w:r>
      <w:r w:rsidR="00425796">
        <w:t>of Indonesia</w:t>
      </w:r>
      <w:r w:rsidR="00550CBB">
        <w:t>. Each theme was assigned</w:t>
      </w:r>
      <w:r w:rsidR="00192DBB">
        <w:t xml:space="preserve"> a relatively simple change pathway</w:t>
      </w:r>
      <w:r w:rsidR="00D90533">
        <w:t>, expected to lead to demonstrable change in access to services</w:t>
      </w:r>
      <w:r w:rsidR="00192DBB">
        <w:t>.</w:t>
      </w:r>
      <w:r w:rsidR="00BF2337">
        <w:t xml:space="preserve"> </w:t>
      </w:r>
    </w:p>
    <w:p w14:paraId="3A7FCCC5" w14:textId="7F43C72D" w:rsidR="00BE5E15" w:rsidRDefault="00562306" w:rsidP="001C48E2">
      <w:pPr>
        <w:jc w:val="both"/>
      </w:pPr>
      <w:r>
        <w:t>In addition, t</w:t>
      </w:r>
      <w:r w:rsidR="00BF2337">
        <w:t xml:space="preserve">he program </w:t>
      </w:r>
      <w:r w:rsidR="00D90533">
        <w:t>maintained and expanded</w:t>
      </w:r>
      <w:r w:rsidR="00BF2337">
        <w:t xml:space="preserve"> </w:t>
      </w:r>
      <w:r w:rsidR="00D90533">
        <w:t>collaborative work between partners o</w:t>
      </w:r>
      <w:r w:rsidR="00BF2337">
        <w:t>n additional cross cutting areas.</w:t>
      </w:r>
      <w:r w:rsidR="00B95121">
        <w:rPr>
          <w:rStyle w:val="FootnoteReference"/>
        </w:rPr>
        <w:footnoteReference w:id="20"/>
      </w:r>
      <w:r w:rsidR="00BF2337">
        <w:t xml:space="preserve"> </w:t>
      </w:r>
      <w:r w:rsidR="001E65F3">
        <w:t>The original two program components</w:t>
      </w:r>
      <w:r w:rsidR="00BB6CF2">
        <w:t>,</w:t>
      </w:r>
      <w:r w:rsidR="001E65F3">
        <w:t xml:space="preserve"> focused on </w:t>
      </w:r>
      <w:r w:rsidR="00BB6CF2">
        <w:t xml:space="preserve">change strategies with </w:t>
      </w:r>
      <w:r w:rsidR="001E65F3">
        <w:t xml:space="preserve">civil society and </w:t>
      </w:r>
      <w:r w:rsidR="00BB6CF2">
        <w:t xml:space="preserve">with </w:t>
      </w:r>
      <w:r w:rsidR="001E65F3">
        <w:t>parliamentarians</w:t>
      </w:r>
      <w:r w:rsidR="00D149C8">
        <w:t>,</w:t>
      </w:r>
      <w:r w:rsidR="001E65F3">
        <w:t xml:space="preserve"> w</w:t>
      </w:r>
      <w:r w:rsidR="00BB6CF2">
        <w:t>ere</w:t>
      </w:r>
      <w:r w:rsidR="001E65F3">
        <w:t xml:space="preserve"> combined into one overall</w:t>
      </w:r>
      <w:r w:rsidR="00D149C8">
        <w:t xml:space="preserve"> approach to change.</w:t>
      </w:r>
    </w:p>
    <w:p w14:paraId="53DF61EE" w14:textId="77777777" w:rsidR="00192DBB" w:rsidRDefault="00B41CAC" w:rsidP="001C48E2">
      <w:pPr>
        <w:jc w:val="both"/>
      </w:pPr>
      <w:r>
        <w:t>MAMPU</w:t>
      </w:r>
      <w:r w:rsidR="00192DBB">
        <w:t xml:space="preserve"> continued in the second phase to work with largely the same partners.</w:t>
      </w:r>
      <w:r w:rsidR="00192DBB">
        <w:rPr>
          <w:rStyle w:val="FootnoteReference"/>
        </w:rPr>
        <w:footnoteReference w:id="21"/>
      </w:r>
      <w:r w:rsidR="00192DBB">
        <w:t xml:space="preserve"> </w:t>
      </w:r>
      <w:r w:rsidR="008B7CE8">
        <w:t>T</w:t>
      </w:r>
      <w:r w:rsidR="00192DBB">
        <w:t xml:space="preserve">hose 14 national partners (see Annex three), together with </w:t>
      </w:r>
      <w:r w:rsidR="008B7CE8">
        <w:t>more than 105 local partners, currently work across 27 provinces and 151 districts in Indonesia</w:t>
      </w:r>
      <w:r w:rsidR="00BC49C8">
        <w:t xml:space="preserve"> (</w:t>
      </w:r>
      <w:r w:rsidR="00BC49C8" w:rsidRPr="00BC49C8">
        <w:rPr>
          <w:u w:val="single"/>
        </w:rPr>
        <w:t>see Figure 2</w:t>
      </w:r>
      <w:r w:rsidR="00BC49C8">
        <w:t>)</w:t>
      </w:r>
      <w:r w:rsidR="008B7CE8">
        <w:t>.</w:t>
      </w:r>
      <w:r w:rsidR="00BB6CF2">
        <w:t xml:space="preserve"> The program is thus ambitious, broad in scope and inclusive of multiple relationships and engagements within civil society </w:t>
      </w:r>
      <w:r w:rsidR="005E637F">
        <w:t>and</w:t>
      </w:r>
      <w:r w:rsidR="00BB6CF2">
        <w:t xml:space="preserve"> between civil society and different levels of government in Indonesia.</w:t>
      </w:r>
    </w:p>
    <w:p w14:paraId="3BBCC26D" w14:textId="77777777" w:rsidR="00BC49C8" w:rsidRDefault="00BC49C8" w:rsidP="00841E38">
      <w:pPr>
        <w:pStyle w:val="Caption"/>
      </w:pPr>
      <w:r w:rsidRPr="00B45986">
        <w:rPr>
          <w:sz w:val="22"/>
        </w:rPr>
        <w:t>Figure 2. Working areas by theme</w:t>
      </w:r>
      <w:r w:rsidR="00B45986">
        <w:rPr>
          <w:sz w:val="22"/>
        </w:rPr>
        <w:t xml:space="preserve"> and location</w:t>
      </w:r>
      <w:r>
        <w:rPr>
          <w:noProof/>
          <w:lang w:eastAsia="en-AU"/>
        </w:rPr>
        <w:drawing>
          <wp:inline distT="0" distB="0" distL="0" distR="0" wp14:anchorId="1CFC99FA" wp14:editId="76812D93">
            <wp:extent cx="5727700" cy="2165350"/>
            <wp:effectExtent l="19050" t="19050" r="2540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7524" cy="2169064"/>
                    </a:xfrm>
                    <a:prstGeom prst="rect">
                      <a:avLst/>
                    </a:prstGeom>
                    <a:ln>
                      <a:solidFill>
                        <a:schemeClr val="tx1"/>
                      </a:solidFill>
                    </a:ln>
                  </pic:spPr>
                </pic:pic>
              </a:graphicData>
            </a:graphic>
          </wp:inline>
        </w:drawing>
      </w:r>
    </w:p>
    <w:p w14:paraId="537B96B4" w14:textId="19842C0B" w:rsidR="008B7CE8" w:rsidRDefault="008B7CE8" w:rsidP="001C48E2">
      <w:pPr>
        <w:jc w:val="both"/>
      </w:pPr>
      <w:r w:rsidRPr="00BB0517">
        <w:t xml:space="preserve">Respondents to the review reflected on the significant changes from the first phase to the second of the </w:t>
      </w:r>
      <w:r w:rsidR="00B41CAC" w:rsidRPr="00BB0517">
        <w:t>MAMPU</w:t>
      </w:r>
      <w:r w:rsidRPr="00BB0517">
        <w:t xml:space="preserve"> program. While the increased engagement with</w:t>
      </w:r>
      <w:r w:rsidR="00EA2CC5" w:rsidRPr="00BB0517">
        <w:t xml:space="preserve"> G</w:t>
      </w:r>
      <w:r w:rsidRPr="00BB0517">
        <w:t xml:space="preserve">overnment </w:t>
      </w:r>
      <w:r w:rsidR="00EA2CC5" w:rsidRPr="00BB0517">
        <w:t xml:space="preserve">of </w:t>
      </w:r>
      <w:r w:rsidRPr="00BB0517">
        <w:t>Indonesia was generally seen as a positive shift</w:t>
      </w:r>
      <w:r w:rsidR="00BE40AE" w:rsidRPr="00BB0517">
        <w:t xml:space="preserve"> for the program, people commented </w:t>
      </w:r>
      <w:r w:rsidR="002E3C23" w:rsidRPr="00BB0517">
        <w:t xml:space="preserve">that at that time there was </w:t>
      </w:r>
      <w:r w:rsidR="00CA6CEE" w:rsidRPr="00BB0517">
        <w:t xml:space="preserve">probably </w:t>
      </w:r>
      <w:r w:rsidR="002E3C23" w:rsidRPr="00BB0517">
        <w:t xml:space="preserve">insufficient </w:t>
      </w:r>
      <w:r w:rsidR="00BE40AE" w:rsidRPr="00BB0517">
        <w:t xml:space="preserve">attention to the changing context. There appeared to be an assumption that as a successful program, </w:t>
      </w:r>
      <w:r w:rsidR="00B41CAC" w:rsidRPr="00BB0517">
        <w:t>MAMPU</w:t>
      </w:r>
      <w:r w:rsidR="00BE40AE" w:rsidRPr="00BB0517">
        <w:t xml:space="preserve"> could enter into a second phase and grow to accommodate increased expectations, changed relationships and new challenges.</w:t>
      </w:r>
    </w:p>
    <w:p w14:paraId="47515FB1" w14:textId="1156E159" w:rsidR="001212EE" w:rsidRDefault="000C480A" w:rsidP="001C48E2">
      <w:pPr>
        <w:jc w:val="both"/>
      </w:pPr>
      <w:r>
        <w:t xml:space="preserve">While this may have been a strategic decision, given the need to </w:t>
      </w:r>
      <w:r w:rsidR="00615D99">
        <w:t>continue</w:t>
      </w:r>
      <w:r>
        <w:t xml:space="preserve"> existing programs and to focus on building engagement with </w:t>
      </w:r>
      <w:r w:rsidR="00562306">
        <w:t xml:space="preserve">the </w:t>
      </w:r>
      <w:r>
        <w:t>government, respondents, particularly MAMPU partners</w:t>
      </w:r>
      <w:r w:rsidR="00CA6CEE">
        <w:t>,</w:t>
      </w:r>
      <w:r>
        <w:t xml:space="preserve"> have reflected that</w:t>
      </w:r>
      <w:r w:rsidR="00AF4ECF">
        <w:t xml:space="preserve"> these challenges are now significant concerns for their programs. </w:t>
      </w:r>
      <w:r w:rsidR="00476EB1">
        <w:t xml:space="preserve">The changing environment for the </w:t>
      </w:r>
      <w:r w:rsidR="00971600">
        <w:t>women’s</w:t>
      </w:r>
      <w:r w:rsidR="00476EB1">
        <w:t xml:space="preserve"> movements, the changed economic situation, and in particular the identification that for women in many </w:t>
      </w:r>
      <w:r w:rsidR="00971600">
        <w:t>locations</w:t>
      </w:r>
      <w:r w:rsidR="00476EB1">
        <w:t xml:space="preserve"> engrained social norms are complex and hard to change, all </w:t>
      </w:r>
      <w:r w:rsidR="00971600">
        <w:t>remains</w:t>
      </w:r>
      <w:r w:rsidR="00476EB1">
        <w:t xml:space="preserve"> </w:t>
      </w:r>
      <w:r w:rsidR="00971600">
        <w:t>program</w:t>
      </w:r>
      <w:r w:rsidR="00476EB1">
        <w:t xml:space="preserve"> </w:t>
      </w:r>
      <w:r w:rsidR="00971600">
        <w:t>challenges</w:t>
      </w:r>
      <w:r w:rsidR="00476EB1">
        <w:t xml:space="preserve">. </w:t>
      </w:r>
      <w:r w:rsidR="00971600">
        <w:t xml:space="preserve">Reconsidering the program approach or at least the way in which the program might further develop and respond to such challenges, might have been given more consideration at the end of Phase one. </w:t>
      </w:r>
    </w:p>
    <w:p w14:paraId="630C9131" w14:textId="74491C5C" w:rsidR="00D07989" w:rsidRDefault="00D07989" w:rsidP="008215EF">
      <w:pPr>
        <w:pStyle w:val="ListParagraph"/>
        <w:numPr>
          <w:ilvl w:val="0"/>
          <w:numId w:val="19"/>
        </w:numPr>
        <w:jc w:val="both"/>
        <w:outlineLvl w:val="0"/>
        <w:rPr>
          <w:color w:val="2E74B5" w:themeColor="accent1" w:themeShade="BF"/>
          <w:sz w:val="32"/>
          <w:szCs w:val="32"/>
        </w:rPr>
      </w:pPr>
      <w:bookmarkStart w:id="14" w:name="_Toc21523894"/>
      <w:r w:rsidRPr="00D07989">
        <w:rPr>
          <w:color w:val="2E74B5" w:themeColor="accent1" w:themeShade="BF"/>
          <w:sz w:val="32"/>
          <w:szCs w:val="32"/>
        </w:rPr>
        <w:t>Findings</w:t>
      </w:r>
      <w:bookmarkEnd w:id="14"/>
    </w:p>
    <w:p w14:paraId="33D1ECDC" w14:textId="559F1231" w:rsidR="00D07989" w:rsidRPr="00D07989" w:rsidRDefault="00D07989" w:rsidP="008215EF">
      <w:pPr>
        <w:pStyle w:val="ListParagraph"/>
        <w:numPr>
          <w:ilvl w:val="1"/>
          <w:numId w:val="19"/>
        </w:numPr>
        <w:jc w:val="both"/>
        <w:outlineLvl w:val="1"/>
        <w:rPr>
          <w:color w:val="2E74B5" w:themeColor="accent1" w:themeShade="BF"/>
          <w:sz w:val="26"/>
          <w:szCs w:val="26"/>
        </w:rPr>
      </w:pPr>
      <w:bookmarkStart w:id="15" w:name="_Toc21523895"/>
      <w:r w:rsidRPr="00D07989">
        <w:rPr>
          <w:color w:val="2E74B5" w:themeColor="accent1" w:themeShade="BF"/>
          <w:sz w:val="26"/>
          <w:szCs w:val="26"/>
        </w:rPr>
        <w:t>Program Effectiveness</w:t>
      </w:r>
      <w:bookmarkEnd w:id="15"/>
    </w:p>
    <w:p w14:paraId="766360E2" w14:textId="149C199B" w:rsidR="00E344E6" w:rsidRDefault="005F33F5" w:rsidP="001C48E2">
      <w:pPr>
        <w:jc w:val="both"/>
      </w:pPr>
      <w:r>
        <w:t>There</w:t>
      </w:r>
      <w:r w:rsidR="00E344E6">
        <w:t xml:space="preserve"> are several possible measures of </w:t>
      </w:r>
      <w:r w:rsidR="00B41CAC">
        <w:t>MAMPU</w:t>
      </w:r>
      <w:r w:rsidR="00E344E6">
        <w:t xml:space="preserve"> </w:t>
      </w:r>
      <w:r w:rsidR="001603A5">
        <w:t>P</w:t>
      </w:r>
      <w:r w:rsidR="00E344E6">
        <w:t xml:space="preserve">hase </w:t>
      </w:r>
      <w:r>
        <w:t>2</w:t>
      </w:r>
      <w:r w:rsidR="00E344E6">
        <w:t xml:space="preserve"> effectiveness. These include progress against its three end of program outcomes</w:t>
      </w:r>
      <w:r w:rsidR="00496706">
        <w:t xml:space="preserve"> (EOPO</w:t>
      </w:r>
      <w:r w:rsidR="001603A5">
        <w:t>s</w:t>
      </w:r>
      <w:r w:rsidR="00496706">
        <w:t>)</w:t>
      </w:r>
      <w:r w:rsidR="00E344E6">
        <w:t xml:space="preserve">, as </w:t>
      </w:r>
      <w:r w:rsidR="002D18B9">
        <w:t xml:space="preserve">briefly </w:t>
      </w:r>
      <w:r w:rsidR="00E344E6">
        <w:t xml:space="preserve">summarised below, and progress in various thematic and crosscutting areas. </w:t>
      </w:r>
      <w:r w:rsidR="00047143">
        <w:t xml:space="preserve">Noting that this is not an end of program review and that MAMPU monitoring and evaluation systems do not provide for targets or </w:t>
      </w:r>
      <w:r w:rsidR="00A9265F">
        <w:t xml:space="preserve">specific </w:t>
      </w:r>
      <w:r w:rsidR="00047143">
        <w:t>measures of performance, except for Outcome Area Three (increased access to services), the following findings draw largely from qualitative assessment and the views of key stakeholders.</w:t>
      </w:r>
      <w:r w:rsidR="00047143">
        <w:rPr>
          <w:rStyle w:val="FootnoteReference"/>
        </w:rPr>
        <w:footnoteReference w:id="22"/>
      </w:r>
      <w:r w:rsidR="00047143">
        <w:t xml:space="preserve">  </w:t>
      </w:r>
    </w:p>
    <w:p w14:paraId="438EF945" w14:textId="71FD15B3" w:rsidR="00D07989" w:rsidRDefault="00D07989" w:rsidP="008215EF">
      <w:pPr>
        <w:pStyle w:val="ListParagraph"/>
        <w:numPr>
          <w:ilvl w:val="2"/>
          <w:numId w:val="19"/>
        </w:numPr>
        <w:jc w:val="both"/>
        <w:outlineLvl w:val="2"/>
        <w:rPr>
          <w:color w:val="2E74B5" w:themeColor="accent1" w:themeShade="BF"/>
          <w:sz w:val="24"/>
          <w:szCs w:val="24"/>
        </w:rPr>
      </w:pPr>
      <w:bookmarkStart w:id="16" w:name="_Toc21523896"/>
      <w:r w:rsidRPr="00D07989">
        <w:rPr>
          <w:color w:val="2E74B5" w:themeColor="accent1" w:themeShade="BF"/>
          <w:sz w:val="24"/>
          <w:szCs w:val="24"/>
        </w:rPr>
        <w:t>EOPO 1 – Increased capacity in readiness for collective action among MAMPU partners</w:t>
      </w:r>
      <w:bookmarkEnd w:id="16"/>
    </w:p>
    <w:p w14:paraId="0EAC8264" w14:textId="416758D3" w:rsidR="007D5EA8" w:rsidRPr="00AB230B" w:rsidRDefault="007D5EA8" w:rsidP="001C48E2">
      <w:pPr>
        <w:ind w:left="360"/>
        <w:jc w:val="both"/>
      </w:pPr>
      <w:r w:rsidRPr="00AB230B">
        <w:rPr>
          <w:b/>
        </w:rPr>
        <w:t>Finding 1</w:t>
      </w:r>
      <w:r>
        <w:t>:</w:t>
      </w:r>
      <w:r w:rsidR="00496706">
        <w:t xml:space="preserve"> </w:t>
      </w:r>
      <w:r w:rsidR="003B01A4" w:rsidRPr="00AB230B">
        <w:t>MAMPU has supported demonstrable increases in partner capacity at national and local levels.</w:t>
      </w:r>
    </w:p>
    <w:p w14:paraId="0B12DD5F" w14:textId="6D105B37" w:rsidR="007D5EA8" w:rsidRDefault="007D5EA8" w:rsidP="001C48E2">
      <w:pPr>
        <w:ind w:left="360"/>
        <w:jc w:val="both"/>
      </w:pPr>
      <w:r w:rsidRPr="00AB230B">
        <w:rPr>
          <w:b/>
        </w:rPr>
        <w:t>Finding 2</w:t>
      </w:r>
      <w:r>
        <w:t xml:space="preserve">: </w:t>
      </w:r>
      <w:r w:rsidR="00CC3BD0">
        <w:t>T</w:t>
      </w:r>
      <w:r w:rsidR="00AB230B">
        <w:t>he c</w:t>
      </w:r>
      <w:r w:rsidR="00CC3BD0">
        <w:t xml:space="preserve">reation of a </w:t>
      </w:r>
      <w:r w:rsidR="00AB230B">
        <w:t xml:space="preserve">network of diverse partners </w:t>
      </w:r>
      <w:r w:rsidR="00CC3BD0">
        <w:t>has been a significant contribution to supporting a viable women’s movement in Indonesia.</w:t>
      </w:r>
    </w:p>
    <w:p w14:paraId="3E6A8CE6" w14:textId="5AC36594" w:rsidR="007D5EA8" w:rsidRPr="007D5EA8" w:rsidRDefault="00CC3BD0" w:rsidP="001C48E2">
      <w:pPr>
        <w:ind w:left="360"/>
        <w:jc w:val="both"/>
      </w:pPr>
      <w:r w:rsidRPr="00CC3BD0">
        <w:rPr>
          <w:b/>
        </w:rPr>
        <w:t>Finding 3:</w:t>
      </w:r>
      <w:r>
        <w:t xml:space="preserve"> MAMPU partners vary in their capacity to further develop and to adapt to changing opportunities and challenges. </w:t>
      </w:r>
    </w:p>
    <w:p w14:paraId="1226CC1E" w14:textId="2C8E9AE2" w:rsidR="007D5EA8" w:rsidRPr="007D5EA8" w:rsidRDefault="00CC3BD0" w:rsidP="001C48E2">
      <w:pPr>
        <w:pStyle w:val="Heading4"/>
        <w:jc w:val="both"/>
      </w:pPr>
      <w:r>
        <w:t>Discussion:</w:t>
      </w:r>
    </w:p>
    <w:p w14:paraId="370FC4D2" w14:textId="2AFEB5BC" w:rsidR="006D4146" w:rsidRDefault="00B41CAC" w:rsidP="001C48E2">
      <w:pPr>
        <w:jc w:val="both"/>
      </w:pPr>
      <w:r>
        <w:t>MAMPU</w:t>
      </w:r>
      <w:r w:rsidR="006D4146">
        <w:t xml:space="preserve"> has </w:t>
      </w:r>
      <w:r w:rsidR="00A50E10">
        <w:t xml:space="preserve">consistently </w:t>
      </w:r>
      <w:r w:rsidR="006D4146">
        <w:t>tracked the capacity development of its partners through both phase</w:t>
      </w:r>
      <w:r w:rsidR="001603A5">
        <w:t>s</w:t>
      </w:r>
      <w:r w:rsidR="006D4146">
        <w:t xml:space="preserve"> 1 and 2. This includes regular assessment against six dimensions of organisational operation</w:t>
      </w:r>
      <w:r w:rsidR="006D4146">
        <w:rPr>
          <w:rStyle w:val="FootnoteReference"/>
        </w:rPr>
        <w:footnoteReference w:id="23"/>
      </w:r>
      <w:r w:rsidR="006D4146">
        <w:t xml:space="preserve"> together with independent studies.</w:t>
      </w:r>
      <w:r w:rsidR="00255CB4">
        <w:rPr>
          <w:rStyle w:val="FootnoteReference"/>
        </w:rPr>
        <w:footnoteReference w:id="24"/>
      </w:r>
    </w:p>
    <w:p w14:paraId="67BE3828" w14:textId="77777777" w:rsidR="00EF5692" w:rsidRDefault="006D4146" w:rsidP="001C48E2">
      <w:pPr>
        <w:jc w:val="both"/>
      </w:pPr>
      <w:r>
        <w:t>The available evidence indicates that the program has been effective in increasing capacity across the various organisations. There is considerable evidence, further verified through independent assessment by the ISR</w:t>
      </w:r>
      <w:r w:rsidR="00255CB4">
        <w:rPr>
          <w:rStyle w:val="FootnoteReference"/>
        </w:rPr>
        <w:footnoteReference w:id="25"/>
      </w:r>
      <w:r>
        <w:t>, that partner CSO are work</w:t>
      </w:r>
      <w:r w:rsidR="009670F8">
        <w:t>ing</w:t>
      </w:r>
      <w:r>
        <w:t xml:space="preserve"> effectively at the subnational level</w:t>
      </w:r>
      <w:r w:rsidR="00F212B2">
        <w:t>,</w:t>
      </w:r>
      <w:r>
        <w:t xml:space="preserve"> </w:t>
      </w:r>
      <w:r w:rsidR="008A758C">
        <w:t xml:space="preserve">often addressing quite challenging contexts. </w:t>
      </w:r>
      <w:r w:rsidR="00255CB4">
        <w:t xml:space="preserve">Independent assessment indicates that CSO partners </w:t>
      </w:r>
      <w:r w:rsidR="008A758C">
        <w:t>demonstrate a rich diversity of strategies drawn from good local contextual analysis.</w:t>
      </w:r>
      <w:r w:rsidR="008A758C">
        <w:rPr>
          <w:rStyle w:val="FootnoteReference"/>
        </w:rPr>
        <w:footnoteReference w:id="26"/>
      </w:r>
      <w:r w:rsidR="00A50E10">
        <w:t xml:space="preserve"> At the subnational level, CSO partners have been effective in organising women at the grassroots to work collectively and advocate </w:t>
      </w:r>
      <w:r w:rsidR="00F212B2">
        <w:t>for</w:t>
      </w:r>
      <w:r w:rsidR="00A50E10">
        <w:t xml:space="preserve"> change. </w:t>
      </w:r>
    </w:p>
    <w:p w14:paraId="72FE6A67" w14:textId="51C36EAE" w:rsidR="00255CB4" w:rsidRDefault="00A50E10" w:rsidP="001C48E2">
      <w:pPr>
        <w:jc w:val="both"/>
      </w:pPr>
      <w:r w:rsidRPr="00F541E0">
        <w:t>At the national</w:t>
      </w:r>
      <w:r w:rsidR="00381AE8" w:rsidRPr="00F541E0">
        <w:t xml:space="preserve"> </w:t>
      </w:r>
      <w:r w:rsidR="00F212B2" w:rsidRPr="00F541E0">
        <w:t xml:space="preserve">level, </w:t>
      </w:r>
      <w:r w:rsidR="00381AE8" w:rsidRPr="00F541E0">
        <w:t>CSO</w:t>
      </w:r>
      <w:r w:rsidR="00540319" w:rsidRPr="00F541E0">
        <w:t>s</w:t>
      </w:r>
      <w:r w:rsidR="00381AE8" w:rsidRPr="00F541E0">
        <w:t xml:space="preserve"> have </w:t>
      </w:r>
      <w:r w:rsidR="00AC24FA" w:rsidRPr="00F541E0">
        <w:t xml:space="preserve">also </w:t>
      </w:r>
      <w:r w:rsidR="00381AE8" w:rsidRPr="00F541E0">
        <w:t xml:space="preserve">been supported to work </w:t>
      </w:r>
      <w:r w:rsidR="00F212B2" w:rsidRPr="00F541E0">
        <w:t xml:space="preserve">collectively and </w:t>
      </w:r>
      <w:r w:rsidR="00381AE8" w:rsidRPr="00F541E0">
        <w:t>with government for change</w:t>
      </w:r>
      <w:r w:rsidR="00EF5692" w:rsidRPr="00F541E0">
        <w:t>, as identified in other reviews</w:t>
      </w:r>
      <w:r w:rsidR="00381AE8" w:rsidRPr="00020A95">
        <w:t>.</w:t>
      </w:r>
    </w:p>
    <w:p w14:paraId="2544E183" w14:textId="77777777" w:rsidR="00381AE8" w:rsidRPr="00381AE8" w:rsidRDefault="00381AE8" w:rsidP="001C48E2">
      <w:pPr>
        <w:ind w:left="720"/>
        <w:jc w:val="both"/>
        <w:rPr>
          <w:i/>
        </w:rPr>
      </w:pPr>
      <w:r>
        <w:rPr>
          <w:i/>
        </w:rPr>
        <w:t>‘DFAT support has contributed to strong local civil society and women’s rights movements with high-capacity and a cooperative relationship with government.’</w:t>
      </w:r>
      <w:r>
        <w:rPr>
          <w:rStyle w:val="FootnoteReference"/>
          <w:i/>
        </w:rPr>
        <w:footnoteReference w:id="27"/>
      </w:r>
    </w:p>
    <w:p w14:paraId="4AE5B384" w14:textId="6924AD6F" w:rsidR="00020A95" w:rsidRDefault="00020A95" w:rsidP="001C48E2">
      <w:pPr>
        <w:jc w:val="both"/>
      </w:pPr>
      <w:r>
        <w:t>While national level cooperation is an ongoing development it is something which is valued by the national partners.</w:t>
      </w:r>
    </w:p>
    <w:p w14:paraId="5E8C2E3D" w14:textId="63839B32" w:rsidR="00B1380E" w:rsidRDefault="00B1380E" w:rsidP="001C48E2">
      <w:pPr>
        <w:jc w:val="both"/>
      </w:pPr>
      <w:r>
        <w:t>CSO partners have</w:t>
      </w:r>
      <w:r w:rsidR="009670F8">
        <w:t xml:space="preserve"> developed and extended their approaches </w:t>
      </w:r>
      <w:r w:rsidR="0089556C">
        <w:t xml:space="preserve">and organisational coherence and focus </w:t>
      </w:r>
      <w:r w:rsidR="009670F8">
        <w:t xml:space="preserve">through association with </w:t>
      </w:r>
      <w:r w:rsidR="00B41CAC">
        <w:t>MAMPU</w:t>
      </w:r>
      <w:r w:rsidR="009670F8">
        <w:t>. S</w:t>
      </w:r>
      <w:r w:rsidR="00F212B2">
        <w:t>everal of the n</w:t>
      </w:r>
      <w:r>
        <w:t xml:space="preserve">ational CSO partners directly attributed their </w:t>
      </w:r>
      <w:r w:rsidR="003405C6">
        <w:t xml:space="preserve">organisational </w:t>
      </w:r>
      <w:r>
        <w:t xml:space="preserve">development to the </w:t>
      </w:r>
      <w:r w:rsidR="00B41CAC">
        <w:t>MAMPU</w:t>
      </w:r>
      <w:r w:rsidR="00427BA2">
        <w:t xml:space="preserve"> </w:t>
      </w:r>
      <w:r w:rsidR="009670F8">
        <w:t xml:space="preserve">capacity </w:t>
      </w:r>
      <w:r w:rsidR="00427BA2">
        <w:t>development approach.</w:t>
      </w:r>
    </w:p>
    <w:p w14:paraId="42D6B739" w14:textId="77777777" w:rsidR="00B1380E" w:rsidRPr="003405C6" w:rsidRDefault="00B1380E" w:rsidP="001C48E2">
      <w:pPr>
        <w:ind w:left="720"/>
        <w:jc w:val="both"/>
        <w:rPr>
          <w:i/>
        </w:rPr>
      </w:pPr>
      <w:r w:rsidRPr="003405C6">
        <w:rPr>
          <w:i/>
        </w:rPr>
        <w:t>‘</w:t>
      </w:r>
      <w:r w:rsidR="003405C6" w:rsidRPr="003405C6">
        <w:rPr>
          <w:i/>
        </w:rPr>
        <w:t>W</w:t>
      </w:r>
      <w:r w:rsidRPr="003405C6">
        <w:rPr>
          <w:i/>
        </w:rPr>
        <w:t>e have improved our knowledge management and use of data’</w:t>
      </w:r>
    </w:p>
    <w:p w14:paraId="423FD01C" w14:textId="77777777" w:rsidR="009670F8" w:rsidRDefault="00B1380E" w:rsidP="001C48E2">
      <w:pPr>
        <w:ind w:left="720"/>
        <w:jc w:val="both"/>
        <w:rPr>
          <w:i/>
        </w:rPr>
      </w:pPr>
      <w:r w:rsidRPr="003405C6">
        <w:rPr>
          <w:i/>
        </w:rPr>
        <w:t>‘</w:t>
      </w:r>
      <w:r w:rsidR="00B41CAC">
        <w:rPr>
          <w:i/>
        </w:rPr>
        <w:t>MAMPU</w:t>
      </w:r>
      <w:r w:rsidRPr="003405C6">
        <w:rPr>
          <w:i/>
        </w:rPr>
        <w:t xml:space="preserve"> challenged our approach</w:t>
      </w:r>
      <w:r w:rsidR="003405C6" w:rsidRPr="003405C6">
        <w:rPr>
          <w:i/>
        </w:rPr>
        <w:t>. They made us work based on evidence and to work quickly.</w:t>
      </w:r>
      <w:r w:rsidR="009670F8">
        <w:rPr>
          <w:i/>
        </w:rPr>
        <w:t>’</w:t>
      </w:r>
    </w:p>
    <w:p w14:paraId="251FAA2D" w14:textId="1E989B10" w:rsidR="00B1380E" w:rsidRDefault="009670F8" w:rsidP="001C48E2">
      <w:pPr>
        <w:ind w:left="720"/>
        <w:jc w:val="both"/>
        <w:rPr>
          <w:i/>
        </w:rPr>
      </w:pPr>
      <w:r>
        <w:rPr>
          <w:i/>
        </w:rPr>
        <w:t>‘</w:t>
      </w:r>
      <w:r w:rsidR="003405C6" w:rsidRPr="003405C6">
        <w:rPr>
          <w:i/>
        </w:rPr>
        <w:t>They have encouraged us to have innovative strategies.’</w:t>
      </w:r>
    </w:p>
    <w:p w14:paraId="74CC9CE7" w14:textId="6802068E" w:rsidR="00CC7ED7" w:rsidRDefault="006E7ADE" w:rsidP="001C48E2">
      <w:pPr>
        <w:jc w:val="both"/>
      </w:pPr>
      <w:r>
        <w:rPr>
          <w:noProof/>
          <w:lang w:eastAsia="en-AU"/>
        </w:rPr>
        <mc:AlternateContent>
          <mc:Choice Requires="wps">
            <w:drawing>
              <wp:anchor distT="45720" distB="45720" distL="114300" distR="114300" simplePos="0" relativeHeight="251668480" behindDoc="0" locked="0" layoutInCell="1" allowOverlap="1" wp14:anchorId="638133DE" wp14:editId="1C927264">
                <wp:simplePos x="0" y="0"/>
                <wp:positionH relativeFrom="column">
                  <wp:posOffset>12700</wp:posOffset>
                </wp:positionH>
                <wp:positionV relativeFrom="paragraph">
                  <wp:posOffset>442595</wp:posOffset>
                </wp:positionV>
                <wp:extent cx="5829300" cy="1404620"/>
                <wp:effectExtent l="0" t="0" r="1905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5D74B5B0" w14:textId="77777777" w:rsidR="00551718" w:rsidRPr="00160AA7" w:rsidRDefault="00551718" w:rsidP="006E7ADE">
                            <w:pPr>
                              <w:pStyle w:val="Heading4"/>
                              <w:rPr>
                                <w:sz w:val="20"/>
                                <w:szCs w:val="20"/>
                              </w:rPr>
                            </w:pPr>
                            <w:r w:rsidRPr="00160AA7">
                              <w:rPr>
                                <w:sz w:val="20"/>
                                <w:szCs w:val="20"/>
                              </w:rPr>
                              <w:t>Box 1. Vertical networks: Migrant care</w:t>
                            </w:r>
                          </w:p>
                          <w:p w14:paraId="616AF8C0" w14:textId="77777777" w:rsidR="00551718" w:rsidRPr="00160AA7" w:rsidRDefault="00551718" w:rsidP="00C86A17">
                            <w:pPr>
                              <w:jc w:val="both"/>
                              <w:rPr>
                                <w:sz w:val="20"/>
                                <w:szCs w:val="20"/>
                              </w:rPr>
                            </w:pPr>
                            <w:r w:rsidRPr="00160AA7">
                              <w:rPr>
                                <w:sz w:val="20"/>
                                <w:szCs w:val="20"/>
                              </w:rPr>
                              <w:t>Migrant CARE identified highly centralized governance as a key factor affecting the quality of services for migrant workers. To address this, Migrant CARE proposed shifting service provision to the village level through a concept called ‘DESBUMI’ – an Indonesian abbreviation meaning “villages that care for migrant workers”. This would require legal and regulatory change at the national and local levels.</w:t>
                            </w:r>
                          </w:p>
                          <w:p w14:paraId="5FD5D974" w14:textId="77777777" w:rsidR="00551718" w:rsidRPr="00160AA7" w:rsidRDefault="00551718" w:rsidP="00C86A17">
                            <w:pPr>
                              <w:jc w:val="both"/>
                              <w:rPr>
                                <w:sz w:val="20"/>
                                <w:szCs w:val="20"/>
                              </w:rPr>
                            </w:pPr>
                            <w:r w:rsidRPr="00160AA7">
                              <w:rPr>
                                <w:sz w:val="20"/>
                                <w:szCs w:val="20"/>
                              </w:rPr>
                              <w:t>However, Migrant CARE had never worked extensively at the village level and possessed limited experience in grassroots community organising. Prior to engaging with MAMPU, Migrant CARE were most known for their advocacy at the national level. Migrant CARE’s proposal to MAMPU in 2013 identified a network of 7 CSOs in 5 provinces who would collaborate to address the ambitious reform agenda. These organisations had been active in migrant worker issues in their respective locales and brought experience at the village level. Individually, none could draw upon a significant national media presence or extensive links with Jakarta-based policy makers. But collectively, this network possessed the combination of strengths needed to address the reform agenda: advocacy experience and credibility on migrant worker issues, existing relationships among national level policy makers, a high media profile, and experience working at district and village levels.</w:t>
                            </w:r>
                          </w:p>
                          <w:p w14:paraId="2A043313" w14:textId="1F97C013" w:rsidR="00551718" w:rsidRPr="00160AA7" w:rsidRDefault="00551718" w:rsidP="00C86A17">
                            <w:pPr>
                              <w:jc w:val="both"/>
                              <w:rPr>
                                <w:sz w:val="20"/>
                                <w:szCs w:val="20"/>
                              </w:rPr>
                            </w:pPr>
                            <w:r w:rsidRPr="00160AA7">
                              <w:rPr>
                                <w:sz w:val="20"/>
                                <w:szCs w:val="20"/>
                              </w:rPr>
                              <w:t>With support from MAMPU, this coalition ha</w:t>
                            </w:r>
                            <w:r>
                              <w:rPr>
                                <w:sz w:val="20"/>
                                <w:szCs w:val="20"/>
                              </w:rPr>
                              <w:t>s</w:t>
                            </w:r>
                            <w:r w:rsidRPr="00160AA7">
                              <w:rPr>
                                <w:sz w:val="20"/>
                                <w:szCs w:val="20"/>
                              </w:rPr>
                              <w:t xml:space="preserve"> worked to pursue change at multiple levels. They have successfully established DESBUMI – at first in 18 villages, and subsequently in 43 further villages. The village-centred principles demonstrated through DESBUMI have subsequently been reflected in laws, regulations and other government policies at national and district levels.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133DE" id="_x0000_s1030" type="#_x0000_t202" style="position:absolute;left:0;text-align:left;margin-left:1pt;margin-top:34.85pt;width:459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">
                <v:textbox style="mso-fit-shape-to-text:t">
                  <w:txbxContent>
                    <w:p w14:paraId="5D74B5B0" w14:textId="77777777" w:rsidR="00551718" w:rsidRPr="00160AA7" w:rsidRDefault="00551718" w:rsidP="006E7ADE">
                      <w:pPr>
                        <w:pStyle w:val="Heading4"/>
                        <w:rPr>
                          <w:sz w:val="20"/>
                          <w:szCs w:val="20"/>
                        </w:rPr>
                      </w:pPr>
                      <w:r w:rsidRPr="00160AA7">
                        <w:rPr>
                          <w:sz w:val="20"/>
                          <w:szCs w:val="20"/>
                        </w:rPr>
                        <w:t>Box 1. Vertical networks: Migrant care</w:t>
                      </w:r>
                    </w:p>
                    <w:p w14:paraId="616AF8C0" w14:textId="77777777" w:rsidR="00551718" w:rsidRPr="00160AA7" w:rsidRDefault="00551718" w:rsidP="00C86A17">
                      <w:pPr>
                        <w:jc w:val="both"/>
                        <w:rPr>
                          <w:sz w:val="20"/>
                          <w:szCs w:val="20"/>
                        </w:rPr>
                      </w:pPr>
                      <w:r w:rsidRPr="00160AA7">
                        <w:rPr>
                          <w:sz w:val="20"/>
                          <w:szCs w:val="20"/>
                        </w:rPr>
                        <w:t>Migrant CARE identified highly centralized governance as a key factor affecting the quality of services for migrant workers. To address this, Migrant CARE proposed shifting service provision to the village level through a concept called ‘DESBUMI’ – an Indonesian abbreviation meaning “villages that care for migrant workers”. This would require legal and regulatory change at the national and local levels.</w:t>
                      </w:r>
                    </w:p>
                    <w:p w14:paraId="5FD5D974" w14:textId="77777777" w:rsidR="00551718" w:rsidRPr="00160AA7" w:rsidRDefault="00551718" w:rsidP="00C86A17">
                      <w:pPr>
                        <w:jc w:val="both"/>
                        <w:rPr>
                          <w:sz w:val="20"/>
                          <w:szCs w:val="20"/>
                        </w:rPr>
                      </w:pPr>
                      <w:r w:rsidRPr="00160AA7">
                        <w:rPr>
                          <w:sz w:val="20"/>
                          <w:szCs w:val="20"/>
                        </w:rPr>
                        <w:t>However, Migrant CARE had never worked extensively at the village level and possessed limited experience in grassroots community organising. Prior to engaging with MAMPU, Migrant CARE were most known for their advocacy at the national level. Migrant CARE’s proposal to MAMPU in 2013 identified a network of 7 CSOs in 5 provinces who would collaborate to address the ambitious reform agenda. These organisations had been active in migrant worker issues in their respective locales and brought experience at the village level. Individually, none could draw upon a significant national media presence or extensive links with Jakarta-based policy makers. But collectively, this network possessed the combination of strengths needed to address the reform agenda: advocacy experience and credibility on migrant worker issues, existing relationships among national level policy makers, a high media profile, and experience working at district and village levels.</w:t>
                      </w:r>
                    </w:p>
                    <w:p w14:paraId="2A043313" w14:textId="1F97C013" w:rsidR="00551718" w:rsidRPr="00160AA7" w:rsidRDefault="00551718" w:rsidP="00C86A17">
                      <w:pPr>
                        <w:jc w:val="both"/>
                        <w:rPr>
                          <w:sz w:val="20"/>
                          <w:szCs w:val="20"/>
                        </w:rPr>
                      </w:pPr>
                      <w:r w:rsidRPr="00160AA7">
                        <w:rPr>
                          <w:sz w:val="20"/>
                          <w:szCs w:val="20"/>
                        </w:rPr>
                        <w:t>With support from MAMPU, this coalition ha</w:t>
                      </w:r>
                      <w:r>
                        <w:rPr>
                          <w:sz w:val="20"/>
                          <w:szCs w:val="20"/>
                        </w:rPr>
                        <w:t>s</w:t>
                      </w:r>
                      <w:r w:rsidRPr="00160AA7">
                        <w:rPr>
                          <w:sz w:val="20"/>
                          <w:szCs w:val="20"/>
                        </w:rPr>
                        <w:t xml:space="preserve"> worked to pursue change at multiple levels. They have successfully established DESBUMI – at first in 18 villages, and subsequently in 43 further villages. The village-centred principles demonstrated through DESBUMI have subsequently been reflected in laws, regulations and other government policies at national and district levels.</w:t>
                      </w:r>
                    </w:p>
                  </w:txbxContent>
                </v:textbox>
                <w10:wrap type="topAndBottom"/>
              </v:shape>
            </w:pict>
          </mc:Fallback>
        </mc:AlternateContent>
      </w:r>
      <w:r>
        <w:t xml:space="preserve">A particular feature of </w:t>
      </w:r>
      <w:r w:rsidR="00B41CAC">
        <w:t>MAMPU</w:t>
      </w:r>
      <w:r>
        <w:t xml:space="preserve"> </w:t>
      </w:r>
      <w:r w:rsidR="00C9605B">
        <w:t>capacity</w:t>
      </w:r>
      <w:r>
        <w:t xml:space="preserve"> </w:t>
      </w:r>
      <w:r w:rsidR="00C9605B">
        <w:t>development</w:t>
      </w:r>
      <w:r>
        <w:t xml:space="preserve"> has been support to develop </w:t>
      </w:r>
      <w:r w:rsidR="00C9605B">
        <w:t>vertical</w:t>
      </w:r>
      <w:r>
        <w:t xml:space="preserve"> coalitions</w:t>
      </w:r>
      <w:r w:rsidR="00C9605B">
        <w:t>, extending reach and effectiveness (</w:t>
      </w:r>
      <w:r w:rsidR="00BD0679">
        <w:rPr>
          <w:u w:val="single"/>
        </w:rPr>
        <w:t>see Box 1</w:t>
      </w:r>
      <w:r w:rsidR="00C9605B">
        <w:t>)</w:t>
      </w:r>
      <w:r>
        <w:t xml:space="preserve">. </w:t>
      </w:r>
    </w:p>
    <w:p w14:paraId="2E5B7D57" w14:textId="68AC2DB8" w:rsidR="00EF5692" w:rsidRDefault="00E917B4" w:rsidP="001C48E2">
      <w:pPr>
        <w:jc w:val="both"/>
      </w:pPr>
      <w:r>
        <w:t>Notwithstanding this progress, some challenges remain. Capacity across partners is variable and through their responses to individual interviews, partners demonstrat</w:t>
      </w:r>
      <w:r w:rsidR="00F212B2">
        <w:t>ed</w:t>
      </w:r>
      <w:r>
        <w:t xml:space="preserve"> v</w:t>
      </w:r>
      <w:r w:rsidR="00F212B2">
        <w:t xml:space="preserve">arying </w:t>
      </w:r>
      <w:r>
        <w:t xml:space="preserve">capacity to address changes in context and </w:t>
      </w:r>
      <w:r w:rsidR="00F212B2">
        <w:t xml:space="preserve">the </w:t>
      </w:r>
      <w:r>
        <w:t xml:space="preserve">emerging challenges for women’s empowerment and gender equality. </w:t>
      </w:r>
      <w:r w:rsidR="00EF5692">
        <w:t>The MAMPU internal monitoring shows that organisations have experienced very different trajectories of development.</w:t>
      </w:r>
    </w:p>
    <w:p w14:paraId="310D6F91" w14:textId="0CC3371F" w:rsidR="00A71AB6" w:rsidRDefault="00E917B4" w:rsidP="001C48E2">
      <w:pPr>
        <w:jc w:val="both"/>
      </w:pPr>
      <w:r>
        <w:t xml:space="preserve">In some </w:t>
      </w:r>
      <w:r w:rsidR="00B41CAC">
        <w:t>situations,</w:t>
      </w:r>
      <w:r>
        <w:t xml:space="preserve"> partners existing structures </w:t>
      </w:r>
      <w:r w:rsidR="00F212B2">
        <w:t>made</w:t>
      </w:r>
      <w:r>
        <w:t xml:space="preserve"> it more difficult for them to nimbly respond to opportunities</w:t>
      </w:r>
      <w:r w:rsidR="00F212B2">
        <w:t xml:space="preserve">. </w:t>
      </w:r>
      <w:r w:rsidR="00DD2E03">
        <w:t xml:space="preserve">Several </w:t>
      </w:r>
      <w:r w:rsidR="0089556C">
        <w:t xml:space="preserve">have </w:t>
      </w:r>
      <w:r w:rsidR="00DD2E03">
        <w:t xml:space="preserve">had to deal with external challenges to their mandate </w:t>
      </w:r>
      <w:r w:rsidR="0089556C">
        <w:t xml:space="preserve">or </w:t>
      </w:r>
      <w:r w:rsidR="00DD2E03">
        <w:t xml:space="preserve">approach which </w:t>
      </w:r>
      <w:r w:rsidR="00EB1747">
        <w:t>have</w:t>
      </w:r>
      <w:r w:rsidR="00DD2E03">
        <w:t xml:space="preserve"> limited their progress towards </w:t>
      </w:r>
      <w:r w:rsidR="0089556C">
        <w:t xml:space="preserve">becoming </w:t>
      </w:r>
      <w:r w:rsidR="00DD2E03">
        <w:t>more sustained and structured organisations.</w:t>
      </w:r>
      <w:r w:rsidR="008C7BA5">
        <w:rPr>
          <w:rStyle w:val="FootnoteReference"/>
        </w:rPr>
        <w:footnoteReference w:id="28"/>
      </w:r>
      <w:r w:rsidR="00DD2E03">
        <w:t xml:space="preserve"> In some </w:t>
      </w:r>
      <w:r w:rsidR="00B41CAC">
        <w:t>situations,</w:t>
      </w:r>
      <w:r w:rsidR="00DD2E03">
        <w:t xml:space="preserve"> partners own structures have impacted the degree to which they’re able to communicate and build capacity fro</w:t>
      </w:r>
      <w:r w:rsidR="0089556C">
        <w:t>m n</w:t>
      </w:r>
      <w:r w:rsidR="00DD2E03">
        <w:t>ational through to subnational.</w:t>
      </w:r>
      <w:r w:rsidR="00BE4A09">
        <w:rPr>
          <w:rStyle w:val="FootnoteReference"/>
        </w:rPr>
        <w:footnoteReference w:id="29"/>
      </w:r>
    </w:p>
    <w:p w14:paraId="6B7DD5FB" w14:textId="7156445A" w:rsidR="00834605" w:rsidRDefault="00DD2E03" w:rsidP="001C48E2">
      <w:pPr>
        <w:jc w:val="both"/>
      </w:pPr>
      <w:r>
        <w:t>Interaction between partners is a considerable strength and also a challenge for the program</w:t>
      </w:r>
      <w:r w:rsidR="0089556C">
        <w:t>. T</w:t>
      </w:r>
      <w:r>
        <w:t xml:space="preserve">he development of a network </w:t>
      </w:r>
      <w:r w:rsidR="0089556C">
        <w:t>of</w:t>
      </w:r>
      <w:r>
        <w:t xml:space="preserve"> organisations concerned with women’s empowerment and gender equality was identified in itself as a</w:t>
      </w:r>
      <w:r w:rsidR="00516285">
        <w:t>n</w:t>
      </w:r>
      <w:r>
        <w:t xml:space="preserve"> achievement by </w:t>
      </w:r>
      <w:r w:rsidR="0089556C">
        <w:t>many</w:t>
      </w:r>
      <w:r>
        <w:t xml:space="preserve"> respondents to the ISR.</w:t>
      </w:r>
      <w:r w:rsidR="0089556C">
        <w:t xml:space="preserve"> S</w:t>
      </w:r>
      <w:r>
        <w:t>everal respondents identified that</w:t>
      </w:r>
      <w:r w:rsidR="0089556C">
        <w:t xml:space="preserve"> </w:t>
      </w:r>
      <w:r w:rsidR="00B41CAC">
        <w:t>MAMPU</w:t>
      </w:r>
      <w:r w:rsidR="0089556C">
        <w:t xml:space="preserve"> had</w:t>
      </w:r>
      <w:r>
        <w:t xml:space="preserve"> created a unique and valuable </w:t>
      </w:r>
      <w:r w:rsidR="0089556C">
        <w:t>‘</w:t>
      </w:r>
      <w:r>
        <w:t>space</w:t>
      </w:r>
      <w:r w:rsidR="0089556C">
        <w:t>’</w:t>
      </w:r>
      <w:r>
        <w:t xml:space="preserve"> for women’s empowerment in Indonesia. By bringing together </w:t>
      </w:r>
      <w:r w:rsidR="0089556C">
        <w:t>diverse</w:t>
      </w:r>
      <w:r>
        <w:t xml:space="preserve"> organisations in </w:t>
      </w:r>
      <w:r w:rsidR="00516285">
        <w:t>a</w:t>
      </w:r>
      <w:r>
        <w:t xml:space="preserve"> way</w:t>
      </w:r>
      <w:r w:rsidR="00516285">
        <w:t xml:space="preserve"> </w:t>
      </w:r>
      <w:r>
        <w:t>which respect</w:t>
      </w:r>
      <w:r w:rsidR="0089556C">
        <w:t>ed</w:t>
      </w:r>
      <w:r>
        <w:t xml:space="preserve"> the</w:t>
      </w:r>
      <w:r w:rsidR="0089556C">
        <w:t>ir</w:t>
      </w:r>
      <w:r>
        <w:t xml:space="preserve"> various strengths</w:t>
      </w:r>
      <w:r w:rsidR="0089556C">
        <w:t>, and</w:t>
      </w:r>
      <w:r>
        <w:t xml:space="preserve"> promoted dialogue and mutual learning, respondents suggested that </w:t>
      </w:r>
      <w:r w:rsidR="00B41CAC">
        <w:t>MAMPU</w:t>
      </w:r>
      <w:r w:rsidR="0089556C">
        <w:t xml:space="preserve"> </w:t>
      </w:r>
      <w:r w:rsidR="00EB4C07">
        <w:t>has</w:t>
      </w:r>
      <w:r>
        <w:t xml:space="preserve"> contributed to development of th</w:t>
      </w:r>
      <w:r w:rsidR="00EB4C07">
        <w:t>e women’s movement in Indonesia</w:t>
      </w:r>
      <w:r w:rsidR="00834605">
        <w:t>.</w:t>
      </w:r>
    </w:p>
    <w:p w14:paraId="5586E2E3" w14:textId="15891FF7" w:rsidR="00A65B44" w:rsidRDefault="00A65B44" w:rsidP="001C48E2">
      <w:pPr>
        <w:jc w:val="both"/>
      </w:pPr>
      <w:r>
        <w:t xml:space="preserve">This has not been a simple process. </w:t>
      </w:r>
      <w:r w:rsidR="00DD2E03">
        <w:t xml:space="preserve"> Partners</w:t>
      </w:r>
      <w:r w:rsidR="00160E5D">
        <w:t xml:space="preserve"> are very diverse and approach the broad theme of women’s empowerment from different perspectives. Negotiating and bridging those differences has been a major achievement for the program. </w:t>
      </w:r>
      <w:r>
        <w:t>While partners have been grouped together under themes</w:t>
      </w:r>
      <w:r w:rsidR="00AF6769">
        <w:t>,</w:t>
      </w:r>
      <w:r>
        <w:t xml:space="preserve"> this has not automatically </w:t>
      </w:r>
      <w:r w:rsidR="00B41CAC">
        <w:t>enabled</w:t>
      </w:r>
      <w:r>
        <w:t xml:space="preserve"> them to work together</w:t>
      </w:r>
      <w:r w:rsidR="00AF6769">
        <w:t xml:space="preserve"> and</w:t>
      </w:r>
      <w:r>
        <w:t xml:space="preserve"> partners pointed to the </w:t>
      </w:r>
      <w:r w:rsidR="00AF6769">
        <w:t>ongoing challenge of</w:t>
      </w:r>
      <w:r>
        <w:t xml:space="preserve"> learning to cooperate.</w:t>
      </w:r>
    </w:p>
    <w:p w14:paraId="32BAFD1A" w14:textId="3B5438A5" w:rsidR="001125C7" w:rsidRDefault="001125C7" w:rsidP="001C48E2">
      <w:pPr>
        <w:jc w:val="both"/>
      </w:pPr>
      <w:r>
        <w:t>There were consistent recommendations from several stakeholders, both those associated with the program and others who were independent, that this approach of collaboration and mutual learning should be maintained between existing partner organisations</w:t>
      </w:r>
      <w:r w:rsidR="00EB1747">
        <w:t>,</w:t>
      </w:r>
      <w:r>
        <w:t xml:space="preserve"> and extended to others working for women’s empowerment and gender equality in Indonesia</w:t>
      </w:r>
      <w:r w:rsidR="00516285">
        <w:t xml:space="preserve">. This would enable them to more </w:t>
      </w:r>
      <w:r w:rsidR="00516285" w:rsidRPr="00F20952">
        <w:t xml:space="preserve">comprehensively </w:t>
      </w:r>
      <w:r w:rsidRPr="00F20952">
        <w:t xml:space="preserve">address </w:t>
      </w:r>
      <w:r w:rsidR="00516285" w:rsidRPr="00F20952">
        <w:t xml:space="preserve">the </w:t>
      </w:r>
      <w:r w:rsidRPr="00F20952">
        <w:t xml:space="preserve">critical issues and </w:t>
      </w:r>
      <w:r w:rsidR="00516285" w:rsidRPr="00F20952">
        <w:t xml:space="preserve">emerging </w:t>
      </w:r>
      <w:r w:rsidR="00F20952" w:rsidRPr="00F20952">
        <w:t xml:space="preserve">social and political </w:t>
      </w:r>
      <w:r w:rsidR="00516285" w:rsidRPr="00F20952">
        <w:t xml:space="preserve">changes </w:t>
      </w:r>
      <w:r w:rsidRPr="00F20952">
        <w:t xml:space="preserve">and the implications </w:t>
      </w:r>
      <w:r w:rsidR="00F20952" w:rsidRPr="00F20952">
        <w:t xml:space="preserve">of these </w:t>
      </w:r>
      <w:r w:rsidRPr="00F20952">
        <w:t xml:space="preserve">nationally and sub nationally. </w:t>
      </w:r>
    </w:p>
    <w:p w14:paraId="55B013E0" w14:textId="29CEB95E" w:rsidR="00D07989" w:rsidRDefault="00D07989" w:rsidP="008B18EF">
      <w:pPr>
        <w:pStyle w:val="ListParagraph"/>
        <w:numPr>
          <w:ilvl w:val="2"/>
          <w:numId w:val="19"/>
        </w:numPr>
        <w:jc w:val="both"/>
        <w:outlineLvl w:val="2"/>
        <w:rPr>
          <w:color w:val="2E74B5" w:themeColor="accent1" w:themeShade="BF"/>
          <w:sz w:val="24"/>
          <w:szCs w:val="24"/>
        </w:rPr>
      </w:pPr>
      <w:bookmarkStart w:id="17" w:name="_Toc21523897"/>
      <w:r w:rsidRPr="00D07989">
        <w:rPr>
          <w:color w:val="2E74B5" w:themeColor="accent1" w:themeShade="BF"/>
          <w:sz w:val="24"/>
          <w:szCs w:val="24"/>
        </w:rPr>
        <w:t xml:space="preserve">EOPO </w:t>
      </w:r>
      <w:r>
        <w:rPr>
          <w:color w:val="2E74B5" w:themeColor="accent1" w:themeShade="BF"/>
          <w:sz w:val="24"/>
          <w:szCs w:val="24"/>
        </w:rPr>
        <w:t>2</w:t>
      </w:r>
      <w:r w:rsidRPr="00D07989">
        <w:rPr>
          <w:color w:val="2E74B5" w:themeColor="accent1" w:themeShade="BF"/>
          <w:sz w:val="24"/>
          <w:szCs w:val="24"/>
        </w:rPr>
        <w:t xml:space="preserve"> – Increased </w:t>
      </w:r>
      <w:r>
        <w:rPr>
          <w:color w:val="2E74B5" w:themeColor="accent1" w:themeShade="BF"/>
          <w:sz w:val="24"/>
          <w:szCs w:val="24"/>
        </w:rPr>
        <w:t>women’s voice and influence on multiple levels</w:t>
      </w:r>
      <w:bookmarkEnd w:id="17"/>
    </w:p>
    <w:p w14:paraId="1E7D4E8D" w14:textId="03C01225" w:rsidR="00106006" w:rsidRDefault="007D5EA8" w:rsidP="001C48E2">
      <w:pPr>
        <w:ind w:left="360"/>
        <w:jc w:val="both"/>
      </w:pPr>
      <w:r w:rsidRPr="00496706">
        <w:rPr>
          <w:b/>
        </w:rPr>
        <w:t>Finding 1:</w:t>
      </w:r>
      <w:r w:rsidR="00106006" w:rsidRPr="00106006">
        <w:t xml:space="preserve"> </w:t>
      </w:r>
      <w:r w:rsidR="00106006">
        <w:t>Between October 2016 and March 2018, 752 additional local women’s groups were initiated as a result of MAMPU partner activity.</w:t>
      </w:r>
      <w:r w:rsidR="00106006">
        <w:rPr>
          <w:rStyle w:val="FootnoteReference"/>
        </w:rPr>
        <w:footnoteReference w:id="30"/>
      </w:r>
      <w:r w:rsidR="00106006">
        <w:t xml:space="preserve"> Overall 1300 women’s groups have been initiated directly as a result of the MAMPU support, working with more than 32,000 women.</w:t>
      </w:r>
      <w:r w:rsidR="00106006">
        <w:rPr>
          <w:rStyle w:val="FootnoteReference"/>
        </w:rPr>
        <w:footnoteReference w:id="31"/>
      </w:r>
      <w:r w:rsidR="00106006">
        <w:t xml:space="preserve"> </w:t>
      </w:r>
    </w:p>
    <w:p w14:paraId="3D72C089" w14:textId="0EE928AA" w:rsidR="00106006" w:rsidRDefault="007D5EA8" w:rsidP="001C48E2">
      <w:pPr>
        <w:ind w:left="360"/>
        <w:jc w:val="both"/>
        <w:rPr>
          <w:b/>
        </w:rPr>
      </w:pPr>
      <w:r w:rsidRPr="00106006">
        <w:rPr>
          <w:b/>
        </w:rPr>
        <w:t xml:space="preserve">Finding 2: </w:t>
      </w:r>
      <w:r w:rsidR="00294FC3" w:rsidRPr="00512F66">
        <w:t xml:space="preserve">MAMPU partners are contributing to national and sub-national level policy </w:t>
      </w:r>
      <w:r w:rsidR="00512F66" w:rsidRPr="00512F66">
        <w:t>change</w:t>
      </w:r>
      <w:r w:rsidR="00294FC3" w:rsidRPr="00512F66">
        <w:t xml:space="preserve">, </w:t>
      </w:r>
      <w:r w:rsidR="00512F66" w:rsidRPr="00512F66">
        <w:t>resulting</w:t>
      </w:r>
      <w:r w:rsidR="00294FC3" w:rsidRPr="00512F66">
        <w:t xml:space="preserve"> in new laws that </w:t>
      </w:r>
      <w:r w:rsidR="00512F66" w:rsidRPr="00512F66">
        <w:t>impact</w:t>
      </w:r>
      <w:r w:rsidR="00294FC3" w:rsidRPr="00512F66">
        <w:t xml:space="preserve"> the </w:t>
      </w:r>
      <w:r w:rsidR="00512F66" w:rsidRPr="00512F66">
        <w:t>conditions</w:t>
      </w:r>
      <w:r w:rsidR="00294FC3" w:rsidRPr="00512F66">
        <w:t xml:space="preserve"> of women.</w:t>
      </w:r>
      <w:r w:rsidR="00294FC3">
        <w:rPr>
          <w:b/>
        </w:rPr>
        <w:t xml:space="preserve"> </w:t>
      </w:r>
    </w:p>
    <w:p w14:paraId="21C9ADF8" w14:textId="4347D943" w:rsidR="00512F66" w:rsidRPr="00104312" w:rsidRDefault="00512F66" w:rsidP="001C48E2">
      <w:pPr>
        <w:ind w:left="360"/>
        <w:jc w:val="both"/>
      </w:pPr>
      <w:r>
        <w:rPr>
          <w:b/>
        </w:rPr>
        <w:t>Finding 3:</w:t>
      </w:r>
      <w:r>
        <w:t xml:space="preserve"> The contribution of MAMPU partners to women’s voice and influence goes beyond the thematic areas, particularly at sub-national level.</w:t>
      </w:r>
    </w:p>
    <w:p w14:paraId="53317C5E" w14:textId="3666C611" w:rsidR="007D5EA8" w:rsidRPr="00BB0517" w:rsidRDefault="00512F66" w:rsidP="00512F66">
      <w:pPr>
        <w:pStyle w:val="Heading4"/>
      </w:pPr>
      <w:r w:rsidRPr="00BB0517">
        <w:t>Discussion</w:t>
      </w:r>
    </w:p>
    <w:p w14:paraId="0DBF911F" w14:textId="2719240B" w:rsidR="00791B6D" w:rsidRDefault="00060CA1" w:rsidP="001C48E2">
      <w:pPr>
        <w:jc w:val="both"/>
      </w:pPr>
      <w:r w:rsidRPr="00BB0517">
        <w:t>There is strong internal</w:t>
      </w:r>
      <w:r>
        <w:t xml:space="preserve"> and independent evidence of </w:t>
      </w:r>
      <w:r w:rsidR="00B41CAC">
        <w:t>MAMPU</w:t>
      </w:r>
      <w:r>
        <w:t xml:space="preserve"> </w:t>
      </w:r>
      <w:r w:rsidR="008F22F6">
        <w:t>P</w:t>
      </w:r>
      <w:r>
        <w:t xml:space="preserve">hase 2 achievement against this outcome. </w:t>
      </w:r>
      <w:r w:rsidR="00966D0A">
        <w:t xml:space="preserve">It appears to </w:t>
      </w:r>
      <w:r w:rsidR="00834605">
        <w:t>be</w:t>
      </w:r>
      <w:r w:rsidR="00966D0A">
        <w:t xml:space="preserve"> where significant change has occurred through </w:t>
      </w:r>
      <w:r w:rsidR="00B41CAC">
        <w:t>MAMPU</w:t>
      </w:r>
      <w:r w:rsidR="00966D0A">
        <w:t xml:space="preserve">, especially in Phase 2. </w:t>
      </w:r>
    </w:p>
    <w:p w14:paraId="6DD63FFE" w14:textId="6B07C4DE" w:rsidR="009875DF" w:rsidRDefault="00791B6D" w:rsidP="001C48E2">
      <w:pPr>
        <w:jc w:val="both"/>
      </w:pPr>
      <w:r>
        <w:t xml:space="preserve">Internal </w:t>
      </w:r>
      <w:r w:rsidR="00B41CAC">
        <w:t>MAMPU</w:t>
      </w:r>
      <w:r w:rsidR="00966D0A">
        <w:t xml:space="preserve"> </w:t>
      </w:r>
      <w:r>
        <w:t xml:space="preserve">monitoring of women’s individual experience demonstrates </w:t>
      </w:r>
      <w:r w:rsidR="00EE7F50">
        <w:t xml:space="preserve">consistent </w:t>
      </w:r>
      <w:r>
        <w:t>reference to changes in the</w:t>
      </w:r>
      <w:r w:rsidR="00EE7F50">
        <w:t>ir</w:t>
      </w:r>
      <w:r>
        <w:t xml:space="preserve"> knowledge and awareness, frequentl</w:t>
      </w:r>
      <w:r w:rsidR="00EE7F50">
        <w:t>y linked by them to increase</w:t>
      </w:r>
      <w:r w:rsidR="008F22F6">
        <w:t>d</w:t>
      </w:r>
      <w:r w:rsidR="00EE7F50">
        <w:t xml:space="preserve"> confidence </w:t>
      </w:r>
      <w:r>
        <w:t xml:space="preserve">and </w:t>
      </w:r>
      <w:r w:rsidR="00EE7F50">
        <w:t>‘</w:t>
      </w:r>
      <w:r>
        <w:t>agency</w:t>
      </w:r>
      <w:r w:rsidR="00EE7F50">
        <w:t>’</w:t>
      </w:r>
      <w:r>
        <w:t>.</w:t>
      </w:r>
      <w:r w:rsidR="00966D0A">
        <w:rPr>
          <w:rStyle w:val="FootnoteReference"/>
        </w:rPr>
        <w:footnoteReference w:id="32"/>
      </w:r>
      <w:r w:rsidR="00966D0A">
        <w:t xml:space="preserve"> I</w:t>
      </w:r>
      <w:r>
        <w:t xml:space="preserve">ndependent studies also identify considerable achievement under this objective. </w:t>
      </w:r>
      <w:r w:rsidR="00B41CAC">
        <w:t>Specifically,</w:t>
      </w:r>
      <w:r>
        <w:t xml:space="preserve"> in thematic area t</w:t>
      </w:r>
      <w:r w:rsidR="00EE7F50">
        <w:t>w</w:t>
      </w:r>
      <w:r>
        <w:t>o,</w:t>
      </w:r>
      <w:r w:rsidR="003637D6">
        <w:t xml:space="preserve"> independent study has found that women have more voice </w:t>
      </w:r>
      <w:r w:rsidR="00EE7F50">
        <w:t>and confidence</w:t>
      </w:r>
      <w:r w:rsidR="00512F66">
        <w:t>,</w:t>
      </w:r>
      <w:r w:rsidR="00EE7F50">
        <w:t xml:space="preserve"> </w:t>
      </w:r>
      <w:r w:rsidR="003637D6">
        <w:t xml:space="preserve">and are demonstrating </w:t>
      </w:r>
      <w:r w:rsidR="00EE7F50">
        <w:t>this in their increased interaction</w:t>
      </w:r>
      <w:r w:rsidR="003637D6">
        <w:t xml:space="preserve"> at local village and district level</w:t>
      </w:r>
      <w:r w:rsidR="00EE7F50">
        <w:t xml:space="preserve"> and in</w:t>
      </w:r>
      <w:r w:rsidR="003637D6">
        <w:t xml:space="preserve"> interaction </w:t>
      </w:r>
      <w:r w:rsidR="00EE7F50">
        <w:t xml:space="preserve">with </w:t>
      </w:r>
      <w:r w:rsidR="003637D6">
        <w:t>private sector stakeholders. That same study indicates that shi</w:t>
      </w:r>
      <w:r w:rsidR="00EE7F50">
        <w:t>fts</w:t>
      </w:r>
      <w:r w:rsidR="003637D6">
        <w:t xml:space="preserve"> in agency</w:t>
      </w:r>
      <w:r w:rsidR="00EE7F50">
        <w:t xml:space="preserve"> are evident in intra-</w:t>
      </w:r>
      <w:r w:rsidR="003637D6">
        <w:t xml:space="preserve">household relationships with positive change in decision-making and sharing </w:t>
      </w:r>
      <w:r w:rsidR="00EE7F50">
        <w:t xml:space="preserve">of </w:t>
      </w:r>
      <w:r w:rsidR="003637D6">
        <w:t>labour within the household.</w:t>
      </w:r>
      <w:r w:rsidR="00AF6769">
        <w:rPr>
          <w:rStyle w:val="FootnoteReference"/>
        </w:rPr>
        <w:footnoteReference w:id="33"/>
      </w:r>
    </w:p>
    <w:p w14:paraId="1EA2EE3B" w14:textId="36B4FF58" w:rsidR="00A65AF2" w:rsidRDefault="003637D6" w:rsidP="001C48E2">
      <w:pPr>
        <w:jc w:val="both"/>
      </w:pPr>
      <w:r>
        <w:t>This independent study</w:t>
      </w:r>
      <w:r w:rsidR="00EE7F50">
        <w:t>,</w:t>
      </w:r>
      <w:r>
        <w:t xml:space="preserve"> together with the verification undertaken by the ISR team</w:t>
      </w:r>
      <w:r w:rsidR="002F59A9">
        <w:t xml:space="preserve"> (</w:t>
      </w:r>
      <w:r w:rsidR="00C73F93">
        <w:rPr>
          <w:u w:val="single"/>
        </w:rPr>
        <w:t>see Box 2 &amp; 3</w:t>
      </w:r>
      <w:r w:rsidR="002F59A9">
        <w:t>)</w:t>
      </w:r>
      <w:r w:rsidR="00EE7F50">
        <w:t>,</w:t>
      </w:r>
      <w:r>
        <w:t xml:space="preserve"> indicates that</w:t>
      </w:r>
      <w:r w:rsidR="00EE7F50">
        <w:t xml:space="preserve"> </w:t>
      </w:r>
      <w:r w:rsidR="00B41CAC">
        <w:t>MAMPU</w:t>
      </w:r>
      <w:r w:rsidR="00241B6F">
        <w:t xml:space="preserve"> </w:t>
      </w:r>
      <w:r w:rsidR="00EE7F50">
        <w:t xml:space="preserve">partners have </w:t>
      </w:r>
      <w:r>
        <w:t xml:space="preserve">made use of the opportunities available under </w:t>
      </w:r>
      <w:r w:rsidR="00EE7F50">
        <w:t xml:space="preserve">Government of Indonesia </w:t>
      </w:r>
      <w:r>
        <w:t xml:space="preserve">decentralisation and the enactment of the </w:t>
      </w:r>
      <w:r w:rsidR="00EE7F50">
        <w:t xml:space="preserve">Village Law </w:t>
      </w:r>
      <w:r>
        <w:t>in Indonesia</w:t>
      </w:r>
      <w:r w:rsidR="00EE7F50">
        <w:t>, to empower women</w:t>
      </w:r>
      <w:r w:rsidR="003956AD">
        <w:t xml:space="preserve"> and influence local decision-making. </w:t>
      </w:r>
      <w:r w:rsidR="00BF5385">
        <w:t>Elections provide space for civil society to connect leaders with their constituents. For example, BAKTI Makassar has developed a particularly effective model for this. In the recess period BAKTI facilitates dialogue between constituents and leaders about the formulation of policies and areas of public strategic interest. This has been effective in influencing legislative authority and supporting local democratic process.</w:t>
      </w:r>
      <w:r w:rsidR="00BF5385" w:rsidRPr="00BF5385">
        <w:rPr>
          <w:noProof/>
          <w:lang w:eastAsia="en-AU"/>
        </w:rPr>
        <w:t xml:space="preserve"> </w:t>
      </w:r>
    </w:p>
    <w:p w14:paraId="716710E7" w14:textId="2107BFB3" w:rsidR="00BF5385" w:rsidRDefault="00BF5385" w:rsidP="00BF5385">
      <w:r w:rsidRPr="00834605">
        <w:rPr>
          <w:noProof/>
          <w:lang w:eastAsia="en-AU"/>
        </w:rPr>
        <mc:AlternateContent>
          <mc:Choice Requires="wps">
            <w:drawing>
              <wp:inline distT="0" distB="0" distL="0" distR="0" wp14:anchorId="0C1C8756" wp14:editId="52A49A93">
                <wp:extent cx="5765800" cy="1404620"/>
                <wp:effectExtent l="0" t="0" r="2540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solidFill>
                          <a:srgbClr val="FFFFFF"/>
                        </a:solidFill>
                        <a:ln w="9525">
                          <a:solidFill>
                            <a:srgbClr val="000000"/>
                          </a:solidFill>
                          <a:miter lim="800000"/>
                          <a:headEnd/>
                          <a:tailEnd/>
                        </a:ln>
                      </wps:spPr>
                      <wps:txbx>
                        <w:txbxContent>
                          <w:p w14:paraId="6DF185CB" w14:textId="77777777" w:rsidR="00551718" w:rsidRPr="00BA40E4" w:rsidRDefault="00551718" w:rsidP="00BF5385">
                            <w:pPr>
                              <w:pStyle w:val="Heading4"/>
                              <w:rPr>
                                <w:sz w:val="20"/>
                              </w:rPr>
                            </w:pPr>
                            <w:r w:rsidRPr="00BA40E4">
                              <w:rPr>
                                <w:sz w:val="20"/>
                              </w:rPr>
                              <w:t>Box 2. Influence in East Java</w:t>
                            </w:r>
                          </w:p>
                          <w:p w14:paraId="65A6A14C" w14:textId="79B7B7AB" w:rsidR="00551718" w:rsidRDefault="00551718" w:rsidP="001C48E2">
                            <w:pPr>
                              <w:pStyle w:val="NoSpacing"/>
                              <w:jc w:val="both"/>
                              <w:rPr>
                                <w:sz w:val="20"/>
                              </w:rPr>
                            </w:pPr>
                            <w:r w:rsidRPr="00C86A17">
                              <w:rPr>
                                <w:rStyle w:val="A7"/>
                                <w:i/>
                                <w:sz w:val="20"/>
                              </w:rPr>
                              <w:t>Kelomp</w:t>
                            </w:r>
                            <w:r w:rsidR="00C86A17" w:rsidRPr="00C86A17">
                              <w:rPr>
                                <w:rStyle w:val="A7"/>
                                <w:i/>
                                <w:sz w:val="20"/>
                              </w:rPr>
                              <w:t>o</w:t>
                            </w:r>
                            <w:r w:rsidRPr="00C86A17">
                              <w:rPr>
                                <w:rStyle w:val="A7"/>
                                <w:i/>
                                <w:sz w:val="20"/>
                              </w:rPr>
                              <w:t>k Peremp</w:t>
                            </w:r>
                            <w:r w:rsidR="00C86A17" w:rsidRPr="00C86A17">
                              <w:rPr>
                                <w:rStyle w:val="A7"/>
                                <w:i/>
                                <w:sz w:val="20"/>
                              </w:rPr>
                              <w:t>uan dan Sumber-Sumber Kehidupan</w:t>
                            </w:r>
                            <w:r w:rsidR="00C86A17">
                              <w:rPr>
                                <w:rStyle w:val="A7"/>
                                <w:sz w:val="20"/>
                              </w:rPr>
                              <w:t>/</w:t>
                            </w:r>
                            <w:r w:rsidRPr="00F541E0">
                              <w:rPr>
                                <w:rStyle w:val="A7"/>
                                <w:sz w:val="20"/>
                              </w:rPr>
                              <w:t xml:space="preserve">Women and Sources of Life Group </w:t>
                            </w:r>
                            <w:r>
                              <w:rPr>
                                <w:rStyle w:val="A7"/>
                              </w:rPr>
                              <w:t>(</w:t>
                            </w:r>
                            <w:r w:rsidRPr="00564674">
                              <w:rPr>
                                <w:sz w:val="20"/>
                              </w:rPr>
                              <w:t>KPS2K</w:t>
                            </w:r>
                            <w:r>
                              <w:rPr>
                                <w:sz w:val="20"/>
                              </w:rPr>
                              <w:t>)</w:t>
                            </w:r>
                            <w:r w:rsidRPr="00564674">
                              <w:rPr>
                                <w:sz w:val="20"/>
                              </w:rPr>
                              <w:t xml:space="preserve"> a local partner of KAPAL Perempuan, works in Gresik district in East Java, implementing a ‘Gender Watch’ program. This program monitors social protection, in particular the implementation of the National Health Insurance Scheme (JKN PBI). The program functions at district and village level. At the village level, woman field organizers manage the data collection. They are trained for this through the KPS2K Sekolah Perempuan (women's school). This training includes knowledge about issues such as determinants of poverty, access to basic services, the implications of child marriage, and so on. It also includes skills training in group organization and leadership and technical skills in participatory data and information gathering. Women who attend the school are mostly from marginalized groups including poor women, women headed households and people with disability. Through their training at the schools some of the women have begun to represent the needs of marginalized groups at district level dialogues. Others report that they have become local organizers and leaders.</w:t>
                            </w:r>
                          </w:p>
                          <w:p w14:paraId="180E023A" w14:textId="77777777" w:rsidR="00C86A17" w:rsidRPr="00564674" w:rsidRDefault="00C86A17" w:rsidP="001C48E2">
                            <w:pPr>
                              <w:pStyle w:val="NoSpacing"/>
                              <w:jc w:val="both"/>
                              <w:rPr>
                                <w:sz w:val="20"/>
                              </w:rPr>
                            </w:pPr>
                          </w:p>
                          <w:p w14:paraId="4486D7D2" w14:textId="45319C77" w:rsidR="00551718" w:rsidRPr="00564674" w:rsidRDefault="00551718" w:rsidP="001C48E2">
                            <w:pPr>
                              <w:pStyle w:val="NoSpacing"/>
                              <w:jc w:val="both"/>
                              <w:rPr>
                                <w:sz w:val="20"/>
                              </w:rPr>
                            </w:pPr>
                            <w:r w:rsidRPr="00564674">
                              <w:rPr>
                                <w:sz w:val="20"/>
                              </w:rPr>
                              <w:t xml:space="preserve">The district government has acknowledged the women’s schools as a strategy to reach the most marginalized groups, in particular poor women. The district has replicated </w:t>
                            </w:r>
                            <w:r>
                              <w:rPr>
                                <w:sz w:val="20"/>
                              </w:rPr>
                              <w:t xml:space="preserve">the </w:t>
                            </w:r>
                            <w:r w:rsidRPr="00564674">
                              <w:rPr>
                                <w:sz w:val="20"/>
                              </w:rPr>
                              <w:t xml:space="preserve">model </w:t>
                            </w:r>
                            <w:r>
                              <w:rPr>
                                <w:sz w:val="20"/>
                              </w:rPr>
                              <w:t>in</w:t>
                            </w:r>
                            <w:r w:rsidRPr="00564674">
                              <w:rPr>
                                <w:sz w:val="20"/>
                              </w:rPr>
                              <w:t xml:space="preserve"> other villages using its district budget. In October 2018, the district government received an award from the provincial government for innovation in outreach to marginalized groups through this strategy. This achievement will receive national and potentially international exposure as a result.</w:t>
                            </w:r>
                          </w:p>
                          <w:p w14:paraId="62A6215B" w14:textId="77777777" w:rsidR="00C86A17" w:rsidRDefault="00C86A17" w:rsidP="001C48E2">
                            <w:pPr>
                              <w:pStyle w:val="NoSpacing"/>
                              <w:jc w:val="both"/>
                              <w:rPr>
                                <w:sz w:val="20"/>
                              </w:rPr>
                            </w:pPr>
                          </w:p>
                          <w:p w14:paraId="04126CC2" w14:textId="5E89AC5C" w:rsidR="00551718" w:rsidRPr="00564674" w:rsidRDefault="00551718" w:rsidP="001C48E2">
                            <w:pPr>
                              <w:pStyle w:val="NoSpacing"/>
                              <w:jc w:val="both"/>
                              <w:rPr>
                                <w:sz w:val="20"/>
                              </w:rPr>
                            </w:pPr>
                            <w:r w:rsidRPr="00564674">
                              <w:rPr>
                                <w:sz w:val="20"/>
                              </w:rPr>
                              <w:t>This effective engagement with local government has been possible because of the long-standing dialogue between KPS2K and the local office of Family Planning, Women’s Empowerment and Child Protection and with local district leaders.</w:t>
                            </w:r>
                          </w:p>
                        </w:txbxContent>
                      </wps:txbx>
                      <wps:bodyPr rot="0" vert="horz" wrap="square" lIns="91440" tIns="45720" rIns="91440" bIns="45720" anchor="t" anchorCtr="0">
                        <a:spAutoFit/>
                      </wps:bodyPr>
                    </wps:wsp>
                  </a:graphicData>
                </a:graphic>
              </wp:inline>
            </w:drawing>
          </mc:Choice>
          <mc:Fallback>
            <w:pict>
              <v:shape w14:anchorId="0C1C8756" id="Text Box 2" o:spid="_x0000_s1031" type="#_x0000_t202" style="width:45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">
                <v:textbox style="mso-fit-shape-to-text:t">
                  <w:txbxContent>
                    <w:p w14:paraId="6DF185CB" w14:textId="77777777" w:rsidR="00551718" w:rsidRPr="00BA40E4" w:rsidRDefault="00551718" w:rsidP="00BF5385">
                      <w:pPr>
                        <w:pStyle w:val="Heading4"/>
                        <w:rPr>
                          <w:sz w:val="20"/>
                        </w:rPr>
                      </w:pPr>
                      <w:r w:rsidRPr="00BA40E4">
                        <w:rPr>
                          <w:sz w:val="20"/>
                        </w:rPr>
                        <w:t>Box 2. Influence in East Java</w:t>
                      </w:r>
                    </w:p>
                    <w:p w14:paraId="65A6A14C" w14:textId="79B7B7AB" w:rsidR="00551718" w:rsidRDefault="00551718" w:rsidP="001C48E2">
                      <w:pPr>
                        <w:pStyle w:val="NoSpacing"/>
                        <w:jc w:val="both"/>
                        <w:rPr>
                          <w:sz w:val="20"/>
                        </w:rPr>
                      </w:pPr>
                      <w:r w:rsidRPr="00C86A17">
                        <w:rPr>
                          <w:rStyle w:val="A7"/>
                          <w:i/>
                          <w:sz w:val="20"/>
                        </w:rPr>
                        <w:t>Kelomp</w:t>
                      </w:r>
                      <w:r w:rsidR="00C86A17" w:rsidRPr="00C86A17">
                        <w:rPr>
                          <w:rStyle w:val="A7"/>
                          <w:i/>
                          <w:sz w:val="20"/>
                        </w:rPr>
                        <w:t>o</w:t>
                      </w:r>
                      <w:r w:rsidRPr="00C86A17">
                        <w:rPr>
                          <w:rStyle w:val="A7"/>
                          <w:i/>
                          <w:sz w:val="20"/>
                        </w:rPr>
                        <w:t>k Peremp</w:t>
                      </w:r>
                      <w:r w:rsidR="00C86A17" w:rsidRPr="00C86A17">
                        <w:rPr>
                          <w:rStyle w:val="A7"/>
                          <w:i/>
                          <w:sz w:val="20"/>
                        </w:rPr>
                        <w:t>uan dan Sumber-Sumber Kehidupan</w:t>
                      </w:r>
                      <w:r w:rsidR="00C86A17">
                        <w:rPr>
                          <w:rStyle w:val="A7"/>
                          <w:sz w:val="20"/>
                        </w:rPr>
                        <w:t>/</w:t>
                      </w:r>
                      <w:r w:rsidRPr="00F541E0">
                        <w:rPr>
                          <w:rStyle w:val="A7"/>
                          <w:sz w:val="20"/>
                        </w:rPr>
                        <w:t xml:space="preserve">Women and Sources of Life Group </w:t>
                      </w:r>
                      <w:r>
                        <w:rPr>
                          <w:rStyle w:val="A7"/>
                        </w:rPr>
                        <w:t>(</w:t>
                      </w:r>
                      <w:r w:rsidRPr="00564674">
                        <w:rPr>
                          <w:sz w:val="20"/>
                        </w:rPr>
                        <w:t>KPS2K</w:t>
                      </w:r>
                      <w:r>
                        <w:rPr>
                          <w:sz w:val="20"/>
                        </w:rPr>
                        <w:t>)</w:t>
                      </w:r>
                      <w:r w:rsidRPr="00564674">
                        <w:rPr>
                          <w:sz w:val="20"/>
                        </w:rPr>
                        <w:t xml:space="preserve"> a local partner of KAPAL Perempuan, works in Gresik district in East Java, implementing a ‘Gender Watch’ program. This program monitors social protection, in particular the implementation of the National Health Insurance Scheme (JKN PBI). The program functions at district and village level. At the village level, woman field organizers manage the data collection. They are trained for this through the KPS2K Sekolah Perempuan (women's school). This training includes knowledge about issues such as determinants of poverty, access to basic services, the implications of child marriage, and so on. It also includes skills training in group organization and leadership and technical skills in participatory data and information gathering. Women who attend the school are mostly from marginalized groups including poor women, women headed households and people with disability. Through their training at the schools some of the women have begun to represent the needs of marginalized groups at district level dialogues. Others report that they have become local organizers and leaders.</w:t>
                      </w:r>
                    </w:p>
                    <w:p w14:paraId="180E023A" w14:textId="77777777" w:rsidR="00C86A17" w:rsidRPr="00564674" w:rsidRDefault="00C86A17" w:rsidP="001C48E2">
                      <w:pPr>
                        <w:pStyle w:val="NoSpacing"/>
                        <w:jc w:val="both"/>
                        <w:rPr>
                          <w:sz w:val="20"/>
                        </w:rPr>
                      </w:pPr>
                    </w:p>
                    <w:p w14:paraId="4486D7D2" w14:textId="45319C77" w:rsidR="00551718" w:rsidRPr="00564674" w:rsidRDefault="00551718" w:rsidP="001C48E2">
                      <w:pPr>
                        <w:pStyle w:val="NoSpacing"/>
                        <w:jc w:val="both"/>
                        <w:rPr>
                          <w:sz w:val="20"/>
                        </w:rPr>
                      </w:pPr>
                      <w:r w:rsidRPr="00564674">
                        <w:rPr>
                          <w:sz w:val="20"/>
                        </w:rPr>
                        <w:t xml:space="preserve">The district government has acknowledged the women’s schools as a strategy to reach the most marginalized groups, in particular poor women. The district has replicated </w:t>
                      </w:r>
                      <w:r>
                        <w:rPr>
                          <w:sz w:val="20"/>
                        </w:rPr>
                        <w:t xml:space="preserve">the </w:t>
                      </w:r>
                      <w:r w:rsidRPr="00564674">
                        <w:rPr>
                          <w:sz w:val="20"/>
                        </w:rPr>
                        <w:t xml:space="preserve">model </w:t>
                      </w:r>
                      <w:r>
                        <w:rPr>
                          <w:sz w:val="20"/>
                        </w:rPr>
                        <w:t>in</w:t>
                      </w:r>
                      <w:r w:rsidRPr="00564674">
                        <w:rPr>
                          <w:sz w:val="20"/>
                        </w:rPr>
                        <w:t xml:space="preserve"> other villages using its district budget. In October 2018, the district government received an award from the provincial government for innovation in outreach to marginalized groups through this strategy. This achievement will receive national and potentially international exposure as a result.</w:t>
                      </w:r>
                    </w:p>
                    <w:p w14:paraId="62A6215B" w14:textId="77777777" w:rsidR="00C86A17" w:rsidRDefault="00C86A17" w:rsidP="001C48E2">
                      <w:pPr>
                        <w:pStyle w:val="NoSpacing"/>
                        <w:jc w:val="both"/>
                        <w:rPr>
                          <w:sz w:val="20"/>
                        </w:rPr>
                      </w:pPr>
                    </w:p>
                    <w:p w14:paraId="04126CC2" w14:textId="5E89AC5C" w:rsidR="00551718" w:rsidRPr="00564674" w:rsidRDefault="00551718" w:rsidP="001C48E2">
                      <w:pPr>
                        <w:pStyle w:val="NoSpacing"/>
                        <w:jc w:val="both"/>
                        <w:rPr>
                          <w:sz w:val="20"/>
                        </w:rPr>
                      </w:pPr>
                      <w:r w:rsidRPr="00564674">
                        <w:rPr>
                          <w:sz w:val="20"/>
                        </w:rPr>
                        <w:t>This effective engagement with local government has been possible because of the long-standing dialogue between KPS2K and the local office of Family Planning, Women’s Empowerment and Child Protection and with local district leaders.</w:t>
                      </w:r>
                    </w:p>
                  </w:txbxContent>
                </v:textbox>
                <w10:anchorlock/>
              </v:shape>
            </w:pict>
          </mc:Fallback>
        </mc:AlternateContent>
      </w:r>
    </w:p>
    <w:p w14:paraId="7B335244" w14:textId="7DBF2929" w:rsidR="00586811" w:rsidRDefault="00C10F81" w:rsidP="001C48E2">
      <w:pPr>
        <w:jc w:val="both"/>
      </w:pPr>
      <w:r>
        <w:rPr>
          <w:noProof/>
          <w:lang w:eastAsia="en-AU"/>
        </w:rPr>
        <mc:AlternateContent>
          <mc:Choice Requires="wps">
            <w:drawing>
              <wp:anchor distT="45720" distB="45720" distL="114300" distR="114300" simplePos="0" relativeHeight="251689984" behindDoc="1" locked="0" layoutInCell="1" allowOverlap="1" wp14:anchorId="270AAE94" wp14:editId="413845B2">
                <wp:simplePos x="0" y="0"/>
                <wp:positionH relativeFrom="column">
                  <wp:posOffset>0</wp:posOffset>
                </wp:positionH>
                <wp:positionV relativeFrom="paragraph">
                  <wp:posOffset>770255</wp:posOffset>
                </wp:positionV>
                <wp:extent cx="5765800" cy="2438400"/>
                <wp:effectExtent l="0" t="0" r="25400" b="19050"/>
                <wp:wrapTight wrapText="bothSides">
                  <wp:wrapPolygon edited="0">
                    <wp:start x="0" y="0"/>
                    <wp:lineTo x="0" y="21600"/>
                    <wp:lineTo x="21624" y="21600"/>
                    <wp:lineTo x="2162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2438400"/>
                        </a:xfrm>
                        <a:prstGeom prst="rect">
                          <a:avLst/>
                        </a:prstGeom>
                        <a:solidFill>
                          <a:srgbClr val="FFFFFF"/>
                        </a:solidFill>
                        <a:ln w="9525">
                          <a:solidFill>
                            <a:srgbClr val="000000"/>
                          </a:solidFill>
                          <a:miter lim="800000"/>
                          <a:headEnd/>
                          <a:tailEnd/>
                        </a:ln>
                      </wps:spPr>
                      <wps:txbx>
                        <w:txbxContent>
                          <w:p w14:paraId="65D6B047" w14:textId="77777777" w:rsidR="00551718" w:rsidRPr="00BA40E4" w:rsidRDefault="00551718" w:rsidP="00564674">
                            <w:pPr>
                              <w:pStyle w:val="Heading4"/>
                              <w:rPr>
                                <w:sz w:val="20"/>
                              </w:rPr>
                            </w:pPr>
                            <w:r w:rsidRPr="00BA40E4">
                              <w:rPr>
                                <w:sz w:val="20"/>
                              </w:rPr>
                              <w:t>Box 3. Influence in West Sumatera</w:t>
                            </w:r>
                          </w:p>
                          <w:p w14:paraId="7835889A" w14:textId="382DBC83" w:rsidR="00551718" w:rsidRDefault="00551718" w:rsidP="001C48E2">
                            <w:pPr>
                              <w:pStyle w:val="NoSpacing"/>
                              <w:jc w:val="both"/>
                              <w:rPr>
                                <w:sz w:val="20"/>
                              </w:rPr>
                            </w:pPr>
                            <w:r w:rsidRPr="00F541E0">
                              <w:rPr>
                                <w:rFonts w:cstheme="minorHAnsi"/>
                                <w:color w:val="58595B"/>
                                <w:sz w:val="20"/>
                                <w:szCs w:val="20"/>
                              </w:rPr>
                              <w:t>Lembaga Pengkajian dan Pemberdayaan Masyarakat</w:t>
                            </w:r>
                            <w:r w:rsidRPr="00564674">
                              <w:rPr>
                                <w:sz w:val="20"/>
                              </w:rPr>
                              <w:t xml:space="preserve"> </w:t>
                            </w:r>
                            <w:r>
                              <w:rPr>
                                <w:sz w:val="20"/>
                              </w:rPr>
                              <w:t>(</w:t>
                            </w:r>
                            <w:r w:rsidRPr="00564674">
                              <w:rPr>
                                <w:sz w:val="20"/>
                              </w:rPr>
                              <w:t>LP2M</w:t>
                            </w:r>
                            <w:r>
                              <w:rPr>
                                <w:sz w:val="20"/>
                              </w:rPr>
                              <w:t xml:space="preserve">) </w:t>
                            </w:r>
                            <w:r w:rsidRPr="00564674">
                              <w:rPr>
                                <w:sz w:val="20"/>
                              </w:rPr>
                              <w:t>is a member of the Permampu consortium of CSOs, working in the Padang district. While its original focus was on economic empowerment, through field research it identified that additional issues for women were often related to sexual and reproductive health rights especially for young women. Related issues include child marriage, gender-based violence, unwanted pregnancy and lack of control for women over their own bodies.</w:t>
                            </w:r>
                          </w:p>
                          <w:p w14:paraId="4DA5BD3D" w14:textId="77777777" w:rsidR="00C86A17" w:rsidRPr="00564674" w:rsidRDefault="00C86A17" w:rsidP="001C48E2">
                            <w:pPr>
                              <w:pStyle w:val="NoSpacing"/>
                              <w:jc w:val="both"/>
                              <w:rPr>
                                <w:sz w:val="20"/>
                              </w:rPr>
                            </w:pPr>
                          </w:p>
                          <w:p w14:paraId="38C682F8" w14:textId="7AD5AB95" w:rsidR="00551718" w:rsidRPr="00564674" w:rsidRDefault="00551718" w:rsidP="001C48E2">
                            <w:pPr>
                              <w:pStyle w:val="NoSpacing"/>
                              <w:jc w:val="both"/>
                              <w:rPr>
                                <w:sz w:val="20"/>
                              </w:rPr>
                            </w:pPr>
                            <w:r w:rsidRPr="00564674">
                              <w:rPr>
                                <w:sz w:val="20"/>
                              </w:rPr>
                              <w:t>Communities in this location are strongly influenced by local culture and Islamic norms. LP2M therefor</w:t>
                            </w:r>
                            <w:r>
                              <w:rPr>
                                <w:sz w:val="20"/>
                              </w:rPr>
                              <w:t>e</w:t>
                            </w:r>
                            <w:r w:rsidRPr="00564674">
                              <w:rPr>
                                <w:sz w:val="20"/>
                              </w:rPr>
                              <w:t xml:space="preserve"> works closely with local formal and informal leaders including religious leaders and indigenous clan-based leaders. As a result of this there are now village regulations on women's and child protection.</w:t>
                            </w:r>
                          </w:p>
                          <w:p w14:paraId="329B23DC" w14:textId="35DD6FC2" w:rsidR="00551718" w:rsidRPr="00564674" w:rsidRDefault="00551718" w:rsidP="001C48E2">
                            <w:pPr>
                              <w:pStyle w:val="NoSpacing"/>
                              <w:jc w:val="both"/>
                              <w:rPr>
                                <w:sz w:val="20"/>
                              </w:rPr>
                            </w:pPr>
                            <w:r w:rsidRPr="00564674">
                              <w:rPr>
                                <w:sz w:val="20"/>
                              </w:rPr>
                              <w:t>LP2M encourages women's leadership and women's participation in formal organizations at the village and district level and at provincial level. It works with existing women's groups at village level and women farmer groups. It works in line with government organized groups and engages with relevant government offices</w:t>
                            </w:r>
                            <w:r>
                              <w:rPr>
                                <w:sz w:val="20"/>
                              </w:rPr>
                              <w:t xml:space="preserve"> and media. It has developed an </w:t>
                            </w:r>
                            <w:r w:rsidRPr="00564674">
                              <w:rPr>
                                <w:sz w:val="20"/>
                              </w:rPr>
                              <w:t xml:space="preserve">MoU with the Religious Affairs Office </w:t>
                            </w:r>
                            <w:r>
                              <w:rPr>
                                <w:sz w:val="20"/>
                              </w:rPr>
                              <w:t>to discourage child marriage.</w:t>
                            </w:r>
                            <w:r w:rsidRPr="00564674">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AE94" id="_x0000_s1032" type="#_x0000_t202" style="position:absolute;left:0;text-align:left;margin-left:0;margin-top:60.65pt;width:454pt;height:192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">
                <v:textbox>
                  <w:txbxContent>
                    <w:p w14:paraId="65D6B047" w14:textId="77777777" w:rsidR="00551718" w:rsidRPr="00BA40E4" w:rsidRDefault="00551718" w:rsidP="00564674">
                      <w:pPr>
                        <w:pStyle w:val="Heading4"/>
                        <w:rPr>
                          <w:sz w:val="20"/>
                        </w:rPr>
                      </w:pPr>
                      <w:r w:rsidRPr="00BA40E4">
                        <w:rPr>
                          <w:sz w:val="20"/>
                        </w:rPr>
                        <w:t>Box 3. Influence in West Sumatera</w:t>
                      </w:r>
                    </w:p>
                    <w:p w14:paraId="7835889A" w14:textId="382DBC83" w:rsidR="00551718" w:rsidRDefault="00551718" w:rsidP="001C48E2">
                      <w:pPr>
                        <w:pStyle w:val="NoSpacing"/>
                        <w:jc w:val="both"/>
                        <w:rPr>
                          <w:sz w:val="20"/>
                        </w:rPr>
                      </w:pPr>
                      <w:r w:rsidRPr="00F541E0">
                        <w:rPr>
                          <w:rFonts w:cstheme="minorHAnsi"/>
                          <w:color w:val="58595B"/>
                          <w:sz w:val="20"/>
                          <w:szCs w:val="20"/>
                        </w:rPr>
                        <w:t>Lembaga Pengkajian dan Pemberdayaan Masyarakat</w:t>
                      </w:r>
                      <w:r w:rsidRPr="00564674">
                        <w:rPr>
                          <w:sz w:val="20"/>
                        </w:rPr>
                        <w:t xml:space="preserve"> </w:t>
                      </w:r>
                      <w:r>
                        <w:rPr>
                          <w:sz w:val="20"/>
                        </w:rPr>
                        <w:t>(</w:t>
                      </w:r>
                      <w:r w:rsidRPr="00564674">
                        <w:rPr>
                          <w:sz w:val="20"/>
                        </w:rPr>
                        <w:t>LP2M</w:t>
                      </w:r>
                      <w:r>
                        <w:rPr>
                          <w:sz w:val="20"/>
                        </w:rPr>
                        <w:t xml:space="preserve">) </w:t>
                      </w:r>
                      <w:r w:rsidRPr="00564674">
                        <w:rPr>
                          <w:sz w:val="20"/>
                        </w:rPr>
                        <w:t>is a member of the Permampu consortium of CSOs, working in the Padang district. While its original focus was on economic empowerment, through field research it identified that additional issues for women were often related to sexual and reproductive health rights especially for young women. Related issues include child marriage, gender-based violence, unwanted pregnancy and lack of control for women over their own bodies.</w:t>
                      </w:r>
                    </w:p>
                    <w:p w14:paraId="4DA5BD3D" w14:textId="77777777" w:rsidR="00C86A17" w:rsidRPr="00564674" w:rsidRDefault="00C86A17" w:rsidP="001C48E2">
                      <w:pPr>
                        <w:pStyle w:val="NoSpacing"/>
                        <w:jc w:val="both"/>
                        <w:rPr>
                          <w:sz w:val="20"/>
                        </w:rPr>
                      </w:pPr>
                    </w:p>
                    <w:p w14:paraId="38C682F8" w14:textId="7AD5AB95" w:rsidR="00551718" w:rsidRPr="00564674" w:rsidRDefault="00551718" w:rsidP="001C48E2">
                      <w:pPr>
                        <w:pStyle w:val="NoSpacing"/>
                        <w:jc w:val="both"/>
                        <w:rPr>
                          <w:sz w:val="20"/>
                        </w:rPr>
                      </w:pPr>
                      <w:r w:rsidRPr="00564674">
                        <w:rPr>
                          <w:sz w:val="20"/>
                        </w:rPr>
                        <w:t>Communities in this location are strongly influenced by local culture and Islamic norms. LP2M therefor</w:t>
                      </w:r>
                      <w:r>
                        <w:rPr>
                          <w:sz w:val="20"/>
                        </w:rPr>
                        <w:t>e</w:t>
                      </w:r>
                      <w:r w:rsidRPr="00564674">
                        <w:rPr>
                          <w:sz w:val="20"/>
                        </w:rPr>
                        <w:t xml:space="preserve"> works closely with local formal and informal leaders including religious leaders and indigenous clan-based leaders. As a result of this there are now village regulations on women's and child protection.</w:t>
                      </w:r>
                    </w:p>
                    <w:p w14:paraId="329B23DC" w14:textId="35DD6FC2" w:rsidR="00551718" w:rsidRPr="00564674" w:rsidRDefault="00551718" w:rsidP="001C48E2">
                      <w:pPr>
                        <w:pStyle w:val="NoSpacing"/>
                        <w:jc w:val="both"/>
                        <w:rPr>
                          <w:sz w:val="20"/>
                        </w:rPr>
                      </w:pPr>
                      <w:r w:rsidRPr="00564674">
                        <w:rPr>
                          <w:sz w:val="20"/>
                        </w:rPr>
                        <w:t>LP2M encourages women's leadership and women's participation in formal organizations at the village and district level and at provincial level. It works with existing women's groups at village level and women farmer groups. It works in line with government organized groups and engages with relevant government offices</w:t>
                      </w:r>
                      <w:r>
                        <w:rPr>
                          <w:sz w:val="20"/>
                        </w:rPr>
                        <w:t xml:space="preserve"> and media. It has developed an </w:t>
                      </w:r>
                      <w:r w:rsidRPr="00564674">
                        <w:rPr>
                          <w:sz w:val="20"/>
                        </w:rPr>
                        <w:t xml:space="preserve">MoU with the Religious Affairs Office </w:t>
                      </w:r>
                      <w:r>
                        <w:rPr>
                          <w:sz w:val="20"/>
                        </w:rPr>
                        <w:t>to discourage child marriage.</w:t>
                      </w:r>
                      <w:r w:rsidRPr="00564674">
                        <w:rPr>
                          <w:sz w:val="20"/>
                        </w:rPr>
                        <w:t xml:space="preserve"> </w:t>
                      </w:r>
                    </w:p>
                  </w:txbxContent>
                </v:textbox>
                <w10:wrap type="tight"/>
              </v:shape>
            </w:pict>
          </mc:Fallback>
        </mc:AlternateContent>
      </w:r>
      <w:r w:rsidR="00104312" w:rsidRPr="00916C09">
        <w:t>It is the view of partners that decentralization has provided greater space for CSOs to p</w:t>
      </w:r>
      <w:r w:rsidR="00BF5385" w:rsidRPr="00916C09">
        <w:t xml:space="preserve">ursue </w:t>
      </w:r>
      <w:r w:rsidR="00104312" w:rsidRPr="00916C09">
        <w:t xml:space="preserve">women’s empowerment and gender equality from a comprehensive political perspective, </w:t>
      </w:r>
      <w:r w:rsidR="00615D99" w:rsidRPr="00916C09">
        <w:t>than what would have been possible through</w:t>
      </w:r>
      <w:r w:rsidR="00104312" w:rsidRPr="00916C09">
        <w:t xml:space="preserve"> a series of projects or </w:t>
      </w:r>
      <w:r w:rsidR="00B41CAC" w:rsidRPr="00916C09">
        <w:t>standalone</w:t>
      </w:r>
      <w:r w:rsidR="00104312" w:rsidRPr="00916C09">
        <w:t xml:space="preserve"> women’s programs. </w:t>
      </w:r>
    </w:p>
    <w:p w14:paraId="63DD815D" w14:textId="0A887C29" w:rsidR="00564674" w:rsidRPr="00104312" w:rsidRDefault="003E7B5F" w:rsidP="001C48E2">
      <w:pPr>
        <w:jc w:val="both"/>
      </w:pPr>
      <w:r w:rsidRPr="00104312">
        <w:t xml:space="preserve">As </w:t>
      </w:r>
      <w:r w:rsidR="00C80576">
        <w:t xml:space="preserve">a </w:t>
      </w:r>
      <w:r w:rsidRPr="00104312">
        <w:t xml:space="preserve">result of increased voice, </w:t>
      </w:r>
      <w:r w:rsidR="00C10F81">
        <w:t xml:space="preserve">over the two phases of the program, </w:t>
      </w:r>
      <w:r w:rsidRPr="00104312">
        <w:t xml:space="preserve">partners and women’s groups have contributed to </w:t>
      </w:r>
      <w:r w:rsidR="00C10F81">
        <w:t>more than 400</w:t>
      </w:r>
      <w:r w:rsidR="00C10F81" w:rsidRPr="00104312">
        <w:t xml:space="preserve"> </w:t>
      </w:r>
      <w:r w:rsidRPr="00104312">
        <w:t>policy decisions in 70 districts in 13 provinces.</w:t>
      </w:r>
      <w:r w:rsidRPr="00104312">
        <w:rPr>
          <w:rStyle w:val="FootnoteReference"/>
        </w:rPr>
        <w:footnoteReference w:id="34"/>
      </w:r>
      <w:r w:rsidRPr="00104312">
        <w:t xml:space="preserve"> </w:t>
      </w:r>
      <w:r w:rsidR="00294FC3">
        <w:t>As shown in Fig 3, t</w:t>
      </w:r>
      <w:r w:rsidR="00564674" w:rsidRPr="00104312">
        <w:t xml:space="preserve">his influence has been more effective in </w:t>
      </w:r>
      <w:r w:rsidR="00294FC3">
        <w:t xml:space="preserve">some thematic areas than others, and several policy areas are still under progression to laws. </w:t>
      </w:r>
    </w:p>
    <w:p w14:paraId="46A154B9" w14:textId="77777777" w:rsidR="00C86A17" w:rsidRDefault="00C86A17" w:rsidP="001C48E2">
      <w:pPr>
        <w:pStyle w:val="Caption"/>
        <w:jc w:val="both"/>
        <w:rPr>
          <w:sz w:val="22"/>
        </w:rPr>
      </w:pPr>
    </w:p>
    <w:p w14:paraId="0BF9EFBF" w14:textId="68E8D0DB" w:rsidR="00B45986" w:rsidRPr="00B45986" w:rsidRDefault="00B45986" w:rsidP="001C48E2">
      <w:pPr>
        <w:pStyle w:val="Caption"/>
        <w:jc w:val="both"/>
      </w:pPr>
      <w:r w:rsidRPr="00834605">
        <w:rPr>
          <w:sz w:val="22"/>
        </w:rPr>
        <w:t>Figure 3. No of policies influenced, by stage and thematic area</w:t>
      </w:r>
    </w:p>
    <w:p w14:paraId="0E6F1B27" w14:textId="58212AED" w:rsidR="002D7682" w:rsidRDefault="002D7682" w:rsidP="001C48E2">
      <w:pPr>
        <w:jc w:val="both"/>
      </w:pPr>
      <w:r>
        <w:rPr>
          <w:noProof/>
          <w:lang w:eastAsia="en-AU"/>
        </w:rPr>
        <w:drawing>
          <wp:inline distT="0" distB="0" distL="0" distR="0" wp14:anchorId="51CC0939" wp14:editId="1B8ABA55">
            <wp:extent cx="5815806" cy="2474811"/>
            <wp:effectExtent l="19050" t="19050" r="13970"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2455" r="6271" b="6638"/>
                    <a:stretch/>
                  </pic:blipFill>
                  <pic:spPr bwMode="auto">
                    <a:xfrm>
                      <a:off x="0" y="0"/>
                      <a:ext cx="5822060" cy="24774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3425D70" w14:textId="310FF348" w:rsidR="007E359E" w:rsidRDefault="00EB1747" w:rsidP="001C48E2">
      <w:pPr>
        <w:jc w:val="both"/>
      </w:pPr>
      <w:r w:rsidRPr="00104312">
        <w:t xml:space="preserve">At </w:t>
      </w:r>
      <w:r w:rsidR="00C80576">
        <w:t xml:space="preserve">the </w:t>
      </w:r>
      <w:r w:rsidRPr="00104312">
        <w:t>sub national</w:t>
      </w:r>
      <w:r w:rsidR="00C80576">
        <w:t xml:space="preserve"> level</w:t>
      </w:r>
      <w:r w:rsidRPr="00104312">
        <w:t>, the voice and influence of</w:t>
      </w:r>
      <w:r w:rsidR="00C80576">
        <w:t xml:space="preserve"> the</w:t>
      </w:r>
      <w:r w:rsidRPr="00104312">
        <w:t xml:space="preserve"> </w:t>
      </w:r>
      <w:r>
        <w:t>MAMPU</w:t>
      </w:r>
      <w:r w:rsidRPr="00104312">
        <w:t xml:space="preserve"> program strongly depends on the capacity of </w:t>
      </w:r>
      <w:r w:rsidR="002B3BAB">
        <w:t>local</w:t>
      </w:r>
      <w:r w:rsidRPr="00104312">
        <w:t xml:space="preserve"> partners to engage with local governments and institutions, including the way in which partners are able to align with local government’s development priorit</w:t>
      </w:r>
      <w:r w:rsidR="00A633CC">
        <w:t>ies</w:t>
      </w:r>
      <w:r w:rsidRPr="00104312">
        <w:t xml:space="preserve"> and </w:t>
      </w:r>
      <w:r w:rsidRPr="00BB0517">
        <w:t xml:space="preserve">indicators. </w:t>
      </w:r>
      <w:r w:rsidR="005A1E00" w:rsidRPr="00BB0517">
        <w:t>It is not clear from the available evidence how much the capacity of local partners has been increased through MAMPU.</w:t>
      </w:r>
      <w:r w:rsidR="00562306" w:rsidRPr="00BB0517">
        <w:rPr>
          <w:rStyle w:val="FootnoteReference"/>
        </w:rPr>
        <w:footnoteReference w:id="35"/>
      </w:r>
      <w:r w:rsidR="005A1E00" w:rsidRPr="00BB0517">
        <w:t xml:space="preserve"> While the MAMPU support has clearly assisted local partners to work effectively</w:t>
      </w:r>
      <w:r w:rsidR="00586811" w:rsidRPr="00BB0517">
        <w:t>,</w:t>
      </w:r>
      <w:r w:rsidR="005A1E00" w:rsidRPr="00BB0517">
        <w:t xml:space="preserve"> the model of support via </w:t>
      </w:r>
      <w:r w:rsidR="00586811" w:rsidRPr="00BB0517">
        <w:t>National partners</w:t>
      </w:r>
      <w:r w:rsidR="005A1E00" w:rsidRPr="00BB0517">
        <w:t xml:space="preserve"> has not been examined in detail. Observation </w:t>
      </w:r>
      <w:r w:rsidR="00586811" w:rsidRPr="00BB0517">
        <w:t>during</w:t>
      </w:r>
      <w:r w:rsidR="005A1E00" w:rsidRPr="00BB0517">
        <w:t xml:space="preserve"> the field v</w:t>
      </w:r>
      <w:r w:rsidR="00586811" w:rsidRPr="00BB0517">
        <w:t xml:space="preserve">isits </w:t>
      </w:r>
      <w:r w:rsidR="005A1E00" w:rsidRPr="00BB0517">
        <w:t>sug</w:t>
      </w:r>
      <w:r w:rsidR="00586811" w:rsidRPr="00BB0517">
        <w:t xml:space="preserve">gests </w:t>
      </w:r>
      <w:r w:rsidR="005A1E00" w:rsidRPr="00BB0517">
        <w:t xml:space="preserve">that </w:t>
      </w:r>
      <w:r w:rsidR="00586811" w:rsidRPr="00BB0517">
        <w:t>some</w:t>
      </w:r>
      <w:r w:rsidR="005A1E00" w:rsidRPr="00BB0517">
        <w:t xml:space="preserve"> of the networks share cap</w:t>
      </w:r>
      <w:r w:rsidR="00586811" w:rsidRPr="00BB0517">
        <w:t>a</w:t>
      </w:r>
      <w:r w:rsidR="005A1E00" w:rsidRPr="00BB0517">
        <w:t xml:space="preserve">city more readily than others. </w:t>
      </w:r>
      <w:r w:rsidR="007E359E" w:rsidRPr="00BB0517">
        <w:t>Independent research suggest</w:t>
      </w:r>
      <w:r w:rsidR="00522230" w:rsidRPr="00BB0517">
        <w:t>s</w:t>
      </w:r>
      <w:r w:rsidR="007E359E" w:rsidRPr="00BB0517">
        <w:t xml:space="preserve"> that the model has been effective in supporting information flow and informed </w:t>
      </w:r>
      <w:r w:rsidR="00BE60CF" w:rsidRPr="00BB0517">
        <w:t>action</w:t>
      </w:r>
      <w:r w:rsidR="007E359E" w:rsidRPr="00BB0517">
        <w:t xml:space="preserve"> f</w:t>
      </w:r>
      <w:r w:rsidR="00BE60CF" w:rsidRPr="00BB0517">
        <w:t>ro</w:t>
      </w:r>
      <w:r w:rsidR="007E359E" w:rsidRPr="00BB0517">
        <w:t xml:space="preserve">m </w:t>
      </w:r>
      <w:r w:rsidR="00BE60CF" w:rsidRPr="00BB0517">
        <w:t>national</w:t>
      </w:r>
      <w:r w:rsidR="007E359E" w:rsidRPr="00BB0517">
        <w:t xml:space="preserve"> to sub-</w:t>
      </w:r>
      <w:r w:rsidR="00BE60CF" w:rsidRPr="00BB0517">
        <w:t>national</w:t>
      </w:r>
      <w:r w:rsidR="007E359E" w:rsidRPr="00BB0517">
        <w:t xml:space="preserve"> </w:t>
      </w:r>
      <w:r w:rsidR="00BE60CF" w:rsidRPr="00BB0517">
        <w:t>and</w:t>
      </w:r>
      <w:r w:rsidR="007E359E" w:rsidRPr="00BB0517">
        <w:t xml:space="preserve"> </w:t>
      </w:r>
      <w:r w:rsidR="00BE60CF" w:rsidRPr="00BB0517">
        <w:t>in reverse</w:t>
      </w:r>
      <w:r w:rsidR="007E359E" w:rsidRPr="00BB0517">
        <w:t>,</w:t>
      </w:r>
    </w:p>
    <w:p w14:paraId="663A2AD3" w14:textId="5D9763AF" w:rsidR="007E359E" w:rsidRDefault="007E359E" w:rsidP="001C48E2">
      <w:pPr>
        <w:ind w:left="720"/>
        <w:jc w:val="both"/>
      </w:pPr>
      <w:r w:rsidRPr="00F541E0">
        <w:rPr>
          <w:i/>
        </w:rPr>
        <w:t xml:space="preserve">.... partners’ activities on thematic issues at the regional level, such as Aisyiyah’s work on women’s health, link together case-based work with lobbying of DPRDs to both pass </w:t>
      </w:r>
      <w:r w:rsidRPr="00F541E0">
        <w:rPr>
          <w:i/>
          <w:iCs/>
        </w:rPr>
        <w:t xml:space="preserve">perda </w:t>
      </w:r>
      <w:r w:rsidRPr="00F541E0">
        <w:rPr>
          <w:i/>
        </w:rPr>
        <w:t>on women’s services and allocate funding for women’s services in the APBD</w:t>
      </w:r>
      <w:r w:rsidR="00A633CC" w:rsidRPr="00F541E0">
        <w:rPr>
          <w:i/>
        </w:rPr>
        <w:t xml:space="preserve"> </w:t>
      </w:r>
      <w:r w:rsidR="00A633CC" w:rsidRPr="00525788">
        <w:rPr>
          <w:sz w:val="20"/>
        </w:rPr>
        <w:t>[</w:t>
      </w:r>
      <w:r w:rsidRPr="00F541E0">
        <w:rPr>
          <w:i/>
        </w:rPr>
        <w:t>. BAKTI has developed an innovative approach to DPRD constituent relations known as the “</w:t>
      </w:r>
      <w:r w:rsidRPr="00F541E0">
        <w:rPr>
          <w:i/>
          <w:iCs/>
        </w:rPr>
        <w:t>reses partisipatif</w:t>
      </w:r>
      <w:r w:rsidRPr="00F541E0">
        <w:rPr>
          <w:i/>
        </w:rPr>
        <w:t>” which connects women MPs in a mutually-beneficial relationship with local communities. All of these modes are founded on the multi-stakeholder coalitions advocated in the original MAMPU design.</w:t>
      </w:r>
      <w:r w:rsidRPr="00F541E0">
        <w:rPr>
          <w:rStyle w:val="FootnoteReference"/>
          <w:i/>
        </w:rPr>
        <w:footnoteReference w:id="36"/>
      </w:r>
    </w:p>
    <w:p w14:paraId="5E1861D5" w14:textId="4B276EBB" w:rsidR="00586811" w:rsidRPr="008801B8" w:rsidRDefault="005A1E00" w:rsidP="001C48E2">
      <w:pPr>
        <w:jc w:val="both"/>
      </w:pPr>
      <w:r>
        <w:t xml:space="preserve"> </w:t>
      </w:r>
      <w:r w:rsidR="003956AD" w:rsidRPr="008801B8">
        <w:t>At the</w:t>
      </w:r>
      <w:r w:rsidR="003637D6" w:rsidRPr="008801B8">
        <w:t xml:space="preserve"> national level</w:t>
      </w:r>
      <w:r w:rsidR="003956AD" w:rsidRPr="008801B8">
        <w:t>,</w:t>
      </w:r>
      <w:r w:rsidR="003637D6" w:rsidRPr="008801B8">
        <w:t xml:space="preserve"> </w:t>
      </w:r>
      <w:r w:rsidR="00586811" w:rsidRPr="008801B8">
        <w:t>there has been</w:t>
      </w:r>
      <w:r w:rsidR="00874FCF">
        <w:t xml:space="preserve"> a</w:t>
      </w:r>
      <w:r w:rsidR="00586811" w:rsidRPr="008801B8">
        <w:t xml:space="preserve"> clear increase in partner cap</w:t>
      </w:r>
      <w:r w:rsidR="007E359E" w:rsidRPr="008801B8">
        <w:t>a</w:t>
      </w:r>
      <w:r w:rsidR="00586811" w:rsidRPr="008801B8">
        <w:t>city to en</w:t>
      </w:r>
      <w:r w:rsidR="007E359E" w:rsidRPr="008801B8">
        <w:t>g</w:t>
      </w:r>
      <w:r w:rsidR="00586811" w:rsidRPr="008801B8">
        <w:t>age and support increased voice for women. I</w:t>
      </w:r>
      <w:r w:rsidR="00241B6F" w:rsidRPr="008801B8">
        <w:t xml:space="preserve">nternal </w:t>
      </w:r>
      <w:r w:rsidR="00B41CAC" w:rsidRPr="008801B8">
        <w:t>MAMPU</w:t>
      </w:r>
      <w:r w:rsidR="00241B6F" w:rsidRPr="008801B8">
        <w:t xml:space="preserve"> evidence indicates increased </w:t>
      </w:r>
      <w:r w:rsidR="00B41CAC" w:rsidRPr="008801B8">
        <w:t>MAMPU</w:t>
      </w:r>
      <w:r w:rsidR="00241B6F" w:rsidRPr="008801B8">
        <w:t xml:space="preserve"> engagement with media and national government agencies since 2016.</w:t>
      </w:r>
      <w:r w:rsidR="00241B6F" w:rsidRPr="008801B8">
        <w:rPr>
          <w:rStyle w:val="FootnoteReference"/>
        </w:rPr>
        <w:footnoteReference w:id="37"/>
      </w:r>
      <w:r w:rsidR="00241B6F" w:rsidRPr="008801B8">
        <w:t xml:space="preserve"> P</w:t>
      </w:r>
      <w:r w:rsidR="003637D6" w:rsidRPr="008801B8">
        <w:t>artners have contribute</w:t>
      </w:r>
      <w:r w:rsidR="003956AD" w:rsidRPr="008801B8">
        <w:t>d</w:t>
      </w:r>
      <w:r w:rsidR="003637D6" w:rsidRPr="008801B8">
        <w:t xml:space="preserve"> to national level policy</w:t>
      </w:r>
      <w:r w:rsidR="003956AD" w:rsidRPr="008801B8">
        <w:t>, mostly</w:t>
      </w:r>
      <w:r w:rsidR="003637D6" w:rsidRPr="008801B8">
        <w:t xml:space="preserve"> in the areas of gender-based violence and conditions for </w:t>
      </w:r>
      <w:r w:rsidR="003956AD" w:rsidRPr="008801B8">
        <w:t xml:space="preserve">migrant-workers. </w:t>
      </w:r>
      <w:r w:rsidR="00C048A3" w:rsidRPr="008801B8">
        <w:t xml:space="preserve">Partners have also formed horizontal coalitions, in particular to address cross cutting issues outside the five thematic areas. This includes for example, joint </w:t>
      </w:r>
      <w:r w:rsidR="00EB1747" w:rsidRPr="008801B8">
        <w:t xml:space="preserve">advocacy in the areas of </w:t>
      </w:r>
      <w:r w:rsidR="003956AD" w:rsidRPr="008801B8">
        <w:t>national health insurance and child marriage</w:t>
      </w:r>
      <w:r w:rsidR="00C048A3" w:rsidRPr="008801B8">
        <w:t xml:space="preserve">. </w:t>
      </w:r>
      <w:r w:rsidR="00586811" w:rsidRPr="008801B8">
        <w:t>This has been recognised independently as a strength of MAMPU.</w:t>
      </w:r>
    </w:p>
    <w:p w14:paraId="686E21B0" w14:textId="469FC2D1" w:rsidR="00586811" w:rsidRPr="008801B8" w:rsidRDefault="00586811" w:rsidP="001C48E2">
      <w:pPr>
        <w:ind w:left="720"/>
        <w:jc w:val="both"/>
        <w:rPr>
          <w:i/>
        </w:rPr>
      </w:pPr>
      <w:r w:rsidRPr="008801B8">
        <w:rPr>
          <w:i/>
        </w:rPr>
        <w:t>MAMPU partners have developed a rich diversity of modes of parliamentary engagement which match their particular objectives, individual strengths and connections with the DPR and/or DPRDs. For example, Migrant Care assisted the passage of the national law on migrant workers and Komnas Perempuan and FPL continue to engage with the DPR</w:t>
      </w:r>
      <w:r w:rsidR="00BE60CF" w:rsidRPr="008801B8">
        <w:rPr>
          <w:i/>
        </w:rPr>
        <w:t xml:space="preserve"> on the bill on sexual violence</w:t>
      </w:r>
      <w:r w:rsidRPr="008801B8">
        <w:rPr>
          <w:i/>
        </w:rPr>
        <w:t>.</w:t>
      </w:r>
      <w:r w:rsidRPr="008801B8">
        <w:rPr>
          <w:rStyle w:val="FootnoteReference"/>
          <w:i/>
        </w:rPr>
        <w:footnoteReference w:id="38"/>
      </w:r>
    </w:p>
    <w:p w14:paraId="4F95D55B" w14:textId="13D8277D" w:rsidR="003637D6" w:rsidRDefault="00C048A3" w:rsidP="001C48E2">
      <w:pPr>
        <w:jc w:val="both"/>
      </w:pPr>
      <w:r w:rsidRPr="008801B8">
        <w:t xml:space="preserve"> Feedback from the</w:t>
      </w:r>
      <w:r w:rsidR="00104312" w:rsidRPr="008801B8">
        <w:t xml:space="preserve"> </w:t>
      </w:r>
      <w:r w:rsidR="008B766B" w:rsidRPr="008801B8">
        <w:t xml:space="preserve">Government of </w:t>
      </w:r>
      <w:r w:rsidR="00104312" w:rsidRPr="008801B8">
        <w:t xml:space="preserve">Indonesia at </w:t>
      </w:r>
      <w:r w:rsidR="00874FCF">
        <w:t xml:space="preserve">the </w:t>
      </w:r>
      <w:r w:rsidR="00104312" w:rsidRPr="008801B8">
        <w:t>national level,</w:t>
      </w:r>
      <w:r w:rsidRPr="008801B8">
        <w:t xml:space="preserve"> </w:t>
      </w:r>
      <w:r w:rsidR="00ED5A3F" w:rsidRPr="008801B8">
        <w:t xml:space="preserve">from BAPPENAS and the Ministry of </w:t>
      </w:r>
      <w:r w:rsidR="001B591D" w:rsidRPr="008801B8">
        <w:t xml:space="preserve">Women’s </w:t>
      </w:r>
      <w:r w:rsidR="00ED5A3F" w:rsidRPr="008801B8">
        <w:t xml:space="preserve">Empowerment and </w:t>
      </w:r>
      <w:r w:rsidR="001B591D" w:rsidRPr="008801B8">
        <w:t xml:space="preserve">Child </w:t>
      </w:r>
      <w:r w:rsidR="00ED5A3F" w:rsidRPr="008801B8">
        <w:t xml:space="preserve">Protection (KPPPA) </w:t>
      </w:r>
      <w:r w:rsidRPr="008801B8">
        <w:t xml:space="preserve">indicates that they consider </w:t>
      </w:r>
      <w:r w:rsidR="00B41CAC" w:rsidRPr="008801B8">
        <w:t>MAMPU</w:t>
      </w:r>
      <w:r w:rsidR="00104312" w:rsidRPr="008801B8">
        <w:t xml:space="preserve"> is </w:t>
      </w:r>
      <w:r w:rsidR="00ED5A3F" w:rsidRPr="008801B8">
        <w:t xml:space="preserve">an </w:t>
      </w:r>
      <w:r w:rsidR="001B591D" w:rsidRPr="008801B8">
        <w:t>effective</w:t>
      </w:r>
      <w:r w:rsidR="00ED5A3F" w:rsidRPr="008801B8">
        <w:t xml:space="preserve"> program for </w:t>
      </w:r>
      <w:r w:rsidR="001B591D" w:rsidRPr="008801B8">
        <w:t>improving</w:t>
      </w:r>
      <w:r w:rsidR="00104312" w:rsidRPr="008801B8">
        <w:t xml:space="preserve"> gender equality </w:t>
      </w:r>
      <w:r w:rsidR="00C20BA2" w:rsidRPr="008801B8">
        <w:t>in Indonesia</w:t>
      </w:r>
      <w:r w:rsidR="00ED5A3F" w:rsidRPr="008801B8">
        <w:t xml:space="preserve"> at the g</w:t>
      </w:r>
      <w:r w:rsidR="007F6F6B" w:rsidRPr="008801B8">
        <w:t>rassroots level</w:t>
      </w:r>
      <w:r w:rsidR="00C20BA2" w:rsidRPr="008801B8">
        <w:t>. Government</w:t>
      </w:r>
      <w:r w:rsidR="00C20BA2" w:rsidRPr="00C20BA2">
        <w:t xml:space="preserve"> respondents </w:t>
      </w:r>
      <w:r w:rsidR="007F6F6B">
        <w:t xml:space="preserve">from BAPPENAS </w:t>
      </w:r>
      <w:r w:rsidR="00C20BA2" w:rsidRPr="00C20BA2">
        <w:t xml:space="preserve">noted that the program included many of the </w:t>
      </w:r>
      <w:r w:rsidR="00104312" w:rsidRPr="00C20BA2">
        <w:t xml:space="preserve">most prominent </w:t>
      </w:r>
      <w:r>
        <w:t xml:space="preserve">CSO </w:t>
      </w:r>
      <w:r w:rsidR="00104312" w:rsidRPr="00C20BA2">
        <w:t xml:space="preserve">partners </w:t>
      </w:r>
      <w:r>
        <w:t xml:space="preserve">active in </w:t>
      </w:r>
      <w:r w:rsidR="00104312" w:rsidRPr="00C20BA2">
        <w:t xml:space="preserve">the respective issues. </w:t>
      </w:r>
      <w:r>
        <w:t xml:space="preserve">Government representatives </w:t>
      </w:r>
      <w:r w:rsidR="007F6F6B">
        <w:t xml:space="preserve">from KPPPA </w:t>
      </w:r>
      <w:r>
        <w:t xml:space="preserve">identified that </w:t>
      </w:r>
      <w:r w:rsidR="00522230">
        <w:t>for</w:t>
      </w:r>
      <w:r>
        <w:t xml:space="preserve"> </w:t>
      </w:r>
      <w:r w:rsidR="00524FCD">
        <w:t>several national</w:t>
      </w:r>
      <w:r>
        <w:t xml:space="preserve"> issues</w:t>
      </w:r>
      <w:r w:rsidR="00522230">
        <w:t xml:space="preserve"> relevant to</w:t>
      </w:r>
      <w:r w:rsidR="00522230" w:rsidRPr="00522230">
        <w:t xml:space="preserve"> </w:t>
      </w:r>
      <w:r w:rsidR="00522230" w:rsidRPr="00C20BA2">
        <w:t>women</w:t>
      </w:r>
      <w:r w:rsidR="00874FCF">
        <w:t>’s</w:t>
      </w:r>
      <w:r w:rsidR="00522230" w:rsidRPr="00C20BA2">
        <w:t xml:space="preserve"> empowerment and gender equality issues</w:t>
      </w:r>
      <w:r>
        <w:t xml:space="preserve">, </w:t>
      </w:r>
      <w:r w:rsidR="00B41CAC">
        <w:t>MAMPU</w:t>
      </w:r>
      <w:r w:rsidR="00104312" w:rsidRPr="00C20BA2">
        <w:t xml:space="preserve"> partners have </w:t>
      </w:r>
      <w:r w:rsidR="00874FCF">
        <w:t xml:space="preserve">a </w:t>
      </w:r>
      <w:r w:rsidR="00104312" w:rsidRPr="00C20BA2">
        <w:t>strong voice and influe</w:t>
      </w:r>
      <w:r w:rsidR="00522230">
        <w:t>nce on national policy dialogue</w:t>
      </w:r>
      <w:r w:rsidR="00104312" w:rsidRPr="00C20BA2">
        <w:t>.</w:t>
      </w:r>
      <w:r w:rsidR="00E11C64">
        <w:t xml:space="preserve"> Particular mention was made of the work to eliminate child marriage supported by several MAMPU partners. The Ministry of </w:t>
      </w:r>
      <w:r w:rsidR="0071534B">
        <w:t>Manpower pointed to MAMPU</w:t>
      </w:r>
      <w:r w:rsidR="00874FCF">
        <w:t>’s</w:t>
      </w:r>
      <w:r w:rsidR="0071534B">
        <w:t xml:space="preserve"> influ</w:t>
      </w:r>
      <w:r w:rsidR="001959DC">
        <w:t>e</w:t>
      </w:r>
      <w:r w:rsidR="0071534B">
        <w:t xml:space="preserve">nce on the new regulation to protect </w:t>
      </w:r>
      <w:r w:rsidR="00E11C64">
        <w:t>conditions for migrant workers.</w:t>
      </w:r>
    </w:p>
    <w:p w14:paraId="17978169" w14:textId="666FA400" w:rsidR="007F6F6B" w:rsidRDefault="007F6F6B" w:rsidP="001C48E2">
      <w:pPr>
        <w:jc w:val="both"/>
      </w:pPr>
      <w:r w:rsidRPr="008801B8">
        <w:t xml:space="preserve">At the same time, BAPPENAS in particular noted that they consider MAMPU too small (in terms of its geographic coverage) to be considered a model for national level replication. While some models have emerged from </w:t>
      </w:r>
      <w:r w:rsidR="00890614" w:rsidRPr="008801B8">
        <w:t xml:space="preserve">the </w:t>
      </w:r>
      <w:r w:rsidRPr="008801B8">
        <w:t xml:space="preserve">program, BAPPENAS suggested that more work needed to be </w:t>
      </w:r>
      <w:r w:rsidR="001B591D" w:rsidRPr="008801B8">
        <w:t>done</w:t>
      </w:r>
      <w:r w:rsidRPr="008801B8">
        <w:t xml:space="preserve"> to document the strategies and forums</w:t>
      </w:r>
      <w:r w:rsidR="001B591D" w:rsidRPr="008801B8">
        <w:t xml:space="preserve"> where MAMPU had produced effective results, with reference to their application in the diverse contexts of Indonesia.</w:t>
      </w:r>
      <w:r w:rsidR="001B591D">
        <w:t xml:space="preserve"> </w:t>
      </w:r>
    </w:p>
    <w:p w14:paraId="70B87342" w14:textId="2586D5C9" w:rsidR="001B591D" w:rsidRDefault="001B591D" w:rsidP="001C48E2">
      <w:pPr>
        <w:jc w:val="both"/>
      </w:pPr>
      <w:r>
        <w:t xml:space="preserve">Similarly, KPPPA representatives suggested that </w:t>
      </w:r>
      <w:r w:rsidR="006070A4">
        <w:t xml:space="preserve">the </w:t>
      </w:r>
      <w:r>
        <w:t>subnational level is critical for gender equality and women’s empowerment in Indonesia and that MAMPU work at this level ought to be better documented and shared.</w:t>
      </w:r>
    </w:p>
    <w:p w14:paraId="64C24258" w14:textId="77777777" w:rsidR="00441EF2" w:rsidRDefault="00E11C64" w:rsidP="001C48E2">
      <w:pPr>
        <w:jc w:val="both"/>
      </w:pPr>
      <w:r>
        <w:t xml:space="preserve">BAPPENAS was of the strong view </w:t>
      </w:r>
      <w:r w:rsidR="001B591D" w:rsidRPr="00C20BA2">
        <w:t>that there needed to be incre</w:t>
      </w:r>
      <w:r w:rsidR="001B591D">
        <w:t>ased</w:t>
      </w:r>
      <w:r w:rsidR="001B591D" w:rsidRPr="00C20BA2">
        <w:t xml:space="preserve"> engagement with technical ministries </w:t>
      </w:r>
      <w:r>
        <w:t xml:space="preserve">through the working groups </w:t>
      </w:r>
      <w:r w:rsidR="001B591D" w:rsidRPr="00C20BA2">
        <w:t xml:space="preserve">in order to better operationalize the gender mainstreaming mandates of each institution. </w:t>
      </w:r>
    </w:p>
    <w:p w14:paraId="4226EEFB" w14:textId="4DAF9A60" w:rsidR="00AF6769" w:rsidRDefault="00C73F93" w:rsidP="001C48E2">
      <w:pPr>
        <w:jc w:val="both"/>
      </w:pPr>
      <w:r>
        <w:rPr>
          <w:noProof/>
          <w:lang w:eastAsia="en-AU"/>
        </w:rPr>
        <mc:AlternateContent>
          <mc:Choice Requires="wps">
            <w:drawing>
              <wp:anchor distT="45720" distB="45720" distL="114300" distR="114300" simplePos="0" relativeHeight="251672576" behindDoc="1" locked="0" layoutInCell="1" allowOverlap="1" wp14:anchorId="658218C1" wp14:editId="098A1FBB">
                <wp:simplePos x="0" y="0"/>
                <wp:positionH relativeFrom="column">
                  <wp:posOffset>-25400</wp:posOffset>
                </wp:positionH>
                <wp:positionV relativeFrom="paragraph">
                  <wp:posOffset>1247140</wp:posOffset>
                </wp:positionV>
                <wp:extent cx="5740400" cy="1404620"/>
                <wp:effectExtent l="0" t="0" r="12700" b="17145"/>
                <wp:wrapTight wrapText="bothSides">
                  <wp:wrapPolygon edited="0">
                    <wp:start x="0" y="0"/>
                    <wp:lineTo x="0" y="21583"/>
                    <wp:lineTo x="21576" y="21583"/>
                    <wp:lineTo x="21576"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347FF9B2" w14:textId="7562AD4F" w:rsidR="00551718" w:rsidRPr="00BA40E4" w:rsidRDefault="00551718" w:rsidP="005F78B3">
                            <w:pPr>
                              <w:pStyle w:val="Heading4"/>
                              <w:rPr>
                                <w:sz w:val="20"/>
                              </w:rPr>
                            </w:pPr>
                            <w:r>
                              <w:rPr>
                                <w:sz w:val="20"/>
                              </w:rPr>
                              <w:t>Box 4</w:t>
                            </w:r>
                            <w:r w:rsidRPr="00BA40E4">
                              <w:rPr>
                                <w:sz w:val="20"/>
                              </w:rPr>
                              <w:t>. Support for sub national SDG implementation</w:t>
                            </w:r>
                          </w:p>
                          <w:p w14:paraId="2C9AE780" w14:textId="0B152F96" w:rsidR="00551718" w:rsidRDefault="00551718" w:rsidP="001C48E2">
                            <w:pPr>
                              <w:jc w:val="both"/>
                            </w:pPr>
                            <w:r w:rsidRPr="00BA40E4">
                              <w:rPr>
                                <w:sz w:val="20"/>
                              </w:rPr>
                              <w:t>In a MAMPU Board of Director’s meeting in December 2017, CSO partners decided to work to reflect the voice of women in Indonesia’s plans for the SDG</w:t>
                            </w:r>
                            <w:r>
                              <w:rPr>
                                <w:sz w:val="20"/>
                              </w:rPr>
                              <w:t>s</w:t>
                            </w:r>
                            <w:r w:rsidRPr="00BA40E4">
                              <w:rPr>
                                <w:sz w:val="20"/>
                              </w:rPr>
                              <w:t xml:space="preserve">.  This built on earlier work by one partner (INFID) to develop Regional Action Plans in 6 districts. During the December 2017 meeting, participants identified an opportunity for bottom-up influence on the SDGs and moved quickly to develop a more detailed concept that was finalized by early 2018. Following a kick-off workshop in March, MAMPU partners held consultations with </w:t>
                            </w:r>
                            <w:r>
                              <w:rPr>
                                <w:sz w:val="20"/>
                              </w:rPr>
                              <w:t xml:space="preserve">local </w:t>
                            </w:r>
                            <w:r w:rsidRPr="00BA40E4">
                              <w:rPr>
                                <w:sz w:val="20"/>
                              </w:rPr>
                              <w:t>women in 22 districts across the country. The priorities emerging from this formed the basis of 22 regional consultations between partners, other CSOs and district government agencies over the April-July 2018 period. All MAMPU partners came together in Jakarta in August 2018 to present and discuss common issues, including high rates of Child Marriage, Violence Against Women and Children, and inequality, with international researchers and activists as well as national government. MAMPU is continuing to support this coalition to insert these priority issues in the Government’s Medium-Term Development Plan (RPJMN) in December 2018 and continue</w:t>
                            </w:r>
                            <w:r>
                              <w:rPr>
                                <w:sz w:val="20"/>
                              </w:rPr>
                              <w:t>s</w:t>
                            </w:r>
                            <w:r w:rsidRPr="00BA40E4">
                              <w:rPr>
                                <w:sz w:val="20"/>
                              </w:rPr>
                              <w:t xml:space="preserve"> to advocate for Government responses to these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218C1" id="_x0000_s1033" type="#_x0000_t202" style="position:absolute;left:0;text-align:left;margin-left:-2pt;margin-top:98.2pt;width:452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">
                <v:textbox style="mso-fit-shape-to-text:t">
                  <w:txbxContent>
                    <w:p w14:paraId="347FF9B2" w14:textId="7562AD4F" w:rsidR="00551718" w:rsidRPr="00BA40E4" w:rsidRDefault="00551718" w:rsidP="005F78B3">
                      <w:pPr>
                        <w:pStyle w:val="Heading4"/>
                        <w:rPr>
                          <w:sz w:val="20"/>
                        </w:rPr>
                      </w:pPr>
                      <w:r>
                        <w:rPr>
                          <w:sz w:val="20"/>
                        </w:rPr>
                        <w:t>Box 4</w:t>
                      </w:r>
                      <w:r w:rsidRPr="00BA40E4">
                        <w:rPr>
                          <w:sz w:val="20"/>
                        </w:rPr>
                        <w:t>. Support for sub national SDG implementation</w:t>
                      </w:r>
                    </w:p>
                    <w:p w14:paraId="2C9AE780" w14:textId="0B152F96" w:rsidR="00551718" w:rsidRDefault="00551718" w:rsidP="001C48E2">
                      <w:pPr>
                        <w:jc w:val="both"/>
                      </w:pPr>
                      <w:r w:rsidRPr="00BA40E4">
                        <w:rPr>
                          <w:sz w:val="20"/>
                        </w:rPr>
                        <w:t>In a MAMPU Board of Director’s meeting in December 2017, CSO partners decided to work to reflect the voice of women in Indonesia’s plans for the SDG</w:t>
                      </w:r>
                      <w:r>
                        <w:rPr>
                          <w:sz w:val="20"/>
                        </w:rPr>
                        <w:t>s</w:t>
                      </w:r>
                      <w:r w:rsidRPr="00BA40E4">
                        <w:rPr>
                          <w:sz w:val="20"/>
                        </w:rPr>
                        <w:t xml:space="preserve">.  This built on earlier work by one partner (INFID) to develop Regional Action Plans in 6 districts. During the December 2017 meeting, participants identified an opportunity for bottom-up influence on the SDGs and moved quickly to develop a more detailed concept that was finalized by early 2018. Following a kick-off workshop in March, MAMPU partners held consultations with </w:t>
                      </w:r>
                      <w:r>
                        <w:rPr>
                          <w:sz w:val="20"/>
                        </w:rPr>
                        <w:t xml:space="preserve">local </w:t>
                      </w:r>
                      <w:r w:rsidRPr="00BA40E4">
                        <w:rPr>
                          <w:sz w:val="20"/>
                        </w:rPr>
                        <w:t>women in 22 districts across the country. The priorities emerging from this formed the basis of 22 regional consultations between partners, other CSOs and district government agencies over the April-July 2018 period. All MAMPU partners came together in Jakarta in August 2018 to present and discuss common issues, including high rates of Child Marriage, Violence Against Women and Children, and inequality, with international researchers and activists as well as national government. MAMPU is continuing to support this coalition to insert these priority issues in the Government’s Medium-Term Development Plan (RPJMN) in December 2018 and continue</w:t>
                      </w:r>
                      <w:r>
                        <w:rPr>
                          <w:sz w:val="20"/>
                        </w:rPr>
                        <w:t>s</w:t>
                      </w:r>
                      <w:r w:rsidRPr="00BA40E4">
                        <w:rPr>
                          <w:sz w:val="20"/>
                        </w:rPr>
                        <w:t xml:space="preserve"> to advocate for Government responses to these issues.</w:t>
                      </w:r>
                    </w:p>
                  </w:txbxContent>
                </v:textbox>
                <w10:wrap type="tight"/>
              </v:shape>
            </w:pict>
          </mc:Fallback>
        </mc:AlternateContent>
      </w:r>
      <w:r w:rsidR="000F74B0">
        <w:t>M</w:t>
      </w:r>
      <w:r w:rsidR="000040DD">
        <w:t xml:space="preserve">ost recently, </w:t>
      </w:r>
      <w:r w:rsidR="00B41CAC">
        <w:t>MAMPU</w:t>
      </w:r>
      <w:r w:rsidR="000040DD">
        <w:t xml:space="preserve"> partners have facilitated district level S</w:t>
      </w:r>
      <w:r w:rsidR="005F78B3">
        <w:t xml:space="preserve">ustainable </w:t>
      </w:r>
      <w:r w:rsidR="000040DD">
        <w:t>D</w:t>
      </w:r>
      <w:r w:rsidR="005F78B3">
        <w:t xml:space="preserve">evelopment </w:t>
      </w:r>
      <w:r w:rsidR="00B41CAC">
        <w:t>Goal (</w:t>
      </w:r>
      <w:r w:rsidR="005F78B3">
        <w:t>SDG)</w:t>
      </w:r>
      <w:r w:rsidR="000040DD">
        <w:t xml:space="preserve"> </w:t>
      </w:r>
      <w:r w:rsidR="005F78B3">
        <w:t>d</w:t>
      </w:r>
      <w:r w:rsidR="000040DD">
        <w:t>iscussions, supporting district government</w:t>
      </w:r>
      <w:r w:rsidR="006070A4">
        <w:t>s</w:t>
      </w:r>
      <w:r w:rsidR="000040DD">
        <w:t xml:space="preserve"> and other stakeholders</w:t>
      </w:r>
      <w:r w:rsidR="00E5150B">
        <w:t xml:space="preserve"> to come together to plan for implementation against the SDG’s</w:t>
      </w:r>
      <w:r w:rsidR="005F78B3">
        <w:t xml:space="preserve"> (</w:t>
      </w:r>
      <w:r w:rsidR="00700295">
        <w:rPr>
          <w:u w:val="single"/>
        </w:rPr>
        <w:t>see Box 4</w:t>
      </w:r>
      <w:r w:rsidR="005F78B3">
        <w:t>)</w:t>
      </w:r>
      <w:r w:rsidR="00E5150B">
        <w:t>. This</w:t>
      </w:r>
      <w:r w:rsidR="00D91366">
        <w:t xml:space="preserve"> was identified by a wide number of respondents to the ISR as</w:t>
      </w:r>
      <w:r w:rsidR="00E5150B">
        <w:t xml:space="preserve"> an area of significant potential for further influence </w:t>
      </w:r>
      <w:r w:rsidR="00D91366">
        <w:t>and</w:t>
      </w:r>
      <w:r w:rsidR="00E5150B">
        <w:t xml:space="preserve"> cooperation at </w:t>
      </w:r>
      <w:r w:rsidR="006070A4">
        <w:t xml:space="preserve">the </w:t>
      </w:r>
      <w:r w:rsidR="00E5150B">
        <w:t xml:space="preserve">subnational level between </w:t>
      </w:r>
      <w:r w:rsidR="00B41CAC">
        <w:t>MAMPU</w:t>
      </w:r>
      <w:r w:rsidR="00E5150B">
        <w:t xml:space="preserve"> partners and </w:t>
      </w:r>
      <w:r w:rsidR="00D91366">
        <w:t xml:space="preserve">Government </w:t>
      </w:r>
      <w:r w:rsidR="00E5150B">
        <w:t>of Indonesia.</w:t>
      </w:r>
      <w:r w:rsidR="00890614">
        <w:t xml:space="preserve"> BAPPENAS in particular saw value in this contribution to government policy.</w:t>
      </w:r>
    </w:p>
    <w:p w14:paraId="6AAAF4BD" w14:textId="0E8FCE59" w:rsidR="002E2994" w:rsidRPr="00FA0CB5" w:rsidRDefault="00945E94" w:rsidP="001C48E2">
      <w:pPr>
        <w:jc w:val="both"/>
      </w:pPr>
      <w:r>
        <w:t>While this has been a successful area of work</w:t>
      </w:r>
      <w:r w:rsidR="006070A4">
        <w:t xml:space="preserve"> for MAMPU</w:t>
      </w:r>
      <w:r>
        <w:t xml:space="preserve"> throughout both </w:t>
      </w:r>
      <w:r w:rsidR="002E2994">
        <w:t>phases</w:t>
      </w:r>
      <w:r>
        <w:t xml:space="preserve">, several challenges remain. The independent study on </w:t>
      </w:r>
      <w:r w:rsidR="00B41CAC">
        <w:t>MAMPU</w:t>
      </w:r>
      <w:r>
        <w:t xml:space="preserve"> collective action, together with evidence gathered by the ISR, suggests that more could be achieved by</w:t>
      </w:r>
      <w:r w:rsidR="00A80543">
        <w:t xml:space="preserve"> working </w:t>
      </w:r>
      <w:r>
        <w:t xml:space="preserve">beyond </w:t>
      </w:r>
      <w:r w:rsidR="00A80543">
        <w:t xml:space="preserve">and across </w:t>
      </w:r>
      <w:r>
        <w:t xml:space="preserve">the </w:t>
      </w:r>
      <w:r w:rsidR="002E2994">
        <w:t xml:space="preserve">thematic </w:t>
      </w:r>
      <w:r>
        <w:t xml:space="preserve">areas. </w:t>
      </w:r>
      <w:r w:rsidR="002E2994">
        <w:t xml:space="preserve">Responses to the ISR suggest that the five thematic areas </w:t>
      </w:r>
      <w:r w:rsidR="00A46C6E">
        <w:t xml:space="preserve">are a convenient organising and communication tool, but do not </w:t>
      </w:r>
      <w:r w:rsidR="002E2994">
        <w:t>reflect the rich engagement and variety of operation</w:t>
      </w:r>
      <w:r w:rsidR="006070A4">
        <w:t>s</w:t>
      </w:r>
      <w:r w:rsidR="002E2994">
        <w:t xml:space="preserve"> </w:t>
      </w:r>
      <w:r w:rsidR="00A46C6E">
        <w:t xml:space="preserve">of the CSO </w:t>
      </w:r>
      <w:r w:rsidR="002E2994">
        <w:t>partners</w:t>
      </w:r>
      <w:r w:rsidR="00A46C6E">
        <w:t>, especially at the s</w:t>
      </w:r>
      <w:r w:rsidR="002E2994">
        <w:t xml:space="preserve">ubnational level. </w:t>
      </w:r>
    </w:p>
    <w:p w14:paraId="256261FF" w14:textId="3DEBE068" w:rsidR="001330B3" w:rsidRDefault="00A46C6E" w:rsidP="001C48E2">
      <w:pPr>
        <w:jc w:val="both"/>
      </w:pPr>
      <w:r>
        <w:t xml:space="preserve">CSO partners and others pointed to several additional areas and ways of working which might be considered going forward. A common suggestion was to give more </w:t>
      </w:r>
      <w:r w:rsidR="00945E94">
        <w:t>attention to the economic condition of women</w:t>
      </w:r>
      <w:r>
        <w:t>, on the assumption that for poor and marginalised women to have increased agency they needed to be assured of a sustainable livelihood</w:t>
      </w:r>
      <w:r w:rsidR="00945E94">
        <w:t>.</w:t>
      </w:r>
      <w:r>
        <w:t xml:space="preserve"> </w:t>
      </w:r>
      <w:r w:rsidR="001330B3">
        <w:t xml:space="preserve">While </w:t>
      </w:r>
      <w:r w:rsidR="00FB5541">
        <w:t>women</w:t>
      </w:r>
      <w:r w:rsidR="00700295">
        <w:t>’</w:t>
      </w:r>
      <w:r w:rsidR="00FB5541">
        <w:t xml:space="preserve">s livelihoods is included </w:t>
      </w:r>
      <w:r w:rsidR="001330B3">
        <w:t xml:space="preserve">under the current themes two and three, these </w:t>
      </w:r>
      <w:r w:rsidR="00FB5541">
        <w:t xml:space="preserve">focus specifically on the </w:t>
      </w:r>
      <w:r w:rsidR="001330B3">
        <w:t xml:space="preserve">conditions of </w:t>
      </w:r>
      <w:r w:rsidR="00700295">
        <w:t xml:space="preserve">homeworkers and </w:t>
      </w:r>
      <w:r w:rsidR="001330B3">
        <w:t xml:space="preserve">migrant workers </w:t>
      </w:r>
      <w:r w:rsidR="00700295">
        <w:t>only</w:t>
      </w:r>
      <w:r w:rsidR="001330B3">
        <w:t>. The much wider issues of women’s li</w:t>
      </w:r>
      <w:r w:rsidR="006070A4">
        <w:t>v</w:t>
      </w:r>
      <w:r w:rsidR="001330B3">
        <w:t>elihoods through small and medium enterprises and through formal employment</w:t>
      </w:r>
      <w:r w:rsidR="00FB5541">
        <w:t xml:space="preserve">, are </w:t>
      </w:r>
      <w:r w:rsidR="001330B3">
        <w:t xml:space="preserve">currently not addressed through thematic areas. </w:t>
      </w:r>
    </w:p>
    <w:p w14:paraId="3B7BE388" w14:textId="552B2409" w:rsidR="00C73F93" w:rsidRDefault="00A46C6E" w:rsidP="001C48E2">
      <w:pPr>
        <w:jc w:val="both"/>
      </w:pPr>
      <w:r>
        <w:t xml:space="preserve">Respondents also suggested that more could be achieved </w:t>
      </w:r>
      <w:r w:rsidR="00945E94">
        <w:t>through a</w:t>
      </w:r>
      <w:r w:rsidR="00A80543">
        <w:t>n</w:t>
      </w:r>
      <w:r w:rsidR="00945E94">
        <w:t xml:space="preserve"> integrated response to the conditions of women in particular locations</w:t>
      </w:r>
      <w:r w:rsidR="00F20952">
        <w:t>,</w:t>
      </w:r>
      <w:r w:rsidR="00945E94">
        <w:t xml:space="preserve"> </w:t>
      </w:r>
      <w:r>
        <w:t xml:space="preserve">with </w:t>
      </w:r>
      <w:r w:rsidR="00945E94">
        <w:t xml:space="preserve">multiple partners </w:t>
      </w:r>
      <w:r w:rsidR="00A80543">
        <w:t xml:space="preserve">being managed in order to cooperate </w:t>
      </w:r>
      <w:r w:rsidR="00945E94">
        <w:t>together in that location</w:t>
      </w:r>
      <w:r>
        <w:t>. O</w:t>
      </w:r>
      <w:r w:rsidR="00945E94">
        <w:t>ther areas for improvement include more engagement of young women</w:t>
      </w:r>
      <w:r>
        <w:t xml:space="preserve"> and increased </w:t>
      </w:r>
      <w:r w:rsidR="00D91366">
        <w:t>focus on</w:t>
      </w:r>
      <w:r>
        <w:t xml:space="preserve"> issues relevant</w:t>
      </w:r>
      <w:r w:rsidR="003E61FB">
        <w:t xml:space="preserve"> to younger women.</w:t>
      </w:r>
    </w:p>
    <w:p w14:paraId="1AD4AF53" w14:textId="1D0CD8D7" w:rsidR="006D4146" w:rsidRDefault="00945E94" w:rsidP="001C48E2">
      <w:pPr>
        <w:jc w:val="both"/>
      </w:pPr>
      <w:r w:rsidRPr="008801B8">
        <w:t xml:space="preserve">The internal </w:t>
      </w:r>
      <w:r w:rsidR="00B41CAC" w:rsidRPr="008801B8">
        <w:t>MAMPU</w:t>
      </w:r>
      <w:r w:rsidRPr="008801B8">
        <w:t xml:space="preserve"> monitoring</w:t>
      </w:r>
      <w:r w:rsidR="0046551F" w:rsidRPr="008801B8">
        <w:t>,</w:t>
      </w:r>
      <w:r w:rsidRPr="008801B8">
        <w:t xml:space="preserve"> and feedback to the ISR</w:t>
      </w:r>
      <w:r w:rsidR="0046551F" w:rsidRPr="008801B8">
        <w:t>,</w:t>
      </w:r>
      <w:r w:rsidRPr="008801B8">
        <w:t xml:space="preserve"> suggest</w:t>
      </w:r>
      <w:r w:rsidR="006070A4">
        <w:t>s</w:t>
      </w:r>
      <w:r w:rsidRPr="008801B8">
        <w:t xml:space="preserve"> that </w:t>
      </w:r>
      <w:r w:rsidR="00B41CAC" w:rsidRPr="008801B8">
        <w:t>MAMPU</w:t>
      </w:r>
      <w:r w:rsidRPr="008801B8">
        <w:t xml:space="preserve"> partners </w:t>
      </w:r>
      <w:r w:rsidR="0046551F" w:rsidRPr="008801B8">
        <w:t xml:space="preserve">and community members </w:t>
      </w:r>
      <w:r w:rsidRPr="008801B8">
        <w:t xml:space="preserve">are </w:t>
      </w:r>
      <w:r w:rsidR="008A0236" w:rsidRPr="008801B8">
        <w:t xml:space="preserve">bringing about more </w:t>
      </w:r>
      <w:r w:rsidRPr="008801B8">
        <w:t xml:space="preserve">change </w:t>
      </w:r>
      <w:r w:rsidR="0046551F" w:rsidRPr="008801B8">
        <w:t xml:space="preserve">at </w:t>
      </w:r>
      <w:r w:rsidR="006070A4">
        <w:t xml:space="preserve">the </w:t>
      </w:r>
      <w:r w:rsidRPr="008801B8">
        <w:t xml:space="preserve">subnational level in Indonesia than in national level policy </w:t>
      </w:r>
      <w:r w:rsidR="008A0236" w:rsidRPr="008801B8">
        <w:t xml:space="preserve">or legislation </w:t>
      </w:r>
      <w:r w:rsidRPr="008801B8">
        <w:t>(although there are exceptions).</w:t>
      </w:r>
      <w:r w:rsidR="001019E3" w:rsidRPr="008801B8">
        <w:t xml:space="preserve"> This is discussed further in the following section on relevance but does raise a question</w:t>
      </w:r>
      <w:r w:rsidR="003E61FB" w:rsidRPr="008801B8">
        <w:t>,</w:t>
      </w:r>
      <w:r w:rsidR="001019E3" w:rsidRPr="008801B8">
        <w:t xml:space="preserve"> identified by many respondents to the ISR</w:t>
      </w:r>
      <w:r w:rsidR="003E61FB" w:rsidRPr="008801B8">
        <w:t>,</w:t>
      </w:r>
      <w:r w:rsidR="001019E3" w:rsidRPr="008801B8">
        <w:t xml:space="preserve"> about </w:t>
      </w:r>
      <w:r w:rsidR="00A44B14" w:rsidRPr="008801B8">
        <w:t xml:space="preserve">the most effective ways to facilitate national level engagement by </w:t>
      </w:r>
      <w:r w:rsidR="00B41CAC" w:rsidRPr="008801B8">
        <w:t>MAMPU</w:t>
      </w:r>
      <w:r w:rsidR="00A44B14" w:rsidRPr="008801B8">
        <w:t xml:space="preserve"> partners</w:t>
      </w:r>
      <w:r w:rsidR="008A0236" w:rsidRPr="008801B8">
        <w:t xml:space="preserve"> that will contribute to change</w:t>
      </w:r>
      <w:r w:rsidR="00A44B14" w:rsidRPr="008801B8">
        <w:t>.</w:t>
      </w:r>
      <w:r w:rsidR="00A44B14">
        <w:t xml:space="preserve"> This </w:t>
      </w:r>
      <w:r w:rsidR="00F20952">
        <w:t xml:space="preserve">might include some </w:t>
      </w:r>
      <w:r w:rsidR="00A44B14">
        <w:t>further development of the current working groups between partners and technical ministries.</w:t>
      </w:r>
      <w:r w:rsidR="006C5862">
        <w:t xml:space="preserve"> </w:t>
      </w:r>
      <w:r w:rsidR="006C5862" w:rsidRPr="00F541E0">
        <w:t xml:space="preserve">It </w:t>
      </w:r>
      <w:r w:rsidR="00A95CFA" w:rsidRPr="00F541E0">
        <w:t>could also include</w:t>
      </w:r>
      <w:r w:rsidR="006C5862" w:rsidRPr="00F541E0">
        <w:t xml:space="preserve"> increased flexibility</w:t>
      </w:r>
      <w:r w:rsidR="00A95CFA" w:rsidRPr="00F541E0">
        <w:t xml:space="preserve"> in funding and program arrangements </w:t>
      </w:r>
      <w:r w:rsidR="006C5862" w:rsidRPr="00F541E0">
        <w:t>to enable national partners to identify the current challenges and</w:t>
      </w:r>
      <w:r w:rsidR="00A95CFA" w:rsidRPr="00F541E0">
        <w:t xml:space="preserve"> how they might work collectively on those challenges. Moving in this direction, creating a more agile and responsive program approach, would require some changes in program management arrangements. More significantly it would require discussion at the level of governance to ensure Government of Indonesia support</w:t>
      </w:r>
      <w:r w:rsidR="00252B86" w:rsidRPr="00252B86">
        <w:t xml:space="preserve"> for the shift.</w:t>
      </w:r>
      <w:r w:rsidR="00252B86">
        <w:t xml:space="preserve"> </w:t>
      </w:r>
    </w:p>
    <w:p w14:paraId="6C56D19A" w14:textId="5CEB036C" w:rsidR="00A44ADC" w:rsidRDefault="00A44ADC" w:rsidP="001C48E2">
      <w:pPr>
        <w:jc w:val="both"/>
      </w:pPr>
      <w:r>
        <w:t xml:space="preserve">Beyond this, several respondents pointed to the significant learning available through the program, in particular the way in which individual and collective partners have been able to bring about change in the voice and influence of women, especially marginalised women, at village and district levels. There was a consistent request for more information about how these processes were undertaken within context and </w:t>
      </w:r>
      <w:r w:rsidR="006E2CFB">
        <w:t xml:space="preserve">an interest in </w:t>
      </w:r>
      <w:r>
        <w:t>more detail about the strategies and processes utilised by CSO</w:t>
      </w:r>
      <w:r w:rsidR="006070A4">
        <w:t>s</w:t>
      </w:r>
      <w:r>
        <w:t xml:space="preserve"> to facilitate this change. Rather than looking to pilots which could be </w:t>
      </w:r>
      <w:r w:rsidRPr="006E2CFB">
        <w:rPr>
          <w:i/>
        </w:rPr>
        <w:t>replicated</w:t>
      </w:r>
      <w:r>
        <w:t>, there was strong interest</w:t>
      </w:r>
      <w:r w:rsidR="00252B86">
        <w:t xml:space="preserve"> from Government of Indonesian respondents and other Indonesian stakeholders, </w:t>
      </w:r>
      <w:r>
        <w:t xml:space="preserve">in understanding change processes and strategies within context and location, in order that the strategies themselves might be </w:t>
      </w:r>
      <w:r w:rsidRPr="006E2CFB">
        <w:rPr>
          <w:i/>
        </w:rPr>
        <w:t xml:space="preserve">disseminated </w:t>
      </w:r>
      <w:r>
        <w:t>appropriately in other locations.</w:t>
      </w:r>
    </w:p>
    <w:p w14:paraId="3EEF3C79" w14:textId="107492FA" w:rsidR="001C51F6" w:rsidRDefault="001C51F6" w:rsidP="001C48E2">
      <w:pPr>
        <w:jc w:val="both"/>
      </w:pPr>
    </w:p>
    <w:p w14:paraId="67B5074C" w14:textId="7DCD71C0" w:rsidR="001C51F6" w:rsidRDefault="001C51F6" w:rsidP="008B18EF">
      <w:pPr>
        <w:pStyle w:val="ListParagraph"/>
        <w:numPr>
          <w:ilvl w:val="2"/>
          <w:numId w:val="19"/>
        </w:numPr>
        <w:jc w:val="both"/>
        <w:outlineLvl w:val="2"/>
        <w:rPr>
          <w:color w:val="2E74B5" w:themeColor="accent1" w:themeShade="BF"/>
          <w:sz w:val="24"/>
          <w:szCs w:val="24"/>
        </w:rPr>
      </w:pPr>
      <w:bookmarkStart w:id="18" w:name="_Toc21523898"/>
      <w:r w:rsidRPr="00D07989">
        <w:rPr>
          <w:color w:val="2E74B5" w:themeColor="accent1" w:themeShade="BF"/>
          <w:sz w:val="24"/>
          <w:szCs w:val="24"/>
        </w:rPr>
        <w:t xml:space="preserve">EOPO </w:t>
      </w:r>
      <w:r>
        <w:rPr>
          <w:color w:val="2E74B5" w:themeColor="accent1" w:themeShade="BF"/>
          <w:sz w:val="24"/>
          <w:szCs w:val="24"/>
        </w:rPr>
        <w:t xml:space="preserve">3 </w:t>
      </w:r>
      <w:r w:rsidRPr="00D07989">
        <w:rPr>
          <w:color w:val="2E74B5" w:themeColor="accent1" w:themeShade="BF"/>
          <w:sz w:val="24"/>
          <w:szCs w:val="24"/>
        </w:rPr>
        <w:t xml:space="preserve"> – </w:t>
      </w:r>
      <w:r>
        <w:rPr>
          <w:color w:val="2E74B5" w:themeColor="accent1" w:themeShade="BF"/>
          <w:sz w:val="24"/>
          <w:szCs w:val="24"/>
        </w:rPr>
        <w:t>Improved access to services, across the five thematic areas</w:t>
      </w:r>
      <w:bookmarkEnd w:id="18"/>
    </w:p>
    <w:p w14:paraId="74D3A60A" w14:textId="73B3565C" w:rsidR="007D5EA8" w:rsidRDefault="007D5EA8" w:rsidP="001C48E2">
      <w:pPr>
        <w:pStyle w:val="ListParagraph"/>
        <w:jc w:val="both"/>
      </w:pPr>
      <w:r w:rsidRPr="00BA6D70">
        <w:rPr>
          <w:b/>
        </w:rPr>
        <w:t>Finding 1:</w:t>
      </w:r>
      <w:r w:rsidR="0041084C" w:rsidRPr="0041084C">
        <w:t xml:space="preserve"> </w:t>
      </w:r>
      <w:r w:rsidR="0041084C">
        <w:t>Since 2014, MAMPU partners have directly assisted 51,000 women and 5000 men to access government services across the five thematic areas.</w:t>
      </w:r>
      <w:r w:rsidR="0041084C">
        <w:rPr>
          <w:rStyle w:val="FootnoteReference"/>
        </w:rPr>
        <w:footnoteReference w:id="39"/>
      </w:r>
      <w:r w:rsidR="0041084C">
        <w:t xml:space="preserve"> (The ISR notes that given the wide-ranging influence of women and community groups at village and district level underpinned by MAMPU partner work, the actual increase in access to services is likely to be higher)</w:t>
      </w:r>
    </w:p>
    <w:p w14:paraId="7695C36B" w14:textId="22266A19" w:rsidR="007D5EA8" w:rsidRPr="00BA6D70" w:rsidRDefault="007D5EA8" w:rsidP="001C48E2">
      <w:pPr>
        <w:pStyle w:val="ListParagraph"/>
        <w:jc w:val="both"/>
        <w:rPr>
          <w:b/>
        </w:rPr>
      </w:pPr>
      <w:r w:rsidRPr="00BA6D70">
        <w:rPr>
          <w:b/>
        </w:rPr>
        <w:t xml:space="preserve">Finding 2: </w:t>
      </w:r>
      <w:r w:rsidR="00BA6D70">
        <w:t xml:space="preserve">Access to service delivery is a complex undertaking and not entirely within MAMPU control </w:t>
      </w:r>
      <w:r w:rsidR="00BA6D70">
        <w:rPr>
          <w:b/>
        </w:rPr>
        <w:t xml:space="preserve"> </w:t>
      </w:r>
    </w:p>
    <w:p w14:paraId="0D20CEFA" w14:textId="77777777" w:rsidR="00E03B44" w:rsidRDefault="00B41CAC" w:rsidP="001C48E2">
      <w:pPr>
        <w:jc w:val="both"/>
      </w:pPr>
      <w:r>
        <w:t>MAMPU</w:t>
      </w:r>
      <w:r w:rsidR="00E075AF">
        <w:t xml:space="preserve"> partners have worked directly to provide access to essential services such as sexual and reproductive health services. </w:t>
      </w:r>
      <w:r>
        <w:t>MAMPU</w:t>
      </w:r>
      <w:r w:rsidR="00E075AF">
        <w:t xml:space="preserve"> partners have also </w:t>
      </w:r>
      <w:r w:rsidR="00667CCE">
        <w:t xml:space="preserve">worked to </w:t>
      </w:r>
      <w:r w:rsidR="00667CCE" w:rsidRPr="008801B8">
        <w:t>support national systems</w:t>
      </w:r>
      <w:r w:rsidR="00C45869" w:rsidRPr="008801B8">
        <w:t>,</w:t>
      </w:r>
      <w:r w:rsidR="00C45869">
        <w:t xml:space="preserve"> particular</w:t>
      </w:r>
      <w:r w:rsidR="00E03B44">
        <w:t>ly</w:t>
      </w:r>
      <w:r w:rsidR="00C45869">
        <w:t xml:space="preserve"> to improve services to address gender-based violence. For </w:t>
      </w:r>
      <w:r>
        <w:t>example,</w:t>
      </w:r>
      <w:r w:rsidR="00C45869">
        <w:t xml:space="preserve"> </w:t>
      </w:r>
      <w:r w:rsidR="00E03B44">
        <w:t xml:space="preserve">partners have </w:t>
      </w:r>
      <w:r w:rsidR="00700295">
        <w:t>work</w:t>
      </w:r>
      <w:r w:rsidR="00E03B44">
        <w:t>ed</w:t>
      </w:r>
      <w:r w:rsidR="00BA6D70">
        <w:t xml:space="preserve"> at district level to support </w:t>
      </w:r>
      <w:r w:rsidR="00C45869">
        <w:t xml:space="preserve">the </w:t>
      </w:r>
      <w:r w:rsidR="008A0236">
        <w:rPr>
          <w:rStyle w:val="A7"/>
          <w:rFonts w:cstheme="minorHAnsi"/>
          <w:sz w:val="22"/>
          <w:szCs w:val="22"/>
        </w:rPr>
        <w:t>Integrated</w:t>
      </w:r>
      <w:r w:rsidR="008A0236" w:rsidRPr="002E31D6">
        <w:rPr>
          <w:rStyle w:val="A7"/>
          <w:rFonts w:cstheme="minorHAnsi"/>
          <w:sz w:val="22"/>
          <w:szCs w:val="22"/>
        </w:rPr>
        <w:t xml:space="preserve"> System for Handling Case</w:t>
      </w:r>
      <w:r w:rsidR="00700295">
        <w:rPr>
          <w:rStyle w:val="A7"/>
          <w:rFonts w:cstheme="minorHAnsi"/>
          <w:sz w:val="22"/>
          <w:szCs w:val="22"/>
        </w:rPr>
        <w:t>s of Violence a</w:t>
      </w:r>
      <w:r w:rsidR="008A0236" w:rsidRPr="002E31D6">
        <w:rPr>
          <w:rStyle w:val="A7"/>
          <w:rFonts w:cstheme="minorHAnsi"/>
          <w:sz w:val="22"/>
          <w:szCs w:val="22"/>
        </w:rPr>
        <w:t xml:space="preserve">gainst </w:t>
      </w:r>
      <w:r w:rsidR="008A0236" w:rsidRPr="008A0236">
        <w:rPr>
          <w:rStyle w:val="A7"/>
          <w:rFonts w:cstheme="minorHAnsi"/>
          <w:sz w:val="22"/>
          <w:szCs w:val="22"/>
        </w:rPr>
        <w:t>Women</w:t>
      </w:r>
      <w:r w:rsidR="008A0236" w:rsidRPr="008A0236">
        <w:t xml:space="preserve"> </w:t>
      </w:r>
      <w:r w:rsidR="00C45869" w:rsidRPr="008A0236">
        <w:t>(SPPT-</w:t>
      </w:r>
      <w:r w:rsidR="00C45869">
        <w:t>PKKTP) and revitalis</w:t>
      </w:r>
      <w:r w:rsidR="00E03B44">
        <w:t>e</w:t>
      </w:r>
      <w:r w:rsidR="00C45869">
        <w:t xml:space="preserve"> the</w:t>
      </w:r>
      <w:r w:rsidR="00137A58">
        <w:t xml:space="preserve"> </w:t>
      </w:r>
      <w:r w:rsidR="00C96600" w:rsidRPr="002E31D6">
        <w:rPr>
          <w:rStyle w:val="A7"/>
          <w:rFonts w:cstheme="minorHAnsi"/>
          <w:sz w:val="22"/>
        </w:rPr>
        <w:t>Integrated Services Center for Women and Children’s Empowerment</w:t>
      </w:r>
      <w:r w:rsidR="00C96600">
        <w:t xml:space="preserve"> </w:t>
      </w:r>
      <w:r w:rsidR="00667CCE">
        <w:t>(P2TP</w:t>
      </w:r>
      <w:r w:rsidR="00C45869">
        <w:t>2A)</w:t>
      </w:r>
      <w:r w:rsidR="00137A58">
        <w:t>.</w:t>
      </w:r>
      <w:r w:rsidR="00AF2580">
        <w:rPr>
          <w:rStyle w:val="FootnoteReference"/>
        </w:rPr>
        <w:footnoteReference w:id="40"/>
      </w:r>
      <w:r w:rsidR="00C45869">
        <w:t xml:space="preserve"> </w:t>
      </w:r>
    </w:p>
    <w:p w14:paraId="61F5DFC2" w14:textId="53667B96" w:rsidR="00E075AF" w:rsidRDefault="00E03B44" w:rsidP="001C48E2">
      <w:pPr>
        <w:jc w:val="both"/>
      </w:pPr>
      <w:r>
        <w:t xml:space="preserve">Beyond this, </w:t>
      </w:r>
      <w:r w:rsidR="00B41CAC">
        <w:t>MAMPU</w:t>
      </w:r>
      <w:r w:rsidR="00E075AF">
        <w:t xml:space="preserve"> partners have developed three programs for improved service delivery </w:t>
      </w:r>
      <w:r w:rsidR="007A16F2">
        <w:t>which have now been identified as possible pilots. These are being</w:t>
      </w:r>
      <w:r>
        <w:t xml:space="preserve"> tracked and</w:t>
      </w:r>
      <w:r w:rsidR="007A16F2">
        <w:t xml:space="preserve"> </w:t>
      </w:r>
      <w:r w:rsidR="00C96600">
        <w:t xml:space="preserve">documented </w:t>
      </w:r>
      <w:r>
        <w:t>in order to be available for replication</w:t>
      </w:r>
      <w:r w:rsidR="007A16F2">
        <w:t>, including by Government</w:t>
      </w:r>
      <w:r w:rsidR="00BA40E4">
        <w:t xml:space="preserve"> (</w:t>
      </w:r>
      <w:r w:rsidR="00700295">
        <w:rPr>
          <w:u w:val="single"/>
        </w:rPr>
        <w:t>see Box 5</w:t>
      </w:r>
      <w:r w:rsidR="00BA40E4">
        <w:t>)</w:t>
      </w:r>
      <w:r w:rsidR="00C96600">
        <w:t>.</w:t>
      </w:r>
      <w:r w:rsidR="00E075AF">
        <w:t xml:space="preserve"> </w:t>
      </w:r>
    </w:p>
    <w:p w14:paraId="04C29451" w14:textId="36A5C871" w:rsidR="00667CCE" w:rsidRDefault="00BA40E4" w:rsidP="00441EF2">
      <w:pPr>
        <w:jc w:val="both"/>
      </w:pPr>
      <w:r>
        <w:rPr>
          <w:noProof/>
          <w:lang w:eastAsia="en-AU"/>
        </w:rPr>
        <mc:AlternateContent>
          <mc:Choice Requires="wps">
            <w:drawing>
              <wp:anchor distT="45720" distB="45720" distL="114300" distR="114300" simplePos="0" relativeHeight="251687936" behindDoc="1" locked="0" layoutInCell="1" allowOverlap="1" wp14:anchorId="53E046A8" wp14:editId="01852601">
                <wp:simplePos x="0" y="0"/>
                <wp:positionH relativeFrom="column">
                  <wp:posOffset>0</wp:posOffset>
                </wp:positionH>
                <wp:positionV relativeFrom="paragraph">
                  <wp:posOffset>154940</wp:posOffset>
                </wp:positionV>
                <wp:extent cx="5702300" cy="2940050"/>
                <wp:effectExtent l="0" t="0" r="12700" b="12700"/>
                <wp:wrapTight wrapText="bothSides">
                  <wp:wrapPolygon edited="0">
                    <wp:start x="0" y="0"/>
                    <wp:lineTo x="0" y="21553"/>
                    <wp:lineTo x="21576" y="21553"/>
                    <wp:lineTo x="2157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940050"/>
                        </a:xfrm>
                        <a:prstGeom prst="rect">
                          <a:avLst/>
                        </a:prstGeom>
                        <a:solidFill>
                          <a:srgbClr val="FFFFFF"/>
                        </a:solidFill>
                        <a:ln w="9525">
                          <a:solidFill>
                            <a:srgbClr val="000000"/>
                          </a:solidFill>
                          <a:miter lim="800000"/>
                          <a:headEnd/>
                          <a:tailEnd/>
                        </a:ln>
                      </wps:spPr>
                      <wps:txbx>
                        <w:txbxContent>
                          <w:p w14:paraId="336787A8" w14:textId="2CDF0503" w:rsidR="00551718" w:rsidRDefault="00551718" w:rsidP="00700295">
                            <w:pPr>
                              <w:pStyle w:val="Heading4"/>
                              <w:rPr>
                                <w:sz w:val="20"/>
                              </w:rPr>
                            </w:pPr>
                            <w:r>
                              <w:rPr>
                                <w:sz w:val="20"/>
                              </w:rPr>
                              <w:t>Box 5</w:t>
                            </w:r>
                            <w:r w:rsidRPr="006034D2">
                              <w:rPr>
                                <w:sz w:val="20"/>
                              </w:rPr>
                              <w:t xml:space="preserve">. MAMPU </w:t>
                            </w:r>
                            <w:r>
                              <w:rPr>
                                <w:sz w:val="20"/>
                              </w:rPr>
                              <w:t>programs being documented as potential pilots</w:t>
                            </w:r>
                          </w:p>
                          <w:p w14:paraId="306C46FB" w14:textId="25CC16F8" w:rsidR="00551718" w:rsidRPr="00700295" w:rsidRDefault="00551718" w:rsidP="00CD6F7A">
                            <w:pPr>
                              <w:pStyle w:val="ListParagraph"/>
                              <w:numPr>
                                <w:ilvl w:val="0"/>
                                <w:numId w:val="13"/>
                              </w:numPr>
                              <w:jc w:val="both"/>
                              <w:rPr>
                                <w:i/>
                                <w:iCs/>
                                <w:color w:val="44546A" w:themeColor="text2"/>
                                <w:sz w:val="20"/>
                                <w:szCs w:val="18"/>
                              </w:rPr>
                            </w:pPr>
                            <w:r w:rsidRPr="00441EF2">
                              <w:rPr>
                                <w:i/>
                                <w:sz w:val="20"/>
                              </w:rPr>
                              <w:t>Sekolah Perempuan</w:t>
                            </w:r>
                            <w:r w:rsidRPr="00700295">
                              <w:rPr>
                                <w:sz w:val="20"/>
                              </w:rPr>
                              <w:t>, a community-based approach to empower poor women to monitor and influence decision-making at local government levels. MAMPU progress reports in April 2018 showed that local governments in East Java, NTB, and South Sulawesi have made budgetary allocations towards replicating this approach in non-MAMPU villages.</w:t>
                            </w:r>
                          </w:p>
                          <w:p w14:paraId="44EBEA91" w14:textId="647366A0" w:rsidR="00551718" w:rsidRPr="00BA40E4" w:rsidRDefault="00551718" w:rsidP="00CD6F7A">
                            <w:pPr>
                              <w:pStyle w:val="ListParagraph"/>
                              <w:numPr>
                                <w:ilvl w:val="0"/>
                                <w:numId w:val="13"/>
                              </w:numPr>
                              <w:jc w:val="both"/>
                              <w:rPr>
                                <w:i/>
                                <w:iCs/>
                                <w:color w:val="44546A" w:themeColor="text2"/>
                                <w:sz w:val="20"/>
                                <w:szCs w:val="18"/>
                              </w:rPr>
                            </w:pPr>
                            <w:r w:rsidRPr="00441EF2">
                              <w:rPr>
                                <w:i/>
                                <w:sz w:val="20"/>
                              </w:rPr>
                              <w:t>KLIK Pekka</w:t>
                            </w:r>
                            <w:r w:rsidRPr="00BA40E4">
                              <w:rPr>
                                <w:sz w:val="20"/>
                              </w:rPr>
                              <w:t>, a mobile service to increase access for poor families to range of government legal identity and social protection services. This approach is being widely implemented across villages where Pekka is active. While there is interest from local government</w:t>
                            </w:r>
                            <w:r>
                              <w:rPr>
                                <w:sz w:val="20"/>
                              </w:rPr>
                              <w:t>s,</w:t>
                            </w:r>
                            <w:r w:rsidRPr="00BA40E4">
                              <w:rPr>
                                <w:sz w:val="20"/>
                              </w:rPr>
                              <w:t xml:space="preserve"> the current challenge is the lack of district budgetary resources.</w:t>
                            </w:r>
                          </w:p>
                          <w:p w14:paraId="29929F48" w14:textId="77777777" w:rsidR="00551718" w:rsidRPr="00BA40E4" w:rsidRDefault="00551718" w:rsidP="00CD6F7A">
                            <w:pPr>
                              <w:pStyle w:val="ListParagraph"/>
                              <w:numPr>
                                <w:ilvl w:val="0"/>
                                <w:numId w:val="13"/>
                              </w:numPr>
                              <w:jc w:val="both"/>
                              <w:rPr>
                                <w:i/>
                                <w:iCs/>
                                <w:color w:val="44546A" w:themeColor="text2"/>
                                <w:sz w:val="20"/>
                                <w:szCs w:val="18"/>
                              </w:rPr>
                            </w:pPr>
                            <w:r w:rsidRPr="00441EF2">
                              <w:rPr>
                                <w:i/>
                                <w:sz w:val="20"/>
                              </w:rPr>
                              <w:t>Desa Peduli Buruh Migran (DESBUMI)</w:t>
                            </w:r>
                            <w:r w:rsidRPr="00BA40E4">
                              <w:rPr>
                                <w:sz w:val="20"/>
                              </w:rPr>
                              <w:t>, an approach to providing services at the village level for women migrant workers pre, during and post migration.  DESBUMI has had a major influence on DESMIGRATIF, an initiative by the Ministry of Labour. Key features of DESBUMI have been taken up in the new initiative. The Ministry of Labour is currently implementing this initiative in 50 migrant-sending districts across Indonesia, with the potential to create benefit for 600,000 migrants if the initiative is fully implemented in these areas as anticipated by 2020.</w:t>
                            </w:r>
                          </w:p>
                          <w:p w14:paraId="78F5687E" w14:textId="77777777" w:rsidR="00551718" w:rsidRPr="006034D2" w:rsidRDefault="00551718" w:rsidP="006034D2">
                            <w:pPr>
                              <w:ind w:left="360"/>
                              <w:rPr>
                                <w:i/>
                                <w:sz w:val="20"/>
                              </w:rPr>
                            </w:pPr>
                            <w:r>
                              <w:t>(</w:t>
                            </w:r>
                            <w:r w:rsidRPr="006034D2">
                              <w:rPr>
                                <w:i/>
                                <w:sz w:val="20"/>
                              </w:rPr>
                              <w:t>MAMPU report on Pilot tracking, April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046A8" id="_x0000_s1034" type="#_x0000_t202" style="position:absolute;left:0;text-align:left;margin-left:0;margin-top:12.2pt;width:449pt;height:231.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f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">
                <v:textbox>
                  <w:txbxContent>
                    <w:p w14:paraId="336787A8" w14:textId="2CDF0503" w:rsidR="00551718" w:rsidRDefault="00551718" w:rsidP="00700295">
                      <w:pPr>
                        <w:pStyle w:val="Heading4"/>
                        <w:rPr>
                          <w:sz w:val="20"/>
                        </w:rPr>
                      </w:pPr>
                      <w:r>
                        <w:rPr>
                          <w:sz w:val="20"/>
                        </w:rPr>
                        <w:t>Box 5</w:t>
                      </w:r>
                      <w:r w:rsidRPr="006034D2">
                        <w:rPr>
                          <w:sz w:val="20"/>
                        </w:rPr>
                        <w:t xml:space="preserve">. MAMPU </w:t>
                      </w:r>
                      <w:r>
                        <w:rPr>
                          <w:sz w:val="20"/>
                        </w:rPr>
                        <w:t>programs being documented as potential pilots</w:t>
                      </w:r>
                    </w:p>
                    <w:p w14:paraId="306C46FB" w14:textId="25CC16F8" w:rsidR="00551718" w:rsidRPr="00700295" w:rsidRDefault="00551718" w:rsidP="00CD6F7A">
                      <w:pPr>
                        <w:pStyle w:val="ListParagraph"/>
                        <w:numPr>
                          <w:ilvl w:val="0"/>
                          <w:numId w:val="13"/>
                        </w:numPr>
                        <w:jc w:val="both"/>
                        <w:rPr>
                          <w:i/>
                          <w:iCs/>
                          <w:color w:val="44546A" w:themeColor="text2"/>
                          <w:sz w:val="20"/>
                          <w:szCs w:val="18"/>
                        </w:rPr>
                      </w:pPr>
                      <w:r w:rsidRPr="00441EF2">
                        <w:rPr>
                          <w:i/>
                          <w:sz w:val="20"/>
                        </w:rPr>
                        <w:t>Sekolah Perempuan</w:t>
                      </w:r>
                      <w:r w:rsidRPr="00700295">
                        <w:rPr>
                          <w:sz w:val="20"/>
                        </w:rPr>
                        <w:t>, a community-based approach to empower poor women to monitor and influence decision-making at local government levels. MAMPU progress reports in April 2018 showed that local governments in East Java, NTB, and South Sulawesi have made budgetary allocations towards replicating this approach in non-MAMPU villages.</w:t>
                      </w:r>
                    </w:p>
                    <w:p w14:paraId="44EBEA91" w14:textId="647366A0" w:rsidR="00551718" w:rsidRPr="00BA40E4" w:rsidRDefault="00551718" w:rsidP="00CD6F7A">
                      <w:pPr>
                        <w:pStyle w:val="ListParagraph"/>
                        <w:numPr>
                          <w:ilvl w:val="0"/>
                          <w:numId w:val="13"/>
                        </w:numPr>
                        <w:jc w:val="both"/>
                        <w:rPr>
                          <w:i/>
                          <w:iCs/>
                          <w:color w:val="44546A" w:themeColor="text2"/>
                          <w:sz w:val="20"/>
                          <w:szCs w:val="18"/>
                        </w:rPr>
                      </w:pPr>
                      <w:r w:rsidRPr="00441EF2">
                        <w:rPr>
                          <w:i/>
                          <w:sz w:val="20"/>
                        </w:rPr>
                        <w:t>KLIK Pekka</w:t>
                      </w:r>
                      <w:r w:rsidRPr="00BA40E4">
                        <w:rPr>
                          <w:sz w:val="20"/>
                        </w:rPr>
                        <w:t>, a mobile service to increase access for poor families to range of government legal identity and social protection services. This approach is being widely implemented across villages where Pekka is active. While there is interest from local government</w:t>
                      </w:r>
                      <w:r>
                        <w:rPr>
                          <w:sz w:val="20"/>
                        </w:rPr>
                        <w:t>s,</w:t>
                      </w:r>
                      <w:r w:rsidRPr="00BA40E4">
                        <w:rPr>
                          <w:sz w:val="20"/>
                        </w:rPr>
                        <w:t xml:space="preserve"> the current challenge is the lack of district budgetary resources.</w:t>
                      </w:r>
                    </w:p>
                    <w:p w14:paraId="29929F48" w14:textId="77777777" w:rsidR="00551718" w:rsidRPr="00BA40E4" w:rsidRDefault="00551718" w:rsidP="00CD6F7A">
                      <w:pPr>
                        <w:pStyle w:val="ListParagraph"/>
                        <w:numPr>
                          <w:ilvl w:val="0"/>
                          <w:numId w:val="13"/>
                        </w:numPr>
                        <w:jc w:val="both"/>
                        <w:rPr>
                          <w:i/>
                          <w:iCs/>
                          <w:color w:val="44546A" w:themeColor="text2"/>
                          <w:sz w:val="20"/>
                          <w:szCs w:val="18"/>
                        </w:rPr>
                      </w:pPr>
                      <w:r w:rsidRPr="00441EF2">
                        <w:rPr>
                          <w:i/>
                          <w:sz w:val="20"/>
                        </w:rPr>
                        <w:t>Desa Peduli Buruh Migran (DESBUMI)</w:t>
                      </w:r>
                      <w:r w:rsidRPr="00BA40E4">
                        <w:rPr>
                          <w:sz w:val="20"/>
                        </w:rPr>
                        <w:t>, an approach to providing services at the village level for women migrant workers pre, during and post migration.  DESBUMI has had a major influence on DESMIGRATIF, an initiative by the Ministry of Labour. Key features of DESBUMI have been taken up in the new initiative. The Ministry of Labour is currently implementing this initiative in 50 migrant-sending districts across Indonesia, with the potential to create benefit for 600,000 migrants if the initiative is fully implemented in these areas as anticipated by 2020.</w:t>
                      </w:r>
                    </w:p>
                    <w:p w14:paraId="78F5687E" w14:textId="77777777" w:rsidR="00551718" w:rsidRPr="006034D2" w:rsidRDefault="00551718" w:rsidP="006034D2">
                      <w:pPr>
                        <w:ind w:left="360"/>
                        <w:rPr>
                          <w:i/>
                          <w:sz w:val="20"/>
                        </w:rPr>
                      </w:pPr>
                      <w:r>
                        <w:t>(</w:t>
                      </w:r>
                      <w:r w:rsidRPr="006034D2">
                        <w:rPr>
                          <w:i/>
                          <w:sz w:val="20"/>
                        </w:rPr>
                        <w:t>MAMPU report on Pilot tracking, April 2018.)</w:t>
                      </w:r>
                    </w:p>
                  </w:txbxContent>
                </v:textbox>
                <w10:wrap type="tight"/>
              </v:shape>
            </w:pict>
          </mc:Fallback>
        </mc:AlternateContent>
      </w:r>
      <w:r w:rsidR="008D57B4">
        <w:t>The available evidence suggests however</w:t>
      </w:r>
      <w:r w:rsidR="006D7FA1">
        <w:t>,</w:t>
      </w:r>
      <w:r w:rsidR="008D57B4">
        <w:t xml:space="preserve"> that </w:t>
      </w:r>
      <w:r w:rsidR="00B41CAC" w:rsidRPr="008801B8">
        <w:t>MAMPU</w:t>
      </w:r>
      <w:r w:rsidR="00027950" w:rsidRPr="008801B8">
        <w:t xml:space="preserve"> is still to achieve </w:t>
      </w:r>
      <w:r w:rsidR="00E03B44" w:rsidRPr="008801B8">
        <w:t xml:space="preserve">its </w:t>
      </w:r>
      <w:r w:rsidR="00B41CAC" w:rsidRPr="008801B8">
        <w:t>longer-term</w:t>
      </w:r>
      <w:r w:rsidR="00027950" w:rsidRPr="008801B8">
        <w:t xml:space="preserve"> intention of significantly improved access to services.</w:t>
      </w:r>
      <w:r w:rsidR="00027950">
        <w:t xml:space="preserve"> </w:t>
      </w:r>
      <w:r w:rsidR="008D57B4">
        <w:t xml:space="preserve"> Independent research focused around thematic area 2 indicates that there has been some success in improving access to local government services and influencing the private sector to assist women working in their suppl</w:t>
      </w:r>
      <w:r w:rsidR="004B3D50">
        <w:t>y chain. Further, that there have</w:t>
      </w:r>
      <w:r w:rsidR="008D57B4">
        <w:t xml:space="preserve"> been benefits for women from increased access to health insurance as a result of CSO activities under this theme. </w:t>
      </w:r>
      <w:r w:rsidR="00B41CAC">
        <w:t>However,</w:t>
      </w:r>
      <w:r w:rsidR="008D57B4">
        <w:t xml:space="preserve"> the research suggests that overall</w:t>
      </w:r>
      <w:r w:rsidR="00027950">
        <w:t>,</w:t>
      </w:r>
      <w:r w:rsidR="008D57B4">
        <w:t xml:space="preserve"> </w:t>
      </w:r>
      <w:r w:rsidR="008D57B4" w:rsidRPr="008801B8">
        <w:t xml:space="preserve">there has been </w:t>
      </w:r>
      <w:r w:rsidR="00EB4F8C" w:rsidRPr="008801B8">
        <w:t>slower</w:t>
      </w:r>
      <w:r w:rsidR="008D57B4" w:rsidRPr="008801B8">
        <w:t xml:space="preserve"> achievement in sustained improvement in </w:t>
      </w:r>
      <w:r w:rsidR="006070A4">
        <w:t xml:space="preserve">access to </w:t>
      </w:r>
      <w:r w:rsidR="008D57B4" w:rsidRPr="008801B8">
        <w:t>services</w:t>
      </w:r>
      <w:r w:rsidR="004B3D50" w:rsidRPr="008801B8">
        <w:t xml:space="preserve"> tha</w:t>
      </w:r>
      <w:r w:rsidR="006070A4">
        <w:t>n</w:t>
      </w:r>
      <w:r w:rsidR="004B3D50" w:rsidRPr="008801B8">
        <w:t xml:space="preserve"> was anticipated under the original design</w:t>
      </w:r>
      <w:r w:rsidR="00CC638C" w:rsidRPr="008801B8">
        <w:t>.</w:t>
      </w:r>
      <w:r w:rsidR="00027950" w:rsidRPr="008801B8">
        <w:rPr>
          <w:rStyle w:val="FootnoteReference"/>
        </w:rPr>
        <w:footnoteReference w:id="41"/>
      </w:r>
    </w:p>
    <w:p w14:paraId="70711F34" w14:textId="38D316F9" w:rsidR="00BE40AE" w:rsidRDefault="00027950" w:rsidP="001C48E2">
      <w:pPr>
        <w:jc w:val="both"/>
      </w:pPr>
      <w:r>
        <w:t>A</w:t>
      </w:r>
      <w:r w:rsidR="00CC638C">
        <w:t xml:space="preserve"> substantial independent study</w:t>
      </w:r>
      <w:r w:rsidR="004B3D50">
        <w:rPr>
          <w:rStyle w:val="FootnoteReference"/>
        </w:rPr>
        <w:footnoteReference w:id="42"/>
      </w:r>
      <w:r w:rsidR="004B3D50">
        <w:t xml:space="preserve"> has</w:t>
      </w:r>
      <w:r w:rsidR="00CC638C">
        <w:t xml:space="preserve"> found considerable variation in service delivery improvements as a result of </w:t>
      </w:r>
      <w:r w:rsidR="00B41CAC">
        <w:t>MAMPU</w:t>
      </w:r>
      <w:r w:rsidR="00CC638C">
        <w:t xml:space="preserve"> activity. The study found that the most consistent improvement was improved access to health insurance. It </w:t>
      </w:r>
      <w:r>
        <w:t xml:space="preserve">identified a </w:t>
      </w:r>
      <w:r w:rsidR="00CC638C">
        <w:t>further correlation</w:t>
      </w:r>
      <w:r>
        <w:t xml:space="preserve"> of</w:t>
      </w:r>
      <w:r w:rsidR="00CC638C">
        <w:t xml:space="preserve"> improved access to health services as a result of the available insurance.</w:t>
      </w:r>
      <w:r w:rsidR="00C20BA2">
        <w:t xml:space="preserve"> </w:t>
      </w:r>
      <w:r w:rsidR="00CC638C">
        <w:t>However</w:t>
      </w:r>
      <w:r>
        <w:t>,</w:t>
      </w:r>
      <w:r w:rsidR="00CC638C">
        <w:t xml:space="preserve"> this research notes that there is less</w:t>
      </w:r>
      <w:r>
        <w:t xml:space="preserve"> clear progress </w:t>
      </w:r>
      <w:r w:rsidR="00CC638C">
        <w:t>in the other thematic areas</w:t>
      </w:r>
      <w:r>
        <w:t>. I</w:t>
      </w:r>
      <w:r w:rsidR="00CC638C">
        <w:t xml:space="preserve">t identifies that women are still more likely to report violence to family members or community rather than going to police </w:t>
      </w:r>
      <w:r>
        <w:t>or the</w:t>
      </w:r>
      <w:r w:rsidR="00CC638C">
        <w:t xml:space="preserve"> integrated service. Migrant workers are accessing services where </w:t>
      </w:r>
      <w:r w:rsidR="00B41CAC">
        <w:t>MAMPU</w:t>
      </w:r>
      <w:r w:rsidR="00CC638C">
        <w:t xml:space="preserve"> partners are active or whe</w:t>
      </w:r>
      <w:r>
        <w:t>re</w:t>
      </w:r>
      <w:r w:rsidR="00CC638C">
        <w:t xml:space="preserve"> government is directly making services available, but not otherwise. </w:t>
      </w:r>
    </w:p>
    <w:p w14:paraId="3EC6FE49" w14:textId="7B8E227D" w:rsidR="00CC638C" w:rsidRDefault="00CC638C" w:rsidP="001C48E2">
      <w:pPr>
        <w:jc w:val="both"/>
      </w:pPr>
      <w:r>
        <w:t xml:space="preserve">The study noted that access to services is complex and beyond what </w:t>
      </w:r>
      <w:r w:rsidR="00B41CAC">
        <w:t>MAMPU</w:t>
      </w:r>
      <w:r>
        <w:t xml:space="preserve"> can</w:t>
      </w:r>
      <w:r w:rsidR="00027950">
        <w:t xml:space="preserve"> achieve on its own. I</w:t>
      </w:r>
      <w:r>
        <w:t xml:space="preserve">t suggests that increased access to services </w:t>
      </w:r>
      <w:r w:rsidR="00B265F7">
        <w:t>does require information and confidence to use the services, but also requires attention to cost and</w:t>
      </w:r>
      <w:r>
        <w:t xml:space="preserve"> infrastructure</w:t>
      </w:r>
      <w:r w:rsidR="00B265F7">
        <w:t xml:space="preserve">, and consideration of </w:t>
      </w:r>
      <w:r>
        <w:t xml:space="preserve">social </w:t>
      </w:r>
      <w:r w:rsidR="00B265F7">
        <w:t xml:space="preserve">and </w:t>
      </w:r>
      <w:r>
        <w:t>cultural barriers</w:t>
      </w:r>
      <w:r w:rsidR="00B265F7">
        <w:t>,</w:t>
      </w:r>
      <w:r>
        <w:t xml:space="preserve"> especially for services addressing violence and reproductive health. </w:t>
      </w:r>
      <w:r w:rsidR="0052652D">
        <w:t>This suggests that intended EOPO 3 may be difficult to achieve without further development of MAMPU</w:t>
      </w:r>
      <w:r w:rsidR="00F33C93">
        <w:t xml:space="preserve">’s </w:t>
      </w:r>
      <w:r w:rsidR="0052652D">
        <w:t>approach or increase</w:t>
      </w:r>
      <w:r w:rsidR="00F33C93">
        <w:t>d</w:t>
      </w:r>
      <w:r w:rsidR="0052652D">
        <w:t xml:space="preserve"> cooperation with other services. </w:t>
      </w:r>
    </w:p>
    <w:p w14:paraId="16CE13D1" w14:textId="77777777" w:rsidR="00453C23" w:rsidRDefault="00453C23" w:rsidP="001C48E2">
      <w:pPr>
        <w:jc w:val="both"/>
      </w:pPr>
    </w:p>
    <w:p w14:paraId="5BBD4229" w14:textId="655308ED" w:rsidR="00453C23" w:rsidRDefault="00453C23" w:rsidP="008B18EF">
      <w:pPr>
        <w:pStyle w:val="ListParagraph"/>
        <w:numPr>
          <w:ilvl w:val="2"/>
          <w:numId w:val="19"/>
        </w:numPr>
        <w:jc w:val="both"/>
        <w:outlineLvl w:val="2"/>
        <w:rPr>
          <w:color w:val="2E74B5" w:themeColor="accent1" w:themeShade="BF"/>
          <w:sz w:val="24"/>
          <w:szCs w:val="24"/>
        </w:rPr>
      </w:pPr>
      <w:bookmarkStart w:id="19" w:name="_Toc21523899"/>
      <w:r>
        <w:rPr>
          <w:color w:val="2E74B5" w:themeColor="accent1" w:themeShade="BF"/>
          <w:sz w:val="24"/>
          <w:szCs w:val="24"/>
        </w:rPr>
        <w:t>Beyond program outcomes</w:t>
      </w:r>
      <w:bookmarkEnd w:id="19"/>
    </w:p>
    <w:p w14:paraId="2D650ECA" w14:textId="77777777" w:rsidR="0047084C" w:rsidRDefault="004D4BCF" w:rsidP="001C48E2">
      <w:pPr>
        <w:jc w:val="both"/>
      </w:pPr>
      <w:r>
        <w:t xml:space="preserve">Beyond </w:t>
      </w:r>
      <w:r w:rsidR="001A7589">
        <w:t xml:space="preserve">the program outcomes, several respondents identified the value of </w:t>
      </w:r>
      <w:r w:rsidR="00B41CAC">
        <w:t>MAMPU</w:t>
      </w:r>
      <w:r w:rsidR="001A7589">
        <w:t xml:space="preserve"> as a program of long-term support for</w:t>
      </w:r>
      <w:r>
        <w:t>,</w:t>
      </w:r>
      <w:r w:rsidR="001A7589">
        <w:t xml:space="preserve"> and confidence in</w:t>
      </w:r>
      <w:r>
        <w:t>,</w:t>
      </w:r>
      <w:r w:rsidR="001A7589">
        <w:t xml:space="preserve"> the women’s movement in Indonesia. As noted</w:t>
      </w:r>
      <w:r>
        <w:t>,</w:t>
      </w:r>
      <w:r w:rsidR="001A7589">
        <w:t xml:space="preserve"> several respondents identified the creation of a ‘space’ by the program, where diverse organisations were able to cooperate together</w:t>
      </w:r>
      <w:r>
        <w:t>,</w:t>
      </w:r>
      <w:r w:rsidR="001A7589">
        <w:t xml:space="preserve"> learn from each other</w:t>
      </w:r>
      <w:r>
        <w:t>,</w:t>
      </w:r>
      <w:r w:rsidR="001A7589">
        <w:t xml:space="preserve"> and engage in respectful dialogue to support gender equality and women’s empowerment in Indonesia. </w:t>
      </w:r>
    </w:p>
    <w:p w14:paraId="0F976194" w14:textId="7161BE69" w:rsidR="00BE4786" w:rsidRDefault="00AC6039" w:rsidP="001C48E2">
      <w:pPr>
        <w:jc w:val="both"/>
      </w:pPr>
      <w:r>
        <w:t>The ISR team were able to consult with and examine the approach of a broad range of other donors in Indonesia and the</w:t>
      </w:r>
      <w:r w:rsidR="00EC6997">
        <w:t>ir</w:t>
      </w:r>
      <w:r>
        <w:t xml:space="preserve"> support for gender equality and women’s empowerment. </w:t>
      </w:r>
      <w:r w:rsidR="00D80686">
        <w:t>Notably these programs group around four major areas. This includes health</w:t>
      </w:r>
      <w:r w:rsidR="00293DCA">
        <w:t>,</w:t>
      </w:r>
      <w:r w:rsidR="00D80686">
        <w:t xml:space="preserve"> in particular sexual and reproductive health, action to combat gender-based violence, action to address female genital mutilation, and programs focused around women and peace building. There are also some small programs addressing disaster risk reduction and improving public administration with strong gender equality components. Based on the available figures from other donors, MAMPU remains the largest and most significant program funded by </w:t>
      </w:r>
      <w:r w:rsidR="00293DCA">
        <w:t xml:space="preserve">a </w:t>
      </w:r>
      <w:r w:rsidR="00D80686">
        <w:t xml:space="preserve">donor for </w:t>
      </w:r>
      <w:r w:rsidR="00BE4786">
        <w:t xml:space="preserve">gender equality and women’s empowerment in Indonesia. It also remains the </w:t>
      </w:r>
      <w:r w:rsidR="00946D00">
        <w:t>widest</w:t>
      </w:r>
      <w:r w:rsidR="00BE4786">
        <w:t xml:space="preserve"> reaching and is one of the </w:t>
      </w:r>
      <w:r w:rsidR="0077583F">
        <w:t>longer-term</w:t>
      </w:r>
      <w:r w:rsidR="00293DCA">
        <w:t xml:space="preserve"> program</w:t>
      </w:r>
      <w:r w:rsidR="00BE4786">
        <w:t xml:space="preserve">s focused consistently in this area. </w:t>
      </w:r>
    </w:p>
    <w:p w14:paraId="60C46983" w14:textId="76AA86FA" w:rsidR="00BE4786" w:rsidRPr="0041714F" w:rsidRDefault="00BE4786" w:rsidP="001C48E2">
      <w:pPr>
        <w:jc w:val="both"/>
      </w:pPr>
      <w:r w:rsidRPr="0041714F">
        <w:t xml:space="preserve">Feedback from the </w:t>
      </w:r>
      <w:r w:rsidR="00293DCA" w:rsidRPr="0041714F">
        <w:t>donor</w:t>
      </w:r>
      <w:r w:rsidRPr="0041714F">
        <w:t xml:space="preserve"> community</w:t>
      </w:r>
      <w:r w:rsidR="00293DCA" w:rsidRPr="0041714F">
        <w:t xml:space="preserve"> suggests there is </w:t>
      </w:r>
      <w:r w:rsidRPr="0041714F">
        <w:t xml:space="preserve">strong recognition of Australia’s major contribution in this area, particularly its commitment over time and its willingness to support a wide range of thematic </w:t>
      </w:r>
      <w:r w:rsidR="00293DCA" w:rsidRPr="0041714F">
        <w:t xml:space="preserve">and </w:t>
      </w:r>
      <w:r w:rsidRPr="0041714F">
        <w:t>cross cutting areas of relevance to women and</w:t>
      </w:r>
      <w:r w:rsidR="00293DCA" w:rsidRPr="0041714F">
        <w:t xml:space="preserve"> the </w:t>
      </w:r>
      <w:r w:rsidRPr="0041714F">
        <w:t>women’s movement in Indonesia. Several of the donors interviewed for this review suggested that their programs were intended to either</w:t>
      </w:r>
      <w:r w:rsidR="00E95DDC" w:rsidRPr="0041714F">
        <w:t xml:space="preserve"> focus in areas </w:t>
      </w:r>
      <w:r w:rsidRPr="0041714F">
        <w:t>outside of Australia’s focus or to complement and cooperate with areas included in MAMPU.</w:t>
      </w:r>
    </w:p>
    <w:p w14:paraId="1BD70ABB" w14:textId="77777777" w:rsidR="00BE4786" w:rsidRPr="0041714F" w:rsidRDefault="00BE4786" w:rsidP="001C48E2">
      <w:pPr>
        <w:jc w:val="both"/>
      </w:pPr>
      <w:r w:rsidRPr="0041714F">
        <w:t>There was strong support for continuing and expanding the donor network for programs focused on gender equality and women’s empowerment, which Australia currently facilitates. Other donors saw value in the network and in the possibility that it could be expanded beyond information sharing to more active engagement around shared learning and exchange of strategic understanding.</w:t>
      </w:r>
    </w:p>
    <w:p w14:paraId="18F52770" w14:textId="0FC20CB1" w:rsidR="00AC6039" w:rsidRPr="0041714F" w:rsidRDefault="00BE4786" w:rsidP="001C48E2">
      <w:pPr>
        <w:jc w:val="both"/>
      </w:pPr>
      <w:r w:rsidRPr="0041714F">
        <w:t>As noted earlier in the report</w:t>
      </w:r>
      <w:r w:rsidR="00E95DDC" w:rsidRPr="0041714F">
        <w:t>,</w:t>
      </w:r>
      <w:r w:rsidRPr="0041714F">
        <w:t xml:space="preserve"> many donors are making use of women’s organisations and other </w:t>
      </w:r>
      <w:r w:rsidR="00E95DDC" w:rsidRPr="0041714F">
        <w:t>CSO</w:t>
      </w:r>
      <w:r w:rsidR="00F33C93">
        <w:t>s</w:t>
      </w:r>
      <w:r w:rsidRPr="0041714F">
        <w:t xml:space="preserve"> to implement programs related to gender equality and women’s empowerment. There is a common concern with the sustainability of organisations and some donors have a broader concern with how to sustain and support the women’s movement across Indonesia more generally. These might be areas</w:t>
      </w:r>
      <w:r w:rsidR="00E95DDC" w:rsidRPr="0041714F">
        <w:t xml:space="preserve"> for further exploration and discussion within the donor network. </w:t>
      </w:r>
    </w:p>
    <w:p w14:paraId="0FF6B52E" w14:textId="7E3590C8" w:rsidR="00395601" w:rsidRPr="0041714F" w:rsidRDefault="00395601" w:rsidP="001C48E2">
      <w:pPr>
        <w:jc w:val="both"/>
      </w:pPr>
      <w:r w:rsidRPr="0041714F">
        <w:t xml:space="preserve">It is the view of the ISR team that without </w:t>
      </w:r>
      <w:r w:rsidR="00B41CAC" w:rsidRPr="0041714F">
        <w:t>MAMPU</w:t>
      </w:r>
      <w:r w:rsidRPr="0041714F">
        <w:t>, several, perhaps most, of the partner CSO</w:t>
      </w:r>
      <w:r w:rsidR="00F33C93">
        <w:t xml:space="preserve">s </w:t>
      </w:r>
      <w:r w:rsidRPr="0041714F">
        <w:t xml:space="preserve">would likely still exist and be working for change, albeit with lower capacity and reduced scope. </w:t>
      </w:r>
      <w:r w:rsidR="00B41CAC" w:rsidRPr="0041714F">
        <w:t>However,</w:t>
      </w:r>
      <w:r w:rsidRPr="0041714F">
        <w:t xml:space="preserve"> in the absence of </w:t>
      </w:r>
      <w:r w:rsidR="00B41CAC" w:rsidRPr="0041714F">
        <w:t>MAMPU</w:t>
      </w:r>
      <w:r w:rsidRPr="0041714F">
        <w:t>, it is also likely that the overall women</w:t>
      </w:r>
      <w:r w:rsidR="004F34BE" w:rsidRPr="0041714F">
        <w:t>’</w:t>
      </w:r>
      <w:r w:rsidRPr="0041714F">
        <w:t>s movement in Indonesia would be weaker, have reduced leadership and be less prepared to work for women’s empowerment and gender equality in Indonesia into the future.</w:t>
      </w:r>
    </w:p>
    <w:p w14:paraId="06914FC0" w14:textId="548F794C" w:rsidR="00877D43" w:rsidRDefault="00877D43" w:rsidP="001C48E2">
      <w:pPr>
        <w:jc w:val="both"/>
        <w:rPr>
          <w:b/>
        </w:rPr>
      </w:pPr>
      <w:r w:rsidRPr="0041714F">
        <w:rPr>
          <w:b/>
        </w:rPr>
        <w:t>Given the compelling international research on the</w:t>
      </w:r>
      <w:r w:rsidR="00D4420E" w:rsidRPr="0041714F">
        <w:rPr>
          <w:b/>
        </w:rPr>
        <w:t xml:space="preserve"> correlation </w:t>
      </w:r>
      <w:r w:rsidRPr="0041714F">
        <w:rPr>
          <w:b/>
        </w:rPr>
        <w:t>between a competent national women’s movement and</w:t>
      </w:r>
      <w:r w:rsidR="00D4420E" w:rsidRPr="0041714F">
        <w:rPr>
          <w:b/>
        </w:rPr>
        <w:t xml:space="preserve"> shifts in national policy and legislation which address issues for women, this is </w:t>
      </w:r>
      <w:r w:rsidR="00F33C93">
        <w:rPr>
          <w:b/>
        </w:rPr>
        <w:t xml:space="preserve">a </w:t>
      </w:r>
      <w:r w:rsidR="00D4420E" w:rsidRPr="0041714F">
        <w:rPr>
          <w:b/>
        </w:rPr>
        <w:t>contribution of some significance.</w:t>
      </w:r>
      <w:r w:rsidR="00D4420E" w:rsidRPr="0041714F">
        <w:rPr>
          <w:rStyle w:val="FootnoteReference"/>
          <w:b/>
        </w:rPr>
        <w:footnoteReference w:id="43"/>
      </w:r>
    </w:p>
    <w:p w14:paraId="1F2D2B42" w14:textId="77777777" w:rsidR="00453C23" w:rsidRPr="00E95DDC" w:rsidRDefault="00453C23" w:rsidP="001C48E2">
      <w:pPr>
        <w:jc w:val="both"/>
        <w:rPr>
          <w:b/>
        </w:rPr>
      </w:pPr>
    </w:p>
    <w:p w14:paraId="6206D5C4" w14:textId="77777777" w:rsidR="00453C23" w:rsidRDefault="00453C23" w:rsidP="00453C23">
      <w:pPr>
        <w:pStyle w:val="ListParagraph"/>
        <w:ind w:left="1224"/>
        <w:jc w:val="both"/>
        <w:rPr>
          <w:color w:val="2E74B5" w:themeColor="accent1" w:themeShade="BF"/>
          <w:sz w:val="24"/>
          <w:szCs w:val="24"/>
        </w:rPr>
      </w:pPr>
    </w:p>
    <w:p w14:paraId="65B0C70E" w14:textId="2E9F3308" w:rsidR="00453C23" w:rsidRPr="008B18EF" w:rsidRDefault="00453C23" w:rsidP="008B18EF">
      <w:pPr>
        <w:pStyle w:val="ListParagraph"/>
        <w:numPr>
          <w:ilvl w:val="1"/>
          <w:numId w:val="19"/>
        </w:numPr>
        <w:jc w:val="both"/>
        <w:outlineLvl w:val="1"/>
        <w:rPr>
          <w:color w:val="2E74B5" w:themeColor="accent1" w:themeShade="BF"/>
          <w:sz w:val="26"/>
          <w:szCs w:val="26"/>
        </w:rPr>
      </w:pPr>
      <w:bookmarkStart w:id="20" w:name="_Toc21523900"/>
      <w:r w:rsidRPr="008B18EF">
        <w:rPr>
          <w:color w:val="2E74B5" w:themeColor="accent1" w:themeShade="BF"/>
          <w:sz w:val="26"/>
          <w:szCs w:val="26"/>
        </w:rPr>
        <w:t>Relevance</w:t>
      </w:r>
      <w:bookmarkEnd w:id="20"/>
    </w:p>
    <w:p w14:paraId="2C7579F9" w14:textId="77777777" w:rsidR="00453C23" w:rsidRDefault="00453C23" w:rsidP="00453C23">
      <w:pPr>
        <w:pStyle w:val="ListParagraph"/>
        <w:ind w:left="792"/>
        <w:jc w:val="both"/>
        <w:rPr>
          <w:color w:val="2E74B5" w:themeColor="accent1" w:themeShade="BF"/>
          <w:sz w:val="24"/>
          <w:szCs w:val="24"/>
        </w:rPr>
      </w:pPr>
    </w:p>
    <w:p w14:paraId="770B1A40" w14:textId="05E82937" w:rsidR="00453C23" w:rsidRDefault="00453C23" w:rsidP="008B18EF">
      <w:pPr>
        <w:pStyle w:val="ListParagraph"/>
        <w:numPr>
          <w:ilvl w:val="2"/>
          <w:numId w:val="19"/>
        </w:numPr>
        <w:jc w:val="both"/>
        <w:outlineLvl w:val="2"/>
        <w:rPr>
          <w:color w:val="2E74B5" w:themeColor="accent1" w:themeShade="BF"/>
          <w:sz w:val="24"/>
          <w:szCs w:val="24"/>
        </w:rPr>
      </w:pPr>
      <w:bookmarkStart w:id="21" w:name="_Toc21523901"/>
      <w:r>
        <w:rPr>
          <w:color w:val="2E74B5" w:themeColor="accent1" w:themeShade="BF"/>
          <w:sz w:val="24"/>
          <w:szCs w:val="24"/>
        </w:rPr>
        <w:t>MAMPU CSO Partners</w:t>
      </w:r>
      <w:bookmarkEnd w:id="21"/>
    </w:p>
    <w:p w14:paraId="27B1FFFE" w14:textId="2DB7C146" w:rsidR="000E7765" w:rsidRDefault="00B41CAC" w:rsidP="001C48E2">
      <w:pPr>
        <w:jc w:val="both"/>
      </w:pPr>
      <w:r>
        <w:t>MAMPU</w:t>
      </w:r>
      <w:r w:rsidR="000E7765">
        <w:t xml:space="preserve"> CSO partners</w:t>
      </w:r>
      <w:r w:rsidR="00D905D6">
        <w:t xml:space="preserve"> report that </w:t>
      </w:r>
      <w:r w:rsidR="00167E5E">
        <w:t>the resources provided by the program and its focus on networks and collaboration have</w:t>
      </w:r>
      <w:r w:rsidR="000E7765">
        <w:t xml:space="preserve"> been highly relevant, enabling them to develop their work and providing the opportunity for them to work in coalitions and extended partnerships. </w:t>
      </w:r>
      <w:r>
        <w:t>MAMPU</w:t>
      </w:r>
      <w:r w:rsidR="000E7765">
        <w:t xml:space="preserve"> has enabled the CSO partners to expand their r</w:t>
      </w:r>
      <w:r w:rsidR="00D905D6">
        <w:t>each</w:t>
      </w:r>
      <w:r w:rsidR="000E7765">
        <w:t>, in particular in subnational locations.</w:t>
      </w:r>
    </w:p>
    <w:p w14:paraId="5F57E007" w14:textId="049EA906" w:rsidR="009F1075" w:rsidRPr="008801B8" w:rsidRDefault="009F1075" w:rsidP="001C48E2">
      <w:pPr>
        <w:jc w:val="both"/>
      </w:pPr>
      <w:r w:rsidRPr="008801B8">
        <w:t>MAMPU partners have not seen as much value from the technical assistance received through the program. While this was not opinion shared by all partners, there was a widely held view that for technical advisors to be of value, they should be Indonesian and have considerable experience in the relevant technical field. Several partners suggested that sharing of expertise between partners may be a more valuable way of building cross organisational capacity than single issue technical advisors.</w:t>
      </w:r>
    </w:p>
    <w:p w14:paraId="72B66E64" w14:textId="77777777" w:rsidR="000E7765" w:rsidRPr="008801B8" w:rsidRDefault="000E7765" w:rsidP="001C48E2">
      <w:pPr>
        <w:jc w:val="both"/>
      </w:pPr>
      <w:r w:rsidRPr="008801B8">
        <w:t>Partn</w:t>
      </w:r>
      <w:r w:rsidR="008808E1" w:rsidRPr="008801B8">
        <w:t>ers report that they value</w:t>
      </w:r>
      <w:r w:rsidRPr="008801B8">
        <w:t xml:space="preserve"> the space created for them to work together. Several of the partners suggested that </w:t>
      </w:r>
      <w:r w:rsidR="00024646" w:rsidRPr="008801B8">
        <w:t>this</w:t>
      </w:r>
      <w:r w:rsidRPr="008801B8">
        <w:t xml:space="preserve"> space </w:t>
      </w:r>
      <w:r w:rsidR="00024646" w:rsidRPr="008801B8">
        <w:t xml:space="preserve">should be widened, </w:t>
      </w:r>
      <w:r w:rsidRPr="008801B8">
        <w:t>to include a broader range of organisations supporting women’s empowerment and gender equality. They recognised that this would likely lead to an overall reduction in the funds available to each organisation, but saw value in a wider range of partners and more diverse dialogue.</w:t>
      </w:r>
    </w:p>
    <w:p w14:paraId="5BB5E3BB" w14:textId="410097D2" w:rsidR="00024646" w:rsidRPr="008801B8" w:rsidRDefault="00B41CAC" w:rsidP="001C48E2">
      <w:pPr>
        <w:jc w:val="both"/>
      </w:pPr>
      <w:r w:rsidRPr="008801B8">
        <w:t>MAMPU</w:t>
      </w:r>
      <w:r w:rsidR="000E7765" w:rsidRPr="008801B8">
        <w:t xml:space="preserve"> CSO partners </w:t>
      </w:r>
      <w:r w:rsidR="00024646" w:rsidRPr="008801B8">
        <w:t xml:space="preserve">valued </w:t>
      </w:r>
      <w:r w:rsidR="000E7765" w:rsidRPr="008801B8">
        <w:t xml:space="preserve">the opportunity created for them </w:t>
      </w:r>
      <w:r w:rsidR="00D905D6" w:rsidRPr="008801B8">
        <w:t xml:space="preserve">in Phase 2 </w:t>
      </w:r>
      <w:r w:rsidR="000E7765" w:rsidRPr="008801B8">
        <w:t xml:space="preserve">to work with </w:t>
      </w:r>
      <w:r w:rsidR="006A032D" w:rsidRPr="008801B8">
        <w:t xml:space="preserve">the </w:t>
      </w:r>
      <w:r w:rsidR="000E7765" w:rsidRPr="008801B8">
        <w:t>national government</w:t>
      </w:r>
      <w:r w:rsidR="00024646" w:rsidRPr="008801B8">
        <w:t xml:space="preserve">. </w:t>
      </w:r>
      <w:r w:rsidR="000E7765" w:rsidRPr="008801B8">
        <w:t xml:space="preserve"> </w:t>
      </w:r>
      <w:r w:rsidR="00024646" w:rsidRPr="008801B8">
        <w:t>Some of the partners</w:t>
      </w:r>
      <w:r w:rsidR="006A032D" w:rsidRPr="008801B8">
        <w:t>,</w:t>
      </w:r>
      <w:r w:rsidR="00024646" w:rsidRPr="008801B8">
        <w:t xml:space="preserve"> particularly those focused on single issues, saw this development as </w:t>
      </w:r>
      <w:r w:rsidR="000E7765" w:rsidRPr="008801B8">
        <w:t>very relevant to their work. However</w:t>
      </w:r>
      <w:r w:rsidR="00024646" w:rsidRPr="008801B8">
        <w:t xml:space="preserve"> most of the CSO were interested in </w:t>
      </w:r>
      <w:r w:rsidR="00D4420E" w:rsidRPr="008801B8">
        <w:t xml:space="preserve">developing this relationship further, to enable more </w:t>
      </w:r>
      <w:r w:rsidR="000E7765" w:rsidRPr="008801B8">
        <w:t>robust</w:t>
      </w:r>
      <w:r w:rsidR="00024646" w:rsidRPr="008801B8">
        <w:t xml:space="preserve"> and practical work with government at the national level, particularly the technical ministries. There was a </w:t>
      </w:r>
      <w:r w:rsidR="00D4420E" w:rsidRPr="008801B8">
        <w:t xml:space="preserve">widely held </w:t>
      </w:r>
      <w:r w:rsidR="00024646" w:rsidRPr="008801B8">
        <w:t>view that the current working group arrangement with technical ministries needed further improvement.</w:t>
      </w:r>
      <w:r w:rsidR="00706810" w:rsidRPr="008801B8">
        <w:t xml:space="preserve"> In large part this is due to the limited engagement by those technical ministries and the inconsistent participation in the scheduled meetings. MAMPU partners and BAPPENAS both identified this is an area for improvement.</w:t>
      </w:r>
    </w:p>
    <w:p w14:paraId="6BEE66A8" w14:textId="67267E03" w:rsidR="00024646" w:rsidRDefault="006A032D" w:rsidP="001C48E2">
      <w:pPr>
        <w:jc w:val="both"/>
      </w:pPr>
      <w:r w:rsidRPr="008801B8">
        <w:t xml:space="preserve">All the CSO partners were concerned with organisational sustainability and reported that the </w:t>
      </w:r>
      <w:r w:rsidR="00B41CAC" w:rsidRPr="008801B8">
        <w:t>MAMPU</w:t>
      </w:r>
      <w:r w:rsidRPr="008801B8">
        <w:t xml:space="preserve"> support for them to develop sustainability plans was highly relevant.</w:t>
      </w:r>
      <w:r w:rsidR="00B1722B">
        <w:t xml:space="preserve"> It is clear however from interviews with each of the partners that the organisations are very </w:t>
      </w:r>
      <w:r w:rsidR="0073693C">
        <w:t>interested</w:t>
      </w:r>
      <w:r w:rsidR="00B1722B">
        <w:t xml:space="preserve"> in moving towards </w:t>
      </w:r>
      <w:r w:rsidR="0073693C">
        <w:t>more</w:t>
      </w:r>
      <w:r w:rsidR="00B1722B">
        <w:t xml:space="preserve"> sustainable forms. </w:t>
      </w:r>
      <w:r w:rsidR="00946D00">
        <w:t>Several</w:t>
      </w:r>
      <w:r w:rsidR="00B1722B">
        <w:t xml:space="preserve"> of the organisations have other funding sources and/or receive support from members. </w:t>
      </w:r>
      <w:r w:rsidR="0077583F">
        <w:t>However,</w:t>
      </w:r>
      <w:r w:rsidR="009F1075">
        <w:t xml:space="preserve"> none of the organisations would be working as extensively within either the thematic area or the </w:t>
      </w:r>
      <w:r w:rsidR="0077583F">
        <w:t>cross-cutting</w:t>
      </w:r>
      <w:r w:rsidR="009F1075">
        <w:t xml:space="preserve"> areas without the current resources provided by MAMPU. This is a concern for the long-term sustainability of the work.</w:t>
      </w:r>
      <w:r w:rsidR="00B1722B">
        <w:t xml:space="preserve"> </w:t>
      </w:r>
    </w:p>
    <w:p w14:paraId="091F5F51" w14:textId="502B8089" w:rsidR="005306EC" w:rsidRDefault="006A032D" w:rsidP="001C48E2">
      <w:pPr>
        <w:jc w:val="both"/>
      </w:pPr>
      <w:r>
        <w:t xml:space="preserve">The </w:t>
      </w:r>
      <w:r w:rsidR="00024646">
        <w:t>thematic areas</w:t>
      </w:r>
      <w:r>
        <w:t xml:space="preserve"> continue </w:t>
      </w:r>
      <w:r w:rsidR="00024646">
        <w:t>to be relevant to some agencies</w:t>
      </w:r>
      <w:r>
        <w:t>,</w:t>
      </w:r>
      <w:r w:rsidR="00024646">
        <w:t xml:space="preserve"> in particular those </w:t>
      </w:r>
      <w:r w:rsidR="00B41CAC">
        <w:t>issue-based</w:t>
      </w:r>
      <w:r w:rsidR="00024646">
        <w:t xml:space="preserve"> organisations. </w:t>
      </w:r>
      <w:r w:rsidR="00B41CAC">
        <w:t>However,</w:t>
      </w:r>
      <w:r w:rsidR="00024646">
        <w:t xml:space="preserve"> several partners indicated that </w:t>
      </w:r>
      <w:r>
        <w:t>in the light of emerging challenges and opportunities</w:t>
      </w:r>
      <w:r w:rsidR="008B3FE0">
        <w:t>,</w:t>
      </w:r>
      <w:r>
        <w:t xml:space="preserve"> the thematic areas were less relevant to their work going forward. Some of the CSO partners pointed to the need for more integrated approaches to working with women</w:t>
      </w:r>
      <w:r w:rsidR="00E87B07">
        <w:t>,</w:t>
      </w:r>
      <w:r>
        <w:t xml:space="preserve"> particularly poor women, in order to address the multiple barriers </w:t>
      </w:r>
      <w:r w:rsidR="008808E1">
        <w:t>to their inclusion in decision making and development processes</w:t>
      </w:r>
      <w:r w:rsidR="00FB5D1C">
        <w:t xml:space="preserve">. Some partners suggested that this could be achieved through </w:t>
      </w:r>
      <w:r w:rsidR="00B41CAC">
        <w:t>location-based</w:t>
      </w:r>
      <w:r w:rsidR="00FB5D1C">
        <w:t xml:space="preserve"> approaches, with multiple partners cooperating together and/or through support for individual partners to work in more responsive and holistic </w:t>
      </w:r>
      <w:r w:rsidR="0073693C">
        <w:t>way</w:t>
      </w:r>
      <w:r w:rsidR="00FB5D1C">
        <w:t>s</w:t>
      </w:r>
      <w:r w:rsidR="008808E1">
        <w:t xml:space="preserve"> in single locations</w:t>
      </w:r>
      <w:r w:rsidR="00FB5D1C">
        <w:t xml:space="preserve">. </w:t>
      </w:r>
    </w:p>
    <w:p w14:paraId="33E5202F" w14:textId="2FEEF0D2" w:rsidR="006A032D" w:rsidRDefault="005306EC" w:rsidP="001C48E2">
      <w:pPr>
        <w:jc w:val="both"/>
      </w:pPr>
      <w:r w:rsidRPr="008801B8">
        <w:t>While the current program management has worked hard to facilitate cross program collaboration, in order for the program to move to a more agile and responsive way of working, as noted before, it would need to be further explored at the level of governance. A more agile program would have implications for program outcomes and program reporting. It would certainly have implications for preapproved program work plans.  These tensions may not be able to be</w:t>
      </w:r>
      <w:r w:rsidR="00003F1B" w:rsidRPr="008801B8">
        <w:t xml:space="preserve"> fully addressed in</w:t>
      </w:r>
      <w:r w:rsidR="007D205A">
        <w:t xml:space="preserve"> the </w:t>
      </w:r>
      <w:r w:rsidR="00003F1B" w:rsidRPr="008801B8">
        <w:t xml:space="preserve">remaining life of the program, but discussion around program ways of working and how to facilitate a more agile approach could be introduced as part of planning for any new program that might emerge following MAMPU </w:t>
      </w:r>
      <w:r w:rsidR="004407DC" w:rsidRPr="008801B8">
        <w:t>Phase 2.</w:t>
      </w:r>
    </w:p>
    <w:p w14:paraId="78108D4D" w14:textId="2DD304FD" w:rsidR="00FB5D1C" w:rsidRPr="008801B8" w:rsidRDefault="00FB5D1C" w:rsidP="001C48E2">
      <w:pPr>
        <w:jc w:val="both"/>
      </w:pPr>
      <w:r>
        <w:t>The CSO partners identified several emerging and ongoing challenges</w:t>
      </w:r>
      <w:r w:rsidR="00D4420E">
        <w:t xml:space="preserve"> to the empowerment of women in Indonesia</w:t>
      </w:r>
      <w:r w:rsidR="004407DC">
        <w:t>, as discussed earlier</w:t>
      </w:r>
      <w:r>
        <w:t xml:space="preserve">. </w:t>
      </w:r>
      <w:r w:rsidR="008B3FE0">
        <w:t>Partners identified the need to develop new strategies for change</w:t>
      </w:r>
      <w:r w:rsidR="00D4420E">
        <w:t>,</w:t>
      </w:r>
      <w:r w:rsidR="008B3FE0">
        <w:t xml:space="preserve"> including strategies that </w:t>
      </w:r>
      <w:r w:rsidR="00D4420E">
        <w:t xml:space="preserve">will </w:t>
      </w:r>
      <w:r w:rsidR="008B3FE0">
        <w:t xml:space="preserve">engage </w:t>
      </w:r>
      <w:r w:rsidR="00D4420E">
        <w:t xml:space="preserve">more effectively </w:t>
      </w:r>
      <w:r w:rsidR="008B3FE0">
        <w:t xml:space="preserve">with younger women. There was a consistent view from several partners that they needed more information </w:t>
      </w:r>
      <w:r w:rsidR="008808E1">
        <w:t xml:space="preserve">(including </w:t>
      </w:r>
      <w:r w:rsidR="00466064">
        <w:t>informed</w:t>
      </w:r>
      <w:r w:rsidR="008808E1">
        <w:t xml:space="preserve"> understanding of </w:t>
      </w:r>
      <w:r w:rsidR="00466064">
        <w:t>national</w:t>
      </w:r>
      <w:r w:rsidR="008808E1">
        <w:t xml:space="preserve"> </w:t>
      </w:r>
      <w:r w:rsidR="00466064">
        <w:t>government</w:t>
      </w:r>
      <w:r w:rsidR="008808E1">
        <w:t xml:space="preserve"> laws and </w:t>
      </w:r>
      <w:r w:rsidR="00466064">
        <w:t>implementation</w:t>
      </w:r>
      <w:r w:rsidR="008808E1">
        <w:t xml:space="preserve"> </w:t>
      </w:r>
      <w:r w:rsidR="00466064">
        <w:t>regulations</w:t>
      </w:r>
      <w:r w:rsidR="008808E1">
        <w:t xml:space="preserve">) </w:t>
      </w:r>
      <w:r w:rsidR="008B3FE0">
        <w:t xml:space="preserve">and </w:t>
      </w:r>
      <w:r w:rsidR="00466064" w:rsidRPr="008801B8">
        <w:t xml:space="preserve">improved </w:t>
      </w:r>
      <w:r w:rsidR="008B3FE0" w:rsidRPr="008801B8">
        <w:t>knowledge management to enable them to address these and other emerging challenges.</w:t>
      </w:r>
      <w:r w:rsidR="004407DC" w:rsidRPr="008801B8">
        <w:t xml:space="preserve"> MAMPU could begin to foster this knowledge exchange as one strategy in its final 18 months of operation. This in turn may support partners to begin to develop new strategies going forward.</w:t>
      </w:r>
    </w:p>
    <w:p w14:paraId="2E09C832" w14:textId="7C59B680" w:rsidR="008B3FE0" w:rsidRDefault="008B3FE0" w:rsidP="001C48E2">
      <w:pPr>
        <w:jc w:val="both"/>
      </w:pPr>
      <w:r w:rsidRPr="008801B8">
        <w:t>Most of the CSO partners saw ongoing opportunities working at the subnational level in the</w:t>
      </w:r>
      <w:r>
        <w:t xml:space="preserve"> decentralised </w:t>
      </w:r>
      <w:r w:rsidR="00E87B07">
        <w:t>Indonesian</w:t>
      </w:r>
      <w:r>
        <w:t xml:space="preserve"> context. Work framed around the </w:t>
      </w:r>
      <w:r w:rsidR="00E87B07">
        <w:t>SDGs</w:t>
      </w:r>
      <w:r>
        <w:t xml:space="preserve"> was seen as a good opportunity</w:t>
      </w:r>
      <w:r w:rsidR="00E87B07">
        <w:t xml:space="preserve"> for further cooperation</w:t>
      </w:r>
      <w:r>
        <w:t xml:space="preserve"> with government and other stakeholders at </w:t>
      </w:r>
      <w:r w:rsidR="00466064">
        <w:t>this</w:t>
      </w:r>
      <w:r>
        <w:t xml:space="preserve"> level. Some partners identified increased engagement with the private sector</w:t>
      </w:r>
      <w:r w:rsidR="00E87B07">
        <w:t xml:space="preserve"> a</w:t>
      </w:r>
      <w:r>
        <w:t>s likely to be relevant to the</w:t>
      </w:r>
      <w:r w:rsidR="00E87B07">
        <w:t>ir</w:t>
      </w:r>
      <w:r>
        <w:t xml:space="preserve"> future work on empowerment and gender equality.</w:t>
      </w:r>
      <w:r w:rsidR="00D17C4B">
        <w:t xml:space="preserve"> MAMPU Phase 2 could assist partners to focus on both areas in the remaining life of the program.</w:t>
      </w:r>
    </w:p>
    <w:p w14:paraId="6EC09EAA" w14:textId="3A85FF8D" w:rsidR="00CD6F7A" w:rsidRDefault="00CD6F7A" w:rsidP="008B18EF">
      <w:pPr>
        <w:pStyle w:val="ListParagraph"/>
        <w:numPr>
          <w:ilvl w:val="2"/>
          <w:numId w:val="19"/>
        </w:numPr>
        <w:jc w:val="both"/>
        <w:outlineLvl w:val="2"/>
        <w:rPr>
          <w:color w:val="2E74B5" w:themeColor="accent1" w:themeShade="BF"/>
          <w:sz w:val="24"/>
          <w:szCs w:val="24"/>
        </w:rPr>
      </w:pPr>
      <w:bookmarkStart w:id="22" w:name="_Toc21523902"/>
      <w:r>
        <w:rPr>
          <w:color w:val="2E74B5" w:themeColor="accent1" w:themeShade="BF"/>
          <w:sz w:val="24"/>
          <w:szCs w:val="24"/>
        </w:rPr>
        <w:t>The women’s movement</w:t>
      </w:r>
      <w:bookmarkEnd w:id="22"/>
    </w:p>
    <w:p w14:paraId="1AA4BF91" w14:textId="7C997516" w:rsidR="00612B69" w:rsidRDefault="00D6121C" w:rsidP="001C48E2">
      <w:pPr>
        <w:jc w:val="both"/>
      </w:pPr>
      <w:r>
        <w:t xml:space="preserve">As discussed earlier the women’s movement in Indonesia is likely to be extremely important to increased social and economic development as well as critical to progress in gender equality and women’s empowerment. </w:t>
      </w:r>
      <w:r w:rsidR="00FA0EAE">
        <w:t>Respondents</w:t>
      </w:r>
      <w:r>
        <w:t>, including partners and other donors as well as expert opinion sought during the review, all suggested that</w:t>
      </w:r>
      <w:r w:rsidR="00FA0EAE">
        <w:t xml:space="preserve"> </w:t>
      </w:r>
      <w:r w:rsidR="00B41CAC">
        <w:t>MAMPU</w:t>
      </w:r>
      <w:r w:rsidR="00FA0EAE">
        <w:t xml:space="preserve"> </w:t>
      </w:r>
      <w:r>
        <w:t>has contributed to supporting</w:t>
      </w:r>
      <w:r w:rsidR="007D205A">
        <w:t xml:space="preserve"> the </w:t>
      </w:r>
      <w:r>
        <w:t>women’s movement in Indonesia</w:t>
      </w:r>
      <w:r w:rsidR="00FA0EAE">
        <w:t>, especially</w:t>
      </w:r>
      <w:r>
        <w:t xml:space="preserve"> through </w:t>
      </w:r>
      <w:r w:rsidR="00FA0EAE">
        <w:t>long-term support for</w:t>
      </w:r>
      <w:r w:rsidR="00B3407D">
        <w:t xml:space="preserve"> women</w:t>
      </w:r>
      <w:r w:rsidR="00FA0EAE">
        <w:t>’s voice and through its work to support women’s access to services.</w:t>
      </w:r>
      <w:r w:rsidR="00612B69">
        <w:t xml:space="preserve"> As noted above there was strong support for the </w:t>
      </w:r>
      <w:r w:rsidR="00844730">
        <w:t>‘</w:t>
      </w:r>
      <w:r w:rsidR="00612B69">
        <w:t>space</w:t>
      </w:r>
      <w:r w:rsidR="00844730">
        <w:t>’</w:t>
      </w:r>
      <w:r w:rsidR="00612B69">
        <w:t xml:space="preserve"> created by </w:t>
      </w:r>
      <w:r w:rsidR="00B41CAC">
        <w:t>MAMPU</w:t>
      </w:r>
      <w:r w:rsidR="00612B69">
        <w:t xml:space="preserve"> for dialogue and engagement between women’s organisations. Some respondents suggested that </w:t>
      </w:r>
      <w:r w:rsidR="00B41CAC">
        <w:t>MAMPU</w:t>
      </w:r>
      <w:r w:rsidR="00612B69">
        <w:t xml:space="preserve"> has become </w:t>
      </w:r>
      <w:r w:rsidR="00B3407D">
        <w:t xml:space="preserve">almost a </w:t>
      </w:r>
      <w:r w:rsidR="00612B69">
        <w:t xml:space="preserve">brand or symbol for </w:t>
      </w:r>
      <w:r w:rsidR="00B3407D">
        <w:t xml:space="preserve">the progressive </w:t>
      </w:r>
      <w:r w:rsidR="00612B69">
        <w:t xml:space="preserve">women’s movement in </w:t>
      </w:r>
      <w:r w:rsidR="00B3407D">
        <w:t>Indonesia</w:t>
      </w:r>
      <w:r w:rsidR="00612B69">
        <w:t>.</w:t>
      </w:r>
      <w:r w:rsidR="00466064">
        <w:t xml:space="preserve"> </w:t>
      </w:r>
      <w:r w:rsidR="00612B69">
        <w:t xml:space="preserve">Particular areas of </w:t>
      </w:r>
      <w:r w:rsidR="00B41CAC">
        <w:t>MAMPU</w:t>
      </w:r>
      <w:r w:rsidR="007D205A">
        <w:t>’s</w:t>
      </w:r>
      <w:r w:rsidR="00612B69">
        <w:t xml:space="preserve"> work were identified as very relevant to</w:t>
      </w:r>
      <w:r w:rsidR="00844730">
        <w:t xml:space="preserve"> countering </w:t>
      </w:r>
      <w:r w:rsidR="00612B69">
        <w:t xml:space="preserve">some of the current attempts to limit gender equality and women’s empowerment to </w:t>
      </w:r>
      <w:r w:rsidR="00B3407D">
        <w:t xml:space="preserve">the </w:t>
      </w:r>
      <w:r w:rsidR="00612B69">
        <w:t>domestic space</w:t>
      </w:r>
      <w:r w:rsidR="00844730">
        <w:t>, i</w:t>
      </w:r>
      <w:r w:rsidR="00612B69">
        <w:t xml:space="preserve">n particular the </w:t>
      </w:r>
      <w:r w:rsidR="00B41CAC">
        <w:t>MAMPU</w:t>
      </w:r>
      <w:r w:rsidR="00B3407D">
        <w:t xml:space="preserve"> </w:t>
      </w:r>
      <w:r w:rsidR="00612B69">
        <w:t>work on reproductive health.</w:t>
      </w:r>
    </w:p>
    <w:p w14:paraId="2319E5EB" w14:textId="20425426" w:rsidR="00D6121C" w:rsidRDefault="00D6121C" w:rsidP="001C48E2">
      <w:pPr>
        <w:jc w:val="both"/>
      </w:pPr>
      <w:r w:rsidRPr="008801B8">
        <w:t>Significantly</w:t>
      </w:r>
      <w:r w:rsidR="00F15168" w:rsidRPr="008801B8">
        <w:t>,</w:t>
      </w:r>
      <w:r w:rsidRPr="008801B8">
        <w:t xml:space="preserve"> there was less understanding of this aspect of MAMPU</w:t>
      </w:r>
      <w:r w:rsidR="007D205A">
        <w:t>’s</w:t>
      </w:r>
      <w:r w:rsidRPr="008801B8">
        <w:t xml:space="preserve"> work among DFAT and government of Indonesia respondents. </w:t>
      </w:r>
      <w:r w:rsidR="00562A4B" w:rsidRPr="008801B8">
        <w:t xml:space="preserve">In particular for the </w:t>
      </w:r>
      <w:r w:rsidR="00F15168" w:rsidRPr="008801B8">
        <w:t xml:space="preserve">Government </w:t>
      </w:r>
      <w:r w:rsidR="00562A4B" w:rsidRPr="008801B8">
        <w:t>of Indonesia, including BAPPENAS, the</w:t>
      </w:r>
      <w:r w:rsidR="00F15168" w:rsidRPr="008801B8">
        <w:t>ir</w:t>
      </w:r>
      <w:r w:rsidR="00562A4B" w:rsidRPr="008801B8">
        <w:t xml:space="preserve"> focus was on addressing specific issues and on gender mainstreaming.</w:t>
      </w:r>
      <w:r w:rsidRPr="008801B8">
        <w:t xml:space="preserve"> </w:t>
      </w:r>
      <w:r w:rsidR="00F15168" w:rsidRPr="008801B8">
        <w:t>Other DFAT programs generally were interested in how women’s organisations and CSO</w:t>
      </w:r>
      <w:r w:rsidR="007D205A">
        <w:t>s</w:t>
      </w:r>
      <w:r w:rsidR="00F15168" w:rsidRPr="008801B8">
        <w:t xml:space="preserve"> were able to work effectively to serve particular program intention</w:t>
      </w:r>
      <w:r w:rsidR="007D205A">
        <w:t>s</w:t>
      </w:r>
      <w:r w:rsidR="00F15168" w:rsidRPr="008801B8">
        <w:t>. Given the importance of a strong women’s movement to effective gender equality, as noted earlier in this report, this may be an area worth further exploration with both Australia and Indonesian government personnel.</w:t>
      </w:r>
    </w:p>
    <w:p w14:paraId="3D55E323" w14:textId="14A4CE7E" w:rsidR="00612B69" w:rsidRDefault="00612B69" w:rsidP="001C48E2">
      <w:pPr>
        <w:jc w:val="both"/>
      </w:pPr>
      <w:r>
        <w:t xml:space="preserve">Respondents suggested that in order to remain relevant to the women’s movement, </w:t>
      </w:r>
      <w:r w:rsidR="00B41CAC">
        <w:t>MAMPU</w:t>
      </w:r>
      <w:r>
        <w:t xml:space="preserve"> should</w:t>
      </w:r>
      <w:r w:rsidR="00F15168">
        <w:t xml:space="preserve"> continue its work </w:t>
      </w:r>
      <w:r>
        <w:t>to support</w:t>
      </w:r>
      <w:r w:rsidR="00844730">
        <w:t xml:space="preserve"> women</w:t>
      </w:r>
      <w:r>
        <w:t xml:space="preserve">’s leadership and </w:t>
      </w:r>
      <w:r w:rsidR="00F15168">
        <w:t xml:space="preserve">expand its focus on </w:t>
      </w:r>
      <w:r>
        <w:t>economic development</w:t>
      </w:r>
      <w:r w:rsidR="00F15168">
        <w:t xml:space="preserve"> (which will be in line with the areas proposed by BAPPENAS)</w:t>
      </w:r>
      <w:r>
        <w:t xml:space="preserve">. </w:t>
      </w:r>
      <w:r w:rsidR="00F15168">
        <w:t xml:space="preserve">They also suggested that </w:t>
      </w:r>
      <w:r w:rsidR="00B41CAC">
        <w:t>MAMPU</w:t>
      </w:r>
      <w:r>
        <w:t xml:space="preserve"> organisations and other </w:t>
      </w:r>
      <w:r w:rsidR="00B3407D">
        <w:t xml:space="preserve">women’s </w:t>
      </w:r>
      <w:r>
        <w:t xml:space="preserve">organisations should be supported to engage </w:t>
      </w:r>
      <w:r w:rsidR="00466064">
        <w:t xml:space="preserve">further </w:t>
      </w:r>
      <w:r>
        <w:t xml:space="preserve">with the complex political and social reality in Indonesia. </w:t>
      </w:r>
      <w:r w:rsidR="00F15168">
        <w:t>It was proposed that w</w:t>
      </w:r>
      <w:r>
        <w:t xml:space="preserve">omen’s organisations should build new strategies and approaches in order to enhance their relevance to young women and to enable them to engage with new forms of communication. Underpinning these </w:t>
      </w:r>
      <w:r w:rsidR="00844730">
        <w:t xml:space="preserve">proposed </w:t>
      </w:r>
      <w:r>
        <w:t>shifts in organisational competence</w:t>
      </w:r>
      <w:r w:rsidR="00F15168">
        <w:t>,</w:t>
      </w:r>
      <w:r>
        <w:t xml:space="preserve"> </w:t>
      </w:r>
      <w:r w:rsidR="00844730">
        <w:t xml:space="preserve">respondents also identified </w:t>
      </w:r>
      <w:r>
        <w:t>the need for women’s organisations to be better informed and better able to analyse the changing operational context.</w:t>
      </w:r>
    </w:p>
    <w:p w14:paraId="1FC561BA" w14:textId="77B8DA69" w:rsidR="00CD6F7A" w:rsidRDefault="00CD6F7A" w:rsidP="008B18EF">
      <w:pPr>
        <w:pStyle w:val="ListParagraph"/>
        <w:numPr>
          <w:ilvl w:val="2"/>
          <w:numId w:val="19"/>
        </w:numPr>
        <w:jc w:val="both"/>
        <w:outlineLvl w:val="2"/>
        <w:rPr>
          <w:color w:val="2E74B5" w:themeColor="accent1" w:themeShade="BF"/>
          <w:sz w:val="24"/>
          <w:szCs w:val="24"/>
        </w:rPr>
      </w:pPr>
      <w:bookmarkStart w:id="23" w:name="_Toc21523903"/>
      <w:r>
        <w:rPr>
          <w:color w:val="2E74B5" w:themeColor="accent1" w:themeShade="BF"/>
          <w:sz w:val="24"/>
          <w:szCs w:val="24"/>
        </w:rPr>
        <w:t>Civil Society</w:t>
      </w:r>
      <w:bookmarkEnd w:id="23"/>
    </w:p>
    <w:p w14:paraId="03DB4A21" w14:textId="262DD42A" w:rsidR="00EE015F" w:rsidRDefault="0080451A" w:rsidP="001C48E2">
      <w:pPr>
        <w:jc w:val="both"/>
      </w:pPr>
      <w:r>
        <w:t xml:space="preserve">The ISR gave some attention to </w:t>
      </w:r>
      <w:r w:rsidR="007D205A">
        <w:t xml:space="preserve">the </w:t>
      </w:r>
      <w:r>
        <w:t>broader context of civil society in Indonesia</w:t>
      </w:r>
      <w:r w:rsidR="00B12FCE">
        <w:t>, as discussed earlier in this report,</w:t>
      </w:r>
      <w:r>
        <w:t xml:space="preserve"> and the relevance of the </w:t>
      </w:r>
      <w:r w:rsidR="00B41CAC">
        <w:t>MAMPU</w:t>
      </w:r>
      <w:r>
        <w:t xml:space="preserve"> program</w:t>
      </w:r>
      <w:r w:rsidR="00123AD6">
        <w:t xml:space="preserve"> within this sector</w:t>
      </w:r>
      <w:r>
        <w:t xml:space="preserve">. </w:t>
      </w:r>
      <w:r w:rsidR="00B12FCE">
        <w:t xml:space="preserve">In light of the </w:t>
      </w:r>
      <w:r w:rsidR="007D205A">
        <w:t>relation</w:t>
      </w:r>
      <w:r w:rsidR="00B12FCE">
        <w:t xml:space="preserve">ships and challenges more generally in the CSO sector, </w:t>
      </w:r>
      <w:r w:rsidR="00B41CAC">
        <w:t>MAMPU</w:t>
      </w:r>
      <w:r w:rsidR="00EE015F">
        <w:t xml:space="preserve"> support for organisations to develop their overall capacity and organisational form</w:t>
      </w:r>
      <w:r w:rsidR="007D205A">
        <w:t>s</w:t>
      </w:r>
      <w:r w:rsidR="00EE015F">
        <w:t xml:space="preserve"> as well as give attention to long-term sustainability</w:t>
      </w:r>
      <w:r w:rsidR="00095939">
        <w:t xml:space="preserve"> is highly relevant. Ongoing support for </w:t>
      </w:r>
      <w:r w:rsidR="003D61BF">
        <w:t xml:space="preserve">some </w:t>
      </w:r>
      <w:r w:rsidR="00B41CAC">
        <w:t>MAMPU</w:t>
      </w:r>
      <w:r w:rsidR="003D61BF">
        <w:t xml:space="preserve"> partners to </w:t>
      </w:r>
      <w:r w:rsidR="00095939">
        <w:t>undertake service delivery may however be creating some perverse incentives, encouraging ongoing dependency on donor funds rather than adaptation to</w:t>
      </w:r>
      <w:r w:rsidR="00E17862">
        <w:t xml:space="preserve"> potential cooperation </w:t>
      </w:r>
      <w:r w:rsidR="00095939">
        <w:t>with government and private sector</w:t>
      </w:r>
      <w:r w:rsidR="00095939" w:rsidRPr="008801B8">
        <w:t>.</w:t>
      </w:r>
      <w:r w:rsidR="003D61BF" w:rsidRPr="008801B8">
        <w:t xml:space="preserve"> </w:t>
      </w:r>
      <w:r w:rsidR="00B12FCE" w:rsidRPr="008801B8">
        <w:t xml:space="preserve"> Shifting to more targeted funding which supports either particular </w:t>
      </w:r>
      <w:r w:rsidR="00252B86">
        <w:t>activities</w:t>
      </w:r>
      <w:r w:rsidR="007D205A">
        <w:t xml:space="preserve"> </w:t>
      </w:r>
      <w:r w:rsidR="00B12FCE" w:rsidRPr="008801B8">
        <w:t>or improvements within organisations and/or actions which facilitate wider opportunity and change (in line with the targeted grant funding developed by HIVOS), might be a direction for future consideration.</w:t>
      </w:r>
    </w:p>
    <w:p w14:paraId="31236D82" w14:textId="719BD444" w:rsidR="00B12FCE" w:rsidRDefault="00B12FCE" w:rsidP="001C48E2">
      <w:pPr>
        <w:jc w:val="both"/>
      </w:pPr>
      <w:r>
        <w:t>Notably the DFAT funded PEDULI program which also works through Indonesian CSO, is currently grappling with similar issues. It is exploring opportunities to develop ongoing trust funding, together with other more sustainable forms of support for its CSO partners. This is an obvious area for collaboration between the two programs.</w:t>
      </w:r>
    </w:p>
    <w:p w14:paraId="47CF2A70" w14:textId="6A59AD27" w:rsidR="00B12FCE" w:rsidRDefault="00B12FCE" w:rsidP="001C48E2">
      <w:pPr>
        <w:jc w:val="both"/>
      </w:pPr>
      <w:r>
        <w:t>Respondents noted that the private sector remains</w:t>
      </w:r>
      <w:r w:rsidR="00070454">
        <w:t xml:space="preserve"> a</w:t>
      </w:r>
      <w:r>
        <w:t xml:space="preserve"> largely unexplored source of</w:t>
      </w:r>
      <w:r w:rsidR="003A5329">
        <w:t xml:space="preserve"> funding for CSO work in Indonesia. This is clearly an area for further exploration for MAMPU partners.</w:t>
      </w:r>
    </w:p>
    <w:p w14:paraId="0EB77C27" w14:textId="5883E674" w:rsidR="00095939" w:rsidRPr="00CD6F7A" w:rsidRDefault="00CD6F7A" w:rsidP="008B18EF">
      <w:pPr>
        <w:pStyle w:val="ListParagraph"/>
        <w:numPr>
          <w:ilvl w:val="2"/>
          <w:numId w:val="19"/>
        </w:numPr>
        <w:jc w:val="both"/>
        <w:outlineLvl w:val="2"/>
        <w:rPr>
          <w:color w:val="2E74B5" w:themeColor="accent1" w:themeShade="BF"/>
          <w:sz w:val="24"/>
          <w:szCs w:val="24"/>
        </w:rPr>
      </w:pPr>
      <w:bookmarkStart w:id="24" w:name="_Toc21523904"/>
      <w:r>
        <w:rPr>
          <w:color w:val="2E74B5" w:themeColor="accent1" w:themeShade="BF"/>
          <w:sz w:val="24"/>
          <w:szCs w:val="24"/>
        </w:rPr>
        <w:t>Government of Indonesia</w:t>
      </w:r>
      <w:bookmarkEnd w:id="24"/>
    </w:p>
    <w:p w14:paraId="17F3EB71" w14:textId="77777777" w:rsidR="00292ED0" w:rsidRDefault="00292ED0" w:rsidP="001C48E2">
      <w:pPr>
        <w:jc w:val="both"/>
      </w:pPr>
      <w:r>
        <w:t xml:space="preserve">As noted earlier in this report support for gender equality and women’s empowerment is strongly supported at national policy level in Indonesia. </w:t>
      </w:r>
    </w:p>
    <w:p w14:paraId="3C314ED1" w14:textId="47311CCF" w:rsidR="0010621E" w:rsidRDefault="000B0F6E" w:rsidP="001C48E2">
      <w:pPr>
        <w:jc w:val="both"/>
      </w:pPr>
      <w:r>
        <w:t>T</w:t>
      </w:r>
      <w:r w:rsidR="00804F54">
        <w:t xml:space="preserve">hrough its work at the subnational level </w:t>
      </w:r>
      <w:r w:rsidR="00B41CAC">
        <w:t>MAMPU</w:t>
      </w:r>
      <w:r w:rsidR="00804F54">
        <w:t xml:space="preserve"> has sought to work in line with the political momentum of Indonesia, giving particular attention to the implementation of </w:t>
      </w:r>
      <w:r w:rsidR="00070454">
        <w:t xml:space="preserve">the </w:t>
      </w:r>
      <w:r w:rsidR="00804F54">
        <w:t xml:space="preserve">Village </w:t>
      </w:r>
      <w:r w:rsidR="00070454">
        <w:t>L</w:t>
      </w:r>
      <w:r w:rsidR="00804F54">
        <w:t xml:space="preserve">aw, local elections and cooperation with local leaders. Program reports suggest that </w:t>
      </w:r>
      <w:r w:rsidR="00B41CAC">
        <w:t>MAMPU</w:t>
      </w:r>
      <w:r w:rsidR="00804F54">
        <w:t xml:space="preserve"> partners have worked effectively at the subnational level to engage in relevant ways with local policies and regulations and activities for service delivery. The ISR review found evidence of thi</w:t>
      </w:r>
      <w:r w:rsidR="00A975D2">
        <w:t xml:space="preserve">s alignment, </w:t>
      </w:r>
      <w:r>
        <w:t>most strongly at district and subdistrict levels but also at provincial government level.</w:t>
      </w:r>
    </w:p>
    <w:p w14:paraId="5A504B4C" w14:textId="3C8D7F85" w:rsidR="000942BF" w:rsidRDefault="000942BF" w:rsidP="001C48E2">
      <w:pPr>
        <w:jc w:val="both"/>
      </w:pPr>
      <w:r>
        <w:t xml:space="preserve">At the </w:t>
      </w:r>
      <w:r w:rsidR="000B0F6E">
        <w:t xml:space="preserve">National level, </w:t>
      </w:r>
      <w:r>
        <w:t xml:space="preserve">there was </w:t>
      </w:r>
      <w:r w:rsidR="000B0F6E">
        <w:t xml:space="preserve">a deliberate shift in phase II of the program to increase </w:t>
      </w:r>
      <w:r w:rsidR="009B1852">
        <w:t>its</w:t>
      </w:r>
      <w:r w:rsidR="000B0F6E">
        <w:t xml:space="preserve"> alignment and relevance with</w:t>
      </w:r>
      <w:r w:rsidR="00292ED0">
        <w:t xml:space="preserve"> national technical ministries (although, as noted, these require further development</w:t>
      </w:r>
      <w:r w:rsidR="009B1852">
        <w:t>). While this has been favourably received by national government ministries, there was mixed f</w:t>
      </w:r>
      <w:r w:rsidR="000B0F6E">
        <w:t xml:space="preserve">eedback to the ISR </w:t>
      </w:r>
      <w:r>
        <w:t xml:space="preserve">about </w:t>
      </w:r>
      <w:r w:rsidR="00C40B70">
        <w:t xml:space="preserve">the </w:t>
      </w:r>
      <w:r w:rsidR="009B1852">
        <w:t xml:space="preserve">perceived </w:t>
      </w:r>
      <w:r w:rsidR="00E17862">
        <w:t xml:space="preserve">ongoing </w:t>
      </w:r>
      <w:r w:rsidR="009B1852">
        <w:t xml:space="preserve">relevance of </w:t>
      </w:r>
      <w:r w:rsidR="00B41CAC">
        <w:t>MAMPU</w:t>
      </w:r>
      <w:r>
        <w:t>.</w:t>
      </w:r>
      <w:r w:rsidR="00035E6B">
        <w:t xml:space="preserve"> For example, KPPPA</w:t>
      </w:r>
      <w:r w:rsidR="00B1484D">
        <w:t xml:space="preserve"> </w:t>
      </w:r>
      <w:r>
        <w:t xml:space="preserve">and the Ministry of Labour, </w:t>
      </w:r>
      <w:r w:rsidR="001C3FA2">
        <w:t xml:space="preserve">report that </w:t>
      </w:r>
      <w:r w:rsidR="00B41CAC">
        <w:t>MAMPU</w:t>
      </w:r>
      <w:r>
        <w:t xml:space="preserve"> works directly on areas</w:t>
      </w:r>
      <w:r w:rsidR="00FA49CB">
        <w:t xml:space="preserve"> of concern for them and supports policy and program work relevant to their ministries.</w:t>
      </w:r>
      <w:r w:rsidR="00FA49CB">
        <w:rPr>
          <w:rStyle w:val="FootnoteReference"/>
        </w:rPr>
        <w:footnoteReference w:id="44"/>
      </w:r>
      <w:r w:rsidR="00B1484D">
        <w:t xml:space="preserve"> </w:t>
      </w:r>
      <w:r w:rsidR="00035E6B">
        <w:t xml:space="preserve">However, </w:t>
      </w:r>
      <w:r w:rsidR="003B1EA5">
        <w:t>BAPPENAS</w:t>
      </w:r>
      <w:r w:rsidR="00B1484D">
        <w:t xml:space="preserve"> identified the relevance of </w:t>
      </w:r>
      <w:r w:rsidR="00B41CAC">
        <w:t>MAMPU</w:t>
      </w:r>
      <w:r w:rsidR="00B1484D">
        <w:t xml:space="preserve"> work </w:t>
      </w:r>
      <w:r w:rsidR="001C3FA2">
        <w:t xml:space="preserve">to the overall priorities of the government, </w:t>
      </w:r>
      <w:r w:rsidR="00B1484D">
        <w:t xml:space="preserve">but suggested </w:t>
      </w:r>
      <w:r w:rsidR="001C3FA2">
        <w:t xml:space="preserve">that </w:t>
      </w:r>
      <w:r w:rsidR="00B1484D">
        <w:t xml:space="preserve">it has been too localised </w:t>
      </w:r>
      <w:r w:rsidR="001C3FA2">
        <w:t xml:space="preserve">and small-scale in its work, </w:t>
      </w:r>
      <w:r w:rsidR="006340AA">
        <w:t xml:space="preserve">to have significant </w:t>
      </w:r>
      <w:r w:rsidR="00B1484D">
        <w:t xml:space="preserve">relevance to national level policy and service delivery. </w:t>
      </w:r>
      <w:r w:rsidR="003B1EA5">
        <w:t>BAPPENAS</w:t>
      </w:r>
      <w:r w:rsidR="00B1484D">
        <w:t xml:space="preserve"> acknowledge the work with technical ministries through the </w:t>
      </w:r>
      <w:r w:rsidR="008524FE">
        <w:t xml:space="preserve">Pokja (working groups), but suggested that the program needed to have more visibility at national level and be presented in ways which </w:t>
      </w:r>
      <w:r w:rsidR="001C3FA2">
        <w:t xml:space="preserve">better </w:t>
      </w:r>
      <w:r w:rsidR="008524FE">
        <w:t>identified its value for national level policy.</w:t>
      </w:r>
    </w:p>
    <w:p w14:paraId="55659B8B" w14:textId="27BE128F" w:rsidR="008524FE" w:rsidRDefault="00C40B70" w:rsidP="001C48E2">
      <w:pPr>
        <w:jc w:val="both"/>
      </w:pPr>
      <w:r>
        <w:t xml:space="preserve">This appears in part </w:t>
      </w:r>
      <w:r w:rsidR="00DF1C64">
        <w:t>related to a lack of detailed understanding</w:t>
      </w:r>
      <w:r w:rsidR="001C3FA2">
        <w:t xml:space="preserve"> of how the program operates</w:t>
      </w:r>
      <w:r w:rsidR="00DF1C64">
        <w:t xml:space="preserve"> in the subnational context</w:t>
      </w:r>
      <w:r w:rsidR="001C3FA2">
        <w:t>. V</w:t>
      </w:r>
      <w:r w:rsidR="00DF1C64">
        <w:t xml:space="preserve">arious </w:t>
      </w:r>
      <w:r w:rsidR="003B1EA5">
        <w:t>BAPPENAS</w:t>
      </w:r>
      <w:r w:rsidR="001C3FA2">
        <w:t xml:space="preserve"> </w:t>
      </w:r>
      <w:r w:rsidR="00DF1C64">
        <w:t xml:space="preserve">respondents suggested that there </w:t>
      </w:r>
      <w:r w:rsidR="001C3FA2">
        <w:t xml:space="preserve">ought </w:t>
      </w:r>
      <w:r w:rsidR="00DF1C64">
        <w:t xml:space="preserve">to be more detailed reporting on </w:t>
      </w:r>
      <w:r w:rsidR="00B41CAC">
        <w:t>MAMPU</w:t>
      </w:r>
      <w:r>
        <w:t xml:space="preserve"> </w:t>
      </w:r>
      <w:r w:rsidR="00DF1C64">
        <w:t>location-based work</w:t>
      </w:r>
      <w:r>
        <w:t>,</w:t>
      </w:r>
      <w:r w:rsidR="00DF1C64">
        <w:t xml:space="preserve"> in order to illustrate</w:t>
      </w:r>
      <w:r w:rsidR="001C3FA2">
        <w:t xml:space="preserve"> what changes were possible in </w:t>
      </w:r>
      <w:r w:rsidR="00DF1C64">
        <w:t xml:space="preserve">particular contexts </w:t>
      </w:r>
      <w:r w:rsidR="001C3FA2">
        <w:t xml:space="preserve">and how the </w:t>
      </w:r>
      <w:r>
        <w:t xml:space="preserve">same </w:t>
      </w:r>
      <w:r w:rsidR="001C3FA2">
        <w:t>strategies might be utilised elsewhere to support changes in policy and service delivery</w:t>
      </w:r>
      <w:r w:rsidR="00DF1C64">
        <w:t xml:space="preserve">. A further suggestion was to provide greater detail and insight into how </w:t>
      </w:r>
      <w:r w:rsidR="00B41CAC">
        <w:t>MAMPU</w:t>
      </w:r>
      <w:r w:rsidR="00DF1C64">
        <w:t xml:space="preserve"> was working </w:t>
      </w:r>
      <w:r w:rsidR="001C3FA2">
        <w:t xml:space="preserve">to facilitate increased gender equality </w:t>
      </w:r>
      <w:r w:rsidR="00DF1C64">
        <w:t>in decision-making</w:t>
      </w:r>
      <w:r w:rsidR="001C3FA2">
        <w:t xml:space="preserve"> at subnational level and how this could be taken for</w:t>
      </w:r>
      <w:r>
        <w:t>ward</w:t>
      </w:r>
      <w:r w:rsidR="001C3FA2">
        <w:t xml:space="preserve"> in other strategies for gender mainstreaming </w:t>
      </w:r>
      <w:r w:rsidR="00966790">
        <w:t>and gender equality in service provision</w:t>
      </w:r>
      <w:r w:rsidR="00DF1C64">
        <w:t xml:space="preserve">. </w:t>
      </w:r>
      <w:r w:rsidR="003B1EA5">
        <w:t>BAPPENAS</w:t>
      </w:r>
      <w:r w:rsidR="001C3FA2">
        <w:t xml:space="preserve"> was also interested in the three pilot programs and how the </w:t>
      </w:r>
      <w:r w:rsidR="00B41CAC">
        <w:t>MAMPU</w:t>
      </w:r>
      <w:r w:rsidR="001C3FA2">
        <w:t xml:space="preserve"> program could further </w:t>
      </w:r>
      <w:r w:rsidR="00390084">
        <w:t xml:space="preserve">develop </w:t>
      </w:r>
      <w:r w:rsidR="006340AA">
        <w:t>similar</w:t>
      </w:r>
      <w:r w:rsidR="00390084">
        <w:t xml:space="preserve"> service delivery pilots for wider replication. </w:t>
      </w:r>
    </w:p>
    <w:p w14:paraId="360D03C8" w14:textId="522323AD" w:rsidR="00DF1C64" w:rsidRDefault="003B1EA5" w:rsidP="001C48E2">
      <w:pPr>
        <w:jc w:val="both"/>
      </w:pPr>
      <w:r>
        <w:t>BAPPENAS</w:t>
      </w:r>
      <w:r w:rsidR="00DF1C64">
        <w:t xml:space="preserve"> identified that both the new </w:t>
      </w:r>
      <w:r w:rsidR="00B41CAC">
        <w:t>Medium-Term</w:t>
      </w:r>
      <w:r w:rsidR="00390084">
        <w:t xml:space="preserve"> Development Plan </w:t>
      </w:r>
      <w:r w:rsidR="00DF1C64">
        <w:t>and</w:t>
      </w:r>
      <w:r w:rsidR="00390084">
        <w:t xml:space="preserve"> the SDG</w:t>
      </w:r>
      <w:r w:rsidR="00DF1C64">
        <w:t xml:space="preserve">s </w:t>
      </w:r>
      <w:r w:rsidR="00390084">
        <w:t>are</w:t>
      </w:r>
      <w:r w:rsidR="00DF1C64">
        <w:t xml:space="preserve"> </w:t>
      </w:r>
      <w:r w:rsidR="006340AA">
        <w:t xml:space="preserve">the relevant </w:t>
      </w:r>
      <w:r w:rsidR="00DF1C64">
        <w:t>policy frameworks which should direct ongoing CSO work</w:t>
      </w:r>
      <w:r w:rsidR="00966790">
        <w:t xml:space="preserve"> in </w:t>
      </w:r>
      <w:r w:rsidR="00B41CAC">
        <w:t>MAMPU</w:t>
      </w:r>
      <w:r w:rsidR="00DF1C64">
        <w:t>. In particular</w:t>
      </w:r>
      <w:r w:rsidR="00390084">
        <w:t>,</w:t>
      </w:r>
      <w:r w:rsidR="00DF1C64">
        <w:t xml:space="preserve"> </w:t>
      </w:r>
      <w:r>
        <w:t>BAPPENAS</w:t>
      </w:r>
      <w:r w:rsidR="00DF1C64">
        <w:t xml:space="preserve"> identified that economic empowerment and the associated issue of how to increase </w:t>
      </w:r>
      <w:r w:rsidR="009B1852">
        <w:t xml:space="preserve">women’s </w:t>
      </w:r>
      <w:r w:rsidR="00DF1C64">
        <w:t xml:space="preserve">participation in </w:t>
      </w:r>
      <w:r w:rsidR="009B1852">
        <w:t xml:space="preserve">the </w:t>
      </w:r>
      <w:r w:rsidR="00DF1C64">
        <w:t>workforce</w:t>
      </w:r>
      <w:r w:rsidR="00390084">
        <w:t>,</w:t>
      </w:r>
      <w:r w:rsidR="00DF1C64">
        <w:t xml:space="preserve"> will be a focus in the next </w:t>
      </w:r>
      <w:r w:rsidR="00B41CAC">
        <w:t>medium-term</w:t>
      </w:r>
      <w:r w:rsidR="00DF1C64">
        <w:t xml:space="preserve"> development plan</w:t>
      </w:r>
      <w:r w:rsidR="006340AA">
        <w:t xml:space="preserve"> and ought to feature more strongly in MAMPU</w:t>
      </w:r>
      <w:r w:rsidR="00070454">
        <w:t>’s</w:t>
      </w:r>
      <w:r w:rsidR="006340AA">
        <w:t xml:space="preserve"> work</w:t>
      </w:r>
      <w:r w:rsidR="00DF1C64">
        <w:t xml:space="preserve">. </w:t>
      </w:r>
      <w:r>
        <w:t>BAPPENAS</w:t>
      </w:r>
      <w:r w:rsidR="00390084">
        <w:t xml:space="preserve"> suggested that going forward</w:t>
      </w:r>
      <w:r w:rsidR="00966790">
        <w:t>,</w:t>
      </w:r>
      <w:r w:rsidR="00390084">
        <w:t xml:space="preserve"> </w:t>
      </w:r>
      <w:r w:rsidR="00B41CAC">
        <w:t>MAMPU</w:t>
      </w:r>
      <w:r w:rsidR="00390084">
        <w:t xml:space="preserve"> ought to be able to move beyond its thematic areas, in order to work </w:t>
      </w:r>
      <w:r w:rsidR="00966790">
        <w:t xml:space="preserve">in a dynamic way </w:t>
      </w:r>
      <w:r w:rsidR="00390084">
        <w:t>with Government of Indonesia policy and remain relevant to key development issues within the country.</w:t>
      </w:r>
    </w:p>
    <w:p w14:paraId="30A7E8D5" w14:textId="6E91BA7A" w:rsidR="00CD6F7A" w:rsidRDefault="00CD6F7A" w:rsidP="008B18EF">
      <w:pPr>
        <w:pStyle w:val="ListParagraph"/>
        <w:numPr>
          <w:ilvl w:val="2"/>
          <w:numId w:val="19"/>
        </w:numPr>
        <w:jc w:val="both"/>
        <w:outlineLvl w:val="2"/>
        <w:rPr>
          <w:color w:val="2E74B5" w:themeColor="accent1" w:themeShade="BF"/>
          <w:sz w:val="24"/>
          <w:szCs w:val="24"/>
        </w:rPr>
      </w:pPr>
      <w:bookmarkStart w:id="25" w:name="_Toc21523905"/>
      <w:r>
        <w:rPr>
          <w:color w:val="2E74B5" w:themeColor="accent1" w:themeShade="BF"/>
          <w:sz w:val="24"/>
          <w:szCs w:val="24"/>
        </w:rPr>
        <w:t>Government of Australia</w:t>
      </w:r>
      <w:bookmarkEnd w:id="25"/>
    </w:p>
    <w:p w14:paraId="19E185FF" w14:textId="77777777" w:rsidR="009123C6" w:rsidRDefault="00B41CAC" w:rsidP="001C48E2">
      <w:pPr>
        <w:jc w:val="both"/>
      </w:pPr>
      <w:r>
        <w:t>MAMPU</w:t>
      </w:r>
      <w:r w:rsidR="00631814">
        <w:t xml:space="preserve"> phase 2 is strongly aligned to Australian </w:t>
      </w:r>
      <w:r w:rsidR="00D021BC">
        <w:t xml:space="preserve">Government </w:t>
      </w:r>
      <w:r w:rsidR="00631814">
        <w:t>policy. This includes alignment to the Australian Foreign Policy White Paper</w:t>
      </w:r>
      <w:r w:rsidR="00E402C0">
        <w:t>. The</w:t>
      </w:r>
      <w:r w:rsidR="00E402C0" w:rsidRPr="00E402C0">
        <w:t xml:space="preserve"> White Paper commits Australia to uphold values inclusive of gender equality. It specifically identifies support for equality in Indonesia: </w:t>
      </w:r>
    </w:p>
    <w:p w14:paraId="7BDE4FB7" w14:textId="77777777" w:rsidR="009123C6" w:rsidRDefault="00E402C0" w:rsidP="001C48E2">
      <w:pPr>
        <w:ind w:left="720"/>
        <w:jc w:val="both"/>
      </w:pPr>
      <w:r w:rsidRPr="009123C6">
        <w:rPr>
          <w:i/>
        </w:rPr>
        <w:t>Through our development program, we support Indonesia’s efforts to tackle inequality and maintain social stability, promote tolerance and pluralism, and counter violent extremism.</w:t>
      </w:r>
      <w:r w:rsidR="00631814" w:rsidRPr="009123C6">
        <w:rPr>
          <w:i/>
          <w:vertAlign w:val="superscript"/>
        </w:rPr>
        <w:footnoteReference w:id="45"/>
      </w:r>
      <w:r w:rsidR="004131FF" w:rsidRPr="009123C6">
        <w:rPr>
          <w:vertAlign w:val="superscript"/>
        </w:rPr>
        <w:t xml:space="preserve"> </w:t>
      </w:r>
    </w:p>
    <w:p w14:paraId="39988FCF" w14:textId="422B0AF7" w:rsidR="00EF365A" w:rsidRDefault="00EF365A" w:rsidP="001C48E2">
      <w:pPr>
        <w:jc w:val="both"/>
      </w:pPr>
      <w:r>
        <w:t>Support for CSO</w:t>
      </w:r>
      <w:r w:rsidR="00BB18E1">
        <w:t>s</w:t>
      </w:r>
      <w:r>
        <w:t xml:space="preserve"> in MAMPU and other programs is also directly relevant to </w:t>
      </w:r>
      <w:r w:rsidR="00BB18E1">
        <w:t xml:space="preserve">the </w:t>
      </w:r>
      <w:r>
        <w:t>Government of Australia</w:t>
      </w:r>
      <w:r w:rsidR="00BB18E1">
        <w:t>’s</w:t>
      </w:r>
      <w:r>
        <w:t xml:space="preserve"> foreign policy</w:t>
      </w:r>
      <w:r w:rsidR="00BB18E1">
        <w:t xml:space="preserve"> paper</w:t>
      </w:r>
      <w:r>
        <w:t>, which highlights a focus on stability and maintaining democratic space.</w:t>
      </w:r>
      <w:r>
        <w:rPr>
          <w:rStyle w:val="FootnoteReference"/>
        </w:rPr>
        <w:footnoteReference w:id="46"/>
      </w:r>
      <w:r>
        <w:t xml:space="preserve"> </w:t>
      </w:r>
    </w:p>
    <w:p w14:paraId="1AA515A5" w14:textId="4140A697" w:rsidR="00631814" w:rsidRDefault="009123C6" w:rsidP="001C48E2">
      <w:pPr>
        <w:jc w:val="both"/>
      </w:pPr>
      <w:r>
        <w:t xml:space="preserve">MAMPU reflects the key priorities of the </w:t>
      </w:r>
      <w:r w:rsidR="004131FF">
        <w:t>Australian A</w:t>
      </w:r>
      <w:r w:rsidR="00631814">
        <w:t xml:space="preserve">id policy on </w:t>
      </w:r>
      <w:r w:rsidR="006B0DEC">
        <w:t>Gender Equality a</w:t>
      </w:r>
      <w:r w:rsidR="00D021BC">
        <w:t>nd Women’s Empowerment</w:t>
      </w:r>
      <w:r w:rsidR="00AD490A">
        <w:t>.</w:t>
      </w:r>
      <w:r w:rsidR="0007682A">
        <w:rPr>
          <w:rStyle w:val="FootnoteReference"/>
        </w:rPr>
        <w:footnoteReference w:id="47"/>
      </w:r>
    </w:p>
    <w:p w14:paraId="4A3C1FA6" w14:textId="08C472D3" w:rsidR="00DC5B85" w:rsidRDefault="005E4D59" w:rsidP="001C48E2">
      <w:pPr>
        <w:jc w:val="both"/>
      </w:pPr>
      <w:r>
        <w:t>Australian policy</w:t>
      </w:r>
      <w:r w:rsidR="00EF365A">
        <w:t xml:space="preserve"> also includes a strong commitment </w:t>
      </w:r>
      <w:r>
        <w:t>to disability inclusion.</w:t>
      </w:r>
      <w:r>
        <w:rPr>
          <w:rStyle w:val="FootnoteReference"/>
        </w:rPr>
        <w:footnoteReference w:id="48"/>
      </w:r>
      <w:r>
        <w:t xml:space="preserve"> </w:t>
      </w:r>
      <w:r w:rsidR="00DC5B85">
        <w:t xml:space="preserve">Recent review of </w:t>
      </w:r>
      <w:r w:rsidR="00B41CAC">
        <w:t>MAMPU</w:t>
      </w:r>
      <w:r w:rsidR="00DC5B85">
        <w:t xml:space="preserve"> phase 2 indicates that the </w:t>
      </w:r>
      <w:r w:rsidR="008508C0">
        <w:t>program</w:t>
      </w:r>
      <w:r w:rsidR="00DC5B85">
        <w:t xml:space="preserve"> </w:t>
      </w:r>
      <w:r w:rsidR="00895A77">
        <w:t xml:space="preserve">also </w:t>
      </w:r>
      <w:r w:rsidR="00DC5B85">
        <w:t xml:space="preserve">makes a contribution to </w:t>
      </w:r>
      <w:r w:rsidR="008508C0">
        <w:t>disability</w:t>
      </w:r>
      <w:r>
        <w:t xml:space="preserve"> inclusion, </w:t>
      </w:r>
      <w:r w:rsidR="005F6789">
        <w:t xml:space="preserve">although there is room for this to be </w:t>
      </w:r>
      <w:r w:rsidR="00D47EEF">
        <w:t>better monitored and communicated</w:t>
      </w:r>
      <w:r w:rsidR="005F6789">
        <w:t xml:space="preserve">. </w:t>
      </w:r>
      <w:r w:rsidR="00895A77">
        <w:t xml:space="preserve">A review </w:t>
      </w:r>
      <w:r w:rsidR="00F271EE">
        <w:t>commissioned</w:t>
      </w:r>
      <w:r w:rsidR="00895A77">
        <w:t xml:space="preserve"> by </w:t>
      </w:r>
      <w:r w:rsidR="00B41CAC">
        <w:t>MAMPU</w:t>
      </w:r>
      <w:r w:rsidR="005F6789">
        <w:rPr>
          <w:rStyle w:val="FootnoteReference"/>
        </w:rPr>
        <w:footnoteReference w:id="49"/>
      </w:r>
      <w:r w:rsidR="00895A77">
        <w:t xml:space="preserve"> has found that</w:t>
      </w:r>
      <w:r w:rsidR="00F271EE">
        <w:t>,</w:t>
      </w:r>
      <w:r w:rsidR="00895A77">
        <w:t xml:space="preserve"> while the program was not designed originally to target people with disabilities and does not currently have a documented strategy to tackle these issues</w:t>
      </w:r>
      <w:r w:rsidR="008508C0">
        <w:t xml:space="preserve">, most </w:t>
      </w:r>
      <w:r w:rsidR="00F271EE">
        <w:t>CSO</w:t>
      </w:r>
      <w:r w:rsidR="008508C0">
        <w:t xml:space="preserve"> partners</w:t>
      </w:r>
      <w:r w:rsidR="00F271EE">
        <w:t xml:space="preserve"> d</w:t>
      </w:r>
      <w:r w:rsidR="008508C0">
        <w:t xml:space="preserve">o engage </w:t>
      </w:r>
      <w:r w:rsidR="00F271EE">
        <w:t xml:space="preserve">with </w:t>
      </w:r>
      <w:r w:rsidR="008508C0">
        <w:t>people with disability and their families</w:t>
      </w:r>
      <w:r w:rsidR="00F271EE">
        <w:t>,</w:t>
      </w:r>
      <w:r w:rsidR="008508C0">
        <w:t xml:space="preserve"> at village level. The internal program monitoring data indicates that since 2014, eight </w:t>
      </w:r>
      <w:r w:rsidR="00F271EE">
        <w:t xml:space="preserve">out of the </w:t>
      </w:r>
      <w:r w:rsidR="008508C0">
        <w:t xml:space="preserve">14 </w:t>
      </w:r>
      <w:r w:rsidR="00B41CAC">
        <w:t>MAMPU</w:t>
      </w:r>
      <w:r w:rsidR="008508C0">
        <w:t xml:space="preserve"> partners are </w:t>
      </w:r>
      <w:r w:rsidR="00F271EE">
        <w:t xml:space="preserve">working with women with disability on </w:t>
      </w:r>
      <w:r w:rsidR="00B41CAC">
        <w:t>a range</w:t>
      </w:r>
      <w:r w:rsidR="008508C0">
        <w:t xml:space="preserve"> of activities</w:t>
      </w:r>
      <w:r w:rsidR="00F271EE">
        <w:t>,</w:t>
      </w:r>
      <w:r w:rsidR="008508C0">
        <w:t xml:space="preserve"> from advocating</w:t>
      </w:r>
      <w:r w:rsidR="00F271EE">
        <w:t xml:space="preserve"> </w:t>
      </w:r>
      <w:r w:rsidR="004131FF">
        <w:t>for</w:t>
      </w:r>
      <w:r w:rsidR="00F271EE">
        <w:t xml:space="preserve"> disability </w:t>
      </w:r>
      <w:r w:rsidR="008508C0">
        <w:t>access to be incorporated in local education regulations</w:t>
      </w:r>
      <w:r w:rsidR="00F271EE">
        <w:t>, to ensuring</w:t>
      </w:r>
      <w:r w:rsidR="008508C0">
        <w:t xml:space="preserve"> </w:t>
      </w:r>
      <w:r w:rsidR="00F271EE">
        <w:t xml:space="preserve">that </w:t>
      </w:r>
      <w:r w:rsidR="008508C0">
        <w:t xml:space="preserve">disability is reflected </w:t>
      </w:r>
      <w:r w:rsidR="004131FF">
        <w:t xml:space="preserve">in </w:t>
      </w:r>
      <w:r w:rsidR="008508C0">
        <w:t xml:space="preserve">government social protection data. This work tends to address disability </w:t>
      </w:r>
      <w:r w:rsidR="00F271EE">
        <w:t>as one</w:t>
      </w:r>
      <w:r w:rsidR="008508C0">
        <w:t xml:space="preserve"> part of </w:t>
      </w:r>
      <w:r w:rsidR="0070403F">
        <w:t xml:space="preserve">a </w:t>
      </w:r>
      <w:r w:rsidR="008508C0">
        <w:t xml:space="preserve">wider </w:t>
      </w:r>
      <w:r w:rsidR="000868C4">
        <w:t>a</w:t>
      </w:r>
      <w:r w:rsidR="0070403F">
        <w:t>genda</w:t>
      </w:r>
      <w:r w:rsidR="008508C0">
        <w:t xml:space="preserve"> focused on the priorities of marginalised </w:t>
      </w:r>
      <w:r w:rsidR="000868C4">
        <w:t xml:space="preserve">women </w:t>
      </w:r>
      <w:r w:rsidR="008508C0">
        <w:t>and their families</w:t>
      </w:r>
      <w:r>
        <w:t xml:space="preserve"> (mainstreaming)</w:t>
      </w:r>
      <w:r w:rsidR="008508C0">
        <w:t>. Alongside this</w:t>
      </w:r>
      <w:r w:rsidR="000868C4">
        <w:t>,</w:t>
      </w:r>
      <w:r w:rsidR="008508C0">
        <w:t xml:space="preserve"> a small number of CSO partners support interventions that specifically target the need</w:t>
      </w:r>
      <w:r w:rsidR="000868C4">
        <w:t xml:space="preserve">s of women with </w:t>
      </w:r>
      <w:r w:rsidR="008508C0">
        <w:t>disability</w:t>
      </w:r>
      <w:r w:rsidR="000868C4">
        <w:t>. T</w:t>
      </w:r>
      <w:r w:rsidR="008508C0">
        <w:t xml:space="preserve">he recent </w:t>
      </w:r>
      <w:r w:rsidR="00B41CAC">
        <w:t>MAMPU</w:t>
      </w:r>
      <w:r w:rsidR="008508C0">
        <w:t xml:space="preserve"> </w:t>
      </w:r>
      <w:r w:rsidR="000868C4">
        <w:t xml:space="preserve">facilitation </w:t>
      </w:r>
      <w:r w:rsidR="0070403F">
        <w:t>f</w:t>
      </w:r>
      <w:r w:rsidR="000868C4">
        <w:t xml:space="preserve">or </w:t>
      </w:r>
      <w:r w:rsidR="008508C0">
        <w:t>subn</w:t>
      </w:r>
      <w:r w:rsidR="000868C4">
        <w:t>ational consultations on the SDG</w:t>
      </w:r>
      <w:r w:rsidR="008508C0">
        <w:t xml:space="preserve">s across </w:t>
      </w:r>
      <w:r w:rsidR="000868C4">
        <w:t xml:space="preserve">11 </w:t>
      </w:r>
      <w:r w:rsidR="008508C0">
        <w:t>provinces ha</w:t>
      </w:r>
      <w:r w:rsidR="0070403F">
        <w:t>s</w:t>
      </w:r>
      <w:r w:rsidR="008508C0">
        <w:t xml:space="preserve"> involved engagement </w:t>
      </w:r>
      <w:r w:rsidR="0070403F">
        <w:t xml:space="preserve">by program partners </w:t>
      </w:r>
      <w:r w:rsidR="008508C0">
        <w:t>with disabled people’s organisations. There is potent</w:t>
      </w:r>
      <w:r>
        <w:t>ial for this engagement to expand and MAMPU is currently developing</w:t>
      </w:r>
      <w:r w:rsidR="00EF365A">
        <w:t xml:space="preserve"> a disability inclusion strategy.</w:t>
      </w:r>
    </w:p>
    <w:p w14:paraId="7F9712CB" w14:textId="77777777" w:rsidR="006112B9" w:rsidRDefault="00B41CAC" w:rsidP="001C48E2">
      <w:pPr>
        <w:jc w:val="both"/>
      </w:pPr>
      <w:r>
        <w:t>MAMPU</w:t>
      </w:r>
      <w:r w:rsidR="00631814">
        <w:t xml:space="preserve"> also contributes directly to the objectives of the Australian aid program in Indonesian, particularly to </w:t>
      </w:r>
      <w:r w:rsidR="00544C5F">
        <w:t>the third objective: ‘</w:t>
      </w:r>
      <w:r w:rsidR="006B0DEC">
        <w:t>An</w:t>
      </w:r>
      <w:r w:rsidR="00544C5F">
        <w:t xml:space="preserve"> inclusive society through effective governance’.</w:t>
      </w:r>
      <w:r w:rsidR="00544C5F">
        <w:rPr>
          <w:rStyle w:val="FootnoteReference"/>
        </w:rPr>
        <w:footnoteReference w:id="50"/>
      </w:r>
      <w:r w:rsidR="009E297E">
        <w:t xml:space="preserve"> </w:t>
      </w:r>
    </w:p>
    <w:p w14:paraId="38EC8420" w14:textId="36B35E7A" w:rsidR="000C06B9" w:rsidRPr="008801B8" w:rsidRDefault="00C83135" w:rsidP="001C48E2">
      <w:pPr>
        <w:jc w:val="both"/>
      </w:pPr>
      <w:r w:rsidRPr="008801B8">
        <w:t xml:space="preserve">The original </w:t>
      </w:r>
      <w:r w:rsidR="00B41CAC" w:rsidRPr="008801B8">
        <w:t>MAMPU</w:t>
      </w:r>
      <w:r w:rsidRPr="008801B8">
        <w:t xml:space="preserve"> design intended that the program w</w:t>
      </w:r>
      <w:r w:rsidR="00A67334" w:rsidRPr="008801B8">
        <w:t>ould</w:t>
      </w:r>
      <w:r w:rsidRPr="008801B8">
        <w:t xml:space="preserve"> be a flagship program, able to generate lessons and influence </w:t>
      </w:r>
      <w:r w:rsidR="00BB18E1">
        <w:t xml:space="preserve">other </w:t>
      </w:r>
      <w:r w:rsidR="00EB4F8C" w:rsidRPr="008801B8">
        <w:t>DFAT</w:t>
      </w:r>
      <w:r w:rsidRPr="008801B8">
        <w:t xml:space="preserve"> programs in Indonesia and beyond. </w:t>
      </w:r>
      <w:r w:rsidR="000C06B9" w:rsidRPr="008801B8">
        <w:t>Several DFAT programs work with CSO</w:t>
      </w:r>
      <w:r w:rsidR="00BB18E1">
        <w:t>s</w:t>
      </w:r>
      <w:r w:rsidR="000C06B9" w:rsidRPr="008801B8">
        <w:t xml:space="preserve"> although apart from the P</w:t>
      </w:r>
      <w:r w:rsidR="00BB18E1">
        <w:t>eduli</w:t>
      </w:r>
      <w:r w:rsidR="000C06B9" w:rsidRPr="008801B8">
        <w:t xml:space="preserve"> program</w:t>
      </w:r>
      <w:r w:rsidR="00BB18E1">
        <w:t>, the Australia-Indonesia Partnership for Justice Phase 2 (AIPJ2)</w:t>
      </w:r>
      <w:r w:rsidR="000C06B9" w:rsidRPr="008801B8">
        <w:t xml:space="preserve"> and the Knowledge Sector Initiative (KSI), this cooperation with CSO</w:t>
      </w:r>
      <w:r w:rsidR="00BB18E1">
        <w:t>s</w:t>
      </w:r>
      <w:r w:rsidR="000C06B9" w:rsidRPr="008801B8">
        <w:t xml:space="preserve"> is generally for the purpose of having them deliver program activities. This is quite a different approach to that supported by MAMPU. It does suggest however that, as discussed earlier in this report, CSO</w:t>
      </w:r>
      <w:r w:rsidR="00BB18E1">
        <w:t>s</w:t>
      </w:r>
      <w:r w:rsidR="000C06B9" w:rsidRPr="008801B8">
        <w:t xml:space="preserve"> have been intrinsic to </w:t>
      </w:r>
      <w:r w:rsidR="00252B86">
        <w:t xml:space="preserve">achieving certain Australian aid outcomes in </w:t>
      </w:r>
      <w:r w:rsidR="0077583F">
        <w:t>Indonesia.</w:t>
      </w:r>
      <w:r w:rsidR="000C06B9" w:rsidRPr="008801B8">
        <w:t xml:space="preserve"> This further suggests, as discussed in the recommendations, that DFAT should have an interest in the long-term sustainability of CSO</w:t>
      </w:r>
      <w:r w:rsidR="00BB18E1">
        <w:t>s</w:t>
      </w:r>
      <w:r w:rsidR="000C06B9" w:rsidRPr="008801B8">
        <w:t xml:space="preserve"> in Indonesia and ought to consider a more comprehensive strategy for the way in which it engages with CSO</w:t>
      </w:r>
      <w:r w:rsidR="00BB18E1">
        <w:t>s</w:t>
      </w:r>
      <w:r w:rsidR="000C06B9" w:rsidRPr="008801B8">
        <w:t>, including women’s organisations</w:t>
      </w:r>
      <w:r w:rsidR="006D2215" w:rsidRPr="008801B8">
        <w:t>,</w:t>
      </w:r>
      <w:r w:rsidR="000C06B9" w:rsidRPr="008801B8">
        <w:t xml:space="preserve"> across all programs. </w:t>
      </w:r>
    </w:p>
    <w:p w14:paraId="115E2A68" w14:textId="4971769B" w:rsidR="00C83135" w:rsidRDefault="00A4422A" w:rsidP="001C48E2">
      <w:pPr>
        <w:jc w:val="both"/>
      </w:pPr>
      <w:r w:rsidRPr="008801B8">
        <w:t xml:space="preserve">The ISR team did find some examples of cooperation between </w:t>
      </w:r>
      <w:r w:rsidR="00B41CAC" w:rsidRPr="008801B8">
        <w:t>MAMPU</w:t>
      </w:r>
      <w:r w:rsidRPr="008801B8">
        <w:t xml:space="preserve"> and other DFAT programs but these were not extensive. </w:t>
      </w:r>
      <w:r w:rsidR="00B41CAC" w:rsidRPr="008801B8">
        <w:t>However,</w:t>
      </w:r>
      <w:r w:rsidRPr="008801B8">
        <w:t xml:space="preserve"> it was evident to the ISR team that there were considerable areas of overlap between several </w:t>
      </w:r>
      <w:r w:rsidR="00EB4F8C" w:rsidRPr="008801B8">
        <w:t>DFAT</w:t>
      </w:r>
      <w:r w:rsidRPr="008801B8">
        <w:t xml:space="preserve"> programs and the work of </w:t>
      </w:r>
      <w:r w:rsidR="00B41CAC" w:rsidRPr="008801B8">
        <w:t>MAMPU</w:t>
      </w:r>
      <w:r w:rsidR="00A47D8E" w:rsidRPr="008801B8">
        <w:t xml:space="preserve"> and considerable opportunity to improve </w:t>
      </w:r>
      <w:r w:rsidR="00B41CAC" w:rsidRPr="008801B8">
        <w:t>MAMPU</w:t>
      </w:r>
      <w:r w:rsidR="00A47D8E" w:rsidRPr="008801B8">
        <w:t xml:space="preserve"> and other programs through increased coordination and cross program work. </w:t>
      </w:r>
      <w:r w:rsidRPr="008801B8">
        <w:t xml:space="preserve"> </w:t>
      </w:r>
      <w:r w:rsidR="008644F0" w:rsidRPr="008801B8">
        <w:t>(This is supported by other recent reviews of work in Indonesia</w:t>
      </w:r>
      <w:r w:rsidR="008644F0" w:rsidRPr="008801B8">
        <w:rPr>
          <w:rStyle w:val="FootnoteReference"/>
        </w:rPr>
        <w:footnoteReference w:id="51"/>
      </w:r>
      <w:r w:rsidR="008644F0" w:rsidRPr="008801B8">
        <w:t xml:space="preserve"> and is in line with the DFAT intent to limit the number of </w:t>
      </w:r>
      <w:r w:rsidR="00B41CAC" w:rsidRPr="008801B8">
        <w:t>standalone</w:t>
      </w:r>
      <w:r w:rsidR="008644F0" w:rsidRPr="008801B8">
        <w:t xml:space="preserve"> investments overall</w:t>
      </w:r>
      <w:r w:rsidR="002F5A71" w:rsidRPr="008801B8">
        <w:rPr>
          <w:rStyle w:val="FootnoteReference"/>
        </w:rPr>
        <w:footnoteReference w:id="52"/>
      </w:r>
      <w:r w:rsidR="00343759" w:rsidRPr="008801B8">
        <w:t xml:space="preserve">). </w:t>
      </w:r>
      <w:r w:rsidR="00DA3FD6" w:rsidRPr="008801B8">
        <w:t>In</w:t>
      </w:r>
      <w:r w:rsidR="009B0DEA" w:rsidRPr="008801B8">
        <w:t xml:space="preserve"> </w:t>
      </w:r>
      <w:r w:rsidR="0077583F" w:rsidRPr="008801B8">
        <w:t>addition,</w:t>
      </w:r>
      <w:r w:rsidR="009B0DEA" w:rsidRPr="008801B8">
        <w:t xml:space="preserve"> there are clear areas for collaboration with some programs. For example</w:t>
      </w:r>
      <w:r w:rsidR="00D40602" w:rsidRPr="008801B8">
        <w:t>,</w:t>
      </w:r>
      <w:r w:rsidR="009B0DEA" w:rsidRPr="008801B8">
        <w:t xml:space="preserve"> there is </w:t>
      </w:r>
      <w:r w:rsidRPr="008801B8">
        <w:t xml:space="preserve">geographic overlap </w:t>
      </w:r>
      <w:r w:rsidR="009B0DEA" w:rsidRPr="008801B8">
        <w:t xml:space="preserve">between MAMPU and </w:t>
      </w:r>
      <w:r w:rsidRPr="008801B8">
        <w:t>KOMPAK, as well as</w:t>
      </w:r>
      <w:r w:rsidR="004035FD" w:rsidRPr="008801B8">
        <w:t xml:space="preserve"> shared interest in leveraging changes at the village and district levels of government. </w:t>
      </w:r>
      <w:r w:rsidR="00F66781" w:rsidRPr="008801B8">
        <w:t xml:space="preserve">There is overlap between </w:t>
      </w:r>
      <w:r w:rsidR="00B41CAC" w:rsidRPr="008801B8">
        <w:t>MAMPU</w:t>
      </w:r>
      <w:r w:rsidR="00F66781" w:rsidRPr="008801B8">
        <w:t xml:space="preserve"> and the Australian Indonesia </w:t>
      </w:r>
      <w:r w:rsidR="00D40602" w:rsidRPr="008801B8">
        <w:t xml:space="preserve">Partnership </w:t>
      </w:r>
      <w:r w:rsidR="00F66781" w:rsidRPr="008801B8">
        <w:t>for J</w:t>
      </w:r>
      <w:r w:rsidR="003D1C39" w:rsidRPr="008801B8">
        <w:t xml:space="preserve">ustice (AIPJ), </w:t>
      </w:r>
      <w:r w:rsidR="00DA3FD6" w:rsidRPr="008801B8">
        <w:t xml:space="preserve">in specific work areas such as preventing child marriage. </w:t>
      </w:r>
      <w:r w:rsidR="00F66781" w:rsidRPr="008801B8">
        <w:t xml:space="preserve"> </w:t>
      </w:r>
      <w:r w:rsidR="004035FD" w:rsidRPr="008801B8">
        <w:t xml:space="preserve">There is considerable opportunity for </w:t>
      </w:r>
      <w:r w:rsidR="00B41CAC" w:rsidRPr="008801B8">
        <w:t>MAMPU</w:t>
      </w:r>
      <w:r w:rsidR="004035FD" w:rsidRPr="008801B8">
        <w:t xml:space="preserve"> and the DFAT Knowledge Sector Initiative (KSI) to cooperate, both to improve the knowledge</w:t>
      </w:r>
      <w:r w:rsidR="00BB18E1">
        <w:t>,</w:t>
      </w:r>
      <w:r w:rsidR="004035FD" w:rsidRPr="008801B8">
        <w:t xml:space="preserve"> information and </w:t>
      </w:r>
      <w:r w:rsidR="00F66781" w:rsidRPr="008801B8">
        <w:t xml:space="preserve">the </w:t>
      </w:r>
      <w:r w:rsidR="004035FD" w:rsidRPr="008801B8">
        <w:t xml:space="preserve">applied research available for </w:t>
      </w:r>
      <w:r w:rsidR="00B41CAC" w:rsidRPr="008801B8">
        <w:t>MAMPU</w:t>
      </w:r>
      <w:r w:rsidR="004035FD" w:rsidRPr="008801B8">
        <w:t xml:space="preserve"> and to improve the gender equality strategy for KSI.</w:t>
      </w:r>
    </w:p>
    <w:p w14:paraId="648D7FCB" w14:textId="133F4C17" w:rsidR="004035FD" w:rsidRDefault="004035FD" w:rsidP="001C48E2">
      <w:pPr>
        <w:jc w:val="both"/>
      </w:pPr>
      <w:r>
        <w:t>Other areas for cooperation</w:t>
      </w:r>
      <w:r w:rsidR="0077583F">
        <w:t xml:space="preserve"> include sharing</w:t>
      </w:r>
      <w:r>
        <w:t xml:space="preserve"> lessons and strategies from </w:t>
      </w:r>
      <w:r w:rsidR="00B41CAC">
        <w:t>MAMPU</w:t>
      </w:r>
      <w:r>
        <w:t xml:space="preserve"> </w:t>
      </w:r>
      <w:r w:rsidR="0077583F">
        <w:t>and</w:t>
      </w:r>
      <w:r>
        <w:t xml:space="preserve"> </w:t>
      </w:r>
      <w:r w:rsidR="00BB18E1">
        <w:t xml:space="preserve">other </w:t>
      </w:r>
      <w:r>
        <w:t>sector</w:t>
      </w:r>
      <w:r w:rsidR="00BB18E1">
        <w:t>al</w:t>
      </w:r>
      <w:r>
        <w:t xml:space="preserve"> programs, such as DFAT work in health and infrastructure. Conversely, there are opportunities for </w:t>
      </w:r>
      <w:r w:rsidR="00B41CAC">
        <w:t>MAMPU</w:t>
      </w:r>
      <w:r>
        <w:t xml:space="preserve"> </w:t>
      </w:r>
      <w:r w:rsidR="00A47D8E">
        <w:t>to work in</w:t>
      </w:r>
      <w:r>
        <w:t xml:space="preserve"> collaboration with programs focused on women’s economic empowerment such as </w:t>
      </w:r>
      <w:r w:rsidR="00F66781">
        <w:t xml:space="preserve">Investing </w:t>
      </w:r>
      <w:r>
        <w:t xml:space="preserve">in </w:t>
      </w:r>
      <w:r w:rsidR="00F66781">
        <w:t>Women</w:t>
      </w:r>
      <w:r>
        <w:t xml:space="preserve">. There are </w:t>
      </w:r>
      <w:r w:rsidR="00EB4F8C">
        <w:t xml:space="preserve">some </w:t>
      </w:r>
      <w:r>
        <w:t xml:space="preserve">opportunities for </w:t>
      </w:r>
      <w:r w:rsidR="00B41CAC">
        <w:t>MAMPU</w:t>
      </w:r>
      <w:r>
        <w:t xml:space="preserve"> to draw lessons from and contribute to the DFAT social inclusion program, PEDULI. </w:t>
      </w:r>
    </w:p>
    <w:p w14:paraId="236C6870" w14:textId="205E7C36" w:rsidR="004035FD" w:rsidRDefault="004035FD" w:rsidP="001C48E2">
      <w:pPr>
        <w:jc w:val="both"/>
      </w:pPr>
      <w:r>
        <w:t xml:space="preserve">The ISR team found considerable interest and some thoughtful ideas about how such collaboration and cooperation could be managed across the DFAT </w:t>
      </w:r>
      <w:r w:rsidRPr="0077583F">
        <w:t>program.</w:t>
      </w:r>
      <w:r>
        <w:t xml:space="preserve"> </w:t>
      </w:r>
      <w:r w:rsidR="00252B86">
        <w:t xml:space="preserve">This included the need for, for example, management support, contractual incentives and the time and resources for significant preparation and development of strategies. </w:t>
      </w:r>
      <w:r>
        <w:t xml:space="preserve">This would clearly increase the relevance of </w:t>
      </w:r>
      <w:r w:rsidR="00B41CAC">
        <w:t>MAMPU</w:t>
      </w:r>
      <w:r>
        <w:t xml:space="preserve"> to wider Australian government intentions.</w:t>
      </w:r>
      <w:r w:rsidR="00561907">
        <w:t xml:space="preserve"> It will increase the value of the program in</w:t>
      </w:r>
      <w:r w:rsidR="00F66781">
        <w:t xml:space="preserve"> contributing to</w:t>
      </w:r>
      <w:r w:rsidR="00561907">
        <w:t xml:space="preserve"> improved gender equality outcomes across the whole portfolio of Australian aid in Indonesia. It is clear however that this will not be possible without structural </w:t>
      </w:r>
      <w:r w:rsidR="00F66781">
        <w:t xml:space="preserve">changes within DFAT </w:t>
      </w:r>
      <w:r w:rsidR="00561907">
        <w:t>and possibly contractual</w:t>
      </w:r>
      <w:r w:rsidR="009E15C2">
        <w:t xml:space="preserve"> changes between DFAT and its implementation modalities. </w:t>
      </w:r>
      <w:r w:rsidR="00561907">
        <w:t>This is discussed further in the final section.</w:t>
      </w:r>
    </w:p>
    <w:p w14:paraId="10EF546D" w14:textId="1A3D79FE" w:rsidR="00561907" w:rsidRPr="00CD6F7A" w:rsidRDefault="00CD6F7A" w:rsidP="008B18EF">
      <w:pPr>
        <w:pStyle w:val="ListParagraph"/>
        <w:numPr>
          <w:ilvl w:val="1"/>
          <w:numId w:val="19"/>
        </w:numPr>
        <w:jc w:val="both"/>
        <w:outlineLvl w:val="1"/>
        <w:rPr>
          <w:color w:val="2E74B5" w:themeColor="accent1" w:themeShade="BF"/>
          <w:sz w:val="26"/>
          <w:szCs w:val="26"/>
        </w:rPr>
      </w:pPr>
      <w:bookmarkStart w:id="26" w:name="_Toc21523906"/>
      <w:r w:rsidRPr="00CD6F7A">
        <w:rPr>
          <w:color w:val="2E74B5" w:themeColor="accent1" w:themeShade="BF"/>
          <w:sz w:val="26"/>
          <w:szCs w:val="26"/>
        </w:rPr>
        <w:t>Modality</w:t>
      </w:r>
      <w:bookmarkEnd w:id="26"/>
    </w:p>
    <w:p w14:paraId="488694DE" w14:textId="4F3D0FC9" w:rsidR="00F62207" w:rsidRDefault="00B41CAC" w:rsidP="001C48E2">
      <w:pPr>
        <w:jc w:val="both"/>
      </w:pPr>
      <w:r>
        <w:t>MAMPU</w:t>
      </w:r>
      <w:r w:rsidR="00F62207">
        <w:t xml:space="preserve"> has been organised and managed as a program under a contracted arrangement between D</w:t>
      </w:r>
      <w:r w:rsidR="006B55B8">
        <w:t>FAT</w:t>
      </w:r>
      <w:r w:rsidR="00F62207">
        <w:t xml:space="preserve"> and </w:t>
      </w:r>
      <w:r w:rsidR="006B55B8">
        <w:t xml:space="preserve">an international </w:t>
      </w:r>
      <w:r w:rsidR="00F62207">
        <w:t xml:space="preserve">managing contractor (Cowater Sogema). Governance arrangements and specialist inputs have shifted through the life of the program. Presently governance is shared between DFAT and </w:t>
      </w:r>
      <w:r w:rsidR="003B1EA5">
        <w:t>BAPPENAS</w:t>
      </w:r>
      <w:r w:rsidR="00F62207">
        <w:t xml:space="preserve"> </w:t>
      </w:r>
      <w:r w:rsidR="006B55B8">
        <w:t>via a</w:t>
      </w:r>
      <w:r w:rsidR="00BC31C5">
        <w:t xml:space="preserve"> </w:t>
      </w:r>
      <w:r w:rsidR="00D01D30">
        <w:t>S</w:t>
      </w:r>
      <w:r w:rsidR="00BC31C5">
        <w:t xml:space="preserve">teering </w:t>
      </w:r>
      <w:r w:rsidR="00D01D30">
        <w:t>C</w:t>
      </w:r>
      <w:r w:rsidR="00BC31C5">
        <w:t xml:space="preserve">ommittee co-chaired by the Principal Secretary of </w:t>
      </w:r>
      <w:r w:rsidR="003B1EA5">
        <w:t>BAPPENAS</w:t>
      </w:r>
      <w:r w:rsidR="00BC31C5">
        <w:t xml:space="preserve"> </w:t>
      </w:r>
      <w:r w:rsidR="006B55B8">
        <w:t>and</w:t>
      </w:r>
      <w:r w:rsidR="00BC31C5">
        <w:t xml:space="preserve"> the Minister </w:t>
      </w:r>
      <w:r w:rsidR="00BC31C5" w:rsidRPr="0077583F">
        <w:t>Coun</w:t>
      </w:r>
      <w:r w:rsidR="00D01D30" w:rsidRPr="0077583F">
        <w:t>s</w:t>
      </w:r>
      <w:r w:rsidR="008B024E" w:rsidRPr="0077583F">
        <w:t>e</w:t>
      </w:r>
      <w:r w:rsidR="00BC31C5" w:rsidRPr="0077583F">
        <w:t>llor from</w:t>
      </w:r>
      <w:r w:rsidR="00BC31C5">
        <w:t xml:space="preserve"> the Governance and Human Development Section at the Australian Embassy in Indonesia. While there is no longer a specialist advisory group, several technical experts provide assistance to the </w:t>
      </w:r>
      <w:r>
        <w:t>MAMPU</w:t>
      </w:r>
      <w:r w:rsidR="00BC31C5">
        <w:t xml:space="preserve"> senior management team.</w:t>
      </w:r>
    </w:p>
    <w:p w14:paraId="6E09D61F" w14:textId="67F3F196" w:rsidR="00BC31C5" w:rsidRDefault="00BC31C5" w:rsidP="001C48E2">
      <w:pPr>
        <w:jc w:val="both"/>
      </w:pPr>
      <w:r>
        <w:t xml:space="preserve">The management arrangements for the program appear to </w:t>
      </w:r>
      <w:r w:rsidR="003D1C39">
        <w:t>currently</w:t>
      </w:r>
      <w:r>
        <w:t xml:space="preserve"> operate effectively and according to partners are largely in line with their needs and expectations. There was some</w:t>
      </w:r>
      <w:r w:rsidR="0014178D">
        <w:t xml:space="preserve"> identification of the value of having an independent managing contractor</w:t>
      </w:r>
      <w:r w:rsidR="006B55B8">
        <w:t xml:space="preserve"> over</w:t>
      </w:r>
      <w:r w:rsidR="0014178D">
        <w:t xml:space="preserve">sighting program implementation. This </w:t>
      </w:r>
      <w:r w:rsidR="003D1C39">
        <w:t>‘</w:t>
      </w:r>
      <w:r w:rsidR="0014178D">
        <w:t>neutral</w:t>
      </w:r>
      <w:r w:rsidR="003D1C39">
        <w:t xml:space="preserve">’ management </w:t>
      </w:r>
      <w:r w:rsidR="0014178D">
        <w:t xml:space="preserve">arrangement </w:t>
      </w:r>
      <w:r w:rsidR="003D1C39">
        <w:t>(that is not having affiliations w</w:t>
      </w:r>
      <w:r w:rsidR="003E584F">
        <w:t xml:space="preserve">ith any Indonesian organisation) </w:t>
      </w:r>
      <w:r w:rsidR="0014178D">
        <w:t xml:space="preserve">has facilitated the respectful and </w:t>
      </w:r>
      <w:r w:rsidR="006B55B8">
        <w:t xml:space="preserve">much </w:t>
      </w:r>
      <w:r w:rsidR="0014178D">
        <w:t xml:space="preserve">valued </w:t>
      </w:r>
      <w:r w:rsidR="006B55B8">
        <w:t>‘</w:t>
      </w:r>
      <w:r w:rsidR="0014178D">
        <w:t>space</w:t>
      </w:r>
      <w:r w:rsidR="006B55B8">
        <w:t>’</w:t>
      </w:r>
      <w:r w:rsidR="0014178D">
        <w:t xml:space="preserve"> referred to earlier in this document.</w:t>
      </w:r>
      <w:r w:rsidR="003D1C39">
        <w:t xml:space="preserve"> </w:t>
      </w:r>
      <w:r w:rsidR="003D1C39" w:rsidRPr="00A4614D">
        <w:t xml:space="preserve">Partners did express a view </w:t>
      </w:r>
      <w:r w:rsidR="003E584F" w:rsidRPr="00A4614D">
        <w:t xml:space="preserve">however </w:t>
      </w:r>
      <w:r w:rsidR="003D1C39" w:rsidRPr="00A4614D">
        <w:t xml:space="preserve">that if the program was to continue </w:t>
      </w:r>
      <w:r w:rsidR="00EB4F8C" w:rsidRPr="00A4614D">
        <w:t xml:space="preserve">over </w:t>
      </w:r>
      <w:r w:rsidR="003D1C39" w:rsidRPr="00A4614D">
        <w:t>the long-term they would prefer to see a transition to an Indones</w:t>
      </w:r>
      <w:r w:rsidR="003E584F" w:rsidRPr="00A4614D">
        <w:t>ian based management arrangement</w:t>
      </w:r>
      <w:r w:rsidR="00343759" w:rsidRPr="00A4614D">
        <w:t>, enabling more local ownership and the opportunity for increasing Indonesian capacity</w:t>
      </w:r>
      <w:r w:rsidR="003D1C39" w:rsidRPr="00A4614D">
        <w:t>.</w:t>
      </w:r>
      <w:r w:rsidR="003D1C39">
        <w:t xml:space="preserve"> </w:t>
      </w:r>
    </w:p>
    <w:p w14:paraId="0A685C6D" w14:textId="7E1B0333" w:rsidR="0014178D" w:rsidRDefault="0014178D" w:rsidP="001C48E2">
      <w:pPr>
        <w:jc w:val="both"/>
      </w:pPr>
      <w:r>
        <w:t xml:space="preserve">Over the life of </w:t>
      </w:r>
      <w:r w:rsidR="00B41CAC">
        <w:t>MAMPU</w:t>
      </w:r>
      <w:r>
        <w:t>, the managing contractor has introduced several processes which have supported a participatory and partner orientated approach to program implementation</w:t>
      </w:r>
      <w:r w:rsidR="003E584F">
        <w:t xml:space="preserve"> and risk management</w:t>
      </w:r>
      <w:r>
        <w:t>. These adaptations have been designed to support the organisational development while also maintaining appropriate management and accountability requirements (</w:t>
      </w:r>
      <w:r w:rsidR="00EB4F8C">
        <w:rPr>
          <w:u w:val="single"/>
        </w:rPr>
        <w:t xml:space="preserve">see </w:t>
      </w:r>
      <w:r w:rsidR="0057053D">
        <w:rPr>
          <w:u w:val="single"/>
        </w:rPr>
        <w:t>Annex Four</w:t>
      </w:r>
      <w:r>
        <w:t>).</w:t>
      </w:r>
    </w:p>
    <w:p w14:paraId="60AE6A22" w14:textId="77777777" w:rsidR="00BC31C5" w:rsidRDefault="00E15052" w:rsidP="001C48E2">
      <w:pPr>
        <w:jc w:val="both"/>
      </w:pPr>
      <w:r>
        <w:t xml:space="preserve">The ISR team were particularly impressed with the monitoring and evaluation systems developed for </w:t>
      </w:r>
      <w:r w:rsidR="00B41CAC">
        <w:t>MAMPU</w:t>
      </w:r>
      <w:r>
        <w:t xml:space="preserve">. </w:t>
      </w:r>
      <w:r w:rsidR="00B25B75">
        <w:t xml:space="preserve">These </w:t>
      </w:r>
      <w:r>
        <w:t xml:space="preserve">systems combine </w:t>
      </w:r>
      <w:r w:rsidR="00B41CAC">
        <w:t>rigorous</w:t>
      </w:r>
      <w:r>
        <w:t xml:space="preserve"> processes of data collection based on key aspects of the program theory of change (in particular collection of information about partner capacity, influence on government policy and regulations, and the number of women and men able to access additional services as a result of </w:t>
      </w:r>
      <w:r w:rsidR="00B41CAC">
        <w:t>MAMPU</w:t>
      </w:r>
      <w:r>
        <w:t xml:space="preserve"> activities), with independent reviews to evaluate significant areas of program work in more depth. The program also commissions some applied research</w:t>
      </w:r>
      <w:r w:rsidR="00B25B75">
        <w:t xml:space="preserve"> that gives</w:t>
      </w:r>
      <w:r>
        <w:t xml:space="preserve"> attention to program focus areas and to wider contextual concerns </w:t>
      </w:r>
      <w:r w:rsidR="00B25B75">
        <w:t>(</w:t>
      </w:r>
      <w:r>
        <w:t>providing some information about ongoing program relevance</w:t>
      </w:r>
      <w:r w:rsidR="00B25B75">
        <w:t>)</w:t>
      </w:r>
      <w:r>
        <w:t>.</w:t>
      </w:r>
    </w:p>
    <w:p w14:paraId="1E2A7E75" w14:textId="6DEB3459" w:rsidR="00FB5715" w:rsidRDefault="00E15052" w:rsidP="001C48E2">
      <w:pPr>
        <w:jc w:val="both"/>
      </w:pPr>
      <w:r>
        <w:t xml:space="preserve">While there are components which could be added to the system, overall </w:t>
      </w:r>
      <w:r w:rsidR="007D19CF">
        <w:t>it</w:t>
      </w:r>
      <w:r w:rsidR="00B25B75">
        <w:t xml:space="preserve"> supports an</w:t>
      </w:r>
      <w:r>
        <w:t xml:space="preserve"> accessible and transparent monitoring and evaluation process which is evidence-based and which contributes to a detailed and comprehensive reporting process. In particular, in line with good practice for monitoring and evaluation of programs focused around improved governance, it empowers implementing partners</w:t>
      </w:r>
      <w:r w:rsidR="00CF0AEA">
        <w:t xml:space="preserve"> to participate in the monitoring and evaluation process (</w:t>
      </w:r>
      <w:r w:rsidR="00CF0AEA" w:rsidRPr="00CF0AEA">
        <w:rPr>
          <w:u w:val="single"/>
        </w:rPr>
        <w:t xml:space="preserve">see </w:t>
      </w:r>
      <w:r w:rsidR="00787C9A">
        <w:rPr>
          <w:u w:val="single"/>
        </w:rPr>
        <w:t>Annex Four</w:t>
      </w:r>
      <w:r w:rsidR="00CF0AEA">
        <w:t>)</w:t>
      </w:r>
      <w:r w:rsidR="00CA3F26">
        <w:t>.</w:t>
      </w:r>
    </w:p>
    <w:p w14:paraId="062F9F5F" w14:textId="6390A13C" w:rsidR="00580C8D" w:rsidRDefault="00580C8D" w:rsidP="001C48E2">
      <w:pPr>
        <w:jc w:val="both"/>
      </w:pPr>
      <w:r>
        <w:t xml:space="preserve">However, </w:t>
      </w:r>
      <w:r w:rsidR="007D19CF">
        <w:t>despite</w:t>
      </w:r>
      <w:r>
        <w:t xml:space="preserve"> this </w:t>
      </w:r>
      <w:r w:rsidR="00B41CAC">
        <w:t>high-quality</w:t>
      </w:r>
      <w:r>
        <w:t xml:space="preserve"> monitoring and evaluation system and comprehensive and evidence-based reporting</w:t>
      </w:r>
      <w:r w:rsidR="00285BA8">
        <w:t xml:space="preserve">, MAMPU is not necessarily fully understood by all </w:t>
      </w:r>
      <w:r w:rsidR="00946D00">
        <w:t>stakeholders. This</w:t>
      </w:r>
      <w:r>
        <w:t xml:space="preserve"> is a common </w:t>
      </w:r>
      <w:r w:rsidR="00B25B75">
        <w:t>problem</w:t>
      </w:r>
      <w:r>
        <w:t xml:space="preserve"> for governance programs. Processes of influencing, engaging in systems reform, working with leaders to enable their wider engagement w</w:t>
      </w:r>
      <w:r w:rsidR="00B25B75">
        <w:t xml:space="preserve">ith </w:t>
      </w:r>
      <w:r>
        <w:t xml:space="preserve">change and other such strategies, are not easily communicated in static reports. Further, </w:t>
      </w:r>
      <w:r w:rsidR="00B25B75">
        <w:t xml:space="preserve">the </w:t>
      </w:r>
      <w:r>
        <w:t xml:space="preserve">sheer size </w:t>
      </w:r>
      <w:r w:rsidR="00B25B75">
        <w:t xml:space="preserve">and spread </w:t>
      </w:r>
      <w:r>
        <w:t xml:space="preserve">of </w:t>
      </w:r>
      <w:r w:rsidR="00B41CAC">
        <w:t>MAMPU</w:t>
      </w:r>
      <w:r>
        <w:t>, working across</w:t>
      </w:r>
      <w:r w:rsidR="00A73DDE">
        <w:t xml:space="preserve"> 27 provinces in Indonesia</w:t>
      </w:r>
      <w:r w:rsidR="00B25B75">
        <w:t>,</w:t>
      </w:r>
      <w:r w:rsidR="00A73DDE">
        <w:t xml:space="preserve"> means that any single report will necessarily only communicate highlights or a partial view of the overall activity.</w:t>
      </w:r>
    </w:p>
    <w:p w14:paraId="6C01B455" w14:textId="22946D01" w:rsidR="00A73DDE" w:rsidRDefault="00A73DDE" w:rsidP="001C48E2">
      <w:pPr>
        <w:jc w:val="both"/>
      </w:pPr>
      <w:r>
        <w:t xml:space="preserve">In addition, the ISR team suggest that </w:t>
      </w:r>
      <w:r w:rsidR="00B41CAC">
        <w:t>MAMPU</w:t>
      </w:r>
      <w:r>
        <w:t xml:space="preserve"> has been poorly served by its classification as a </w:t>
      </w:r>
      <w:r w:rsidR="00B25B75">
        <w:t>‘</w:t>
      </w:r>
      <w:r>
        <w:t>program</w:t>
      </w:r>
      <w:r w:rsidR="00B25B75">
        <w:t>’</w:t>
      </w:r>
      <w:r>
        <w:t xml:space="preserve">. </w:t>
      </w:r>
      <w:r w:rsidR="00B41CAC">
        <w:t>Typically,</w:t>
      </w:r>
      <w:r>
        <w:t xml:space="preserve"> programs have an overarching purpose or goal supported </w:t>
      </w:r>
      <w:r w:rsidR="00B25B75">
        <w:t>by related objectives which largely ‘</w:t>
      </w:r>
      <w:r>
        <w:t>aggregate</w:t>
      </w:r>
      <w:r w:rsidR="00B25B75">
        <w:t>’</w:t>
      </w:r>
      <w:r>
        <w:t xml:space="preserve"> to that overall intent. </w:t>
      </w:r>
      <w:r w:rsidR="00B41CAC">
        <w:t>MAMPU</w:t>
      </w:r>
      <w:r>
        <w:t xml:space="preserve"> is not a program in this sense.</w:t>
      </w:r>
      <w:r w:rsidR="00B25B75">
        <w:t xml:space="preserve"> It w</w:t>
      </w:r>
      <w:r>
        <w:t xml:space="preserve">orks </w:t>
      </w:r>
      <w:r w:rsidR="00B25B75">
        <w:t xml:space="preserve">in </w:t>
      </w:r>
      <w:r>
        <w:t xml:space="preserve">several discrete areas (including but not limited to </w:t>
      </w:r>
      <w:r w:rsidR="00B25B75">
        <w:t xml:space="preserve">the </w:t>
      </w:r>
      <w:r>
        <w:t>5 thematic areas)</w:t>
      </w:r>
      <w:r w:rsidR="00B25B75">
        <w:t>,</w:t>
      </w:r>
      <w:r>
        <w:t xml:space="preserve"> in different locations and </w:t>
      </w:r>
      <w:r w:rsidR="00B25B75">
        <w:t xml:space="preserve">with </w:t>
      </w:r>
      <w:r>
        <w:t>different levels of government and other stakeholder engagement. The partner CSO</w:t>
      </w:r>
      <w:r w:rsidR="00D01D30">
        <w:t>s</w:t>
      </w:r>
      <w:r>
        <w:t xml:space="preserve"> are quite diverse</w:t>
      </w:r>
      <w:r w:rsidR="00A45595">
        <w:t xml:space="preserve"> and</w:t>
      </w:r>
      <w:r w:rsidR="00F308FF">
        <w:t>,</w:t>
      </w:r>
      <w:r w:rsidR="00A45595">
        <w:t xml:space="preserve"> while they are all committed to an overall goal </w:t>
      </w:r>
      <w:r w:rsidR="00F308FF">
        <w:t>of women’s empowerment</w:t>
      </w:r>
      <w:r w:rsidR="00A45595">
        <w:t xml:space="preserve">, this is interpreted differently among </w:t>
      </w:r>
      <w:r w:rsidR="00F308FF">
        <w:t>the partners</w:t>
      </w:r>
      <w:r w:rsidR="00A45595">
        <w:t xml:space="preserve">. </w:t>
      </w:r>
      <w:r w:rsidR="00A45595" w:rsidRPr="008801B8">
        <w:t xml:space="preserve">In part, the ISR suggest that the consistent requests throughout the review process for more information and details about </w:t>
      </w:r>
      <w:r w:rsidR="00B41CAC" w:rsidRPr="008801B8">
        <w:t>MAMPU</w:t>
      </w:r>
      <w:r w:rsidR="00A45595" w:rsidRPr="008801B8">
        <w:t xml:space="preserve">, especially from the </w:t>
      </w:r>
      <w:r w:rsidR="00F308FF" w:rsidRPr="008801B8">
        <w:t>Government of Indonesia</w:t>
      </w:r>
      <w:r w:rsidR="00A45595" w:rsidRPr="008801B8">
        <w:t xml:space="preserve">, is due to this modality classification and </w:t>
      </w:r>
      <w:r w:rsidR="00F308FF" w:rsidRPr="008801B8">
        <w:t xml:space="preserve">the </w:t>
      </w:r>
      <w:r w:rsidR="00A45595" w:rsidRPr="008801B8">
        <w:t xml:space="preserve">resultant </w:t>
      </w:r>
      <w:r w:rsidR="00BB6514" w:rsidRPr="008801B8">
        <w:t>‘</w:t>
      </w:r>
      <w:r w:rsidR="00A45595" w:rsidRPr="008801B8">
        <w:t>aggregate</w:t>
      </w:r>
      <w:r w:rsidR="00BB6514" w:rsidRPr="008801B8">
        <w:t>’</w:t>
      </w:r>
      <w:r w:rsidR="00A45595" w:rsidRPr="008801B8">
        <w:t xml:space="preserve"> type reporting that follows.</w:t>
      </w:r>
    </w:p>
    <w:p w14:paraId="18702342" w14:textId="77777777" w:rsidR="00A45595" w:rsidRDefault="00A45595" w:rsidP="001C48E2">
      <w:pPr>
        <w:jc w:val="both"/>
      </w:pPr>
      <w:r>
        <w:t xml:space="preserve">If </w:t>
      </w:r>
      <w:r w:rsidR="00B41CAC">
        <w:t>MAMPU</w:t>
      </w:r>
      <w:r>
        <w:t xml:space="preserve"> was re-designed or reinterpreted as a small facility, </w:t>
      </w:r>
      <w:r w:rsidR="00F308FF">
        <w:t xml:space="preserve">this would </w:t>
      </w:r>
      <w:r>
        <w:t xml:space="preserve">provide the opportunity to tell a more multicomponent story of program operation. </w:t>
      </w:r>
      <w:r w:rsidR="00F308FF">
        <w:t xml:space="preserve">Identifying </w:t>
      </w:r>
      <w:r>
        <w:t xml:space="preserve">major work areas and how these individually contribute to women’s empowerment </w:t>
      </w:r>
      <w:r w:rsidR="00F308FF">
        <w:t xml:space="preserve">and </w:t>
      </w:r>
      <w:r>
        <w:t xml:space="preserve">gender equality, </w:t>
      </w:r>
      <w:r w:rsidR="00F308FF">
        <w:t xml:space="preserve">would enable </w:t>
      </w:r>
      <w:r w:rsidR="00B41CAC">
        <w:t>MAMPU</w:t>
      </w:r>
      <w:r w:rsidR="00F308FF">
        <w:t xml:space="preserve"> to outline a</w:t>
      </w:r>
      <w:r>
        <w:t xml:space="preserve"> more detailed and focused assessment of change</w:t>
      </w:r>
      <w:r w:rsidR="00F308FF">
        <w:t>, roo</w:t>
      </w:r>
      <w:r>
        <w:t xml:space="preserve">ted in particular thematic or crosscutting areas, locations or combinations of </w:t>
      </w:r>
      <w:r w:rsidR="00BB7BEA">
        <w:t>these</w:t>
      </w:r>
      <w:r>
        <w:t>.</w:t>
      </w:r>
    </w:p>
    <w:p w14:paraId="2105508D" w14:textId="74935E98" w:rsidR="00BB6514" w:rsidRPr="00B76DF4" w:rsidRDefault="00A45595" w:rsidP="001C48E2">
      <w:pPr>
        <w:jc w:val="both"/>
      </w:pPr>
      <w:r>
        <w:t xml:space="preserve">This redevelopment of </w:t>
      </w:r>
      <w:r w:rsidR="00B41CAC">
        <w:t>MAMPU</w:t>
      </w:r>
      <w:r>
        <w:t xml:space="preserve"> towards a facility modality w</w:t>
      </w:r>
      <w:r w:rsidR="00F308FF">
        <w:t>ould</w:t>
      </w:r>
      <w:r>
        <w:t xml:space="preserve"> also facilitate a re-examination of the theory of change. </w:t>
      </w:r>
      <w:r w:rsidR="00445045">
        <w:t>T</w:t>
      </w:r>
      <w:r>
        <w:t xml:space="preserve">he </w:t>
      </w:r>
      <w:r w:rsidR="00B41CAC">
        <w:t>MAMPU</w:t>
      </w:r>
      <w:r>
        <w:t xml:space="preserve"> theory of change is a convenient communication device for the program, but fails to represent the sophistication of the work</w:t>
      </w:r>
      <w:r w:rsidR="00445045">
        <w:t>.</w:t>
      </w:r>
      <w:r w:rsidR="00B76DF4">
        <w:t xml:space="preserve"> </w:t>
      </w:r>
      <w:r w:rsidR="00B76DF4" w:rsidRPr="00B76DF4">
        <w:t xml:space="preserve">MAMPU works to address inequality and improved governance by working with the systems closest to the poorest and most marginalised people, especially the district and village governance and resource systems. The underpinning assumption for MAMPU is that effective advocacy and influence within these systems will support increased access to services for women and other marginalised groups, which in turn will support their engagement in the economic and social development of Indonesia.  However, this assumption requires examination going forward. In the current context of Indonesia, with increasing autonomy at local level and increasing numbers of regulations and laws influenced by local customs, politics and interests, leveraging local systems for change is not simple. Further, increased conservatism in many parts of the country and a slowing of economic opportunity throughout the country, suggests that the original MAMPU theory of change may not be enough to create the change that DFAT aims to achieve. For </w:t>
      </w:r>
      <w:r w:rsidR="00D01D30">
        <w:t xml:space="preserve">the </w:t>
      </w:r>
      <w:r w:rsidR="00B76DF4" w:rsidRPr="00B76DF4">
        <w:t xml:space="preserve">MAMPU </w:t>
      </w:r>
      <w:r w:rsidR="00D01D30">
        <w:t>theory of change</w:t>
      </w:r>
      <w:r w:rsidR="00285BA8">
        <w:t xml:space="preserve"> </w:t>
      </w:r>
      <w:r w:rsidR="00B76DF4" w:rsidRPr="00B76DF4">
        <w:t>to remain relevant, it will need to accommodate the emerging challenges in the context of Indonesia, especially at the subnational level, and the opportunities to challenge inequitable and discriminatory governance</w:t>
      </w:r>
      <w:r w:rsidR="00285BA8">
        <w:t>.</w:t>
      </w:r>
      <w:r w:rsidR="00974CE7" w:rsidRPr="00B76DF4">
        <w:t xml:space="preserve"> </w:t>
      </w:r>
      <w:r w:rsidR="00445045" w:rsidRPr="00B76DF4">
        <w:t xml:space="preserve"> </w:t>
      </w:r>
    </w:p>
    <w:p w14:paraId="63F00631" w14:textId="77777777" w:rsidR="00A45595" w:rsidRDefault="00A45595" w:rsidP="001C48E2">
      <w:pPr>
        <w:jc w:val="both"/>
      </w:pPr>
      <w:r>
        <w:t xml:space="preserve">Utilising a facility approach </w:t>
      </w:r>
      <w:r w:rsidR="00F308FF">
        <w:t xml:space="preserve">would require </w:t>
      </w:r>
      <w:r w:rsidR="00B41CAC">
        <w:t>MAMPU</w:t>
      </w:r>
      <w:r>
        <w:t xml:space="preserve"> </w:t>
      </w:r>
      <w:r w:rsidR="00F308FF">
        <w:t xml:space="preserve">to </w:t>
      </w:r>
      <w:r>
        <w:t>work towards a more sophisticated and applied theory of change</w:t>
      </w:r>
      <w:r w:rsidR="00F308FF">
        <w:t>,</w:t>
      </w:r>
      <w:r>
        <w:t xml:space="preserve"> with </w:t>
      </w:r>
      <w:r w:rsidR="00F308FF">
        <w:t>accompanying</w:t>
      </w:r>
      <w:r>
        <w:t xml:space="preserve"> strategies relevant to each component of work. This more comprehensive analysis and interpretation </w:t>
      </w:r>
      <w:r w:rsidR="00F308FF">
        <w:t xml:space="preserve">of the </w:t>
      </w:r>
      <w:r w:rsidR="00B41CAC">
        <w:t>MAMPU</w:t>
      </w:r>
      <w:r>
        <w:t xml:space="preserve"> approaches to change would likely better communicate both the sophistication of the DFAT investment in women’s empowerment </w:t>
      </w:r>
      <w:r w:rsidR="00F308FF">
        <w:t xml:space="preserve">and </w:t>
      </w:r>
      <w:r>
        <w:t xml:space="preserve">gender equality and provide stakeholders such as </w:t>
      </w:r>
      <w:r w:rsidR="00F308FF">
        <w:t xml:space="preserve">Government </w:t>
      </w:r>
      <w:r>
        <w:t>of Indonesia with more complex and detailed reckoning of</w:t>
      </w:r>
      <w:r w:rsidR="00462C18">
        <w:t xml:space="preserve"> what is required to achieve sustainable change for women.</w:t>
      </w:r>
    </w:p>
    <w:p w14:paraId="0A2A5EE5" w14:textId="21BD0104" w:rsidR="00462C18" w:rsidRDefault="00C574F5" w:rsidP="001C48E2">
      <w:pPr>
        <w:jc w:val="both"/>
      </w:pPr>
      <w:r>
        <w:t xml:space="preserve">Underpinning this further development would be </w:t>
      </w:r>
      <w:r w:rsidR="00F308FF">
        <w:t>a</w:t>
      </w:r>
      <w:r>
        <w:t xml:space="preserve"> requirement fo</w:t>
      </w:r>
      <w:r w:rsidR="00BB6514">
        <w:t>r improved analysis</w:t>
      </w:r>
      <w:r w:rsidR="00285BA8">
        <w:t>. T</w:t>
      </w:r>
      <w:r>
        <w:t>hat is</w:t>
      </w:r>
      <w:r w:rsidR="00BB6514">
        <w:t>,</w:t>
      </w:r>
      <w:r>
        <w:t xml:space="preserve"> more detailed understanding of what strategies work in which ways to address what types of challenges, in different locations. Collating this information and considering its implications and lessons for other programming by government and others would address the interests of several respondents to the ISR</w:t>
      </w:r>
      <w:r w:rsidR="00BB6514">
        <w:t xml:space="preserve"> for more detailed ‘knowledge’ about MAMP</w:t>
      </w:r>
      <w:r w:rsidR="00285BA8">
        <w:t>U</w:t>
      </w:r>
      <w:r>
        <w:t>.</w:t>
      </w:r>
    </w:p>
    <w:p w14:paraId="1687298C" w14:textId="77777777" w:rsidR="00B6463A" w:rsidRDefault="00B6463A" w:rsidP="001C48E2">
      <w:pPr>
        <w:jc w:val="both"/>
      </w:pPr>
      <w:r>
        <w:t xml:space="preserve">MAMPU has commissioned a new process to construct a program specific </w:t>
      </w:r>
      <w:r w:rsidR="00AB1455">
        <w:t>‘Value for M</w:t>
      </w:r>
      <w:r>
        <w:t>oney</w:t>
      </w:r>
      <w:r w:rsidR="00AB1455">
        <w:t>’</w:t>
      </w:r>
      <w:r>
        <w:t xml:space="preserve"> assessment. This is currently being tested at both program and approach levels.</w:t>
      </w:r>
      <w:r w:rsidR="00AB1455">
        <w:t xml:space="preserve"> It is the view of the ISR team that this process is likely to deliver some useful information about program efficiency (is MAMPU making the best use of available resources?). This would be a valuable source of information for DFAT as it considers future options. The system will </w:t>
      </w:r>
      <w:r w:rsidR="007C6AFF">
        <w:t xml:space="preserve">also likely </w:t>
      </w:r>
      <w:r w:rsidR="00AB1455">
        <w:t xml:space="preserve">provide some judgement about cost benefit </w:t>
      </w:r>
      <w:r w:rsidR="007C6AFF">
        <w:t xml:space="preserve">for </w:t>
      </w:r>
      <w:r w:rsidR="00AB1455">
        <w:t>some specific C</w:t>
      </w:r>
      <w:r w:rsidR="007C6AFF">
        <w:t>SO</w:t>
      </w:r>
      <w:r w:rsidR="00AB1455">
        <w:t xml:space="preserve"> partner approaches</w:t>
      </w:r>
      <w:r w:rsidR="007C6AFF">
        <w:t>. Given the diverse nature of CSO approaches demonstrated throughout MAMPU and the several intangible variables associated with these approaches, it is unlikely that the system will be able to generate a comparable set of quantitative assessments for all of the individual and collective strategies utilised throughout the program</w:t>
      </w:r>
      <w:r w:rsidR="00AB1455">
        <w:t>.</w:t>
      </w:r>
    </w:p>
    <w:p w14:paraId="2E510433" w14:textId="0F7C7290" w:rsidR="00CD6F7A" w:rsidRPr="00CD6F7A" w:rsidRDefault="00CD6F7A" w:rsidP="008B18EF">
      <w:pPr>
        <w:pStyle w:val="ListParagraph"/>
        <w:numPr>
          <w:ilvl w:val="0"/>
          <w:numId w:val="19"/>
        </w:numPr>
        <w:jc w:val="both"/>
        <w:outlineLvl w:val="0"/>
        <w:rPr>
          <w:color w:val="2E74B5" w:themeColor="accent1" w:themeShade="BF"/>
          <w:sz w:val="32"/>
          <w:szCs w:val="32"/>
        </w:rPr>
      </w:pPr>
      <w:bookmarkStart w:id="27" w:name="_Toc21523907"/>
      <w:r w:rsidRPr="00CD6F7A">
        <w:rPr>
          <w:color w:val="2E74B5" w:themeColor="accent1" w:themeShade="BF"/>
          <w:sz w:val="32"/>
          <w:szCs w:val="32"/>
        </w:rPr>
        <w:t>Analysis and recommendations</w:t>
      </w:r>
      <w:bookmarkEnd w:id="27"/>
    </w:p>
    <w:p w14:paraId="3443C173" w14:textId="160F8FED" w:rsidR="00CD6F7A" w:rsidRPr="00CD6F7A" w:rsidRDefault="00CD6F7A" w:rsidP="008B18EF">
      <w:pPr>
        <w:pStyle w:val="ListParagraph"/>
        <w:numPr>
          <w:ilvl w:val="1"/>
          <w:numId w:val="19"/>
        </w:numPr>
        <w:jc w:val="both"/>
        <w:outlineLvl w:val="1"/>
        <w:rPr>
          <w:color w:val="2E74B5" w:themeColor="accent1" w:themeShade="BF"/>
          <w:sz w:val="26"/>
          <w:szCs w:val="26"/>
        </w:rPr>
      </w:pPr>
      <w:bookmarkStart w:id="28" w:name="_Toc21523908"/>
      <w:r w:rsidRPr="00CD6F7A">
        <w:rPr>
          <w:color w:val="2E74B5" w:themeColor="accent1" w:themeShade="BF"/>
          <w:sz w:val="26"/>
          <w:szCs w:val="26"/>
        </w:rPr>
        <w:t>Overall conclusions</w:t>
      </w:r>
      <w:bookmarkEnd w:id="28"/>
    </w:p>
    <w:p w14:paraId="5D9EF5E6" w14:textId="54A0DF7C" w:rsidR="002960BD" w:rsidRDefault="007059BF" w:rsidP="001C48E2">
      <w:pPr>
        <w:jc w:val="both"/>
      </w:pPr>
      <w:r>
        <w:t xml:space="preserve">The </w:t>
      </w:r>
      <w:r w:rsidR="002960BD">
        <w:t xml:space="preserve">evidence indicates that MAMPU </w:t>
      </w:r>
      <w:r w:rsidR="001B1821">
        <w:t>P</w:t>
      </w:r>
      <w:r w:rsidR="002960BD">
        <w:t xml:space="preserve">hase 2 has been very effective program against two of its three outcomes and </w:t>
      </w:r>
      <w:r>
        <w:t xml:space="preserve">that it </w:t>
      </w:r>
      <w:r w:rsidR="002960BD">
        <w:t>has made considerable progress against the remaining outcome. Beyond this</w:t>
      </w:r>
      <w:r>
        <w:t>,</w:t>
      </w:r>
      <w:r w:rsidR="002960BD">
        <w:t xml:space="preserve"> the program has been effective in its contribution to women’s empowerment and gender equality in Indonesia</w:t>
      </w:r>
      <w:r>
        <w:t>,</w:t>
      </w:r>
      <w:r w:rsidR="002960BD">
        <w:t xml:space="preserve"> in particular through its support for </w:t>
      </w:r>
      <w:r>
        <w:t>the</w:t>
      </w:r>
      <w:r w:rsidR="002960BD">
        <w:t xml:space="preserve"> women’s movement and its contribution to mature CSO engagement with government.</w:t>
      </w:r>
    </w:p>
    <w:p w14:paraId="364C52C5" w14:textId="37E5A2E1" w:rsidR="002960BD" w:rsidRDefault="002960BD" w:rsidP="001C48E2">
      <w:pPr>
        <w:jc w:val="both"/>
      </w:pPr>
      <w:r>
        <w:t xml:space="preserve">MAMPU </w:t>
      </w:r>
      <w:r w:rsidR="001B1821">
        <w:t>P</w:t>
      </w:r>
      <w:r>
        <w:t>hase 2 has been very relevant to partner CSO</w:t>
      </w:r>
      <w:r w:rsidR="001B1821">
        <w:t>s</w:t>
      </w:r>
      <w:r>
        <w:t xml:space="preserve">, </w:t>
      </w:r>
      <w:r w:rsidR="007A7C28">
        <w:t xml:space="preserve">and </w:t>
      </w:r>
      <w:r>
        <w:t>the women’s movement within Indonesia</w:t>
      </w:r>
      <w:r w:rsidR="007A7C28">
        <w:t>. Government of Indonesia had identified that the program is relevant to current government priorities. In its support for stable and inclusive democratic space</w:t>
      </w:r>
      <w:r w:rsidR="001B1821">
        <w:t>,</w:t>
      </w:r>
      <w:r w:rsidR="007A7C28">
        <w:t xml:space="preserve"> MAMPU </w:t>
      </w:r>
      <w:r w:rsidR="001B1821">
        <w:t>P</w:t>
      </w:r>
      <w:r w:rsidR="007A7C28">
        <w:t>hase 2 has been highly relevant to government of Australia policy.</w:t>
      </w:r>
    </w:p>
    <w:p w14:paraId="29101DB8" w14:textId="3859415C" w:rsidR="007A7C28" w:rsidRDefault="007A7C28" w:rsidP="001C48E2">
      <w:pPr>
        <w:jc w:val="both"/>
      </w:pPr>
      <w:r>
        <w:t>Moving forward</w:t>
      </w:r>
      <w:r w:rsidR="00AE65CC">
        <w:t>,</w:t>
      </w:r>
      <w:r>
        <w:t xml:space="preserve"> a focus on women’s empowerment and gender equality </w:t>
      </w:r>
      <w:r w:rsidR="008E4392">
        <w:t>is</w:t>
      </w:r>
      <w:r w:rsidR="007059BF">
        <w:t xml:space="preserve"> expected to remain</w:t>
      </w:r>
      <w:r>
        <w:t xml:space="preserve"> </w:t>
      </w:r>
      <w:r w:rsidR="007059BF">
        <w:t>in line with</w:t>
      </w:r>
      <w:r>
        <w:t xml:space="preserve"> to DFAT objectives for its development programs in Indonesia.</w:t>
      </w:r>
      <w:r w:rsidR="007059BF">
        <w:t xml:space="preserve"> </w:t>
      </w:r>
      <w:r w:rsidR="00736AEB">
        <w:t>Australia would like to support a stable secure and prosperous Indonesia and improved gender equality and women’s empowerment will be key to these intentions.</w:t>
      </w:r>
    </w:p>
    <w:p w14:paraId="6A50E0A0" w14:textId="7FA662E2" w:rsidR="00AE65CC" w:rsidRPr="002960BD" w:rsidRDefault="007A7C28" w:rsidP="001C48E2">
      <w:pPr>
        <w:jc w:val="both"/>
      </w:pPr>
      <w:r>
        <w:t>At the same time</w:t>
      </w:r>
      <w:r w:rsidR="007059BF">
        <w:t>,</w:t>
      </w:r>
      <w:r w:rsidR="00AE65CC">
        <w:t xml:space="preserve"> the current work supported by MAMPU Phase 2, together with its modality and approach to change would likely require further development into the future</w:t>
      </w:r>
      <w:r w:rsidR="007A6D18">
        <w:t>,</w:t>
      </w:r>
      <w:r w:rsidR="00AE65CC">
        <w:t xml:space="preserve"> in order to address new and emerging issues and challenges and to remain relevant to the policies and interests of the government</w:t>
      </w:r>
      <w:r w:rsidR="00BB7BEA">
        <w:t xml:space="preserve">s of Indonesia and Australia. Possible improvements to MAMPU </w:t>
      </w:r>
      <w:r w:rsidR="001B1821">
        <w:t>P</w:t>
      </w:r>
      <w:r w:rsidR="00BB7BEA">
        <w:t>hase 2 are outlined below. These are followed by consideration of future options beyond the life of this program.</w:t>
      </w:r>
    </w:p>
    <w:p w14:paraId="4D55DE45" w14:textId="7C6D000D" w:rsidR="00CD6F7A" w:rsidRDefault="00CD6F7A" w:rsidP="008B18EF">
      <w:pPr>
        <w:pStyle w:val="ListParagraph"/>
        <w:numPr>
          <w:ilvl w:val="1"/>
          <w:numId w:val="19"/>
        </w:numPr>
        <w:jc w:val="both"/>
        <w:outlineLvl w:val="1"/>
        <w:rPr>
          <w:color w:val="2E74B5" w:themeColor="accent1" w:themeShade="BF"/>
          <w:sz w:val="24"/>
          <w:szCs w:val="24"/>
        </w:rPr>
      </w:pPr>
      <w:bookmarkStart w:id="29" w:name="_Toc21523909"/>
      <w:r>
        <w:rPr>
          <w:color w:val="2E74B5" w:themeColor="accent1" w:themeShade="BF"/>
          <w:sz w:val="24"/>
          <w:szCs w:val="24"/>
        </w:rPr>
        <w:t>MAMPU Phase 2 recommendations</w:t>
      </w:r>
      <w:bookmarkEnd w:id="29"/>
    </w:p>
    <w:p w14:paraId="420E6B00" w14:textId="5D4EB09A" w:rsidR="00770F5F" w:rsidRDefault="00770F5F" w:rsidP="001C48E2">
      <w:pPr>
        <w:jc w:val="both"/>
      </w:pPr>
      <w:r>
        <w:t xml:space="preserve">MAMPU </w:t>
      </w:r>
      <w:r w:rsidR="001B1821">
        <w:t>P</w:t>
      </w:r>
      <w:r>
        <w:t xml:space="preserve">hase </w:t>
      </w:r>
      <w:r w:rsidR="002960BD">
        <w:t>2</w:t>
      </w:r>
      <w:r>
        <w:t xml:space="preserve"> will continue until mid-2020.</w:t>
      </w:r>
      <w:r w:rsidR="007A6D18">
        <w:t xml:space="preserve"> The following recommendations focus on areas for possible improvement and further development within this remaining time frame.</w:t>
      </w:r>
    </w:p>
    <w:tbl>
      <w:tblPr>
        <w:tblStyle w:val="TableGrid"/>
        <w:tblW w:w="0" w:type="auto"/>
        <w:tblLook w:val="04A0" w:firstRow="1" w:lastRow="0" w:firstColumn="1" w:lastColumn="0" w:noHBand="0" w:noVBand="1"/>
      </w:tblPr>
      <w:tblGrid>
        <w:gridCol w:w="7225"/>
        <w:gridCol w:w="1791"/>
      </w:tblGrid>
      <w:tr w:rsidR="007904A2" w14:paraId="3DF08DF6" w14:textId="77777777" w:rsidTr="005F5380">
        <w:trPr>
          <w:tblHeader/>
        </w:trPr>
        <w:tc>
          <w:tcPr>
            <w:tcW w:w="7225" w:type="dxa"/>
            <w:shd w:val="clear" w:color="auto" w:fill="D9D9D9" w:themeFill="background1" w:themeFillShade="D9"/>
          </w:tcPr>
          <w:p w14:paraId="44B0E32D" w14:textId="1AE04BC9" w:rsidR="007904A2" w:rsidRDefault="007904A2" w:rsidP="007904A2">
            <w:pPr>
              <w:pStyle w:val="Heading4"/>
              <w:outlineLvl w:val="3"/>
            </w:pPr>
            <w:r>
              <w:t>Recommendation</w:t>
            </w:r>
          </w:p>
        </w:tc>
        <w:tc>
          <w:tcPr>
            <w:tcW w:w="1791" w:type="dxa"/>
            <w:shd w:val="clear" w:color="auto" w:fill="D9D9D9" w:themeFill="background1" w:themeFillShade="D9"/>
          </w:tcPr>
          <w:p w14:paraId="510813E8" w14:textId="1E2024F6" w:rsidR="007904A2" w:rsidRDefault="007904A2" w:rsidP="007904A2">
            <w:pPr>
              <w:pStyle w:val="Heading4"/>
              <w:outlineLvl w:val="3"/>
            </w:pPr>
            <w:r>
              <w:t>Responsibility</w:t>
            </w:r>
          </w:p>
        </w:tc>
      </w:tr>
      <w:tr w:rsidR="007904A2" w14:paraId="259A0522" w14:textId="77777777" w:rsidTr="008E4392">
        <w:tc>
          <w:tcPr>
            <w:tcW w:w="7225" w:type="dxa"/>
          </w:tcPr>
          <w:p w14:paraId="634B4A47" w14:textId="77777777" w:rsidR="006F545C" w:rsidRDefault="006F545C" w:rsidP="001C48E2">
            <w:pPr>
              <w:pStyle w:val="Heading4"/>
              <w:jc w:val="both"/>
              <w:outlineLvl w:val="3"/>
            </w:pPr>
            <w:r>
              <w:t>Research and communication</w:t>
            </w:r>
          </w:p>
          <w:p w14:paraId="5A6D71FD" w14:textId="60793B4C" w:rsidR="006F545C" w:rsidRDefault="00F3635F" w:rsidP="001C48E2">
            <w:pPr>
              <w:jc w:val="both"/>
            </w:pPr>
            <w:r>
              <w:t>Over</w:t>
            </w:r>
            <w:r w:rsidR="006F545C">
              <w:t xml:space="preserve"> the remaining 18 months of program implementation, the ISR recommends that independent research is commissioned to examine and document:</w:t>
            </w:r>
          </w:p>
          <w:p w14:paraId="33BADBD7" w14:textId="77777777" w:rsidR="006F545C" w:rsidRDefault="006F545C" w:rsidP="00CD6F7A">
            <w:pPr>
              <w:pStyle w:val="ListParagraph"/>
              <w:numPr>
                <w:ilvl w:val="0"/>
                <w:numId w:val="16"/>
              </w:numPr>
              <w:jc w:val="both"/>
            </w:pPr>
            <w:r>
              <w:t>MAMPU partner practice in context. This research would identify the strategies and approaches of partners which are effective in specific locations. This information could be published in accessible forms for multiple stakeholders. This would assist in program communication, especially with Government of Indonesia.</w:t>
            </w:r>
          </w:p>
          <w:p w14:paraId="22909449" w14:textId="77777777" w:rsidR="006F545C" w:rsidRDefault="006F545C" w:rsidP="00CD6F7A">
            <w:pPr>
              <w:pStyle w:val="ListParagraph"/>
              <w:numPr>
                <w:ilvl w:val="0"/>
                <w:numId w:val="16"/>
              </w:numPr>
              <w:jc w:val="both"/>
            </w:pPr>
            <w:r>
              <w:t>The innovative management and administrative practices in MAMPU. These could be made available within DFAT Indonesia and beyond to promote learning about good practice program implementation of governance programs.</w:t>
            </w:r>
          </w:p>
          <w:p w14:paraId="1F956B72" w14:textId="2ED9EB1F" w:rsidR="006F545C" w:rsidRDefault="006F545C" w:rsidP="00CD6F7A">
            <w:pPr>
              <w:pStyle w:val="ListParagraph"/>
              <w:numPr>
                <w:ilvl w:val="0"/>
                <w:numId w:val="16"/>
              </w:numPr>
              <w:jc w:val="both"/>
            </w:pPr>
            <w:r>
              <w:t xml:space="preserve">The overall programme learnings about effective approaches to women’s empowerment and gender equality in the Indonesian context. These lessons learned could be shared widely within the Indonesia program and to other relevant Australian </w:t>
            </w:r>
            <w:r w:rsidR="001B1821">
              <w:t>G</w:t>
            </w:r>
            <w:r>
              <w:t>overnment programs, fulfilling the original intent of MAMPU to generate more widespread learning about programming for women’s empowerment.</w:t>
            </w:r>
          </w:p>
          <w:p w14:paraId="5082F8AC" w14:textId="77777777" w:rsidR="007904A2" w:rsidRDefault="007904A2" w:rsidP="001C48E2">
            <w:pPr>
              <w:jc w:val="both"/>
            </w:pPr>
          </w:p>
        </w:tc>
        <w:tc>
          <w:tcPr>
            <w:tcW w:w="1791" w:type="dxa"/>
          </w:tcPr>
          <w:p w14:paraId="517308B7" w14:textId="77777777" w:rsidR="007904A2" w:rsidRDefault="007904A2" w:rsidP="001C48E2">
            <w:pPr>
              <w:jc w:val="both"/>
            </w:pPr>
          </w:p>
          <w:p w14:paraId="4B8AC450" w14:textId="6ECCF193" w:rsidR="005818C4" w:rsidRDefault="005818C4" w:rsidP="001C48E2">
            <w:r>
              <w:t xml:space="preserve">DFAT </w:t>
            </w:r>
            <w:r w:rsidR="001B1821">
              <w:t xml:space="preserve">[or program management] </w:t>
            </w:r>
            <w:r>
              <w:t>to commission and manage.</w:t>
            </w:r>
          </w:p>
        </w:tc>
      </w:tr>
      <w:tr w:rsidR="007904A2" w14:paraId="3D24CA80" w14:textId="77777777" w:rsidTr="008E4392">
        <w:tc>
          <w:tcPr>
            <w:tcW w:w="7225" w:type="dxa"/>
          </w:tcPr>
          <w:p w14:paraId="6643CAA4" w14:textId="77777777" w:rsidR="006F545C" w:rsidRDefault="006F545C" w:rsidP="001C48E2">
            <w:pPr>
              <w:pStyle w:val="Heading4"/>
              <w:jc w:val="both"/>
              <w:outlineLvl w:val="3"/>
            </w:pPr>
            <w:r>
              <w:t>Modality</w:t>
            </w:r>
          </w:p>
          <w:p w14:paraId="51C1D1BD" w14:textId="791DE2AB" w:rsidR="006F545C" w:rsidRDefault="006F545C" w:rsidP="001C48E2">
            <w:pPr>
              <w:jc w:val="both"/>
            </w:pPr>
            <w:r>
              <w:t xml:space="preserve">In order to better communicate MAMPU </w:t>
            </w:r>
            <w:r w:rsidR="001B1821">
              <w:t>P</w:t>
            </w:r>
            <w:r>
              <w:t xml:space="preserve">hase 2, and strengthen its outcomes for the remaining program life, the ISR recommends that consideration could be given to reconfiguring MAMPU beyond a program to a </w:t>
            </w:r>
            <w:r w:rsidR="00F3635F">
              <w:t>more flexible</w:t>
            </w:r>
            <w:r>
              <w:t xml:space="preserve"> modality. This will clearly require further discussion at the level of program governance, identifying the implications for program outcomes and reporting.</w:t>
            </w:r>
          </w:p>
          <w:p w14:paraId="13982989" w14:textId="709B54ED" w:rsidR="006F545C" w:rsidRDefault="006F545C" w:rsidP="001C48E2">
            <w:pPr>
              <w:jc w:val="both"/>
            </w:pPr>
            <w:r>
              <w:t>If program governance supports this shift in modality</w:t>
            </w:r>
            <w:r w:rsidR="00F3635F">
              <w:t>,</w:t>
            </w:r>
            <w:r>
              <w:t xml:space="preserve"> further action would be required to identify areas of program strength and major focus, acknowledging that these are likely to be a mixture of work in particular locations, some of the </w:t>
            </w:r>
            <w:r w:rsidR="00F3635F">
              <w:t>thematic</w:t>
            </w:r>
            <w:r>
              <w:t xml:space="preserve"> areas, some crosscutting work and/or other work being undertaken by partners including dialogue and learning.</w:t>
            </w:r>
          </w:p>
          <w:p w14:paraId="4F7E397F" w14:textId="2AB147A8" w:rsidR="006F545C" w:rsidRDefault="006F545C" w:rsidP="001C48E2">
            <w:pPr>
              <w:jc w:val="both"/>
            </w:pPr>
            <w:r>
              <w:t>In the remaining program time</w:t>
            </w:r>
            <w:r w:rsidR="00F3635F">
              <w:t>,</w:t>
            </w:r>
            <w:r>
              <w:t xml:space="preserve"> the emphasis could move to strengthen, support and better communicate these major areas. This will include increased focus on understanding what is happening and why </w:t>
            </w:r>
            <w:r w:rsidR="00F3635F">
              <w:t>across</w:t>
            </w:r>
            <w:r>
              <w:t xml:space="preserve"> these areas</w:t>
            </w:r>
            <w:r w:rsidR="00F3635F">
              <w:t>. It would also include review of the</w:t>
            </w:r>
            <w:r>
              <w:t xml:space="preserve"> specific outcomes able to be achieved from these areas in their own right.</w:t>
            </w:r>
          </w:p>
          <w:p w14:paraId="387096FA" w14:textId="77777777" w:rsidR="006F545C" w:rsidRDefault="006F545C" w:rsidP="001C48E2">
            <w:pPr>
              <w:jc w:val="both"/>
            </w:pPr>
            <w:r>
              <w:t>Over the remaining life of the program this would focus resources on consolidating the most likely, and most impactful, program achievements. It should enable MAMPU to tell a more comprehensive story about its multicomponent contribution to change.</w:t>
            </w:r>
          </w:p>
          <w:p w14:paraId="20C3BB8D" w14:textId="77777777" w:rsidR="007904A2" w:rsidRDefault="007904A2" w:rsidP="001C48E2">
            <w:pPr>
              <w:jc w:val="both"/>
            </w:pPr>
          </w:p>
        </w:tc>
        <w:tc>
          <w:tcPr>
            <w:tcW w:w="1791" w:type="dxa"/>
          </w:tcPr>
          <w:p w14:paraId="341195A4" w14:textId="77777777" w:rsidR="007904A2" w:rsidRDefault="007904A2" w:rsidP="001C48E2">
            <w:pPr>
              <w:jc w:val="both"/>
            </w:pPr>
          </w:p>
          <w:p w14:paraId="45AE3B1B" w14:textId="68B3831F" w:rsidR="005818C4" w:rsidRDefault="005818C4" w:rsidP="001C48E2">
            <w:r>
              <w:t>DFAT and BAPPENAS to consider this change.</w:t>
            </w:r>
          </w:p>
          <w:p w14:paraId="49BA30C6" w14:textId="77777777" w:rsidR="00813019" w:rsidRDefault="00813019" w:rsidP="001C48E2"/>
          <w:p w14:paraId="0FFECDAB" w14:textId="0A8DB53B" w:rsidR="005818C4" w:rsidRDefault="005818C4" w:rsidP="001C48E2">
            <w:r>
              <w:t xml:space="preserve">If agreed then the Program management would be responsible for instituting the change in cooperation with </w:t>
            </w:r>
            <w:r w:rsidR="00842342">
              <w:t>p</w:t>
            </w:r>
            <w:r>
              <w:t xml:space="preserve">artners. </w:t>
            </w:r>
          </w:p>
        </w:tc>
      </w:tr>
      <w:tr w:rsidR="007904A2" w14:paraId="397EFCE9" w14:textId="77777777" w:rsidTr="008E4392">
        <w:tc>
          <w:tcPr>
            <w:tcW w:w="7225" w:type="dxa"/>
          </w:tcPr>
          <w:p w14:paraId="78FA7CBE" w14:textId="77777777" w:rsidR="006F545C" w:rsidRDefault="006F545C" w:rsidP="001C48E2">
            <w:pPr>
              <w:pStyle w:val="Heading4"/>
              <w:jc w:val="both"/>
              <w:outlineLvl w:val="3"/>
            </w:pPr>
            <w:r>
              <w:t xml:space="preserve">Change strategy </w:t>
            </w:r>
          </w:p>
          <w:p w14:paraId="3C908560" w14:textId="77777777" w:rsidR="006F545C" w:rsidRDefault="006F545C" w:rsidP="001C48E2">
            <w:pPr>
              <w:jc w:val="both"/>
            </w:pPr>
            <w:r>
              <w:t xml:space="preserve">As a contribution to better communication about the value and sophistication of MAMPU programs and approaches to change, and as a contribution to possible future programs, the ISR recommends that some work be undertaken to further develop the MAMPU approach to change. </w:t>
            </w:r>
          </w:p>
          <w:p w14:paraId="0F599390" w14:textId="77777777" w:rsidR="006F545C" w:rsidRDefault="006F545C" w:rsidP="001C48E2">
            <w:pPr>
              <w:jc w:val="both"/>
            </w:pPr>
            <w:r>
              <w:t>This would support CSO partners together with DFAT and Government of Indonesia, to identify the more detailed and sophisticated change strategies likely to be required in order to address change at both subnational and national levels within the present Indonesian social and political context.</w:t>
            </w:r>
          </w:p>
          <w:p w14:paraId="7A7EAD10" w14:textId="77777777" w:rsidR="006F545C" w:rsidRDefault="006F545C" w:rsidP="001C48E2">
            <w:pPr>
              <w:jc w:val="both"/>
            </w:pPr>
            <w:r>
              <w:t>This will contribute to better communication about what MAMPU is able to achieve and why. It will provide a basis for consideration of future DFAT support for women’s empowerment and gender equality.</w:t>
            </w:r>
          </w:p>
          <w:p w14:paraId="47795EE0" w14:textId="77777777" w:rsidR="007904A2" w:rsidRDefault="007904A2" w:rsidP="001C48E2">
            <w:pPr>
              <w:jc w:val="both"/>
            </w:pPr>
          </w:p>
        </w:tc>
        <w:tc>
          <w:tcPr>
            <w:tcW w:w="1791" w:type="dxa"/>
          </w:tcPr>
          <w:p w14:paraId="36909908" w14:textId="77777777" w:rsidR="007904A2" w:rsidRDefault="007904A2" w:rsidP="00770F5F"/>
          <w:p w14:paraId="16399111" w14:textId="79FDE14E" w:rsidR="005818C4" w:rsidRDefault="005818C4" w:rsidP="00770F5F">
            <w:r>
              <w:t xml:space="preserve">Program </w:t>
            </w:r>
            <w:r w:rsidR="009F274F">
              <w:t>management</w:t>
            </w:r>
            <w:r>
              <w:t xml:space="preserve"> to </w:t>
            </w:r>
            <w:r w:rsidR="009F274F">
              <w:t xml:space="preserve">implement </w:t>
            </w:r>
            <w:r>
              <w:t xml:space="preserve">in cooperation </w:t>
            </w:r>
            <w:r w:rsidR="009F274F">
              <w:t>with P</w:t>
            </w:r>
            <w:r>
              <w:t>artners</w:t>
            </w:r>
          </w:p>
        </w:tc>
      </w:tr>
      <w:tr w:rsidR="003D2C7C" w14:paraId="6DE17E18" w14:textId="77777777" w:rsidTr="008E4392">
        <w:tc>
          <w:tcPr>
            <w:tcW w:w="7225" w:type="dxa"/>
          </w:tcPr>
          <w:p w14:paraId="22FEDF86" w14:textId="77777777" w:rsidR="003D2C7C" w:rsidRDefault="003D2C7C" w:rsidP="001C48E2">
            <w:pPr>
              <w:pStyle w:val="Heading4"/>
              <w:jc w:val="both"/>
              <w:outlineLvl w:val="3"/>
            </w:pPr>
            <w:r>
              <w:t>Disability</w:t>
            </w:r>
          </w:p>
          <w:p w14:paraId="32D717E9" w14:textId="19E6DE5A" w:rsidR="006C76D4" w:rsidRPr="006C76D4" w:rsidRDefault="006C76D4" w:rsidP="001C48E2">
            <w:pPr>
              <w:jc w:val="both"/>
            </w:pPr>
            <w:r>
              <w:t xml:space="preserve">In line with Australian government policy and with </w:t>
            </w:r>
            <w:r w:rsidR="00842342">
              <w:t xml:space="preserve">the </w:t>
            </w:r>
            <w:r>
              <w:t xml:space="preserve">Indonesian </w:t>
            </w:r>
            <w:r w:rsidR="00842342">
              <w:t>G</w:t>
            </w:r>
            <w:r>
              <w:t>overnment</w:t>
            </w:r>
            <w:r w:rsidR="00842342">
              <w:t>’s</w:t>
            </w:r>
            <w:r>
              <w:t xml:space="preserve"> commitment to disability inclusion (Law No</w:t>
            </w:r>
            <w:r w:rsidR="00D47EEF">
              <w:t xml:space="preserve"> </w:t>
            </w:r>
            <w:r>
              <w:t>8, 2016), the ISR recommends that MAMPU urgently implement its new disability inclusive strategy. Further</w:t>
            </w:r>
            <w:r w:rsidR="00456D32">
              <w:t>,</w:t>
            </w:r>
            <w:r>
              <w:t xml:space="preserve"> in light of the identified disability </w:t>
            </w:r>
            <w:r w:rsidR="00456D32">
              <w:t xml:space="preserve">mainstreaming </w:t>
            </w:r>
            <w:r>
              <w:t>that partners are already undertaking</w:t>
            </w:r>
            <w:r w:rsidR="00456D32">
              <w:t>,</w:t>
            </w:r>
            <w:r>
              <w:t xml:space="preserve"> it is recommended that MAMPU program management </w:t>
            </w:r>
            <w:r w:rsidR="00456D32">
              <w:t xml:space="preserve">include </w:t>
            </w:r>
            <w:r>
              <w:t>more clear communication of the program</w:t>
            </w:r>
            <w:r w:rsidR="00842342">
              <w:t>’s</w:t>
            </w:r>
            <w:r>
              <w:t xml:space="preserve"> support for disability inclusion </w:t>
            </w:r>
            <w:r w:rsidR="00456D32">
              <w:t xml:space="preserve">in future </w:t>
            </w:r>
            <w:r>
              <w:t xml:space="preserve">reporting and communications. </w:t>
            </w:r>
          </w:p>
        </w:tc>
        <w:tc>
          <w:tcPr>
            <w:tcW w:w="1791" w:type="dxa"/>
          </w:tcPr>
          <w:p w14:paraId="68F69C6D" w14:textId="77777777" w:rsidR="003D2C7C" w:rsidRDefault="003D2C7C" w:rsidP="00770F5F"/>
          <w:p w14:paraId="00BD0124" w14:textId="2B7D46EC" w:rsidR="00456D32" w:rsidRDefault="00456D32" w:rsidP="00770F5F">
            <w:r>
              <w:t>Program management.</w:t>
            </w:r>
          </w:p>
        </w:tc>
      </w:tr>
      <w:tr w:rsidR="007904A2" w14:paraId="4BDF4EDD" w14:textId="77777777" w:rsidTr="008E4392">
        <w:tc>
          <w:tcPr>
            <w:tcW w:w="7225" w:type="dxa"/>
          </w:tcPr>
          <w:p w14:paraId="2A28F335" w14:textId="77777777" w:rsidR="00E86D64" w:rsidRDefault="00E86D64" w:rsidP="001C48E2">
            <w:pPr>
              <w:pStyle w:val="Heading4"/>
              <w:jc w:val="both"/>
              <w:outlineLvl w:val="3"/>
            </w:pPr>
            <w:r>
              <w:t>Expanded space</w:t>
            </w:r>
          </w:p>
          <w:p w14:paraId="00070DFA" w14:textId="198D554A" w:rsidR="00E86D64" w:rsidRDefault="00E86D64" w:rsidP="001C48E2">
            <w:pPr>
              <w:jc w:val="both"/>
            </w:pPr>
            <w:r>
              <w:t xml:space="preserve">As part of a redeveloped theory of change or as a precursor to this work, the ISR recommends that MAMPU create some expanded space for CSO partners and others to come together to examine emerging areas of challenge for women’s empowerment and gender equality, in particular the impact of increasing </w:t>
            </w:r>
            <w:r w:rsidR="00F3635F">
              <w:t xml:space="preserve">political and religious </w:t>
            </w:r>
            <w:r>
              <w:t>conservatism on the space for gender equality and women’s empowerment. Attention could also be given to the challenge of how to better engage with young people including young women.</w:t>
            </w:r>
          </w:p>
          <w:p w14:paraId="29AFDB81" w14:textId="44FC5345" w:rsidR="00E86D64" w:rsidRDefault="00E86D64" w:rsidP="001C48E2">
            <w:pPr>
              <w:jc w:val="both"/>
            </w:pPr>
            <w:r>
              <w:t xml:space="preserve">MAMPU Phase 2 has access to Indonesian and International expertise. Facilitating further dialogue between these experts, CSO partners and stakeholders such as government of Indonesian, knowledge and research institutions and others, would provide space for the development of new strategies and approaches to meet emerging challenges. It would further extend the dialogue and space for the women’s movement in Indonesia. The process could be a precursor to </w:t>
            </w:r>
            <w:r w:rsidR="00842342">
              <w:t xml:space="preserve">the </w:t>
            </w:r>
            <w:r>
              <w:t>review of future options for DFAT support for women’s empowerment and gender equality.</w:t>
            </w:r>
          </w:p>
          <w:p w14:paraId="57B95846" w14:textId="77777777" w:rsidR="007904A2" w:rsidRDefault="007904A2" w:rsidP="001C48E2">
            <w:pPr>
              <w:jc w:val="both"/>
            </w:pPr>
          </w:p>
        </w:tc>
        <w:tc>
          <w:tcPr>
            <w:tcW w:w="1791" w:type="dxa"/>
          </w:tcPr>
          <w:p w14:paraId="1BB969F2" w14:textId="77777777" w:rsidR="007904A2" w:rsidRDefault="007904A2" w:rsidP="00770F5F"/>
          <w:p w14:paraId="7C7C6944" w14:textId="43773AC1" w:rsidR="009F274F" w:rsidRDefault="009F274F" w:rsidP="00770F5F">
            <w:r>
              <w:t>DFAT to manage</w:t>
            </w:r>
            <w:r w:rsidR="004F2F3D">
              <w:t xml:space="preserve"> together with Program management</w:t>
            </w:r>
          </w:p>
        </w:tc>
      </w:tr>
      <w:tr w:rsidR="007904A2" w14:paraId="33201FF7" w14:textId="77777777" w:rsidTr="008E4392">
        <w:tc>
          <w:tcPr>
            <w:tcW w:w="7225" w:type="dxa"/>
          </w:tcPr>
          <w:p w14:paraId="5CBDF70B" w14:textId="1A9E9C2B" w:rsidR="00E86D64" w:rsidRDefault="00E86D64" w:rsidP="001C48E2">
            <w:pPr>
              <w:pStyle w:val="Heading4"/>
              <w:jc w:val="both"/>
              <w:outlineLvl w:val="3"/>
            </w:pPr>
            <w:r>
              <w:t>DFAT coordination</w:t>
            </w:r>
            <w:r w:rsidR="00895679">
              <w:t xml:space="preserve"> and collaboration</w:t>
            </w:r>
          </w:p>
          <w:p w14:paraId="77F01B84" w14:textId="24B5896A" w:rsidR="003C54DF" w:rsidRDefault="00E86D64" w:rsidP="001C48E2">
            <w:pPr>
              <w:jc w:val="both"/>
            </w:pPr>
            <w:r>
              <w:t xml:space="preserve">In line with several suggestions around increased DFAT program collaboration and coordination, the ISR recommends that </w:t>
            </w:r>
            <w:r w:rsidR="003C54DF">
              <w:t xml:space="preserve">That </w:t>
            </w:r>
            <w:r w:rsidR="003C54DF" w:rsidRPr="00895679">
              <w:rPr>
                <w:b/>
              </w:rPr>
              <w:t>DFAT</w:t>
            </w:r>
            <w:r w:rsidR="003C54DF">
              <w:t xml:space="preserve"> further improve coordination </w:t>
            </w:r>
            <w:r w:rsidR="00FC11BD">
              <w:t>between</w:t>
            </w:r>
            <w:r w:rsidR="003C54DF">
              <w:t xml:space="preserve"> its programs to maximise the learning and increase its focus on voice and participation for women and girls. </w:t>
            </w:r>
          </w:p>
          <w:p w14:paraId="24B7790F" w14:textId="148ACF6F" w:rsidR="00895679" w:rsidRDefault="003C54DF" w:rsidP="001C48E2">
            <w:pPr>
              <w:pStyle w:val="ListParagraph"/>
              <w:ind w:left="0"/>
              <w:jc w:val="both"/>
            </w:pPr>
            <w:r>
              <w:t>Indonesia Post has a gender network that meets quarterly and gender focal points in most programs. And most programs have a clear and well-developed gender strategy, seeking to serve the needs of women.</w:t>
            </w:r>
            <w:r w:rsidR="00FC11BD">
              <w:t xml:space="preserve"> </w:t>
            </w:r>
            <w:r>
              <w:t xml:space="preserve"> One of the distinct differences in MAMPU is its focus on increasing the voice and participation of women, enabling them to drive and determine their development needs. </w:t>
            </w:r>
            <w:r w:rsidR="00895679">
              <w:t>Ongoing sharing and exchange of information and experience between the various programs would be of value to all.</w:t>
            </w:r>
          </w:p>
          <w:p w14:paraId="69881A02" w14:textId="4594DF83" w:rsidR="00895679" w:rsidRDefault="00895679" w:rsidP="001C48E2">
            <w:pPr>
              <w:jc w:val="both"/>
            </w:pPr>
            <w:r>
              <w:t>In addition, the ISR recommends that DFAT establish a system to improve co</w:t>
            </w:r>
            <w:r w:rsidR="00CE7747">
              <w:t xml:space="preserve">llaboration </w:t>
            </w:r>
            <w:r>
              <w:t>across its programs to maximise the learning and increase its overall development impact for women and girls.</w:t>
            </w:r>
          </w:p>
          <w:p w14:paraId="50E1432F" w14:textId="7B4F816C" w:rsidR="007904A2" w:rsidRDefault="00895679" w:rsidP="001C48E2">
            <w:pPr>
              <w:jc w:val="both"/>
            </w:pPr>
            <w:r>
              <w:t>Experience from other DFAT program suggests that this requires that a system is established to hold senior level managers within DFAT accountable for tangible outcomes or indicators of progress towards increased collaboration all. It also requires contractual incentives specific to individual programs (usually through mandating activities and behaviours in new program contracts as they are developed in the future pipeline of work).  Experience also shows that increased collaborative work within DFAT for women’s empowerment and gender equality is supported by having a shared framework for understanding change, which brings together the various contributions of different types of programming towards this end.</w:t>
            </w:r>
            <w:r>
              <w:rPr>
                <w:rStyle w:val="FootnoteReference"/>
              </w:rPr>
              <w:footnoteReference w:id="53"/>
            </w:r>
          </w:p>
        </w:tc>
        <w:tc>
          <w:tcPr>
            <w:tcW w:w="1791" w:type="dxa"/>
          </w:tcPr>
          <w:p w14:paraId="25B801A0" w14:textId="77777777" w:rsidR="007904A2" w:rsidRDefault="007904A2" w:rsidP="00770F5F"/>
          <w:p w14:paraId="6CDB462D" w14:textId="38D6529F" w:rsidR="009F274F" w:rsidRDefault="009F274F" w:rsidP="00770F5F">
            <w:r>
              <w:t>DFAT senior management.</w:t>
            </w:r>
          </w:p>
        </w:tc>
      </w:tr>
      <w:tr w:rsidR="007904A2" w14:paraId="11050A55" w14:textId="77777777" w:rsidTr="008E4392">
        <w:tc>
          <w:tcPr>
            <w:tcW w:w="7225" w:type="dxa"/>
          </w:tcPr>
          <w:p w14:paraId="0F42CB41" w14:textId="77777777" w:rsidR="00E86D64" w:rsidRDefault="00E86D64" w:rsidP="001C48E2">
            <w:pPr>
              <w:pStyle w:val="Heading4"/>
              <w:jc w:val="both"/>
              <w:outlineLvl w:val="3"/>
            </w:pPr>
            <w:r>
              <w:t>CSO support</w:t>
            </w:r>
          </w:p>
          <w:p w14:paraId="107C4718" w14:textId="10DB259B" w:rsidR="00E86D64" w:rsidRDefault="00E86D64" w:rsidP="001C48E2">
            <w:pPr>
              <w:jc w:val="both"/>
            </w:pPr>
            <w:r>
              <w:t>DFAT support</w:t>
            </w:r>
            <w:r w:rsidR="00B433BC">
              <w:t>s</w:t>
            </w:r>
            <w:r>
              <w:t xml:space="preserve"> CSO</w:t>
            </w:r>
            <w:r w:rsidR="00B433BC">
              <w:t>s</w:t>
            </w:r>
            <w:r>
              <w:t xml:space="preserve"> through MAMPU and through several other of its development and economic programs. Given the significant connection between CSO activity in Indonesia and the growth of a robust democracy, the ISR recommends that DFAT develop an overall strategy for its engagement with CSO</w:t>
            </w:r>
            <w:r w:rsidR="00B433BC">
              <w:t>s</w:t>
            </w:r>
            <w:r>
              <w:t xml:space="preserve">. The strategy would be for the purpose of maximising the value of DFAT support to and engagement with CSO. </w:t>
            </w:r>
          </w:p>
          <w:p w14:paraId="0AC02C54" w14:textId="77777777" w:rsidR="00E86D64" w:rsidRDefault="00E86D64" w:rsidP="001C48E2">
            <w:pPr>
              <w:jc w:val="both"/>
            </w:pPr>
            <w:r>
              <w:t>The ISR recommends in particular that a DFAT CSO strategy include attention to:</w:t>
            </w:r>
          </w:p>
          <w:p w14:paraId="0971465F" w14:textId="77777777" w:rsidR="00E86D64" w:rsidRDefault="00E86D64" w:rsidP="00CD6F7A">
            <w:pPr>
              <w:pStyle w:val="ListParagraph"/>
              <w:numPr>
                <w:ilvl w:val="0"/>
                <w:numId w:val="17"/>
              </w:numPr>
              <w:jc w:val="both"/>
            </w:pPr>
            <w:r>
              <w:t xml:space="preserve">The relevance and purpose of DFAT CSO collaboration in Indonesia </w:t>
            </w:r>
          </w:p>
          <w:p w14:paraId="59A5524C" w14:textId="4809EF6F" w:rsidR="00E86D64" w:rsidRPr="00B85973" w:rsidRDefault="00E86D64" w:rsidP="00CD6F7A">
            <w:pPr>
              <w:pStyle w:val="ListParagraph"/>
              <w:numPr>
                <w:ilvl w:val="0"/>
                <w:numId w:val="17"/>
              </w:numPr>
              <w:jc w:val="both"/>
            </w:pPr>
            <w:r w:rsidRPr="00B85973">
              <w:t>The appropriate modalities and forms of support for CSO</w:t>
            </w:r>
            <w:r w:rsidR="00B433BC">
              <w:t>s</w:t>
            </w:r>
            <w:r w:rsidRPr="00B85973">
              <w:t xml:space="preserve"> that meet both the requirements of the Government of Indonesia and the fiduciary and other risk management and program quality requirements of DFAT.</w:t>
            </w:r>
          </w:p>
          <w:p w14:paraId="365318C2" w14:textId="7452395A" w:rsidR="00E86D64" w:rsidRDefault="00E86D64" w:rsidP="00CD6F7A">
            <w:pPr>
              <w:pStyle w:val="ListParagraph"/>
              <w:numPr>
                <w:ilvl w:val="0"/>
                <w:numId w:val="17"/>
              </w:numPr>
              <w:jc w:val="both"/>
            </w:pPr>
            <w:r w:rsidRPr="00B85973">
              <w:t>Attention to grants and</w:t>
            </w:r>
            <w:r>
              <w:t xml:space="preserve"> other funding mechanisms for CSO</w:t>
            </w:r>
            <w:r w:rsidR="00B433BC">
              <w:t>s</w:t>
            </w:r>
            <w:r>
              <w:t xml:space="preserve">, with particular consideration about the </w:t>
            </w:r>
            <w:r w:rsidR="003C54DF">
              <w:t>longer-term</w:t>
            </w:r>
            <w:r>
              <w:t xml:space="preserve"> incentives created by grant funding and where these might risk creating unsustainable or inappropriate organisational forms.</w:t>
            </w:r>
          </w:p>
          <w:p w14:paraId="2CE99A94" w14:textId="77777777" w:rsidR="00E86D64" w:rsidRDefault="00E86D64" w:rsidP="00CD6F7A">
            <w:pPr>
              <w:pStyle w:val="ListParagraph"/>
              <w:numPr>
                <w:ilvl w:val="0"/>
                <w:numId w:val="17"/>
              </w:numPr>
              <w:jc w:val="both"/>
            </w:pPr>
            <w:r>
              <w:t>Ways in which DFAT might structure its support to ensure the growth of a sustainable and robust civil society, appropriate to the ongoing development and economic challenges of Indonesia.</w:t>
            </w:r>
          </w:p>
          <w:p w14:paraId="727704B2" w14:textId="77777777" w:rsidR="007904A2" w:rsidRDefault="007904A2" w:rsidP="001C48E2">
            <w:pPr>
              <w:jc w:val="both"/>
            </w:pPr>
          </w:p>
        </w:tc>
        <w:tc>
          <w:tcPr>
            <w:tcW w:w="1791" w:type="dxa"/>
          </w:tcPr>
          <w:p w14:paraId="112C6014" w14:textId="77777777" w:rsidR="007904A2" w:rsidRDefault="007904A2" w:rsidP="00770F5F"/>
          <w:p w14:paraId="5AFC02D2" w14:textId="6E6E8939" w:rsidR="009F274F" w:rsidRDefault="009F274F" w:rsidP="00770F5F">
            <w:r>
              <w:t>DFAT to manage</w:t>
            </w:r>
          </w:p>
        </w:tc>
      </w:tr>
    </w:tbl>
    <w:p w14:paraId="70440760" w14:textId="257AE4A7" w:rsidR="0076374A" w:rsidRDefault="0076374A" w:rsidP="0076374A">
      <w:r>
        <w:t xml:space="preserve"> </w:t>
      </w:r>
    </w:p>
    <w:p w14:paraId="76A2A871" w14:textId="77777777" w:rsidR="00CD6F7A" w:rsidRDefault="00CD6F7A" w:rsidP="0076374A"/>
    <w:p w14:paraId="5EC2D8ED" w14:textId="0304F6C4" w:rsidR="00CD6F7A" w:rsidRPr="00CD6F7A" w:rsidRDefault="00CD6F7A" w:rsidP="008B18EF">
      <w:pPr>
        <w:pStyle w:val="ListParagraph"/>
        <w:numPr>
          <w:ilvl w:val="1"/>
          <w:numId w:val="19"/>
        </w:numPr>
        <w:jc w:val="both"/>
        <w:outlineLvl w:val="1"/>
        <w:rPr>
          <w:color w:val="2E74B5" w:themeColor="accent1" w:themeShade="BF"/>
          <w:sz w:val="26"/>
          <w:szCs w:val="26"/>
        </w:rPr>
      </w:pPr>
      <w:bookmarkStart w:id="30" w:name="_Toc21523910"/>
      <w:r w:rsidRPr="00CD6F7A">
        <w:rPr>
          <w:color w:val="2E74B5" w:themeColor="accent1" w:themeShade="BF"/>
          <w:sz w:val="26"/>
          <w:szCs w:val="26"/>
        </w:rPr>
        <w:t>Future options</w:t>
      </w:r>
      <w:bookmarkEnd w:id="30"/>
    </w:p>
    <w:p w14:paraId="79547A30" w14:textId="116F1B59" w:rsidR="00523473" w:rsidRDefault="00450067" w:rsidP="001C48E2">
      <w:pPr>
        <w:jc w:val="both"/>
      </w:pPr>
      <w:r>
        <w:t>G</w:t>
      </w:r>
      <w:r w:rsidR="00523473">
        <w:t xml:space="preserve">iven </w:t>
      </w:r>
      <w:r>
        <w:t xml:space="preserve">that </w:t>
      </w:r>
      <w:r w:rsidR="00523473">
        <w:t>Australian government policy recommends support for stability and robust democracy in partner countries, a focus on women’s empowerment and gender equ</w:t>
      </w:r>
      <w:r>
        <w:t xml:space="preserve">ality will remain relevant for </w:t>
      </w:r>
      <w:r w:rsidR="00523473">
        <w:t>DFAT programming in Indonesia into the future.</w:t>
      </w:r>
      <w:r>
        <w:t xml:space="preserve"> </w:t>
      </w:r>
      <w:r w:rsidR="00523473">
        <w:t>In addition</w:t>
      </w:r>
      <w:r w:rsidR="00B13007">
        <w:t>,</w:t>
      </w:r>
      <w:r w:rsidR="00523473">
        <w:t xml:space="preserve"> given the effectiveness and high quality of MAMPU phases 1&amp;2, DFAT have a considerable base upon which to build future relevant and</w:t>
      </w:r>
      <w:r w:rsidR="00E27195">
        <w:t xml:space="preserve"> effective support.</w:t>
      </w:r>
      <w:r>
        <w:t xml:space="preserve"> </w:t>
      </w:r>
      <w:r w:rsidR="00E27195">
        <w:t xml:space="preserve">In line with the TOR, the ISR gave some consideration to </w:t>
      </w:r>
      <w:r w:rsidR="00523473">
        <w:t xml:space="preserve">the form that this </w:t>
      </w:r>
      <w:r w:rsidR="00E27195">
        <w:t xml:space="preserve">support </w:t>
      </w:r>
      <w:r w:rsidR="00523473">
        <w:t>should take beyond</w:t>
      </w:r>
      <w:r w:rsidR="00E27195">
        <w:t xml:space="preserve"> MAMPU </w:t>
      </w:r>
      <w:r w:rsidR="00BD28A3">
        <w:t>P</w:t>
      </w:r>
      <w:r w:rsidR="00E27195">
        <w:t>hase 2.</w:t>
      </w:r>
    </w:p>
    <w:p w14:paraId="03871E0C" w14:textId="07D756E6" w:rsidR="00CD6F7A" w:rsidRDefault="00CD6F7A" w:rsidP="008B18EF">
      <w:pPr>
        <w:pStyle w:val="ListParagraph"/>
        <w:numPr>
          <w:ilvl w:val="2"/>
          <w:numId w:val="19"/>
        </w:numPr>
        <w:jc w:val="both"/>
        <w:outlineLvl w:val="2"/>
        <w:rPr>
          <w:color w:val="2E74B5" w:themeColor="accent1" w:themeShade="BF"/>
          <w:sz w:val="24"/>
          <w:szCs w:val="24"/>
        </w:rPr>
      </w:pPr>
      <w:bookmarkStart w:id="31" w:name="_Toc21523911"/>
      <w:r>
        <w:rPr>
          <w:color w:val="2E74B5" w:themeColor="accent1" w:themeShade="BF"/>
          <w:sz w:val="24"/>
          <w:szCs w:val="24"/>
        </w:rPr>
        <w:t>DFAT considerations</w:t>
      </w:r>
      <w:bookmarkEnd w:id="31"/>
    </w:p>
    <w:p w14:paraId="16F08A4B" w14:textId="77777777" w:rsidR="00E27195" w:rsidRPr="008801B8" w:rsidRDefault="00450067" w:rsidP="001C48E2">
      <w:pPr>
        <w:jc w:val="both"/>
        <w:rPr>
          <w:b/>
        </w:rPr>
      </w:pPr>
      <w:r w:rsidRPr="008801B8">
        <w:rPr>
          <w:b/>
        </w:rPr>
        <w:t>Prior to reviewing options, the ISR recommend</w:t>
      </w:r>
      <w:r w:rsidR="00F409EC" w:rsidRPr="008801B8">
        <w:rPr>
          <w:b/>
        </w:rPr>
        <w:t>s</w:t>
      </w:r>
      <w:r w:rsidRPr="008801B8">
        <w:rPr>
          <w:b/>
        </w:rPr>
        <w:t xml:space="preserve"> that DFAT give consideration to the following questions, which in turn would help shape decision-making about those options. </w:t>
      </w:r>
    </w:p>
    <w:p w14:paraId="24F63052" w14:textId="77777777" w:rsidR="00651749" w:rsidRPr="008801B8" w:rsidRDefault="00651749" w:rsidP="00CD6F7A">
      <w:pPr>
        <w:pStyle w:val="ListParagraph"/>
        <w:numPr>
          <w:ilvl w:val="0"/>
          <w:numId w:val="18"/>
        </w:numPr>
        <w:jc w:val="both"/>
      </w:pPr>
      <w:r w:rsidRPr="008801B8">
        <w:rPr>
          <w:b/>
        </w:rPr>
        <w:t>The horizon of investment</w:t>
      </w:r>
      <w:r w:rsidRPr="008801B8">
        <w:t xml:space="preserve">: MAMPU was described by some respondents as part of the trajectory of development and change in Indonesia that has taken place since </w:t>
      </w:r>
      <w:r w:rsidRPr="008801B8">
        <w:rPr>
          <w:i/>
        </w:rPr>
        <w:t xml:space="preserve">Reformasi. </w:t>
      </w:r>
      <w:r w:rsidRPr="008801B8">
        <w:t>Feedback to the ISR team indicates that the program has been highly valued because of its long-term contribution and adaptation to this broader trajectory. Is DFAT interested to make a similar ambitious (in terms of vision and time) contribution going forward?</w:t>
      </w:r>
    </w:p>
    <w:p w14:paraId="13A881CC" w14:textId="77777777" w:rsidR="00651749" w:rsidRPr="008801B8" w:rsidRDefault="00651749" w:rsidP="00CD6F7A">
      <w:pPr>
        <w:pStyle w:val="ListParagraph"/>
        <w:numPr>
          <w:ilvl w:val="0"/>
          <w:numId w:val="18"/>
        </w:numPr>
        <w:jc w:val="both"/>
      </w:pPr>
      <w:r w:rsidRPr="008801B8">
        <w:rPr>
          <w:b/>
        </w:rPr>
        <w:t>National and/or subnational focus</w:t>
      </w:r>
      <w:r w:rsidRPr="008801B8">
        <w:t>: DFAT has the opportunity through a future program for women’s empowerment and gender equality and possibly other existing programs, to have a more comprehensive subnational focus in selected geographic areas. This could be aligned to but not the same as</w:t>
      </w:r>
      <w:r w:rsidR="00F409EC" w:rsidRPr="008801B8">
        <w:t>,</w:t>
      </w:r>
      <w:r w:rsidRPr="008801B8">
        <w:t xml:space="preserve"> working with Government of Indonesia at national level.  What is the intended focus of DFAT work going forward in an increasingly decentralised Indonesian context? How can it achieve the most effective impact and outcomes </w:t>
      </w:r>
      <w:r w:rsidR="00F409EC" w:rsidRPr="008801B8">
        <w:t xml:space="preserve">in this </w:t>
      </w:r>
      <w:r w:rsidRPr="008801B8">
        <w:t>large and extremely diverse country context?</w:t>
      </w:r>
    </w:p>
    <w:p w14:paraId="428837F1" w14:textId="70B96BFD" w:rsidR="00651749" w:rsidRPr="008801B8" w:rsidRDefault="00651749" w:rsidP="00CD6F7A">
      <w:pPr>
        <w:pStyle w:val="ListParagraph"/>
        <w:numPr>
          <w:ilvl w:val="0"/>
          <w:numId w:val="18"/>
        </w:numPr>
        <w:jc w:val="both"/>
      </w:pPr>
      <w:r w:rsidRPr="008801B8">
        <w:rPr>
          <w:b/>
        </w:rPr>
        <w:t>Internal DFAT collaboration</w:t>
      </w:r>
      <w:r w:rsidRPr="008801B8">
        <w:t xml:space="preserve">: as discussed, there is opportunity for increased impact from DFAT programs, through more collaboration around strategies for women’s empowerment and gender equality. </w:t>
      </w:r>
      <w:r w:rsidR="003F3936" w:rsidRPr="008801B8">
        <w:t xml:space="preserve">While the ISR recommended that this be considered during the remaining life of MAMPU, any substantial change would require longer term vision and commitment to shift contractual and other structures in Australian aid investments going forward. Is DFAT in Indonesia prepared to consider these shifts, particularly in the upcoming Australia Indonesia </w:t>
      </w:r>
      <w:r w:rsidR="00BD28A3">
        <w:t>A</w:t>
      </w:r>
      <w:r w:rsidR="003F3936" w:rsidRPr="008801B8">
        <w:t xml:space="preserve">id </w:t>
      </w:r>
      <w:r w:rsidR="00BD28A3">
        <w:t>I</w:t>
      </w:r>
      <w:r w:rsidR="003F3936" w:rsidRPr="008801B8">
        <w:t xml:space="preserve">nvestment </w:t>
      </w:r>
      <w:r w:rsidR="00BD28A3">
        <w:t>P</w:t>
      </w:r>
      <w:r w:rsidR="003F3936" w:rsidRPr="008801B8">
        <w:t>lan, as a basis for more comprehensive and improved programming going forward</w:t>
      </w:r>
      <w:r w:rsidR="00F409EC" w:rsidRPr="008801B8">
        <w:t>?</w:t>
      </w:r>
    </w:p>
    <w:p w14:paraId="5798970D" w14:textId="3F4E22A5" w:rsidR="00CD6F7A" w:rsidRDefault="00CD6F7A" w:rsidP="00CD6F7A">
      <w:pPr>
        <w:pStyle w:val="Heading3"/>
        <w:ind w:left="1224"/>
        <w:jc w:val="both"/>
      </w:pPr>
    </w:p>
    <w:p w14:paraId="38684E47" w14:textId="1731832A" w:rsidR="00CD6F7A" w:rsidRDefault="00CD6F7A" w:rsidP="008B18EF">
      <w:pPr>
        <w:pStyle w:val="ListParagraph"/>
        <w:numPr>
          <w:ilvl w:val="2"/>
          <w:numId w:val="19"/>
        </w:numPr>
        <w:jc w:val="both"/>
        <w:outlineLvl w:val="2"/>
        <w:rPr>
          <w:color w:val="2E74B5" w:themeColor="accent1" w:themeShade="BF"/>
          <w:sz w:val="24"/>
          <w:szCs w:val="24"/>
        </w:rPr>
      </w:pPr>
      <w:bookmarkStart w:id="32" w:name="_Toc21523912"/>
      <w:r>
        <w:rPr>
          <w:color w:val="2E74B5" w:themeColor="accent1" w:themeShade="BF"/>
          <w:sz w:val="24"/>
          <w:szCs w:val="24"/>
        </w:rPr>
        <w:t>Option one: A new stand-alone program</w:t>
      </w:r>
      <w:bookmarkEnd w:id="32"/>
    </w:p>
    <w:p w14:paraId="701BAC47" w14:textId="72B1D03C" w:rsidR="00B84FBD" w:rsidRDefault="00E45EE3" w:rsidP="001C48E2">
      <w:pPr>
        <w:jc w:val="both"/>
      </w:pPr>
      <w:r>
        <w:t xml:space="preserve">Building </w:t>
      </w:r>
      <w:r w:rsidR="009028CD">
        <w:t>on the relationships and systems established under MAMPU phase</w:t>
      </w:r>
      <w:r w:rsidR="00BD28A3">
        <w:t>s</w:t>
      </w:r>
      <w:r w:rsidR="009028CD">
        <w:t xml:space="preserve"> 1 &amp; 2, a new stand-alone program </w:t>
      </w:r>
      <w:r>
        <w:t xml:space="preserve">for </w:t>
      </w:r>
      <w:r w:rsidR="00524FCD">
        <w:t>women’s</w:t>
      </w:r>
      <w:r>
        <w:t xml:space="preserve"> </w:t>
      </w:r>
      <w:r w:rsidR="009028CD">
        <w:t>empowerment and gender equality</w:t>
      </w:r>
      <w:r w:rsidR="00AB3CCA">
        <w:t xml:space="preserve"> c</w:t>
      </w:r>
      <w:r w:rsidR="009028CD">
        <w:t>ould be designed beyond the life of the current program</w:t>
      </w:r>
      <w:r>
        <w:t>.</w:t>
      </w:r>
      <w:r w:rsidR="00AB3CCA">
        <w:t xml:space="preserve"> This would </w:t>
      </w:r>
      <w:r w:rsidR="009028CD">
        <w:t xml:space="preserve">enable continuation of the current program work over </w:t>
      </w:r>
      <w:r w:rsidR="00BD28A3">
        <w:t xml:space="preserve">a </w:t>
      </w:r>
      <w:r w:rsidR="009028CD">
        <w:t>further 3 to 4 years</w:t>
      </w:r>
      <w:r>
        <w:t xml:space="preserve"> and provide the time that is required for current program strategies towards increased service delivery and sustained changes for women</w:t>
      </w:r>
      <w:r w:rsidR="000C2BC0">
        <w:t xml:space="preserve"> to be fully realised.</w:t>
      </w:r>
      <w:r w:rsidR="00AB3CCA">
        <w:t xml:space="preserve"> </w:t>
      </w:r>
    </w:p>
    <w:p w14:paraId="148E557D" w14:textId="6D567891" w:rsidR="009028CD" w:rsidRDefault="00AB3CCA" w:rsidP="001C48E2">
      <w:pPr>
        <w:jc w:val="both"/>
      </w:pPr>
      <w:r>
        <w:t>There are many advantages to this option, including the efficiency of building upon existing systems and knowledge.</w:t>
      </w:r>
      <w:r w:rsidR="003D1BC7">
        <w:t xml:space="preserve"> It would provide for the full value of MAMPU to be realised - effective strategies for change could be fully researched and documented, pilots take</w:t>
      </w:r>
      <w:r w:rsidR="00BD28A3">
        <w:t>n</w:t>
      </w:r>
      <w:r w:rsidR="003D1BC7">
        <w:t xml:space="preserve"> to scale where appropriate, systems of relationship with government technical ministries made fully operational, new cross cutting areas of work including the SDGs could be comprehensively implemented. </w:t>
      </w:r>
      <w:r w:rsidR="002E055A">
        <w:t xml:space="preserve">It would maintain support for the women’s movement in Indonesia at a critical time in the country’s democratic and economic development. Finally, a further program would provide DFAT with ongoing partnerships in a core area of civil society action in Indonesia. </w:t>
      </w:r>
      <w:r>
        <w:t xml:space="preserve">It </w:t>
      </w:r>
      <w:r w:rsidR="002E055A">
        <w:t xml:space="preserve">would </w:t>
      </w:r>
      <w:r>
        <w:t>also</w:t>
      </w:r>
      <w:r w:rsidR="002E055A">
        <w:t xml:space="preserve"> provide</w:t>
      </w:r>
      <w:r>
        <w:t xml:space="preserve"> a way for DFAT to continue to make a significant contribution to inclusive democracy.</w:t>
      </w:r>
    </w:p>
    <w:p w14:paraId="33726278" w14:textId="77777777" w:rsidR="009028CD" w:rsidRDefault="009028CD" w:rsidP="001C48E2">
      <w:pPr>
        <w:jc w:val="both"/>
      </w:pPr>
      <w:r>
        <w:t>Given the findings of this review</w:t>
      </w:r>
      <w:r w:rsidR="000C2BC0">
        <w:t xml:space="preserve"> however</w:t>
      </w:r>
      <w:r>
        <w:t>,</w:t>
      </w:r>
      <w:r w:rsidR="00CE3D47">
        <w:t xml:space="preserve"> the ISR team recommend that </w:t>
      </w:r>
      <w:r w:rsidR="003D1BC7">
        <w:t>if</w:t>
      </w:r>
      <w:r w:rsidR="00AB3CCA">
        <w:t xml:space="preserve"> </w:t>
      </w:r>
      <w:r w:rsidR="00CE3D47">
        <w:t xml:space="preserve">a new </w:t>
      </w:r>
      <w:r w:rsidR="00AB3CCA">
        <w:t xml:space="preserve">stand-alone </w:t>
      </w:r>
      <w:r w:rsidR="00CE3D47">
        <w:t xml:space="preserve">program </w:t>
      </w:r>
      <w:r w:rsidR="00AB3CCA">
        <w:t>was developed</w:t>
      </w:r>
      <w:r w:rsidR="003D1BC7">
        <w:t>,</w:t>
      </w:r>
      <w:r w:rsidR="00AB3CCA">
        <w:t xml:space="preserve"> it </w:t>
      </w:r>
      <w:r w:rsidR="00CE3D47">
        <w:t xml:space="preserve">should include several changes from the current MAMPU. </w:t>
      </w:r>
    </w:p>
    <w:p w14:paraId="46386910" w14:textId="43D7E6C4" w:rsidR="001E4012" w:rsidRPr="008801B8" w:rsidRDefault="001E4012" w:rsidP="001C48E2">
      <w:pPr>
        <w:jc w:val="both"/>
      </w:pPr>
      <w:r w:rsidRPr="008801B8">
        <w:t>A further phase of the program</w:t>
      </w:r>
      <w:r w:rsidR="00293949" w:rsidRPr="008801B8">
        <w:t xml:space="preserve"> should include </w:t>
      </w:r>
      <w:r w:rsidRPr="008801B8">
        <w:t>redevelopment of the theory of change</w:t>
      </w:r>
      <w:r w:rsidR="00293949" w:rsidRPr="008801B8">
        <w:t xml:space="preserve"> and a</w:t>
      </w:r>
      <w:r w:rsidR="004234BF" w:rsidRPr="008801B8">
        <w:t>n</w:t>
      </w:r>
      <w:r w:rsidR="00293949" w:rsidRPr="008801B8">
        <w:t xml:space="preserve"> updated examination of </w:t>
      </w:r>
      <w:r w:rsidR="00F541E0">
        <w:t>program strategies</w:t>
      </w:r>
      <w:r w:rsidR="003D1BC7" w:rsidRPr="008801B8">
        <w:t>. This</w:t>
      </w:r>
      <w:r w:rsidR="00293949" w:rsidRPr="008801B8">
        <w:t>,</w:t>
      </w:r>
      <w:r w:rsidR="003D1BC7" w:rsidRPr="008801B8">
        <w:t xml:space="preserve"> together with the required analysis and examination of strategies and location of work,</w:t>
      </w:r>
      <w:r w:rsidR="002E055A" w:rsidRPr="008801B8">
        <w:t xml:space="preserve"> should </w:t>
      </w:r>
      <w:r w:rsidR="003D1BC7" w:rsidRPr="008801B8">
        <w:t xml:space="preserve">contribute to increased focus within the program, with both fewer work areas and more comprehensive and integrated strategies for change. </w:t>
      </w:r>
      <w:r w:rsidRPr="008801B8">
        <w:t xml:space="preserve"> </w:t>
      </w:r>
    </w:p>
    <w:p w14:paraId="7D2371FC" w14:textId="4AAF64B3" w:rsidR="00EF7D77" w:rsidRPr="008801B8" w:rsidRDefault="000C3754" w:rsidP="001C48E2">
      <w:pPr>
        <w:jc w:val="both"/>
      </w:pPr>
      <w:r w:rsidRPr="008801B8">
        <w:t xml:space="preserve">A further stand-alone program </w:t>
      </w:r>
      <w:r w:rsidR="003D1BC7" w:rsidRPr="008801B8">
        <w:t>sh</w:t>
      </w:r>
      <w:r w:rsidRPr="008801B8">
        <w:t xml:space="preserve">ould provide the platform and the space for current (and possibly some additional) CSO partners to construct responses to some of the considerable challenges to women’s empowerment and gender equality identified by respondents to the ISR. </w:t>
      </w:r>
      <w:r w:rsidR="002E055A" w:rsidRPr="008801B8">
        <w:t xml:space="preserve">A new program ought to see movement away from thematic areas </w:t>
      </w:r>
      <w:r w:rsidR="00293949" w:rsidRPr="008801B8">
        <w:t xml:space="preserve">alone </w:t>
      </w:r>
      <w:r w:rsidR="002E055A" w:rsidRPr="008801B8">
        <w:t>and towards addressing some of the key barriers to women’s empowerment</w:t>
      </w:r>
      <w:r w:rsidR="00293949" w:rsidRPr="008801B8">
        <w:t xml:space="preserve"> through a more integrated partner approach</w:t>
      </w:r>
      <w:r w:rsidR="002E055A" w:rsidRPr="008801B8">
        <w:t>.</w:t>
      </w:r>
    </w:p>
    <w:p w14:paraId="53D8D552" w14:textId="550F8B28" w:rsidR="000C2BC0" w:rsidRDefault="00CE3D47" w:rsidP="001C48E2">
      <w:pPr>
        <w:jc w:val="both"/>
      </w:pPr>
      <w:r w:rsidRPr="008801B8">
        <w:t xml:space="preserve">MAMPU partners and others have strongly identified the merits of coalitions and cooperation between themselves, </w:t>
      </w:r>
      <w:r w:rsidR="002B3BAB" w:rsidRPr="008801B8">
        <w:t>local</w:t>
      </w:r>
      <w:r w:rsidRPr="008801B8">
        <w:t xml:space="preserve"> partners and others. A future program</w:t>
      </w:r>
      <w:r w:rsidR="002E055A" w:rsidRPr="008801B8">
        <w:t xml:space="preserve"> should </w:t>
      </w:r>
      <w:r w:rsidRPr="008801B8">
        <w:t xml:space="preserve">focus on expanding the number of partners and facilitating cooperative work for change. </w:t>
      </w:r>
      <w:r w:rsidR="001E4012" w:rsidRPr="008801B8">
        <w:t>This would likely involve reductions in funding for individual organisations, which in turn will support a shift away from donor dependency, without necessarily undermining effective work.</w:t>
      </w:r>
    </w:p>
    <w:p w14:paraId="407C7F89" w14:textId="540C2072" w:rsidR="00CE3D47" w:rsidRDefault="00CE3D47" w:rsidP="001C48E2">
      <w:pPr>
        <w:jc w:val="both"/>
      </w:pPr>
      <w:r>
        <w:t>A</w:t>
      </w:r>
      <w:r w:rsidR="000C2BC0">
        <w:t xml:space="preserve"> future </w:t>
      </w:r>
      <w:r>
        <w:t>program</w:t>
      </w:r>
      <w:r w:rsidR="002E055A">
        <w:t xml:space="preserve"> should </w:t>
      </w:r>
      <w:r w:rsidR="001E4012">
        <w:t xml:space="preserve">also </w:t>
      </w:r>
      <w:r>
        <w:t>provide the opportunity to focus on those strategies and approaches which are most able to be sustained beyond donor funding.</w:t>
      </w:r>
      <w:r w:rsidR="002E5717">
        <w:t xml:space="preserve"> Given the emerging opportunities for CSO</w:t>
      </w:r>
      <w:r w:rsidR="00E808D8">
        <w:t>s</w:t>
      </w:r>
      <w:r w:rsidR="002E5717">
        <w:t xml:space="preserve"> to access funds directly from the government as well as the </w:t>
      </w:r>
      <w:r w:rsidR="000C2BC0">
        <w:t xml:space="preserve">opportunities </w:t>
      </w:r>
      <w:r w:rsidR="002E055A">
        <w:t xml:space="preserve">for </w:t>
      </w:r>
      <w:r w:rsidR="002E5717">
        <w:t xml:space="preserve">cooperation with </w:t>
      </w:r>
      <w:r w:rsidR="000C2BC0">
        <w:t xml:space="preserve">  the private </w:t>
      </w:r>
      <w:r w:rsidR="002E5717">
        <w:t xml:space="preserve">sector, </w:t>
      </w:r>
      <w:r w:rsidR="000C2BC0">
        <w:t>a</w:t>
      </w:r>
      <w:r w:rsidR="002E5717">
        <w:t xml:space="preserve"> future program</w:t>
      </w:r>
      <w:r w:rsidR="002E055A">
        <w:t xml:space="preserve"> should </w:t>
      </w:r>
      <w:r w:rsidR="002E5717">
        <w:t>support CSO partners to explore and establish these and other sustainable financing arrangements. (This has previously been identified as part of the strategy that DFAT should adopt in its programming with CSO</w:t>
      </w:r>
      <w:r w:rsidR="00E808D8">
        <w:t>s</w:t>
      </w:r>
      <w:r w:rsidR="002E5717">
        <w:t xml:space="preserve"> in Indonesia.</w:t>
      </w:r>
      <w:r w:rsidR="002E5717">
        <w:rPr>
          <w:rStyle w:val="FootnoteReference"/>
        </w:rPr>
        <w:footnoteReference w:id="54"/>
      </w:r>
      <w:r w:rsidR="002E5717">
        <w:t>)</w:t>
      </w:r>
      <w:r w:rsidR="00AB3CCA" w:rsidRPr="00AB3CCA">
        <w:t xml:space="preserve"> </w:t>
      </w:r>
      <w:r w:rsidR="00AB3CCA">
        <w:t>Alongside this, a further phase of the program</w:t>
      </w:r>
      <w:r w:rsidR="002E055A">
        <w:t xml:space="preserve"> should </w:t>
      </w:r>
      <w:r w:rsidR="00AB3CCA">
        <w:t>be supported by more targeted grant mechanisms, which incentivise sustainable and cooperative work.</w:t>
      </w:r>
    </w:p>
    <w:p w14:paraId="03356EF5" w14:textId="1ECE7388" w:rsidR="002E055A" w:rsidRDefault="002E055A" w:rsidP="001C48E2">
      <w:pPr>
        <w:jc w:val="both"/>
      </w:pPr>
      <w:r w:rsidRPr="008801B8">
        <w:t>While there are considerable merits in a further stand-alone program for women’s empowerment and gender equality,</w:t>
      </w:r>
      <w:r w:rsidR="007C4FD0" w:rsidRPr="008801B8">
        <w:t xml:space="preserve"> including the opportunity to build upon lessons learned and improve programming approaches and program focus, this will not serve the DFAT intention to consolidate its large number of stand-alone programs. It would likely also mitigate against more cooperative work across DFAT post in Indonesia for women’s empowerment</w:t>
      </w:r>
      <w:r w:rsidR="00E808D8">
        <w:t xml:space="preserve"> and gender equality</w:t>
      </w:r>
      <w:r w:rsidR="007C4FD0" w:rsidRPr="008801B8">
        <w:t>. Finally</w:t>
      </w:r>
      <w:r w:rsidR="00E808D8">
        <w:t>,</w:t>
      </w:r>
      <w:r w:rsidR="007C4FD0" w:rsidRPr="008801B8">
        <w:t xml:space="preserve"> it is not the most efficient use of limited resources</w:t>
      </w:r>
      <w:r w:rsidR="00293949" w:rsidRPr="008801B8">
        <w:t>, to have an entirely stand-alone program with its attendant program management resources</w:t>
      </w:r>
      <w:r w:rsidR="007C4FD0" w:rsidRPr="008801B8">
        <w:t>.</w:t>
      </w:r>
    </w:p>
    <w:p w14:paraId="27940395" w14:textId="4201A9B3" w:rsidR="00CD6F7A" w:rsidRDefault="00CD6F7A" w:rsidP="008B18EF">
      <w:pPr>
        <w:pStyle w:val="ListParagraph"/>
        <w:numPr>
          <w:ilvl w:val="2"/>
          <w:numId w:val="19"/>
        </w:numPr>
        <w:jc w:val="both"/>
        <w:outlineLvl w:val="2"/>
        <w:rPr>
          <w:color w:val="2E74B5" w:themeColor="accent1" w:themeShade="BF"/>
          <w:sz w:val="24"/>
          <w:szCs w:val="24"/>
        </w:rPr>
      </w:pPr>
      <w:bookmarkStart w:id="33" w:name="_Toc21523913"/>
      <w:r>
        <w:rPr>
          <w:color w:val="2E74B5" w:themeColor="accent1" w:themeShade="BF"/>
          <w:sz w:val="24"/>
          <w:szCs w:val="24"/>
        </w:rPr>
        <w:t>Option two: Mainstream work for women’s empowerment and gender equality into other DFAT programs</w:t>
      </w:r>
      <w:bookmarkEnd w:id="33"/>
    </w:p>
    <w:p w14:paraId="5CA74CF5" w14:textId="4C61CD0D" w:rsidR="008F3B99" w:rsidRDefault="008D7DCE" w:rsidP="001C48E2">
      <w:pPr>
        <w:jc w:val="both"/>
      </w:pPr>
      <w:r>
        <w:t xml:space="preserve">The considerable learning, </w:t>
      </w:r>
      <w:r w:rsidR="007C4FD0">
        <w:t xml:space="preserve">strategies for change </w:t>
      </w:r>
      <w:r>
        <w:t>and working relationships with competent CSO</w:t>
      </w:r>
      <w:r w:rsidR="00E808D8">
        <w:t>s</w:t>
      </w:r>
      <w:r>
        <w:t xml:space="preserve"> </w:t>
      </w:r>
      <w:r w:rsidR="007C4FD0">
        <w:t>developed</w:t>
      </w:r>
      <w:r w:rsidR="008F3B99">
        <w:t xml:space="preserve"> through </w:t>
      </w:r>
      <w:r w:rsidR="007C4FD0">
        <w:t xml:space="preserve">MAMPU Phase 2 </w:t>
      </w:r>
      <w:r w:rsidR="0042562E">
        <w:t xml:space="preserve">could be taken forward in a systematic way into other DFAT programs in Indonesia. There are several options for how this might be achieved. </w:t>
      </w:r>
    </w:p>
    <w:p w14:paraId="19403F0E" w14:textId="1C6B62A3" w:rsidR="007C4FD0" w:rsidRDefault="0042562E" w:rsidP="001C48E2">
      <w:pPr>
        <w:jc w:val="both"/>
      </w:pPr>
      <w:r>
        <w:t>For example, given the focus of KOMPAK on village and district level systems, there would be a natural fit between this program and much of the CSO work supported under the current MAMPU. Likewise, the Australian Indonesian Partnership for Justice (AIPJ)</w:t>
      </w:r>
      <w:r w:rsidR="00516AE6">
        <w:t xml:space="preserve"> </w:t>
      </w:r>
      <w:r w:rsidR="008F3B99">
        <w:t xml:space="preserve">is </w:t>
      </w:r>
      <w:r w:rsidR="00516AE6">
        <w:t xml:space="preserve">aligned with </w:t>
      </w:r>
      <w:r w:rsidR="008F3B99">
        <w:t xml:space="preserve">MAMPU </w:t>
      </w:r>
      <w:r w:rsidR="00755E15">
        <w:t>work in particular areas of advocacy</w:t>
      </w:r>
      <w:r w:rsidR="00516AE6">
        <w:t>.</w:t>
      </w:r>
      <w:r w:rsidR="008F3B99">
        <w:t xml:space="preserve"> Either or both of these programs could absorb resources and activities currently situated in MAMPU.</w:t>
      </w:r>
    </w:p>
    <w:p w14:paraId="50BFACB7" w14:textId="725384FD" w:rsidR="00516AE6" w:rsidRDefault="00516AE6" w:rsidP="001C48E2">
      <w:pPr>
        <w:jc w:val="both"/>
      </w:pPr>
      <w:r>
        <w:t>Alternatively</w:t>
      </w:r>
      <w:r w:rsidR="008D7DCE">
        <w:t>, DFAT sector</w:t>
      </w:r>
      <w:r w:rsidR="00E808D8">
        <w:t>al</w:t>
      </w:r>
      <w:r w:rsidR="008D7DCE">
        <w:t xml:space="preserve"> programs, some of which</w:t>
      </w:r>
      <w:r w:rsidR="008F3B99">
        <w:t xml:space="preserve"> still struggle</w:t>
      </w:r>
      <w:r w:rsidR="008D7DCE">
        <w:t xml:space="preserve"> to fully integrate gender and social inclusion perspectives into all of </w:t>
      </w:r>
      <w:r w:rsidR="008F3B99">
        <w:t xml:space="preserve">their </w:t>
      </w:r>
      <w:r w:rsidR="008D7DCE">
        <w:t>activities</w:t>
      </w:r>
      <w:r w:rsidR="008F3B99">
        <w:t>,</w:t>
      </w:r>
      <w:r w:rsidR="008D7DCE">
        <w:t xml:space="preserve"> </w:t>
      </w:r>
      <w:r w:rsidR="00E808D8">
        <w:t>c</w:t>
      </w:r>
      <w:r w:rsidR="008D7DCE">
        <w:t xml:space="preserve">ould be strengthened through the take-up of MAMPU strategies </w:t>
      </w:r>
      <w:r w:rsidR="00F541E0">
        <w:t xml:space="preserve">around voice and participation </w:t>
      </w:r>
      <w:r w:rsidR="008D7DCE">
        <w:t xml:space="preserve">and possibly </w:t>
      </w:r>
      <w:r w:rsidR="008F3B99">
        <w:t>new activities with</w:t>
      </w:r>
      <w:r w:rsidR="008D7DCE">
        <w:t xml:space="preserve"> CSO partners. </w:t>
      </w:r>
    </w:p>
    <w:p w14:paraId="6451BDE6" w14:textId="4BCFDFC9" w:rsidR="008D7DCE" w:rsidRDefault="008D7DCE" w:rsidP="001C48E2">
      <w:pPr>
        <w:jc w:val="both"/>
      </w:pPr>
      <w:r>
        <w:t>DFAT also support</w:t>
      </w:r>
      <w:r w:rsidR="008F3B99">
        <w:t>s</w:t>
      </w:r>
      <w:r>
        <w:t xml:space="preserve"> programs of economic development in Indonesia. Some of these specifically focus on increased inclusion for women and increased access to markets. Much of the MAMPU work on economic development and work conditions</w:t>
      </w:r>
      <w:r w:rsidR="008F3B99">
        <w:t>,</w:t>
      </w:r>
      <w:r>
        <w:t xml:space="preserve"> together with</w:t>
      </w:r>
      <w:r w:rsidR="008F3B99">
        <w:t xml:space="preserve"> its</w:t>
      </w:r>
      <w:r>
        <w:t xml:space="preserve"> earlier work</w:t>
      </w:r>
      <w:r w:rsidR="008F3B99">
        <w:t xml:space="preserve"> around liv</w:t>
      </w:r>
      <w:r>
        <w:t>elihoods</w:t>
      </w:r>
      <w:r w:rsidR="008F3B99">
        <w:t>,</w:t>
      </w:r>
      <w:r>
        <w:t xml:space="preserve"> could be merged</w:t>
      </w:r>
      <w:r w:rsidR="008F3B99">
        <w:t xml:space="preserve"> into</w:t>
      </w:r>
      <w:r>
        <w:t xml:space="preserve"> these existing programs. Further</w:t>
      </w:r>
      <w:r w:rsidR="008F3B99">
        <w:t>,</w:t>
      </w:r>
      <w:r>
        <w:t xml:space="preserve"> the learning f</w:t>
      </w:r>
      <w:r w:rsidR="008F3B99">
        <w:t>ro</w:t>
      </w:r>
      <w:r>
        <w:t xml:space="preserve">m MAMPU about how to increase women’s agency and </w:t>
      </w:r>
      <w:r w:rsidR="008F3B99">
        <w:t xml:space="preserve">their </w:t>
      </w:r>
      <w:r>
        <w:t>influence upon behaviour in households and other locations</w:t>
      </w:r>
      <w:r w:rsidR="008F3B99">
        <w:t xml:space="preserve">, would </w:t>
      </w:r>
      <w:r>
        <w:t>provide</w:t>
      </w:r>
      <w:r w:rsidR="008F3B99">
        <w:t xml:space="preserve"> valuable additional change strategies </w:t>
      </w:r>
      <w:r w:rsidR="00E61826">
        <w:t xml:space="preserve">for </w:t>
      </w:r>
      <w:r>
        <w:t>these more technically orientated programs.</w:t>
      </w:r>
    </w:p>
    <w:p w14:paraId="2EEEFD18" w14:textId="323ADCDD" w:rsidR="008F3B99" w:rsidRDefault="008F3B99" w:rsidP="001C48E2">
      <w:pPr>
        <w:jc w:val="both"/>
      </w:pPr>
      <w:r w:rsidRPr="00B85973">
        <w:t>The ISR recommend</w:t>
      </w:r>
      <w:r w:rsidR="00FB20C4">
        <w:t>s</w:t>
      </w:r>
      <w:r w:rsidRPr="00B85973">
        <w:t xml:space="preserve"> that if DFAT consider</w:t>
      </w:r>
      <w:r w:rsidR="00FB20C4">
        <w:t>s</w:t>
      </w:r>
      <w:r w:rsidRPr="00B85973">
        <w:t xml:space="preserve"> this option</w:t>
      </w:r>
      <w:r w:rsidR="00734B80" w:rsidRPr="00B85973">
        <w:t>, a comprehensive plan for integration of learning, activities and CSO relationships is developed in advance, with appropriate contractual and design amendments</w:t>
      </w:r>
      <w:r w:rsidR="005A3E7E" w:rsidRPr="00B85973">
        <w:t>,</w:t>
      </w:r>
      <w:r w:rsidR="00734B80" w:rsidRPr="00B85973">
        <w:t xml:space="preserve"> to ensure that the momentum and value of MAMPU is not dissipated.</w:t>
      </w:r>
    </w:p>
    <w:p w14:paraId="217041B6" w14:textId="3451AF68" w:rsidR="00464D42" w:rsidRDefault="0077583F" w:rsidP="001C48E2">
      <w:pPr>
        <w:jc w:val="both"/>
      </w:pPr>
      <w:r w:rsidRPr="00B85973">
        <w:t>However,</w:t>
      </w:r>
      <w:r w:rsidR="00734B80" w:rsidRPr="00B85973">
        <w:t xml:space="preserve"> the ISR also note that wholly mainstreaming the existing MAMPU work into other programs would risk losing the overall focus on women’s empowerment</w:t>
      </w:r>
      <w:r w:rsidR="005A3E7E" w:rsidRPr="00B85973">
        <w:t xml:space="preserve"> within the DFAT Indonesian program</w:t>
      </w:r>
      <w:r w:rsidR="00734B80" w:rsidRPr="00B85973">
        <w:t xml:space="preserve">. There is some considerable risk that the momentum for </w:t>
      </w:r>
      <w:r w:rsidR="005A3E7E" w:rsidRPr="00B85973">
        <w:t xml:space="preserve">transformational </w:t>
      </w:r>
      <w:r w:rsidR="00734B80" w:rsidRPr="00B85973">
        <w:t>change would be lost</w:t>
      </w:r>
      <w:r w:rsidR="005A3E7E" w:rsidRPr="00B85973">
        <w:t xml:space="preserve">, with less opportunity for organisations and partners to work collectively for change. Most significantly, </w:t>
      </w:r>
      <w:r w:rsidR="00734B80" w:rsidRPr="00B85973">
        <w:t>the very valuable support for the women’s movement in Indonesia</w:t>
      </w:r>
      <w:r w:rsidR="005A3E7E" w:rsidRPr="00B85973">
        <w:t>,</w:t>
      </w:r>
      <w:r w:rsidR="00734B80" w:rsidRPr="00B85973">
        <w:t xml:space="preserve"> that has </w:t>
      </w:r>
      <w:r w:rsidR="005A3E7E" w:rsidRPr="00B85973">
        <w:t>been a significant outcome under MAMPU, is likely to be lost.</w:t>
      </w:r>
    </w:p>
    <w:p w14:paraId="1C5BFEF0" w14:textId="4CE48BE4" w:rsidR="00CD6F7A" w:rsidRDefault="00CD6F7A" w:rsidP="008B18EF">
      <w:pPr>
        <w:pStyle w:val="ListParagraph"/>
        <w:numPr>
          <w:ilvl w:val="2"/>
          <w:numId w:val="19"/>
        </w:numPr>
        <w:jc w:val="both"/>
        <w:outlineLvl w:val="2"/>
        <w:rPr>
          <w:color w:val="2E74B5" w:themeColor="accent1" w:themeShade="BF"/>
          <w:sz w:val="24"/>
          <w:szCs w:val="24"/>
        </w:rPr>
      </w:pPr>
      <w:bookmarkStart w:id="34" w:name="_Toc21523914"/>
      <w:r>
        <w:rPr>
          <w:color w:val="2E74B5" w:themeColor="accent1" w:themeShade="BF"/>
          <w:sz w:val="24"/>
          <w:szCs w:val="24"/>
        </w:rPr>
        <w:t>Option three: A combined modality</w:t>
      </w:r>
      <w:bookmarkEnd w:id="34"/>
    </w:p>
    <w:p w14:paraId="08714EE0" w14:textId="77777777" w:rsidR="005A3E7E" w:rsidRDefault="00130322" w:rsidP="001C48E2">
      <w:pPr>
        <w:jc w:val="both"/>
      </w:pPr>
      <w:r>
        <w:t>There</w:t>
      </w:r>
      <w:r w:rsidR="005A3E7E">
        <w:t xml:space="preserve"> is a current opportunity for DFAT </w:t>
      </w:r>
      <w:r>
        <w:t>to bring together its support for social inclusion and the work for women’s empowerment and gender equality in MAMPU.</w:t>
      </w:r>
    </w:p>
    <w:p w14:paraId="7DEBA76F" w14:textId="0921D187" w:rsidR="00F6262E" w:rsidRDefault="00130322" w:rsidP="001C48E2">
      <w:pPr>
        <w:jc w:val="both"/>
      </w:pPr>
      <w:r>
        <w:t xml:space="preserve">Simply merging two distinct and innovative programs creates several risks. </w:t>
      </w:r>
      <w:r w:rsidR="00876C1C">
        <w:t xml:space="preserve">It can </w:t>
      </w:r>
      <w:r>
        <w:t>confus</w:t>
      </w:r>
      <w:r w:rsidR="00876C1C">
        <w:t>e issues of equality of access,</w:t>
      </w:r>
      <w:r>
        <w:t xml:space="preserve"> empowerment and agency. It is extremely difficult to communicate the process of change in these catchall type programs. It can also be difficult to communicate meaningful outcomes, often leading to eroding of support. Further</w:t>
      </w:r>
      <w:r w:rsidR="006A1736">
        <w:t>,</w:t>
      </w:r>
      <w:r>
        <w:t xml:space="preserve"> in the case of these two existing programs, MAMPU and P</w:t>
      </w:r>
      <w:r w:rsidR="00FB20C4">
        <w:t>eduli</w:t>
      </w:r>
      <w:r>
        <w:t xml:space="preserve">, each have developed quite distinct approaches to change and different methodologies for engagement with subnational stakeholders. </w:t>
      </w:r>
      <w:r w:rsidR="006A1736">
        <w:t xml:space="preserve">It is </w:t>
      </w:r>
      <w:r>
        <w:t>difficult to see how</w:t>
      </w:r>
      <w:r w:rsidR="00F6262E">
        <w:t xml:space="preserve"> the distinct value of these strategies will be maintained within one merged program.</w:t>
      </w:r>
    </w:p>
    <w:p w14:paraId="54835924" w14:textId="6C3A4600" w:rsidR="00F6262E" w:rsidRPr="00B85973" w:rsidRDefault="00F6262E" w:rsidP="001C48E2">
      <w:pPr>
        <w:jc w:val="both"/>
      </w:pPr>
      <w:r w:rsidRPr="00B85973">
        <w:t>However</w:t>
      </w:r>
      <w:r w:rsidR="006A1736" w:rsidRPr="00B85973">
        <w:t>,</w:t>
      </w:r>
      <w:r w:rsidRPr="00B85973">
        <w:t xml:space="preserve"> there is some merit in looking to create efficiencies of implementation for DFAT. There are also advantages for CSO</w:t>
      </w:r>
      <w:r w:rsidR="00FB20C4">
        <w:t>s</w:t>
      </w:r>
      <w:r w:rsidRPr="00B85973">
        <w:t xml:space="preserve"> </w:t>
      </w:r>
      <w:r w:rsidR="00B54FE6" w:rsidRPr="00B85973">
        <w:t xml:space="preserve">in </w:t>
      </w:r>
      <w:r w:rsidRPr="00B85973">
        <w:t>having contractual and other relationships with DFAT that</w:t>
      </w:r>
      <w:r w:rsidR="00B54FE6" w:rsidRPr="00B85973">
        <w:t xml:space="preserve"> are consistent </w:t>
      </w:r>
      <w:r w:rsidRPr="00B85973">
        <w:t>from one project to another. There would be considerable advantages in shared systems which promote mutual learning and opportunities for collaboration between these two innovative programs.</w:t>
      </w:r>
    </w:p>
    <w:p w14:paraId="4824F41A" w14:textId="1C2FB329" w:rsidR="00B54FE6" w:rsidRPr="00DD1758" w:rsidRDefault="00B54FE6" w:rsidP="001C48E2">
      <w:pPr>
        <w:jc w:val="both"/>
        <w:rPr>
          <w:b/>
        </w:rPr>
      </w:pPr>
      <w:r w:rsidRPr="00B85973">
        <w:rPr>
          <w:b/>
        </w:rPr>
        <w:t>This is the option preferred by the ISR because it combines increased efficiency</w:t>
      </w:r>
      <w:r w:rsidR="00813019" w:rsidRPr="00B85973">
        <w:rPr>
          <w:b/>
        </w:rPr>
        <w:t>, while maintaining the high value of the work to date.</w:t>
      </w:r>
      <w:r w:rsidR="00813019">
        <w:rPr>
          <w:b/>
        </w:rPr>
        <w:t xml:space="preserve"> </w:t>
      </w:r>
      <w:r w:rsidRPr="00DD1758">
        <w:rPr>
          <w:b/>
        </w:rPr>
        <w:t xml:space="preserve"> </w:t>
      </w:r>
    </w:p>
    <w:p w14:paraId="4DFF91D2" w14:textId="510F10EA" w:rsidR="00130322" w:rsidRDefault="00F6262E" w:rsidP="001C48E2">
      <w:pPr>
        <w:jc w:val="both"/>
      </w:pPr>
      <w:r>
        <w:t>The ISR</w:t>
      </w:r>
      <w:r w:rsidR="00130322">
        <w:t xml:space="preserve"> </w:t>
      </w:r>
      <w:r>
        <w:t>recommend</w:t>
      </w:r>
      <w:r w:rsidR="00FB20C4">
        <w:t>s</w:t>
      </w:r>
      <w:r>
        <w:t xml:space="preserve"> that DFAT consider this option</w:t>
      </w:r>
      <w:r w:rsidR="00B54FE6">
        <w:t>,</w:t>
      </w:r>
      <w:r>
        <w:t xml:space="preserve"> but do so with careful consideration to the modality and program arrangements. Drawing from examples in other DFAT posts</w:t>
      </w:r>
      <w:r w:rsidR="00F541E0">
        <w:t xml:space="preserve"> (for example the joint management of several programs as one platform in the Solomon Islands)</w:t>
      </w:r>
      <w:r>
        <w:t>, the ISR recommend</w:t>
      </w:r>
      <w:r w:rsidR="00FB20C4">
        <w:t>s</w:t>
      </w:r>
      <w:r>
        <w:t xml:space="preserve"> that DFAT consider establishing a facility with a shared platform of operational services. In practice this means</w:t>
      </w:r>
      <w:r w:rsidR="009320A5">
        <w:t xml:space="preserve"> there are distinct components of work</w:t>
      </w:r>
      <w:r w:rsidR="006A1736">
        <w:t>,</w:t>
      </w:r>
      <w:r w:rsidR="009320A5">
        <w:t xml:space="preserve"> each with their own appropriate set of strategies</w:t>
      </w:r>
      <w:r w:rsidR="006A1736">
        <w:t>,</w:t>
      </w:r>
      <w:r w:rsidR="009320A5">
        <w:t xml:space="preserve"> approaches and locations </w:t>
      </w:r>
      <w:r w:rsidR="006A1736">
        <w:t xml:space="preserve">for </w:t>
      </w:r>
      <w:r w:rsidR="009320A5">
        <w:t>change</w:t>
      </w:r>
      <w:r w:rsidR="00813019">
        <w:t>,</w:t>
      </w:r>
      <w:r w:rsidR="009320A5">
        <w:t xml:space="preserve"> but that these share one operational platform which addresses human resources, financing, operations, communications and monitoring and evaluation. </w:t>
      </w:r>
    </w:p>
    <w:p w14:paraId="6089F3AA" w14:textId="646707EF" w:rsidR="009320A5" w:rsidRDefault="009320A5" w:rsidP="001C48E2">
      <w:pPr>
        <w:jc w:val="both"/>
      </w:pPr>
      <w:r>
        <w:t>If this is designed and managed appropriately</w:t>
      </w:r>
      <w:r w:rsidR="006A1736" w:rsidRPr="00B85973">
        <w:t>, it</w:t>
      </w:r>
      <w:r w:rsidRPr="00B85973">
        <w:t xml:space="preserve"> provides for considerably increased efficiencies and lower operational costs</w:t>
      </w:r>
      <w:r w:rsidR="00B54FE6" w:rsidRPr="00B85973">
        <w:t>,</w:t>
      </w:r>
      <w:r w:rsidRPr="00B85973">
        <w:t xml:space="preserve"> but does not lose the distinct focus of program areas. Managed well</w:t>
      </w:r>
      <w:r w:rsidR="003E7A2E" w:rsidRPr="00B85973">
        <w:t>,</w:t>
      </w:r>
      <w:r w:rsidRPr="00B85973">
        <w:t xml:space="preserve"> it can maximise learning, program improvement and impact w</w:t>
      </w:r>
      <w:r w:rsidR="006A1736" w:rsidRPr="00B85973">
        <w:t>hile</w:t>
      </w:r>
      <w:r w:rsidRPr="00B85973">
        <w:t xml:space="preserve"> still providing for quite distinct operational models</w:t>
      </w:r>
      <w:r w:rsidR="00565B31" w:rsidRPr="00B85973">
        <w:t>.</w:t>
      </w:r>
      <w:r w:rsidRPr="00B85973">
        <w:rPr>
          <w:rStyle w:val="FootnoteReference"/>
        </w:rPr>
        <w:footnoteReference w:id="55"/>
      </w:r>
    </w:p>
    <w:p w14:paraId="27559A73" w14:textId="3BB97D94" w:rsidR="00565B31" w:rsidRPr="00B85973" w:rsidRDefault="00AF01B1" w:rsidP="001C48E2">
      <w:pPr>
        <w:jc w:val="both"/>
      </w:pPr>
      <w:r>
        <w:t>One</w:t>
      </w:r>
      <w:r w:rsidR="00565B31">
        <w:t xml:space="preserve"> further advantage of this approach is the opportunity </w:t>
      </w:r>
      <w:r>
        <w:t xml:space="preserve">it </w:t>
      </w:r>
      <w:r w:rsidR="00565B31">
        <w:t>would provide to bring other DFAT programs into a shared operational space. For example</w:t>
      </w:r>
      <w:r>
        <w:t xml:space="preserve">, </w:t>
      </w:r>
      <w:r w:rsidR="00565B31">
        <w:t xml:space="preserve">the current </w:t>
      </w:r>
      <w:r>
        <w:t xml:space="preserve">DFAT Knowledge Sector Initiative </w:t>
      </w:r>
      <w:r w:rsidR="00565B31">
        <w:t>has identified that it struggles to ensure an effective inclusion and gender approach</w:t>
      </w:r>
      <w:r>
        <w:t>. T</w:t>
      </w:r>
      <w:r w:rsidR="00565B31">
        <w:t>his program, with its focus on applied and relevant research for Indonesia</w:t>
      </w:r>
      <w:r w:rsidR="00FB20C4">
        <w:t>’s</w:t>
      </w:r>
      <w:r w:rsidR="00565B31">
        <w:t xml:space="preserve"> social and economic development</w:t>
      </w:r>
      <w:r>
        <w:t>,</w:t>
      </w:r>
      <w:r w:rsidR="00565B31">
        <w:t xml:space="preserve"> has much to offer</w:t>
      </w:r>
      <w:r>
        <w:t xml:space="preserve"> CSO partners and others working for change in Indonesia, but there are difficulties in creating effective links between demand and supply for this knowledge management. </w:t>
      </w:r>
      <w:r w:rsidRPr="00B85973">
        <w:t>Adopting a program such as this into a shared platform could provide for increased relevance and impact within its existing work and through its contribution to those other programs.</w:t>
      </w:r>
    </w:p>
    <w:p w14:paraId="2124DEAC" w14:textId="31E75EE5" w:rsidR="00DD1758" w:rsidRPr="00B85973" w:rsidRDefault="00DD1758" w:rsidP="001C48E2">
      <w:pPr>
        <w:jc w:val="both"/>
      </w:pPr>
      <w:r w:rsidRPr="00B85973">
        <w:t>There are</w:t>
      </w:r>
      <w:r w:rsidR="00270513" w:rsidRPr="00B85973">
        <w:t xml:space="preserve"> particular requirements </w:t>
      </w:r>
      <w:r w:rsidRPr="00B85973">
        <w:t>with this proposed option</w:t>
      </w:r>
      <w:r w:rsidR="00270513" w:rsidRPr="00B85973">
        <w:t xml:space="preserve"> which would need to be considered by DFAT</w:t>
      </w:r>
      <w:r w:rsidRPr="00B85973">
        <w:t>:</w:t>
      </w:r>
    </w:p>
    <w:p w14:paraId="430AF60B" w14:textId="24B827AC" w:rsidR="00DD1758" w:rsidRPr="00B85973" w:rsidRDefault="00D40505" w:rsidP="00CD6F7A">
      <w:pPr>
        <w:pStyle w:val="ListParagraph"/>
        <w:numPr>
          <w:ilvl w:val="0"/>
          <w:numId w:val="20"/>
        </w:numPr>
        <w:jc w:val="both"/>
      </w:pPr>
      <w:r w:rsidRPr="00B85973">
        <w:t xml:space="preserve">Moving to this type of modality </w:t>
      </w:r>
      <w:r w:rsidR="00DD1758" w:rsidRPr="00B85973">
        <w:t>requires a mature understanding of roles and responsibilities. In other DFAT examples of facilities there has been considerable challenge because of</w:t>
      </w:r>
      <w:r w:rsidR="00270513" w:rsidRPr="00B85973">
        <w:t xml:space="preserve"> </w:t>
      </w:r>
      <w:r w:rsidR="0045387D" w:rsidRPr="00B85973">
        <w:t>different</w:t>
      </w:r>
      <w:r w:rsidR="00270513" w:rsidRPr="00B85973">
        <w:t xml:space="preserve"> understanding</w:t>
      </w:r>
      <w:r w:rsidR="0045387D" w:rsidRPr="00B85973">
        <w:t>s</w:t>
      </w:r>
      <w:r w:rsidR="00270513" w:rsidRPr="00B85973">
        <w:t xml:space="preserve"> of how responsibilities are divided for program management. Typically for these arrangements DFAT ought to be capable of providing high-quality program management and direction while having the support contractor provide day-to-day logistics, HR management and other operational support</w:t>
      </w:r>
      <w:r w:rsidR="0045387D" w:rsidRPr="00B85973">
        <w:t>. C</w:t>
      </w:r>
      <w:r w:rsidR="00270513" w:rsidRPr="00B85973">
        <w:t xml:space="preserve">lear agreement on ways of working need to be developed and regularly reviewed for this to be </w:t>
      </w:r>
      <w:r w:rsidR="0045387D" w:rsidRPr="00B85973">
        <w:t>effectively</w:t>
      </w:r>
      <w:r w:rsidR="00270513" w:rsidRPr="00B85973">
        <w:t xml:space="preserve"> </w:t>
      </w:r>
      <w:r w:rsidR="0045387D" w:rsidRPr="00B85973">
        <w:t>maintained.</w:t>
      </w:r>
    </w:p>
    <w:p w14:paraId="7E3F9AA0" w14:textId="5E86F502" w:rsidR="00270513" w:rsidRPr="00B85973" w:rsidRDefault="00270513" w:rsidP="00CD6F7A">
      <w:pPr>
        <w:pStyle w:val="ListParagraph"/>
        <w:numPr>
          <w:ilvl w:val="0"/>
          <w:numId w:val="20"/>
        </w:numPr>
        <w:jc w:val="both"/>
      </w:pPr>
      <w:r w:rsidRPr="00B85973">
        <w:t xml:space="preserve">Monitoring and evaluation for </w:t>
      </w:r>
      <w:r w:rsidR="0077583F" w:rsidRPr="00B85973">
        <w:t>these types of modalities</w:t>
      </w:r>
      <w:r w:rsidRPr="00B85973">
        <w:t xml:space="preserve"> has to be both embedded in individual programs and operating across the whole of facility</w:t>
      </w:r>
      <w:r w:rsidR="0045387D" w:rsidRPr="00B85973">
        <w:t>. T</w:t>
      </w:r>
      <w:r w:rsidRPr="00B85973">
        <w:t xml:space="preserve">his provides </w:t>
      </w:r>
      <w:r w:rsidR="0045387D" w:rsidRPr="00B85973">
        <w:t xml:space="preserve">for accountability and for </w:t>
      </w:r>
      <w:r w:rsidRPr="00B85973">
        <w:t>shared learning and identification of areas for collaboration and cooperation. Ideally the monitoring and evaluation is managed directly by DFAT or at least accountable to DFAT in order that it can serve these multilevel functions.</w:t>
      </w:r>
      <w:r w:rsidR="0045387D" w:rsidRPr="00B85973">
        <w:t xml:space="preserve"> </w:t>
      </w:r>
    </w:p>
    <w:p w14:paraId="14303443" w14:textId="08858315" w:rsidR="00270513" w:rsidRPr="00B85973" w:rsidRDefault="0077583F" w:rsidP="00CD6F7A">
      <w:pPr>
        <w:pStyle w:val="ListParagraph"/>
        <w:numPr>
          <w:ilvl w:val="0"/>
          <w:numId w:val="20"/>
        </w:numPr>
        <w:jc w:val="both"/>
      </w:pPr>
      <w:r w:rsidRPr="00B85973">
        <w:t>Typically,</w:t>
      </w:r>
      <w:r w:rsidR="00270513" w:rsidRPr="00B85973">
        <w:t xml:space="preserve"> programs</w:t>
      </w:r>
      <w:r w:rsidR="00480736" w:rsidRPr="00B85973">
        <w:t>,</w:t>
      </w:r>
      <w:r w:rsidR="00270513" w:rsidRPr="00B85973">
        <w:t xml:space="preserve"> including those with multiple partners</w:t>
      </w:r>
      <w:r w:rsidR="00480736" w:rsidRPr="00B85973">
        <w:t>,</w:t>
      </w:r>
      <w:r w:rsidR="00270513" w:rsidRPr="00B85973">
        <w:t xml:space="preserve"> develop their own identity and find it difficult to create space for collaboration and shared learning</w:t>
      </w:r>
      <w:r w:rsidR="0045387D" w:rsidRPr="00B85973">
        <w:t>. T</w:t>
      </w:r>
      <w:r w:rsidR="00270513" w:rsidRPr="00B85973">
        <w:t>he overall design of</w:t>
      </w:r>
      <w:r w:rsidR="0045387D" w:rsidRPr="00B85973">
        <w:t xml:space="preserve"> a new combined modality </w:t>
      </w:r>
      <w:r w:rsidR="00270513" w:rsidRPr="00B85973">
        <w:t xml:space="preserve">needs to include attention to </w:t>
      </w:r>
      <w:r w:rsidR="0045387D" w:rsidRPr="00B85973">
        <w:t xml:space="preserve">existing motivations and interests </w:t>
      </w:r>
      <w:r w:rsidR="00270513" w:rsidRPr="00B85973">
        <w:t xml:space="preserve">and </w:t>
      </w:r>
      <w:r w:rsidR="0045387D" w:rsidRPr="00B85973">
        <w:t xml:space="preserve">develop new </w:t>
      </w:r>
      <w:r w:rsidR="00270513" w:rsidRPr="00B85973">
        <w:t>incentives</w:t>
      </w:r>
      <w:r w:rsidR="009147EF" w:rsidRPr="00B85973">
        <w:t xml:space="preserve"> for program leaders and </w:t>
      </w:r>
      <w:r w:rsidR="0045387D" w:rsidRPr="00B85973">
        <w:t xml:space="preserve">implementing organisations </w:t>
      </w:r>
      <w:r w:rsidR="009147EF" w:rsidRPr="00B85973">
        <w:t>to engage with each other.</w:t>
      </w:r>
    </w:p>
    <w:p w14:paraId="0436EDEF" w14:textId="17F08095" w:rsidR="009147EF" w:rsidRPr="00B85973" w:rsidRDefault="009147EF" w:rsidP="00CD6F7A">
      <w:pPr>
        <w:pStyle w:val="ListParagraph"/>
        <w:numPr>
          <w:ilvl w:val="0"/>
          <w:numId w:val="20"/>
        </w:numPr>
        <w:jc w:val="both"/>
      </w:pPr>
      <w:r w:rsidRPr="00B85973">
        <w:t>Existing programs have systems or processes in place. Bringing th</w:t>
      </w:r>
      <w:r w:rsidR="00480736" w:rsidRPr="00B85973">
        <w:t xml:space="preserve">ese </w:t>
      </w:r>
      <w:r w:rsidRPr="00B85973">
        <w:t xml:space="preserve">together is an opportunity to choose from the best </w:t>
      </w:r>
      <w:r w:rsidR="00480736" w:rsidRPr="00B85973">
        <w:t xml:space="preserve">systems, and </w:t>
      </w:r>
      <w:r w:rsidRPr="00B85973">
        <w:t xml:space="preserve">apply </w:t>
      </w:r>
      <w:r w:rsidR="00480736" w:rsidRPr="00B85973">
        <w:t xml:space="preserve">these </w:t>
      </w:r>
      <w:r w:rsidRPr="00B85973">
        <w:t>in a more uniform way across several programs</w:t>
      </w:r>
      <w:r w:rsidR="00A065EC" w:rsidRPr="00B85973">
        <w:t>, creating efficiency and coherence</w:t>
      </w:r>
      <w:r w:rsidRPr="00B85973">
        <w:t xml:space="preserve">. </w:t>
      </w:r>
      <w:r w:rsidR="0077583F" w:rsidRPr="00B85973">
        <w:t>However,</w:t>
      </w:r>
      <w:r w:rsidRPr="00B85973">
        <w:t xml:space="preserve"> this require</w:t>
      </w:r>
      <w:r w:rsidR="00A065EC" w:rsidRPr="00B85973">
        <w:t>s</w:t>
      </w:r>
      <w:r w:rsidRPr="00B85973">
        <w:t xml:space="preserve"> partners to adapt their reporting and management systems. Time and attention </w:t>
      </w:r>
      <w:r w:rsidR="0077583F" w:rsidRPr="00B85973">
        <w:t>need</w:t>
      </w:r>
      <w:r w:rsidRPr="00B85973">
        <w:t xml:space="preserve"> to be given to this, with careful management to ensure progression towards shared and efficient systems.</w:t>
      </w:r>
    </w:p>
    <w:p w14:paraId="53B77408" w14:textId="70959594" w:rsidR="00CD6F7A" w:rsidRDefault="004B1077" w:rsidP="00CD6F7A">
      <w:pPr>
        <w:pStyle w:val="ListParagraph"/>
        <w:numPr>
          <w:ilvl w:val="0"/>
          <w:numId w:val="20"/>
        </w:numPr>
        <w:jc w:val="both"/>
      </w:pPr>
      <w:r w:rsidRPr="00B85973">
        <w:t>As noted earlier</w:t>
      </w:r>
      <w:r w:rsidR="003718A5" w:rsidRPr="00B85973">
        <w:t>,</w:t>
      </w:r>
      <w:r w:rsidRPr="00B85973">
        <w:t xml:space="preserve"> reporting and communication of outcomes across different programs, especially </w:t>
      </w:r>
      <w:r w:rsidR="003718A5" w:rsidRPr="00B85973">
        <w:t>when each of those programs i</w:t>
      </w:r>
      <w:r w:rsidR="00FB20C4">
        <w:t>s</w:t>
      </w:r>
      <w:r w:rsidRPr="00B85973">
        <w:t xml:space="preserve"> itself complex and multilayered, can be difficult.</w:t>
      </w:r>
      <w:r w:rsidR="003718A5" w:rsidRPr="00B85973">
        <w:t xml:space="preserve"> It c</w:t>
      </w:r>
      <w:r w:rsidRPr="00B85973">
        <w:t xml:space="preserve">an be challenging for external stakeholders to see the value </w:t>
      </w:r>
      <w:r w:rsidR="003718A5" w:rsidRPr="00B85973">
        <w:t xml:space="preserve">of the </w:t>
      </w:r>
      <w:r w:rsidRPr="00B85973">
        <w:t xml:space="preserve">individual programs </w:t>
      </w:r>
      <w:r w:rsidR="003718A5" w:rsidRPr="00B85973">
        <w:t xml:space="preserve">or </w:t>
      </w:r>
      <w:r w:rsidRPr="00B85973">
        <w:t xml:space="preserve">to understand the value of a shared platform </w:t>
      </w:r>
      <w:r w:rsidR="003718A5" w:rsidRPr="00B85973">
        <w:t>approach</w:t>
      </w:r>
      <w:r w:rsidRPr="00B85973">
        <w:t>. DFAT now have considerable experience in managing different types of facilities and common platform programs</w:t>
      </w:r>
      <w:r w:rsidR="003718A5" w:rsidRPr="00B85973">
        <w:t>. T</w:t>
      </w:r>
      <w:r w:rsidRPr="00B85973">
        <w:t>he Indonesian program w</w:t>
      </w:r>
      <w:r w:rsidR="003718A5" w:rsidRPr="00B85973">
        <w:t>ould</w:t>
      </w:r>
      <w:r w:rsidRPr="00B85973">
        <w:t xml:space="preserve"> need to draw upon this experience and ensure that appropriate communication systems</w:t>
      </w:r>
      <w:r w:rsidR="003718A5" w:rsidRPr="00B85973">
        <w:t xml:space="preserve"> underpin a new shared modality</w:t>
      </w:r>
      <w:r w:rsidRPr="00B85973">
        <w:t>.</w:t>
      </w:r>
    </w:p>
    <w:p w14:paraId="26DB677C" w14:textId="77777777" w:rsidR="00CD6F7A" w:rsidRDefault="00CD6F7A" w:rsidP="00CD6F7A">
      <w:pPr>
        <w:pStyle w:val="Heading1"/>
        <w:jc w:val="both"/>
      </w:pPr>
    </w:p>
    <w:p w14:paraId="5927D6D6" w14:textId="1B376A55" w:rsidR="00CD6F7A" w:rsidRPr="00CD6F7A" w:rsidRDefault="00CD6F7A" w:rsidP="008B18EF">
      <w:pPr>
        <w:pStyle w:val="ListParagraph"/>
        <w:numPr>
          <w:ilvl w:val="0"/>
          <w:numId w:val="19"/>
        </w:numPr>
        <w:jc w:val="both"/>
        <w:outlineLvl w:val="0"/>
        <w:rPr>
          <w:color w:val="2E74B5" w:themeColor="accent1" w:themeShade="BF"/>
          <w:sz w:val="32"/>
          <w:szCs w:val="32"/>
        </w:rPr>
      </w:pPr>
      <w:bookmarkStart w:id="35" w:name="_Toc21523915"/>
      <w:r w:rsidRPr="00CD6F7A">
        <w:rPr>
          <w:color w:val="2E74B5" w:themeColor="accent1" w:themeShade="BF"/>
          <w:sz w:val="32"/>
          <w:szCs w:val="32"/>
        </w:rPr>
        <w:t>Conclusions</w:t>
      </w:r>
      <w:bookmarkEnd w:id="35"/>
    </w:p>
    <w:p w14:paraId="63C81038" w14:textId="77777777" w:rsidR="00326CEB" w:rsidRDefault="00326CEB" w:rsidP="001C48E2">
      <w:pPr>
        <w:jc w:val="both"/>
      </w:pPr>
      <w:r>
        <w:t>DFAT has provided long-term and significant support to women’s empowerment and gender equality in Indonesia. While there are further improvements that can be made to the existing program, given the limited time available</w:t>
      </w:r>
      <w:r w:rsidR="006254B0">
        <w:t>,</w:t>
      </w:r>
      <w:r>
        <w:t xml:space="preserve"> </w:t>
      </w:r>
      <w:r w:rsidRPr="006A6BFE">
        <w:t xml:space="preserve">the recommendations for further development </w:t>
      </w:r>
      <w:r w:rsidR="006254B0" w:rsidRPr="006A6BFE">
        <w:t xml:space="preserve">of the current program </w:t>
      </w:r>
      <w:r w:rsidRPr="006A6BFE">
        <w:t>focus on consolidation of knowledge and increased de</w:t>
      </w:r>
      <w:r w:rsidR="00C75AC4" w:rsidRPr="006A6BFE">
        <w:t>pth</w:t>
      </w:r>
      <w:r w:rsidRPr="006A6BFE">
        <w:t xml:space="preserve"> through attention to strategies for change.</w:t>
      </w:r>
    </w:p>
    <w:p w14:paraId="0D232830" w14:textId="77777777" w:rsidR="00326CEB" w:rsidRPr="00813019" w:rsidRDefault="00326CEB" w:rsidP="001C48E2">
      <w:pPr>
        <w:jc w:val="both"/>
        <w:rPr>
          <w:b/>
        </w:rPr>
      </w:pPr>
      <w:r>
        <w:t>Going forward</w:t>
      </w:r>
      <w:r w:rsidR="00C75AC4">
        <w:t>,</w:t>
      </w:r>
      <w:r>
        <w:t xml:space="preserve"> there is considerable opportunity to build upon the achievements and opportunities developed through MAMPU. </w:t>
      </w:r>
      <w:r w:rsidRPr="00813019">
        <w:rPr>
          <w:b/>
        </w:rPr>
        <w:t>While there are several possible options</w:t>
      </w:r>
      <w:r w:rsidR="00C75AC4" w:rsidRPr="00813019">
        <w:rPr>
          <w:b/>
        </w:rPr>
        <w:t>, it</w:t>
      </w:r>
      <w:r w:rsidRPr="00813019">
        <w:rPr>
          <w:b/>
        </w:rPr>
        <w:t xml:space="preserve"> is strongly recommended by the ISR that DFAT consider those options which maintain some dedicated focus on women’s empowerment and gender equality and provide the opportunity for DFAT to continue to work towards that end with good quality CSO partners and the Government of Indonesia.</w:t>
      </w:r>
    </w:p>
    <w:p w14:paraId="18C965DF" w14:textId="77777777" w:rsidR="003D1C39" w:rsidRPr="003D1C39" w:rsidRDefault="003D1C39" w:rsidP="001C48E2">
      <w:pPr>
        <w:jc w:val="both"/>
      </w:pPr>
    </w:p>
    <w:p w14:paraId="0155EAD7" w14:textId="77777777" w:rsidR="002A5118" w:rsidRDefault="002A5118" w:rsidP="001C48E2">
      <w:pPr>
        <w:jc w:val="both"/>
      </w:pPr>
    </w:p>
    <w:p w14:paraId="581EF0E0" w14:textId="77777777" w:rsidR="002A5118" w:rsidRDefault="002A5118" w:rsidP="001C48E2">
      <w:pPr>
        <w:jc w:val="both"/>
      </w:pPr>
      <w:r>
        <w:br w:type="page"/>
      </w:r>
    </w:p>
    <w:p w14:paraId="360BB91D" w14:textId="77777777" w:rsidR="007C01FA" w:rsidRDefault="002A5118" w:rsidP="001C48E2">
      <w:pPr>
        <w:pStyle w:val="Heading1"/>
        <w:jc w:val="both"/>
      </w:pPr>
      <w:bookmarkStart w:id="36" w:name="_Toc21523916"/>
      <w:r>
        <w:t>Annex One</w:t>
      </w:r>
      <w:r w:rsidR="007C01FA">
        <w:t>: Evaluation plan</w:t>
      </w:r>
      <w:bookmarkEnd w:id="36"/>
      <w:r w:rsidR="007C01FA">
        <w:t xml:space="preserve"> </w:t>
      </w:r>
    </w:p>
    <w:p w14:paraId="7AC95683" w14:textId="77777777" w:rsidR="002A5118" w:rsidRDefault="002A5118" w:rsidP="001C48E2">
      <w:pPr>
        <w:pStyle w:val="Heading4"/>
        <w:jc w:val="both"/>
      </w:pPr>
      <w:r>
        <w:t>Introduction</w:t>
      </w:r>
    </w:p>
    <w:p w14:paraId="1908DCA6" w14:textId="77777777" w:rsidR="002A5118" w:rsidRDefault="002A5118" w:rsidP="001C48E2">
      <w:pPr>
        <w:jc w:val="both"/>
      </w:pPr>
      <w:r>
        <w:t>The purpose of the Independent Strategic Review (ISR) of MAMPU Phase 2, based on the review terms of reference (TOR), is to draw on evidence and analysis collected by the MAMPU program to date, to:</w:t>
      </w:r>
    </w:p>
    <w:p w14:paraId="040585EE" w14:textId="77777777" w:rsidR="002A5118" w:rsidRPr="00206BEE" w:rsidRDefault="002A5118" w:rsidP="001C48E2">
      <w:pPr>
        <w:ind w:left="720"/>
        <w:jc w:val="both"/>
        <w:rPr>
          <w:i/>
        </w:rPr>
      </w:pPr>
      <w:r w:rsidRPr="00206BEE">
        <w:rPr>
          <w:i/>
        </w:rPr>
        <w:t xml:space="preserve">Provide independent and informed strategic advice to senior DFAT management on the: </w:t>
      </w:r>
    </w:p>
    <w:p w14:paraId="62EFA2B9" w14:textId="77777777" w:rsidR="002A5118" w:rsidRPr="00206BEE" w:rsidRDefault="002A5118" w:rsidP="001C48E2">
      <w:pPr>
        <w:ind w:left="720"/>
        <w:jc w:val="both"/>
        <w:rPr>
          <w:i/>
        </w:rPr>
      </w:pPr>
      <w:r w:rsidRPr="00206BEE">
        <w:rPr>
          <w:i/>
        </w:rPr>
        <w:t>a) Continued relevance and alignment of MAMPU program to</w:t>
      </w:r>
      <w:r>
        <w:rPr>
          <w:i/>
        </w:rPr>
        <w:t xml:space="preserve"> DFAT, GO</w:t>
      </w:r>
      <w:r w:rsidRPr="00206BEE">
        <w:rPr>
          <w:i/>
        </w:rPr>
        <w:t>I and CSO partner policy and program priorities;</w:t>
      </w:r>
    </w:p>
    <w:p w14:paraId="1E4273F1" w14:textId="77777777" w:rsidR="002A5118" w:rsidRPr="00206BEE" w:rsidRDefault="002A5118" w:rsidP="001C48E2">
      <w:pPr>
        <w:ind w:left="720"/>
        <w:jc w:val="both"/>
        <w:rPr>
          <w:i/>
        </w:rPr>
      </w:pPr>
      <w:r w:rsidRPr="00206BEE">
        <w:rPr>
          <w:i/>
        </w:rPr>
        <w:t xml:space="preserve">b) Suitability of the current modality and strategic approach of the MAMPU program in responding to the changing political-economy context in Indonesia; and </w:t>
      </w:r>
    </w:p>
    <w:p w14:paraId="7666AB21" w14:textId="77777777" w:rsidR="002A5118" w:rsidRPr="00206BEE" w:rsidRDefault="002A5118" w:rsidP="001C48E2">
      <w:pPr>
        <w:ind w:left="720"/>
        <w:jc w:val="both"/>
        <w:rPr>
          <w:i/>
        </w:rPr>
      </w:pPr>
      <w:r w:rsidRPr="00206BEE">
        <w:rPr>
          <w:i/>
        </w:rPr>
        <w:t xml:space="preserve">c) Opportunities and challenges for any future DFAT investment in gender equality and women’s empowerment in Indonesia. </w:t>
      </w:r>
    </w:p>
    <w:p w14:paraId="5BC0153C" w14:textId="7A1BAC4A" w:rsidR="002A5118" w:rsidRDefault="002A5118" w:rsidP="001C48E2">
      <w:pPr>
        <w:jc w:val="both"/>
      </w:pPr>
      <w:r>
        <w:t>The ISR is intended to be strategic, examining the relevance and alignment of MAMPU phase 2 within the current policy context of Indonesia and Australia, and in comparison with other modalities and programs, in order to inform the future direction of DFAT support for women’s empowerment and gender equality in Indonesia.</w:t>
      </w:r>
      <w:r w:rsidR="00604408">
        <w:t xml:space="preserve">               </w:t>
      </w:r>
    </w:p>
    <w:p w14:paraId="72FB8F90" w14:textId="77777777" w:rsidR="002A5118" w:rsidRDefault="002A5118" w:rsidP="001C48E2">
      <w:pPr>
        <w:pStyle w:val="Heading4"/>
        <w:jc w:val="both"/>
      </w:pPr>
      <w:r>
        <w:t>Scope</w:t>
      </w:r>
    </w:p>
    <w:p w14:paraId="37BF6F50" w14:textId="77777777" w:rsidR="002A5118" w:rsidRDefault="002A5118" w:rsidP="001C48E2">
      <w:pPr>
        <w:jc w:val="both"/>
      </w:pPr>
      <w:r>
        <w:t>MAMPU Phase 2 is at the midpoint of implementation and the ISR is intended to contribute to work beyond the completion of this phase in June 2020. The TOR specifies three evaluation questions:</w:t>
      </w:r>
    </w:p>
    <w:p w14:paraId="461E2E66" w14:textId="77777777" w:rsidR="002A5118" w:rsidRPr="00206BEE" w:rsidRDefault="002A5118" w:rsidP="001C48E2">
      <w:pPr>
        <w:ind w:left="720"/>
        <w:jc w:val="both"/>
        <w:rPr>
          <w:i/>
        </w:rPr>
      </w:pPr>
      <w:r w:rsidRPr="00206BEE">
        <w:rPr>
          <w:i/>
        </w:rPr>
        <w:t>A. Does the MAMPU program remain relevan</w:t>
      </w:r>
      <w:r>
        <w:rPr>
          <w:i/>
        </w:rPr>
        <w:t>t and effective in addressing GO</w:t>
      </w:r>
      <w:r w:rsidRPr="00206BEE">
        <w:rPr>
          <w:i/>
        </w:rPr>
        <w:t xml:space="preserve">I and CSO partner policy and program priorities? </w:t>
      </w:r>
    </w:p>
    <w:p w14:paraId="0EE6CCD5" w14:textId="77777777" w:rsidR="002A5118" w:rsidRPr="00206BEE" w:rsidRDefault="003B1EA5" w:rsidP="001C48E2">
      <w:pPr>
        <w:ind w:left="720"/>
        <w:jc w:val="both"/>
        <w:rPr>
          <w:i/>
        </w:rPr>
      </w:pPr>
      <w:r>
        <w:rPr>
          <w:i/>
        </w:rPr>
        <w:t>BAPPENAS</w:t>
      </w:r>
      <w:r w:rsidR="002A5118" w:rsidRPr="00206BEE">
        <w:rPr>
          <w:i/>
        </w:rPr>
        <w:t xml:space="preserve">. Does the MAMPU program remain relevant and effective in addressing DFAT policy and program priorities? </w:t>
      </w:r>
    </w:p>
    <w:p w14:paraId="474CCFAF" w14:textId="77777777" w:rsidR="002A5118" w:rsidRDefault="002A5118" w:rsidP="001C48E2">
      <w:pPr>
        <w:ind w:left="720"/>
        <w:jc w:val="both"/>
        <w:rPr>
          <w:sz w:val="23"/>
          <w:szCs w:val="23"/>
        </w:rPr>
      </w:pPr>
      <w:r w:rsidRPr="00206BEE">
        <w:rPr>
          <w:i/>
        </w:rPr>
        <w:t xml:space="preserve">C. Does the current MAMPU program modality and strategic approach remain appropriate in responding to the changing political-economy context in Indonesia? </w:t>
      </w:r>
    </w:p>
    <w:p w14:paraId="68C85147" w14:textId="77777777" w:rsidR="002A5118" w:rsidRDefault="002A5118" w:rsidP="001C48E2">
      <w:pPr>
        <w:jc w:val="both"/>
      </w:pPr>
      <w:r>
        <w:t xml:space="preserve">In </w:t>
      </w:r>
      <w:r w:rsidR="00B41CAC">
        <w:t>addition,</w:t>
      </w:r>
      <w:r>
        <w:t xml:space="preserve"> the ISR is expected to provide recommendations on future DFAT support to gender equality and women’s empowerment in Indonesia, exploring alternative approaches, addressing issues of scale and modality and identifying in the implications that arise from phasing out of the existing MAMPU program.</w:t>
      </w:r>
    </w:p>
    <w:p w14:paraId="67E2EF6D" w14:textId="77777777" w:rsidR="002A5118" w:rsidRDefault="002A5118" w:rsidP="001C48E2">
      <w:pPr>
        <w:jc w:val="both"/>
      </w:pPr>
      <w:r>
        <w:t>MAMPU phase 2 has a wide scope and ambitious objectives. It operates across five focus areas: social protection programs; workplace protections; conditions for women migrant workers; sexual reproductive health and nutritional needs; and counselling and support for survivors of violence. The theory of change strongly shapes the program approach. It assumes that collective action for change will build the capacity of women and their organisations to influence government policy and programmes, which in turn will lead to increased services. The program outcomes correspond to these anticipated steps in the change process (improved capacity and readiness; increased voice and influence: improved access to services).</w:t>
      </w:r>
    </w:p>
    <w:p w14:paraId="08081240" w14:textId="77777777" w:rsidR="002A5118" w:rsidRDefault="002A5118" w:rsidP="001C48E2">
      <w:pPr>
        <w:jc w:val="both"/>
      </w:pPr>
      <w:r>
        <w:t>Considering the effectiveness of MAMPU phase II requires some judgement around both its progress towards these outcomes, alongside the validity of its theory of change, and its differential experience across the five focus areas.</w:t>
      </w:r>
    </w:p>
    <w:p w14:paraId="38B0D913" w14:textId="77777777" w:rsidR="002A5118" w:rsidRDefault="002A5118" w:rsidP="001C48E2">
      <w:pPr>
        <w:jc w:val="both"/>
      </w:pPr>
      <w:r>
        <w:t xml:space="preserve">In addition, the context for MAMPU Phase 2 continues to evolve. For example, there have been recent changes to the Government of Indonesia – NGO relationships, which are likely to have direct implications for MAMPU partner agencies. Since the commencement of MAMPU there have been changes in the donor landscape in Indonesia, in particular, DFAT approaches and priorities have evolved over this time. Indonesian policies have evolved and changed, other programs including other DFAT programs have sought to provide support for women’s empowerment using different approaches to change. </w:t>
      </w:r>
    </w:p>
    <w:p w14:paraId="73846DBD" w14:textId="77777777" w:rsidR="002A5118" w:rsidRDefault="002A5118" w:rsidP="001C48E2">
      <w:pPr>
        <w:jc w:val="both"/>
      </w:pPr>
      <w:r>
        <w:t>Therefore, while it is important for the ISR to assess and verify program effectiveness, in order to understand the strategic value of MAMPU Phase 2, the primary scope of the ISR will be on the relevance and fit of MAMPU phase 2 in the current context and likely future scenarios.</w:t>
      </w:r>
    </w:p>
    <w:p w14:paraId="3A72E292" w14:textId="77777777" w:rsidR="002A5118" w:rsidRDefault="002A5118" w:rsidP="001C48E2">
      <w:pPr>
        <w:jc w:val="both"/>
      </w:pPr>
      <w:r>
        <w:t>To this end attention will be given to:</w:t>
      </w:r>
    </w:p>
    <w:p w14:paraId="646ADF11" w14:textId="77777777" w:rsidR="002A5118" w:rsidRDefault="002A5118" w:rsidP="001C48E2">
      <w:pPr>
        <w:pStyle w:val="ListParagraph"/>
        <w:numPr>
          <w:ilvl w:val="0"/>
          <w:numId w:val="4"/>
        </w:numPr>
        <w:jc w:val="both"/>
      </w:pPr>
      <w:r>
        <w:t xml:space="preserve">The Indonesian context for NGO and broader civil society operation, as its likely to impact opportunities for women’s empowerment and gender </w:t>
      </w:r>
      <w:r w:rsidR="00B41CAC">
        <w:t>equality, including</w:t>
      </w:r>
      <w:r>
        <w:t>,</w:t>
      </w:r>
    </w:p>
    <w:p w14:paraId="72FC7BD2" w14:textId="77777777" w:rsidR="002A5118" w:rsidRDefault="002A5118" w:rsidP="001C48E2">
      <w:pPr>
        <w:pStyle w:val="ListParagraph"/>
        <w:numPr>
          <w:ilvl w:val="1"/>
          <w:numId w:val="4"/>
        </w:numPr>
        <w:jc w:val="both"/>
      </w:pPr>
      <w:r>
        <w:t>The aspirations across the sector and likely future positioning and roles</w:t>
      </w:r>
    </w:p>
    <w:p w14:paraId="5B270FAA" w14:textId="77777777" w:rsidR="002A5118" w:rsidRDefault="002A5118" w:rsidP="001C48E2">
      <w:pPr>
        <w:pStyle w:val="ListParagraph"/>
        <w:numPr>
          <w:ilvl w:val="1"/>
          <w:numId w:val="4"/>
        </w:numPr>
        <w:jc w:val="both"/>
      </w:pPr>
      <w:r>
        <w:t>The relationship between civil society and Government of Indonesia</w:t>
      </w:r>
    </w:p>
    <w:p w14:paraId="0490C7A6" w14:textId="77777777" w:rsidR="002A5118" w:rsidRDefault="002A5118" w:rsidP="001C48E2">
      <w:pPr>
        <w:pStyle w:val="ListParagraph"/>
        <w:numPr>
          <w:ilvl w:val="1"/>
          <w:numId w:val="4"/>
        </w:numPr>
        <w:jc w:val="both"/>
      </w:pPr>
      <w:r>
        <w:t>The opportunities for further development in civil society</w:t>
      </w:r>
    </w:p>
    <w:p w14:paraId="4147EB72" w14:textId="77777777" w:rsidR="002A5118" w:rsidRDefault="002A5118" w:rsidP="001C48E2">
      <w:pPr>
        <w:pStyle w:val="ListParagraph"/>
        <w:numPr>
          <w:ilvl w:val="1"/>
          <w:numId w:val="4"/>
        </w:numPr>
        <w:jc w:val="both"/>
      </w:pPr>
      <w:r>
        <w:t>The risks and challenges, including sustainability of organisational forms.</w:t>
      </w:r>
    </w:p>
    <w:p w14:paraId="7F203A78" w14:textId="77777777" w:rsidR="002A5118" w:rsidRDefault="002A5118" w:rsidP="001C48E2">
      <w:pPr>
        <w:pStyle w:val="ListParagraph"/>
        <w:numPr>
          <w:ilvl w:val="0"/>
          <w:numId w:val="4"/>
        </w:numPr>
        <w:jc w:val="both"/>
      </w:pPr>
      <w:r>
        <w:t>The Indonesian government policies that are relevant to women’s empowerment and NGO work more generally.</w:t>
      </w:r>
    </w:p>
    <w:p w14:paraId="1270076E" w14:textId="77777777" w:rsidR="002A5118" w:rsidRDefault="002A5118" w:rsidP="001C48E2">
      <w:pPr>
        <w:pStyle w:val="ListParagraph"/>
        <w:jc w:val="both"/>
      </w:pPr>
      <w:r>
        <w:t xml:space="preserve">There are several programs and policy directions which could be considered here. These include those areas of Government policy which directly align with MAMPU focus areas such as the policy and program work overseen by the Ministry of Women’s Empowerment and Child Protection around ending human trafficking, violence against women and unequal access to economic resources. </w:t>
      </w:r>
    </w:p>
    <w:p w14:paraId="6ED9C7EC" w14:textId="77777777" w:rsidR="002A5118" w:rsidRDefault="002A5118" w:rsidP="001C48E2">
      <w:pPr>
        <w:pStyle w:val="ListParagraph"/>
        <w:jc w:val="both"/>
      </w:pPr>
      <w:r>
        <w:t xml:space="preserve">In </w:t>
      </w:r>
      <w:r w:rsidR="00B41CAC">
        <w:t>addition,</w:t>
      </w:r>
      <w:r>
        <w:t xml:space="preserve"> the ongoing process towards decentralisation and increased empowerment at village level and the interaction between national, regional and local levels of Government (particularly in terms of communications, policy and law development and take-up of initiatives between local, regional and national levels) all shape the Government of Indonesia context for the MAMPU approach to change particularly as this works from subnational to local level.</w:t>
      </w:r>
    </w:p>
    <w:p w14:paraId="33D79515" w14:textId="77777777" w:rsidR="002A5118" w:rsidRDefault="002A5118" w:rsidP="001C48E2">
      <w:pPr>
        <w:pStyle w:val="ListParagraph"/>
        <w:jc w:val="both"/>
      </w:pPr>
      <w:r>
        <w:t>A further consideration is the range of Government of Indonesia departments that likely have an interest in effective support for women from national to community level (for example agriculture, health &amp; so on) and the degree to which MAMPU phase 2 has positioned most effectively with various government departments.</w:t>
      </w:r>
    </w:p>
    <w:p w14:paraId="707F1347" w14:textId="77777777" w:rsidR="002A5118" w:rsidRDefault="002A5118" w:rsidP="001C48E2">
      <w:pPr>
        <w:pStyle w:val="ListParagraph"/>
        <w:numPr>
          <w:ilvl w:val="0"/>
          <w:numId w:val="4"/>
        </w:numPr>
        <w:jc w:val="both"/>
      </w:pPr>
      <w:r>
        <w:t>The context for women’s empowerment and gender equality more broadly in Indonesia, how this is changed and likely scenarios and development into the future, including,</w:t>
      </w:r>
    </w:p>
    <w:p w14:paraId="56138407" w14:textId="77777777" w:rsidR="002A5118" w:rsidRDefault="002A5118" w:rsidP="001C48E2">
      <w:pPr>
        <w:pStyle w:val="ListParagraph"/>
        <w:numPr>
          <w:ilvl w:val="1"/>
          <w:numId w:val="4"/>
        </w:numPr>
        <w:jc w:val="both"/>
      </w:pPr>
      <w:r>
        <w:t>Opportunities and challenges for women’s participation, particularly in economic spheres.</w:t>
      </w:r>
    </w:p>
    <w:p w14:paraId="45BCD67C" w14:textId="77777777" w:rsidR="002A5118" w:rsidRDefault="002A5118" w:rsidP="001C48E2">
      <w:pPr>
        <w:pStyle w:val="ListParagraph"/>
        <w:numPr>
          <w:ilvl w:val="1"/>
          <w:numId w:val="4"/>
        </w:numPr>
        <w:jc w:val="both"/>
      </w:pPr>
      <w:r>
        <w:t>Areas of gain, considering both the learning and the implications for further work.</w:t>
      </w:r>
    </w:p>
    <w:p w14:paraId="787D39FF" w14:textId="77777777" w:rsidR="002A5118" w:rsidRDefault="002A5118" w:rsidP="001C48E2">
      <w:pPr>
        <w:pStyle w:val="ListParagraph"/>
        <w:numPr>
          <w:ilvl w:val="1"/>
          <w:numId w:val="4"/>
        </w:numPr>
        <w:jc w:val="both"/>
      </w:pPr>
      <w:r>
        <w:t>Areas of remaining disadvantage and/or challenge for women, particularly as these have changed in response to other conditions in Indonesia over the last five years</w:t>
      </w:r>
    </w:p>
    <w:p w14:paraId="7726DB80" w14:textId="77777777" w:rsidR="002A5118" w:rsidRDefault="002A5118" w:rsidP="001C48E2">
      <w:pPr>
        <w:pStyle w:val="ListParagraph"/>
        <w:numPr>
          <w:ilvl w:val="1"/>
          <w:numId w:val="4"/>
        </w:numPr>
        <w:jc w:val="both"/>
      </w:pPr>
      <w:r>
        <w:t>Other activities being undertaken by women’s organisations and government departments, as well as those supported by other DFAT and other donor programs which are relevant to MAMPU focus.</w:t>
      </w:r>
    </w:p>
    <w:p w14:paraId="28BFC50C" w14:textId="77777777" w:rsidR="002A5118" w:rsidRDefault="002A5118" w:rsidP="001C48E2">
      <w:pPr>
        <w:pStyle w:val="ListParagraph"/>
        <w:numPr>
          <w:ilvl w:val="0"/>
          <w:numId w:val="4"/>
        </w:numPr>
        <w:jc w:val="both"/>
      </w:pPr>
      <w:r>
        <w:t>Australian Government priorities and experience, particularly as these have developed since the initial MAMPU design and likely further developments, with attention to</w:t>
      </w:r>
    </w:p>
    <w:p w14:paraId="5FF72776" w14:textId="77777777" w:rsidR="002A5118" w:rsidRDefault="002A5118" w:rsidP="001C48E2">
      <w:pPr>
        <w:pStyle w:val="ListParagraph"/>
        <w:numPr>
          <w:ilvl w:val="1"/>
          <w:numId w:val="4"/>
        </w:numPr>
        <w:jc w:val="both"/>
      </w:pPr>
      <w:r>
        <w:t>The present DFAT policy for support for empowerment and gender equality.</w:t>
      </w:r>
    </w:p>
    <w:p w14:paraId="27B1CC5C" w14:textId="77777777" w:rsidR="002A5118" w:rsidRDefault="002A5118" w:rsidP="001C48E2">
      <w:pPr>
        <w:pStyle w:val="ListParagraph"/>
        <w:numPr>
          <w:ilvl w:val="1"/>
          <w:numId w:val="4"/>
        </w:numPr>
        <w:jc w:val="both"/>
      </w:pPr>
      <w:r>
        <w:t>Australian government policy on disability inclusive development with particular attention to the way disability intersects with gender to create significant challenges and possible marginalisation for women.</w:t>
      </w:r>
    </w:p>
    <w:p w14:paraId="6AF9ADE0" w14:textId="77777777" w:rsidR="002A5118" w:rsidRDefault="002A5118" w:rsidP="001C48E2">
      <w:pPr>
        <w:pStyle w:val="ListParagraph"/>
        <w:numPr>
          <w:ilvl w:val="1"/>
          <w:numId w:val="4"/>
        </w:numPr>
        <w:jc w:val="both"/>
      </w:pPr>
      <w:r>
        <w:t>Other relevant Australian government policies such as social protection which overlap with the focus areas of MAMPU Phase 2.</w:t>
      </w:r>
    </w:p>
    <w:p w14:paraId="07905D05" w14:textId="77777777" w:rsidR="002A5118" w:rsidRDefault="002A5118" w:rsidP="001C48E2">
      <w:pPr>
        <w:pStyle w:val="ListParagraph"/>
        <w:numPr>
          <w:ilvl w:val="1"/>
          <w:numId w:val="4"/>
        </w:numPr>
        <w:jc w:val="both"/>
      </w:pPr>
      <w:r>
        <w:t>The experience of other DFAT supported programs Indonesia, in particular their approach to supporting women’s empowerment and gender equality</w:t>
      </w:r>
    </w:p>
    <w:p w14:paraId="484D38FF" w14:textId="77777777" w:rsidR="002A5118" w:rsidRDefault="002A5118" w:rsidP="001C48E2">
      <w:pPr>
        <w:pStyle w:val="ListParagraph"/>
        <w:numPr>
          <w:ilvl w:val="1"/>
          <w:numId w:val="4"/>
        </w:numPr>
        <w:jc w:val="both"/>
      </w:pPr>
      <w:r>
        <w:t>Relevant Australian Government policies for aid, trade and other areas, such as security and diplomatic relationships with Indonesia.</w:t>
      </w:r>
    </w:p>
    <w:p w14:paraId="5590609B" w14:textId="77777777" w:rsidR="002A5118" w:rsidRDefault="002A5118" w:rsidP="001C48E2">
      <w:pPr>
        <w:pStyle w:val="ListParagraph"/>
        <w:numPr>
          <w:ilvl w:val="1"/>
          <w:numId w:val="4"/>
        </w:numPr>
        <w:jc w:val="both"/>
      </w:pPr>
      <w:r>
        <w:t>The lessons available to DFAT about modalities of aid delivery and the way in which these are best able to support DFAT resourcing and focus.</w:t>
      </w:r>
    </w:p>
    <w:p w14:paraId="1ED70F93" w14:textId="77777777" w:rsidR="002A5118" w:rsidRDefault="002A5118" w:rsidP="001C48E2">
      <w:pPr>
        <w:pStyle w:val="ListParagraph"/>
        <w:numPr>
          <w:ilvl w:val="1"/>
          <w:numId w:val="4"/>
        </w:numPr>
        <w:jc w:val="both"/>
      </w:pPr>
      <w:r>
        <w:t>The experience of other donors and in their support for gender equality and women’s empowerment in Indonesia.</w:t>
      </w:r>
    </w:p>
    <w:p w14:paraId="3B7D3825" w14:textId="77777777" w:rsidR="002A5118" w:rsidRDefault="002A5118" w:rsidP="001C48E2">
      <w:pPr>
        <w:jc w:val="both"/>
      </w:pPr>
      <w:r>
        <w:t>These contextual considerations provide the framing for the ISR assessment. Within this frame the ISR will give attention to:</w:t>
      </w:r>
    </w:p>
    <w:p w14:paraId="4DDFB0B1" w14:textId="77777777" w:rsidR="002A5118" w:rsidRDefault="002A5118" w:rsidP="001C48E2">
      <w:pPr>
        <w:pStyle w:val="ListParagraph"/>
        <w:numPr>
          <w:ilvl w:val="0"/>
          <w:numId w:val="4"/>
        </w:numPr>
        <w:jc w:val="both"/>
      </w:pPr>
      <w:r>
        <w:t>MAMPU achievements and overall effectiveness, including attention to,</w:t>
      </w:r>
    </w:p>
    <w:p w14:paraId="198A5A8F" w14:textId="77777777" w:rsidR="002A5118" w:rsidRDefault="002A5118" w:rsidP="001C48E2">
      <w:pPr>
        <w:pStyle w:val="ListParagraph"/>
        <w:numPr>
          <w:ilvl w:val="1"/>
          <w:numId w:val="4"/>
        </w:numPr>
        <w:jc w:val="both"/>
      </w:pPr>
      <w:r>
        <w:t>Progress against the MAMPU TOC and strategy within each component, in particular.</w:t>
      </w:r>
    </w:p>
    <w:p w14:paraId="6BC0D4C5" w14:textId="77777777" w:rsidR="002A5118" w:rsidRDefault="002A5118" w:rsidP="001C48E2">
      <w:pPr>
        <w:pStyle w:val="ListParagraph"/>
        <w:numPr>
          <w:ilvl w:val="2"/>
          <w:numId w:val="4"/>
        </w:numPr>
        <w:jc w:val="both"/>
      </w:pPr>
      <w:r>
        <w:t>The take-up of policies and lessons from MAMPU by government and others</w:t>
      </w:r>
    </w:p>
    <w:p w14:paraId="5FAF8BF1" w14:textId="77777777" w:rsidR="002A5118" w:rsidRDefault="002A5118" w:rsidP="001C48E2">
      <w:pPr>
        <w:pStyle w:val="ListParagraph"/>
        <w:numPr>
          <w:ilvl w:val="2"/>
          <w:numId w:val="4"/>
        </w:numPr>
        <w:jc w:val="both"/>
      </w:pPr>
      <w:r>
        <w:t xml:space="preserve">Evidence of change in service delivery, to which MAMPU has contributed </w:t>
      </w:r>
    </w:p>
    <w:p w14:paraId="6C98787C" w14:textId="77777777" w:rsidR="002A5118" w:rsidRDefault="002A5118" w:rsidP="001C48E2">
      <w:pPr>
        <w:pStyle w:val="ListParagraph"/>
        <w:numPr>
          <w:ilvl w:val="1"/>
          <w:numId w:val="4"/>
        </w:numPr>
        <w:jc w:val="both"/>
      </w:pPr>
      <w:r>
        <w:t>The perspectives of key stakeholders including NGO and CSO partners, government of Indonesia, DFAT and other relevant external stakeholders.</w:t>
      </w:r>
    </w:p>
    <w:p w14:paraId="30532861" w14:textId="77777777" w:rsidR="002A5118" w:rsidRDefault="002A5118" w:rsidP="001C48E2">
      <w:pPr>
        <w:pStyle w:val="ListParagraph"/>
        <w:numPr>
          <w:ilvl w:val="0"/>
          <w:numId w:val="4"/>
        </w:numPr>
        <w:jc w:val="both"/>
      </w:pPr>
      <w:r>
        <w:t>MAMPU operations and ways of working including,</w:t>
      </w:r>
    </w:p>
    <w:p w14:paraId="0140EA7B" w14:textId="77777777" w:rsidR="002A5118" w:rsidRDefault="002A5118" w:rsidP="001C48E2">
      <w:pPr>
        <w:pStyle w:val="ListParagraph"/>
        <w:numPr>
          <w:ilvl w:val="1"/>
          <w:numId w:val="4"/>
        </w:numPr>
        <w:jc w:val="both"/>
      </w:pPr>
      <w:r>
        <w:t>The effectiveness of MAMPU - NGO partnerships, at national through to local level</w:t>
      </w:r>
    </w:p>
    <w:p w14:paraId="327030F9" w14:textId="77777777" w:rsidR="002A5118" w:rsidRDefault="002A5118" w:rsidP="001C48E2">
      <w:pPr>
        <w:pStyle w:val="ListParagraph"/>
        <w:numPr>
          <w:ilvl w:val="1"/>
          <w:numId w:val="4"/>
        </w:numPr>
        <w:jc w:val="both"/>
      </w:pPr>
      <w:r>
        <w:t>Management and other program systems with attention to efficiency and effectiveness of those systems.</w:t>
      </w:r>
    </w:p>
    <w:p w14:paraId="15139475" w14:textId="77777777" w:rsidR="002A5118" w:rsidRDefault="002A5118" w:rsidP="001C48E2">
      <w:pPr>
        <w:pStyle w:val="ListParagraph"/>
        <w:numPr>
          <w:ilvl w:val="1"/>
          <w:numId w:val="4"/>
        </w:numPr>
        <w:jc w:val="both"/>
      </w:pPr>
      <w:r>
        <w:t>Program value for money</w:t>
      </w:r>
    </w:p>
    <w:p w14:paraId="2B32FCDF" w14:textId="77777777" w:rsidR="002A5118" w:rsidRDefault="002A5118" w:rsidP="001C48E2">
      <w:pPr>
        <w:pStyle w:val="ListParagraph"/>
        <w:numPr>
          <w:ilvl w:val="1"/>
          <w:numId w:val="4"/>
        </w:numPr>
        <w:jc w:val="both"/>
      </w:pPr>
      <w:r>
        <w:t>MAMPU governance mechanism, including procedures for addressing tensions, disputes and managing different priorities.</w:t>
      </w:r>
    </w:p>
    <w:p w14:paraId="5E1BC739" w14:textId="77777777" w:rsidR="002A5118" w:rsidRDefault="002A5118" w:rsidP="001C48E2">
      <w:pPr>
        <w:pStyle w:val="ListParagraph"/>
        <w:numPr>
          <w:ilvl w:val="1"/>
          <w:numId w:val="4"/>
        </w:numPr>
        <w:jc w:val="both"/>
      </w:pPr>
      <w:r>
        <w:t>Program communication and information systems</w:t>
      </w:r>
    </w:p>
    <w:p w14:paraId="6AB6AD7C" w14:textId="77777777" w:rsidR="002A5118" w:rsidRDefault="002A5118" w:rsidP="001C48E2">
      <w:pPr>
        <w:pStyle w:val="ListParagraph"/>
        <w:numPr>
          <w:ilvl w:val="1"/>
          <w:numId w:val="4"/>
        </w:numPr>
        <w:jc w:val="both"/>
      </w:pPr>
      <w:r>
        <w:t>Program monitoring and evaluation and learning systems.</w:t>
      </w:r>
    </w:p>
    <w:p w14:paraId="7D2A530C" w14:textId="77777777" w:rsidR="002A5118" w:rsidRDefault="002A5118" w:rsidP="001C48E2">
      <w:pPr>
        <w:pStyle w:val="Heading4"/>
        <w:jc w:val="both"/>
      </w:pPr>
      <w:r>
        <w:t>Approach and methodology</w:t>
      </w:r>
    </w:p>
    <w:p w14:paraId="5BC0EDDE" w14:textId="77777777" w:rsidR="002A5118" w:rsidRDefault="002A5118" w:rsidP="001C48E2">
      <w:pPr>
        <w:jc w:val="both"/>
      </w:pPr>
      <w:r>
        <w:t>The ISR will make use of a multi-method evaluation approach, seeking to understand the value of MAMPU Phase 2 from several perspectives and sources of data. These will be triangulated and compared to provide the most accurate assessment of effectiveness and relevance, as required under the TOR.</w:t>
      </w:r>
    </w:p>
    <w:p w14:paraId="137236E4" w14:textId="77777777" w:rsidR="002A5118" w:rsidRDefault="002A5118" w:rsidP="001C48E2">
      <w:pPr>
        <w:pStyle w:val="Heading4"/>
        <w:jc w:val="both"/>
      </w:pPr>
      <w:r>
        <w:t>Data collection</w:t>
      </w:r>
    </w:p>
    <w:p w14:paraId="1FB0891E" w14:textId="77777777" w:rsidR="002A5118" w:rsidRDefault="002A5118" w:rsidP="001C48E2">
      <w:pPr>
        <w:pStyle w:val="Heading5"/>
        <w:jc w:val="both"/>
      </w:pPr>
      <w:r>
        <w:t xml:space="preserve">Effectiveness </w:t>
      </w:r>
    </w:p>
    <w:p w14:paraId="528917E4" w14:textId="77777777" w:rsidR="002A5118" w:rsidRDefault="002A5118" w:rsidP="001C48E2">
      <w:pPr>
        <w:jc w:val="both"/>
      </w:pPr>
      <w:r>
        <w:t xml:space="preserve">The TOR direct the ISR to assess MAMPU phase 2 effectiveness largely through existing evidence and information that is available from current program monitoring and evaluation systems. </w:t>
      </w:r>
    </w:p>
    <w:p w14:paraId="7066776B" w14:textId="77777777" w:rsidR="002A5118" w:rsidRDefault="002A5118" w:rsidP="001C48E2">
      <w:pPr>
        <w:jc w:val="both"/>
      </w:pPr>
      <w:r>
        <w:t xml:space="preserve">Alongside this, good quality evaluation approaches seek to align data collection with existing program approaches. MAMPU has worked since its first phase to build capacity for voice and influence. It could be expected therefore, at this sixth year of program implementation, that MAMPU partner organisations and their members will be able to demonstrate good capacity to assess the effectiveness and value of MAMPU phase II, as part of their broader capacity to analyse and act for change. </w:t>
      </w:r>
      <w:r w:rsidR="00B41CAC">
        <w:t>Therefore,</w:t>
      </w:r>
      <w:r>
        <w:t xml:space="preserve"> the data collection around program effectiveness and ways of working will also draw on the voice and experience of these organisations and their members.</w:t>
      </w:r>
    </w:p>
    <w:p w14:paraId="26002BCC" w14:textId="77777777" w:rsidR="002A5118" w:rsidRDefault="002A5118" w:rsidP="001C48E2">
      <w:pPr>
        <w:jc w:val="both"/>
      </w:pPr>
      <w:r>
        <w:t>Specific data collection methods will include:</w:t>
      </w:r>
    </w:p>
    <w:p w14:paraId="6F9D088C" w14:textId="77777777" w:rsidR="002A5118" w:rsidRPr="00F4466A" w:rsidRDefault="002A5118" w:rsidP="001C48E2">
      <w:pPr>
        <w:pStyle w:val="ListParagraph"/>
        <w:numPr>
          <w:ilvl w:val="0"/>
          <w:numId w:val="5"/>
        </w:numPr>
        <w:jc w:val="both"/>
        <w:rPr>
          <w:b/>
        </w:rPr>
      </w:pPr>
      <w:r w:rsidRPr="00F4466A">
        <w:rPr>
          <w:b/>
        </w:rPr>
        <w:t>Documentation review</w:t>
      </w:r>
    </w:p>
    <w:p w14:paraId="765DE216" w14:textId="77777777" w:rsidR="002A5118" w:rsidRDefault="002A5118" w:rsidP="001C48E2">
      <w:pPr>
        <w:pStyle w:val="ListParagraph"/>
        <w:numPr>
          <w:ilvl w:val="0"/>
          <w:numId w:val="5"/>
        </w:numPr>
        <w:jc w:val="both"/>
      </w:pPr>
      <w:r>
        <w:t xml:space="preserve">MAMPU has a considerable range of existing documentation, both that generated through the </w:t>
      </w:r>
      <w:r w:rsidR="00B41CAC">
        <w:t>MAMPU</w:t>
      </w:r>
      <w:r>
        <w:t xml:space="preserve">&amp;E system for reporting and additional research, and other documents generated as part of the program implementation process. These documents will serve as a major source of data about the program progress and ways of working. </w:t>
      </w:r>
    </w:p>
    <w:p w14:paraId="0AB75052" w14:textId="77777777" w:rsidR="002A5118" w:rsidRPr="00F4466A" w:rsidRDefault="002A5118" w:rsidP="001C48E2">
      <w:pPr>
        <w:pStyle w:val="ListParagraph"/>
        <w:numPr>
          <w:ilvl w:val="0"/>
          <w:numId w:val="5"/>
        </w:numPr>
        <w:jc w:val="both"/>
        <w:rPr>
          <w:b/>
        </w:rPr>
      </w:pPr>
      <w:r w:rsidRPr="00F4466A">
        <w:rPr>
          <w:b/>
        </w:rPr>
        <w:t xml:space="preserve">Participation in and observation of internal MAMPU </w:t>
      </w:r>
      <w:r>
        <w:rPr>
          <w:b/>
        </w:rPr>
        <w:t>collaborative outcomes reporting exercise</w:t>
      </w:r>
      <w:r w:rsidRPr="00F4466A">
        <w:rPr>
          <w:b/>
        </w:rPr>
        <w:t>.</w:t>
      </w:r>
    </w:p>
    <w:p w14:paraId="359103AD" w14:textId="77777777" w:rsidR="002A5118" w:rsidRDefault="002A5118" w:rsidP="001C48E2">
      <w:pPr>
        <w:pStyle w:val="ListParagraph"/>
        <w:ind w:left="770"/>
        <w:jc w:val="both"/>
      </w:pPr>
      <w:r>
        <w:t>As part of its ongoing capacity development, MAMPU Phase 2 is currently undertaking an internal evaluative exercise, the Collaborative Outcomes Reporting process. This process is designed to utilise existing information, and the experience and analysis of program partners, to identify program progress, critically reflect on that progress, and identify future actions. This internal evaluation is expected to generate considered and verified evidence for the ISR</w:t>
      </w:r>
      <w:r>
        <w:rPr>
          <w:rStyle w:val="FootnoteReference"/>
        </w:rPr>
        <w:footnoteReference w:id="56"/>
      </w:r>
      <w:r>
        <w:t xml:space="preserve">. Further, the process itself should provide some evidence about how far capacity has been built in partner organisations and the degree to which it has enabled them review and adapt. </w:t>
      </w:r>
    </w:p>
    <w:p w14:paraId="1746CBEE" w14:textId="77777777" w:rsidR="002A5118" w:rsidRPr="00F4466A" w:rsidRDefault="002A5118" w:rsidP="001C48E2">
      <w:pPr>
        <w:pStyle w:val="ListParagraph"/>
        <w:numPr>
          <w:ilvl w:val="0"/>
          <w:numId w:val="5"/>
        </w:numPr>
        <w:jc w:val="both"/>
        <w:rPr>
          <w:b/>
        </w:rPr>
      </w:pPr>
      <w:r w:rsidRPr="00F4466A">
        <w:rPr>
          <w:b/>
        </w:rPr>
        <w:t>Focus group discussions</w:t>
      </w:r>
    </w:p>
    <w:p w14:paraId="120A3943" w14:textId="77777777" w:rsidR="002A5118" w:rsidRDefault="002A5118" w:rsidP="001C48E2">
      <w:pPr>
        <w:pStyle w:val="ListParagraph"/>
        <w:ind w:left="770"/>
        <w:jc w:val="both"/>
      </w:pPr>
      <w:r>
        <w:t>Further understanding of the progress and operations of MAMPU will be explored through focus group discussions with MAMPU program staff and NGO and CSO partners. Focus groups enable people to speak directly about their own experience, and build on each other’s information. These discussions are expected to provide a comprehensive insight into particular activities and events.</w:t>
      </w:r>
    </w:p>
    <w:p w14:paraId="2D4383FA" w14:textId="77777777" w:rsidR="002A5118" w:rsidRPr="00F4466A" w:rsidRDefault="002A5118" w:rsidP="001C48E2">
      <w:pPr>
        <w:pStyle w:val="ListParagraph"/>
        <w:numPr>
          <w:ilvl w:val="0"/>
          <w:numId w:val="5"/>
        </w:numPr>
        <w:jc w:val="both"/>
        <w:rPr>
          <w:b/>
        </w:rPr>
      </w:pPr>
      <w:r w:rsidRPr="00F4466A">
        <w:rPr>
          <w:b/>
        </w:rPr>
        <w:t>Key informant interviews</w:t>
      </w:r>
    </w:p>
    <w:p w14:paraId="122ACFFC" w14:textId="77777777" w:rsidR="002A5118" w:rsidRDefault="002A5118" w:rsidP="001C48E2">
      <w:pPr>
        <w:pStyle w:val="ListParagraph"/>
        <w:ind w:left="770"/>
        <w:jc w:val="both"/>
      </w:pPr>
      <w:r>
        <w:t>Some individual interviews will be undertaken with key informants to clarify aspects of MAMPU Phase 2 work and progress. These interviews will focus on the views and experiences of MAMPU partner organisations at national and subregional level, and the voice and experience of their members. It is also expected that other key informants from outside the program will be able to speak to its effectiveness from their perspective.</w:t>
      </w:r>
    </w:p>
    <w:p w14:paraId="0F79B8F0" w14:textId="77777777" w:rsidR="002A5118" w:rsidRDefault="002A5118" w:rsidP="001C48E2">
      <w:pPr>
        <w:pStyle w:val="ListParagraph"/>
        <w:ind w:left="770"/>
        <w:jc w:val="both"/>
      </w:pPr>
    </w:p>
    <w:p w14:paraId="4BB8801E" w14:textId="77777777" w:rsidR="002A5118" w:rsidRDefault="002A5118" w:rsidP="001C48E2">
      <w:pPr>
        <w:pStyle w:val="Heading5"/>
        <w:jc w:val="both"/>
      </w:pPr>
      <w:r>
        <w:t>Relevance and future implications</w:t>
      </w:r>
    </w:p>
    <w:p w14:paraId="0017C9D5" w14:textId="77777777" w:rsidR="002A5118" w:rsidRDefault="002A5118" w:rsidP="001C48E2">
      <w:pPr>
        <w:pStyle w:val="ListParagraph"/>
        <w:ind w:left="0"/>
        <w:jc w:val="both"/>
      </w:pPr>
      <w:r>
        <w:t>For the focus on relevance, alignment to context, and future directions, the ISR team will examine a wider set of information, using existing information and additional data collection to gain a comprehensive understanding of the context for MAMPU Phase 2, and its operations and interaction with that context and the strategic implications going forward.</w:t>
      </w:r>
    </w:p>
    <w:p w14:paraId="2BA69612" w14:textId="77777777" w:rsidR="002A5118" w:rsidRDefault="002A5118" w:rsidP="001C48E2">
      <w:pPr>
        <w:pStyle w:val="ListParagraph"/>
        <w:ind w:left="0"/>
        <w:jc w:val="both"/>
      </w:pPr>
      <w:r>
        <w:t>Data collection methods will include:</w:t>
      </w:r>
    </w:p>
    <w:p w14:paraId="30D7F207" w14:textId="77777777" w:rsidR="002A5118" w:rsidRPr="00F4466A" w:rsidRDefault="002A5118" w:rsidP="001C48E2">
      <w:pPr>
        <w:pStyle w:val="ListParagraph"/>
        <w:numPr>
          <w:ilvl w:val="0"/>
          <w:numId w:val="5"/>
        </w:numPr>
        <w:jc w:val="both"/>
        <w:rPr>
          <w:b/>
        </w:rPr>
      </w:pPr>
      <w:r w:rsidRPr="00F4466A">
        <w:rPr>
          <w:b/>
        </w:rPr>
        <w:t>Documentation review</w:t>
      </w:r>
    </w:p>
    <w:p w14:paraId="676CD493" w14:textId="77777777" w:rsidR="002A5118" w:rsidRDefault="002A5118" w:rsidP="001C48E2">
      <w:pPr>
        <w:pStyle w:val="ListParagraph"/>
        <w:ind w:left="770"/>
        <w:jc w:val="both"/>
      </w:pPr>
      <w:r>
        <w:t>Documentation about DFAT policies and other DFAT programs operating in Indonesia will be reviewed for the purpose of understanding policy and program context. Particular attention will be given to core Australian government policies including the DFAT policy on gender and women’s empowerment, and the policy on disability inclusive development.</w:t>
      </w:r>
    </w:p>
    <w:p w14:paraId="55240A08" w14:textId="77777777" w:rsidR="002A5118" w:rsidRDefault="002A5118" w:rsidP="001C48E2">
      <w:pPr>
        <w:pStyle w:val="ListParagraph"/>
        <w:ind w:left="770"/>
        <w:jc w:val="both"/>
      </w:pPr>
      <w:r>
        <w:t>Recent relevant research related to Indonesian civil society context will provide additional data about the broader context for MAMPU implementation.</w:t>
      </w:r>
    </w:p>
    <w:p w14:paraId="62A1ADB2" w14:textId="77777777" w:rsidR="002A5118" w:rsidRDefault="002A5118" w:rsidP="001C48E2">
      <w:pPr>
        <w:pStyle w:val="ListParagraph"/>
        <w:ind w:left="770"/>
        <w:jc w:val="both"/>
      </w:pPr>
      <w:r w:rsidRPr="000F6DB3">
        <w:rPr>
          <w:u w:val="single"/>
        </w:rPr>
        <w:t>A current list of documents to be reviewed is included at Annex one</w:t>
      </w:r>
      <w:r>
        <w:t xml:space="preserve"> (this is expected to increase during the ISR).</w:t>
      </w:r>
    </w:p>
    <w:p w14:paraId="6F9168DE" w14:textId="77777777" w:rsidR="002A5118" w:rsidRPr="00F4466A" w:rsidRDefault="002A5118" w:rsidP="001C48E2">
      <w:pPr>
        <w:pStyle w:val="ListParagraph"/>
        <w:numPr>
          <w:ilvl w:val="0"/>
          <w:numId w:val="5"/>
        </w:numPr>
        <w:jc w:val="both"/>
        <w:rPr>
          <w:b/>
        </w:rPr>
      </w:pPr>
      <w:r w:rsidRPr="00F4466A">
        <w:rPr>
          <w:b/>
        </w:rPr>
        <w:t>Key informant interviews</w:t>
      </w:r>
    </w:p>
    <w:p w14:paraId="3870F95F" w14:textId="77777777" w:rsidR="002A5118" w:rsidRDefault="002A5118" w:rsidP="001C48E2">
      <w:pPr>
        <w:pStyle w:val="ListParagraph"/>
        <w:ind w:left="770"/>
        <w:jc w:val="both"/>
      </w:pPr>
      <w:r>
        <w:t>There are several key informants who will be interviewed to provide a full understanding of MAMPU relevance. These include DFAT (including relevant staff of DFAT programs and policy and program staff located in Canberra), GOI (both BAPPENAS and other relevant government ministries), other donors working in the area of women’s empowerment and gender equality and organisation and institutions within Indonesia working areas of women’s empowerment and gender equality.</w:t>
      </w:r>
    </w:p>
    <w:p w14:paraId="611B7A91" w14:textId="77777777" w:rsidR="002A5118" w:rsidRPr="00F4466A" w:rsidRDefault="002A5118" w:rsidP="001C48E2">
      <w:pPr>
        <w:pStyle w:val="ListParagraph"/>
        <w:numPr>
          <w:ilvl w:val="0"/>
          <w:numId w:val="5"/>
        </w:numPr>
        <w:jc w:val="both"/>
        <w:rPr>
          <w:b/>
        </w:rPr>
      </w:pPr>
      <w:r w:rsidRPr="00F4466A">
        <w:rPr>
          <w:b/>
        </w:rPr>
        <w:t>Policy mapping</w:t>
      </w:r>
    </w:p>
    <w:p w14:paraId="7639EA55" w14:textId="77777777" w:rsidR="002A5118" w:rsidRDefault="002A5118" w:rsidP="001C48E2">
      <w:pPr>
        <w:pStyle w:val="ListParagraph"/>
        <w:ind w:left="770"/>
        <w:jc w:val="both"/>
      </w:pPr>
      <w:r>
        <w:t xml:space="preserve">One of the three objectives for MAMPU phase 2 is to increase women’s voice and influence at multiple levels, including influencing key government policies. Drawing on MAMPU and DFAT policy tracking tools, tracking the development of relevant policies in the Government of Indonesia system, and mapping the key influences underpinning these policies, will provide insight into the contribution of MAMPU and some comparison with other likely influences. </w:t>
      </w:r>
    </w:p>
    <w:p w14:paraId="26DFC108" w14:textId="77777777" w:rsidR="002A5118" w:rsidRDefault="002A5118" w:rsidP="001C48E2">
      <w:pPr>
        <w:pStyle w:val="ListParagraph"/>
        <w:ind w:left="770"/>
        <w:jc w:val="both"/>
      </w:pPr>
    </w:p>
    <w:p w14:paraId="70FD1703" w14:textId="77777777" w:rsidR="002A5118" w:rsidRDefault="002A5118" w:rsidP="001C48E2">
      <w:pPr>
        <w:jc w:val="both"/>
      </w:pPr>
      <w:r>
        <w:t>The areas that will be explored through these data collection methods are outlined in the following table. These are grouped according to the key evaluation questions identified in the TOR</w:t>
      </w:r>
      <w:r w:rsidRPr="00072BAB">
        <w:rPr>
          <w:rStyle w:val="FootnoteReference"/>
        </w:rPr>
        <w:t xml:space="preserve"> </w:t>
      </w:r>
      <w:r>
        <w:t>.</w:t>
      </w:r>
    </w:p>
    <w:p w14:paraId="3868B664" w14:textId="77777777" w:rsidR="002A5118" w:rsidRDefault="002A5118" w:rsidP="001C48E2">
      <w:pPr>
        <w:jc w:val="both"/>
        <w:rPr>
          <w:rStyle w:val="Heading4Char"/>
        </w:rPr>
        <w:sectPr w:rsidR="002A5118" w:rsidSect="009433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pPr>
      <w:r>
        <w:rPr>
          <w:rStyle w:val="Heading4Char"/>
        </w:rPr>
        <w:br w:type="page"/>
      </w:r>
    </w:p>
    <w:p w14:paraId="2429EE2D" w14:textId="77777777" w:rsidR="002A5118" w:rsidRDefault="002A5118" w:rsidP="002A5118">
      <w:r w:rsidRPr="00443229">
        <w:rPr>
          <w:rStyle w:val="Heading4Char"/>
        </w:rPr>
        <w:t xml:space="preserve">Table One.  </w:t>
      </w:r>
      <w:r>
        <w:rPr>
          <w:rStyle w:val="Heading4Char"/>
        </w:rPr>
        <w:t>Areas of inquiry</w:t>
      </w:r>
      <w:r>
        <w:rPr>
          <w:rStyle w:val="FootnoteReference"/>
          <w:rFonts w:asciiTheme="majorHAnsi" w:eastAsiaTheme="majorEastAsia" w:hAnsiTheme="majorHAnsi" w:cstheme="majorBidi"/>
          <w:i/>
          <w:iCs/>
          <w:color w:val="2E74B5" w:themeColor="accent1" w:themeShade="BF"/>
        </w:rPr>
        <w:footnoteReference w:id="57"/>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526"/>
        <w:gridCol w:w="5296"/>
      </w:tblGrid>
      <w:tr w:rsidR="00822E19" w:rsidRPr="00FC2923" w14:paraId="6D3B816A" w14:textId="77777777" w:rsidTr="00551718">
        <w:trPr>
          <w:trHeight w:val="284"/>
          <w:tblHeader/>
        </w:trPr>
        <w:tc>
          <w:tcPr>
            <w:tcW w:w="866" w:type="pct"/>
            <w:shd w:val="clear" w:color="auto" w:fill="auto"/>
            <w:noWrap/>
            <w:hideMark/>
          </w:tcPr>
          <w:p w14:paraId="65BE42F5" w14:textId="77777777" w:rsidR="00822E19" w:rsidRPr="00112DB5" w:rsidRDefault="00822E19" w:rsidP="00822E19">
            <w:pPr>
              <w:pStyle w:val="Heading4"/>
              <w:jc w:val="center"/>
              <w:rPr>
                <w:rFonts w:eastAsia="Times New Roman"/>
                <w:lang w:eastAsia="en-AU"/>
              </w:rPr>
            </w:pPr>
            <w:r>
              <w:rPr>
                <w:rFonts w:eastAsia="Times New Roman"/>
                <w:lang w:eastAsia="en-AU"/>
              </w:rPr>
              <w:t>Key evaluation question</w:t>
            </w:r>
          </w:p>
        </w:tc>
        <w:tc>
          <w:tcPr>
            <w:tcW w:w="2111" w:type="pct"/>
            <w:shd w:val="clear" w:color="auto" w:fill="auto"/>
            <w:noWrap/>
            <w:hideMark/>
          </w:tcPr>
          <w:p w14:paraId="4F1BA01F" w14:textId="77777777" w:rsidR="00822E19" w:rsidRPr="00112DB5" w:rsidRDefault="00822E19" w:rsidP="00822E19">
            <w:pPr>
              <w:pStyle w:val="Heading4"/>
              <w:jc w:val="center"/>
              <w:rPr>
                <w:rFonts w:eastAsia="Times New Roman"/>
                <w:lang w:eastAsia="en-AU"/>
              </w:rPr>
            </w:pPr>
            <w:r>
              <w:rPr>
                <w:rFonts w:eastAsia="Times New Roman"/>
                <w:lang w:eastAsia="en-AU"/>
              </w:rPr>
              <w:t>Areas of inquiry</w:t>
            </w:r>
          </w:p>
        </w:tc>
        <w:tc>
          <w:tcPr>
            <w:tcW w:w="2023" w:type="pct"/>
            <w:shd w:val="clear" w:color="auto" w:fill="auto"/>
            <w:hideMark/>
          </w:tcPr>
          <w:p w14:paraId="71DAAD69" w14:textId="3CF55ACB" w:rsidR="00822E19" w:rsidRPr="00FC2923" w:rsidRDefault="00822E19" w:rsidP="00822E19">
            <w:pPr>
              <w:pStyle w:val="Heading4"/>
              <w:jc w:val="center"/>
              <w:rPr>
                <w:rFonts w:eastAsia="Times New Roman"/>
                <w:lang w:eastAsia="en-AU"/>
              </w:rPr>
            </w:pPr>
            <w:r w:rsidRPr="00FC2923">
              <w:rPr>
                <w:rFonts w:eastAsia="Times New Roman"/>
                <w:lang w:eastAsia="en-AU"/>
              </w:rPr>
              <w:t xml:space="preserve">Data collection </w:t>
            </w:r>
            <w:r w:rsidRPr="005D0ECC">
              <w:t>methods</w:t>
            </w:r>
          </w:p>
        </w:tc>
      </w:tr>
      <w:tr w:rsidR="00822E19" w:rsidRPr="00FC2923" w14:paraId="7B9C9222" w14:textId="77777777" w:rsidTr="0034157E">
        <w:trPr>
          <w:trHeight w:val="4221"/>
        </w:trPr>
        <w:tc>
          <w:tcPr>
            <w:tcW w:w="866" w:type="pct"/>
            <w:shd w:val="clear" w:color="auto" w:fill="auto"/>
          </w:tcPr>
          <w:p w14:paraId="47513DCA" w14:textId="77777777" w:rsidR="00822E19" w:rsidRPr="00C606F5" w:rsidRDefault="00822E19" w:rsidP="00822E19">
            <w:pPr>
              <w:rPr>
                <w:i/>
              </w:rPr>
            </w:pPr>
            <w:r w:rsidRPr="00C606F5">
              <w:rPr>
                <w:i/>
              </w:rPr>
              <w:t>A. Does the MAMPU program remain relevan</w:t>
            </w:r>
            <w:r>
              <w:rPr>
                <w:i/>
              </w:rPr>
              <w:t>t and effective in addressing GO</w:t>
            </w:r>
            <w:r w:rsidRPr="00C606F5">
              <w:rPr>
                <w:i/>
              </w:rPr>
              <w:t xml:space="preserve">I and CSO partner policy and program priorities? </w:t>
            </w:r>
          </w:p>
          <w:p w14:paraId="12BC5975" w14:textId="77777777" w:rsidR="00822E19" w:rsidRDefault="00822E19" w:rsidP="00822E19">
            <w:pPr>
              <w:ind w:left="720"/>
              <w:rPr>
                <w:sz w:val="23"/>
                <w:szCs w:val="23"/>
              </w:rPr>
            </w:pPr>
          </w:p>
          <w:p w14:paraId="5A9157AA" w14:textId="77777777" w:rsidR="00822E19" w:rsidRDefault="00822E19" w:rsidP="00822E19">
            <w:pPr>
              <w:rPr>
                <w:i/>
              </w:rPr>
            </w:pPr>
          </w:p>
        </w:tc>
        <w:tc>
          <w:tcPr>
            <w:tcW w:w="2111" w:type="pct"/>
            <w:shd w:val="clear" w:color="auto" w:fill="auto"/>
            <w:noWrap/>
          </w:tcPr>
          <w:p w14:paraId="3A678EC4" w14:textId="77777777" w:rsidR="00822E19" w:rsidRPr="00654A90" w:rsidRDefault="00822E19" w:rsidP="00822E19">
            <w:pPr>
              <w:spacing w:after="0" w:line="240" w:lineRule="auto"/>
              <w:rPr>
                <w:rFonts w:ascii="Calibri" w:eastAsia="Times New Roman" w:hAnsi="Calibri" w:cs="Calibri"/>
                <w:b/>
                <w:color w:val="000000"/>
                <w:lang w:eastAsia="en-AU"/>
              </w:rPr>
            </w:pPr>
            <w:r w:rsidRPr="00654A90">
              <w:rPr>
                <w:rFonts w:ascii="Calibri" w:eastAsia="Times New Roman" w:hAnsi="Calibri" w:cs="Calibri"/>
                <w:b/>
                <w:color w:val="000000"/>
                <w:lang w:eastAsia="en-AU"/>
              </w:rPr>
              <w:t>Effectiveness:</w:t>
            </w:r>
          </w:p>
          <w:p w14:paraId="31DCB950"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What have been the major achievements of MAMPU Phase 2, against its objectives, since its inception?</w:t>
            </w:r>
          </w:p>
          <w:p w14:paraId="7BBE102B" w14:textId="7CA20527" w:rsidR="00822E19" w:rsidRPr="002F2E52" w:rsidRDefault="00822E19" w:rsidP="00CD6F7A">
            <w:pPr>
              <w:pStyle w:val="ListParagraph"/>
              <w:numPr>
                <w:ilvl w:val="0"/>
                <w:numId w:val="22"/>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 xml:space="preserve">What have been the other major achievements including those which were unplanned and /or unexpected? </w:t>
            </w:r>
          </w:p>
          <w:p w14:paraId="457F4738" w14:textId="0A70B3D7" w:rsidR="00822E19" w:rsidRPr="002F2E52" w:rsidRDefault="00822E19" w:rsidP="00CD6F7A">
            <w:pPr>
              <w:pStyle w:val="ListParagraph"/>
              <w:numPr>
                <w:ilvl w:val="0"/>
                <w:numId w:val="22"/>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In what way have these achievements built on the previous MAMPU work?</w:t>
            </w:r>
          </w:p>
          <w:p w14:paraId="3EDC0417" w14:textId="510D0F0C" w:rsidR="00822E19" w:rsidRPr="002F2E52" w:rsidRDefault="00822E19" w:rsidP="00CD6F7A">
            <w:pPr>
              <w:pStyle w:val="ListParagraph"/>
              <w:numPr>
                <w:ilvl w:val="0"/>
                <w:numId w:val="22"/>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What significance do these achievements have for women and NGOs?</w:t>
            </w:r>
          </w:p>
          <w:p w14:paraId="1995AA8B" w14:textId="77777777" w:rsidR="00822E19" w:rsidRPr="002F2E52" w:rsidRDefault="00822E19" w:rsidP="00822E19">
            <w:pPr>
              <w:spacing w:after="0" w:line="240" w:lineRule="auto"/>
              <w:rPr>
                <w:rFonts w:ascii="Calibri" w:eastAsia="Times New Roman" w:hAnsi="Calibri" w:cs="Calibri"/>
                <w:color w:val="000000"/>
                <w:lang w:eastAsia="en-AU"/>
              </w:rPr>
            </w:pPr>
          </w:p>
          <w:p w14:paraId="1DBC5537"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What have been the areas of challenge for MAMPU Phase 2?</w:t>
            </w:r>
          </w:p>
          <w:p w14:paraId="5D1DD3BB" w14:textId="77777777" w:rsidR="00822E19" w:rsidRPr="002F2E52" w:rsidRDefault="00822E19" w:rsidP="00822E19">
            <w:pPr>
              <w:spacing w:after="0" w:line="240" w:lineRule="auto"/>
              <w:rPr>
                <w:rFonts w:ascii="Calibri" w:eastAsia="Times New Roman" w:hAnsi="Calibri" w:cs="Calibri"/>
                <w:color w:val="000000"/>
                <w:lang w:eastAsia="en-AU"/>
              </w:rPr>
            </w:pPr>
          </w:p>
          <w:p w14:paraId="5C5081FA"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 xml:space="preserve">Has MAMPU been effective from the perspective of its TOC and progress towards objectives? </w:t>
            </w:r>
          </w:p>
          <w:p w14:paraId="179733E2" w14:textId="748C8E5C" w:rsidR="00822E19" w:rsidRPr="002F2E52" w:rsidRDefault="00822E19" w:rsidP="00822E19">
            <w:pPr>
              <w:pStyle w:val="ListParagraph"/>
              <w:numPr>
                <w:ilvl w:val="0"/>
                <w:numId w:val="9"/>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What evidence is there of this progress? What areas remain for further work?</w:t>
            </w:r>
          </w:p>
          <w:p w14:paraId="1EAE1356" w14:textId="77777777" w:rsidR="00822E19" w:rsidRPr="002F2E52" w:rsidRDefault="00822E19" w:rsidP="00822E19">
            <w:pPr>
              <w:spacing w:after="0" w:line="240" w:lineRule="auto"/>
              <w:rPr>
                <w:rFonts w:ascii="Calibri" w:eastAsia="Times New Roman" w:hAnsi="Calibri" w:cs="Calibri"/>
                <w:color w:val="000000"/>
                <w:lang w:eastAsia="en-AU"/>
              </w:rPr>
            </w:pPr>
          </w:p>
          <w:p w14:paraId="1728807E"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Has MAMPU been effective from the perspective of key stakeholders (i.e. DFAT, GOI, NGO partners and CSO partners, external relevant organisations or institutions)?</w:t>
            </w:r>
          </w:p>
          <w:p w14:paraId="5DFD2E95" w14:textId="77777777" w:rsidR="00822E19" w:rsidRDefault="00822E19" w:rsidP="00822E19">
            <w:pPr>
              <w:pStyle w:val="ListParagraph"/>
              <w:numPr>
                <w:ilvl w:val="0"/>
                <w:numId w:val="9"/>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 xml:space="preserve">Is MAMPU taking up all opportunities? </w:t>
            </w:r>
          </w:p>
          <w:p w14:paraId="14DCFD96" w14:textId="73C1699A" w:rsidR="00822E19" w:rsidRPr="002F2E52" w:rsidRDefault="00822E19" w:rsidP="00822E19">
            <w:pPr>
              <w:pStyle w:val="ListParagraph"/>
              <w:numPr>
                <w:ilvl w:val="0"/>
                <w:numId w:val="9"/>
              </w:num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How has it balanced relevance and stability?</w:t>
            </w:r>
          </w:p>
        </w:tc>
        <w:tc>
          <w:tcPr>
            <w:tcW w:w="2023" w:type="pct"/>
            <w:shd w:val="clear" w:color="auto" w:fill="auto"/>
            <w:noWrap/>
          </w:tcPr>
          <w:p w14:paraId="0A460064" w14:textId="77777777" w:rsidR="00822E19" w:rsidRDefault="00822E19" w:rsidP="00822E19">
            <w:pPr>
              <w:spacing w:after="0" w:line="240" w:lineRule="auto"/>
              <w:rPr>
                <w:rFonts w:ascii="Calibri" w:eastAsia="Times New Roman" w:hAnsi="Calibri" w:cs="Calibri"/>
                <w:color w:val="000000"/>
                <w:lang w:eastAsia="en-AU"/>
              </w:rPr>
            </w:pPr>
          </w:p>
          <w:p w14:paraId="36BF0E4D" w14:textId="51A0360A"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Review of program monitoring and evaluation documentation.</w:t>
            </w:r>
          </w:p>
          <w:p w14:paraId="5A945FA9" w14:textId="77777777" w:rsidR="00822E19" w:rsidRPr="002F2E52" w:rsidRDefault="00822E19" w:rsidP="00822E19">
            <w:pPr>
              <w:spacing w:after="0" w:line="240" w:lineRule="auto"/>
              <w:rPr>
                <w:rFonts w:ascii="Calibri" w:eastAsia="Times New Roman" w:hAnsi="Calibri" w:cs="Calibri"/>
                <w:color w:val="000000"/>
                <w:lang w:eastAsia="en-AU"/>
              </w:rPr>
            </w:pPr>
          </w:p>
          <w:p w14:paraId="0926BF5F"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 xml:space="preserve">Review of program strategic planning and management documentation </w:t>
            </w:r>
          </w:p>
          <w:p w14:paraId="2E886559" w14:textId="77777777" w:rsidR="00822E19" w:rsidRPr="002F2E52" w:rsidRDefault="00822E19" w:rsidP="00822E19">
            <w:pPr>
              <w:spacing w:after="0" w:line="240" w:lineRule="auto"/>
              <w:rPr>
                <w:rFonts w:ascii="Calibri" w:eastAsia="Times New Roman" w:hAnsi="Calibri" w:cs="Calibri"/>
                <w:color w:val="000000"/>
                <w:lang w:eastAsia="en-AU"/>
              </w:rPr>
            </w:pPr>
          </w:p>
          <w:p w14:paraId="41A4C5E6"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Participation in and observation of COR.</w:t>
            </w:r>
          </w:p>
          <w:p w14:paraId="6948D5BB" w14:textId="77777777" w:rsidR="00822E19" w:rsidRPr="002F2E52" w:rsidRDefault="00822E19" w:rsidP="00822E19">
            <w:pPr>
              <w:spacing w:after="0" w:line="240" w:lineRule="auto"/>
              <w:rPr>
                <w:rFonts w:ascii="Calibri" w:eastAsia="Times New Roman" w:hAnsi="Calibri" w:cs="Calibri"/>
                <w:color w:val="000000"/>
                <w:lang w:eastAsia="en-AU"/>
              </w:rPr>
            </w:pPr>
          </w:p>
          <w:p w14:paraId="2A3C4439" w14:textId="77777777" w:rsidR="00822E19" w:rsidRPr="002F2E52" w:rsidRDefault="00822E19" w:rsidP="00822E19">
            <w:pPr>
              <w:spacing w:after="0" w:line="240" w:lineRule="auto"/>
              <w:rPr>
                <w:rFonts w:ascii="Calibri" w:eastAsia="Times New Roman" w:hAnsi="Calibri" w:cs="Calibri"/>
                <w:color w:val="000000"/>
                <w:lang w:eastAsia="en-AU"/>
              </w:rPr>
            </w:pPr>
            <w:r w:rsidRPr="002F2E52">
              <w:rPr>
                <w:rFonts w:ascii="Calibri" w:eastAsia="Times New Roman" w:hAnsi="Calibri" w:cs="Calibri"/>
                <w:color w:val="000000"/>
                <w:lang w:eastAsia="en-AU"/>
              </w:rPr>
              <w:t xml:space="preserve">Verification interviews and focus group discussions with MAMPU partners and their members. </w:t>
            </w:r>
          </w:p>
          <w:p w14:paraId="7CF91B63" w14:textId="77777777" w:rsidR="00822E19" w:rsidRDefault="00822E19" w:rsidP="00822E19">
            <w:pPr>
              <w:spacing w:after="0" w:line="240" w:lineRule="auto"/>
              <w:rPr>
                <w:rFonts w:ascii="Calibri" w:eastAsia="Times New Roman" w:hAnsi="Calibri" w:cs="Calibri"/>
                <w:color w:val="000000"/>
                <w:lang w:eastAsia="en-AU"/>
              </w:rPr>
            </w:pPr>
          </w:p>
        </w:tc>
      </w:tr>
      <w:tr w:rsidR="00822E19" w:rsidRPr="00FC2923" w14:paraId="36480A1A" w14:textId="77777777" w:rsidTr="00654A90">
        <w:trPr>
          <w:trHeight w:val="2744"/>
        </w:trPr>
        <w:tc>
          <w:tcPr>
            <w:tcW w:w="866" w:type="pct"/>
            <w:shd w:val="clear" w:color="auto" w:fill="auto"/>
          </w:tcPr>
          <w:p w14:paraId="4FD11A55" w14:textId="77777777" w:rsidR="00822E19" w:rsidRPr="00C606F5" w:rsidRDefault="00822E19" w:rsidP="00822E19">
            <w:pPr>
              <w:rPr>
                <w:i/>
              </w:rPr>
            </w:pPr>
          </w:p>
        </w:tc>
        <w:tc>
          <w:tcPr>
            <w:tcW w:w="2111" w:type="pct"/>
            <w:shd w:val="clear" w:color="auto" w:fill="auto"/>
            <w:noWrap/>
          </w:tcPr>
          <w:p w14:paraId="65C269AE" w14:textId="77777777" w:rsidR="00822E19" w:rsidRPr="00206BEE" w:rsidRDefault="00822E19" w:rsidP="00822E19">
            <w:pPr>
              <w:spacing w:after="0" w:line="240" w:lineRule="auto"/>
              <w:rPr>
                <w:rFonts w:ascii="Calibri" w:eastAsia="Times New Roman" w:hAnsi="Calibri" w:cs="Calibri"/>
                <w:b/>
                <w:color w:val="000000"/>
                <w:lang w:eastAsia="en-AU"/>
              </w:rPr>
            </w:pPr>
            <w:r w:rsidRPr="00206BEE">
              <w:rPr>
                <w:rFonts w:ascii="Calibri" w:eastAsia="Times New Roman" w:hAnsi="Calibri" w:cs="Calibri"/>
                <w:b/>
                <w:color w:val="000000"/>
                <w:lang w:eastAsia="en-AU"/>
              </w:rPr>
              <w:t>Relevance</w:t>
            </w:r>
          </w:p>
          <w:p w14:paraId="6E5D2C33"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What have been the major changes in context for women’s equality in Indonesia in the past five years? </w:t>
            </w:r>
          </w:p>
          <w:p w14:paraId="07758143" w14:textId="77777777" w:rsidR="00822E19" w:rsidRDefault="00822E19" w:rsidP="00822E19">
            <w:pPr>
              <w:pStyle w:val="ListParagraph"/>
              <w:numPr>
                <w:ilvl w:val="0"/>
                <w:numId w:val="7"/>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What challenges are now most pressing? </w:t>
            </w:r>
          </w:p>
          <w:p w14:paraId="41ECADFF" w14:textId="77777777" w:rsidR="00822E19" w:rsidRPr="00206BEE" w:rsidRDefault="00822E19" w:rsidP="00822E19">
            <w:pPr>
              <w:pStyle w:val="ListParagraph"/>
              <w:numPr>
                <w:ilvl w:val="0"/>
                <w:numId w:val="7"/>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How has MAMPU adapted to support its partners to meet these challenges?</w:t>
            </w:r>
          </w:p>
          <w:p w14:paraId="2FDBF47E" w14:textId="77777777" w:rsidR="00822E19" w:rsidRDefault="00822E19" w:rsidP="00822E19">
            <w:pPr>
              <w:pStyle w:val="ListParagraph"/>
              <w:spacing w:after="0" w:line="240" w:lineRule="auto"/>
              <w:rPr>
                <w:rFonts w:ascii="Calibri" w:eastAsia="Times New Roman" w:hAnsi="Calibri" w:cs="Calibri"/>
                <w:color w:val="000000"/>
                <w:lang w:eastAsia="en-AU"/>
              </w:rPr>
            </w:pPr>
          </w:p>
          <w:p w14:paraId="243F4BFC"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effectively has MAMPU supported GOI in delivering its policies (particularly, but not limited to, those relating to gender equality and women’s empowerment) and achieving its SDG-related objectives? </w:t>
            </w:r>
          </w:p>
          <w:p w14:paraId="2B52BD98" w14:textId="77777777" w:rsidR="00822E19" w:rsidRDefault="00822E19" w:rsidP="00822E19">
            <w:pPr>
              <w:pStyle w:val="ListParagraph"/>
              <w:numPr>
                <w:ilvl w:val="0"/>
                <w:numId w:val="7"/>
              </w:num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How has MAMPU supported particular National program such as those under the direction of the Ministry of Women and Child Empowerment.</w:t>
            </w:r>
          </w:p>
          <w:p w14:paraId="204028CB" w14:textId="77777777" w:rsidR="00822E19" w:rsidRDefault="00822E19" w:rsidP="00822E19">
            <w:pPr>
              <w:pStyle w:val="ListParagraph"/>
              <w:numPr>
                <w:ilvl w:val="0"/>
                <w:numId w:val="7"/>
              </w:num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What evidence is there that GOI has utilised the learning and examples from MAMPU in its approaches to service delivery and/or policy implementation?</w:t>
            </w:r>
          </w:p>
          <w:p w14:paraId="5869AC8A" w14:textId="77777777" w:rsidR="00822E19" w:rsidRPr="00206BEE" w:rsidRDefault="00822E19" w:rsidP="00822E19">
            <w:pPr>
              <w:pStyle w:val="ListParagraph"/>
              <w:numPr>
                <w:ilvl w:val="1"/>
                <w:numId w:val="7"/>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Which GOI ministries or departments have utilised MAMPU lessons and policy inputs?  </w:t>
            </w:r>
          </w:p>
          <w:p w14:paraId="690D1E32" w14:textId="77777777" w:rsidR="00822E19" w:rsidRDefault="00822E19" w:rsidP="00822E19">
            <w:pPr>
              <w:pStyle w:val="ListParagraph"/>
              <w:numPr>
                <w:ilvl w:val="1"/>
                <w:numId w:val="7"/>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Are there other Ministries where MAMPU would be relevant?</w:t>
            </w:r>
            <w:r w:rsidRPr="001F4B9F">
              <w:rPr>
                <w:rFonts w:ascii="Calibri" w:eastAsia="Times New Roman" w:hAnsi="Calibri" w:cs="Calibri"/>
                <w:color w:val="000000"/>
                <w:lang w:eastAsia="en-AU"/>
              </w:rPr>
              <w:t xml:space="preserve"> </w:t>
            </w:r>
          </w:p>
          <w:p w14:paraId="374C4BDE" w14:textId="77777777" w:rsidR="00822E19" w:rsidRPr="00206BEE" w:rsidRDefault="00822E19" w:rsidP="00822E19">
            <w:pPr>
              <w:pStyle w:val="ListParagraph"/>
              <w:numPr>
                <w:ilvl w:val="1"/>
                <w:numId w:val="7"/>
              </w:numPr>
              <w:spacing w:after="0" w:line="240" w:lineRule="auto"/>
              <w:rPr>
                <w:rFonts w:ascii="Calibri" w:eastAsia="Times New Roman" w:hAnsi="Calibri" w:cs="Calibri"/>
                <w:color w:val="000000"/>
                <w:lang w:eastAsia="en-AU"/>
              </w:rPr>
            </w:pPr>
            <w:r w:rsidRPr="001F4B9F">
              <w:rPr>
                <w:rFonts w:ascii="Calibri" w:eastAsia="Times New Roman" w:hAnsi="Calibri" w:cs="Calibri"/>
                <w:color w:val="000000"/>
                <w:lang w:eastAsia="en-AU"/>
              </w:rPr>
              <w:t>At what level of Government are they relevant?</w:t>
            </w:r>
          </w:p>
          <w:p w14:paraId="0507461D" w14:textId="77777777" w:rsidR="00822E19" w:rsidRPr="00206BEE" w:rsidRDefault="00822E19" w:rsidP="00822E19">
            <w:pPr>
              <w:pStyle w:val="ListParagraph"/>
              <w:numPr>
                <w:ilvl w:val="0"/>
                <w:numId w:val="7"/>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What are the lessons for future polices/</w:t>
            </w:r>
            <w:r>
              <w:rPr>
                <w:rFonts w:ascii="Calibri" w:eastAsia="Times New Roman" w:hAnsi="Calibri" w:cs="Calibri"/>
                <w:color w:val="000000"/>
                <w:lang w:eastAsia="en-AU"/>
              </w:rPr>
              <w:t xml:space="preserve"> </w:t>
            </w:r>
            <w:r w:rsidRPr="00206BEE">
              <w:rPr>
                <w:rFonts w:ascii="Calibri" w:eastAsia="Times New Roman" w:hAnsi="Calibri" w:cs="Calibri"/>
                <w:color w:val="000000"/>
                <w:lang w:eastAsia="en-AU"/>
              </w:rPr>
              <w:t>programs?</w:t>
            </w:r>
          </w:p>
          <w:p w14:paraId="03197E70" w14:textId="77777777" w:rsidR="00822E19" w:rsidRDefault="00822E19" w:rsidP="00822E19">
            <w:pPr>
              <w:spacing w:after="0" w:line="240" w:lineRule="auto"/>
              <w:rPr>
                <w:rFonts w:ascii="Calibri" w:eastAsia="Times New Roman" w:hAnsi="Calibri" w:cs="Calibri"/>
                <w:color w:val="000000"/>
                <w:lang w:eastAsia="en-AU"/>
              </w:rPr>
            </w:pPr>
          </w:p>
          <w:p w14:paraId="04142F23"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does MAMPU manage variation in GOI priorities (if any) across and between national and sub-national levels of government? </w:t>
            </w:r>
          </w:p>
          <w:p w14:paraId="1560F7C9" w14:textId="0509C89F" w:rsidR="00822E19" w:rsidRDefault="00822E19" w:rsidP="00822E19">
            <w:pPr>
              <w:spacing w:after="0" w:line="240" w:lineRule="auto"/>
              <w:ind w:left="720"/>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In what ways has changing decentralisation policy impacted the program TOC and opportunities for MAMPU? </w:t>
            </w:r>
          </w:p>
          <w:p w14:paraId="63623455" w14:textId="46EB0D1A" w:rsidR="00822E19" w:rsidRDefault="00822E19" w:rsidP="00822E19">
            <w:pPr>
              <w:spacing w:after="0" w:line="240" w:lineRule="auto"/>
              <w:ind w:left="720"/>
              <w:rPr>
                <w:rFonts w:ascii="Calibri" w:eastAsia="Times New Roman" w:hAnsi="Calibri" w:cs="Calibri"/>
                <w:color w:val="000000"/>
                <w:lang w:eastAsia="en-AU"/>
              </w:rPr>
            </w:pPr>
          </w:p>
          <w:p w14:paraId="0EBE1CF4"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has MAMPU supported CSO partners in meeting their various advocacy and/or programmatic priorities, particularly in terms of influencing GOI policy, planning and budgeting? </w:t>
            </w:r>
          </w:p>
          <w:p w14:paraId="2E6982ED" w14:textId="77777777" w:rsidR="00822E19" w:rsidRPr="00206BEE" w:rsidRDefault="00822E19" w:rsidP="00822E19">
            <w:pPr>
              <w:pStyle w:val="ListParagraph"/>
              <w:numPr>
                <w:ilvl w:val="0"/>
                <w:numId w:val="8"/>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What are the processes and procedures which work most effectively in MAMPU and partner relations? </w:t>
            </w:r>
          </w:p>
          <w:p w14:paraId="20D0801D" w14:textId="77777777" w:rsidR="00822E19" w:rsidRPr="00206BEE" w:rsidRDefault="00822E19" w:rsidP="00822E19">
            <w:pPr>
              <w:pStyle w:val="ListParagraph"/>
              <w:numPr>
                <w:ilvl w:val="0"/>
                <w:numId w:val="8"/>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Where are areas for improvement? </w:t>
            </w:r>
          </w:p>
          <w:p w14:paraId="42627C1B" w14:textId="79CF8CFB" w:rsidR="00822E19" w:rsidRDefault="00822E19" w:rsidP="00822E19">
            <w:pPr>
              <w:spacing w:after="0" w:line="240" w:lineRule="auto"/>
              <w:ind w:left="720"/>
              <w:rPr>
                <w:rFonts w:ascii="Calibri" w:eastAsia="Times New Roman" w:hAnsi="Calibri" w:cs="Calibri"/>
                <w:color w:val="000000"/>
                <w:lang w:eastAsia="en-AU"/>
              </w:rPr>
            </w:pPr>
            <w:r w:rsidRPr="00177540">
              <w:rPr>
                <w:rFonts w:ascii="Calibri" w:eastAsia="Times New Roman" w:hAnsi="Calibri" w:cs="Calibri"/>
                <w:color w:val="000000"/>
                <w:lang w:eastAsia="en-AU"/>
              </w:rPr>
              <w:t>How has MAMPU managed any tensions between the objectives of CSO partners and GOI?</w:t>
            </w:r>
          </w:p>
          <w:p w14:paraId="23EC15E8" w14:textId="77777777" w:rsidR="00822E19" w:rsidRPr="00A5553F" w:rsidRDefault="00822E19" w:rsidP="00822E19">
            <w:pPr>
              <w:spacing w:after="0" w:line="240" w:lineRule="auto"/>
              <w:rPr>
                <w:rFonts w:ascii="Calibri" w:eastAsia="Times New Roman" w:hAnsi="Calibri" w:cs="Calibri"/>
                <w:b/>
                <w:color w:val="000000"/>
                <w:lang w:eastAsia="en-AU"/>
              </w:rPr>
            </w:pPr>
          </w:p>
        </w:tc>
        <w:tc>
          <w:tcPr>
            <w:tcW w:w="2023" w:type="pct"/>
            <w:shd w:val="clear" w:color="auto" w:fill="auto"/>
            <w:noWrap/>
          </w:tcPr>
          <w:p w14:paraId="67F557FF" w14:textId="77777777" w:rsidR="00822E19" w:rsidRDefault="00822E19" w:rsidP="00822E19">
            <w:pPr>
              <w:spacing w:after="0" w:line="240" w:lineRule="auto"/>
              <w:rPr>
                <w:rFonts w:ascii="Calibri" w:eastAsia="Times New Roman" w:hAnsi="Calibri" w:cs="Calibri"/>
                <w:color w:val="000000"/>
                <w:lang w:eastAsia="en-AU"/>
              </w:rPr>
            </w:pPr>
          </w:p>
          <w:p w14:paraId="1494B753" w14:textId="2692C752"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Review of relevant research and documentation.</w:t>
            </w:r>
          </w:p>
          <w:p w14:paraId="2849B46F" w14:textId="77777777" w:rsidR="00822E19" w:rsidRPr="00112DB5" w:rsidRDefault="00822E19" w:rsidP="00822E19">
            <w:pPr>
              <w:spacing w:after="0" w:line="240" w:lineRule="auto"/>
              <w:rPr>
                <w:rFonts w:ascii="Calibri" w:eastAsia="Times New Roman" w:hAnsi="Calibri" w:cs="Calibri"/>
                <w:color w:val="000000"/>
                <w:lang w:eastAsia="en-AU"/>
              </w:rPr>
            </w:pPr>
          </w:p>
          <w:p w14:paraId="2E9BD287"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Policy analysis </w:t>
            </w:r>
          </w:p>
          <w:p w14:paraId="2AE85478" w14:textId="77777777" w:rsidR="00822E19" w:rsidRPr="00112DB5" w:rsidRDefault="00822E19" w:rsidP="00822E19">
            <w:pPr>
              <w:spacing w:after="0" w:line="240" w:lineRule="auto"/>
              <w:rPr>
                <w:rFonts w:ascii="Calibri" w:eastAsia="Times New Roman" w:hAnsi="Calibri" w:cs="Calibri"/>
                <w:color w:val="000000"/>
                <w:lang w:eastAsia="en-AU"/>
              </w:rPr>
            </w:pPr>
          </w:p>
          <w:p w14:paraId="2DFD47C0" w14:textId="77777777" w:rsidR="00822E19" w:rsidRDefault="00822E19" w:rsidP="00822E19">
            <w:pPr>
              <w:pStyle w:val="CommentTex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Key i</w:t>
            </w:r>
            <w:r w:rsidRPr="00937F8A">
              <w:rPr>
                <w:rFonts w:ascii="Calibri" w:eastAsia="Times New Roman" w:hAnsi="Calibri" w:cs="Calibri"/>
                <w:color w:val="000000"/>
                <w:sz w:val="22"/>
                <w:szCs w:val="22"/>
                <w:lang w:eastAsia="en-AU"/>
              </w:rPr>
              <w:t>nformant interviews with relevant women’s organisations and research institutions in Indonesia (</w:t>
            </w:r>
            <w:r w:rsidRPr="00937F8A">
              <w:rPr>
                <w:sz w:val="22"/>
                <w:szCs w:val="22"/>
              </w:rPr>
              <w:t>Jurnal Pe</w:t>
            </w:r>
            <w:r>
              <w:rPr>
                <w:sz w:val="22"/>
                <w:szCs w:val="22"/>
              </w:rPr>
              <w:t>rempuan, SMERU, Cakra Wikara, UN</w:t>
            </w:r>
            <w:r w:rsidRPr="00937F8A">
              <w:rPr>
                <w:sz w:val="22"/>
                <w:szCs w:val="22"/>
              </w:rPr>
              <w:t xml:space="preserve"> Women Studies</w:t>
            </w:r>
            <w:r w:rsidRPr="00937F8A">
              <w:rPr>
                <w:rFonts w:ascii="Calibri" w:eastAsia="Times New Roman" w:hAnsi="Calibri" w:cs="Calibri"/>
                <w:color w:val="000000"/>
                <w:sz w:val="22"/>
                <w:szCs w:val="22"/>
                <w:lang w:eastAsia="en-AU"/>
              </w:rPr>
              <w:t xml:space="preserve"> Informant)</w:t>
            </w:r>
            <w:r>
              <w:rPr>
                <w:rFonts w:ascii="Calibri" w:eastAsia="Times New Roman" w:hAnsi="Calibri" w:cs="Calibri"/>
                <w:color w:val="000000"/>
                <w:sz w:val="22"/>
                <w:szCs w:val="22"/>
                <w:lang w:eastAsia="en-AU"/>
              </w:rPr>
              <w:t>.</w:t>
            </w:r>
          </w:p>
          <w:p w14:paraId="68B66784"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Informant interviews with MAMPU partner NGOs.</w:t>
            </w:r>
          </w:p>
          <w:p w14:paraId="38AE19D5" w14:textId="77777777" w:rsidR="00822E19" w:rsidRPr="00112DB5" w:rsidRDefault="00822E19" w:rsidP="00822E19">
            <w:pPr>
              <w:spacing w:after="0" w:line="240" w:lineRule="auto"/>
              <w:rPr>
                <w:rFonts w:ascii="Calibri" w:eastAsia="Times New Roman" w:hAnsi="Calibri" w:cs="Calibri"/>
                <w:color w:val="000000"/>
                <w:lang w:eastAsia="en-AU"/>
              </w:rPr>
            </w:pPr>
          </w:p>
          <w:p w14:paraId="0A21C2EB"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Informant interviews with MAMPU management</w:t>
            </w:r>
            <w:r>
              <w:rPr>
                <w:rFonts w:ascii="Calibri" w:eastAsia="Times New Roman" w:hAnsi="Calibri" w:cs="Calibri"/>
                <w:color w:val="000000"/>
                <w:lang w:eastAsia="en-AU"/>
              </w:rPr>
              <w:t>.</w:t>
            </w:r>
          </w:p>
          <w:p w14:paraId="4C3F703C" w14:textId="77777777" w:rsidR="00822E19" w:rsidRDefault="00822E19" w:rsidP="00822E19">
            <w:pPr>
              <w:spacing w:after="0" w:line="240" w:lineRule="auto"/>
              <w:rPr>
                <w:rFonts w:ascii="Calibri" w:eastAsia="Times New Roman" w:hAnsi="Calibri" w:cs="Calibri"/>
                <w:color w:val="000000"/>
                <w:lang w:eastAsia="en-AU"/>
              </w:rPr>
            </w:pPr>
          </w:p>
          <w:p w14:paraId="38C196D9"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Informant interviews with Gov</w:t>
            </w:r>
            <w:r>
              <w:rPr>
                <w:rFonts w:ascii="Calibri" w:eastAsia="Times New Roman" w:hAnsi="Calibri" w:cs="Calibri"/>
                <w:color w:val="000000"/>
                <w:lang w:eastAsia="en-AU"/>
              </w:rPr>
              <w:t>ernment of Indonesia personnel:</w:t>
            </w:r>
          </w:p>
          <w:p w14:paraId="75C4CFA1" w14:textId="77777777" w:rsidR="00822E19" w:rsidRDefault="00822E19" w:rsidP="00822E19">
            <w:pPr>
              <w:pStyle w:val="ListParagraph"/>
              <w:numPr>
                <w:ilvl w:val="0"/>
                <w:numId w:val="10"/>
              </w:numPr>
              <w:spacing w:after="0" w:line="240" w:lineRule="auto"/>
              <w:rPr>
                <w:rFonts w:ascii="Calibri" w:eastAsia="Times New Roman" w:hAnsi="Calibri" w:cs="Calibri"/>
                <w:color w:val="000000"/>
                <w:lang w:eastAsia="en-AU"/>
              </w:rPr>
            </w:pPr>
            <w:r w:rsidRPr="00177540">
              <w:rPr>
                <w:rFonts w:ascii="Calibri" w:eastAsia="Times New Roman" w:hAnsi="Calibri" w:cs="Calibri"/>
                <w:color w:val="000000"/>
                <w:lang w:eastAsia="en-AU"/>
              </w:rPr>
              <w:t xml:space="preserve">BAPPENAS, </w:t>
            </w:r>
          </w:p>
          <w:p w14:paraId="1A5E5AA9" w14:textId="77777777" w:rsidR="00822E19" w:rsidRDefault="00822E19" w:rsidP="00822E19">
            <w:pPr>
              <w:pStyle w:val="ListParagraph"/>
              <w:numPr>
                <w:ilvl w:val="0"/>
                <w:numId w:val="10"/>
              </w:num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w:t>
            </w:r>
            <w:r w:rsidRPr="00177540">
              <w:rPr>
                <w:rFonts w:ascii="Calibri" w:eastAsia="Times New Roman" w:hAnsi="Calibri" w:cs="Calibri"/>
                <w:color w:val="000000"/>
                <w:lang w:eastAsia="en-AU"/>
              </w:rPr>
              <w:t xml:space="preserve">ther government departments </w:t>
            </w:r>
            <w:r>
              <w:rPr>
                <w:rFonts w:ascii="Calibri" w:eastAsia="Times New Roman" w:hAnsi="Calibri" w:cs="Calibri"/>
                <w:color w:val="000000"/>
                <w:lang w:eastAsia="en-AU"/>
              </w:rPr>
              <w:t xml:space="preserve">where MAMPUs approach is relevant, </w:t>
            </w:r>
            <w:r w:rsidRPr="00177540">
              <w:rPr>
                <w:rFonts w:ascii="Calibri" w:eastAsia="Times New Roman" w:hAnsi="Calibri" w:cs="Calibri"/>
                <w:color w:val="000000"/>
                <w:lang w:eastAsia="en-AU"/>
              </w:rPr>
              <w:t xml:space="preserve">such as Ministry of Women’s Empowerment and Child Protection, </w:t>
            </w:r>
            <w:r>
              <w:rPr>
                <w:rFonts w:ascii="Calibri" w:eastAsia="Times New Roman" w:hAnsi="Calibri" w:cs="Calibri"/>
                <w:color w:val="000000"/>
                <w:lang w:eastAsia="en-AU"/>
              </w:rPr>
              <w:t xml:space="preserve">Ministry of Rural Development. </w:t>
            </w:r>
          </w:p>
          <w:p w14:paraId="331135C1" w14:textId="30C8D2F2" w:rsidR="00822E19" w:rsidRDefault="00822E19" w:rsidP="00822E1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w:t>
            </w:r>
            <w:r w:rsidRPr="00177540">
              <w:rPr>
                <w:rFonts w:ascii="Calibri" w:eastAsia="Times New Roman" w:hAnsi="Calibri" w:cs="Calibri"/>
                <w:color w:val="000000"/>
                <w:lang w:eastAsia="en-AU"/>
              </w:rPr>
              <w:t>ther government departments where MAMPU policies are directly relevant</w:t>
            </w:r>
            <w:r>
              <w:rPr>
                <w:rFonts w:ascii="Calibri" w:eastAsia="Times New Roman" w:hAnsi="Calibri" w:cs="Calibri"/>
                <w:color w:val="000000"/>
                <w:lang w:eastAsia="en-AU"/>
              </w:rPr>
              <w:t xml:space="preserve">, such as </w:t>
            </w:r>
            <w:r>
              <w:t>PMK (Coordinating Ministry of Human and Culture Development), KSP (Presidential Staff Office), Ministry of Social Affairs, TNP2K (National Team for Accelerating Poverty Reduction), Ministry of Health, Ministry of Home Affairs</w:t>
            </w:r>
            <w:r w:rsidRPr="00177540">
              <w:rPr>
                <w:rFonts w:ascii="Calibri" w:eastAsia="Times New Roman" w:hAnsi="Calibri" w:cs="Calibri"/>
                <w:color w:val="000000"/>
                <w:lang w:eastAsia="en-AU"/>
              </w:rPr>
              <w:t>.</w:t>
            </w:r>
          </w:p>
        </w:tc>
      </w:tr>
      <w:tr w:rsidR="00822E19" w:rsidRPr="00FC2923" w14:paraId="69B23E61" w14:textId="77777777" w:rsidTr="00176F59">
        <w:trPr>
          <w:trHeight w:val="2744"/>
        </w:trPr>
        <w:tc>
          <w:tcPr>
            <w:tcW w:w="866" w:type="pct"/>
            <w:shd w:val="clear" w:color="auto" w:fill="auto"/>
          </w:tcPr>
          <w:p w14:paraId="559F95A4" w14:textId="77777777" w:rsidR="00822E19" w:rsidRPr="00C606F5" w:rsidRDefault="00822E19" w:rsidP="00822E19">
            <w:pPr>
              <w:rPr>
                <w:i/>
              </w:rPr>
            </w:pPr>
          </w:p>
        </w:tc>
        <w:tc>
          <w:tcPr>
            <w:tcW w:w="2111" w:type="pct"/>
            <w:shd w:val="clear" w:color="auto" w:fill="auto"/>
            <w:noWrap/>
          </w:tcPr>
          <w:p w14:paraId="0381ECC4" w14:textId="77777777" w:rsidR="00822E19" w:rsidRPr="00937F8A" w:rsidRDefault="00822E19" w:rsidP="00822E19">
            <w:pPr>
              <w:spacing w:after="0" w:line="240" w:lineRule="auto"/>
              <w:rPr>
                <w:rFonts w:ascii="Calibri" w:eastAsia="Times New Roman" w:hAnsi="Calibri" w:cs="Calibri"/>
                <w:b/>
                <w:color w:val="000000"/>
                <w:lang w:eastAsia="en-AU"/>
              </w:rPr>
            </w:pPr>
            <w:r w:rsidRPr="00937F8A">
              <w:rPr>
                <w:rFonts w:ascii="Calibri" w:eastAsia="Times New Roman" w:hAnsi="Calibri" w:cs="Calibri"/>
                <w:b/>
                <w:color w:val="000000"/>
                <w:lang w:eastAsia="en-AU"/>
              </w:rPr>
              <w:t>Future considerations</w:t>
            </w:r>
          </w:p>
          <w:p w14:paraId="2A64D80C"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Does GOI still find MAMPU’s five Thematic Areas relevant and appropriate for improving gender equality and women’s empowerment in Indonesia?</w:t>
            </w:r>
          </w:p>
          <w:p w14:paraId="79C10AB7" w14:textId="77777777" w:rsidR="00822E19" w:rsidRDefault="00822E19" w:rsidP="00822E19">
            <w:pPr>
              <w:pStyle w:val="ListParagraph"/>
              <w:numPr>
                <w:ilvl w:val="0"/>
                <w:numId w:val="9"/>
              </w:numPr>
              <w:spacing w:after="0" w:line="240" w:lineRule="auto"/>
              <w:rPr>
                <w:rFonts w:ascii="Calibri" w:eastAsia="Times New Roman" w:hAnsi="Calibri" w:cs="Calibri"/>
                <w:color w:val="000000"/>
                <w:lang w:eastAsia="en-AU"/>
              </w:rPr>
            </w:pPr>
            <w:r w:rsidRPr="00206BEE">
              <w:rPr>
                <w:rFonts w:ascii="Calibri" w:eastAsia="Times New Roman" w:hAnsi="Calibri" w:cs="Calibri"/>
                <w:color w:val="000000"/>
                <w:lang w:eastAsia="en-AU"/>
              </w:rPr>
              <w:t xml:space="preserve">What has been the wider progress in these areas across Indonesia and how does this impact the positioning for MAMPU? </w:t>
            </w:r>
          </w:p>
          <w:p w14:paraId="7DC4FDD2" w14:textId="77777777" w:rsidR="00822E19" w:rsidRDefault="00822E19" w:rsidP="00822E19">
            <w:pPr>
              <w:spacing w:after="0" w:line="240" w:lineRule="auto"/>
              <w:rPr>
                <w:rFonts w:ascii="Calibri" w:eastAsia="Times New Roman" w:hAnsi="Calibri" w:cs="Calibri"/>
                <w:color w:val="000000"/>
                <w:lang w:eastAsia="en-AU"/>
              </w:rPr>
            </w:pPr>
          </w:p>
          <w:p w14:paraId="094A5E7F"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What changes in GOI policy or approach are likely in the next two years? </w:t>
            </w:r>
          </w:p>
          <w:p w14:paraId="663CA81E" w14:textId="0517F5B2" w:rsidR="00822E19" w:rsidRPr="00A5553F" w:rsidRDefault="00822E19" w:rsidP="00822E19">
            <w:pPr>
              <w:spacing w:after="0" w:line="240" w:lineRule="auto"/>
              <w:rPr>
                <w:rFonts w:ascii="Calibri" w:eastAsia="Times New Roman" w:hAnsi="Calibri" w:cs="Calibri"/>
                <w:b/>
                <w:color w:val="000000"/>
                <w:lang w:eastAsia="en-AU"/>
              </w:rPr>
            </w:pPr>
            <w:r w:rsidRPr="00206BEE">
              <w:rPr>
                <w:rFonts w:ascii="Calibri" w:eastAsia="Times New Roman" w:hAnsi="Calibri" w:cs="Calibri"/>
                <w:color w:val="000000"/>
                <w:lang w:eastAsia="en-AU"/>
              </w:rPr>
              <w:t>Is MAMPU positioned to respond to these likely changes?</w:t>
            </w:r>
          </w:p>
        </w:tc>
        <w:tc>
          <w:tcPr>
            <w:tcW w:w="2023" w:type="pct"/>
            <w:shd w:val="clear" w:color="auto" w:fill="auto"/>
            <w:noWrap/>
          </w:tcPr>
          <w:p w14:paraId="76504E80" w14:textId="77777777" w:rsidR="00822E19" w:rsidRDefault="00822E19" w:rsidP="00822E19">
            <w:pPr>
              <w:spacing w:after="0" w:line="240" w:lineRule="auto"/>
              <w:rPr>
                <w:rFonts w:ascii="Calibri" w:eastAsia="Times New Roman" w:hAnsi="Calibri" w:cs="Calibri"/>
                <w:color w:val="000000"/>
                <w:lang w:eastAsia="en-AU"/>
              </w:rPr>
            </w:pPr>
          </w:p>
          <w:p w14:paraId="6666F028"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Informant interviews with Gov</w:t>
            </w:r>
            <w:r>
              <w:rPr>
                <w:rFonts w:ascii="Calibri" w:eastAsia="Times New Roman" w:hAnsi="Calibri" w:cs="Calibri"/>
                <w:color w:val="000000"/>
                <w:lang w:eastAsia="en-AU"/>
              </w:rPr>
              <w:t>ernment of Indonesia personnel:</w:t>
            </w:r>
          </w:p>
          <w:p w14:paraId="16181AF5" w14:textId="77777777" w:rsidR="00822E19" w:rsidRDefault="00822E19" w:rsidP="00822E19">
            <w:pPr>
              <w:pStyle w:val="ListParagraph"/>
              <w:numPr>
                <w:ilvl w:val="0"/>
                <w:numId w:val="10"/>
              </w:numPr>
              <w:spacing w:after="0" w:line="240" w:lineRule="auto"/>
              <w:rPr>
                <w:rFonts w:ascii="Calibri" w:eastAsia="Times New Roman" w:hAnsi="Calibri" w:cs="Calibri"/>
                <w:color w:val="000000"/>
                <w:lang w:eastAsia="en-AU"/>
              </w:rPr>
            </w:pPr>
            <w:r w:rsidRPr="00177540">
              <w:rPr>
                <w:rFonts w:ascii="Calibri" w:eastAsia="Times New Roman" w:hAnsi="Calibri" w:cs="Calibri"/>
                <w:color w:val="000000"/>
                <w:lang w:eastAsia="en-AU"/>
              </w:rPr>
              <w:t xml:space="preserve">BAPPENAS, </w:t>
            </w:r>
          </w:p>
          <w:p w14:paraId="35CED61D" w14:textId="77777777" w:rsidR="00822E19" w:rsidRDefault="00822E19" w:rsidP="00822E19">
            <w:pPr>
              <w:pStyle w:val="ListParagraph"/>
              <w:numPr>
                <w:ilvl w:val="0"/>
                <w:numId w:val="10"/>
              </w:num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w:t>
            </w:r>
            <w:r w:rsidRPr="00177540">
              <w:rPr>
                <w:rFonts w:ascii="Calibri" w:eastAsia="Times New Roman" w:hAnsi="Calibri" w:cs="Calibri"/>
                <w:color w:val="000000"/>
                <w:lang w:eastAsia="en-AU"/>
              </w:rPr>
              <w:t xml:space="preserve">ther government departments </w:t>
            </w:r>
            <w:r>
              <w:rPr>
                <w:rFonts w:ascii="Calibri" w:eastAsia="Times New Roman" w:hAnsi="Calibri" w:cs="Calibri"/>
                <w:color w:val="000000"/>
                <w:lang w:eastAsia="en-AU"/>
              </w:rPr>
              <w:t xml:space="preserve">where MAMPUs approach is relevant, </w:t>
            </w:r>
            <w:r w:rsidRPr="00177540">
              <w:rPr>
                <w:rFonts w:ascii="Calibri" w:eastAsia="Times New Roman" w:hAnsi="Calibri" w:cs="Calibri"/>
                <w:color w:val="000000"/>
                <w:lang w:eastAsia="en-AU"/>
              </w:rPr>
              <w:t xml:space="preserve">such as Ministry of Women’s Empowerment and Child Protection, </w:t>
            </w:r>
            <w:r>
              <w:rPr>
                <w:rFonts w:ascii="Calibri" w:eastAsia="Times New Roman" w:hAnsi="Calibri" w:cs="Calibri"/>
                <w:color w:val="000000"/>
                <w:lang w:eastAsia="en-AU"/>
              </w:rPr>
              <w:t xml:space="preserve">Ministry of Rural Development. </w:t>
            </w:r>
          </w:p>
          <w:p w14:paraId="5AF8D759" w14:textId="77777777" w:rsidR="00822E19" w:rsidRDefault="00822E19" w:rsidP="00822E19">
            <w:pPr>
              <w:pStyle w:val="ListParagraph"/>
              <w:numPr>
                <w:ilvl w:val="0"/>
                <w:numId w:val="10"/>
              </w:numPr>
              <w:spacing w:after="0" w:line="240" w:lineRule="auto"/>
              <w:rPr>
                <w:rFonts w:ascii="Calibri" w:eastAsia="Times New Roman" w:hAnsi="Calibri" w:cs="Calibri"/>
                <w:color w:val="000000"/>
                <w:lang w:eastAsia="en-AU"/>
              </w:rPr>
            </w:pPr>
            <w:r w:rsidRPr="00937F8A">
              <w:rPr>
                <w:rFonts w:ascii="Calibri" w:eastAsia="Times New Roman" w:hAnsi="Calibri" w:cs="Calibri"/>
                <w:color w:val="000000"/>
                <w:lang w:eastAsia="en-AU"/>
              </w:rPr>
              <w:t xml:space="preserve">Other government departments where MAMPU policies are directly relevant, such as </w:t>
            </w:r>
            <w:r>
              <w:t>PMK (Coordinating Ministry of Human and Culture Development), KSP (Presidential Staff Office), Ministry of Social Affairs, TNP2K (National Team for Accelerating Poverty Reduction), Ministry of Health, Ministry of Home Affairs</w:t>
            </w:r>
            <w:r w:rsidRPr="00937F8A">
              <w:rPr>
                <w:rFonts w:ascii="Calibri" w:eastAsia="Times New Roman" w:hAnsi="Calibri" w:cs="Calibri"/>
                <w:color w:val="000000"/>
                <w:lang w:eastAsia="en-AU"/>
              </w:rPr>
              <w:t xml:space="preserve">. </w:t>
            </w:r>
          </w:p>
          <w:p w14:paraId="176A4FBF" w14:textId="77777777" w:rsidR="00822E19" w:rsidRDefault="00822E19" w:rsidP="00822E19">
            <w:pPr>
              <w:pStyle w:val="ListParagraph"/>
              <w:spacing w:after="0" w:line="240" w:lineRule="auto"/>
              <w:rPr>
                <w:rFonts w:ascii="Calibri" w:eastAsia="Times New Roman" w:hAnsi="Calibri" w:cs="Calibri"/>
                <w:color w:val="000000"/>
                <w:lang w:eastAsia="en-AU"/>
              </w:rPr>
            </w:pPr>
          </w:p>
          <w:p w14:paraId="648200C4" w14:textId="77777777" w:rsidR="00822E19" w:rsidRPr="00937F8A" w:rsidRDefault="00822E19" w:rsidP="00822E19">
            <w:pPr>
              <w:pStyle w:val="CommentText"/>
              <w:rPr>
                <w:rFonts w:ascii="Calibri" w:eastAsia="Times New Roman" w:hAnsi="Calibri" w:cs="Calibri"/>
                <w:color w:val="000000"/>
                <w:sz w:val="22"/>
                <w:szCs w:val="22"/>
                <w:lang w:eastAsia="en-AU"/>
              </w:rPr>
            </w:pPr>
            <w:r w:rsidRPr="00937F8A">
              <w:rPr>
                <w:rFonts w:ascii="Calibri" w:eastAsia="Times New Roman" w:hAnsi="Calibri" w:cs="Calibri"/>
                <w:color w:val="000000"/>
                <w:sz w:val="22"/>
                <w:szCs w:val="22"/>
                <w:lang w:eastAsia="en-AU"/>
              </w:rPr>
              <w:t>Interviews with other relevant donors (</w:t>
            </w:r>
            <w:r w:rsidRPr="00937F8A">
              <w:rPr>
                <w:sz w:val="22"/>
                <w:szCs w:val="22"/>
              </w:rPr>
              <w:t>Government of Canada, USAID, UNFPA, UNWomen, UNICEF, World Bank, OXFAM, GIZ, ADB, HIVOS, Ford, TIFA, The Asia Foundation, TIFA, EU</w:t>
            </w:r>
            <w:r>
              <w:rPr>
                <w:sz w:val="22"/>
                <w:szCs w:val="22"/>
              </w:rPr>
              <w:t>.</w:t>
            </w:r>
            <w:r w:rsidRPr="00937F8A">
              <w:rPr>
                <w:rFonts w:ascii="Calibri" w:eastAsia="Times New Roman" w:hAnsi="Calibri" w:cs="Calibri"/>
                <w:color w:val="000000"/>
                <w:sz w:val="22"/>
                <w:szCs w:val="22"/>
                <w:lang w:eastAsia="en-AU"/>
              </w:rPr>
              <w:t xml:space="preserve"> </w:t>
            </w:r>
          </w:p>
          <w:p w14:paraId="618A6607" w14:textId="7C1E00D9" w:rsidR="00822E19" w:rsidRDefault="00822E19" w:rsidP="00822E19">
            <w:pPr>
              <w:pStyle w:val="CommentTex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Key i</w:t>
            </w:r>
            <w:r w:rsidRPr="00937F8A">
              <w:rPr>
                <w:rFonts w:ascii="Calibri" w:eastAsia="Times New Roman" w:hAnsi="Calibri" w:cs="Calibri"/>
                <w:color w:val="000000"/>
                <w:sz w:val="22"/>
                <w:szCs w:val="22"/>
                <w:lang w:eastAsia="en-AU"/>
              </w:rPr>
              <w:t>nformant interviews with relevant women’s organisations and research institutions in In</w:t>
            </w:r>
            <w:r>
              <w:rPr>
                <w:rFonts w:ascii="Calibri" w:eastAsia="Times New Roman" w:hAnsi="Calibri" w:cs="Calibri"/>
                <w:color w:val="000000"/>
                <w:sz w:val="22"/>
                <w:szCs w:val="22"/>
                <w:lang w:eastAsia="en-AU"/>
              </w:rPr>
              <w:t xml:space="preserve">donesia </w:t>
            </w:r>
            <w:r w:rsidRPr="00937F8A">
              <w:rPr>
                <w:rFonts w:ascii="Calibri" w:eastAsia="Times New Roman" w:hAnsi="Calibri" w:cs="Calibri"/>
                <w:color w:val="000000"/>
                <w:sz w:val="22"/>
                <w:szCs w:val="22"/>
                <w:lang w:eastAsia="en-AU"/>
              </w:rPr>
              <w:t>(.</w:t>
            </w:r>
            <w:r w:rsidRPr="00937F8A">
              <w:rPr>
                <w:sz w:val="22"/>
                <w:szCs w:val="22"/>
              </w:rPr>
              <w:t>Jurnal Perempuan, SMERU, Cakra Wikara, UI Women Studies</w:t>
            </w:r>
            <w:r w:rsidRPr="00937F8A">
              <w:rPr>
                <w:rFonts w:ascii="Calibri" w:eastAsia="Times New Roman" w:hAnsi="Calibri" w:cs="Calibri"/>
                <w:color w:val="000000"/>
                <w:sz w:val="22"/>
                <w:szCs w:val="22"/>
                <w:lang w:eastAsia="en-AU"/>
              </w:rPr>
              <w:t xml:space="preserve"> Informant)</w:t>
            </w:r>
            <w:r>
              <w:rPr>
                <w:rFonts w:ascii="Calibri" w:eastAsia="Times New Roman" w:hAnsi="Calibri" w:cs="Calibri"/>
                <w:color w:val="000000"/>
                <w:sz w:val="22"/>
                <w:szCs w:val="22"/>
                <w:lang w:eastAsia="en-AU"/>
              </w:rPr>
              <w:t>.</w:t>
            </w:r>
          </w:p>
          <w:p w14:paraId="400A642F" w14:textId="0732F5D6" w:rsidR="00822E19" w:rsidRDefault="00822E19" w:rsidP="00822E1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w:t>
            </w:r>
            <w:r w:rsidRPr="00937F8A">
              <w:rPr>
                <w:rFonts w:ascii="Calibri" w:eastAsia="Times New Roman" w:hAnsi="Calibri" w:cs="Calibri"/>
                <w:color w:val="000000"/>
                <w:lang w:eastAsia="en-AU"/>
              </w:rPr>
              <w:t xml:space="preserve">nterviews with MAMPU </w:t>
            </w:r>
            <w:r w:rsidRPr="00937F8A">
              <w:t xml:space="preserve">Senior Management team, non-senior management (such as thematic coordinators), strategic advisors (including through Skype), other consultants (Value for money, sustainability) </w:t>
            </w:r>
            <w:r>
              <w:t>In</w:t>
            </w:r>
            <w:r w:rsidRPr="00937F8A">
              <w:rPr>
                <w:rFonts w:ascii="Calibri" w:eastAsia="Times New Roman" w:hAnsi="Calibri" w:cs="Calibri"/>
                <w:color w:val="000000"/>
                <w:lang w:eastAsia="en-AU"/>
              </w:rPr>
              <w:t>donesia</w:t>
            </w:r>
          </w:p>
        </w:tc>
      </w:tr>
      <w:tr w:rsidR="00822E19" w:rsidRPr="00FC2923" w14:paraId="16516483" w14:textId="77777777" w:rsidTr="00822E19">
        <w:trPr>
          <w:trHeight w:val="683"/>
        </w:trPr>
        <w:tc>
          <w:tcPr>
            <w:tcW w:w="866" w:type="pct"/>
            <w:vMerge w:val="restart"/>
            <w:shd w:val="clear" w:color="auto" w:fill="auto"/>
            <w:hideMark/>
          </w:tcPr>
          <w:p w14:paraId="58605EB4" w14:textId="19C47A4F" w:rsidR="00822E19" w:rsidRPr="00C606F5" w:rsidRDefault="00822E19" w:rsidP="00822E19">
            <w:pPr>
              <w:rPr>
                <w:i/>
              </w:rPr>
            </w:pPr>
            <w:r>
              <w:rPr>
                <w:i/>
              </w:rPr>
              <w:t xml:space="preserve">B. </w:t>
            </w:r>
            <w:r w:rsidRPr="00C606F5">
              <w:rPr>
                <w:i/>
              </w:rPr>
              <w:t xml:space="preserve"> Does the MAMPU program remain relevant and effective in addressing DFAT policy and program priorities? </w:t>
            </w:r>
          </w:p>
          <w:p w14:paraId="041E13C2"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GoA</w:t>
            </w:r>
          </w:p>
        </w:tc>
        <w:tc>
          <w:tcPr>
            <w:tcW w:w="2111" w:type="pct"/>
            <w:shd w:val="clear" w:color="auto" w:fill="auto"/>
            <w:noWrap/>
            <w:hideMark/>
          </w:tcPr>
          <w:p w14:paraId="10E8B054" w14:textId="77777777" w:rsidR="00822E19" w:rsidRPr="00A5553F" w:rsidRDefault="00822E19" w:rsidP="00822E19">
            <w:pPr>
              <w:spacing w:after="0" w:line="240" w:lineRule="auto"/>
              <w:rPr>
                <w:rFonts w:ascii="Calibri" w:eastAsia="Times New Roman" w:hAnsi="Calibri" w:cs="Calibri"/>
                <w:b/>
                <w:color w:val="000000"/>
                <w:lang w:eastAsia="en-AU"/>
              </w:rPr>
            </w:pPr>
            <w:r w:rsidRPr="00A5553F">
              <w:rPr>
                <w:rFonts w:ascii="Calibri" w:eastAsia="Times New Roman" w:hAnsi="Calibri" w:cs="Calibri"/>
                <w:b/>
                <w:color w:val="000000"/>
                <w:lang w:eastAsia="en-AU"/>
              </w:rPr>
              <w:t>Effectiveness</w:t>
            </w:r>
          </w:p>
          <w:p w14:paraId="49C1387E"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What lessons have been taken up by DFAT from MAMPU? </w:t>
            </w:r>
          </w:p>
          <w:p w14:paraId="14A11989"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effectively has the program been used to support Australia’s other priorities for women and other aid areas in Indonesia? </w:t>
            </w:r>
          </w:p>
          <w:p w14:paraId="035D557F" w14:textId="77777777" w:rsidR="00822E19" w:rsidRDefault="00822E19" w:rsidP="00822E19">
            <w:pPr>
              <w:spacing w:after="0" w:line="240" w:lineRule="auto"/>
              <w:rPr>
                <w:rFonts w:ascii="Calibri" w:eastAsia="Times New Roman" w:hAnsi="Calibri" w:cs="Calibri"/>
                <w:color w:val="000000"/>
                <w:lang w:eastAsia="en-AU"/>
              </w:rPr>
            </w:pPr>
          </w:p>
          <w:p w14:paraId="2EA58982"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How effectively has MAMPU contributed to Australia’s development cooperation and broader foreign policy objectives in Indonesia?</w:t>
            </w:r>
          </w:p>
          <w:p w14:paraId="1F9905B0" w14:textId="77777777" w:rsidR="00822E19" w:rsidRDefault="00822E19" w:rsidP="00822E19">
            <w:pPr>
              <w:spacing w:after="0" w:line="240" w:lineRule="auto"/>
              <w:rPr>
                <w:rFonts w:ascii="Calibri" w:eastAsia="Times New Roman" w:hAnsi="Calibri" w:cs="Calibri"/>
                <w:color w:val="000000"/>
                <w:lang w:eastAsia="en-AU"/>
              </w:rPr>
            </w:pPr>
          </w:p>
          <w:p w14:paraId="4C7BF306" w14:textId="71503555"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effectively has MAMPU managed any tensions between GoA priorities </w:t>
            </w:r>
            <w:r>
              <w:rPr>
                <w:rFonts w:ascii="Calibri" w:eastAsia="Times New Roman" w:hAnsi="Calibri" w:cs="Calibri"/>
                <w:color w:val="000000"/>
                <w:lang w:eastAsia="en-AU"/>
              </w:rPr>
              <w:t xml:space="preserve">(including on sensitive issues such as marginalised groups, female genital mutilation, child marriage, abortion, capital punishment) </w:t>
            </w:r>
            <w:r w:rsidRPr="00112DB5">
              <w:rPr>
                <w:rFonts w:ascii="Calibri" w:eastAsia="Times New Roman" w:hAnsi="Calibri" w:cs="Calibri"/>
                <w:color w:val="000000"/>
                <w:lang w:eastAsia="en-AU"/>
              </w:rPr>
              <w:t>and those of GOI and CSO partners</w:t>
            </w:r>
            <w:r>
              <w:rPr>
                <w:rFonts w:ascii="Calibri" w:eastAsia="Times New Roman" w:hAnsi="Calibri" w:cs="Calibri"/>
                <w:color w:val="000000"/>
                <w:lang w:eastAsia="en-AU"/>
              </w:rPr>
              <w:t xml:space="preserve"> (e.g. allocation of funding amongst CSO partners)</w:t>
            </w:r>
            <w:r w:rsidRPr="00112DB5">
              <w:rPr>
                <w:rFonts w:ascii="Calibri" w:eastAsia="Times New Roman" w:hAnsi="Calibri" w:cs="Calibri"/>
                <w:color w:val="000000"/>
                <w:lang w:eastAsia="en-AU"/>
              </w:rPr>
              <w:t>?</w:t>
            </w:r>
          </w:p>
        </w:tc>
        <w:tc>
          <w:tcPr>
            <w:tcW w:w="2023" w:type="pct"/>
            <w:shd w:val="clear" w:color="auto" w:fill="auto"/>
            <w:noWrap/>
            <w:hideMark/>
          </w:tcPr>
          <w:p w14:paraId="4A270EF6" w14:textId="77777777" w:rsidR="00822E19" w:rsidRDefault="00822E19" w:rsidP="00822E19">
            <w:pPr>
              <w:spacing w:after="0" w:line="240" w:lineRule="auto"/>
              <w:rPr>
                <w:rFonts w:ascii="Calibri" w:eastAsia="Times New Roman" w:hAnsi="Calibri" w:cs="Calibri"/>
                <w:color w:val="000000"/>
                <w:lang w:eastAsia="en-AU"/>
              </w:rPr>
            </w:pPr>
          </w:p>
          <w:p w14:paraId="5775CEC7"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Review of relevant documentation.</w:t>
            </w:r>
          </w:p>
          <w:p w14:paraId="5D8A9935" w14:textId="77777777" w:rsidR="00822E19" w:rsidRPr="00112DB5" w:rsidRDefault="00822E19" w:rsidP="00822E19">
            <w:pPr>
              <w:spacing w:after="0" w:line="240" w:lineRule="auto"/>
              <w:rPr>
                <w:rFonts w:ascii="Calibri" w:eastAsia="Times New Roman" w:hAnsi="Calibri" w:cs="Calibri"/>
                <w:color w:val="000000"/>
                <w:lang w:eastAsia="en-AU"/>
              </w:rPr>
            </w:pPr>
          </w:p>
          <w:p w14:paraId="29247C31"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Key informant interviews </w:t>
            </w:r>
            <w:r>
              <w:rPr>
                <w:rFonts w:ascii="Calibri" w:eastAsia="Times New Roman" w:hAnsi="Calibri" w:cs="Calibri"/>
                <w:color w:val="000000"/>
                <w:lang w:eastAsia="en-AU"/>
              </w:rPr>
              <w:t>with r</w:t>
            </w:r>
            <w:r>
              <w:t xml:space="preserve">elevant DFAT </w:t>
            </w:r>
            <w:r w:rsidRPr="00112DB5">
              <w:rPr>
                <w:rFonts w:ascii="Calibri" w:eastAsia="Times New Roman" w:hAnsi="Calibri" w:cs="Calibri"/>
                <w:color w:val="000000"/>
                <w:lang w:eastAsia="en-AU"/>
              </w:rPr>
              <w:t>program staff</w:t>
            </w:r>
            <w:r>
              <w:rPr>
                <w:rFonts w:ascii="Calibri" w:eastAsia="Times New Roman" w:hAnsi="Calibri" w:cs="Calibri"/>
                <w:color w:val="000000"/>
                <w:lang w:eastAsia="en-AU"/>
              </w:rPr>
              <w:t xml:space="preserve"> at Post (apart from DFAT officers with responsibility for MAMPU, these are also expected to include people responsible for </w:t>
            </w:r>
            <w:r>
              <w:t>Peduli, AIPJ, IWI, KOMPAK)</w:t>
            </w:r>
            <w:r>
              <w:rPr>
                <w:rFonts w:ascii="Calibri" w:eastAsia="Times New Roman" w:hAnsi="Calibri" w:cs="Calibri"/>
                <w:color w:val="000000"/>
                <w:lang w:eastAsia="en-AU"/>
              </w:rPr>
              <w:t xml:space="preserve">, DFAT program gender specialists. </w:t>
            </w:r>
          </w:p>
          <w:p w14:paraId="77BD39E4" w14:textId="77777777" w:rsidR="00822E19" w:rsidRDefault="00822E19" w:rsidP="00822E19">
            <w:pPr>
              <w:spacing w:after="0" w:line="240" w:lineRule="auto"/>
              <w:rPr>
                <w:rFonts w:ascii="Calibri" w:eastAsia="Times New Roman" w:hAnsi="Calibri" w:cs="Calibri"/>
                <w:color w:val="000000"/>
                <w:lang w:eastAsia="en-AU"/>
              </w:rPr>
            </w:pPr>
          </w:p>
          <w:p w14:paraId="3162D4B8" w14:textId="77777777" w:rsidR="00822E19" w:rsidRDefault="00822E19" w:rsidP="00822E1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Key informant interviews with BAPPENAS</w:t>
            </w:r>
            <w:r w:rsidRPr="00112DB5">
              <w:rPr>
                <w:rFonts w:ascii="Calibri" w:eastAsia="Times New Roman" w:hAnsi="Calibri" w:cs="Calibri"/>
                <w:color w:val="000000"/>
                <w:lang w:eastAsia="en-AU"/>
              </w:rPr>
              <w:t xml:space="preserve"> </w:t>
            </w:r>
          </w:p>
          <w:p w14:paraId="3787581B" w14:textId="77777777" w:rsidR="00822E19" w:rsidRDefault="00822E19" w:rsidP="00822E19">
            <w:pPr>
              <w:spacing w:after="0" w:line="240" w:lineRule="auto"/>
              <w:rPr>
                <w:rFonts w:ascii="Calibri" w:eastAsia="Times New Roman" w:hAnsi="Calibri" w:cs="Calibri"/>
                <w:color w:val="000000"/>
                <w:lang w:eastAsia="en-AU"/>
              </w:rPr>
            </w:pPr>
          </w:p>
          <w:p w14:paraId="5E4BE5AA" w14:textId="77777777" w:rsidR="00822E19" w:rsidRPr="00112DB5" w:rsidRDefault="00822E19" w:rsidP="00822E1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Key informant interviews with MAMPU NGO partners.</w:t>
            </w:r>
          </w:p>
          <w:p w14:paraId="20B68D24" w14:textId="77777777" w:rsidR="00822E19" w:rsidRPr="00112DB5" w:rsidRDefault="00822E19" w:rsidP="00822E19">
            <w:pPr>
              <w:spacing w:after="0" w:line="240" w:lineRule="auto"/>
              <w:rPr>
                <w:rFonts w:ascii="Times New Roman" w:eastAsia="Times New Roman" w:hAnsi="Times New Roman" w:cs="Times New Roman"/>
                <w:lang w:eastAsia="en-AU"/>
              </w:rPr>
            </w:pPr>
          </w:p>
        </w:tc>
      </w:tr>
      <w:tr w:rsidR="00822E19" w:rsidRPr="00FC2923" w14:paraId="5B0DAB93" w14:textId="77777777" w:rsidTr="0034157E">
        <w:trPr>
          <w:trHeight w:val="438"/>
        </w:trPr>
        <w:tc>
          <w:tcPr>
            <w:tcW w:w="866" w:type="pct"/>
            <w:vMerge/>
            <w:shd w:val="clear" w:color="auto" w:fill="auto"/>
          </w:tcPr>
          <w:p w14:paraId="4B89C58A" w14:textId="77777777" w:rsidR="00822E19" w:rsidRPr="00C606F5" w:rsidRDefault="00822E19" w:rsidP="00822E19">
            <w:pPr>
              <w:rPr>
                <w:i/>
              </w:rPr>
            </w:pPr>
          </w:p>
        </w:tc>
        <w:tc>
          <w:tcPr>
            <w:tcW w:w="2111" w:type="pct"/>
            <w:shd w:val="clear" w:color="auto" w:fill="auto"/>
            <w:noWrap/>
          </w:tcPr>
          <w:p w14:paraId="7F6C11B3" w14:textId="77777777" w:rsidR="00822E19" w:rsidRDefault="00822E19" w:rsidP="00822E19">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Relevance</w:t>
            </w:r>
          </w:p>
          <w:p w14:paraId="6FF006AC" w14:textId="77777777" w:rsidR="00822E19" w:rsidRPr="00A5553F" w:rsidRDefault="00822E19" w:rsidP="00822E19">
            <w:pPr>
              <w:spacing w:after="0" w:line="240" w:lineRule="auto"/>
              <w:rPr>
                <w:rFonts w:ascii="Calibri" w:eastAsia="Times New Roman" w:hAnsi="Calibri" w:cs="Calibri"/>
                <w:b/>
                <w:color w:val="000000"/>
                <w:lang w:eastAsia="en-AU"/>
              </w:rPr>
            </w:pPr>
            <w:r w:rsidRPr="00112DB5">
              <w:rPr>
                <w:rFonts w:ascii="Calibri" w:eastAsia="Times New Roman" w:hAnsi="Calibri" w:cs="Calibri"/>
                <w:color w:val="000000"/>
                <w:lang w:eastAsia="en-AU"/>
              </w:rPr>
              <w:t>What learning does DFAT have about working effectively in the NGO space in Indonesia and how does this overlap with MAMPU approach?</w:t>
            </w:r>
          </w:p>
        </w:tc>
        <w:tc>
          <w:tcPr>
            <w:tcW w:w="2023" w:type="pct"/>
            <w:shd w:val="clear" w:color="auto" w:fill="auto"/>
            <w:noWrap/>
          </w:tcPr>
          <w:p w14:paraId="663CDE0E" w14:textId="77777777" w:rsidR="00822E19" w:rsidRDefault="00822E19" w:rsidP="00822E19">
            <w:pPr>
              <w:spacing w:after="0" w:line="240" w:lineRule="auto"/>
              <w:rPr>
                <w:rFonts w:ascii="Calibri" w:eastAsia="Times New Roman" w:hAnsi="Calibri" w:cs="Calibri"/>
                <w:color w:val="000000"/>
                <w:lang w:eastAsia="en-AU"/>
              </w:rPr>
            </w:pPr>
          </w:p>
          <w:p w14:paraId="481FBCBE"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Review of relevant research and evaluations.</w:t>
            </w:r>
          </w:p>
          <w:p w14:paraId="04988FF5"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Key informant interviews with government of Indonesia </w:t>
            </w:r>
          </w:p>
          <w:p w14:paraId="6BD74FB1" w14:textId="77777777" w:rsidR="00822E19" w:rsidRDefault="00822E19" w:rsidP="00822E19">
            <w:pPr>
              <w:spacing w:after="0" w:line="240" w:lineRule="auto"/>
            </w:pPr>
            <w:r w:rsidRPr="00112DB5">
              <w:rPr>
                <w:rFonts w:ascii="Calibri" w:eastAsia="Times New Roman" w:hAnsi="Calibri" w:cs="Calibri"/>
                <w:color w:val="000000"/>
                <w:lang w:eastAsia="en-AU"/>
              </w:rPr>
              <w:t xml:space="preserve">Key informant interviews with DFAT </w:t>
            </w:r>
            <w:r>
              <w:rPr>
                <w:rFonts w:ascii="Calibri" w:eastAsia="Times New Roman" w:hAnsi="Calibri" w:cs="Calibri"/>
                <w:color w:val="000000"/>
                <w:lang w:eastAsia="en-AU"/>
              </w:rPr>
              <w:t>Canberra (</w:t>
            </w:r>
            <w:r>
              <w:t>with DFAT/Canberra: Amy Haddad (Assistant Secretary &amp; Principal Gender Specialist); NGOs Branch, ODE, Governance, Indonesia Desk)</w:t>
            </w:r>
          </w:p>
          <w:p w14:paraId="3E192127" w14:textId="77777777" w:rsidR="00822E19" w:rsidRDefault="00822E19" w:rsidP="00822E19">
            <w:pPr>
              <w:spacing w:after="0" w:line="240" w:lineRule="auto"/>
            </w:pPr>
          </w:p>
          <w:p w14:paraId="6519A5B7"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Key informant interviews </w:t>
            </w:r>
            <w:r>
              <w:rPr>
                <w:rFonts w:ascii="Calibri" w:eastAsia="Times New Roman" w:hAnsi="Calibri" w:cs="Calibri"/>
                <w:color w:val="000000"/>
                <w:lang w:eastAsia="en-AU"/>
              </w:rPr>
              <w:t>with r</w:t>
            </w:r>
            <w:r>
              <w:t xml:space="preserve">elevant DFAT </w:t>
            </w:r>
            <w:r w:rsidRPr="00112DB5">
              <w:rPr>
                <w:rFonts w:ascii="Calibri" w:eastAsia="Times New Roman" w:hAnsi="Calibri" w:cs="Calibri"/>
                <w:color w:val="000000"/>
                <w:lang w:eastAsia="en-AU"/>
              </w:rPr>
              <w:t>program staff</w:t>
            </w:r>
            <w:r>
              <w:rPr>
                <w:rFonts w:ascii="Calibri" w:eastAsia="Times New Roman" w:hAnsi="Calibri" w:cs="Calibri"/>
                <w:color w:val="000000"/>
                <w:lang w:eastAsia="en-AU"/>
              </w:rPr>
              <w:t xml:space="preserve"> at Post (apart from DFAT officers with responsibility for MAMPU, these are also expected to include people responsible for </w:t>
            </w:r>
            <w:r>
              <w:t>Peduli, AIPJ, IWI, KOMPAK)</w:t>
            </w:r>
            <w:r>
              <w:rPr>
                <w:rFonts w:ascii="Calibri" w:eastAsia="Times New Roman" w:hAnsi="Calibri" w:cs="Calibri"/>
                <w:color w:val="000000"/>
                <w:lang w:eastAsia="en-AU"/>
              </w:rPr>
              <w:t xml:space="preserve">, DFAT program gender specialists. </w:t>
            </w:r>
          </w:p>
          <w:p w14:paraId="23F74170" w14:textId="77777777" w:rsidR="00822E19" w:rsidRDefault="00822E19" w:rsidP="00822E19">
            <w:pPr>
              <w:spacing w:after="0" w:line="240" w:lineRule="auto"/>
              <w:rPr>
                <w:rFonts w:ascii="Calibri" w:eastAsia="Times New Roman" w:hAnsi="Calibri" w:cs="Calibri"/>
                <w:color w:val="000000"/>
                <w:lang w:eastAsia="en-AU"/>
              </w:rPr>
            </w:pPr>
          </w:p>
          <w:p w14:paraId="5F962500" w14:textId="77777777" w:rsidR="00822E19" w:rsidRPr="00112DB5" w:rsidRDefault="00822E19" w:rsidP="00822E19">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Other relevant </w:t>
            </w:r>
            <w:r w:rsidRPr="00112DB5">
              <w:rPr>
                <w:rFonts w:ascii="Calibri" w:eastAsia="Times New Roman" w:hAnsi="Calibri" w:cs="Calibri"/>
                <w:color w:val="000000"/>
                <w:lang w:eastAsia="en-AU"/>
              </w:rPr>
              <w:t>CSO partners</w:t>
            </w:r>
            <w:r>
              <w:rPr>
                <w:rFonts w:ascii="Calibri" w:eastAsia="Times New Roman" w:hAnsi="Calibri" w:cs="Calibri"/>
                <w:color w:val="000000"/>
                <w:lang w:eastAsia="en-AU"/>
              </w:rPr>
              <w:t>, including DPO</w:t>
            </w:r>
            <w:r w:rsidRPr="00112DB5">
              <w:rPr>
                <w:rFonts w:ascii="Calibri" w:eastAsia="Times New Roman" w:hAnsi="Calibri" w:cs="Calibri"/>
                <w:color w:val="000000"/>
                <w:lang w:eastAsia="en-AU"/>
              </w:rPr>
              <w:t>.</w:t>
            </w:r>
          </w:p>
          <w:p w14:paraId="1E165D80" w14:textId="77777777" w:rsidR="00822E19" w:rsidRPr="00112DB5" w:rsidRDefault="00822E19" w:rsidP="00822E19">
            <w:pPr>
              <w:spacing w:after="0" w:line="240" w:lineRule="auto"/>
              <w:rPr>
                <w:rFonts w:ascii="Calibri" w:eastAsia="Times New Roman" w:hAnsi="Calibri" w:cs="Calibri"/>
                <w:color w:val="000000"/>
                <w:lang w:eastAsia="en-AU"/>
              </w:rPr>
            </w:pPr>
          </w:p>
        </w:tc>
      </w:tr>
      <w:tr w:rsidR="00822E19" w:rsidRPr="00FC2923" w14:paraId="6B22763D" w14:textId="77777777" w:rsidTr="00822E19">
        <w:trPr>
          <w:trHeight w:val="683"/>
        </w:trPr>
        <w:tc>
          <w:tcPr>
            <w:tcW w:w="866" w:type="pct"/>
            <w:vMerge/>
            <w:shd w:val="clear" w:color="auto" w:fill="auto"/>
          </w:tcPr>
          <w:p w14:paraId="367C0975" w14:textId="77777777" w:rsidR="00822E19" w:rsidRPr="00C606F5" w:rsidRDefault="00822E19" w:rsidP="00822E19">
            <w:pPr>
              <w:rPr>
                <w:i/>
              </w:rPr>
            </w:pPr>
          </w:p>
        </w:tc>
        <w:tc>
          <w:tcPr>
            <w:tcW w:w="2111" w:type="pct"/>
            <w:shd w:val="clear" w:color="auto" w:fill="auto"/>
            <w:noWrap/>
          </w:tcPr>
          <w:p w14:paraId="4F83AC4A" w14:textId="77777777" w:rsidR="00822E19" w:rsidRPr="00A5553F" w:rsidRDefault="00822E19" w:rsidP="00822E19">
            <w:pPr>
              <w:spacing w:after="0" w:line="240" w:lineRule="auto"/>
              <w:rPr>
                <w:rFonts w:ascii="Calibri" w:eastAsia="Times New Roman" w:hAnsi="Calibri" w:cs="Calibri"/>
                <w:b/>
                <w:color w:val="000000"/>
                <w:lang w:eastAsia="en-AU"/>
              </w:rPr>
            </w:pPr>
            <w:r w:rsidRPr="00A5553F">
              <w:rPr>
                <w:rFonts w:ascii="Calibri" w:eastAsia="Times New Roman" w:hAnsi="Calibri" w:cs="Calibri"/>
                <w:b/>
                <w:color w:val="000000"/>
                <w:lang w:eastAsia="en-AU"/>
              </w:rPr>
              <w:t>Future Considerations</w:t>
            </w:r>
          </w:p>
          <w:p w14:paraId="0975641C"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How are other Australian supported programs approaching gender equality in Indonesia/ the region? </w:t>
            </w:r>
          </w:p>
          <w:p w14:paraId="778E35C0" w14:textId="77777777" w:rsidR="00822E19" w:rsidRPr="00411534" w:rsidRDefault="00822E19" w:rsidP="00822E19">
            <w:pPr>
              <w:pStyle w:val="ListParagraph"/>
              <w:numPr>
                <w:ilvl w:val="0"/>
                <w:numId w:val="11"/>
              </w:numPr>
              <w:spacing w:after="0" w:line="240" w:lineRule="auto"/>
              <w:rPr>
                <w:rFonts w:ascii="Calibri" w:eastAsia="Times New Roman" w:hAnsi="Calibri" w:cs="Calibri"/>
                <w:color w:val="000000"/>
                <w:lang w:eastAsia="en-AU"/>
              </w:rPr>
            </w:pPr>
            <w:r w:rsidRPr="00411534">
              <w:rPr>
                <w:rFonts w:ascii="Calibri" w:eastAsia="Times New Roman" w:hAnsi="Calibri" w:cs="Calibri"/>
                <w:color w:val="000000"/>
                <w:lang w:eastAsia="en-AU"/>
              </w:rPr>
              <w:t xml:space="preserve">What are the relevant lessons or issues for MAMPU? </w:t>
            </w:r>
          </w:p>
          <w:p w14:paraId="25B0EDB4" w14:textId="77777777" w:rsidR="00822E19" w:rsidRDefault="00822E19" w:rsidP="00822E19">
            <w:pPr>
              <w:spacing w:after="0" w:line="240" w:lineRule="auto"/>
              <w:rPr>
                <w:rFonts w:ascii="Calibri" w:eastAsia="Times New Roman" w:hAnsi="Calibri" w:cs="Calibri"/>
                <w:color w:val="000000"/>
                <w:lang w:eastAsia="en-AU"/>
              </w:rPr>
            </w:pPr>
          </w:p>
          <w:p w14:paraId="0F9BDC0C"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What are the current priorities (across aid, trade and other relevant areas such as security, partnership relationships) for the Australian Gov in Indonesia? </w:t>
            </w:r>
          </w:p>
          <w:p w14:paraId="6955810A" w14:textId="77777777" w:rsidR="00822E19" w:rsidRPr="00411534" w:rsidRDefault="00822E19" w:rsidP="00822E19">
            <w:pPr>
              <w:pStyle w:val="ListParagraph"/>
              <w:numPr>
                <w:ilvl w:val="0"/>
                <w:numId w:val="11"/>
              </w:numPr>
              <w:spacing w:after="0" w:line="240" w:lineRule="auto"/>
              <w:rPr>
                <w:rFonts w:ascii="Calibri" w:eastAsia="Times New Roman" w:hAnsi="Calibri" w:cs="Calibri"/>
                <w:color w:val="000000"/>
                <w:lang w:eastAsia="en-AU"/>
              </w:rPr>
            </w:pPr>
            <w:r w:rsidRPr="00411534">
              <w:rPr>
                <w:rFonts w:ascii="Calibri" w:eastAsia="Times New Roman" w:hAnsi="Calibri" w:cs="Calibri"/>
                <w:color w:val="000000"/>
                <w:lang w:eastAsia="en-AU"/>
              </w:rPr>
              <w:t>In what ways have these changed from those relevant at the initial design of MAMPU?</w:t>
            </w:r>
          </w:p>
          <w:p w14:paraId="10443DD1" w14:textId="77777777" w:rsidR="00822E19" w:rsidRPr="00411534" w:rsidRDefault="00822E19" w:rsidP="00822E19">
            <w:pPr>
              <w:pStyle w:val="ListParagraph"/>
              <w:numPr>
                <w:ilvl w:val="0"/>
                <w:numId w:val="11"/>
              </w:numPr>
              <w:spacing w:after="0" w:line="240" w:lineRule="auto"/>
              <w:rPr>
                <w:rFonts w:ascii="Calibri" w:eastAsia="Times New Roman" w:hAnsi="Calibri" w:cs="Calibri"/>
                <w:b/>
                <w:color w:val="000000"/>
                <w:lang w:eastAsia="en-AU"/>
              </w:rPr>
            </w:pPr>
            <w:r w:rsidRPr="00411534">
              <w:rPr>
                <w:rFonts w:ascii="Calibri" w:eastAsia="Times New Roman" w:hAnsi="Calibri" w:cs="Calibri"/>
                <w:color w:val="000000"/>
                <w:lang w:eastAsia="en-AU"/>
              </w:rPr>
              <w:t>What are the implications of this for ongoing MAMPU support by DFAT?</w:t>
            </w:r>
          </w:p>
        </w:tc>
        <w:tc>
          <w:tcPr>
            <w:tcW w:w="2023" w:type="pct"/>
            <w:shd w:val="clear" w:color="auto" w:fill="auto"/>
            <w:noWrap/>
          </w:tcPr>
          <w:p w14:paraId="250444F5" w14:textId="77777777" w:rsidR="00822E19" w:rsidRDefault="00822E19" w:rsidP="00822E19">
            <w:pPr>
              <w:spacing w:after="0" w:line="240" w:lineRule="auto"/>
              <w:rPr>
                <w:rFonts w:ascii="Calibri" w:eastAsia="Times New Roman" w:hAnsi="Calibri" w:cs="Calibri"/>
                <w:color w:val="000000"/>
                <w:lang w:eastAsia="en-AU"/>
              </w:rPr>
            </w:pPr>
          </w:p>
          <w:p w14:paraId="2FD6302A"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Review of relevant documentation.</w:t>
            </w:r>
          </w:p>
          <w:p w14:paraId="470287D6" w14:textId="77777777" w:rsidR="00822E19" w:rsidRPr="00112DB5" w:rsidRDefault="00822E19" w:rsidP="00822E19">
            <w:pPr>
              <w:spacing w:after="0" w:line="240" w:lineRule="auto"/>
              <w:rPr>
                <w:rFonts w:ascii="Calibri" w:eastAsia="Times New Roman" w:hAnsi="Calibri" w:cs="Calibri"/>
                <w:color w:val="000000"/>
                <w:lang w:eastAsia="en-AU"/>
              </w:rPr>
            </w:pPr>
          </w:p>
          <w:p w14:paraId="4721E8A5" w14:textId="77777777" w:rsidR="00822E19" w:rsidRDefault="00822E19" w:rsidP="00822E19">
            <w:pPr>
              <w:spacing w:after="0" w:line="240" w:lineRule="auto"/>
            </w:pPr>
            <w:r w:rsidRPr="00112DB5">
              <w:rPr>
                <w:rFonts w:ascii="Calibri" w:eastAsia="Times New Roman" w:hAnsi="Calibri" w:cs="Calibri"/>
                <w:color w:val="000000"/>
                <w:lang w:eastAsia="en-AU"/>
              </w:rPr>
              <w:t xml:space="preserve">Key informant interviews with DFAT </w:t>
            </w:r>
            <w:r>
              <w:rPr>
                <w:rFonts w:ascii="Calibri" w:eastAsia="Times New Roman" w:hAnsi="Calibri" w:cs="Calibri"/>
                <w:color w:val="000000"/>
                <w:lang w:eastAsia="en-AU"/>
              </w:rPr>
              <w:t>Canberra (</w:t>
            </w:r>
            <w:r>
              <w:t>with DFAT/Canberra: Amy Haddad (Assistant Secretary &amp; Principal Gender Specialist); NGOs Branch, ODE, Governance, Indonesia Desk.)</w:t>
            </w:r>
          </w:p>
          <w:p w14:paraId="7AE6DBDA" w14:textId="77777777" w:rsidR="00822E19" w:rsidRDefault="00822E19" w:rsidP="00822E19">
            <w:pPr>
              <w:spacing w:after="0" w:line="240" w:lineRule="auto"/>
            </w:pPr>
          </w:p>
          <w:p w14:paraId="058D3934" w14:textId="77777777" w:rsidR="00822E19"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Key informant interviews </w:t>
            </w:r>
            <w:r>
              <w:rPr>
                <w:rFonts w:ascii="Calibri" w:eastAsia="Times New Roman" w:hAnsi="Calibri" w:cs="Calibri"/>
                <w:color w:val="000000"/>
                <w:lang w:eastAsia="en-AU"/>
              </w:rPr>
              <w:t>with r</w:t>
            </w:r>
            <w:r>
              <w:t xml:space="preserve">elevant DFAT </w:t>
            </w:r>
            <w:r w:rsidRPr="00112DB5">
              <w:rPr>
                <w:rFonts w:ascii="Calibri" w:eastAsia="Times New Roman" w:hAnsi="Calibri" w:cs="Calibri"/>
                <w:color w:val="000000"/>
                <w:lang w:eastAsia="en-AU"/>
              </w:rPr>
              <w:t>program staff</w:t>
            </w:r>
            <w:r>
              <w:rPr>
                <w:rFonts w:ascii="Calibri" w:eastAsia="Times New Roman" w:hAnsi="Calibri" w:cs="Calibri"/>
                <w:color w:val="000000"/>
                <w:lang w:eastAsia="en-AU"/>
              </w:rPr>
              <w:t xml:space="preserve"> at Post (apart from DFAT officers with responsibility for MAMPU, these are also expected to include people responsible for </w:t>
            </w:r>
            <w:r>
              <w:t>Peduli, AIPJ, IWI, KOMPAK)</w:t>
            </w:r>
            <w:r>
              <w:rPr>
                <w:rFonts w:ascii="Calibri" w:eastAsia="Times New Roman" w:hAnsi="Calibri" w:cs="Calibri"/>
                <w:color w:val="000000"/>
                <w:lang w:eastAsia="en-AU"/>
              </w:rPr>
              <w:t xml:space="preserve">, DFAT program gender specialists. </w:t>
            </w:r>
          </w:p>
          <w:p w14:paraId="15D82EE0" w14:textId="77777777" w:rsidR="00822E19" w:rsidRPr="00112DB5" w:rsidRDefault="00822E19" w:rsidP="00822E19">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 </w:t>
            </w:r>
          </w:p>
          <w:p w14:paraId="218AF695" w14:textId="77777777" w:rsidR="00822E19" w:rsidRDefault="00822E19" w:rsidP="00822E19">
            <w:pPr>
              <w:spacing w:after="0" w:line="240" w:lineRule="auto"/>
              <w:rPr>
                <w:rFonts w:ascii="Calibri" w:eastAsia="Times New Roman" w:hAnsi="Calibri" w:cs="Calibri"/>
                <w:color w:val="000000"/>
                <w:lang w:eastAsia="en-AU"/>
              </w:rPr>
            </w:pPr>
          </w:p>
        </w:tc>
      </w:tr>
      <w:tr w:rsidR="00822E19" w:rsidRPr="00FC2923" w14:paraId="31DBEAB0" w14:textId="77777777" w:rsidTr="00822E19">
        <w:trPr>
          <w:trHeight w:val="683"/>
        </w:trPr>
        <w:tc>
          <w:tcPr>
            <w:tcW w:w="866" w:type="pct"/>
            <w:shd w:val="clear" w:color="auto" w:fill="auto"/>
          </w:tcPr>
          <w:p w14:paraId="43F13B41" w14:textId="3E209FEF" w:rsidR="00822E19" w:rsidRPr="00C606F5" w:rsidRDefault="00822E19" w:rsidP="00822E19">
            <w:pPr>
              <w:rPr>
                <w:i/>
              </w:rPr>
            </w:pPr>
            <w:r w:rsidRPr="00C606F5">
              <w:rPr>
                <w:i/>
              </w:rPr>
              <w:t>C. Does the current MAMPU program modality and strategic approach remain appropriate in responding to the changing political-economy context in Indonesia?</w:t>
            </w:r>
          </w:p>
        </w:tc>
        <w:tc>
          <w:tcPr>
            <w:tcW w:w="2111" w:type="pct"/>
            <w:shd w:val="clear" w:color="auto" w:fill="auto"/>
            <w:noWrap/>
          </w:tcPr>
          <w:p w14:paraId="6915C857" w14:textId="77777777" w:rsidR="00822E19" w:rsidRPr="00822E19" w:rsidRDefault="00822E19" w:rsidP="00822E19">
            <w:pPr>
              <w:spacing w:after="0" w:line="240" w:lineRule="auto"/>
              <w:rPr>
                <w:rFonts w:ascii="Calibri" w:eastAsia="Times New Roman" w:hAnsi="Calibri" w:cs="Calibri"/>
                <w:b/>
                <w:color w:val="000000"/>
                <w:lang w:eastAsia="en-AU"/>
              </w:rPr>
            </w:pPr>
            <w:r w:rsidRPr="00822E19">
              <w:rPr>
                <w:rFonts w:ascii="Calibri" w:eastAsia="Times New Roman" w:hAnsi="Calibri" w:cs="Calibri"/>
                <w:b/>
                <w:color w:val="000000"/>
                <w:lang w:eastAsia="en-AU"/>
              </w:rPr>
              <w:t>Effectiveness</w:t>
            </w:r>
          </w:p>
          <w:p w14:paraId="03B3A9F2"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Is the MAMPU program effective in testing or piloting new policy and program approaches and promoting replication and/or scale up by local partners?</w:t>
            </w:r>
          </w:p>
          <w:p w14:paraId="1E8B5174" w14:textId="77777777" w:rsidR="00822E19" w:rsidRPr="00822E19" w:rsidRDefault="00822E19" w:rsidP="00822E19">
            <w:pPr>
              <w:spacing w:after="0" w:line="240" w:lineRule="auto"/>
              <w:rPr>
                <w:rFonts w:ascii="Calibri" w:eastAsia="Times New Roman" w:hAnsi="Calibri" w:cs="Calibri"/>
                <w:color w:val="000000"/>
                <w:lang w:eastAsia="en-AU"/>
              </w:rPr>
            </w:pPr>
          </w:p>
          <w:p w14:paraId="61C08CE1"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 xml:space="preserve">Is MAMPU’s modality (direct grants to CSOs through a Managing Contractor) appropriate to the program’s theory of change, particularly the achievement and sustainability of EOPOs? </w:t>
            </w:r>
          </w:p>
          <w:p w14:paraId="32E9875B"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Are there any alternative modalities that would be more effective in achieving and sustaining MAMPU’s EOPOs?</w:t>
            </w:r>
          </w:p>
          <w:p w14:paraId="43FA6BF3" w14:textId="77777777" w:rsidR="00822E19" w:rsidRPr="00822E19" w:rsidRDefault="00822E19" w:rsidP="00822E19">
            <w:pPr>
              <w:spacing w:after="0" w:line="240" w:lineRule="auto"/>
              <w:rPr>
                <w:rFonts w:ascii="Calibri" w:eastAsia="Times New Roman" w:hAnsi="Calibri" w:cs="Calibri"/>
                <w:color w:val="000000"/>
                <w:lang w:eastAsia="en-AU"/>
              </w:rPr>
            </w:pPr>
          </w:p>
          <w:p w14:paraId="790C2476"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How do MAMPU stakeholders (including CSO partners and government/parliamentarians) view the ease of engagement with MAMPU as a program, including its grant and work planning mechanisms?</w:t>
            </w:r>
          </w:p>
          <w:p w14:paraId="61DFC53E" w14:textId="77777777" w:rsidR="00822E19" w:rsidRPr="00822E19" w:rsidRDefault="00822E19" w:rsidP="00822E19">
            <w:pPr>
              <w:spacing w:after="0" w:line="240" w:lineRule="auto"/>
              <w:rPr>
                <w:rFonts w:ascii="Calibri" w:eastAsia="Times New Roman" w:hAnsi="Calibri" w:cs="Calibri"/>
                <w:color w:val="000000"/>
                <w:lang w:eastAsia="en-AU"/>
              </w:rPr>
            </w:pPr>
          </w:p>
          <w:p w14:paraId="609EB775"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 xml:space="preserve">Is the MAMPU program monitoring and evaluation system fit for purpose? </w:t>
            </w:r>
          </w:p>
          <w:p w14:paraId="43F0FED6"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Does the monitoring and evaluation system, and the modality more broadly, provide sufficient support for joint decision-making between GoA and GOI?</w:t>
            </w:r>
          </w:p>
          <w:p w14:paraId="0F6D30D6" w14:textId="77777777" w:rsidR="00822E19" w:rsidRPr="00822E19" w:rsidRDefault="00822E19" w:rsidP="00822E19">
            <w:pPr>
              <w:spacing w:after="0" w:line="240" w:lineRule="auto"/>
              <w:rPr>
                <w:rFonts w:ascii="Calibri" w:eastAsia="Times New Roman" w:hAnsi="Calibri" w:cs="Calibri"/>
                <w:color w:val="000000"/>
                <w:lang w:eastAsia="en-AU"/>
              </w:rPr>
            </w:pPr>
          </w:p>
          <w:p w14:paraId="6AF73417"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 xml:space="preserve">What has been the value of the MAMPU Phase 2 research, for the program? For DFAT? For GOI? For other stakeholders? </w:t>
            </w:r>
          </w:p>
          <w:p w14:paraId="289658F5"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Other than the research, how has MAMPU shared its learning beyond GOI and DFAT? Wat has been the value of wider sharing?</w:t>
            </w:r>
          </w:p>
          <w:p w14:paraId="2ADF798F" w14:textId="77777777" w:rsidR="00822E19" w:rsidRPr="00822E19" w:rsidRDefault="00822E19" w:rsidP="00822E19">
            <w:pPr>
              <w:spacing w:after="0" w:line="240" w:lineRule="auto"/>
              <w:rPr>
                <w:rFonts w:ascii="Calibri" w:eastAsia="Times New Roman" w:hAnsi="Calibri" w:cs="Calibri"/>
                <w:color w:val="000000"/>
                <w:lang w:eastAsia="en-AU"/>
              </w:rPr>
            </w:pPr>
          </w:p>
          <w:p w14:paraId="187B0495" w14:textId="5A473286" w:rsidR="00822E19" w:rsidRPr="00A5553F" w:rsidRDefault="00822E19" w:rsidP="00822E19">
            <w:pPr>
              <w:spacing w:after="0" w:line="240" w:lineRule="auto"/>
              <w:rPr>
                <w:rFonts w:ascii="Calibri" w:eastAsia="Times New Roman" w:hAnsi="Calibri" w:cs="Calibri"/>
                <w:b/>
                <w:color w:val="000000"/>
                <w:lang w:eastAsia="en-AU"/>
              </w:rPr>
            </w:pPr>
            <w:r w:rsidRPr="00822E19">
              <w:rPr>
                <w:rFonts w:ascii="Calibri" w:eastAsia="Times New Roman" w:hAnsi="Calibri" w:cs="Calibri"/>
                <w:color w:val="000000"/>
                <w:lang w:eastAsia="en-AU"/>
              </w:rPr>
              <w:t>Does the modality ensure adequate resources are available to meet MAMPU EOPOs? Does the modality enable the effective management of critical risks?</w:t>
            </w:r>
          </w:p>
        </w:tc>
        <w:tc>
          <w:tcPr>
            <w:tcW w:w="2023" w:type="pct"/>
            <w:shd w:val="clear" w:color="auto" w:fill="auto"/>
            <w:noWrap/>
          </w:tcPr>
          <w:p w14:paraId="70073C9E" w14:textId="77777777" w:rsidR="00822E19" w:rsidRDefault="00822E19" w:rsidP="00822E19">
            <w:pPr>
              <w:spacing w:after="0" w:line="240" w:lineRule="auto"/>
              <w:rPr>
                <w:rFonts w:ascii="Calibri" w:eastAsia="Times New Roman" w:hAnsi="Calibri" w:cs="Calibri"/>
                <w:color w:val="000000"/>
                <w:lang w:eastAsia="en-AU"/>
              </w:rPr>
            </w:pPr>
          </w:p>
          <w:p w14:paraId="2A8151BE" w14:textId="74F4D7C9"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Review of the program monitoring and evaluation reporting and documentation.</w:t>
            </w:r>
          </w:p>
          <w:p w14:paraId="3E29A27E" w14:textId="77777777" w:rsidR="00822E19" w:rsidRPr="00822E19" w:rsidRDefault="00822E19" w:rsidP="00822E19">
            <w:pPr>
              <w:spacing w:after="0" w:line="240" w:lineRule="auto"/>
              <w:rPr>
                <w:rFonts w:ascii="Calibri" w:eastAsia="Times New Roman" w:hAnsi="Calibri" w:cs="Calibri"/>
                <w:color w:val="000000"/>
                <w:lang w:eastAsia="en-AU"/>
              </w:rPr>
            </w:pPr>
          </w:p>
          <w:p w14:paraId="5E4B85A7"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Activity mapping.</w:t>
            </w:r>
          </w:p>
          <w:p w14:paraId="12533542" w14:textId="77777777" w:rsidR="00822E19" w:rsidRPr="00822E19" w:rsidRDefault="00822E19" w:rsidP="00822E19">
            <w:pPr>
              <w:spacing w:after="0" w:line="240" w:lineRule="auto"/>
              <w:rPr>
                <w:rFonts w:ascii="Calibri" w:eastAsia="Times New Roman" w:hAnsi="Calibri" w:cs="Calibri"/>
                <w:color w:val="000000"/>
                <w:lang w:eastAsia="en-AU"/>
              </w:rPr>
            </w:pPr>
          </w:p>
          <w:p w14:paraId="1D2ED36F"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Focus group discussion with MAMPU staff and partners</w:t>
            </w:r>
          </w:p>
          <w:p w14:paraId="2872147B" w14:textId="77777777" w:rsidR="00822E19" w:rsidRPr="00822E19" w:rsidRDefault="00822E19" w:rsidP="00822E19">
            <w:pPr>
              <w:spacing w:after="0" w:line="240" w:lineRule="auto"/>
              <w:rPr>
                <w:rFonts w:ascii="Calibri" w:eastAsia="Times New Roman" w:hAnsi="Calibri" w:cs="Calibri"/>
                <w:color w:val="000000"/>
                <w:lang w:eastAsia="en-AU"/>
              </w:rPr>
            </w:pPr>
          </w:p>
          <w:p w14:paraId="3B886D47"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Focus groups with small sample of partners at regional and local levels.</w:t>
            </w:r>
          </w:p>
          <w:p w14:paraId="7BD51847" w14:textId="77777777" w:rsidR="00822E19" w:rsidRPr="00822E19" w:rsidRDefault="00822E19" w:rsidP="00822E19">
            <w:pPr>
              <w:spacing w:after="0" w:line="240" w:lineRule="auto"/>
              <w:rPr>
                <w:rFonts w:ascii="Calibri" w:eastAsia="Times New Roman" w:hAnsi="Calibri" w:cs="Calibri"/>
                <w:color w:val="000000"/>
                <w:lang w:eastAsia="en-AU"/>
              </w:rPr>
            </w:pPr>
          </w:p>
          <w:p w14:paraId="391153AE"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Comparative analysis with other programs and modalities functioning in Indonesia to support civil society.</w:t>
            </w:r>
          </w:p>
          <w:p w14:paraId="68C405A9" w14:textId="77777777" w:rsidR="00822E19" w:rsidRPr="00822E19" w:rsidRDefault="00822E19" w:rsidP="00822E19">
            <w:pPr>
              <w:spacing w:after="0" w:line="240" w:lineRule="auto"/>
              <w:rPr>
                <w:rFonts w:ascii="Calibri" w:eastAsia="Times New Roman" w:hAnsi="Calibri" w:cs="Calibri"/>
                <w:color w:val="000000"/>
                <w:lang w:eastAsia="en-AU"/>
              </w:rPr>
            </w:pPr>
          </w:p>
          <w:p w14:paraId="431A213A"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Key informant interviews with DFAT staff (as above)</w:t>
            </w:r>
          </w:p>
          <w:p w14:paraId="5C797912" w14:textId="77777777" w:rsidR="00822E19" w:rsidRPr="00822E19" w:rsidRDefault="00822E19" w:rsidP="00822E19">
            <w:pPr>
              <w:spacing w:after="0" w:line="240" w:lineRule="auto"/>
              <w:rPr>
                <w:rFonts w:ascii="Calibri" w:eastAsia="Times New Roman" w:hAnsi="Calibri" w:cs="Calibri"/>
                <w:color w:val="000000"/>
                <w:lang w:eastAsia="en-AU"/>
              </w:rPr>
            </w:pPr>
          </w:p>
          <w:p w14:paraId="3B26A0EC"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Key informant interviews with MAMPU NGO partners</w:t>
            </w:r>
          </w:p>
          <w:p w14:paraId="53F86177" w14:textId="77777777" w:rsidR="00822E19" w:rsidRPr="00822E19" w:rsidRDefault="00822E19" w:rsidP="00822E19">
            <w:pPr>
              <w:spacing w:after="0" w:line="240" w:lineRule="auto"/>
              <w:rPr>
                <w:rFonts w:ascii="Calibri" w:eastAsia="Times New Roman" w:hAnsi="Calibri" w:cs="Calibri"/>
                <w:color w:val="000000"/>
                <w:lang w:eastAsia="en-AU"/>
              </w:rPr>
            </w:pPr>
          </w:p>
          <w:p w14:paraId="7ABFE300"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 xml:space="preserve">Key informant interviews with wider CSO/NGO network including DPO </w:t>
            </w:r>
          </w:p>
          <w:p w14:paraId="2E746FDC" w14:textId="77777777" w:rsidR="00822E19" w:rsidRPr="00822E19" w:rsidRDefault="00822E19" w:rsidP="00822E19">
            <w:pPr>
              <w:spacing w:after="0" w:line="240" w:lineRule="auto"/>
              <w:rPr>
                <w:rFonts w:ascii="Calibri" w:eastAsia="Times New Roman" w:hAnsi="Calibri" w:cs="Calibri"/>
                <w:color w:val="000000"/>
                <w:lang w:eastAsia="en-AU"/>
              </w:rPr>
            </w:pPr>
          </w:p>
          <w:p w14:paraId="43F42450" w14:textId="77777777" w:rsidR="00822E19" w:rsidRPr="00822E19" w:rsidRDefault="00822E19" w:rsidP="00822E19">
            <w:pPr>
              <w:spacing w:after="0" w:line="240" w:lineRule="auto"/>
              <w:rPr>
                <w:rFonts w:ascii="Calibri" w:eastAsia="Times New Roman" w:hAnsi="Calibri" w:cs="Calibri"/>
                <w:color w:val="000000"/>
                <w:lang w:eastAsia="en-AU"/>
              </w:rPr>
            </w:pPr>
            <w:r w:rsidRPr="00822E19">
              <w:rPr>
                <w:rFonts w:ascii="Calibri" w:eastAsia="Times New Roman" w:hAnsi="Calibri" w:cs="Calibri"/>
                <w:color w:val="000000"/>
                <w:lang w:eastAsia="en-AU"/>
              </w:rPr>
              <w:t>Key informant interviews with BAPPENAS.</w:t>
            </w:r>
          </w:p>
          <w:p w14:paraId="426B850C" w14:textId="77777777" w:rsidR="00822E19" w:rsidRDefault="00822E19" w:rsidP="00822E19">
            <w:pPr>
              <w:spacing w:after="0" w:line="240" w:lineRule="auto"/>
              <w:rPr>
                <w:rFonts w:ascii="Calibri" w:eastAsia="Times New Roman" w:hAnsi="Calibri" w:cs="Calibri"/>
                <w:color w:val="000000"/>
                <w:lang w:eastAsia="en-AU"/>
              </w:rPr>
            </w:pPr>
          </w:p>
        </w:tc>
      </w:tr>
      <w:tr w:rsidR="003542C0" w:rsidRPr="00FC2923" w14:paraId="2104EFD3" w14:textId="77777777" w:rsidTr="00822E19">
        <w:trPr>
          <w:trHeight w:val="683"/>
        </w:trPr>
        <w:tc>
          <w:tcPr>
            <w:tcW w:w="866" w:type="pct"/>
            <w:shd w:val="clear" w:color="auto" w:fill="auto"/>
          </w:tcPr>
          <w:p w14:paraId="461CA89D" w14:textId="77777777" w:rsidR="003542C0" w:rsidRPr="00C606F5" w:rsidRDefault="003542C0" w:rsidP="003542C0">
            <w:pPr>
              <w:rPr>
                <w:i/>
              </w:rPr>
            </w:pPr>
          </w:p>
        </w:tc>
        <w:tc>
          <w:tcPr>
            <w:tcW w:w="2111" w:type="pct"/>
            <w:shd w:val="clear" w:color="auto" w:fill="auto"/>
            <w:noWrap/>
          </w:tcPr>
          <w:p w14:paraId="3144E7BB" w14:textId="77777777" w:rsidR="003542C0" w:rsidRPr="003542C0" w:rsidRDefault="003542C0" w:rsidP="003542C0">
            <w:pPr>
              <w:spacing w:after="0" w:line="240" w:lineRule="auto"/>
              <w:rPr>
                <w:rFonts w:ascii="Calibri" w:eastAsia="Times New Roman" w:hAnsi="Calibri" w:cs="Calibri"/>
                <w:b/>
                <w:color w:val="000000"/>
                <w:lang w:eastAsia="en-AU"/>
              </w:rPr>
            </w:pPr>
            <w:r w:rsidRPr="003542C0">
              <w:rPr>
                <w:rFonts w:ascii="Calibri" w:eastAsia="Times New Roman" w:hAnsi="Calibri" w:cs="Calibri"/>
                <w:b/>
                <w:color w:val="000000"/>
                <w:lang w:eastAsia="en-AU"/>
              </w:rPr>
              <w:t>Relevance</w:t>
            </w:r>
          </w:p>
          <w:p w14:paraId="3B7ACB99"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 xml:space="preserve">What lessons are available about modalities of aid and their effectiveness in the Indonesia context and /or for support to gender equality? </w:t>
            </w:r>
          </w:p>
          <w:p w14:paraId="70E17E2D" w14:textId="77777777" w:rsidR="003542C0" w:rsidRPr="003542C0" w:rsidRDefault="003542C0" w:rsidP="003542C0">
            <w:pPr>
              <w:spacing w:after="0" w:line="240" w:lineRule="auto"/>
              <w:rPr>
                <w:rFonts w:ascii="Calibri" w:eastAsia="Times New Roman" w:hAnsi="Calibri" w:cs="Calibri"/>
                <w:color w:val="000000"/>
                <w:lang w:eastAsia="en-AU"/>
              </w:rPr>
            </w:pPr>
          </w:p>
          <w:p w14:paraId="15B27D23"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What lessons are there from Indonesia about effective processes for working with NGOS?</w:t>
            </w:r>
          </w:p>
          <w:p w14:paraId="7B7753B2" w14:textId="77777777" w:rsidR="003542C0" w:rsidRPr="003542C0" w:rsidRDefault="003542C0" w:rsidP="003542C0">
            <w:pPr>
              <w:spacing w:after="0" w:line="240" w:lineRule="auto"/>
              <w:rPr>
                <w:rFonts w:ascii="Calibri" w:eastAsia="Times New Roman" w:hAnsi="Calibri" w:cs="Calibri"/>
                <w:color w:val="000000"/>
                <w:lang w:eastAsia="en-AU"/>
              </w:rPr>
            </w:pPr>
          </w:p>
          <w:p w14:paraId="2BD2C568"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 xml:space="preserve">What lessons are there in Indonesia about effective strategies for change for women and for addressing diversity and marginalisation, which are relevant either to MAMPU Phase 2 and/or DFAT policy for gender empowerment and women’s equality?  </w:t>
            </w:r>
          </w:p>
          <w:p w14:paraId="4FEBF66E" w14:textId="77777777" w:rsidR="003542C0" w:rsidRPr="003542C0" w:rsidRDefault="003542C0" w:rsidP="003542C0">
            <w:pPr>
              <w:spacing w:after="0" w:line="240" w:lineRule="auto"/>
              <w:rPr>
                <w:rFonts w:ascii="Calibri" w:eastAsia="Times New Roman" w:hAnsi="Calibri" w:cs="Calibri"/>
                <w:color w:val="000000"/>
                <w:lang w:eastAsia="en-AU"/>
              </w:rPr>
            </w:pPr>
          </w:p>
          <w:p w14:paraId="2A59B706"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Does the MAMPU modality and strategic approach remain appropriate in the context of the political economy dynamics shaping gender equality and women’s empowerment Indonesia, both at national and sub-national levels?</w:t>
            </w:r>
          </w:p>
          <w:p w14:paraId="4ECF2B95"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 xml:space="preserve">How has MAMPU adapted over time? What value has the research and evidence building provided to the program ways of operating? </w:t>
            </w:r>
          </w:p>
          <w:p w14:paraId="7CC7DB20" w14:textId="77777777" w:rsidR="003542C0" w:rsidRPr="003542C0" w:rsidRDefault="003542C0" w:rsidP="003542C0">
            <w:pPr>
              <w:spacing w:after="0" w:line="240" w:lineRule="auto"/>
              <w:rPr>
                <w:rFonts w:ascii="Calibri" w:eastAsia="Times New Roman" w:hAnsi="Calibri" w:cs="Calibri"/>
                <w:color w:val="000000"/>
                <w:lang w:eastAsia="en-AU"/>
              </w:rPr>
            </w:pPr>
          </w:p>
          <w:p w14:paraId="1A2E5F53" w14:textId="77777777" w:rsidR="003542C0" w:rsidRPr="003542C0" w:rsidRDefault="003542C0" w:rsidP="003542C0">
            <w:pPr>
              <w:rPr>
                <w:lang w:eastAsia="en-AU"/>
              </w:rPr>
            </w:pPr>
            <w:r w:rsidRPr="003542C0">
              <w:rPr>
                <w:lang w:eastAsia="en-AU"/>
              </w:rPr>
              <w:t xml:space="preserve">To what extent does MAMPU collaborate effectively with other programs funded by DFAT and/or other donors (such as </w:t>
            </w:r>
            <w:r w:rsidRPr="003542C0">
              <w:t>MAHKOTA, J-PAL, AIPJ, KOMPAK, PEDULI, World Bank Partnership on Poverty Reduction (PKPR), UNFPA/UNWomen, OXFAM</w:t>
            </w:r>
            <w:r w:rsidRPr="003542C0">
              <w:rPr>
                <w:noProof/>
              </w:rPr>
              <w:t>)</w:t>
            </w:r>
            <w:r w:rsidRPr="003542C0">
              <w:rPr>
                <w:lang w:eastAsia="en-AU"/>
              </w:rPr>
              <w:t xml:space="preserve">? </w:t>
            </w:r>
          </w:p>
          <w:p w14:paraId="39ACFAA5" w14:textId="77777777" w:rsidR="003542C0" w:rsidRDefault="003542C0" w:rsidP="003542C0">
            <w:pPr>
              <w:numPr>
                <w:ilvl w:val="0"/>
                <w:numId w:val="12"/>
              </w:numPr>
              <w:contextualSpacing/>
              <w:rPr>
                <w:lang w:eastAsia="en-AU"/>
              </w:rPr>
            </w:pPr>
            <w:r w:rsidRPr="003542C0">
              <w:rPr>
                <w:rFonts w:ascii="Calibri" w:eastAsia="Times New Roman" w:hAnsi="Calibri" w:cs="Calibri"/>
                <w:color w:val="000000"/>
                <w:lang w:eastAsia="en-AU"/>
              </w:rPr>
              <w:t xml:space="preserve">Is there any overlap? </w:t>
            </w:r>
          </w:p>
          <w:p w14:paraId="547D62A7" w14:textId="38D0B498" w:rsidR="003542C0" w:rsidRPr="003542C0" w:rsidRDefault="003542C0" w:rsidP="003542C0">
            <w:pPr>
              <w:numPr>
                <w:ilvl w:val="0"/>
                <w:numId w:val="12"/>
              </w:numPr>
              <w:contextualSpacing/>
              <w:rPr>
                <w:lang w:eastAsia="en-AU"/>
              </w:rPr>
            </w:pPr>
            <w:r w:rsidRPr="003542C0">
              <w:rPr>
                <w:rFonts w:ascii="Calibri" w:eastAsia="Times New Roman" w:hAnsi="Calibri" w:cs="Calibri"/>
                <w:color w:val="000000"/>
                <w:lang w:eastAsia="en-AU"/>
              </w:rPr>
              <w:t>What can MAMPU learn from these other programs?</w:t>
            </w:r>
          </w:p>
        </w:tc>
        <w:tc>
          <w:tcPr>
            <w:tcW w:w="2023" w:type="pct"/>
            <w:shd w:val="clear" w:color="auto" w:fill="auto"/>
            <w:noWrap/>
          </w:tcPr>
          <w:p w14:paraId="6D55F5C6" w14:textId="77777777" w:rsidR="003542C0" w:rsidRDefault="003542C0" w:rsidP="003542C0">
            <w:pPr>
              <w:spacing w:after="0" w:line="240" w:lineRule="auto"/>
              <w:rPr>
                <w:rFonts w:ascii="Calibri" w:eastAsia="Times New Roman" w:hAnsi="Calibri" w:cs="Calibri"/>
                <w:color w:val="000000"/>
                <w:lang w:eastAsia="en-AU"/>
              </w:rPr>
            </w:pPr>
          </w:p>
          <w:p w14:paraId="15C29B74" w14:textId="77777777" w:rsidR="003542C0" w:rsidRDefault="003542C0" w:rsidP="003542C0">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Review of relevant literature. </w:t>
            </w:r>
          </w:p>
          <w:p w14:paraId="65D2619E" w14:textId="77777777" w:rsidR="003542C0" w:rsidRDefault="003542C0" w:rsidP="003542C0">
            <w:pPr>
              <w:spacing w:after="0" w:line="240" w:lineRule="auto"/>
              <w:rPr>
                <w:rFonts w:ascii="Calibri" w:eastAsia="Times New Roman" w:hAnsi="Calibri" w:cs="Calibri"/>
                <w:color w:val="000000"/>
                <w:lang w:eastAsia="en-AU"/>
              </w:rPr>
            </w:pPr>
          </w:p>
          <w:p w14:paraId="52F7D83E" w14:textId="77777777" w:rsidR="003542C0" w:rsidRPr="00112DB5" w:rsidRDefault="003542C0" w:rsidP="003542C0">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Strategy assessment through program documentation and informed interviews.</w:t>
            </w:r>
          </w:p>
          <w:p w14:paraId="092FA74E" w14:textId="77777777" w:rsidR="003542C0" w:rsidRPr="00112DB5" w:rsidRDefault="003542C0" w:rsidP="003542C0">
            <w:pPr>
              <w:spacing w:after="0" w:line="240" w:lineRule="auto"/>
              <w:rPr>
                <w:rFonts w:ascii="Calibri" w:eastAsia="Times New Roman" w:hAnsi="Calibri" w:cs="Calibri"/>
                <w:color w:val="000000"/>
                <w:lang w:eastAsia="en-AU"/>
              </w:rPr>
            </w:pPr>
          </w:p>
          <w:p w14:paraId="04321A94" w14:textId="77777777" w:rsidR="003542C0" w:rsidRPr="00112DB5" w:rsidRDefault="003542C0" w:rsidP="003542C0">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Key informant interviews with Indonesian women’s organisations and relevant research institutions</w:t>
            </w:r>
            <w:r>
              <w:rPr>
                <w:rFonts w:ascii="Calibri" w:eastAsia="Times New Roman" w:hAnsi="Calibri" w:cs="Calibri"/>
                <w:color w:val="000000"/>
                <w:lang w:eastAsia="en-AU"/>
              </w:rPr>
              <w:t xml:space="preserve"> (as above)</w:t>
            </w:r>
            <w:r w:rsidRPr="00112DB5">
              <w:rPr>
                <w:rFonts w:ascii="Calibri" w:eastAsia="Times New Roman" w:hAnsi="Calibri" w:cs="Calibri"/>
                <w:color w:val="000000"/>
                <w:lang w:eastAsia="en-AU"/>
              </w:rPr>
              <w:t>.</w:t>
            </w:r>
          </w:p>
          <w:p w14:paraId="11325EEF" w14:textId="77777777" w:rsidR="003542C0" w:rsidRDefault="003542C0" w:rsidP="003542C0">
            <w:pPr>
              <w:spacing w:after="0" w:line="240" w:lineRule="auto"/>
              <w:rPr>
                <w:rFonts w:ascii="Calibri" w:eastAsia="Times New Roman" w:hAnsi="Calibri" w:cs="Calibri"/>
                <w:color w:val="000000"/>
                <w:lang w:eastAsia="en-AU"/>
              </w:rPr>
            </w:pPr>
          </w:p>
          <w:p w14:paraId="5470AF05" w14:textId="77777777" w:rsidR="003542C0" w:rsidRPr="00112DB5" w:rsidRDefault="003542C0" w:rsidP="003542C0">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Key infor</w:t>
            </w:r>
            <w:r>
              <w:rPr>
                <w:rFonts w:ascii="Calibri" w:eastAsia="Times New Roman" w:hAnsi="Calibri" w:cs="Calibri"/>
                <w:color w:val="000000"/>
                <w:lang w:eastAsia="en-AU"/>
              </w:rPr>
              <w:t xml:space="preserve">mant interviews with DFAT staff (Canberra and Indonesia as above) </w:t>
            </w:r>
          </w:p>
          <w:p w14:paraId="01F73580" w14:textId="77777777" w:rsidR="003542C0" w:rsidRDefault="003542C0" w:rsidP="003542C0">
            <w:pPr>
              <w:spacing w:after="0" w:line="240" w:lineRule="auto"/>
              <w:rPr>
                <w:rFonts w:ascii="Calibri" w:eastAsia="Times New Roman" w:hAnsi="Calibri" w:cs="Calibri"/>
                <w:color w:val="000000"/>
                <w:lang w:eastAsia="en-AU"/>
              </w:rPr>
            </w:pPr>
          </w:p>
          <w:p w14:paraId="03CC2B72" w14:textId="77777777" w:rsidR="003542C0" w:rsidRPr="00112DB5" w:rsidRDefault="003542C0" w:rsidP="003542C0">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Interviews with other donors (as above) </w:t>
            </w:r>
          </w:p>
          <w:p w14:paraId="4AAB73E1" w14:textId="77777777" w:rsidR="003542C0" w:rsidRDefault="003542C0" w:rsidP="003542C0">
            <w:pPr>
              <w:spacing w:after="0" w:line="240" w:lineRule="auto"/>
              <w:rPr>
                <w:rFonts w:ascii="Calibri" w:eastAsia="Times New Roman" w:hAnsi="Calibri" w:cs="Calibri"/>
                <w:color w:val="000000"/>
                <w:lang w:eastAsia="en-AU"/>
              </w:rPr>
            </w:pPr>
          </w:p>
          <w:p w14:paraId="693E95C7" w14:textId="2E8969CE" w:rsidR="003542C0" w:rsidRDefault="003542C0" w:rsidP="003542C0">
            <w:pPr>
              <w:spacing w:after="0" w:line="240" w:lineRule="auto"/>
              <w:rPr>
                <w:rFonts w:ascii="Calibri" w:eastAsia="Times New Roman" w:hAnsi="Calibri" w:cs="Calibri"/>
                <w:color w:val="000000"/>
                <w:lang w:eastAsia="en-AU"/>
              </w:rPr>
            </w:pPr>
            <w:r w:rsidRPr="00112DB5">
              <w:rPr>
                <w:rFonts w:ascii="Calibri" w:eastAsia="Times New Roman" w:hAnsi="Calibri" w:cs="Calibri"/>
                <w:color w:val="000000"/>
                <w:lang w:eastAsia="en-AU"/>
              </w:rPr>
              <w:t xml:space="preserve">Informant interviews with MAMPU staff and partners. </w:t>
            </w:r>
          </w:p>
        </w:tc>
      </w:tr>
      <w:tr w:rsidR="003542C0" w:rsidRPr="00FC2923" w14:paraId="36BE2FC1" w14:textId="77777777" w:rsidTr="00822E19">
        <w:trPr>
          <w:trHeight w:val="683"/>
        </w:trPr>
        <w:tc>
          <w:tcPr>
            <w:tcW w:w="866" w:type="pct"/>
            <w:shd w:val="clear" w:color="auto" w:fill="auto"/>
          </w:tcPr>
          <w:p w14:paraId="3249FDC5" w14:textId="77777777" w:rsidR="003542C0" w:rsidRPr="00C606F5" w:rsidRDefault="003542C0" w:rsidP="003542C0">
            <w:pPr>
              <w:rPr>
                <w:i/>
              </w:rPr>
            </w:pPr>
          </w:p>
        </w:tc>
        <w:tc>
          <w:tcPr>
            <w:tcW w:w="2111" w:type="pct"/>
            <w:shd w:val="clear" w:color="auto" w:fill="auto"/>
            <w:noWrap/>
          </w:tcPr>
          <w:p w14:paraId="2E9D9B8F" w14:textId="77777777" w:rsidR="003542C0" w:rsidRPr="003542C0" w:rsidRDefault="003542C0" w:rsidP="003542C0">
            <w:pPr>
              <w:spacing w:after="0" w:line="240" w:lineRule="auto"/>
              <w:rPr>
                <w:rFonts w:ascii="Calibri" w:eastAsia="Times New Roman" w:hAnsi="Calibri" w:cs="Calibri"/>
                <w:b/>
                <w:color w:val="000000"/>
                <w:lang w:eastAsia="en-AU"/>
              </w:rPr>
            </w:pPr>
            <w:r w:rsidRPr="003542C0">
              <w:rPr>
                <w:rFonts w:ascii="Calibri" w:eastAsia="Times New Roman" w:hAnsi="Calibri" w:cs="Calibri"/>
                <w:b/>
                <w:color w:val="000000"/>
                <w:lang w:eastAsia="en-AU"/>
              </w:rPr>
              <w:t>Future Considerations</w:t>
            </w:r>
          </w:p>
          <w:p w14:paraId="6F659B35"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What future program modalities will best serve the priorities and policies of DFAT and GOI?</w:t>
            </w:r>
          </w:p>
          <w:p w14:paraId="28002D6D"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 xml:space="preserve">What lessons learned should shape Australian support for women’s empowerment and gender equality into the future? </w:t>
            </w:r>
          </w:p>
          <w:p w14:paraId="5B9935BF" w14:textId="77777777" w:rsidR="003542C0" w:rsidRPr="003542C0" w:rsidRDefault="003542C0" w:rsidP="003542C0">
            <w:pPr>
              <w:spacing w:after="0" w:line="240" w:lineRule="auto"/>
              <w:rPr>
                <w:rFonts w:ascii="Calibri" w:eastAsia="Times New Roman" w:hAnsi="Calibri" w:cs="Calibri"/>
                <w:b/>
                <w:color w:val="000000"/>
                <w:lang w:eastAsia="en-AU"/>
              </w:rPr>
            </w:pPr>
          </w:p>
        </w:tc>
        <w:tc>
          <w:tcPr>
            <w:tcW w:w="2023" w:type="pct"/>
            <w:shd w:val="clear" w:color="auto" w:fill="auto"/>
            <w:noWrap/>
          </w:tcPr>
          <w:p w14:paraId="7B53F56F" w14:textId="77777777" w:rsidR="003542C0" w:rsidRPr="003542C0" w:rsidRDefault="003542C0" w:rsidP="003542C0">
            <w:pPr>
              <w:spacing w:after="0" w:line="240" w:lineRule="auto"/>
              <w:rPr>
                <w:rFonts w:ascii="Calibri" w:eastAsia="Times New Roman" w:hAnsi="Calibri" w:cs="Calibri"/>
                <w:color w:val="000000"/>
                <w:lang w:eastAsia="en-AU"/>
              </w:rPr>
            </w:pPr>
            <w:r w:rsidRPr="003542C0">
              <w:rPr>
                <w:rFonts w:ascii="Calibri" w:eastAsia="Times New Roman" w:hAnsi="Calibri" w:cs="Calibri"/>
                <w:color w:val="000000"/>
                <w:lang w:eastAsia="en-AU"/>
              </w:rPr>
              <w:t xml:space="preserve">Key informant interviews with DFAT staff (Canberra and Indonesia as above) </w:t>
            </w:r>
          </w:p>
          <w:p w14:paraId="1FAFCFA8" w14:textId="77777777" w:rsidR="003542C0" w:rsidRDefault="003542C0" w:rsidP="003542C0">
            <w:pPr>
              <w:spacing w:after="0" w:line="240" w:lineRule="auto"/>
              <w:rPr>
                <w:rFonts w:ascii="Calibri" w:eastAsia="Times New Roman" w:hAnsi="Calibri" w:cs="Calibri"/>
                <w:color w:val="000000"/>
                <w:lang w:eastAsia="en-AU"/>
              </w:rPr>
            </w:pPr>
          </w:p>
        </w:tc>
      </w:tr>
    </w:tbl>
    <w:p w14:paraId="241EE046" w14:textId="77777777" w:rsidR="002A5118" w:rsidRDefault="002A5118" w:rsidP="002A5118"/>
    <w:p w14:paraId="266F40A2" w14:textId="77777777" w:rsidR="002A5118" w:rsidRDefault="002A5118" w:rsidP="002A5118">
      <w:pPr>
        <w:sectPr w:rsidR="002A5118" w:rsidSect="0034157E">
          <w:pgSz w:w="16838" w:h="11906" w:orient="landscape"/>
          <w:pgMar w:top="1440" w:right="1440" w:bottom="1440" w:left="1440" w:header="709" w:footer="709" w:gutter="0"/>
          <w:cols w:space="708"/>
          <w:docGrid w:linePitch="360"/>
        </w:sectPr>
      </w:pPr>
    </w:p>
    <w:p w14:paraId="150F5E98" w14:textId="77777777" w:rsidR="002A5118" w:rsidRDefault="002A5118" w:rsidP="00CB14AA">
      <w:pPr>
        <w:pStyle w:val="Heading4"/>
      </w:pPr>
      <w:r>
        <w:t xml:space="preserve"> Analysis</w:t>
      </w:r>
    </w:p>
    <w:p w14:paraId="09ACBB99" w14:textId="77777777" w:rsidR="002A5118" w:rsidRDefault="002A5118" w:rsidP="003542C0">
      <w:pPr>
        <w:jc w:val="both"/>
      </w:pPr>
      <w:r>
        <w:t xml:space="preserve">The analysis process for the ISR will take place at several points. </w:t>
      </w:r>
    </w:p>
    <w:p w14:paraId="42A58FE8" w14:textId="77777777" w:rsidR="002A5118" w:rsidRDefault="002A5118" w:rsidP="003542C0">
      <w:pPr>
        <w:jc w:val="both"/>
      </w:pPr>
      <w:r>
        <w:t xml:space="preserve">In regard to the effectiveness and achievements of MAMPU Phase 2, the COR process and the final analysis workshop that is part of the process, should help to make sense of the value of MAMPU Phase 2 achievements from the perspective of NGO partners and their members. The ISR team participation in the workshop, and the review of data from the internal review, will provide the opportunity to test initial conclusions gathered through other data collection, and compare it with the analysis that emerges directly from partners and their members. </w:t>
      </w:r>
    </w:p>
    <w:p w14:paraId="648EA161" w14:textId="77777777" w:rsidR="002A5118" w:rsidRDefault="002A5118" w:rsidP="003542C0">
      <w:pPr>
        <w:jc w:val="both"/>
      </w:pPr>
      <w:r>
        <w:t xml:space="preserve">Beyond this, the ISR team intend to integrate analysis with the data collection process as far as possible. Analysis will take place during data collection, with regular checking of interpretation and understanding with key informants. In addition, the ISR team will meet regularly throughout the data collection process to jointly analyse and interpret the data. When necessary, information will be checked and clarified during the </w:t>
      </w:r>
      <w:r w:rsidR="00B41CAC">
        <w:t>in-country</w:t>
      </w:r>
      <w:r>
        <w:t xml:space="preserve"> mission.</w:t>
      </w:r>
    </w:p>
    <w:p w14:paraId="4ED1E7DF" w14:textId="77777777" w:rsidR="002A5118" w:rsidRDefault="002A5118" w:rsidP="003542C0">
      <w:pPr>
        <w:jc w:val="both"/>
      </w:pPr>
      <w:r>
        <w:t xml:space="preserve">There will be two points of specific review of the ISR team analysis, at the end of the </w:t>
      </w:r>
      <w:r w:rsidR="00B41CAC">
        <w:t>in-country</w:t>
      </w:r>
      <w:r>
        <w:t xml:space="preserve"> mission (in the form of a discussion about the Aide Memoire) and at a later review meeting with DFAT Canberra (with various areas as specified in Table One. Both opportunities will allow for testing of the ISR conclusions, some further insight and clarification and an improved interpretation of the data. </w:t>
      </w:r>
    </w:p>
    <w:p w14:paraId="65B9237C" w14:textId="77777777" w:rsidR="002A5118" w:rsidRDefault="002A5118" w:rsidP="003542C0">
      <w:pPr>
        <w:jc w:val="both"/>
      </w:pPr>
      <w:r>
        <w:t>Finally, the ISR team will take responsibility to collate and provide overall analysis of the data, drawing on relevant research and policy and practice frameworks to identify major implications and findings across the three focus areas identified in the TOR. This will be presented in a draft report to DFAT, who in turn will have responsibility to review this analysis and provisional recommendations, consult with other stakeholders and provide additional interpretation. The final report will reflect the combination of these various stages of consideration and analysis.</w:t>
      </w:r>
    </w:p>
    <w:p w14:paraId="0A934536" w14:textId="77777777" w:rsidR="002A5118" w:rsidRDefault="002A5118" w:rsidP="003542C0">
      <w:pPr>
        <w:pStyle w:val="Heading4"/>
        <w:jc w:val="both"/>
      </w:pPr>
      <w:r>
        <w:t>Limitations</w:t>
      </w:r>
    </w:p>
    <w:p w14:paraId="4ED2D114" w14:textId="77777777" w:rsidR="002A5118" w:rsidRDefault="002A5118" w:rsidP="003542C0">
      <w:pPr>
        <w:jc w:val="both"/>
      </w:pPr>
      <w:r>
        <w:t xml:space="preserve">The ISR is being undertaken at the midpoint of the second phase of MAMPU implementation. It is not intended to be an impact evaluation or final outcome evaluation. It will focus on the value of MAMPU Phase 2 in the current context, and its strategic value going forward, not the absolute value of the investment as a whole. Further, in light of the focus areas identified for the ISR, it will not undertake a detailed study of MAMPU activities and outputs. The focus will be on the </w:t>
      </w:r>
      <w:r w:rsidR="00B41CAC">
        <w:t>high-level</w:t>
      </w:r>
      <w:r>
        <w:t xml:space="preserve"> strategic interface between MAMPU and its approach, and the current and likely future context for program implementation.</w:t>
      </w:r>
    </w:p>
    <w:p w14:paraId="08ABC968" w14:textId="77777777" w:rsidR="002A5118" w:rsidRDefault="002A5118" w:rsidP="003542C0">
      <w:pPr>
        <w:jc w:val="both"/>
      </w:pPr>
      <w:r>
        <w:t>The ISR team will seek to make use of existing information as directed by the TOR (As far as time and resources allow this existing information will be further verified). While this will provide for efficiency in data collection, it is recognised there will be some limitations with the ISR team unable to examine firsthand all aspects of program operation and relationships.</w:t>
      </w:r>
    </w:p>
    <w:p w14:paraId="415A45CA" w14:textId="77777777" w:rsidR="002A5118" w:rsidRDefault="002A5118" w:rsidP="003542C0">
      <w:pPr>
        <w:jc w:val="both"/>
      </w:pPr>
      <w:r>
        <w:t>Finally, the ISR team brings a range of expertise and capability but does not include expertise in all areas of MAMPU focus. As far as possible other sources of expertise and knowledge will be drawn upon where required, but it is recognised there will be limitations to the technical assessment that the ISR team is able to make about specific</w:t>
      </w:r>
      <w:r w:rsidRPr="002E432E">
        <w:t xml:space="preserve"> </w:t>
      </w:r>
      <w:r>
        <w:t>MAMPU work areas.</w:t>
      </w:r>
    </w:p>
    <w:p w14:paraId="3F343A43" w14:textId="77777777" w:rsidR="002A5118" w:rsidRDefault="002A5118" w:rsidP="003542C0">
      <w:pPr>
        <w:jc w:val="both"/>
      </w:pPr>
      <w:r>
        <w:t>The ISR conclusions and recommendations will need to be considered in light of these limitations.</w:t>
      </w:r>
    </w:p>
    <w:p w14:paraId="51ABFB0C" w14:textId="77777777" w:rsidR="002A5118" w:rsidRDefault="002A5118" w:rsidP="003542C0">
      <w:pPr>
        <w:jc w:val="both"/>
        <w:rPr>
          <w:rFonts w:asciiTheme="majorHAnsi" w:eastAsiaTheme="majorEastAsia" w:hAnsiTheme="majorHAnsi" w:cstheme="majorBidi"/>
          <w:color w:val="1F4D78" w:themeColor="accent1" w:themeShade="7F"/>
          <w:sz w:val="24"/>
          <w:szCs w:val="24"/>
        </w:rPr>
      </w:pPr>
      <w:r>
        <w:br w:type="page"/>
      </w:r>
    </w:p>
    <w:p w14:paraId="4DCAEBFA" w14:textId="77777777" w:rsidR="002A5118" w:rsidRDefault="002A5118" w:rsidP="003542C0">
      <w:pPr>
        <w:pStyle w:val="Heading3"/>
        <w:jc w:val="both"/>
        <w:sectPr w:rsidR="002A5118" w:rsidSect="0034157E">
          <w:pgSz w:w="11906" w:h="16838"/>
          <w:pgMar w:top="1440" w:right="1440" w:bottom="1440" w:left="1440" w:header="709" w:footer="709" w:gutter="0"/>
          <w:cols w:space="708"/>
          <w:docGrid w:linePitch="360"/>
        </w:sectPr>
      </w:pPr>
    </w:p>
    <w:p w14:paraId="7CCBAFE1" w14:textId="77777777" w:rsidR="002A5118" w:rsidRDefault="002A5118" w:rsidP="002A5118">
      <w:pPr>
        <w:pStyle w:val="Heading4"/>
      </w:pPr>
      <w:r>
        <w:t>Timing</w:t>
      </w:r>
    </w:p>
    <w:p w14:paraId="2D2757AE" w14:textId="77777777" w:rsidR="002A5118" w:rsidRDefault="002A5118" w:rsidP="002A5118">
      <w:r>
        <w:t>The proposed ISR timeframe and activities are outlined in the following table.</w:t>
      </w:r>
    </w:p>
    <w:p w14:paraId="595B7B50" w14:textId="77777777" w:rsidR="002A5118" w:rsidRDefault="002A5118" w:rsidP="002A5118">
      <w:pPr>
        <w:pStyle w:val="Heading4"/>
      </w:pPr>
      <w:r>
        <w:t>Table Two. ISR timing</w:t>
      </w:r>
    </w:p>
    <w:tbl>
      <w:tblPr>
        <w:tblStyle w:val="TableGrid"/>
        <w:tblW w:w="0" w:type="auto"/>
        <w:tblLook w:val="04A0" w:firstRow="1" w:lastRow="0" w:firstColumn="1" w:lastColumn="0" w:noHBand="0" w:noVBand="1"/>
      </w:tblPr>
      <w:tblGrid>
        <w:gridCol w:w="2830"/>
        <w:gridCol w:w="2410"/>
        <w:gridCol w:w="1701"/>
        <w:gridCol w:w="6554"/>
      </w:tblGrid>
      <w:tr w:rsidR="002A5118" w14:paraId="00F006F3" w14:textId="77777777" w:rsidTr="00441EF2">
        <w:trPr>
          <w:tblHeader/>
        </w:trPr>
        <w:tc>
          <w:tcPr>
            <w:tcW w:w="2830" w:type="dxa"/>
          </w:tcPr>
          <w:p w14:paraId="25968262" w14:textId="77777777" w:rsidR="002A5118" w:rsidRDefault="002A5118" w:rsidP="0034157E">
            <w:pPr>
              <w:pStyle w:val="Heading4"/>
              <w:outlineLvl w:val="3"/>
            </w:pPr>
            <w:r>
              <w:t>Task</w:t>
            </w:r>
          </w:p>
        </w:tc>
        <w:tc>
          <w:tcPr>
            <w:tcW w:w="2410" w:type="dxa"/>
          </w:tcPr>
          <w:p w14:paraId="1A14A6AC" w14:textId="77777777" w:rsidR="002A5118" w:rsidRDefault="002A5118" w:rsidP="0034157E">
            <w:pPr>
              <w:pStyle w:val="Heading4"/>
              <w:outlineLvl w:val="3"/>
            </w:pPr>
            <w:r>
              <w:t>Responsibility</w:t>
            </w:r>
          </w:p>
        </w:tc>
        <w:tc>
          <w:tcPr>
            <w:tcW w:w="1701" w:type="dxa"/>
          </w:tcPr>
          <w:p w14:paraId="254AC963" w14:textId="77777777" w:rsidR="002A5118" w:rsidRDefault="002A5118" w:rsidP="0034157E">
            <w:pPr>
              <w:pStyle w:val="Heading4"/>
              <w:outlineLvl w:val="3"/>
            </w:pPr>
            <w:r>
              <w:t>Timing</w:t>
            </w:r>
          </w:p>
        </w:tc>
        <w:tc>
          <w:tcPr>
            <w:tcW w:w="6554" w:type="dxa"/>
          </w:tcPr>
          <w:p w14:paraId="411C9795" w14:textId="77777777" w:rsidR="002A5118" w:rsidRDefault="002A5118" w:rsidP="0034157E">
            <w:pPr>
              <w:pStyle w:val="Heading4"/>
              <w:outlineLvl w:val="3"/>
            </w:pPr>
            <w:r>
              <w:t>Outputs</w:t>
            </w:r>
          </w:p>
        </w:tc>
      </w:tr>
      <w:tr w:rsidR="002A5118" w14:paraId="52773B6B" w14:textId="77777777" w:rsidTr="00441EF2">
        <w:tc>
          <w:tcPr>
            <w:tcW w:w="2830" w:type="dxa"/>
          </w:tcPr>
          <w:p w14:paraId="13474743" w14:textId="77777777" w:rsidR="002A5118" w:rsidRDefault="002A5118" w:rsidP="0034157E">
            <w:r>
              <w:t>Evaluation plan</w:t>
            </w:r>
          </w:p>
        </w:tc>
        <w:tc>
          <w:tcPr>
            <w:tcW w:w="2410" w:type="dxa"/>
          </w:tcPr>
          <w:p w14:paraId="3085848C" w14:textId="77777777" w:rsidR="002A5118" w:rsidRDefault="002A5118" w:rsidP="0034157E">
            <w:r>
              <w:t xml:space="preserve">ISR team leader </w:t>
            </w:r>
          </w:p>
          <w:p w14:paraId="0D3ABE79" w14:textId="77777777" w:rsidR="002A5118" w:rsidRDefault="002A5118" w:rsidP="0034157E">
            <w:r>
              <w:t>ISR gender specialist</w:t>
            </w:r>
          </w:p>
        </w:tc>
        <w:tc>
          <w:tcPr>
            <w:tcW w:w="1701" w:type="dxa"/>
          </w:tcPr>
          <w:p w14:paraId="21A9EE5B" w14:textId="77777777" w:rsidR="002A5118" w:rsidRDefault="002A5118" w:rsidP="0034157E">
            <w:r>
              <w:t>First week of September 2018</w:t>
            </w:r>
          </w:p>
        </w:tc>
        <w:tc>
          <w:tcPr>
            <w:tcW w:w="6554" w:type="dxa"/>
          </w:tcPr>
          <w:p w14:paraId="0F29D258" w14:textId="77777777" w:rsidR="002A5118" w:rsidRDefault="002A5118" w:rsidP="0034157E">
            <w:r>
              <w:t>Evaluation plan</w:t>
            </w:r>
          </w:p>
        </w:tc>
      </w:tr>
      <w:tr w:rsidR="002A5118" w14:paraId="308B97DD" w14:textId="77777777" w:rsidTr="00441EF2">
        <w:tc>
          <w:tcPr>
            <w:tcW w:w="2830" w:type="dxa"/>
          </w:tcPr>
          <w:p w14:paraId="432F57F7" w14:textId="77777777" w:rsidR="002A5118" w:rsidRDefault="002A5118" w:rsidP="0034157E">
            <w:r>
              <w:t>Review of relevant program documentation</w:t>
            </w:r>
          </w:p>
        </w:tc>
        <w:tc>
          <w:tcPr>
            <w:tcW w:w="2410" w:type="dxa"/>
          </w:tcPr>
          <w:p w14:paraId="0A4E8A08" w14:textId="77777777" w:rsidR="002A5118" w:rsidRDefault="002A5118" w:rsidP="0034157E">
            <w:r>
              <w:t xml:space="preserve">ISR team leader </w:t>
            </w:r>
          </w:p>
          <w:p w14:paraId="02120C95" w14:textId="77777777" w:rsidR="002A5118" w:rsidRDefault="002A5118" w:rsidP="0034157E">
            <w:r>
              <w:t>ISR gender specialist</w:t>
            </w:r>
          </w:p>
        </w:tc>
        <w:tc>
          <w:tcPr>
            <w:tcW w:w="1701" w:type="dxa"/>
          </w:tcPr>
          <w:p w14:paraId="09796209" w14:textId="77777777" w:rsidR="002A5118" w:rsidRDefault="002A5118" w:rsidP="0034157E">
            <w:r>
              <w:t>Second week of September 2018</w:t>
            </w:r>
          </w:p>
        </w:tc>
        <w:tc>
          <w:tcPr>
            <w:tcW w:w="6554" w:type="dxa"/>
          </w:tcPr>
          <w:p w14:paraId="10B2A5B4" w14:textId="77777777" w:rsidR="002A5118" w:rsidRDefault="002A5118" w:rsidP="0034157E">
            <w:r>
              <w:t>Interim assessment of program progress.</w:t>
            </w:r>
          </w:p>
        </w:tc>
      </w:tr>
      <w:tr w:rsidR="002A5118" w14:paraId="4FC268BB" w14:textId="77777777" w:rsidTr="00441EF2">
        <w:tc>
          <w:tcPr>
            <w:tcW w:w="2830" w:type="dxa"/>
          </w:tcPr>
          <w:p w14:paraId="764DCDB0" w14:textId="77777777" w:rsidR="002A5118" w:rsidRDefault="002A5118" w:rsidP="0034157E">
            <w:r>
              <w:t>Review of documentation relevant to other DFAT programs in Indonesia and beyond</w:t>
            </w:r>
          </w:p>
          <w:p w14:paraId="21D8DDAD" w14:textId="77777777" w:rsidR="002A5118" w:rsidRDefault="002A5118" w:rsidP="0034157E">
            <w:r>
              <w:t>Mapping GOI policy development and relevant MAMPU activities</w:t>
            </w:r>
          </w:p>
        </w:tc>
        <w:tc>
          <w:tcPr>
            <w:tcW w:w="2410" w:type="dxa"/>
          </w:tcPr>
          <w:p w14:paraId="17BCF3F7" w14:textId="77777777" w:rsidR="002A5118" w:rsidRDefault="002A5118" w:rsidP="0034157E">
            <w:r>
              <w:t xml:space="preserve">ISR team leader </w:t>
            </w:r>
          </w:p>
          <w:p w14:paraId="46E81476" w14:textId="77777777" w:rsidR="002A5118" w:rsidRDefault="002A5118" w:rsidP="0034157E"/>
          <w:p w14:paraId="5065C284" w14:textId="77777777" w:rsidR="002A5118" w:rsidRDefault="002A5118" w:rsidP="0034157E"/>
          <w:p w14:paraId="6AE41F03" w14:textId="77777777" w:rsidR="002A5118" w:rsidRDefault="002A5118" w:rsidP="0034157E"/>
          <w:p w14:paraId="4C86A6DB" w14:textId="77777777" w:rsidR="002A5118" w:rsidRDefault="002A5118" w:rsidP="0034157E">
            <w:r>
              <w:t>ISR gender specialist</w:t>
            </w:r>
          </w:p>
          <w:p w14:paraId="64BC07A2" w14:textId="77777777" w:rsidR="002A5118" w:rsidRDefault="002A5118" w:rsidP="0034157E"/>
        </w:tc>
        <w:tc>
          <w:tcPr>
            <w:tcW w:w="1701" w:type="dxa"/>
          </w:tcPr>
          <w:p w14:paraId="1C7DB728" w14:textId="77777777" w:rsidR="002A5118" w:rsidRDefault="002A5118" w:rsidP="0034157E">
            <w:r>
              <w:t>Third week of September 2018</w:t>
            </w:r>
          </w:p>
        </w:tc>
        <w:tc>
          <w:tcPr>
            <w:tcW w:w="6554" w:type="dxa"/>
          </w:tcPr>
          <w:p w14:paraId="1DE84330" w14:textId="77777777" w:rsidR="002A5118" w:rsidRDefault="002A5118" w:rsidP="0034157E">
            <w:r>
              <w:t>Interim summary of other DFAT program approach to gender equality and empowerment.</w:t>
            </w:r>
          </w:p>
          <w:p w14:paraId="7266511D" w14:textId="77777777" w:rsidR="002A5118" w:rsidRDefault="002A5118" w:rsidP="0034157E"/>
          <w:p w14:paraId="5A42CD14" w14:textId="77777777" w:rsidR="002A5118" w:rsidRDefault="002A5118" w:rsidP="0034157E">
            <w:r>
              <w:t>Interim assessment of MAMPU policy contribution.</w:t>
            </w:r>
          </w:p>
        </w:tc>
      </w:tr>
      <w:tr w:rsidR="002A5118" w14:paraId="79FEEEC5" w14:textId="77777777" w:rsidTr="00441EF2">
        <w:tc>
          <w:tcPr>
            <w:tcW w:w="2830" w:type="dxa"/>
          </w:tcPr>
          <w:p w14:paraId="7038C06C" w14:textId="77777777" w:rsidR="002A5118" w:rsidRDefault="002A5118" w:rsidP="0034157E">
            <w:r>
              <w:t>In country mission</w:t>
            </w:r>
          </w:p>
          <w:p w14:paraId="4C3ADE0E" w14:textId="77777777" w:rsidR="002A5118" w:rsidRPr="0072755A" w:rsidRDefault="002A5118" w:rsidP="0034157E">
            <w:pPr>
              <w:rPr>
                <w:i/>
              </w:rPr>
            </w:pPr>
            <w:r w:rsidRPr="0072755A">
              <w:rPr>
                <w:i/>
              </w:rPr>
              <w:t xml:space="preserve">Week one focus: </w:t>
            </w:r>
          </w:p>
          <w:p w14:paraId="09658B71" w14:textId="77777777" w:rsidR="002A5118" w:rsidRPr="0072755A" w:rsidRDefault="002A5118" w:rsidP="0034157E">
            <w:pPr>
              <w:rPr>
                <w:i/>
              </w:rPr>
            </w:pPr>
            <w:r w:rsidRPr="0072755A">
              <w:rPr>
                <w:i/>
              </w:rPr>
              <w:t>DFAT and GOI.</w:t>
            </w:r>
          </w:p>
          <w:p w14:paraId="17A3250D" w14:textId="77777777" w:rsidR="002A5118" w:rsidRDefault="002A5118" w:rsidP="0034157E">
            <w:r w:rsidRPr="0072755A">
              <w:rPr>
                <w:i/>
              </w:rPr>
              <w:t>MAMPU staff and internal processes</w:t>
            </w:r>
            <w:r>
              <w:t>.</w:t>
            </w:r>
          </w:p>
          <w:p w14:paraId="68D123A2" w14:textId="77777777" w:rsidR="002A5118" w:rsidRDefault="002A5118" w:rsidP="0034157E"/>
        </w:tc>
        <w:tc>
          <w:tcPr>
            <w:tcW w:w="2410" w:type="dxa"/>
          </w:tcPr>
          <w:p w14:paraId="3A50FBBB" w14:textId="77777777" w:rsidR="002A5118" w:rsidRDefault="002A5118" w:rsidP="0034157E"/>
          <w:p w14:paraId="4FD614C4" w14:textId="77777777" w:rsidR="002A5118" w:rsidRDefault="002A5118" w:rsidP="0034157E">
            <w:r>
              <w:t xml:space="preserve">ISR team leader </w:t>
            </w:r>
          </w:p>
          <w:p w14:paraId="62E78941" w14:textId="77777777" w:rsidR="002A5118" w:rsidRDefault="002A5118" w:rsidP="0034157E">
            <w:r>
              <w:t>ISR gender specialist</w:t>
            </w:r>
          </w:p>
        </w:tc>
        <w:tc>
          <w:tcPr>
            <w:tcW w:w="1701" w:type="dxa"/>
          </w:tcPr>
          <w:p w14:paraId="67896B96" w14:textId="77777777" w:rsidR="002A5118" w:rsidRDefault="002A5118" w:rsidP="0034157E"/>
          <w:p w14:paraId="1DF145B1" w14:textId="77777777" w:rsidR="002A5118" w:rsidRDefault="002A5118" w:rsidP="0034157E">
            <w:r>
              <w:t>October 1-7</w:t>
            </w:r>
          </w:p>
        </w:tc>
        <w:tc>
          <w:tcPr>
            <w:tcW w:w="6554" w:type="dxa"/>
          </w:tcPr>
          <w:p w14:paraId="4C0B55DE" w14:textId="77777777" w:rsidR="002A5118" w:rsidRDefault="002A5118" w:rsidP="0034157E">
            <w:r>
              <w:t>Overview of context for women’s empowerment and gender equity in Indonesia.</w:t>
            </w:r>
          </w:p>
          <w:p w14:paraId="69E9F2D3" w14:textId="77777777" w:rsidR="002A5118" w:rsidRDefault="002A5118" w:rsidP="0034157E">
            <w:r>
              <w:t>Identification of key policy and program context for DFAT and GOI.</w:t>
            </w:r>
          </w:p>
          <w:p w14:paraId="4F1565F0" w14:textId="77777777" w:rsidR="002A5118" w:rsidRDefault="002A5118" w:rsidP="0034157E">
            <w:r>
              <w:t>Detailed assessment of working relationship between MAMPU, DFAT and GOI.</w:t>
            </w:r>
          </w:p>
          <w:p w14:paraId="02F48780" w14:textId="77777777" w:rsidR="002A5118" w:rsidRDefault="002A5118" w:rsidP="0034157E">
            <w:r>
              <w:t>Overall framing of program and policy context for MAMPU implementation.</w:t>
            </w:r>
          </w:p>
        </w:tc>
      </w:tr>
      <w:tr w:rsidR="002A5118" w14:paraId="5925A386" w14:textId="77777777" w:rsidTr="00441EF2">
        <w:tc>
          <w:tcPr>
            <w:tcW w:w="2830" w:type="dxa"/>
          </w:tcPr>
          <w:p w14:paraId="441B0164" w14:textId="77777777" w:rsidR="002A5118" w:rsidRPr="0072755A" w:rsidRDefault="002A5118" w:rsidP="0034157E">
            <w:pPr>
              <w:rPr>
                <w:i/>
              </w:rPr>
            </w:pPr>
            <w:r w:rsidRPr="0072755A">
              <w:rPr>
                <w:i/>
              </w:rPr>
              <w:t xml:space="preserve">Week two focus: </w:t>
            </w:r>
          </w:p>
          <w:p w14:paraId="5B11339E" w14:textId="77777777" w:rsidR="002A5118" w:rsidRPr="0072755A" w:rsidRDefault="002A5118" w:rsidP="0034157E">
            <w:pPr>
              <w:rPr>
                <w:i/>
              </w:rPr>
            </w:pPr>
            <w:r w:rsidRPr="0072755A">
              <w:rPr>
                <w:i/>
              </w:rPr>
              <w:t>MAMPU partners (national and regional)</w:t>
            </w:r>
          </w:p>
          <w:p w14:paraId="3DF60984" w14:textId="77777777" w:rsidR="002A5118" w:rsidRDefault="002A5118" w:rsidP="0034157E">
            <w:r w:rsidRPr="0072755A">
              <w:rPr>
                <w:i/>
              </w:rPr>
              <w:t>Other donors</w:t>
            </w:r>
          </w:p>
        </w:tc>
        <w:tc>
          <w:tcPr>
            <w:tcW w:w="2410" w:type="dxa"/>
          </w:tcPr>
          <w:p w14:paraId="22D7F3FB" w14:textId="77777777" w:rsidR="002A5118" w:rsidRDefault="002A5118" w:rsidP="0034157E">
            <w:r>
              <w:t xml:space="preserve">ISR team leader </w:t>
            </w:r>
          </w:p>
          <w:p w14:paraId="51B7B4A8" w14:textId="77777777" w:rsidR="002A5118" w:rsidRDefault="002A5118" w:rsidP="0034157E">
            <w:r>
              <w:t>ISR gender specialist</w:t>
            </w:r>
          </w:p>
          <w:p w14:paraId="0F9A6E05" w14:textId="77777777" w:rsidR="002A5118" w:rsidRPr="0072755A" w:rsidRDefault="002A5118" w:rsidP="0034157E">
            <w:pPr>
              <w:rPr>
                <w:i/>
              </w:rPr>
            </w:pPr>
            <w:r w:rsidRPr="0072755A">
              <w:rPr>
                <w:i/>
              </w:rPr>
              <w:t>(the team is expected to separate for at least part of this week to enable full coverage of all areas)</w:t>
            </w:r>
          </w:p>
        </w:tc>
        <w:tc>
          <w:tcPr>
            <w:tcW w:w="1701" w:type="dxa"/>
          </w:tcPr>
          <w:p w14:paraId="327B7941" w14:textId="77777777" w:rsidR="002A5118" w:rsidRDefault="002A5118" w:rsidP="0034157E">
            <w:r>
              <w:t>October 8 - 14</w:t>
            </w:r>
          </w:p>
        </w:tc>
        <w:tc>
          <w:tcPr>
            <w:tcW w:w="6554" w:type="dxa"/>
          </w:tcPr>
          <w:p w14:paraId="45E7785F" w14:textId="77777777" w:rsidR="002A5118" w:rsidRDefault="002A5118" w:rsidP="0034157E">
            <w:r>
              <w:t>Further verification and detailing of program achievements and progress.</w:t>
            </w:r>
          </w:p>
          <w:p w14:paraId="5C01B278" w14:textId="77777777" w:rsidR="002A5118" w:rsidRDefault="002A5118" w:rsidP="0034157E">
            <w:r>
              <w:t>Verification of program operation and interaction regional and partner level.</w:t>
            </w:r>
          </w:p>
          <w:p w14:paraId="48289D41" w14:textId="77777777" w:rsidR="002A5118" w:rsidRDefault="002A5118" w:rsidP="0034157E">
            <w:r>
              <w:t>Comparison with other donor programs</w:t>
            </w:r>
          </w:p>
        </w:tc>
      </w:tr>
      <w:tr w:rsidR="002A5118" w14:paraId="7E3CF653" w14:textId="77777777" w:rsidTr="00441EF2">
        <w:tc>
          <w:tcPr>
            <w:tcW w:w="2830" w:type="dxa"/>
          </w:tcPr>
          <w:p w14:paraId="13FF2E83" w14:textId="77777777" w:rsidR="002A5118" w:rsidRPr="0072755A" w:rsidRDefault="002A5118" w:rsidP="0034157E">
            <w:pPr>
              <w:rPr>
                <w:i/>
              </w:rPr>
            </w:pPr>
            <w:r w:rsidRPr="0072755A">
              <w:rPr>
                <w:i/>
              </w:rPr>
              <w:t>Week three focus;</w:t>
            </w:r>
          </w:p>
          <w:p w14:paraId="3FA82178" w14:textId="77777777" w:rsidR="002A5118" w:rsidRPr="0072755A" w:rsidRDefault="002A5118" w:rsidP="0034157E">
            <w:pPr>
              <w:rPr>
                <w:i/>
              </w:rPr>
            </w:pPr>
            <w:r w:rsidRPr="0072755A">
              <w:rPr>
                <w:i/>
              </w:rPr>
              <w:t>Additional verification and initial analysis.</w:t>
            </w:r>
          </w:p>
          <w:p w14:paraId="3018D62E" w14:textId="77777777" w:rsidR="002A5118" w:rsidRPr="0072755A" w:rsidRDefault="002A5118" w:rsidP="0034157E">
            <w:pPr>
              <w:rPr>
                <w:i/>
              </w:rPr>
            </w:pPr>
            <w:r w:rsidRPr="0072755A">
              <w:rPr>
                <w:i/>
              </w:rPr>
              <w:t>Aide memoir presentation</w:t>
            </w:r>
          </w:p>
          <w:p w14:paraId="43DD7788" w14:textId="77777777" w:rsidR="002A5118" w:rsidRDefault="002A5118" w:rsidP="0034157E"/>
        </w:tc>
        <w:tc>
          <w:tcPr>
            <w:tcW w:w="2410" w:type="dxa"/>
          </w:tcPr>
          <w:p w14:paraId="223F6790" w14:textId="77777777" w:rsidR="002A5118" w:rsidRDefault="002A5118" w:rsidP="0034157E">
            <w:r>
              <w:t>ISR team leader with assistance from ISR gender specialist</w:t>
            </w:r>
          </w:p>
        </w:tc>
        <w:tc>
          <w:tcPr>
            <w:tcW w:w="1701" w:type="dxa"/>
          </w:tcPr>
          <w:p w14:paraId="7574B9E7" w14:textId="77777777" w:rsidR="002A5118" w:rsidRDefault="002A5118" w:rsidP="0034157E">
            <w:r>
              <w:t>October 15-17</w:t>
            </w:r>
          </w:p>
        </w:tc>
        <w:tc>
          <w:tcPr>
            <w:tcW w:w="6554" w:type="dxa"/>
          </w:tcPr>
          <w:p w14:paraId="1A0CD4C5" w14:textId="77777777" w:rsidR="002A5118" w:rsidRDefault="002A5118" w:rsidP="0034157E">
            <w:r>
              <w:t>Initial framing of ISR conclusions</w:t>
            </w:r>
          </w:p>
          <w:p w14:paraId="794B5B29" w14:textId="77777777" w:rsidR="002A5118" w:rsidRDefault="002A5118" w:rsidP="0034157E">
            <w:r>
              <w:t>Identification of any data gaps and strategies to address these</w:t>
            </w:r>
          </w:p>
          <w:p w14:paraId="5AF52CAD" w14:textId="77777777" w:rsidR="002A5118" w:rsidRDefault="002A5118" w:rsidP="0034157E">
            <w:r>
              <w:t>Presentation of major observations and findings.</w:t>
            </w:r>
          </w:p>
          <w:p w14:paraId="0ABFE190" w14:textId="77777777" w:rsidR="002A5118" w:rsidRDefault="002A5118" w:rsidP="0034157E">
            <w:r>
              <w:t xml:space="preserve">Further analysis </w:t>
            </w:r>
          </w:p>
        </w:tc>
      </w:tr>
      <w:tr w:rsidR="002A5118" w14:paraId="449A9988" w14:textId="77777777" w:rsidTr="00441EF2">
        <w:tc>
          <w:tcPr>
            <w:tcW w:w="2830" w:type="dxa"/>
          </w:tcPr>
          <w:p w14:paraId="03C2C405" w14:textId="77777777" w:rsidR="002A5118" w:rsidRPr="00712DD1" w:rsidRDefault="002A5118" w:rsidP="0034157E">
            <w:r w:rsidRPr="00712DD1">
              <w:t>Meeting with DFAT Canberra</w:t>
            </w:r>
          </w:p>
        </w:tc>
        <w:tc>
          <w:tcPr>
            <w:tcW w:w="2410" w:type="dxa"/>
          </w:tcPr>
          <w:p w14:paraId="61E69CA7" w14:textId="77777777" w:rsidR="002A5118" w:rsidRDefault="002A5118" w:rsidP="0034157E">
            <w:r>
              <w:t>ISR team leader</w:t>
            </w:r>
          </w:p>
        </w:tc>
        <w:tc>
          <w:tcPr>
            <w:tcW w:w="1701" w:type="dxa"/>
          </w:tcPr>
          <w:p w14:paraId="67148C48" w14:textId="77777777" w:rsidR="002A5118" w:rsidRDefault="002A5118" w:rsidP="0034157E">
            <w:r>
              <w:t>Week of 29 Oct</w:t>
            </w:r>
          </w:p>
        </w:tc>
        <w:tc>
          <w:tcPr>
            <w:tcW w:w="6554" w:type="dxa"/>
          </w:tcPr>
          <w:p w14:paraId="1A56894A" w14:textId="77777777" w:rsidR="002A5118" w:rsidRDefault="002A5118" w:rsidP="0034157E">
            <w:r>
              <w:t>Presentation of major observations and findings</w:t>
            </w:r>
          </w:p>
          <w:p w14:paraId="04DD9B47" w14:textId="77777777" w:rsidR="002A5118" w:rsidRDefault="002A5118" w:rsidP="0034157E">
            <w:r>
              <w:t>Further analysis</w:t>
            </w:r>
          </w:p>
        </w:tc>
      </w:tr>
      <w:tr w:rsidR="002A5118" w14:paraId="54E68AAE" w14:textId="77777777" w:rsidTr="00441EF2">
        <w:tc>
          <w:tcPr>
            <w:tcW w:w="2830" w:type="dxa"/>
          </w:tcPr>
          <w:p w14:paraId="7A00CCB8" w14:textId="77777777" w:rsidR="002A5118" w:rsidRPr="0072755A" w:rsidRDefault="002A5118" w:rsidP="0034157E">
            <w:r>
              <w:t>Draft report</w:t>
            </w:r>
          </w:p>
        </w:tc>
        <w:tc>
          <w:tcPr>
            <w:tcW w:w="2410" w:type="dxa"/>
          </w:tcPr>
          <w:p w14:paraId="0BBAB8A4" w14:textId="77777777" w:rsidR="002A5118" w:rsidRDefault="002A5118" w:rsidP="0034157E">
            <w:r>
              <w:t>ISR team leader</w:t>
            </w:r>
          </w:p>
        </w:tc>
        <w:tc>
          <w:tcPr>
            <w:tcW w:w="1701" w:type="dxa"/>
          </w:tcPr>
          <w:p w14:paraId="154A208E" w14:textId="77777777" w:rsidR="002A5118" w:rsidRDefault="002A5118" w:rsidP="0034157E">
            <w:r>
              <w:t>November 5</w:t>
            </w:r>
          </w:p>
        </w:tc>
        <w:tc>
          <w:tcPr>
            <w:tcW w:w="6554" w:type="dxa"/>
          </w:tcPr>
          <w:p w14:paraId="57CFAB2C" w14:textId="77777777" w:rsidR="002A5118" w:rsidRDefault="002A5118" w:rsidP="0034157E">
            <w:r>
              <w:t>Draft report</w:t>
            </w:r>
          </w:p>
        </w:tc>
      </w:tr>
      <w:tr w:rsidR="002A5118" w14:paraId="1AD38E05" w14:textId="77777777" w:rsidTr="00441EF2">
        <w:tc>
          <w:tcPr>
            <w:tcW w:w="2830" w:type="dxa"/>
          </w:tcPr>
          <w:p w14:paraId="2B630AEE" w14:textId="77777777" w:rsidR="002A5118" w:rsidRPr="0072755A" w:rsidRDefault="002A5118" w:rsidP="0034157E">
            <w:r>
              <w:t>Final report</w:t>
            </w:r>
          </w:p>
        </w:tc>
        <w:tc>
          <w:tcPr>
            <w:tcW w:w="2410" w:type="dxa"/>
          </w:tcPr>
          <w:p w14:paraId="11A71E83" w14:textId="77777777" w:rsidR="002A5118" w:rsidRDefault="002A5118" w:rsidP="0034157E">
            <w:r>
              <w:t>ISR team leader</w:t>
            </w:r>
          </w:p>
        </w:tc>
        <w:tc>
          <w:tcPr>
            <w:tcW w:w="1701" w:type="dxa"/>
          </w:tcPr>
          <w:p w14:paraId="534A3718" w14:textId="77777777" w:rsidR="002A5118" w:rsidRDefault="002A5118" w:rsidP="0034157E">
            <w:r>
              <w:t xml:space="preserve">7 days after receiving final comments. </w:t>
            </w:r>
          </w:p>
        </w:tc>
        <w:tc>
          <w:tcPr>
            <w:tcW w:w="6554" w:type="dxa"/>
          </w:tcPr>
          <w:p w14:paraId="613073B3" w14:textId="77777777" w:rsidR="002A5118" w:rsidRDefault="002A5118" w:rsidP="0034157E">
            <w:r>
              <w:t>Final report</w:t>
            </w:r>
          </w:p>
        </w:tc>
      </w:tr>
    </w:tbl>
    <w:p w14:paraId="40FC1030" w14:textId="77777777" w:rsidR="002A5118" w:rsidRDefault="002A5118" w:rsidP="002A5118"/>
    <w:p w14:paraId="2105C806" w14:textId="77777777" w:rsidR="002A5118" w:rsidRDefault="002A5118" w:rsidP="002A5118">
      <w:pPr>
        <w:rPr>
          <w:rFonts w:asciiTheme="majorHAnsi" w:eastAsiaTheme="majorEastAsia" w:hAnsiTheme="majorHAnsi" w:cstheme="majorBidi"/>
          <w:color w:val="1F4D78" w:themeColor="accent1" w:themeShade="7F"/>
          <w:sz w:val="24"/>
          <w:szCs w:val="24"/>
        </w:rPr>
      </w:pPr>
      <w:r>
        <w:br w:type="page"/>
      </w:r>
    </w:p>
    <w:p w14:paraId="75D745B3" w14:textId="77777777" w:rsidR="002A5118" w:rsidRDefault="002A5118" w:rsidP="002A5118">
      <w:pPr>
        <w:pStyle w:val="Heading3"/>
        <w:sectPr w:rsidR="002A5118" w:rsidSect="0034157E">
          <w:pgSz w:w="16838" w:h="11906" w:orient="landscape"/>
          <w:pgMar w:top="1440" w:right="1440" w:bottom="1440" w:left="1440" w:header="709" w:footer="709" w:gutter="0"/>
          <w:cols w:space="708"/>
          <w:docGrid w:linePitch="360"/>
        </w:sectPr>
      </w:pPr>
    </w:p>
    <w:p w14:paraId="5E99D4B8" w14:textId="77777777" w:rsidR="002A5118" w:rsidRDefault="002A5118" w:rsidP="002A5118">
      <w:pPr>
        <w:pStyle w:val="Heading4"/>
      </w:pPr>
      <w:r>
        <w:t>Evaluation team</w:t>
      </w:r>
    </w:p>
    <w:p w14:paraId="4E8277E0" w14:textId="77777777" w:rsidR="002A5118" w:rsidRDefault="002A5118" w:rsidP="003542C0">
      <w:pPr>
        <w:jc w:val="both"/>
      </w:pPr>
      <w:r>
        <w:t xml:space="preserve">In line with the ISR terms of reference, the evaluation team will consist of two personnel. </w:t>
      </w:r>
    </w:p>
    <w:p w14:paraId="7E3DAED4" w14:textId="77777777" w:rsidR="002A5118" w:rsidRDefault="002A5118" w:rsidP="003542C0">
      <w:pPr>
        <w:jc w:val="both"/>
      </w:pPr>
      <w:r>
        <w:t>The team leader will have responsibility for the overall management of the ISR, coordination with DFAT, oversight of the evaluation approach, data collection and analysis processes, and the production of the draft and final report.</w:t>
      </w:r>
    </w:p>
    <w:p w14:paraId="1F68EEC8" w14:textId="77777777" w:rsidR="002A5118" w:rsidRDefault="002A5118" w:rsidP="003542C0">
      <w:pPr>
        <w:jc w:val="both"/>
      </w:pPr>
      <w:r>
        <w:t>The Indonesian gender and development specialist will support the team leader and also provide specialist inputs, including,</w:t>
      </w:r>
    </w:p>
    <w:p w14:paraId="179D3A90" w14:textId="77777777" w:rsidR="002A5118" w:rsidRDefault="002A5118" w:rsidP="003542C0">
      <w:pPr>
        <w:pStyle w:val="ListParagraph"/>
        <w:numPr>
          <w:ilvl w:val="0"/>
          <w:numId w:val="5"/>
        </w:numPr>
        <w:jc w:val="both"/>
      </w:pPr>
      <w:r>
        <w:t xml:space="preserve">Information about and experience with the women’s movement and social change issues in Indonesia, </w:t>
      </w:r>
    </w:p>
    <w:p w14:paraId="05DC59DE" w14:textId="77777777" w:rsidR="002A5118" w:rsidRDefault="002A5118" w:rsidP="003542C0">
      <w:pPr>
        <w:pStyle w:val="ListParagraph"/>
        <w:numPr>
          <w:ilvl w:val="0"/>
          <w:numId w:val="5"/>
        </w:numPr>
        <w:jc w:val="both"/>
      </w:pPr>
      <w:r>
        <w:t>Government of Indonesia policy for women’s empowerment and gender equality, and relevant programs and other implementation</w:t>
      </w:r>
    </w:p>
    <w:p w14:paraId="71704BEC" w14:textId="77777777" w:rsidR="002A5118" w:rsidRDefault="002A5118" w:rsidP="003542C0">
      <w:pPr>
        <w:pStyle w:val="ListParagraph"/>
        <w:numPr>
          <w:ilvl w:val="0"/>
          <w:numId w:val="5"/>
        </w:numPr>
        <w:jc w:val="both"/>
      </w:pPr>
      <w:r>
        <w:t>Government of Indonesia decentralisation policy, as relevant.</w:t>
      </w:r>
    </w:p>
    <w:p w14:paraId="7C1D985D" w14:textId="77777777" w:rsidR="002A5118" w:rsidRDefault="002A5118" w:rsidP="003542C0">
      <w:pPr>
        <w:pStyle w:val="ListParagraph"/>
        <w:numPr>
          <w:ilvl w:val="0"/>
          <w:numId w:val="5"/>
        </w:numPr>
        <w:jc w:val="both"/>
      </w:pPr>
      <w:r>
        <w:t>A comprehensive understanding of CSO aspirations and challenges in Indonesia.</w:t>
      </w:r>
    </w:p>
    <w:p w14:paraId="166B1CE7" w14:textId="77777777" w:rsidR="002A5118" w:rsidRDefault="002A5118" w:rsidP="003542C0">
      <w:pPr>
        <w:jc w:val="both"/>
      </w:pPr>
      <w:r>
        <w:t>Other team members will include DFAT staff who will provide specialist advice and assist with ISR process. (</w:t>
      </w:r>
      <w:r w:rsidRPr="009810B9">
        <w:rPr>
          <w:b/>
          <w:i/>
        </w:rPr>
        <w:t>If required, for the sake of confidentiality and accurate data collection, DFAT staff may be asked to excuse themselves from some interview or focus group discussions.)</w:t>
      </w:r>
    </w:p>
    <w:p w14:paraId="264079CD" w14:textId="77777777" w:rsidR="002A5118" w:rsidRDefault="002A5118" w:rsidP="003542C0">
      <w:pPr>
        <w:jc w:val="both"/>
      </w:pPr>
      <w:r>
        <w:t>Other supports are likely to include an interpreter and support directly from MAMPU program staff.</w:t>
      </w:r>
    </w:p>
    <w:p w14:paraId="128D6393" w14:textId="77777777" w:rsidR="002A5118" w:rsidRDefault="002A5118" w:rsidP="003542C0">
      <w:pPr>
        <w:pStyle w:val="Heading4"/>
        <w:jc w:val="both"/>
      </w:pPr>
      <w:r>
        <w:t>Reporting</w:t>
      </w:r>
    </w:p>
    <w:p w14:paraId="5531B76C" w14:textId="77777777" w:rsidR="002A5118" w:rsidRDefault="002A5118" w:rsidP="003542C0">
      <w:pPr>
        <w:jc w:val="both"/>
      </w:pPr>
      <w:r>
        <w:t>The ISR team will provide four reports throughout the life of the review. These include an evaluation plan (this document), an aide memoir, a draft report and a final report.</w:t>
      </w:r>
    </w:p>
    <w:p w14:paraId="6F568CD6" w14:textId="77777777" w:rsidR="002A5118" w:rsidRDefault="002A5118" w:rsidP="003542C0">
      <w:pPr>
        <w:jc w:val="both"/>
      </w:pPr>
      <w:r>
        <w:t>The final report will include the following sections:</w:t>
      </w:r>
    </w:p>
    <w:p w14:paraId="6665EF71" w14:textId="77777777" w:rsidR="002A5118" w:rsidRDefault="002A5118" w:rsidP="003542C0">
      <w:pPr>
        <w:pStyle w:val="ListParagraph"/>
        <w:numPr>
          <w:ilvl w:val="0"/>
          <w:numId w:val="6"/>
        </w:numPr>
        <w:jc w:val="both"/>
      </w:pPr>
      <w:r>
        <w:t>Full methodology and data collection and analysis explanation</w:t>
      </w:r>
    </w:p>
    <w:p w14:paraId="6F9FAC12" w14:textId="77777777" w:rsidR="002A5118" w:rsidRDefault="002A5118" w:rsidP="003542C0">
      <w:pPr>
        <w:pStyle w:val="ListParagraph"/>
        <w:numPr>
          <w:ilvl w:val="0"/>
          <w:numId w:val="6"/>
        </w:numPr>
        <w:jc w:val="both"/>
      </w:pPr>
      <w:r>
        <w:t>Key findings against evaluation questions and terms of reference focus areas</w:t>
      </w:r>
    </w:p>
    <w:p w14:paraId="5B992F90" w14:textId="77777777" w:rsidR="002A5118" w:rsidRDefault="002A5118" w:rsidP="003542C0">
      <w:pPr>
        <w:pStyle w:val="ListParagraph"/>
        <w:numPr>
          <w:ilvl w:val="0"/>
          <w:numId w:val="6"/>
        </w:numPr>
        <w:jc w:val="both"/>
      </w:pPr>
      <w:r>
        <w:t>Analysis of findings based on data triangulation and additional relevant research</w:t>
      </w:r>
    </w:p>
    <w:p w14:paraId="1EC29F6D" w14:textId="77777777" w:rsidR="002A5118" w:rsidRDefault="002A5118" w:rsidP="003542C0">
      <w:pPr>
        <w:pStyle w:val="ListParagraph"/>
        <w:numPr>
          <w:ilvl w:val="0"/>
          <w:numId w:val="6"/>
        </w:numPr>
        <w:jc w:val="both"/>
      </w:pPr>
      <w:r>
        <w:t>Major conclusions and recommendations</w:t>
      </w:r>
    </w:p>
    <w:p w14:paraId="2B6AD298" w14:textId="77777777" w:rsidR="00CB14AA" w:rsidRDefault="00CB14AA" w:rsidP="003542C0">
      <w:pPr>
        <w:jc w:val="both"/>
      </w:pPr>
      <w:r>
        <w:br w:type="page"/>
      </w:r>
    </w:p>
    <w:p w14:paraId="3C1DDB53" w14:textId="77777777" w:rsidR="00CB14AA" w:rsidRDefault="00CB14AA" w:rsidP="00CB14AA">
      <w:pPr>
        <w:pStyle w:val="Heading1"/>
      </w:pPr>
      <w:bookmarkStart w:id="37" w:name="_Toc21523917"/>
      <w:r>
        <w:t>Annex Two: People and documents consulted</w:t>
      </w:r>
      <w:bookmarkEnd w:id="37"/>
    </w:p>
    <w:p w14:paraId="6073CB47" w14:textId="77777777" w:rsidR="00CB14AA" w:rsidRDefault="00CB14AA" w:rsidP="00CB14AA">
      <w:pPr>
        <w:pStyle w:val="Heading4"/>
      </w:pPr>
      <w:r>
        <w:t>Documents reviewed</w:t>
      </w:r>
    </w:p>
    <w:tbl>
      <w:tblPr>
        <w:tblStyle w:val="TableGrid"/>
        <w:tblW w:w="0" w:type="auto"/>
        <w:tblLook w:val="04A0" w:firstRow="1" w:lastRow="0" w:firstColumn="1" w:lastColumn="0" w:noHBand="0" w:noVBand="1"/>
      </w:tblPr>
      <w:tblGrid>
        <w:gridCol w:w="1413"/>
        <w:gridCol w:w="6978"/>
      </w:tblGrid>
      <w:tr w:rsidR="00CB14AA" w:rsidRPr="00C41495" w14:paraId="1FC39375" w14:textId="77777777" w:rsidTr="00524FCD">
        <w:trPr>
          <w:tblHeader/>
        </w:trPr>
        <w:tc>
          <w:tcPr>
            <w:tcW w:w="1413" w:type="dxa"/>
          </w:tcPr>
          <w:p w14:paraId="554A519C" w14:textId="77777777" w:rsidR="00CB14AA" w:rsidRPr="00C41495" w:rsidRDefault="00CB14AA" w:rsidP="0034157E">
            <w:pPr>
              <w:jc w:val="center"/>
              <w:rPr>
                <w:b/>
              </w:rPr>
            </w:pPr>
            <w:r w:rsidRPr="00C41495">
              <w:rPr>
                <w:b/>
              </w:rPr>
              <w:t>Programs</w:t>
            </w:r>
          </w:p>
        </w:tc>
        <w:tc>
          <w:tcPr>
            <w:tcW w:w="6978" w:type="dxa"/>
          </w:tcPr>
          <w:p w14:paraId="1F29C051" w14:textId="77777777" w:rsidR="00CB14AA" w:rsidRPr="00C41495" w:rsidRDefault="00CB14AA" w:rsidP="0034157E">
            <w:pPr>
              <w:jc w:val="center"/>
              <w:rPr>
                <w:b/>
              </w:rPr>
            </w:pPr>
            <w:r w:rsidRPr="00C41495">
              <w:rPr>
                <w:b/>
              </w:rPr>
              <w:t>Document attachment &amp; links</w:t>
            </w:r>
          </w:p>
        </w:tc>
      </w:tr>
      <w:tr w:rsidR="00CB14AA" w:rsidRPr="001540B8" w14:paraId="5F923CC8" w14:textId="77777777" w:rsidTr="00524FCD">
        <w:tc>
          <w:tcPr>
            <w:tcW w:w="1413" w:type="dxa"/>
            <w:vMerge w:val="restart"/>
          </w:tcPr>
          <w:p w14:paraId="2CFCB38A" w14:textId="77777777" w:rsidR="00CB14AA" w:rsidRPr="001540B8" w:rsidRDefault="00CB14AA" w:rsidP="0034157E">
            <w:pPr>
              <w:rPr>
                <w:color w:val="262626" w:themeColor="text1" w:themeTint="D9"/>
              </w:rPr>
            </w:pPr>
            <w:r w:rsidRPr="001540B8">
              <w:rPr>
                <w:color w:val="262626" w:themeColor="text1" w:themeTint="D9"/>
              </w:rPr>
              <w:t>KOMPAK</w:t>
            </w:r>
          </w:p>
        </w:tc>
        <w:tc>
          <w:tcPr>
            <w:tcW w:w="6978" w:type="dxa"/>
          </w:tcPr>
          <w:p w14:paraId="75808C45" w14:textId="77777777" w:rsidR="00CB14AA" w:rsidRPr="001540B8" w:rsidRDefault="00CB14AA" w:rsidP="0034157E">
            <w:pPr>
              <w:rPr>
                <w:color w:val="262626" w:themeColor="text1" w:themeTint="D9"/>
              </w:rPr>
            </w:pPr>
            <w:r w:rsidRPr="001540B8">
              <w:rPr>
                <w:rFonts w:ascii="Calibri" w:hAnsi="Calibri"/>
                <w:color w:val="262626" w:themeColor="text1" w:themeTint="D9"/>
              </w:rPr>
              <w:t>KOMPAK Living design document 2015-2022 Updated 2018_Allaster</w:t>
            </w:r>
          </w:p>
        </w:tc>
      </w:tr>
      <w:tr w:rsidR="00CB14AA" w:rsidRPr="001540B8" w14:paraId="695DC17A" w14:textId="77777777" w:rsidTr="00524FCD">
        <w:tc>
          <w:tcPr>
            <w:tcW w:w="1413" w:type="dxa"/>
            <w:vMerge/>
          </w:tcPr>
          <w:p w14:paraId="0832BF78" w14:textId="77777777" w:rsidR="00CB14AA" w:rsidRPr="001540B8" w:rsidRDefault="00CB14AA" w:rsidP="0034157E">
            <w:pPr>
              <w:rPr>
                <w:color w:val="262626" w:themeColor="text1" w:themeTint="D9"/>
              </w:rPr>
            </w:pPr>
          </w:p>
        </w:tc>
        <w:tc>
          <w:tcPr>
            <w:tcW w:w="6978" w:type="dxa"/>
          </w:tcPr>
          <w:p w14:paraId="1DE806E8"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KOMPAK Progress report July – December 2017 Final</w:t>
            </w:r>
          </w:p>
        </w:tc>
      </w:tr>
      <w:tr w:rsidR="00CB14AA" w:rsidRPr="001540B8" w14:paraId="09B2F36B" w14:textId="77777777" w:rsidTr="00524FCD">
        <w:tc>
          <w:tcPr>
            <w:tcW w:w="1413" w:type="dxa"/>
            <w:vMerge/>
          </w:tcPr>
          <w:p w14:paraId="4CD4654C" w14:textId="77777777" w:rsidR="00CB14AA" w:rsidRPr="001540B8" w:rsidRDefault="00CB14AA" w:rsidP="0034157E">
            <w:pPr>
              <w:rPr>
                <w:color w:val="262626" w:themeColor="text1" w:themeTint="D9"/>
              </w:rPr>
            </w:pPr>
          </w:p>
        </w:tc>
        <w:tc>
          <w:tcPr>
            <w:tcW w:w="6978" w:type="dxa"/>
          </w:tcPr>
          <w:p w14:paraId="0B3EF7BE"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KOMPAK’s IPR Result February 2018</w:t>
            </w:r>
          </w:p>
        </w:tc>
      </w:tr>
      <w:tr w:rsidR="00CB14AA" w:rsidRPr="001540B8" w14:paraId="266D9158" w14:textId="77777777" w:rsidTr="00524FCD">
        <w:tc>
          <w:tcPr>
            <w:tcW w:w="1413" w:type="dxa"/>
            <w:vMerge/>
          </w:tcPr>
          <w:p w14:paraId="3130F69C" w14:textId="77777777" w:rsidR="00CB14AA" w:rsidRPr="001540B8" w:rsidRDefault="00CB14AA" w:rsidP="0034157E">
            <w:pPr>
              <w:rPr>
                <w:color w:val="262626" w:themeColor="text1" w:themeTint="D9"/>
              </w:rPr>
            </w:pPr>
          </w:p>
        </w:tc>
        <w:tc>
          <w:tcPr>
            <w:tcW w:w="6978" w:type="dxa"/>
          </w:tcPr>
          <w:p w14:paraId="3E7194FD"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KOMPAK Management response to independent progress review</w:t>
            </w:r>
          </w:p>
        </w:tc>
      </w:tr>
      <w:tr w:rsidR="00CB14AA" w:rsidRPr="001540B8" w14:paraId="31C6FC4E" w14:textId="77777777" w:rsidTr="00524FCD">
        <w:tc>
          <w:tcPr>
            <w:tcW w:w="1413" w:type="dxa"/>
            <w:vMerge w:val="restart"/>
          </w:tcPr>
          <w:p w14:paraId="546D91DE" w14:textId="77777777" w:rsidR="00CB14AA" w:rsidRPr="001540B8" w:rsidRDefault="00CB14AA" w:rsidP="0034157E">
            <w:pPr>
              <w:rPr>
                <w:color w:val="262626" w:themeColor="text1" w:themeTint="D9"/>
              </w:rPr>
            </w:pPr>
            <w:r w:rsidRPr="001540B8">
              <w:rPr>
                <w:color w:val="262626" w:themeColor="text1" w:themeTint="D9"/>
              </w:rPr>
              <w:t>Investing in Women</w:t>
            </w:r>
          </w:p>
        </w:tc>
        <w:tc>
          <w:tcPr>
            <w:tcW w:w="6978" w:type="dxa"/>
          </w:tcPr>
          <w:p w14:paraId="0A81D4A2"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Investing in Women design</w:t>
            </w:r>
          </w:p>
        </w:tc>
      </w:tr>
      <w:tr w:rsidR="00CB14AA" w:rsidRPr="001540B8" w14:paraId="7BF15DC3" w14:textId="77777777" w:rsidTr="00524FCD">
        <w:tc>
          <w:tcPr>
            <w:tcW w:w="1413" w:type="dxa"/>
            <w:vMerge/>
          </w:tcPr>
          <w:p w14:paraId="39CA11AE" w14:textId="77777777" w:rsidR="00CB14AA" w:rsidRPr="001540B8" w:rsidRDefault="00CB14AA" w:rsidP="0034157E">
            <w:pPr>
              <w:rPr>
                <w:color w:val="262626" w:themeColor="text1" w:themeTint="D9"/>
              </w:rPr>
            </w:pPr>
          </w:p>
        </w:tc>
        <w:tc>
          <w:tcPr>
            <w:tcW w:w="6978" w:type="dxa"/>
          </w:tcPr>
          <w:p w14:paraId="181515C8"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Design Lead TOR</w:t>
            </w:r>
            <w:r>
              <w:rPr>
                <w:rFonts w:ascii="Calibri" w:hAnsi="Calibri"/>
                <w:color w:val="262626" w:themeColor="text1" w:themeTint="D9"/>
              </w:rPr>
              <w:t xml:space="preserve">, </w:t>
            </w:r>
            <w:r w:rsidRPr="001540B8">
              <w:rPr>
                <w:rFonts w:ascii="Calibri" w:hAnsi="Calibri"/>
                <w:color w:val="262626" w:themeColor="text1" w:themeTint="D9"/>
              </w:rPr>
              <w:t>Final</w:t>
            </w:r>
          </w:p>
        </w:tc>
      </w:tr>
      <w:tr w:rsidR="00CB14AA" w:rsidRPr="001540B8" w14:paraId="4D59DA5A" w14:textId="77777777" w:rsidTr="00524FCD">
        <w:tc>
          <w:tcPr>
            <w:tcW w:w="1413" w:type="dxa"/>
            <w:vMerge w:val="restart"/>
          </w:tcPr>
          <w:p w14:paraId="75A7064F" w14:textId="77777777" w:rsidR="00CB14AA" w:rsidRPr="001540B8" w:rsidRDefault="00CB14AA" w:rsidP="0034157E">
            <w:pPr>
              <w:rPr>
                <w:color w:val="262626" w:themeColor="text1" w:themeTint="D9"/>
              </w:rPr>
            </w:pPr>
            <w:r w:rsidRPr="001540B8">
              <w:rPr>
                <w:color w:val="262626" w:themeColor="text1" w:themeTint="D9"/>
              </w:rPr>
              <w:t>AIPJ2</w:t>
            </w:r>
          </w:p>
        </w:tc>
        <w:tc>
          <w:tcPr>
            <w:tcW w:w="6978" w:type="dxa"/>
          </w:tcPr>
          <w:p w14:paraId="23AA0A4C"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Australia Indonesia partnership for Justice II 2017 – 2021 (for publication)</w:t>
            </w:r>
          </w:p>
        </w:tc>
      </w:tr>
      <w:tr w:rsidR="00CB14AA" w:rsidRPr="001540B8" w14:paraId="3F04230F" w14:textId="77777777" w:rsidTr="00524FCD">
        <w:tc>
          <w:tcPr>
            <w:tcW w:w="1413" w:type="dxa"/>
            <w:vMerge/>
          </w:tcPr>
          <w:p w14:paraId="0B1A993F" w14:textId="77777777" w:rsidR="00CB14AA" w:rsidRPr="001540B8" w:rsidRDefault="00CB14AA" w:rsidP="0034157E">
            <w:pPr>
              <w:rPr>
                <w:color w:val="262626" w:themeColor="text1" w:themeTint="D9"/>
              </w:rPr>
            </w:pPr>
          </w:p>
        </w:tc>
        <w:tc>
          <w:tcPr>
            <w:tcW w:w="6978" w:type="dxa"/>
          </w:tcPr>
          <w:p w14:paraId="1675C49B"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AIPJ 2 Six Monthly progress report March 2018</w:t>
            </w:r>
          </w:p>
        </w:tc>
      </w:tr>
      <w:tr w:rsidR="00CB14AA" w:rsidRPr="001540B8" w14:paraId="48633FF9" w14:textId="77777777" w:rsidTr="00524FCD">
        <w:tc>
          <w:tcPr>
            <w:tcW w:w="1413" w:type="dxa"/>
            <w:vMerge w:val="restart"/>
          </w:tcPr>
          <w:p w14:paraId="1CC1CB7F" w14:textId="77777777" w:rsidR="00CB14AA" w:rsidRPr="001540B8" w:rsidRDefault="00CB14AA" w:rsidP="0034157E">
            <w:pPr>
              <w:rPr>
                <w:color w:val="262626" w:themeColor="text1" w:themeTint="D9"/>
              </w:rPr>
            </w:pPr>
            <w:r w:rsidRPr="001540B8">
              <w:rPr>
                <w:color w:val="262626" w:themeColor="text1" w:themeTint="D9"/>
              </w:rPr>
              <w:t>PEDULI</w:t>
            </w:r>
          </w:p>
        </w:tc>
        <w:tc>
          <w:tcPr>
            <w:tcW w:w="6978" w:type="dxa"/>
          </w:tcPr>
          <w:p w14:paraId="51A880D5"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PEDULI Design 1 TAF Technical proposal for PNPM Peduli phase II March 2014</w:t>
            </w:r>
          </w:p>
        </w:tc>
      </w:tr>
      <w:tr w:rsidR="00CB14AA" w:rsidRPr="001540B8" w14:paraId="147B6781" w14:textId="77777777" w:rsidTr="00524FCD">
        <w:tc>
          <w:tcPr>
            <w:tcW w:w="1413" w:type="dxa"/>
            <w:vMerge/>
          </w:tcPr>
          <w:p w14:paraId="229A1012" w14:textId="77777777" w:rsidR="00CB14AA" w:rsidRPr="001540B8" w:rsidRDefault="00CB14AA" w:rsidP="0034157E">
            <w:pPr>
              <w:rPr>
                <w:color w:val="262626" w:themeColor="text1" w:themeTint="D9"/>
              </w:rPr>
            </w:pPr>
          </w:p>
        </w:tc>
        <w:tc>
          <w:tcPr>
            <w:tcW w:w="6978" w:type="dxa"/>
          </w:tcPr>
          <w:p w14:paraId="0B674980"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Peduli Extension_TAF Peduli Extension Strategy 16 Dec2016</w:t>
            </w:r>
          </w:p>
        </w:tc>
      </w:tr>
      <w:tr w:rsidR="00CB14AA" w:rsidRPr="001540B8" w14:paraId="542DBFE7" w14:textId="77777777" w:rsidTr="00524FCD">
        <w:tc>
          <w:tcPr>
            <w:tcW w:w="1413" w:type="dxa"/>
            <w:vMerge/>
          </w:tcPr>
          <w:p w14:paraId="5D3E7596" w14:textId="77777777" w:rsidR="00CB14AA" w:rsidRPr="001540B8" w:rsidRDefault="00CB14AA" w:rsidP="0034157E">
            <w:pPr>
              <w:rPr>
                <w:color w:val="262626" w:themeColor="text1" w:themeTint="D9"/>
              </w:rPr>
            </w:pPr>
          </w:p>
        </w:tc>
        <w:tc>
          <w:tcPr>
            <w:tcW w:w="6978" w:type="dxa"/>
          </w:tcPr>
          <w:p w14:paraId="4031DE66" w14:textId="384EAF43"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 xml:space="preserve">PEDULI 6 Monthly report 31825 DFAT Peduli BiAnnual </w:t>
            </w:r>
            <w:r w:rsidR="0077583F" w:rsidRPr="001540B8">
              <w:rPr>
                <w:rFonts w:ascii="Calibri" w:hAnsi="Calibri"/>
                <w:color w:val="262626" w:themeColor="text1" w:themeTint="D9"/>
              </w:rPr>
              <w:t>report to</w:t>
            </w:r>
            <w:r w:rsidRPr="001540B8">
              <w:rPr>
                <w:rFonts w:ascii="Calibri" w:hAnsi="Calibri"/>
                <w:color w:val="262626" w:themeColor="text1" w:themeTint="D9"/>
              </w:rPr>
              <w:t xml:space="preserve"> </w:t>
            </w:r>
            <w:r w:rsidR="0077583F" w:rsidRPr="001540B8">
              <w:rPr>
                <w:rFonts w:ascii="Calibri" w:hAnsi="Calibri"/>
                <w:color w:val="262626" w:themeColor="text1" w:themeTint="D9"/>
              </w:rPr>
              <w:t>DFAT Jan</w:t>
            </w:r>
            <w:r w:rsidRPr="001540B8">
              <w:rPr>
                <w:rFonts w:ascii="Calibri" w:hAnsi="Calibri"/>
                <w:color w:val="262626" w:themeColor="text1" w:themeTint="D9"/>
              </w:rPr>
              <w:t xml:space="preserve"> – Jun 2017</w:t>
            </w:r>
          </w:p>
        </w:tc>
      </w:tr>
      <w:tr w:rsidR="00CB14AA" w:rsidRPr="001540B8" w14:paraId="04FE77D2" w14:textId="77777777" w:rsidTr="00524FCD">
        <w:tc>
          <w:tcPr>
            <w:tcW w:w="1413" w:type="dxa"/>
            <w:vMerge/>
          </w:tcPr>
          <w:p w14:paraId="7A27DA61" w14:textId="77777777" w:rsidR="00CB14AA" w:rsidRPr="001540B8" w:rsidRDefault="00CB14AA" w:rsidP="0034157E">
            <w:pPr>
              <w:rPr>
                <w:color w:val="262626" w:themeColor="text1" w:themeTint="D9"/>
              </w:rPr>
            </w:pPr>
          </w:p>
        </w:tc>
        <w:tc>
          <w:tcPr>
            <w:tcW w:w="6978" w:type="dxa"/>
          </w:tcPr>
          <w:p w14:paraId="65F1B6CB"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Peduli 6 Monthly report _</w:t>
            </w:r>
            <w:r w:rsidRPr="001540B8">
              <w:rPr>
                <w:rFonts w:ascii="Calibri" w:hAnsi="Calibri"/>
                <w:i/>
                <w:iCs/>
                <w:color w:val="262626" w:themeColor="text1" w:themeTint="D9"/>
              </w:rPr>
              <w:t>2</w:t>
            </w:r>
            <w:r w:rsidRPr="001540B8">
              <w:rPr>
                <w:rFonts w:ascii="Calibri" w:hAnsi="Calibri"/>
                <w:color w:val="262626" w:themeColor="text1" w:themeTint="D9"/>
              </w:rPr>
              <w:t>_Bi-annual report Jul – Dec 2017</w:t>
            </w:r>
          </w:p>
        </w:tc>
      </w:tr>
      <w:tr w:rsidR="00CB14AA" w:rsidRPr="001540B8" w14:paraId="4410F447" w14:textId="77777777" w:rsidTr="00524FCD">
        <w:tc>
          <w:tcPr>
            <w:tcW w:w="1413" w:type="dxa"/>
            <w:vMerge/>
          </w:tcPr>
          <w:p w14:paraId="3147603F" w14:textId="77777777" w:rsidR="00CB14AA" w:rsidRPr="001540B8" w:rsidRDefault="00CB14AA" w:rsidP="0034157E">
            <w:pPr>
              <w:rPr>
                <w:color w:val="262626" w:themeColor="text1" w:themeTint="D9"/>
              </w:rPr>
            </w:pPr>
          </w:p>
        </w:tc>
        <w:tc>
          <w:tcPr>
            <w:tcW w:w="6978" w:type="dxa"/>
          </w:tcPr>
          <w:p w14:paraId="1A442A21"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PEDULI Approval 110418_Signed Minute approval to commit and enter into an arrangement _Peduli</w:t>
            </w:r>
          </w:p>
        </w:tc>
      </w:tr>
      <w:tr w:rsidR="00CB14AA" w:rsidRPr="001540B8" w14:paraId="3131331F" w14:textId="77777777" w:rsidTr="00524FCD">
        <w:tc>
          <w:tcPr>
            <w:tcW w:w="1413" w:type="dxa"/>
            <w:vMerge/>
          </w:tcPr>
          <w:p w14:paraId="59781BC9" w14:textId="77777777" w:rsidR="00CB14AA" w:rsidRPr="001540B8" w:rsidRDefault="00CB14AA" w:rsidP="0034157E">
            <w:pPr>
              <w:rPr>
                <w:color w:val="262626" w:themeColor="text1" w:themeTint="D9"/>
              </w:rPr>
            </w:pPr>
          </w:p>
        </w:tc>
        <w:tc>
          <w:tcPr>
            <w:tcW w:w="6978" w:type="dxa"/>
          </w:tcPr>
          <w:p w14:paraId="6FCEDF9C"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Email dated 21 June 2018 attaching:</w:t>
            </w:r>
          </w:p>
          <w:p w14:paraId="6E654B98"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 xml:space="preserve">Database Format Beneficiaries Draft 18052018.xls </w:t>
            </w:r>
          </w:p>
          <w:p w14:paraId="3F120406"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Achievement Summary PEDULI 2017-2018.xls</w:t>
            </w:r>
          </w:p>
        </w:tc>
      </w:tr>
      <w:tr w:rsidR="00CB14AA" w:rsidRPr="001540B8" w14:paraId="31526544" w14:textId="77777777" w:rsidTr="00524FCD">
        <w:tc>
          <w:tcPr>
            <w:tcW w:w="1413" w:type="dxa"/>
            <w:vMerge w:val="restart"/>
          </w:tcPr>
          <w:p w14:paraId="4782F70A" w14:textId="77777777" w:rsidR="00CB14AA" w:rsidRPr="001540B8" w:rsidRDefault="00CB14AA" w:rsidP="0034157E">
            <w:pPr>
              <w:rPr>
                <w:color w:val="262626" w:themeColor="text1" w:themeTint="D9"/>
              </w:rPr>
            </w:pPr>
            <w:r w:rsidRPr="001540B8">
              <w:rPr>
                <w:color w:val="262626" w:themeColor="text1" w:themeTint="D9"/>
              </w:rPr>
              <w:t>NSSC</w:t>
            </w:r>
          </w:p>
        </w:tc>
        <w:tc>
          <w:tcPr>
            <w:tcW w:w="6978" w:type="dxa"/>
          </w:tcPr>
          <w:p w14:paraId="064C1F1E"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Design for the National NGO study and service center_Final_rev 20150915</w:t>
            </w:r>
          </w:p>
        </w:tc>
      </w:tr>
      <w:tr w:rsidR="00CB14AA" w:rsidRPr="001540B8" w14:paraId="31852AE2" w14:textId="77777777" w:rsidTr="00524FCD">
        <w:tc>
          <w:tcPr>
            <w:tcW w:w="1413" w:type="dxa"/>
            <w:vMerge/>
          </w:tcPr>
          <w:p w14:paraId="4103B15A" w14:textId="77777777" w:rsidR="00CB14AA" w:rsidRPr="001540B8" w:rsidRDefault="00CB14AA" w:rsidP="0034157E">
            <w:pPr>
              <w:rPr>
                <w:color w:val="262626" w:themeColor="text1" w:themeTint="D9"/>
              </w:rPr>
            </w:pPr>
          </w:p>
        </w:tc>
        <w:tc>
          <w:tcPr>
            <w:tcW w:w="6978" w:type="dxa"/>
          </w:tcPr>
          <w:p w14:paraId="45B7A6C2"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166113 STATT NGO Sector Review</w:t>
            </w:r>
          </w:p>
        </w:tc>
      </w:tr>
      <w:tr w:rsidR="00CB14AA" w:rsidRPr="001540B8" w14:paraId="18B11D6A" w14:textId="77777777" w:rsidTr="00524FCD">
        <w:tc>
          <w:tcPr>
            <w:tcW w:w="1413" w:type="dxa"/>
            <w:vMerge/>
          </w:tcPr>
          <w:p w14:paraId="5CCAE1BD" w14:textId="77777777" w:rsidR="00CB14AA" w:rsidRPr="001540B8" w:rsidRDefault="00CB14AA" w:rsidP="0034157E">
            <w:pPr>
              <w:rPr>
                <w:color w:val="262626" w:themeColor="text1" w:themeTint="D9"/>
              </w:rPr>
            </w:pPr>
          </w:p>
        </w:tc>
        <w:tc>
          <w:tcPr>
            <w:tcW w:w="6978" w:type="dxa"/>
          </w:tcPr>
          <w:p w14:paraId="6E42EDFE"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176144 NSSC Lessons for DFAT final report formatted FINAL (2)</w:t>
            </w:r>
          </w:p>
        </w:tc>
      </w:tr>
      <w:tr w:rsidR="00CB14AA" w:rsidRPr="001540B8" w14:paraId="6B26BE1E" w14:textId="77777777" w:rsidTr="00524FCD">
        <w:tc>
          <w:tcPr>
            <w:tcW w:w="1413" w:type="dxa"/>
            <w:vMerge w:val="restart"/>
          </w:tcPr>
          <w:p w14:paraId="5DC233F6" w14:textId="77777777" w:rsidR="00CB14AA" w:rsidRPr="001540B8" w:rsidRDefault="00CB14AA" w:rsidP="0034157E">
            <w:pPr>
              <w:rPr>
                <w:color w:val="262626" w:themeColor="text1" w:themeTint="D9"/>
              </w:rPr>
            </w:pPr>
            <w:r w:rsidRPr="001540B8">
              <w:rPr>
                <w:color w:val="262626" w:themeColor="text1" w:themeTint="D9"/>
              </w:rPr>
              <w:t>MAMPU</w:t>
            </w:r>
          </w:p>
        </w:tc>
        <w:tc>
          <w:tcPr>
            <w:tcW w:w="6978" w:type="dxa"/>
          </w:tcPr>
          <w:p w14:paraId="7E505701" w14:textId="77777777" w:rsidR="00CB14AA" w:rsidRPr="001540B8" w:rsidRDefault="00FC4C4C" w:rsidP="0034157E">
            <w:pPr>
              <w:rPr>
                <w:color w:val="262626" w:themeColor="text1" w:themeTint="D9"/>
              </w:rPr>
            </w:pPr>
            <w:hyperlink r:id="rId18" w:history="1">
              <w:r w:rsidR="00CB14AA" w:rsidRPr="001540B8">
                <w:rPr>
                  <w:rStyle w:val="Hyperlink"/>
                  <w:color w:val="262626" w:themeColor="text1" w:themeTint="D9"/>
                  <w:lang w:eastAsia="en-AU"/>
                </w:rPr>
                <w:t>Empowering Indonesian Women for Poverty Reduction Program Design Document</w:t>
              </w:r>
            </w:hyperlink>
          </w:p>
        </w:tc>
      </w:tr>
      <w:tr w:rsidR="00CB14AA" w:rsidRPr="001540B8" w14:paraId="623E2BDD" w14:textId="77777777" w:rsidTr="00524FCD">
        <w:tc>
          <w:tcPr>
            <w:tcW w:w="1413" w:type="dxa"/>
            <w:vMerge/>
          </w:tcPr>
          <w:p w14:paraId="48586F5F" w14:textId="77777777" w:rsidR="00CB14AA" w:rsidRPr="001540B8" w:rsidRDefault="00CB14AA" w:rsidP="0034157E">
            <w:pPr>
              <w:rPr>
                <w:color w:val="262626" w:themeColor="text1" w:themeTint="D9"/>
              </w:rPr>
            </w:pPr>
          </w:p>
        </w:tc>
        <w:tc>
          <w:tcPr>
            <w:tcW w:w="6978" w:type="dxa"/>
          </w:tcPr>
          <w:p w14:paraId="03B56DB3" w14:textId="77777777" w:rsidR="00CB14AA" w:rsidRPr="001540B8" w:rsidRDefault="00FC4C4C" w:rsidP="0034157E">
            <w:pPr>
              <w:rPr>
                <w:color w:val="262626" w:themeColor="text1" w:themeTint="D9"/>
              </w:rPr>
            </w:pPr>
            <w:hyperlink r:id="rId19" w:history="1">
              <w:r w:rsidR="00CB14AA" w:rsidRPr="001540B8">
                <w:rPr>
                  <w:rStyle w:val="Hyperlink"/>
                  <w:color w:val="262626" w:themeColor="text1" w:themeTint="D9"/>
                  <w:lang w:eastAsia="en-AU"/>
                </w:rPr>
                <w:t>Gender, Poverty, and Well-Being in Indonesia: MAMPU Background Assessment</w:t>
              </w:r>
            </w:hyperlink>
          </w:p>
        </w:tc>
      </w:tr>
      <w:tr w:rsidR="00CB14AA" w:rsidRPr="001540B8" w14:paraId="6D835293" w14:textId="77777777" w:rsidTr="00524FCD">
        <w:tc>
          <w:tcPr>
            <w:tcW w:w="1413" w:type="dxa"/>
            <w:vMerge/>
          </w:tcPr>
          <w:p w14:paraId="0625B433" w14:textId="77777777" w:rsidR="00CB14AA" w:rsidRPr="001540B8" w:rsidRDefault="00CB14AA" w:rsidP="0034157E">
            <w:pPr>
              <w:rPr>
                <w:color w:val="262626" w:themeColor="text1" w:themeTint="D9"/>
              </w:rPr>
            </w:pPr>
          </w:p>
        </w:tc>
        <w:tc>
          <w:tcPr>
            <w:tcW w:w="6978" w:type="dxa"/>
          </w:tcPr>
          <w:p w14:paraId="6F7EC61E" w14:textId="77777777" w:rsidR="00CB14AA" w:rsidRPr="001540B8" w:rsidRDefault="00FC4C4C" w:rsidP="0034157E">
            <w:pPr>
              <w:rPr>
                <w:color w:val="262626" w:themeColor="text1" w:themeTint="D9"/>
              </w:rPr>
            </w:pPr>
            <w:hyperlink r:id="rId20" w:history="1">
              <w:r w:rsidR="00CB14AA" w:rsidRPr="001540B8">
                <w:rPr>
                  <w:rStyle w:val="Hyperlink"/>
                  <w:color w:val="262626" w:themeColor="text1" w:themeTint="D9"/>
                  <w:lang w:eastAsia="en-AU"/>
                </w:rPr>
                <w:t>MAMPU Forward Plan 2015-2020</w:t>
              </w:r>
            </w:hyperlink>
          </w:p>
        </w:tc>
      </w:tr>
      <w:tr w:rsidR="00CB14AA" w:rsidRPr="001540B8" w14:paraId="2A2B0F17" w14:textId="77777777" w:rsidTr="00524FCD">
        <w:tc>
          <w:tcPr>
            <w:tcW w:w="1413" w:type="dxa"/>
            <w:vMerge/>
          </w:tcPr>
          <w:p w14:paraId="6203BDF9" w14:textId="77777777" w:rsidR="00CB14AA" w:rsidRPr="001540B8" w:rsidRDefault="00CB14AA" w:rsidP="0034157E">
            <w:pPr>
              <w:rPr>
                <w:color w:val="262626" w:themeColor="text1" w:themeTint="D9"/>
              </w:rPr>
            </w:pPr>
          </w:p>
        </w:tc>
        <w:tc>
          <w:tcPr>
            <w:tcW w:w="6978" w:type="dxa"/>
          </w:tcPr>
          <w:p w14:paraId="449BDAF0" w14:textId="77777777" w:rsidR="00CB14AA" w:rsidRPr="001540B8" w:rsidRDefault="00FC4C4C" w:rsidP="0034157E">
            <w:pPr>
              <w:rPr>
                <w:color w:val="262626" w:themeColor="text1" w:themeTint="D9"/>
              </w:rPr>
            </w:pPr>
            <w:hyperlink r:id="rId21" w:history="1">
              <w:r w:rsidR="00CB14AA" w:rsidRPr="001540B8">
                <w:rPr>
                  <w:rStyle w:val="Hyperlink"/>
                  <w:color w:val="262626" w:themeColor="text1" w:themeTint="D9"/>
                  <w:lang w:eastAsia="en-AU"/>
                </w:rPr>
                <w:t>MAMPU Performance Story</w:t>
              </w:r>
            </w:hyperlink>
          </w:p>
        </w:tc>
      </w:tr>
      <w:tr w:rsidR="00CB14AA" w:rsidRPr="001540B8" w14:paraId="29253362" w14:textId="77777777" w:rsidTr="00524FCD">
        <w:tc>
          <w:tcPr>
            <w:tcW w:w="1413" w:type="dxa"/>
            <w:vMerge/>
          </w:tcPr>
          <w:p w14:paraId="50EEC065" w14:textId="77777777" w:rsidR="00CB14AA" w:rsidRPr="001540B8" w:rsidRDefault="00CB14AA" w:rsidP="0034157E">
            <w:pPr>
              <w:rPr>
                <w:color w:val="262626" w:themeColor="text1" w:themeTint="D9"/>
              </w:rPr>
            </w:pPr>
          </w:p>
        </w:tc>
        <w:tc>
          <w:tcPr>
            <w:tcW w:w="6978" w:type="dxa"/>
          </w:tcPr>
          <w:p w14:paraId="7257B0C4" w14:textId="77777777" w:rsidR="00CB14AA" w:rsidRPr="001540B8" w:rsidRDefault="00FC4C4C" w:rsidP="0034157E">
            <w:pPr>
              <w:rPr>
                <w:color w:val="262626" w:themeColor="text1" w:themeTint="D9"/>
              </w:rPr>
            </w:pPr>
            <w:hyperlink r:id="rId22" w:history="1">
              <w:r w:rsidR="00CB14AA" w:rsidRPr="001540B8">
                <w:rPr>
                  <w:rStyle w:val="Hyperlink"/>
                  <w:color w:val="262626" w:themeColor="text1" w:themeTint="D9"/>
                  <w:lang w:eastAsia="en-AU"/>
                </w:rPr>
                <w:t>MAMPU: Verification of the Performance Story and Forward Plan</w:t>
              </w:r>
            </w:hyperlink>
          </w:p>
        </w:tc>
      </w:tr>
      <w:tr w:rsidR="00CB14AA" w:rsidRPr="001540B8" w14:paraId="397246B0" w14:textId="77777777" w:rsidTr="00524FCD">
        <w:tc>
          <w:tcPr>
            <w:tcW w:w="1413" w:type="dxa"/>
            <w:vMerge/>
          </w:tcPr>
          <w:p w14:paraId="13310AE6" w14:textId="77777777" w:rsidR="00CB14AA" w:rsidRPr="001540B8" w:rsidRDefault="00CB14AA" w:rsidP="0034157E">
            <w:pPr>
              <w:rPr>
                <w:color w:val="262626" w:themeColor="text1" w:themeTint="D9"/>
              </w:rPr>
            </w:pPr>
          </w:p>
        </w:tc>
        <w:tc>
          <w:tcPr>
            <w:tcW w:w="6978" w:type="dxa"/>
          </w:tcPr>
          <w:p w14:paraId="5B7BDA4B"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MAMPU Indonesia Australia Partnership gender equality MAMPU strategic plan 2017</w:t>
            </w:r>
          </w:p>
        </w:tc>
      </w:tr>
      <w:tr w:rsidR="00CB14AA" w:rsidRPr="001540B8" w14:paraId="1A19D29E" w14:textId="77777777" w:rsidTr="00524FCD">
        <w:tc>
          <w:tcPr>
            <w:tcW w:w="1413" w:type="dxa"/>
            <w:vMerge/>
          </w:tcPr>
          <w:p w14:paraId="700EA6CD" w14:textId="77777777" w:rsidR="00CB14AA" w:rsidRPr="001540B8" w:rsidRDefault="00CB14AA" w:rsidP="0034157E">
            <w:pPr>
              <w:rPr>
                <w:color w:val="262626" w:themeColor="text1" w:themeTint="D9"/>
              </w:rPr>
            </w:pPr>
          </w:p>
        </w:tc>
        <w:tc>
          <w:tcPr>
            <w:tcW w:w="6978" w:type="dxa"/>
          </w:tcPr>
          <w:p w14:paraId="7D21F0A5"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Draft Monitoring and Evaluation Framework MAMPU Phase 2 (Eng)</w:t>
            </w:r>
          </w:p>
        </w:tc>
      </w:tr>
      <w:tr w:rsidR="00CB14AA" w:rsidRPr="001540B8" w14:paraId="32C6C08C" w14:textId="77777777" w:rsidTr="00524FCD">
        <w:tc>
          <w:tcPr>
            <w:tcW w:w="1413" w:type="dxa"/>
            <w:vMerge/>
          </w:tcPr>
          <w:p w14:paraId="6BB1C7CB" w14:textId="77777777" w:rsidR="00CB14AA" w:rsidRPr="001540B8" w:rsidRDefault="00CB14AA" w:rsidP="0034157E">
            <w:pPr>
              <w:rPr>
                <w:color w:val="262626" w:themeColor="text1" w:themeTint="D9"/>
              </w:rPr>
            </w:pPr>
          </w:p>
        </w:tc>
        <w:tc>
          <w:tcPr>
            <w:tcW w:w="6978" w:type="dxa"/>
          </w:tcPr>
          <w:p w14:paraId="1E4AB321"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MAMPU Progress report Nov 2017</w:t>
            </w:r>
          </w:p>
        </w:tc>
      </w:tr>
      <w:tr w:rsidR="00CB14AA" w:rsidRPr="001540B8" w14:paraId="38C48844" w14:textId="77777777" w:rsidTr="00524FCD">
        <w:tc>
          <w:tcPr>
            <w:tcW w:w="1413" w:type="dxa"/>
            <w:vMerge/>
          </w:tcPr>
          <w:p w14:paraId="0DD5803F" w14:textId="77777777" w:rsidR="00CB14AA" w:rsidRPr="001540B8" w:rsidRDefault="00CB14AA" w:rsidP="0034157E">
            <w:pPr>
              <w:rPr>
                <w:color w:val="262626" w:themeColor="text1" w:themeTint="D9"/>
              </w:rPr>
            </w:pPr>
          </w:p>
        </w:tc>
        <w:tc>
          <w:tcPr>
            <w:tcW w:w="6978" w:type="dxa"/>
          </w:tcPr>
          <w:p w14:paraId="52A5AC01"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MAMPU progress report May 2018 Final</w:t>
            </w:r>
          </w:p>
        </w:tc>
      </w:tr>
      <w:tr w:rsidR="00CB14AA" w:rsidRPr="001540B8" w14:paraId="54E6B943" w14:textId="77777777" w:rsidTr="00524FCD">
        <w:tc>
          <w:tcPr>
            <w:tcW w:w="1413" w:type="dxa"/>
            <w:vMerge/>
          </w:tcPr>
          <w:p w14:paraId="66AC73BD" w14:textId="77777777" w:rsidR="00CB14AA" w:rsidRPr="001540B8" w:rsidRDefault="00CB14AA" w:rsidP="0034157E">
            <w:pPr>
              <w:rPr>
                <w:color w:val="262626" w:themeColor="text1" w:themeTint="D9"/>
              </w:rPr>
            </w:pPr>
          </w:p>
        </w:tc>
        <w:tc>
          <w:tcPr>
            <w:tcW w:w="6978" w:type="dxa"/>
          </w:tcPr>
          <w:p w14:paraId="00E10E1A"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INL 923 AQC 2017 Aid Quality Check 2017 Final Uploaded to Aidworks</w:t>
            </w:r>
          </w:p>
        </w:tc>
      </w:tr>
      <w:tr w:rsidR="00CB14AA" w:rsidRPr="001540B8" w14:paraId="3CB60E68" w14:textId="77777777" w:rsidTr="00524FCD">
        <w:tc>
          <w:tcPr>
            <w:tcW w:w="1413" w:type="dxa"/>
            <w:vMerge/>
          </w:tcPr>
          <w:p w14:paraId="325E1390" w14:textId="77777777" w:rsidR="00CB14AA" w:rsidRPr="001540B8" w:rsidRDefault="00CB14AA" w:rsidP="0034157E">
            <w:pPr>
              <w:rPr>
                <w:color w:val="262626" w:themeColor="text1" w:themeTint="D9"/>
              </w:rPr>
            </w:pPr>
          </w:p>
        </w:tc>
        <w:tc>
          <w:tcPr>
            <w:tcW w:w="6978" w:type="dxa"/>
          </w:tcPr>
          <w:p w14:paraId="5E21408B"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INL 923 AQC Aid Quality Check 2018 Final</w:t>
            </w:r>
          </w:p>
        </w:tc>
      </w:tr>
      <w:tr w:rsidR="00CB14AA" w:rsidRPr="001540B8" w14:paraId="24662A11" w14:textId="77777777" w:rsidTr="00524FCD">
        <w:tc>
          <w:tcPr>
            <w:tcW w:w="1413" w:type="dxa"/>
            <w:vMerge/>
          </w:tcPr>
          <w:p w14:paraId="2F537390" w14:textId="77777777" w:rsidR="00CB14AA" w:rsidRPr="001540B8" w:rsidRDefault="00CB14AA" w:rsidP="0034157E">
            <w:pPr>
              <w:rPr>
                <w:color w:val="262626" w:themeColor="text1" w:themeTint="D9"/>
              </w:rPr>
            </w:pPr>
          </w:p>
        </w:tc>
        <w:tc>
          <w:tcPr>
            <w:tcW w:w="6978" w:type="dxa"/>
          </w:tcPr>
          <w:p w14:paraId="2F85359A"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List of MAMPU research Aug 2018</w:t>
            </w:r>
          </w:p>
        </w:tc>
      </w:tr>
      <w:tr w:rsidR="00CB14AA" w:rsidRPr="001540B8" w14:paraId="0C9C70E8" w14:textId="77777777" w:rsidTr="00524FCD">
        <w:tc>
          <w:tcPr>
            <w:tcW w:w="1413" w:type="dxa"/>
            <w:vMerge/>
          </w:tcPr>
          <w:p w14:paraId="7E688ED6" w14:textId="77777777" w:rsidR="00CB14AA" w:rsidRPr="001540B8" w:rsidRDefault="00CB14AA" w:rsidP="0034157E">
            <w:pPr>
              <w:rPr>
                <w:color w:val="262626" w:themeColor="text1" w:themeTint="D9"/>
              </w:rPr>
            </w:pPr>
          </w:p>
        </w:tc>
        <w:tc>
          <w:tcPr>
            <w:tcW w:w="6978" w:type="dxa"/>
          </w:tcPr>
          <w:p w14:paraId="0C3C9E95"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MEDA MAMPU Final report June 30, 2018</w:t>
            </w:r>
          </w:p>
        </w:tc>
      </w:tr>
      <w:tr w:rsidR="00CB14AA" w:rsidRPr="001540B8" w14:paraId="76BB408C" w14:textId="77777777" w:rsidTr="00524FCD">
        <w:tc>
          <w:tcPr>
            <w:tcW w:w="1413" w:type="dxa"/>
            <w:vMerge/>
          </w:tcPr>
          <w:p w14:paraId="68A41F4A" w14:textId="77777777" w:rsidR="00CB14AA" w:rsidRPr="001540B8" w:rsidRDefault="00CB14AA" w:rsidP="0034157E">
            <w:pPr>
              <w:rPr>
                <w:color w:val="262626" w:themeColor="text1" w:themeTint="D9"/>
              </w:rPr>
            </w:pPr>
          </w:p>
        </w:tc>
        <w:tc>
          <w:tcPr>
            <w:tcW w:w="6978" w:type="dxa"/>
          </w:tcPr>
          <w:p w14:paraId="7B513DC2"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Executive Summary of parliamentary engagement report</w:t>
            </w:r>
          </w:p>
        </w:tc>
      </w:tr>
      <w:tr w:rsidR="00CB14AA" w:rsidRPr="001540B8" w14:paraId="1D42930D" w14:textId="77777777" w:rsidTr="00524FCD">
        <w:tc>
          <w:tcPr>
            <w:tcW w:w="1413" w:type="dxa"/>
            <w:vMerge/>
          </w:tcPr>
          <w:p w14:paraId="08A82B7B" w14:textId="77777777" w:rsidR="00CB14AA" w:rsidRPr="001540B8" w:rsidRDefault="00CB14AA" w:rsidP="0034157E">
            <w:pPr>
              <w:rPr>
                <w:color w:val="262626" w:themeColor="text1" w:themeTint="D9"/>
              </w:rPr>
            </w:pPr>
          </w:p>
        </w:tc>
        <w:tc>
          <w:tcPr>
            <w:tcW w:w="6978" w:type="dxa"/>
          </w:tcPr>
          <w:p w14:paraId="3698C176"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 xml:space="preserve">MAMPU Phase 2 Standard Operating Procedures in English </w:t>
            </w:r>
          </w:p>
        </w:tc>
      </w:tr>
      <w:tr w:rsidR="00CB14AA" w:rsidRPr="001540B8" w14:paraId="54E4DDA5" w14:textId="77777777" w:rsidTr="00524FCD">
        <w:tc>
          <w:tcPr>
            <w:tcW w:w="1413" w:type="dxa"/>
            <w:vMerge/>
          </w:tcPr>
          <w:p w14:paraId="1E1022A1" w14:textId="77777777" w:rsidR="00CB14AA" w:rsidRPr="001540B8" w:rsidRDefault="00CB14AA" w:rsidP="0034157E">
            <w:pPr>
              <w:rPr>
                <w:color w:val="262626" w:themeColor="text1" w:themeTint="D9"/>
              </w:rPr>
            </w:pPr>
          </w:p>
        </w:tc>
        <w:tc>
          <w:tcPr>
            <w:tcW w:w="6978" w:type="dxa"/>
          </w:tcPr>
          <w:p w14:paraId="6C0D4A36" w14:textId="77777777" w:rsidR="00CB14AA" w:rsidRPr="001540B8" w:rsidRDefault="00CB14AA" w:rsidP="0034157E">
            <w:pPr>
              <w:rPr>
                <w:rFonts w:ascii="Calibri" w:hAnsi="Calibri"/>
                <w:color w:val="262626" w:themeColor="text1" w:themeTint="D9"/>
              </w:rPr>
            </w:pPr>
            <w:r w:rsidRPr="001540B8">
              <w:rPr>
                <w:rFonts w:ascii="Calibri" w:hAnsi="Calibri"/>
                <w:color w:val="262626" w:themeColor="text1" w:themeTint="D9"/>
              </w:rPr>
              <w:t>MAMPU VfM Framework Final</w:t>
            </w:r>
          </w:p>
        </w:tc>
      </w:tr>
      <w:tr w:rsidR="00CB14AA" w:rsidRPr="001540B8" w14:paraId="4884DABF" w14:textId="77777777" w:rsidTr="00524FCD">
        <w:tc>
          <w:tcPr>
            <w:tcW w:w="1413" w:type="dxa"/>
            <w:vMerge w:val="restart"/>
          </w:tcPr>
          <w:p w14:paraId="6B17EFA9" w14:textId="77777777" w:rsidR="00CB14AA" w:rsidRDefault="00CB14AA" w:rsidP="0034157E">
            <w:pPr>
              <w:rPr>
                <w:color w:val="262626" w:themeColor="text1" w:themeTint="D9"/>
              </w:rPr>
            </w:pPr>
            <w:r w:rsidRPr="001540B8">
              <w:rPr>
                <w:color w:val="262626" w:themeColor="text1" w:themeTint="D9"/>
              </w:rPr>
              <w:t xml:space="preserve">PILOT tracking tool </w:t>
            </w:r>
          </w:p>
          <w:p w14:paraId="105215BE" w14:textId="77777777" w:rsidR="00CB14AA" w:rsidRPr="001540B8" w:rsidRDefault="00CB14AA" w:rsidP="0034157E">
            <w:pPr>
              <w:rPr>
                <w:color w:val="262626" w:themeColor="text1" w:themeTint="D9"/>
              </w:rPr>
            </w:pPr>
          </w:p>
        </w:tc>
        <w:tc>
          <w:tcPr>
            <w:tcW w:w="6978" w:type="dxa"/>
          </w:tcPr>
          <w:p w14:paraId="3818CA81" w14:textId="77777777" w:rsidR="00CB14AA" w:rsidRPr="00577B41" w:rsidRDefault="00CB14AA" w:rsidP="0034157E">
            <w:pPr>
              <w:rPr>
                <w:rFonts w:ascii="Calibri" w:hAnsi="Calibri"/>
                <w:color w:val="262626" w:themeColor="text1" w:themeTint="D9"/>
              </w:rPr>
            </w:pPr>
            <w:r w:rsidRPr="00577B41">
              <w:rPr>
                <w:rFonts w:ascii="Calibri" w:hAnsi="Calibri"/>
                <w:color w:val="262626" w:themeColor="text1" w:themeTint="D9"/>
              </w:rPr>
              <w:t>Klinik Layanan Informasi dan Konsultasi (KLIK) Pekka</w:t>
            </w:r>
          </w:p>
          <w:p w14:paraId="2A1D7E59" w14:textId="77777777" w:rsidR="00CB14AA" w:rsidRPr="001540B8" w:rsidRDefault="00CB14AA" w:rsidP="0034157E">
            <w:pPr>
              <w:pStyle w:val="ListParagraph"/>
              <w:rPr>
                <w:rFonts w:ascii="Calibri" w:hAnsi="Calibri"/>
                <w:color w:val="262626" w:themeColor="text1" w:themeTint="D9"/>
              </w:rPr>
            </w:pPr>
          </w:p>
        </w:tc>
      </w:tr>
      <w:tr w:rsidR="00CB14AA" w:rsidRPr="001540B8" w14:paraId="6041C03F" w14:textId="77777777" w:rsidTr="00524FCD">
        <w:trPr>
          <w:trHeight w:val="431"/>
        </w:trPr>
        <w:tc>
          <w:tcPr>
            <w:tcW w:w="1413" w:type="dxa"/>
            <w:vMerge/>
          </w:tcPr>
          <w:p w14:paraId="2BC8B6FE" w14:textId="77777777" w:rsidR="00CB14AA" w:rsidRPr="001540B8" w:rsidRDefault="00CB14AA" w:rsidP="0034157E">
            <w:pPr>
              <w:rPr>
                <w:color w:val="262626" w:themeColor="text1" w:themeTint="D9"/>
              </w:rPr>
            </w:pPr>
          </w:p>
        </w:tc>
        <w:tc>
          <w:tcPr>
            <w:tcW w:w="6978" w:type="dxa"/>
          </w:tcPr>
          <w:p w14:paraId="4E20ED70" w14:textId="77777777" w:rsidR="00CB14AA" w:rsidRPr="001540B8" w:rsidRDefault="00CB14AA" w:rsidP="0034157E">
            <w:pPr>
              <w:rPr>
                <w:rFonts w:ascii="Calibri" w:hAnsi="Calibri"/>
                <w:color w:val="262626" w:themeColor="text1" w:themeTint="D9"/>
              </w:rPr>
            </w:pPr>
            <w:r w:rsidRPr="00577B41">
              <w:rPr>
                <w:rFonts w:ascii="Calibri" w:hAnsi="Calibri"/>
                <w:color w:val="262626" w:themeColor="text1" w:themeTint="D9"/>
              </w:rPr>
              <w:t>Sekolah Perempuan</w:t>
            </w:r>
          </w:p>
        </w:tc>
      </w:tr>
      <w:tr w:rsidR="00CB14AA" w:rsidRPr="001E7239" w14:paraId="46041A03" w14:textId="77777777" w:rsidTr="00524FCD">
        <w:tc>
          <w:tcPr>
            <w:tcW w:w="1413" w:type="dxa"/>
            <w:vMerge/>
          </w:tcPr>
          <w:p w14:paraId="55791391" w14:textId="77777777" w:rsidR="00CB14AA" w:rsidRPr="001540B8" w:rsidRDefault="00CB14AA" w:rsidP="0034157E">
            <w:pPr>
              <w:rPr>
                <w:color w:val="262626" w:themeColor="text1" w:themeTint="D9"/>
              </w:rPr>
            </w:pPr>
          </w:p>
        </w:tc>
        <w:tc>
          <w:tcPr>
            <w:tcW w:w="6978" w:type="dxa"/>
          </w:tcPr>
          <w:p w14:paraId="20F083FC" w14:textId="3783AA6F" w:rsidR="00CB14AA" w:rsidRPr="00577B41" w:rsidRDefault="00CB14AA" w:rsidP="0034157E">
            <w:pPr>
              <w:rPr>
                <w:rFonts w:ascii="Calibri" w:hAnsi="Calibri"/>
                <w:color w:val="262626" w:themeColor="text1" w:themeTint="D9"/>
              </w:rPr>
            </w:pPr>
            <w:r w:rsidRPr="00577B41">
              <w:rPr>
                <w:rFonts w:ascii="Calibri" w:hAnsi="Calibri"/>
                <w:color w:val="262626" w:themeColor="text1" w:themeTint="D9"/>
              </w:rPr>
              <w:t xml:space="preserve">Desa Peduli Buruh </w:t>
            </w:r>
            <w:r w:rsidR="0077583F" w:rsidRPr="00577B41">
              <w:rPr>
                <w:rFonts w:ascii="Calibri" w:hAnsi="Calibri"/>
                <w:color w:val="262626" w:themeColor="text1" w:themeTint="D9"/>
              </w:rPr>
              <w:t>Migran (</w:t>
            </w:r>
            <w:r w:rsidRPr="00577B41">
              <w:rPr>
                <w:rFonts w:ascii="Calibri" w:hAnsi="Calibri"/>
                <w:color w:val="262626" w:themeColor="text1" w:themeTint="D9"/>
              </w:rPr>
              <w:t>DESBUMI)</w:t>
            </w:r>
          </w:p>
        </w:tc>
      </w:tr>
      <w:tr w:rsidR="00CB14AA" w:rsidRPr="001540B8" w14:paraId="45DA5229" w14:textId="77777777" w:rsidTr="00524FCD">
        <w:tc>
          <w:tcPr>
            <w:tcW w:w="1413" w:type="dxa"/>
          </w:tcPr>
          <w:p w14:paraId="2666B929" w14:textId="77777777" w:rsidR="00CB14AA" w:rsidRPr="001540B8" w:rsidRDefault="00CB14AA" w:rsidP="0034157E">
            <w:pPr>
              <w:rPr>
                <w:color w:val="262626" w:themeColor="text1" w:themeTint="D9"/>
              </w:rPr>
            </w:pPr>
            <w:r>
              <w:rPr>
                <w:color w:val="262626" w:themeColor="text1" w:themeTint="D9"/>
              </w:rPr>
              <w:t>ACCESS</w:t>
            </w:r>
          </w:p>
        </w:tc>
        <w:tc>
          <w:tcPr>
            <w:tcW w:w="6978" w:type="dxa"/>
          </w:tcPr>
          <w:p w14:paraId="4DDA2C17" w14:textId="77777777" w:rsidR="00CB14AA" w:rsidRPr="001540B8" w:rsidRDefault="00CB14AA" w:rsidP="0034157E">
            <w:pPr>
              <w:rPr>
                <w:rFonts w:ascii="Calibri" w:hAnsi="Calibri"/>
                <w:color w:val="262626" w:themeColor="text1" w:themeTint="D9"/>
              </w:rPr>
            </w:pPr>
            <w:r>
              <w:rPr>
                <w:rFonts w:ascii="Calibri" w:hAnsi="Calibri"/>
                <w:color w:val="262626" w:themeColor="text1" w:themeTint="D9"/>
              </w:rPr>
              <w:t>Final Civil Society Organisations in Indonesia</w:t>
            </w:r>
          </w:p>
        </w:tc>
      </w:tr>
      <w:tr w:rsidR="00CB14AA" w:rsidRPr="001540B8" w14:paraId="4BB35F8B" w14:textId="77777777" w:rsidTr="00524FCD">
        <w:tc>
          <w:tcPr>
            <w:tcW w:w="1413" w:type="dxa"/>
          </w:tcPr>
          <w:p w14:paraId="638EC6A2" w14:textId="77777777" w:rsidR="00CB14AA" w:rsidRPr="001540B8" w:rsidRDefault="00CB14AA" w:rsidP="0034157E">
            <w:pPr>
              <w:rPr>
                <w:color w:val="262626" w:themeColor="text1" w:themeTint="D9"/>
              </w:rPr>
            </w:pPr>
            <w:r>
              <w:rPr>
                <w:color w:val="262626" w:themeColor="text1" w:themeTint="D9"/>
              </w:rPr>
              <w:t>NSSC</w:t>
            </w:r>
          </w:p>
        </w:tc>
        <w:tc>
          <w:tcPr>
            <w:tcW w:w="6978" w:type="dxa"/>
          </w:tcPr>
          <w:p w14:paraId="77672996" w14:textId="77777777" w:rsidR="00CB14AA" w:rsidRPr="001540B8" w:rsidRDefault="00CB14AA" w:rsidP="0034157E">
            <w:pPr>
              <w:rPr>
                <w:rFonts w:ascii="Calibri" w:hAnsi="Calibri"/>
                <w:color w:val="262626" w:themeColor="text1" w:themeTint="D9"/>
              </w:rPr>
            </w:pPr>
            <w:r>
              <w:rPr>
                <w:rFonts w:ascii="Calibri" w:hAnsi="Calibri"/>
                <w:color w:val="262626" w:themeColor="text1" w:themeTint="D9"/>
              </w:rPr>
              <w:t>Draft NSSC Investment Concept Note</w:t>
            </w:r>
          </w:p>
        </w:tc>
      </w:tr>
      <w:tr w:rsidR="00CB14AA" w14:paraId="12D4F391" w14:textId="77777777" w:rsidTr="00524FCD">
        <w:tc>
          <w:tcPr>
            <w:tcW w:w="1413" w:type="dxa"/>
            <w:vMerge w:val="restart"/>
          </w:tcPr>
          <w:p w14:paraId="3B6541AC" w14:textId="77777777" w:rsidR="00CB14AA" w:rsidRDefault="00CB14AA" w:rsidP="0034157E">
            <w:pPr>
              <w:rPr>
                <w:color w:val="262626" w:themeColor="text1" w:themeTint="D9"/>
              </w:rPr>
            </w:pPr>
            <w:r>
              <w:rPr>
                <w:color w:val="262626" w:themeColor="text1" w:themeTint="D9"/>
              </w:rPr>
              <w:t>MAMPU</w:t>
            </w:r>
          </w:p>
        </w:tc>
        <w:tc>
          <w:tcPr>
            <w:tcW w:w="6978" w:type="dxa"/>
          </w:tcPr>
          <w:p w14:paraId="369525B9" w14:textId="77777777" w:rsidR="00CB14AA" w:rsidRDefault="00CB14AA" w:rsidP="00524FCD">
            <w:pPr>
              <w:rPr>
                <w:rFonts w:ascii="Calibri" w:hAnsi="Calibri"/>
                <w:color w:val="262626" w:themeColor="text1" w:themeTint="D9"/>
              </w:rPr>
            </w:pPr>
            <w:r>
              <w:rPr>
                <w:rFonts w:ascii="Calibri" w:hAnsi="Calibri"/>
                <w:color w:val="262626" w:themeColor="text1" w:themeTint="D9"/>
              </w:rPr>
              <w:t xml:space="preserve">Repot on MAMPU parliamentary engagement </w:t>
            </w:r>
          </w:p>
        </w:tc>
      </w:tr>
      <w:tr w:rsidR="00CB14AA" w14:paraId="2FCEC33A" w14:textId="77777777" w:rsidTr="00524FCD">
        <w:tc>
          <w:tcPr>
            <w:tcW w:w="1413" w:type="dxa"/>
            <w:vMerge/>
          </w:tcPr>
          <w:p w14:paraId="0E90AE7C" w14:textId="77777777" w:rsidR="00CB14AA" w:rsidRDefault="00CB14AA" w:rsidP="0034157E">
            <w:pPr>
              <w:rPr>
                <w:color w:val="262626" w:themeColor="text1" w:themeTint="D9"/>
              </w:rPr>
            </w:pPr>
          </w:p>
        </w:tc>
        <w:tc>
          <w:tcPr>
            <w:tcW w:w="6978" w:type="dxa"/>
          </w:tcPr>
          <w:p w14:paraId="5F829659" w14:textId="77777777" w:rsidR="00CB14AA" w:rsidRDefault="00CB14AA" w:rsidP="0034157E">
            <w:pPr>
              <w:rPr>
                <w:rFonts w:ascii="Calibri" w:hAnsi="Calibri"/>
                <w:color w:val="262626" w:themeColor="text1" w:themeTint="D9"/>
              </w:rPr>
            </w:pPr>
            <w:r>
              <w:rPr>
                <w:rFonts w:ascii="Calibri" w:hAnsi="Calibri"/>
                <w:color w:val="262626" w:themeColor="text1" w:themeTint="D9"/>
              </w:rPr>
              <w:t>Laporan konsolidasi OCPAT mitra MAMPU (English Version)</w:t>
            </w:r>
          </w:p>
        </w:tc>
      </w:tr>
      <w:tr w:rsidR="00CB14AA" w14:paraId="7A510B6F" w14:textId="77777777" w:rsidTr="00524FCD">
        <w:tc>
          <w:tcPr>
            <w:tcW w:w="1413" w:type="dxa"/>
            <w:vMerge/>
          </w:tcPr>
          <w:p w14:paraId="2A245B51" w14:textId="77777777" w:rsidR="00CB14AA" w:rsidRDefault="00CB14AA" w:rsidP="0034157E">
            <w:pPr>
              <w:rPr>
                <w:color w:val="262626" w:themeColor="text1" w:themeTint="D9"/>
              </w:rPr>
            </w:pPr>
          </w:p>
        </w:tc>
        <w:tc>
          <w:tcPr>
            <w:tcW w:w="6978" w:type="dxa"/>
          </w:tcPr>
          <w:p w14:paraId="4FD004B2" w14:textId="77777777" w:rsidR="00CB14AA" w:rsidRDefault="00CB14AA" w:rsidP="0034157E">
            <w:pPr>
              <w:rPr>
                <w:rFonts w:ascii="Calibri" w:hAnsi="Calibri"/>
                <w:color w:val="262626" w:themeColor="text1" w:themeTint="D9"/>
              </w:rPr>
            </w:pPr>
            <w:r>
              <w:rPr>
                <w:rFonts w:ascii="Calibri" w:hAnsi="Calibri"/>
                <w:color w:val="262626" w:themeColor="text1" w:themeTint="D9"/>
              </w:rPr>
              <w:t>OCPAT result of MAMPU partners 2015</w:t>
            </w:r>
          </w:p>
        </w:tc>
      </w:tr>
      <w:tr w:rsidR="00CB14AA" w14:paraId="6B28B5F1" w14:textId="77777777" w:rsidTr="00524FCD">
        <w:tc>
          <w:tcPr>
            <w:tcW w:w="1413" w:type="dxa"/>
            <w:vMerge/>
          </w:tcPr>
          <w:p w14:paraId="12309B50" w14:textId="77777777" w:rsidR="00CB14AA" w:rsidRDefault="00CB14AA" w:rsidP="0034157E">
            <w:pPr>
              <w:rPr>
                <w:color w:val="262626" w:themeColor="text1" w:themeTint="D9"/>
              </w:rPr>
            </w:pPr>
          </w:p>
        </w:tc>
        <w:tc>
          <w:tcPr>
            <w:tcW w:w="6978" w:type="dxa"/>
          </w:tcPr>
          <w:p w14:paraId="6DC2F472" w14:textId="77777777" w:rsidR="00CB14AA" w:rsidRDefault="00CB14AA" w:rsidP="0034157E">
            <w:pPr>
              <w:rPr>
                <w:rFonts w:ascii="Calibri" w:hAnsi="Calibri"/>
                <w:color w:val="262626" w:themeColor="text1" w:themeTint="D9"/>
              </w:rPr>
            </w:pPr>
            <w:r>
              <w:rPr>
                <w:rFonts w:ascii="Calibri" w:hAnsi="Calibri"/>
                <w:color w:val="262626" w:themeColor="text1" w:themeTint="D9"/>
              </w:rPr>
              <w:t>Migunani research report (collective action)</w:t>
            </w:r>
          </w:p>
        </w:tc>
      </w:tr>
      <w:tr w:rsidR="00CB14AA" w14:paraId="5F2AA567" w14:textId="77777777" w:rsidTr="00524FCD">
        <w:tc>
          <w:tcPr>
            <w:tcW w:w="1413" w:type="dxa"/>
            <w:vMerge w:val="restart"/>
          </w:tcPr>
          <w:p w14:paraId="13D8DA8F" w14:textId="77777777" w:rsidR="00CB14AA" w:rsidRDefault="00CB14AA" w:rsidP="0034157E">
            <w:pPr>
              <w:rPr>
                <w:color w:val="262626" w:themeColor="text1" w:themeTint="D9"/>
              </w:rPr>
            </w:pPr>
            <w:r>
              <w:rPr>
                <w:color w:val="262626" w:themeColor="text1" w:themeTint="D9"/>
              </w:rPr>
              <w:t>GOI</w:t>
            </w:r>
          </w:p>
        </w:tc>
        <w:tc>
          <w:tcPr>
            <w:tcW w:w="6978" w:type="dxa"/>
          </w:tcPr>
          <w:p w14:paraId="01456B1B" w14:textId="77777777" w:rsidR="00CB14AA" w:rsidRDefault="00CB14AA" w:rsidP="0034157E">
            <w:pPr>
              <w:rPr>
                <w:rFonts w:ascii="Calibri" w:hAnsi="Calibri"/>
                <w:color w:val="262626" w:themeColor="text1" w:themeTint="D9"/>
              </w:rPr>
            </w:pPr>
            <w:r>
              <w:rPr>
                <w:rFonts w:ascii="Calibri" w:hAnsi="Calibri"/>
                <w:color w:val="262626" w:themeColor="text1" w:themeTint="D9"/>
              </w:rPr>
              <w:t xml:space="preserve">Summary of strategic and priority issues in the area of Gender Equality and Women’s Empowerment in Indonesia – as part of MAMPU contribution to the new RPJMN.  Early draft.  </w:t>
            </w:r>
          </w:p>
        </w:tc>
      </w:tr>
      <w:tr w:rsidR="00CB14AA" w14:paraId="1ADFEA82" w14:textId="77777777" w:rsidTr="00524FCD">
        <w:tc>
          <w:tcPr>
            <w:tcW w:w="1413" w:type="dxa"/>
            <w:vMerge/>
          </w:tcPr>
          <w:p w14:paraId="02183BE9" w14:textId="77777777" w:rsidR="00CB14AA" w:rsidRDefault="00CB14AA" w:rsidP="0034157E">
            <w:pPr>
              <w:rPr>
                <w:color w:val="262626" w:themeColor="text1" w:themeTint="D9"/>
              </w:rPr>
            </w:pPr>
          </w:p>
        </w:tc>
        <w:tc>
          <w:tcPr>
            <w:tcW w:w="6978" w:type="dxa"/>
          </w:tcPr>
          <w:p w14:paraId="76BF1044" w14:textId="77777777" w:rsidR="00CB14AA" w:rsidRDefault="00CB14AA" w:rsidP="0034157E">
            <w:pPr>
              <w:rPr>
                <w:rFonts w:ascii="Calibri" w:hAnsi="Calibri"/>
                <w:color w:val="262626" w:themeColor="text1" w:themeTint="D9"/>
              </w:rPr>
            </w:pPr>
            <w:r>
              <w:rPr>
                <w:rFonts w:ascii="Calibri" w:hAnsi="Calibri"/>
                <w:color w:val="262626" w:themeColor="text1" w:themeTint="D9"/>
              </w:rPr>
              <w:t>RPJMN 2010-2014 English (Book I)</w:t>
            </w:r>
          </w:p>
        </w:tc>
      </w:tr>
      <w:tr w:rsidR="00CB14AA" w14:paraId="4F1039D4" w14:textId="77777777" w:rsidTr="00524FCD">
        <w:tc>
          <w:tcPr>
            <w:tcW w:w="1413" w:type="dxa"/>
            <w:vMerge w:val="restart"/>
          </w:tcPr>
          <w:p w14:paraId="1B3433B4" w14:textId="77777777" w:rsidR="00CB14AA" w:rsidRDefault="00CB14AA" w:rsidP="0034157E">
            <w:pPr>
              <w:rPr>
                <w:color w:val="262626" w:themeColor="text1" w:themeTint="D9"/>
              </w:rPr>
            </w:pPr>
            <w:r>
              <w:rPr>
                <w:color w:val="262626" w:themeColor="text1" w:themeTint="D9"/>
              </w:rPr>
              <w:t>GOA</w:t>
            </w:r>
          </w:p>
        </w:tc>
        <w:tc>
          <w:tcPr>
            <w:tcW w:w="6978" w:type="dxa"/>
          </w:tcPr>
          <w:p w14:paraId="3CB035E4" w14:textId="77777777" w:rsidR="00CB14AA" w:rsidRDefault="00FC4C4C" w:rsidP="0034157E">
            <w:pPr>
              <w:rPr>
                <w:rFonts w:ascii="Calibri" w:hAnsi="Calibri"/>
                <w:color w:val="262626" w:themeColor="text1" w:themeTint="D9"/>
              </w:rPr>
            </w:pPr>
            <w:hyperlink r:id="rId23" w:history="1">
              <w:r w:rsidR="00CB14AA" w:rsidRPr="00D27315">
                <w:rPr>
                  <w:rStyle w:val="Hyperlink"/>
                  <w:rFonts w:ascii="Calibri" w:hAnsi="Calibri"/>
                </w:rPr>
                <w:t>https://www.fpwhitepaper.gov.au/</w:t>
              </w:r>
            </w:hyperlink>
          </w:p>
        </w:tc>
      </w:tr>
      <w:tr w:rsidR="00CB14AA" w14:paraId="34401001" w14:textId="77777777" w:rsidTr="00524FCD">
        <w:tc>
          <w:tcPr>
            <w:tcW w:w="1413" w:type="dxa"/>
            <w:vMerge/>
          </w:tcPr>
          <w:p w14:paraId="3C87573A" w14:textId="77777777" w:rsidR="00CB14AA" w:rsidRDefault="00CB14AA" w:rsidP="0034157E">
            <w:pPr>
              <w:rPr>
                <w:color w:val="262626" w:themeColor="text1" w:themeTint="D9"/>
              </w:rPr>
            </w:pPr>
          </w:p>
        </w:tc>
        <w:tc>
          <w:tcPr>
            <w:tcW w:w="6978" w:type="dxa"/>
          </w:tcPr>
          <w:p w14:paraId="2F2A246A" w14:textId="77777777" w:rsidR="00CB14AA" w:rsidRDefault="00FC4C4C" w:rsidP="0034157E">
            <w:pPr>
              <w:rPr>
                <w:rFonts w:ascii="Calibri" w:hAnsi="Calibri"/>
                <w:color w:val="262626" w:themeColor="text1" w:themeTint="D9"/>
              </w:rPr>
            </w:pPr>
            <w:hyperlink r:id="rId24" w:history="1">
              <w:r w:rsidR="00CB14AA" w:rsidRPr="00D27315">
                <w:rPr>
                  <w:rStyle w:val="Hyperlink"/>
                  <w:rFonts w:ascii="Calibri" w:hAnsi="Calibri"/>
                </w:rPr>
                <w:t>https://dfat.gov.au/about-us/publications/Pages/australian-aid-promoting-prosperity-reducing-poverty-enhancing-stability.aspx</w:t>
              </w:r>
            </w:hyperlink>
          </w:p>
          <w:p w14:paraId="7EC3AFE6" w14:textId="77777777" w:rsidR="00CB14AA" w:rsidRDefault="00CB14AA" w:rsidP="0034157E">
            <w:pPr>
              <w:rPr>
                <w:rFonts w:ascii="Calibri" w:hAnsi="Calibri"/>
                <w:color w:val="262626" w:themeColor="text1" w:themeTint="D9"/>
              </w:rPr>
            </w:pPr>
          </w:p>
        </w:tc>
      </w:tr>
      <w:tr w:rsidR="00CB14AA" w14:paraId="4978591D" w14:textId="77777777" w:rsidTr="00524FCD">
        <w:tc>
          <w:tcPr>
            <w:tcW w:w="1413" w:type="dxa"/>
            <w:vMerge/>
          </w:tcPr>
          <w:p w14:paraId="18B2BD2C" w14:textId="77777777" w:rsidR="00CB14AA" w:rsidRDefault="00CB14AA" w:rsidP="0034157E">
            <w:pPr>
              <w:rPr>
                <w:color w:val="262626" w:themeColor="text1" w:themeTint="D9"/>
              </w:rPr>
            </w:pPr>
          </w:p>
        </w:tc>
        <w:tc>
          <w:tcPr>
            <w:tcW w:w="6978" w:type="dxa"/>
          </w:tcPr>
          <w:p w14:paraId="1C100D6A" w14:textId="77777777" w:rsidR="00CB14AA" w:rsidRDefault="00FC4C4C" w:rsidP="0034157E">
            <w:pPr>
              <w:rPr>
                <w:rFonts w:ascii="Calibri" w:hAnsi="Calibri"/>
                <w:color w:val="262626" w:themeColor="text1" w:themeTint="D9"/>
              </w:rPr>
            </w:pPr>
            <w:hyperlink r:id="rId25" w:history="1">
              <w:r w:rsidR="00CB14AA" w:rsidRPr="00D27315">
                <w:rPr>
                  <w:rStyle w:val="Hyperlink"/>
                  <w:rFonts w:ascii="Calibri" w:hAnsi="Calibri"/>
                </w:rPr>
                <w:t>https://dfat.gov.au/about-us/publications/Pages/gender-equality-and-womens-empowerment-strategy.aspx</w:t>
              </w:r>
            </w:hyperlink>
          </w:p>
          <w:p w14:paraId="2EDF597A" w14:textId="77777777" w:rsidR="00CB14AA" w:rsidRDefault="00CB14AA" w:rsidP="0034157E">
            <w:pPr>
              <w:rPr>
                <w:rFonts w:ascii="Calibri" w:hAnsi="Calibri"/>
                <w:color w:val="262626" w:themeColor="text1" w:themeTint="D9"/>
              </w:rPr>
            </w:pPr>
          </w:p>
        </w:tc>
      </w:tr>
      <w:tr w:rsidR="00CB14AA" w14:paraId="034DBB48" w14:textId="77777777" w:rsidTr="00524FCD">
        <w:tc>
          <w:tcPr>
            <w:tcW w:w="1413" w:type="dxa"/>
            <w:vMerge/>
          </w:tcPr>
          <w:p w14:paraId="28FF856E" w14:textId="77777777" w:rsidR="00CB14AA" w:rsidRDefault="00CB14AA" w:rsidP="0034157E">
            <w:pPr>
              <w:rPr>
                <w:color w:val="262626" w:themeColor="text1" w:themeTint="D9"/>
              </w:rPr>
            </w:pPr>
          </w:p>
        </w:tc>
        <w:tc>
          <w:tcPr>
            <w:tcW w:w="6978" w:type="dxa"/>
          </w:tcPr>
          <w:p w14:paraId="6DAE82E8" w14:textId="77777777" w:rsidR="00CB14AA" w:rsidRDefault="00FC4C4C" w:rsidP="0034157E">
            <w:pPr>
              <w:rPr>
                <w:rFonts w:ascii="Calibri" w:hAnsi="Calibri"/>
                <w:color w:val="262626" w:themeColor="text1" w:themeTint="D9"/>
              </w:rPr>
            </w:pPr>
            <w:hyperlink r:id="rId26" w:history="1">
              <w:r w:rsidR="00CB14AA" w:rsidRPr="00D27315">
                <w:rPr>
                  <w:rStyle w:val="Hyperlink"/>
                  <w:rFonts w:ascii="Calibri" w:hAnsi="Calibri"/>
                </w:rPr>
                <w:t>https://dfat.gov.au/about-us/publications/Pages/development-for-all-2015-2020.aspx</w:t>
              </w:r>
            </w:hyperlink>
          </w:p>
          <w:p w14:paraId="5AE0F617" w14:textId="77777777" w:rsidR="00CB14AA" w:rsidRDefault="00CB14AA" w:rsidP="0034157E">
            <w:pPr>
              <w:rPr>
                <w:rFonts w:ascii="Calibri" w:hAnsi="Calibri"/>
                <w:color w:val="262626" w:themeColor="text1" w:themeTint="D9"/>
              </w:rPr>
            </w:pPr>
          </w:p>
        </w:tc>
      </w:tr>
      <w:tr w:rsidR="00CB14AA" w14:paraId="22D623D0" w14:textId="77777777" w:rsidTr="00524FCD">
        <w:tc>
          <w:tcPr>
            <w:tcW w:w="1413" w:type="dxa"/>
            <w:vMerge/>
          </w:tcPr>
          <w:p w14:paraId="58167459" w14:textId="77777777" w:rsidR="00CB14AA" w:rsidRDefault="00CB14AA" w:rsidP="0034157E">
            <w:pPr>
              <w:rPr>
                <w:color w:val="262626" w:themeColor="text1" w:themeTint="D9"/>
              </w:rPr>
            </w:pPr>
          </w:p>
        </w:tc>
        <w:tc>
          <w:tcPr>
            <w:tcW w:w="6978" w:type="dxa"/>
          </w:tcPr>
          <w:p w14:paraId="707A6734" w14:textId="77777777" w:rsidR="00CB14AA" w:rsidRDefault="00CB14AA" w:rsidP="0034157E">
            <w:pPr>
              <w:rPr>
                <w:rFonts w:ascii="Calibri" w:hAnsi="Calibri"/>
                <w:color w:val="262626" w:themeColor="text1" w:themeTint="D9"/>
              </w:rPr>
            </w:pPr>
            <w:r>
              <w:rPr>
                <w:rFonts w:ascii="Calibri" w:hAnsi="Calibri"/>
                <w:color w:val="262626" w:themeColor="text1" w:themeTint="D9"/>
              </w:rPr>
              <w:t xml:space="preserve">ODE EVAW review – aide memoire notes.  </w:t>
            </w:r>
          </w:p>
        </w:tc>
      </w:tr>
    </w:tbl>
    <w:p w14:paraId="0C28A806" w14:textId="77777777" w:rsidR="00CB14AA" w:rsidRDefault="00CB14AA" w:rsidP="00CB14AA">
      <w:pPr>
        <w:pStyle w:val="Heading4"/>
      </w:pPr>
    </w:p>
    <w:p w14:paraId="0EC2B045" w14:textId="77777777" w:rsidR="00CB14AA" w:rsidRDefault="00CB14AA" w:rsidP="00CB14AA">
      <w:pPr>
        <w:pStyle w:val="Heading4"/>
      </w:pPr>
      <w:r>
        <w:t>People consulted</w:t>
      </w:r>
    </w:p>
    <w:tbl>
      <w:tblPr>
        <w:tblStyle w:val="TableGrid"/>
        <w:tblW w:w="0" w:type="auto"/>
        <w:tblLook w:val="04A0" w:firstRow="1" w:lastRow="0" w:firstColumn="1" w:lastColumn="0" w:noHBand="0" w:noVBand="1"/>
      </w:tblPr>
      <w:tblGrid>
        <w:gridCol w:w="3114"/>
        <w:gridCol w:w="5902"/>
      </w:tblGrid>
      <w:tr w:rsidR="00EC1781" w:rsidRPr="0099711C" w14:paraId="51C8EDCF" w14:textId="77777777" w:rsidTr="00BD771B">
        <w:trPr>
          <w:tblHeader/>
        </w:trPr>
        <w:tc>
          <w:tcPr>
            <w:tcW w:w="3114" w:type="dxa"/>
          </w:tcPr>
          <w:p w14:paraId="5DF1027C" w14:textId="77777777" w:rsidR="00EC1781" w:rsidRPr="0099711C" w:rsidRDefault="00EC1781" w:rsidP="00EC1781">
            <w:pPr>
              <w:pStyle w:val="Heading4"/>
              <w:outlineLvl w:val="3"/>
            </w:pPr>
            <w:r w:rsidRPr="0099711C">
              <w:t>Name</w:t>
            </w:r>
          </w:p>
        </w:tc>
        <w:tc>
          <w:tcPr>
            <w:tcW w:w="5902" w:type="dxa"/>
          </w:tcPr>
          <w:p w14:paraId="01F92A77" w14:textId="77777777" w:rsidR="00EC1781" w:rsidRPr="0099711C" w:rsidRDefault="00EC1781" w:rsidP="00EC1781">
            <w:pPr>
              <w:pStyle w:val="Heading4"/>
              <w:outlineLvl w:val="3"/>
            </w:pPr>
            <w:r w:rsidRPr="0099711C">
              <w:t>Organisation</w:t>
            </w:r>
          </w:p>
          <w:p w14:paraId="4EDEBB6C" w14:textId="77777777" w:rsidR="00EC1781" w:rsidRPr="0099711C" w:rsidRDefault="00EC1781" w:rsidP="00EC1781">
            <w:pPr>
              <w:pStyle w:val="Heading4"/>
              <w:outlineLvl w:val="3"/>
            </w:pPr>
          </w:p>
        </w:tc>
      </w:tr>
      <w:tr w:rsidR="00EC1781" w:rsidRPr="0099711C" w14:paraId="472BFCA0" w14:textId="77777777" w:rsidTr="005E637F">
        <w:tc>
          <w:tcPr>
            <w:tcW w:w="3114" w:type="dxa"/>
          </w:tcPr>
          <w:p w14:paraId="24580B4C" w14:textId="296759EB" w:rsidR="00EC1781" w:rsidRPr="0099711C" w:rsidRDefault="00A03566" w:rsidP="005E637F">
            <w:pPr>
              <w:rPr>
                <w:rFonts w:cstheme="minorHAnsi"/>
              </w:rPr>
            </w:pPr>
            <w:r>
              <w:rPr>
                <w:rFonts w:cstheme="minorHAnsi"/>
              </w:rPr>
              <w:t>Alla</w:t>
            </w:r>
            <w:r w:rsidR="002C1140">
              <w:rPr>
                <w:rFonts w:cstheme="minorHAnsi"/>
              </w:rPr>
              <w:t>ster</w:t>
            </w:r>
            <w:r w:rsidR="00EC1781">
              <w:rPr>
                <w:rFonts w:cstheme="minorHAnsi"/>
              </w:rPr>
              <w:t xml:space="preserve"> Cox</w:t>
            </w:r>
          </w:p>
        </w:tc>
        <w:tc>
          <w:tcPr>
            <w:tcW w:w="5902" w:type="dxa"/>
          </w:tcPr>
          <w:p w14:paraId="60B62811" w14:textId="77777777" w:rsidR="00EC1781" w:rsidRPr="0099711C" w:rsidRDefault="00EC1781" w:rsidP="005E637F">
            <w:pPr>
              <w:rPr>
                <w:rFonts w:cstheme="minorHAnsi"/>
              </w:rPr>
            </w:pPr>
            <w:r>
              <w:rPr>
                <w:rFonts w:cstheme="minorHAnsi"/>
              </w:rPr>
              <w:t>Deputy Head of Mission, Indonesia, DFAT</w:t>
            </w:r>
          </w:p>
        </w:tc>
      </w:tr>
      <w:tr w:rsidR="00EC1781" w:rsidRPr="0099711C" w14:paraId="6C691937" w14:textId="77777777" w:rsidTr="005E637F">
        <w:tc>
          <w:tcPr>
            <w:tcW w:w="3114" w:type="dxa"/>
          </w:tcPr>
          <w:p w14:paraId="7D8767E7" w14:textId="77777777" w:rsidR="00EC1781" w:rsidRPr="0099711C" w:rsidRDefault="00EC1781" w:rsidP="005E637F">
            <w:pPr>
              <w:rPr>
                <w:rFonts w:cstheme="minorHAnsi"/>
              </w:rPr>
            </w:pPr>
            <w:r w:rsidRPr="0099711C">
              <w:rPr>
                <w:rFonts w:cstheme="minorHAnsi"/>
              </w:rPr>
              <w:t>Fleur Davies</w:t>
            </w:r>
          </w:p>
        </w:tc>
        <w:tc>
          <w:tcPr>
            <w:tcW w:w="5902" w:type="dxa"/>
          </w:tcPr>
          <w:p w14:paraId="4EAA0AB1" w14:textId="77777777" w:rsidR="00EC1781" w:rsidRPr="0099711C" w:rsidRDefault="00EC1781" w:rsidP="005E637F">
            <w:pPr>
              <w:rPr>
                <w:rFonts w:cstheme="minorHAnsi"/>
              </w:rPr>
            </w:pPr>
            <w:r w:rsidRPr="0099711C">
              <w:rPr>
                <w:rFonts w:cstheme="minorHAnsi"/>
              </w:rPr>
              <w:t>Minister Counsellor (Governance &amp; Human Development), DFAT</w:t>
            </w:r>
          </w:p>
        </w:tc>
      </w:tr>
      <w:tr w:rsidR="00EC1781" w:rsidRPr="0099711C" w14:paraId="6968A47F" w14:textId="77777777" w:rsidTr="005E637F">
        <w:tc>
          <w:tcPr>
            <w:tcW w:w="3114" w:type="dxa"/>
          </w:tcPr>
          <w:p w14:paraId="16F948EC" w14:textId="77777777" w:rsidR="00EC1781" w:rsidRPr="0099711C" w:rsidRDefault="00EC1781" w:rsidP="005E637F">
            <w:pPr>
              <w:rPr>
                <w:rFonts w:cstheme="minorHAnsi"/>
              </w:rPr>
            </w:pPr>
            <w:r w:rsidRPr="0099711C">
              <w:rPr>
                <w:rFonts w:cstheme="minorHAnsi"/>
              </w:rPr>
              <w:t>Kirsten Bishop</w:t>
            </w:r>
          </w:p>
        </w:tc>
        <w:tc>
          <w:tcPr>
            <w:tcW w:w="5902" w:type="dxa"/>
          </w:tcPr>
          <w:p w14:paraId="746F359C" w14:textId="77777777" w:rsidR="00EC1781" w:rsidRPr="0099711C" w:rsidRDefault="00EC1781" w:rsidP="005E637F">
            <w:pPr>
              <w:rPr>
                <w:rFonts w:cstheme="minorHAnsi"/>
              </w:rPr>
            </w:pPr>
            <w:r w:rsidRPr="0099711C">
              <w:rPr>
                <w:rFonts w:cstheme="minorHAnsi"/>
              </w:rPr>
              <w:t>Counsellor (Poverty and Social Development), DFAT</w:t>
            </w:r>
          </w:p>
        </w:tc>
      </w:tr>
      <w:tr w:rsidR="00EC1781" w:rsidRPr="0099711C" w14:paraId="5F4B3000" w14:textId="77777777" w:rsidTr="005E637F">
        <w:tc>
          <w:tcPr>
            <w:tcW w:w="3114" w:type="dxa"/>
          </w:tcPr>
          <w:p w14:paraId="6E7B7BAB" w14:textId="77777777" w:rsidR="00EC1781" w:rsidRPr="0099711C" w:rsidRDefault="00EC1781" w:rsidP="005E637F">
            <w:pPr>
              <w:rPr>
                <w:rFonts w:cstheme="minorHAnsi"/>
              </w:rPr>
            </w:pPr>
            <w:r>
              <w:rPr>
                <w:rFonts w:cstheme="minorHAnsi"/>
              </w:rPr>
              <w:t>Kate Elliot</w:t>
            </w:r>
          </w:p>
        </w:tc>
        <w:tc>
          <w:tcPr>
            <w:tcW w:w="5902" w:type="dxa"/>
          </w:tcPr>
          <w:p w14:paraId="12443FAB" w14:textId="77777777" w:rsidR="00EC1781" w:rsidRPr="0099711C" w:rsidRDefault="00EC1781" w:rsidP="005E637F">
            <w:pPr>
              <w:rPr>
                <w:rFonts w:cstheme="minorHAnsi"/>
              </w:rPr>
            </w:pPr>
            <w:r>
              <w:rPr>
                <w:rFonts w:cstheme="minorHAnsi"/>
              </w:rPr>
              <w:t>Director, Indonesia Development Strategy and Performance Section, DFAT</w:t>
            </w:r>
          </w:p>
        </w:tc>
      </w:tr>
      <w:tr w:rsidR="00EC1781" w:rsidRPr="0099711C" w14:paraId="7F2C42BE" w14:textId="77777777" w:rsidTr="005E637F">
        <w:tc>
          <w:tcPr>
            <w:tcW w:w="3114" w:type="dxa"/>
          </w:tcPr>
          <w:p w14:paraId="627D68A2" w14:textId="77777777" w:rsidR="00EC1781" w:rsidRPr="0099711C" w:rsidRDefault="00EC1781" w:rsidP="005E637F">
            <w:pPr>
              <w:rPr>
                <w:rFonts w:cstheme="minorHAnsi"/>
              </w:rPr>
            </w:pPr>
            <w:r>
              <w:rPr>
                <w:rFonts w:cstheme="minorHAnsi"/>
              </w:rPr>
              <w:t>Tom Connor</w:t>
            </w:r>
          </w:p>
        </w:tc>
        <w:tc>
          <w:tcPr>
            <w:tcW w:w="5902" w:type="dxa"/>
          </w:tcPr>
          <w:p w14:paraId="0023F9A1" w14:textId="477A2890" w:rsidR="00EC1781" w:rsidRPr="0099711C" w:rsidRDefault="00946D00" w:rsidP="005E637F">
            <w:pPr>
              <w:rPr>
                <w:rFonts w:cstheme="minorHAnsi"/>
              </w:rPr>
            </w:pPr>
            <w:r>
              <w:rPr>
                <w:rFonts w:cstheme="minorHAnsi"/>
              </w:rPr>
              <w:t>Assistant</w:t>
            </w:r>
            <w:r w:rsidR="00EC1781">
              <w:rPr>
                <w:rFonts w:cstheme="minorHAnsi"/>
              </w:rPr>
              <w:t xml:space="preserve"> Secretary, Indonesia Branch, DFAT</w:t>
            </w:r>
          </w:p>
        </w:tc>
      </w:tr>
      <w:tr w:rsidR="00EC1781" w:rsidRPr="0099711C" w14:paraId="130D66A3" w14:textId="77777777" w:rsidTr="005E637F">
        <w:tc>
          <w:tcPr>
            <w:tcW w:w="3114" w:type="dxa"/>
          </w:tcPr>
          <w:p w14:paraId="60096823" w14:textId="77777777" w:rsidR="00EC1781" w:rsidRPr="0099711C" w:rsidRDefault="00EC1781" w:rsidP="005E637F">
            <w:pPr>
              <w:rPr>
                <w:rFonts w:cstheme="minorHAnsi"/>
              </w:rPr>
            </w:pPr>
            <w:r w:rsidRPr="0099711C">
              <w:rPr>
                <w:rFonts w:cstheme="minorHAnsi"/>
              </w:rPr>
              <w:t xml:space="preserve">Ibu Woro Srihastuti </w:t>
            </w:r>
          </w:p>
        </w:tc>
        <w:tc>
          <w:tcPr>
            <w:tcW w:w="5902" w:type="dxa"/>
          </w:tcPr>
          <w:p w14:paraId="63ECEB57" w14:textId="77777777" w:rsidR="00EC1781" w:rsidRPr="0099711C" w:rsidRDefault="00EC1781" w:rsidP="005E637F">
            <w:pPr>
              <w:rPr>
                <w:rFonts w:cstheme="minorHAnsi"/>
              </w:rPr>
            </w:pPr>
            <w:r w:rsidRPr="0099711C">
              <w:rPr>
                <w:rFonts w:cstheme="minorHAnsi"/>
              </w:rPr>
              <w:t>Director for Family, Women, Children, Youth and Sports, BAPPENAS</w:t>
            </w:r>
          </w:p>
        </w:tc>
      </w:tr>
      <w:tr w:rsidR="00EC1781" w:rsidRPr="0099711C" w14:paraId="3C99C312" w14:textId="77777777" w:rsidTr="005E637F">
        <w:tc>
          <w:tcPr>
            <w:tcW w:w="3114" w:type="dxa"/>
          </w:tcPr>
          <w:p w14:paraId="042742A0" w14:textId="77777777" w:rsidR="00EC1781" w:rsidRPr="0099711C" w:rsidRDefault="00EC1781" w:rsidP="005E637F">
            <w:pPr>
              <w:rPr>
                <w:rFonts w:cstheme="minorHAnsi"/>
              </w:rPr>
            </w:pPr>
            <w:r w:rsidRPr="0099711C">
              <w:rPr>
                <w:rFonts w:cstheme="minorHAnsi"/>
              </w:rPr>
              <w:t>Ibu Lenny Rosalin</w:t>
            </w:r>
          </w:p>
          <w:p w14:paraId="7133AB92" w14:textId="77777777" w:rsidR="00EC1781" w:rsidRPr="0099711C" w:rsidRDefault="00EC1781" w:rsidP="005E637F">
            <w:pPr>
              <w:rPr>
                <w:rFonts w:cstheme="minorHAnsi"/>
              </w:rPr>
            </w:pPr>
          </w:p>
        </w:tc>
        <w:tc>
          <w:tcPr>
            <w:tcW w:w="5902" w:type="dxa"/>
          </w:tcPr>
          <w:p w14:paraId="6649E9C3" w14:textId="77777777" w:rsidR="00EC1781" w:rsidRPr="0099711C" w:rsidRDefault="00EC1781" w:rsidP="005E637F">
            <w:pPr>
              <w:rPr>
                <w:rFonts w:cstheme="minorHAnsi"/>
              </w:rPr>
            </w:pPr>
            <w:r w:rsidRPr="0099711C">
              <w:rPr>
                <w:rFonts w:cstheme="minorHAnsi"/>
              </w:rPr>
              <w:t>Deputy for Child Protection, Ministry of Women’s Empowerment &amp; Child Protection (KPPPA)</w:t>
            </w:r>
          </w:p>
        </w:tc>
      </w:tr>
      <w:tr w:rsidR="00EC1781" w:rsidRPr="0099711C" w14:paraId="1E6760E5" w14:textId="77777777" w:rsidTr="005E637F">
        <w:tc>
          <w:tcPr>
            <w:tcW w:w="3114" w:type="dxa"/>
          </w:tcPr>
          <w:p w14:paraId="71DD4C39" w14:textId="77777777" w:rsidR="00EC1781" w:rsidRPr="0099711C" w:rsidRDefault="00EC1781" w:rsidP="005E637F">
            <w:pPr>
              <w:rPr>
                <w:rFonts w:cstheme="minorHAnsi"/>
              </w:rPr>
            </w:pPr>
            <w:r w:rsidRPr="0099711C">
              <w:rPr>
                <w:rFonts w:cstheme="minorHAnsi"/>
              </w:rPr>
              <w:t>Eko Novianti</w:t>
            </w:r>
          </w:p>
        </w:tc>
        <w:tc>
          <w:tcPr>
            <w:tcW w:w="5902" w:type="dxa"/>
          </w:tcPr>
          <w:p w14:paraId="51C219DF" w14:textId="77777777" w:rsidR="00EC1781" w:rsidRPr="0099711C" w:rsidRDefault="00EC1781" w:rsidP="005E637F">
            <w:pPr>
              <w:rPr>
                <w:rFonts w:cstheme="minorHAnsi"/>
              </w:rPr>
            </w:pPr>
            <w:r w:rsidRPr="0099711C">
              <w:rPr>
                <w:rFonts w:cstheme="minorHAnsi"/>
              </w:rPr>
              <w:t>Secretary Deputy for Child Protection, KPPPA</w:t>
            </w:r>
          </w:p>
        </w:tc>
      </w:tr>
      <w:tr w:rsidR="00EC1781" w:rsidRPr="0099711C" w14:paraId="2917BFFF" w14:textId="77777777" w:rsidTr="005E637F">
        <w:tc>
          <w:tcPr>
            <w:tcW w:w="3114" w:type="dxa"/>
          </w:tcPr>
          <w:p w14:paraId="7EFD05B5" w14:textId="77777777" w:rsidR="00EC1781" w:rsidRPr="0099711C" w:rsidRDefault="00EC1781" w:rsidP="005E637F">
            <w:pPr>
              <w:rPr>
                <w:rFonts w:cstheme="minorHAnsi"/>
              </w:rPr>
            </w:pPr>
            <w:r w:rsidRPr="0099711C">
              <w:rPr>
                <w:rFonts w:cstheme="minorHAnsi"/>
              </w:rPr>
              <w:t>Dyah</w:t>
            </w:r>
          </w:p>
        </w:tc>
        <w:tc>
          <w:tcPr>
            <w:tcW w:w="5902" w:type="dxa"/>
          </w:tcPr>
          <w:p w14:paraId="4BD0ECC3" w14:textId="77777777" w:rsidR="00EC1781" w:rsidRPr="0099711C" w:rsidRDefault="00EC1781" w:rsidP="005E637F">
            <w:pPr>
              <w:rPr>
                <w:rFonts w:cstheme="minorHAnsi"/>
              </w:rPr>
            </w:pPr>
            <w:r w:rsidRPr="0099711C">
              <w:rPr>
                <w:rFonts w:cstheme="minorHAnsi"/>
              </w:rPr>
              <w:t>Staff, Deputy for Child Protection, KPPPA</w:t>
            </w:r>
          </w:p>
        </w:tc>
      </w:tr>
      <w:tr w:rsidR="00EC1781" w:rsidRPr="0099711C" w14:paraId="3818CD42" w14:textId="77777777" w:rsidTr="005E637F">
        <w:tc>
          <w:tcPr>
            <w:tcW w:w="3114" w:type="dxa"/>
          </w:tcPr>
          <w:p w14:paraId="0F2D543C" w14:textId="77777777" w:rsidR="00EC1781" w:rsidRPr="0099711C" w:rsidRDefault="00EC1781" w:rsidP="005E637F">
            <w:pPr>
              <w:rPr>
                <w:rFonts w:cstheme="minorHAnsi"/>
              </w:rPr>
            </w:pPr>
            <w:r w:rsidRPr="0099711C">
              <w:rPr>
                <w:rFonts w:cstheme="minorHAnsi"/>
              </w:rPr>
              <w:t xml:space="preserve">Ibu Vivi Yulaswati, </w:t>
            </w:r>
          </w:p>
        </w:tc>
        <w:tc>
          <w:tcPr>
            <w:tcW w:w="5902" w:type="dxa"/>
          </w:tcPr>
          <w:p w14:paraId="590536EB" w14:textId="77777777" w:rsidR="00EC1781" w:rsidRPr="0099711C" w:rsidRDefault="00EC1781" w:rsidP="005E637F">
            <w:pPr>
              <w:rPr>
                <w:rFonts w:cstheme="minorHAnsi"/>
              </w:rPr>
            </w:pPr>
            <w:r w:rsidRPr="0099711C">
              <w:rPr>
                <w:rFonts w:cstheme="minorHAnsi"/>
              </w:rPr>
              <w:t>Director for Poverty Reduction and Social Welfare, BAPPENAS</w:t>
            </w:r>
          </w:p>
        </w:tc>
      </w:tr>
      <w:tr w:rsidR="00EC1781" w:rsidRPr="0099711C" w14:paraId="21C49F7B" w14:textId="77777777" w:rsidTr="005E637F">
        <w:tc>
          <w:tcPr>
            <w:tcW w:w="3114" w:type="dxa"/>
          </w:tcPr>
          <w:p w14:paraId="2A87286E" w14:textId="77777777" w:rsidR="00EC1781" w:rsidRPr="0099711C" w:rsidRDefault="00EC1781" w:rsidP="005E637F">
            <w:pPr>
              <w:rPr>
                <w:rFonts w:cstheme="minorHAnsi"/>
              </w:rPr>
            </w:pPr>
            <w:r w:rsidRPr="0099711C">
              <w:rPr>
                <w:rFonts w:cstheme="minorHAnsi"/>
              </w:rPr>
              <w:t xml:space="preserve">Bapak Subandi, </w:t>
            </w:r>
          </w:p>
          <w:p w14:paraId="1E26DA6E" w14:textId="77777777" w:rsidR="00EC1781" w:rsidRPr="0099711C" w:rsidRDefault="00EC1781" w:rsidP="005E637F">
            <w:pPr>
              <w:rPr>
                <w:rFonts w:cstheme="minorHAnsi"/>
              </w:rPr>
            </w:pPr>
          </w:p>
        </w:tc>
        <w:tc>
          <w:tcPr>
            <w:tcW w:w="5902" w:type="dxa"/>
          </w:tcPr>
          <w:p w14:paraId="539678F7" w14:textId="77777777" w:rsidR="00EC1781" w:rsidRPr="0099711C" w:rsidRDefault="00EC1781" w:rsidP="005E637F">
            <w:pPr>
              <w:rPr>
                <w:rFonts w:cstheme="minorHAnsi"/>
              </w:rPr>
            </w:pPr>
            <w:r w:rsidRPr="0099711C">
              <w:rPr>
                <w:rFonts w:cstheme="minorHAnsi"/>
              </w:rPr>
              <w:t>Deputy for Human Development, Community and Culture, BAPPENAS</w:t>
            </w:r>
          </w:p>
          <w:p w14:paraId="4EAB6EC0" w14:textId="77777777" w:rsidR="00EC1781" w:rsidRPr="0099711C" w:rsidRDefault="00EC1781" w:rsidP="005E637F">
            <w:pPr>
              <w:rPr>
                <w:rFonts w:cstheme="minorHAnsi"/>
              </w:rPr>
            </w:pPr>
            <w:r w:rsidRPr="0099711C">
              <w:rPr>
                <w:rFonts w:cstheme="minorHAnsi"/>
              </w:rPr>
              <w:t>[Also Chair of Program Steering Committee]</w:t>
            </w:r>
          </w:p>
        </w:tc>
      </w:tr>
      <w:tr w:rsidR="00EC1781" w:rsidRPr="0099711C" w14:paraId="5B513CAE" w14:textId="77777777" w:rsidTr="005E637F">
        <w:tc>
          <w:tcPr>
            <w:tcW w:w="3114" w:type="dxa"/>
          </w:tcPr>
          <w:p w14:paraId="0F270276" w14:textId="77777777" w:rsidR="00EC1781" w:rsidRPr="0099711C" w:rsidRDefault="00EC1781" w:rsidP="005E637F">
            <w:pPr>
              <w:rPr>
                <w:rFonts w:cstheme="minorHAnsi"/>
              </w:rPr>
            </w:pPr>
            <w:r w:rsidRPr="0099711C">
              <w:rPr>
                <w:rFonts w:cstheme="minorHAnsi"/>
              </w:rPr>
              <w:t>Ibu Agustina Erni,</w:t>
            </w:r>
          </w:p>
          <w:p w14:paraId="669614FF" w14:textId="77777777" w:rsidR="00EC1781" w:rsidRPr="0099711C" w:rsidRDefault="00EC1781" w:rsidP="005E637F">
            <w:pPr>
              <w:rPr>
                <w:rFonts w:cstheme="minorHAnsi"/>
              </w:rPr>
            </w:pPr>
          </w:p>
        </w:tc>
        <w:tc>
          <w:tcPr>
            <w:tcW w:w="5902" w:type="dxa"/>
          </w:tcPr>
          <w:p w14:paraId="26B07A51" w14:textId="77777777" w:rsidR="00EC1781" w:rsidRPr="0099711C" w:rsidRDefault="00EC1781" w:rsidP="005E637F">
            <w:pPr>
              <w:rPr>
                <w:rFonts w:cstheme="minorHAnsi"/>
              </w:rPr>
            </w:pPr>
            <w:r w:rsidRPr="0099711C">
              <w:rPr>
                <w:rFonts w:cstheme="minorHAnsi"/>
              </w:rPr>
              <w:t>Deputy for Gender Equality &amp; acting Deputy for Community Participation, Ministry of Women’s Empowerment &amp; Child Protection (KPPPA)</w:t>
            </w:r>
          </w:p>
        </w:tc>
      </w:tr>
      <w:tr w:rsidR="00EC1781" w:rsidRPr="0099711C" w14:paraId="77CF35A4" w14:textId="77777777" w:rsidTr="005E637F">
        <w:tc>
          <w:tcPr>
            <w:tcW w:w="3114" w:type="dxa"/>
          </w:tcPr>
          <w:p w14:paraId="5691D572" w14:textId="77777777" w:rsidR="00EC1781" w:rsidRPr="0099711C" w:rsidRDefault="00EC1781" w:rsidP="005E637F">
            <w:pPr>
              <w:rPr>
                <w:rFonts w:cstheme="minorHAnsi"/>
              </w:rPr>
            </w:pPr>
            <w:r>
              <w:rPr>
                <w:rFonts w:cstheme="minorHAnsi"/>
              </w:rPr>
              <w:t>Bapak Soes Hindharno</w:t>
            </w:r>
          </w:p>
        </w:tc>
        <w:tc>
          <w:tcPr>
            <w:tcW w:w="5902" w:type="dxa"/>
          </w:tcPr>
          <w:p w14:paraId="33B66862" w14:textId="77777777" w:rsidR="00EC1781" w:rsidRPr="0099711C" w:rsidRDefault="00EC1781" w:rsidP="005E637F">
            <w:pPr>
              <w:rPr>
                <w:rFonts w:cstheme="minorHAnsi"/>
              </w:rPr>
            </w:pPr>
            <w:r>
              <w:rPr>
                <w:rFonts w:cstheme="minorHAnsi"/>
              </w:rPr>
              <w:t>Dir for migrant workers placement and protection, Ministry of Manpower</w:t>
            </w:r>
          </w:p>
        </w:tc>
      </w:tr>
      <w:tr w:rsidR="00EC1781" w:rsidRPr="0099711C" w14:paraId="4967BF74" w14:textId="77777777" w:rsidTr="005E637F">
        <w:tc>
          <w:tcPr>
            <w:tcW w:w="3114" w:type="dxa"/>
          </w:tcPr>
          <w:p w14:paraId="6349BDB3" w14:textId="77777777" w:rsidR="00EC1781" w:rsidRDefault="00EC1781" w:rsidP="005E637F">
            <w:pPr>
              <w:rPr>
                <w:rFonts w:cstheme="minorHAnsi"/>
              </w:rPr>
            </w:pPr>
            <w:r>
              <w:rPr>
                <w:rFonts w:cstheme="minorHAnsi"/>
              </w:rPr>
              <w:t>Bapak Yuli Adi Ratna</w:t>
            </w:r>
          </w:p>
        </w:tc>
        <w:tc>
          <w:tcPr>
            <w:tcW w:w="5902" w:type="dxa"/>
          </w:tcPr>
          <w:p w14:paraId="1EFF763D" w14:textId="77777777" w:rsidR="00EC1781" w:rsidRPr="0099711C" w:rsidRDefault="00EC1781" w:rsidP="005E637F">
            <w:pPr>
              <w:rPr>
                <w:rFonts w:cstheme="minorHAnsi"/>
              </w:rPr>
            </w:pPr>
            <w:r>
              <w:rPr>
                <w:rFonts w:cstheme="minorHAnsi"/>
              </w:rPr>
              <w:t>Ministry of Manpower</w:t>
            </w:r>
          </w:p>
        </w:tc>
      </w:tr>
      <w:tr w:rsidR="00EC1781" w:rsidRPr="0099711C" w14:paraId="54812A58" w14:textId="77777777" w:rsidTr="005E637F">
        <w:tc>
          <w:tcPr>
            <w:tcW w:w="3114" w:type="dxa"/>
          </w:tcPr>
          <w:p w14:paraId="2C288EF2" w14:textId="77777777" w:rsidR="00EC1781" w:rsidRPr="0099711C" w:rsidRDefault="00EC1781" w:rsidP="005E637F">
            <w:pPr>
              <w:rPr>
                <w:rFonts w:cstheme="minorHAnsi"/>
              </w:rPr>
            </w:pPr>
            <w:r>
              <w:rPr>
                <w:rFonts w:cstheme="minorHAnsi"/>
              </w:rPr>
              <w:t>Jessica Hall</w:t>
            </w:r>
          </w:p>
        </w:tc>
        <w:tc>
          <w:tcPr>
            <w:tcW w:w="5902" w:type="dxa"/>
          </w:tcPr>
          <w:p w14:paraId="2B00B088" w14:textId="1574AD35" w:rsidR="00EC1781" w:rsidRPr="0099711C" w:rsidRDefault="00EC1781" w:rsidP="005E637F">
            <w:pPr>
              <w:rPr>
                <w:rFonts w:cstheme="minorHAnsi"/>
              </w:rPr>
            </w:pPr>
            <w:r>
              <w:rPr>
                <w:rFonts w:cstheme="minorHAnsi"/>
              </w:rPr>
              <w:t>Indonesia Branch, DFAT</w:t>
            </w:r>
          </w:p>
        </w:tc>
      </w:tr>
      <w:tr w:rsidR="00EC1781" w:rsidRPr="0099711C" w14:paraId="57D58979" w14:textId="77777777" w:rsidTr="005E637F">
        <w:tc>
          <w:tcPr>
            <w:tcW w:w="3114" w:type="dxa"/>
          </w:tcPr>
          <w:p w14:paraId="7A42631B" w14:textId="77777777" w:rsidR="00EC1781" w:rsidRDefault="00EC1781" w:rsidP="005E637F">
            <w:pPr>
              <w:rPr>
                <w:rFonts w:cstheme="minorHAnsi"/>
              </w:rPr>
            </w:pPr>
            <w:r>
              <w:rPr>
                <w:rFonts w:cstheme="minorHAnsi"/>
              </w:rPr>
              <w:t>Luna Purification</w:t>
            </w:r>
          </w:p>
        </w:tc>
        <w:tc>
          <w:tcPr>
            <w:tcW w:w="5902" w:type="dxa"/>
          </w:tcPr>
          <w:p w14:paraId="5FE10DA6" w14:textId="77777777" w:rsidR="00EC1781" w:rsidRDefault="00EC1781" w:rsidP="005E637F">
            <w:pPr>
              <w:rPr>
                <w:rFonts w:cstheme="minorHAnsi"/>
              </w:rPr>
            </w:pPr>
            <w:r>
              <w:rPr>
                <w:rFonts w:cstheme="minorHAnsi"/>
              </w:rPr>
              <w:t>Indonesia Branch, DFAT</w:t>
            </w:r>
          </w:p>
        </w:tc>
      </w:tr>
      <w:tr w:rsidR="00EC1781" w:rsidRPr="0099711C" w14:paraId="49A1BFBF" w14:textId="77777777" w:rsidTr="005E637F">
        <w:tc>
          <w:tcPr>
            <w:tcW w:w="3114" w:type="dxa"/>
          </w:tcPr>
          <w:p w14:paraId="3607BD93" w14:textId="77777777" w:rsidR="00EC1781" w:rsidRPr="0099711C" w:rsidRDefault="00EC1781" w:rsidP="005E637F">
            <w:pPr>
              <w:rPr>
                <w:rFonts w:cstheme="minorHAnsi"/>
              </w:rPr>
            </w:pPr>
            <w:r w:rsidRPr="0099711C">
              <w:rPr>
                <w:rFonts w:cstheme="minorHAnsi"/>
              </w:rPr>
              <w:t xml:space="preserve">Patricia Bachtiar </w:t>
            </w:r>
          </w:p>
        </w:tc>
        <w:tc>
          <w:tcPr>
            <w:tcW w:w="5902" w:type="dxa"/>
          </w:tcPr>
          <w:p w14:paraId="62008957" w14:textId="77777777" w:rsidR="00EC1781" w:rsidRPr="0099711C" w:rsidRDefault="00EC1781" w:rsidP="005E637F">
            <w:pPr>
              <w:rPr>
                <w:rFonts w:cstheme="minorHAnsi"/>
              </w:rPr>
            </w:pPr>
            <w:r w:rsidRPr="0099711C">
              <w:rPr>
                <w:rFonts w:cstheme="minorHAnsi"/>
              </w:rPr>
              <w:t>Senior Program Manager, MAMPU, DFAT</w:t>
            </w:r>
          </w:p>
        </w:tc>
      </w:tr>
      <w:tr w:rsidR="00EC1781" w:rsidRPr="0099711C" w14:paraId="419A04E3" w14:textId="77777777" w:rsidTr="005E637F">
        <w:tc>
          <w:tcPr>
            <w:tcW w:w="3114" w:type="dxa"/>
          </w:tcPr>
          <w:p w14:paraId="5D45E6DD" w14:textId="77777777" w:rsidR="00EC1781" w:rsidRPr="0099711C" w:rsidRDefault="00EC1781" w:rsidP="005E637F">
            <w:pPr>
              <w:rPr>
                <w:rFonts w:cstheme="minorHAnsi"/>
              </w:rPr>
            </w:pPr>
            <w:r w:rsidRPr="0099711C">
              <w:rPr>
                <w:rFonts w:cstheme="minorHAnsi"/>
              </w:rPr>
              <w:t>Enda Pehulisa</w:t>
            </w:r>
          </w:p>
        </w:tc>
        <w:tc>
          <w:tcPr>
            <w:tcW w:w="5902" w:type="dxa"/>
          </w:tcPr>
          <w:p w14:paraId="5DB69C60" w14:textId="77777777" w:rsidR="00EC1781" w:rsidRPr="0099711C" w:rsidRDefault="00EC1781" w:rsidP="005E637F">
            <w:pPr>
              <w:rPr>
                <w:rFonts w:cstheme="minorHAnsi"/>
              </w:rPr>
            </w:pPr>
            <w:r w:rsidRPr="0099711C">
              <w:rPr>
                <w:rFonts w:cstheme="minorHAnsi"/>
              </w:rPr>
              <w:t>Program manager, MAMPU, DFAT</w:t>
            </w:r>
          </w:p>
        </w:tc>
      </w:tr>
      <w:tr w:rsidR="00EC1781" w:rsidRPr="0099711C" w14:paraId="16E88B6B" w14:textId="77777777" w:rsidTr="005E637F">
        <w:tc>
          <w:tcPr>
            <w:tcW w:w="3114" w:type="dxa"/>
          </w:tcPr>
          <w:p w14:paraId="4CBA5586" w14:textId="7B91DAF5" w:rsidR="00EC1781" w:rsidRPr="0099711C" w:rsidRDefault="00784EB2" w:rsidP="00E74F3A">
            <w:pPr>
              <w:rPr>
                <w:rFonts w:cstheme="minorHAnsi"/>
              </w:rPr>
            </w:pPr>
            <w:r>
              <w:rPr>
                <w:rFonts w:cstheme="minorHAnsi"/>
              </w:rPr>
              <w:t xml:space="preserve">Greta </w:t>
            </w:r>
            <w:r w:rsidR="00EC1781" w:rsidRPr="0099711C">
              <w:rPr>
                <w:rFonts w:cstheme="minorHAnsi"/>
              </w:rPr>
              <w:t>Sitompul</w:t>
            </w:r>
          </w:p>
        </w:tc>
        <w:tc>
          <w:tcPr>
            <w:tcW w:w="5902" w:type="dxa"/>
          </w:tcPr>
          <w:p w14:paraId="236FE673" w14:textId="77777777" w:rsidR="00EC1781" w:rsidRPr="0099711C" w:rsidRDefault="00EC1781" w:rsidP="005E637F">
            <w:pPr>
              <w:rPr>
                <w:rFonts w:cstheme="minorHAnsi"/>
              </w:rPr>
            </w:pPr>
            <w:r w:rsidRPr="0099711C">
              <w:rPr>
                <w:rFonts w:cstheme="minorHAnsi"/>
              </w:rPr>
              <w:t>MAMPU, DFAT</w:t>
            </w:r>
          </w:p>
        </w:tc>
      </w:tr>
      <w:tr w:rsidR="00EC1781" w:rsidRPr="0099711C" w14:paraId="227CAC58" w14:textId="77777777" w:rsidTr="005E637F">
        <w:tc>
          <w:tcPr>
            <w:tcW w:w="3114" w:type="dxa"/>
          </w:tcPr>
          <w:p w14:paraId="72393FD7" w14:textId="77777777" w:rsidR="00EC1781" w:rsidRPr="0099711C" w:rsidRDefault="00EC1781" w:rsidP="005E637F">
            <w:pPr>
              <w:rPr>
                <w:rFonts w:cstheme="minorHAnsi"/>
              </w:rPr>
            </w:pPr>
            <w:r w:rsidRPr="0099711C">
              <w:rPr>
                <w:rFonts w:cstheme="minorHAnsi"/>
              </w:rPr>
              <w:t>Ria Houriyah</w:t>
            </w:r>
          </w:p>
        </w:tc>
        <w:tc>
          <w:tcPr>
            <w:tcW w:w="5902" w:type="dxa"/>
          </w:tcPr>
          <w:p w14:paraId="19530F3F" w14:textId="77777777" w:rsidR="00EC1781" w:rsidRPr="0099711C" w:rsidRDefault="00EC1781" w:rsidP="005E637F">
            <w:pPr>
              <w:rPr>
                <w:rFonts w:cstheme="minorHAnsi"/>
              </w:rPr>
            </w:pPr>
            <w:r w:rsidRPr="0099711C">
              <w:rPr>
                <w:rFonts w:cstheme="minorHAnsi"/>
              </w:rPr>
              <w:t>MAMPU, DFAT</w:t>
            </w:r>
          </w:p>
        </w:tc>
      </w:tr>
      <w:tr w:rsidR="00EC1781" w:rsidRPr="0099711C" w14:paraId="11FB9132" w14:textId="77777777" w:rsidTr="005E637F">
        <w:tc>
          <w:tcPr>
            <w:tcW w:w="3114" w:type="dxa"/>
          </w:tcPr>
          <w:p w14:paraId="23EC783F" w14:textId="77777777" w:rsidR="00EC1781" w:rsidRPr="0099711C" w:rsidRDefault="00EC1781" w:rsidP="005E637F">
            <w:pPr>
              <w:rPr>
                <w:rFonts w:cstheme="minorHAnsi"/>
              </w:rPr>
            </w:pPr>
            <w:r w:rsidRPr="0099711C">
              <w:rPr>
                <w:rFonts w:cstheme="minorHAnsi"/>
              </w:rPr>
              <w:t xml:space="preserve">Nicolasia Budiman </w:t>
            </w:r>
          </w:p>
        </w:tc>
        <w:tc>
          <w:tcPr>
            <w:tcW w:w="5902" w:type="dxa"/>
          </w:tcPr>
          <w:p w14:paraId="41CDDF47" w14:textId="77777777" w:rsidR="00EC1781" w:rsidRPr="0099711C" w:rsidRDefault="00EC1781" w:rsidP="005E637F">
            <w:pPr>
              <w:rPr>
                <w:rFonts w:cstheme="minorHAnsi"/>
              </w:rPr>
            </w:pPr>
            <w:r w:rsidRPr="0099711C">
              <w:rPr>
                <w:rFonts w:cstheme="minorHAnsi"/>
              </w:rPr>
              <w:t>Health, DFAT</w:t>
            </w:r>
          </w:p>
        </w:tc>
      </w:tr>
      <w:tr w:rsidR="00EC1781" w:rsidRPr="0099711C" w14:paraId="22FC8BBA" w14:textId="77777777" w:rsidTr="005E637F">
        <w:tc>
          <w:tcPr>
            <w:tcW w:w="3114" w:type="dxa"/>
          </w:tcPr>
          <w:p w14:paraId="7AFDDBF0" w14:textId="77777777" w:rsidR="00EC1781" w:rsidRPr="0099711C" w:rsidRDefault="00EC1781" w:rsidP="005E637F">
            <w:pPr>
              <w:rPr>
                <w:rFonts w:cstheme="minorHAnsi"/>
              </w:rPr>
            </w:pPr>
            <w:r w:rsidRPr="0099711C">
              <w:rPr>
                <w:rFonts w:cstheme="minorHAnsi"/>
              </w:rPr>
              <w:t>Deviana Dewi</w:t>
            </w:r>
          </w:p>
        </w:tc>
        <w:tc>
          <w:tcPr>
            <w:tcW w:w="5902" w:type="dxa"/>
          </w:tcPr>
          <w:p w14:paraId="77EB8FE7" w14:textId="77777777" w:rsidR="00EC1781" w:rsidRPr="0099711C" w:rsidRDefault="00EC1781" w:rsidP="005E637F">
            <w:pPr>
              <w:rPr>
                <w:rFonts w:cstheme="minorHAnsi"/>
              </w:rPr>
            </w:pPr>
            <w:r w:rsidRPr="0099711C">
              <w:rPr>
                <w:rFonts w:cstheme="minorHAnsi"/>
              </w:rPr>
              <w:t>Health, DFAT</w:t>
            </w:r>
          </w:p>
        </w:tc>
      </w:tr>
      <w:tr w:rsidR="00EC1781" w:rsidRPr="0099711C" w14:paraId="67D9247F" w14:textId="77777777" w:rsidTr="005E637F">
        <w:tc>
          <w:tcPr>
            <w:tcW w:w="3114" w:type="dxa"/>
          </w:tcPr>
          <w:p w14:paraId="4D892D52" w14:textId="77777777" w:rsidR="00EC1781" w:rsidRPr="0099711C" w:rsidRDefault="00EC1781" w:rsidP="005E637F">
            <w:pPr>
              <w:rPr>
                <w:rFonts w:cstheme="minorHAnsi"/>
              </w:rPr>
            </w:pPr>
            <w:r w:rsidRPr="0099711C">
              <w:rPr>
                <w:rFonts w:cstheme="minorHAnsi"/>
              </w:rPr>
              <w:t>Kamala Chandrakirana</w:t>
            </w:r>
          </w:p>
        </w:tc>
        <w:tc>
          <w:tcPr>
            <w:tcW w:w="5902" w:type="dxa"/>
          </w:tcPr>
          <w:p w14:paraId="229C78F5" w14:textId="77777777" w:rsidR="00EC1781" w:rsidRPr="0099711C" w:rsidRDefault="00EC1781" w:rsidP="005E637F">
            <w:pPr>
              <w:rPr>
                <w:rFonts w:cstheme="minorHAnsi"/>
              </w:rPr>
            </w:pPr>
            <w:r w:rsidRPr="0099711C">
              <w:rPr>
                <w:rFonts w:cstheme="minorHAnsi"/>
              </w:rPr>
              <w:t>Indonesia for Humanity (IKa)</w:t>
            </w:r>
          </w:p>
        </w:tc>
      </w:tr>
      <w:tr w:rsidR="00EC1781" w:rsidRPr="0099711C" w14:paraId="10119C10" w14:textId="77777777" w:rsidTr="005E637F">
        <w:tc>
          <w:tcPr>
            <w:tcW w:w="3114" w:type="dxa"/>
          </w:tcPr>
          <w:p w14:paraId="1059FFA5" w14:textId="77777777" w:rsidR="00EC1781" w:rsidRPr="0099711C" w:rsidRDefault="00EC1781" w:rsidP="005E637F">
            <w:pPr>
              <w:rPr>
                <w:rFonts w:cstheme="minorHAnsi"/>
              </w:rPr>
            </w:pPr>
            <w:r w:rsidRPr="0099711C">
              <w:rPr>
                <w:rFonts w:cstheme="minorHAnsi"/>
              </w:rPr>
              <w:t>Belinda Costin</w:t>
            </w:r>
          </w:p>
        </w:tc>
        <w:tc>
          <w:tcPr>
            <w:tcW w:w="5902" w:type="dxa"/>
          </w:tcPr>
          <w:p w14:paraId="67B118CF" w14:textId="77777777" w:rsidR="00EC1781" w:rsidRPr="0099711C" w:rsidRDefault="00EC1781" w:rsidP="005E637F">
            <w:pPr>
              <w:rPr>
                <w:rFonts w:cstheme="minorHAnsi"/>
              </w:rPr>
            </w:pPr>
            <w:r w:rsidRPr="0099711C">
              <w:rPr>
                <w:rFonts w:cstheme="minorHAnsi"/>
              </w:rPr>
              <w:t>Liaison Officer for BAPPENAS, DFAT</w:t>
            </w:r>
          </w:p>
        </w:tc>
      </w:tr>
      <w:tr w:rsidR="00EC1781" w:rsidRPr="0099711C" w14:paraId="36BBFC62" w14:textId="77777777" w:rsidTr="005E637F">
        <w:tc>
          <w:tcPr>
            <w:tcW w:w="3114" w:type="dxa"/>
          </w:tcPr>
          <w:p w14:paraId="0E9CC3A5" w14:textId="77777777" w:rsidR="00EC1781" w:rsidRPr="0099711C" w:rsidRDefault="00EC1781" w:rsidP="005E637F">
            <w:pPr>
              <w:rPr>
                <w:rFonts w:cstheme="minorHAnsi"/>
              </w:rPr>
            </w:pPr>
            <w:r w:rsidRPr="0099711C">
              <w:rPr>
                <w:rFonts w:cstheme="minorHAnsi"/>
              </w:rPr>
              <w:t>Astrid</w:t>
            </w:r>
          </w:p>
        </w:tc>
        <w:tc>
          <w:tcPr>
            <w:tcW w:w="5902" w:type="dxa"/>
          </w:tcPr>
          <w:p w14:paraId="2F0A3C67" w14:textId="77777777" w:rsidR="00EC1781" w:rsidRPr="0099711C" w:rsidRDefault="00EC1781" w:rsidP="005E637F">
            <w:pPr>
              <w:rPr>
                <w:rFonts w:cstheme="minorHAnsi"/>
              </w:rPr>
            </w:pPr>
            <w:r w:rsidRPr="0099711C">
              <w:rPr>
                <w:rFonts w:cstheme="minorHAnsi"/>
              </w:rPr>
              <w:t>Unit Manager, KOMPAK, DFAT</w:t>
            </w:r>
          </w:p>
        </w:tc>
      </w:tr>
      <w:tr w:rsidR="00EC1781" w:rsidRPr="0099711C" w14:paraId="2EE33292" w14:textId="77777777" w:rsidTr="005E637F">
        <w:tc>
          <w:tcPr>
            <w:tcW w:w="3114" w:type="dxa"/>
          </w:tcPr>
          <w:p w14:paraId="64CE0195" w14:textId="77777777" w:rsidR="00EC1781" w:rsidRPr="0099711C" w:rsidRDefault="00EC1781" w:rsidP="005E637F">
            <w:pPr>
              <w:rPr>
                <w:rFonts w:cstheme="minorHAnsi"/>
              </w:rPr>
            </w:pPr>
            <w:r w:rsidRPr="0099711C">
              <w:rPr>
                <w:rFonts w:cstheme="minorHAnsi"/>
              </w:rPr>
              <w:t>Piter</w:t>
            </w:r>
          </w:p>
        </w:tc>
        <w:tc>
          <w:tcPr>
            <w:tcW w:w="5902" w:type="dxa"/>
          </w:tcPr>
          <w:p w14:paraId="4E1FA3FE" w14:textId="77777777" w:rsidR="00EC1781" w:rsidRPr="0099711C" w:rsidRDefault="00EC1781" w:rsidP="005E637F">
            <w:pPr>
              <w:rPr>
                <w:rFonts w:cstheme="minorHAnsi"/>
              </w:rPr>
            </w:pPr>
            <w:r w:rsidRPr="0099711C">
              <w:rPr>
                <w:rFonts w:cstheme="minorHAnsi"/>
              </w:rPr>
              <w:t>KOMPAK, DFAT</w:t>
            </w:r>
          </w:p>
        </w:tc>
      </w:tr>
      <w:tr w:rsidR="00EC1781" w:rsidRPr="0099711C" w14:paraId="59D78869" w14:textId="77777777" w:rsidTr="005E637F">
        <w:tc>
          <w:tcPr>
            <w:tcW w:w="3114" w:type="dxa"/>
          </w:tcPr>
          <w:p w14:paraId="5D17E913" w14:textId="77777777" w:rsidR="00EC1781" w:rsidRPr="0099711C" w:rsidRDefault="00EC1781" w:rsidP="005E637F">
            <w:pPr>
              <w:rPr>
                <w:rFonts w:cstheme="minorHAnsi"/>
              </w:rPr>
            </w:pPr>
            <w:r w:rsidRPr="0099711C">
              <w:rPr>
                <w:rFonts w:cstheme="minorHAnsi"/>
              </w:rPr>
              <w:t>Laila</w:t>
            </w:r>
          </w:p>
        </w:tc>
        <w:tc>
          <w:tcPr>
            <w:tcW w:w="5902" w:type="dxa"/>
          </w:tcPr>
          <w:p w14:paraId="7955562A" w14:textId="77777777" w:rsidR="00EC1781" w:rsidRPr="0099711C" w:rsidRDefault="00EC1781" w:rsidP="005E637F">
            <w:pPr>
              <w:rPr>
                <w:rFonts w:cstheme="minorHAnsi"/>
              </w:rPr>
            </w:pPr>
            <w:r w:rsidRPr="0099711C">
              <w:rPr>
                <w:rFonts w:cstheme="minorHAnsi"/>
              </w:rPr>
              <w:t>KOMPAK, DFAT</w:t>
            </w:r>
          </w:p>
        </w:tc>
      </w:tr>
      <w:tr w:rsidR="00EC1781" w:rsidRPr="0099711C" w14:paraId="0F2321F6" w14:textId="77777777" w:rsidTr="005E637F">
        <w:tc>
          <w:tcPr>
            <w:tcW w:w="3114" w:type="dxa"/>
          </w:tcPr>
          <w:p w14:paraId="3C99076D" w14:textId="77777777" w:rsidR="00EC1781" w:rsidRPr="0099711C" w:rsidRDefault="00EC1781" w:rsidP="005E637F">
            <w:pPr>
              <w:rPr>
                <w:rFonts w:cstheme="minorHAnsi"/>
              </w:rPr>
            </w:pPr>
            <w:r w:rsidRPr="0099711C">
              <w:rPr>
                <w:rFonts w:cstheme="minorHAnsi"/>
              </w:rPr>
              <w:t>Anna Winoto</w:t>
            </w:r>
          </w:p>
        </w:tc>
        <w:tc>
          <w:tcPr>
            <w:tcW w:w="5902" w:type="dxa"/>
          </w:tcPr>
          <w:p w14:paraId="55BEADEC" w14:textId="77777777" w:rsidR="00EC1781" w:rsidRPr="0099711C" w:rsidRDefault="00EC1781" w:rsidP="005E637F">
            <w:pPr>
              <w:rPr>
                <w:rFonts w:cstheme="minorHAnsi"/>
              </w:rPr>
            </w:pPr>
            <w:r w:rsidRPr="0099711C">
              <w:rPr>
                <w:rFonts w:cstheme="minorHAnsi"/>
              </w:rPr>
              <w:t>Team Leader, KOMPAK</w:t>
            </w:r>
          </w:p>
        </w:tc>
      </w:tr>
      <w:tr w:rsidR="00EC1781" w:rsidRPr="0099711C" w14:paraId="11211584" w14:textId="77777777" w:rsidTr="005E637F">
        <w:tc>
          <w:tcPr>
            <w:tcW w:w="3114" w:type="dxa"/>
          </w:tcPr>
          <w:p w14:paraId="51DA8B12" w14:textId="77777777" w:rsidR="00EC1781" w:rsidRPr="0099711C" w:rsidRDefault="00EC1781" w:rsidP="005E637F">
            <w:pPr>
              <w:rPr>
                <w:rFonts w:cstheme="minorHAnsi"/>
              </w:rPr>
            </w:pPr>
            <w:r w:rsidRPr="0099711C">
              <w:rPr>
                <w:rFonts w:cstheme="minorHAnsi"/>
              </w:rPr>
              <w:t>Fitriyanti</w:t>
            </w:r>
          </w:p>
        </w:tc>
        <w:tc>
          <w:tcPr>
            <w:tcW w:w="5902" w:type="dxa"/>
          </w:tcPr>
          <w:p w14:paraId="48160DED" w14:textId="77777777" w:rsidR="00EC1781" w:rsidRPr="0099711C" w:rsidRDefault="00EC1781" w:rsidP="005E637F">
            <w:pPr>
              <w:rPr>
                <w:rFonts w:cstheme="minorHAnsi"/>
              </w:rPr>
            </w:pPr>
            <w:r w:rsidRPr="0099711C">
              <w:rPr>
                <w:rFonts w:cstheme="minorHAnsi"/>
              </w:rPr>
              <w:t>Gender and inclusion specialist, KOMPAK</w:t>
            </w:r>
          </w:p>
        </w:tc>
      </w:tr>
      <w:tr w:rsidR="00EC1781" w:rsidRPr="0099711C" w14:paraId="6EE43A6F" w14:textId="77777777" w:rsidTr="005E637F">
        <w:tc>
          <w:tcPr>
            <w:tcW w:w="3114" w:type="dxa"/>
          </w:tcPr>
          <w:p w14:paraId="3D432951" w14:textId="77777777" w:rsidR="00EC1781" w:rsidRPr="0099711C" w:rsidRDefault="00EC1781" w:rsidP="005E637F">
            <w:pPr>
              <w:rPr>
                <w:rFonts w:cstheme="minorHAnsi"/>
              </w:rPr>
            </w:pPr>
            <w:r w:rsidRPr="0099711C">
              <w:rPr>
                <w:rFonts w:cstheme="minorHAnsi"/>
              </w:rPr>
              <w:t xml:space="preserve">Sentot Satria, </w:t>
            </w:r>
          </w:p>
        </w:tc>
        <w:tc>
          <w:tcPr>
            <w:tcW w:w="5902" w:type="dxa"/>
          </w:tcPr>
          <w:p w14:paraId="5494E363" w14:textId="77777777" w:rsidR="00EC1781" w:rsidRPr="0099711C" w:rsidRDefault="00EC1781" w:rsidP="005E637F">
            <w:pPr>
              <w:rPr>
                <w:rFonts w:cstheme="minorHAnsi"/>
              </w:rPr>
            </w:pPr>
            <w:r w:rsidRPr="0099711C">
              <w:rPr>
                <w:rFonts w:cstheme="minorHAnsi"/>
              </w:rPr>
              <w:t>Village Governance Adviser, KOMPAK</w:t>
            </w:r>
          </w:p>
        </w:tc>
      </w:tr>
      <w:tr w:rsidR="00EC1781" w:rsidRPr="0099711C" w14:paraId="42D702C0" w14:textId="77777777" w:rsidTr="005E637F">
        <w:tc>
          <w:tcPr>
            <w:tcW w:w="3114" w:type="dxa"/>
          </w:tcPr>
          <w:p w14:paraId="44A29CA0" w14:textId="77777777" w:rsidR="00EC1781" w:rsidRPr="0099711C" w:rsidRDefault="00EC1781" w:rsidP="005E637F">
            <w:pPr>
              <w:rPr>
                <w:rFonts w:cstheme="minorHAnsi"/>
              </w:rPr>
            </w:pPr>
            <w:r w:rsidRPr="0099711C">
              <w:rPr>
                <w:rFonts w:cstheme="minorHAnsi"/>
              </w:rPr>
              <w:t>Arry Chandra Kurnia</w:t>
            </w:r>
          </w:p>
        </w:tc>
        <w:tc>
          <w:tcPr>
            <w:tcW w:w="5902" w:type="dxa"/>
          </w:tcPr>
          <w:p w14:paraId="2D5F79F9" w14:textId="77777777" w:rsidR="00EC1781" w:rsidRPr="0099711C" w:rsidRDefault="00EC1781" w:rsidP="005E637F">
            <w:pPr>
              <w:rPr>
                <w:rFonts w:cstheme="minorHAnsi"/>
              </w:rPr>
            </w:pPr>
            <w:r w:rsidRPr="0099711C">
              <w:rPr>
                <w:rFonts w:cstheme="minorHAnsi"/>
              </w:rPr>
              <w:t>Governance officer - KOMPAK</w:t>
            </w:r>
          </w:p>
        </w:tc>
      </w:tr>
      <w:tr w:rsidR="00EC1781" w:rsidRPr="0099711C" w14:paraId="27E4DAD5" w14:textId="77777777" w:rsidTr="005E637F">
        <w:tc>
          <w:tcPr>
            <w:tcW w:w="3114" w:type="dxa"/>
          </w:tcPr>
          <w:p w14:paraId="4D91498E" w14:textId="77777777" w:rsidR="00EC1781" w:rsidRPr="0099711C" w:rsidRDefault="00EC1781" w:rsidP="005E637F">
            <w:pPr>
              <w:rPr>
                <w:rFonts w:cstheme="minorHAnsi"/>
              </w:rPr>
            </w:pPr>
            <w:r w:rsidRPr="0099711C">
              <w:rPr>
                <w:rFonts w:cstheme="minorHAnsi"/>
              </w:rPr>
              <w:t>Grace Palayukan</w:t>
            </w:r>
          </w:p>
        </w:tc>
        <w:tc>
          <w:tcPr>
            <w:tcW w:w="5902" w:type="dxa"/>
          </w:tcPr>
          <w:p w14:paraId="59BFA334" w14:textId="77777777" w:rsidR="00EC1781" w:rsidRPr="0099711C" w:rsidRDefault="00EC1781" w:rsidP="005E637F">
            <w:pPr>
              <w:rPr>
                <w:rFonts w:cstheme="minorHAnsi"/>
              </w:rPr>
            </w:pPr>
            <w:r w:rsidRPr="0099711C">
              <w:rPr>
                <w:rFonts w:cstheme="minorHAnsi"/>
              </w:rPr>
              <w:t>Kecamatan and Village Strengthening Lead, KOMPAK</w:t>
            </w:r>
          </w:p>
        </w:tc>
      </w:tr>
      <w:tr w:rsidR="00EC1781" w:rsidRPr="0099711C" w14:paraId="20DCDBD2" w14:textId="77777777" w:rsidTr="005E637F">
        <w:tc>
          <w:tcPr>
            <w:tcW w:w="3114" w:type="dxa"/>
          </w:tcPr>
          <w:p w14:paraId="11ABE829" w14:textId="77777777" w:rsidR="00EC1781" w:rsidRPr="0099711C" w:rsidRDefault="00EC1781" w:rsidP="005E637F">
            <w:pPr>
              <w:rPr>
                <w:rFonts w:cstheme="minorHAnsi"/>
              </w:rPr>
            </w:pPr>
          </w:p>
        </w:tc>
        <w:tc>
          <w:tcPr>
            <w:tcW w:w="5902" w:type="dxa"/>
          </w:tcPr>
          <w:p w14:paraId="0AF62B03" w14:textId="77777777" w:rsidR="00EC1781" w:rsidRPr="0099711C" w:rsidRDefault="00EC1781" w:rsidP="005E637F">
            <w:pPr>
              <w:rPr>
                <w:rFonts w:cstheme="minorHAnsi"/>
              </w:rPr>
            </w:pPr>
          </w:p>
        </w:tc>
      </w:tr>
      <w:tr w:rsidR="00EC1781" w:rsidRPr="0099711C" w14:paraId="6AE26BA7" w14:textId="77777777" w:rsidTr="005E637F">
        <w:tc>
          <w:tcPr>
            <w:tcW w:w="3114" w:type="dxa"/>
          </w:tcPr>
          <w:p w14:paraId="53E9D6F0" w14:textId="77777777" w:rsidR="00EC1781" w:rsidRPr="0099711C" w:rsidRDefault="00EC1781" w:rsidP="005E637F">
            <w:pPr>
              <w:rPr>
                <w:rFonts w:cstheme="minorHAnsi"/>
              </w:rPr>
            </w:pPr>
            <w:r w:rsidRPr="0099711C">
              <w:rPr>
                <w:rFonts w:cstheme="minorHAnsi"/>
              </w:rPr>
              <w:t>Rino (?)</w:t>
            </w:r>
          </w:p>
        </w:tc>
        <w:tc>
          <w:tcPr>
            <w:tcW w:w="5902" w:type="dxa"/>
          </w:tcPr>
          <w:p w14:paraId="4CE7923F" w14:textId="77777777" w:rsidR="00EC1781" w:rsidRPr="0099711C" w:rsidRDefault="00EC1781" w:rsidP="005E637F">
            <w:pPr>
              <w:rPr>
                <w:rFonts w:cstheme="minorHAnsi"/>
              </w:rPr>
            </w:pPr>
            <w:r w:rsidRPr="0099711C">
              <w:rPr>
                <w:rFonts w:cstheme="minorHAnsi"/>
              </w:rPr>
              <w:t>Australian Awards, DFAT</w:t>
            </w:r>
          </w:p>
        </w:tc>
      </w:tr>
      <w:tr w:rsidR="00EC1781" w:rsidRPr="0099711C" w14:paraId="3D501148" w14:textId="77777777" w:rsidTr="005E637F">
        <w:tc>
          <w:tcPr>
            <w:tcW w:w="3114" w:type="dxa"/>
          </w:tcPr>
          <w:p w14:paraId="0B48CDAC" w14:textId="77777777" w:rsidR="00EC1781" w:rsidRPr="0099711C" w:rsidRDefault="00EC1781" w:rsidP="005E637F">
            <w:pPr>
              <w:rPr>
                <w:rFonts w:cstheme="minorHAnsi"/>
              </w:rPr>
            </w:pPr>
            <w:r w:rsidRPr="0099711C">
              <w:rPr>
                <w:rFonts w:cstheme="minorHAnsi"/>
              </w:rPr>
              <w:t xml:space="preserve">Naomi Cook </w:t>
            </w:r>
          </w:p>
        </w:tc>
        <w:tc>
          <w:tcPr>
            <w:tcW w:w="5902" w:type="dxa"/>
          </w:tcPr>
          <w:p w14:paraId="0306F776" w14:textId="77777777" w:rsidR="00EC1781" w:rsidRPr="0099711C" w:rsidRDefault="00EC1781" w:rsidP="005E637F">
            <w:pPr>
              <w:rPr>
                <w:rFonts w:cstheme="minorHAnsi"/>
              </w:rPr>
            </w:pPr>
            <w:r w:rsidRPr="0099711C">
              <w:rPr>
                <w:rFonts w:cstheme="minorHAnsi"/>
              </w:rPr>
              <w:t>Unit Manager PRISMA, DFAT</w:t>
            </w:r>
          </w:p>
        </w:tc>
      </w:tr>
      <w:tr w:rsidR="00EC1781" w:rsidRPr="0099711C" w14:paraId="5FA695F8" w14:textId="77777777" w:rsidTr="005E637F">
        <w:tc>
          <w:tcPr>
            <w:tcW w:w="3114" w:type="dxa"/>
          </w:tcPr>
          <w:p w14:paraId="43B3BF77" w14:textId="77777777" w:rsidR="00EC1781" w:rsidRPr="0099711C" w:rsidRDefault="00EC1781" w:rsidP="005E637F">
            <w:pPr>
              <w:rPr>
                <w:rFonts w:cstheme="minorHAnsi"/>
              </w:rPr>
            </w:pPr>
            <w:r w:rsidRPr="0099711C">
              <w:rPr>
                <w:rFonts w:cstheme="minorHAnsi"/>
              </w:rPr>
              <w:t>Lulu Wardhani</w:t>
            </w:r>
          </w:p>
        </w:tc>
        <w:tc>
          <w:tcPr>
            <w:tcW w:w="5902" w:type="dxa"/>
          </w:tcPr>
          <w:p w14:paraId="61C50D92" w14:textId="77777777" w:rsidR="00EC1781" w:rsidRPr="0099711C" w:rsidRDefault="00EC1781" w:rsidP="005E637F">
            <w:pPr>
              <w:rPr>
                <w:rFonts w:cstheme="minorHAnsi"/>
              </w:rPr>
            </w:pPr>
            <w:r w:rsidRPr="0099711C">
              <w:rPr>
                <w:rFonts w:cstheme="minorHAnsi"/>
              </w:rPr>
              <w:t>Senior Program Manager PRISMA, DFAT</w:t>
            </w:r>
          </w:p>
        </w:tc>
      </w:tr>
      <w:tr w:rsidR="00EC1781" w:rsidRPr="0099711C" w14:paraId="2A0AD341" w14:textId="77777777" w:rsidTr="005E637F">
        <w:tc>
          <w:tcPr>
            <w:tcW w:w="3114" w:type="dxa"/>
          </w:tcPr>
          <w:p w14:paraId="14D43592" w14:textId="77777777" w:rsidR="00EC1781" w:rsidRPr="0099711C" w:rsidRDefault="00EC1781" w:rsidP="005E637F">
            <w:pPr>
              <w:rPr>
                <w:rFonts w:cstheme="minorHAnsi"/>
              </w:rPr>
            </w:pPr>
            <w:r w:rsidRPr="0099711C">
              <w:rPr>
                <w:rFonts w:cstheme="minorHAnsi"/>
              </w:rPr>
              <w:t xml:space="preserve">Noura Ghaeni </w:t>
            </w:r>
          </w:p>
        </w:tc>
        <w:tc>
          <w:tcPr>
            <w:tcW w:w="5902" w:type="dxa"/>
          </w:tcPr>
          <w:p w14:paraId="2C17D9CA" w14:textId="77777777" w:rsidR="00EC1781" w:rsidRPr="0099711C" w:rsidRDefault="00EC1781" w:rsidP="005E637F">
            <w:pPr>
              <w:rPr>
                <w:rFonts w:cstheme="minorHAnsi"/>
              </w:rPr>
            </w:pPr>
            <w:r w:rsidRPr="0099711C">
              <w:rPr>
                <w:rFonts w:cstheme="minorHAnsi"/>
              </w:rPr>
              <w:t>Unit Manager, KIAT, DFAT</w:t>
            </w:r>
          </w:p>
        </w:tc>
      </w:tr>
      <w:tr w:rsidR="00EC1781" w:rsidRPr="0099711C" w14:paraId="0301AF93" w14:textId="77777777" w:rsidTr="005E637F">
        <w:tc>
          <w:tcPr>
            <w:tcW w:w="3114" w:type="dxa"/>
          </w:tcPr>
          <w:p w14:paraId="7C573947" w14:textId="77777777" w:rsidR="00EC1781" w:rsidRPr="0099711C" w:rsidRDefault="00EC1781" w:rsidP="005E637F">
            <w:pPr>
              <w:rPr>
                <w:rFonts w:cstheme="minorHAnsi"/>
              </w:rPr>
            </w:pPr>
            <w:r w:rsidRPr="0099711C">
              <w:rPr>
                <w:rFonts w:cstheme="minorHAnsi"/>
              </w:rPr>
              <w:t xml:space="preserve">Andini </w:t>
            </w:r>
          </w:p>
        </w:tc>
        <w:tc>
          <w:tcPr>
            <w:tcW w:w="5902" w:type="dxa"/>
          </w:tcPr>
          <w:p w14:paraId="393D62BD" w14:textId="77777777" w:rsidR="00EC1781" w:rsidRPr="0099711C" w:rsidRDefault="00EC1781" w:rsidP="005E637F">
            <w:pPr>
              <w:rPr>
                <w:rFonts w:cstheme="minorHAnsi"/>
              </w:rPr>
            </w:pPr>
            <w:r w:rsidRPr="0099711C">
              <w:rPr>
                <w:rFonts w:cstheme="minorHAnsi"/>
              </w:rPr>
              <w:t>PEDULI, DFAT</w:t>
            </w:r>
          </w:p>
        </w:tc>
      </w:tr>
      <w:tr w:rsidR="00EC1781" w:rsidRPr="0099711C" w14:paraId="7292550E" w14:textId="77777777" w:rsidTr="005E637F">
        <w:tc>
          <w:tcPr>
            <w:tcW w:w="3114" w:type="dxa"/>
          </w:tcPr>
          <w:p w14:paraId="72B955BE" w14:textId="77777777" w:rsidR="00EC1781" w:rsidRPr="0099711C" w:rsidRDefault="00EC1781" w:rsidP="005E637F">
            <w:pPr>
              <w:rPr>
                <w:rFonts w:cstheme="minorHAnsi"/>
              </w:rPr>
            </w:pPr>
            <w:r w:rsidRPr="0099711C">
              <w:rPr>
                <w:rFonts w:cstheme="minorHAnsi"/>
              </w:rPr>
              <w:t>Tini</w:t>
            </w:r>
          </w:p>
        </w:tc>
        <w:tc>
          <w:tcPr>
            <w:tcW w:w="5902" w:type="dxa"/>
          </w:tcPr>
          <w:p w14:paraId="4B1B54D5" w14:textId="77777777" w:rsidR="00EC1781" w:rsidRPr="0099711C" w:rsidRDefault="00EC1781" w:rsidP="005E637F">
            <w:pPr>
              <w:rPr>
                <w:rFonts w:cstheme="minorHAnsi"/>
              </w:rPr>
            </w:pPr>
            <w:r w:rsidRPr="0099711C">
              <w:rPr>
                <w:rFonts w:cstheme="minorHAnsi"/>
              </w:rPr>
              <w:t>PEDULI, DFAT</w:t>
            </w:r>
          </w:p>
        </w:tc>
      </w:tr>
      <w:tr w:rsidR="00EC1781" w:rsidRPr="0099711C" w14:paraId="5E7DE9CE" w14:textId="77777777" w:rsidTr="005E637F">
        <w:tc>
          <w:tcPr>
            <w:tcW w:w="3114" w:type="dxa"/>
          </w:tcPr>
          <w:p w14:paraId="72D5E694" w14:textId="77777777" w:rsidR="00EC1781" w:rsidRPr="0099711C" w:rsidRDefault="00EC1781" w:rsidP="005E637F">
            <w:pPr>
              <w:rPr>
                <w:rFonts w:cstheme="minorHAnsi"/>
              </w:rPr>
            </w:pPr>
            <w:r w:rsidRPr="0099711C">
              <w:rPr>
                <w:rFonts w:cstheme="minorHAnsi"/>
              </w:rPr>
              <w:t>Ade Ganie</w:t>
            </w:r>
          </w:p>
        </w:tc>
        <w:tc>
          <w:tcPr>
            <w:tcW w:w="5902" w:type="dxa"/>
          </w:tcPr>
          <w:p w14:paraId="12FBBC92" w14:textId="77777777" w:rsidR="00EC1781" w:rsidRPr="0099711C" w:rsidRDefault="00EC1781" w:rsidP="005E637F">
            <w:pPr>
              <w:rPr>
                <w:rFonts w:cstheme="minorHAnsi"/>
              </w:rPr>
            </w:pPr>
            <w:r w:rsidRPr="0099711C">
              <w:rPr>
                <w:rFonts w:cstheme="minorHAnsi"/>
              </w:rPr>
              <w:t>Unit Manager, AIPJ, DFAT</w:t>
            </w:r>
          </w:p>
        </w:tc>
      </w:tr>
      <w:tr w:rsidR="00EC1781" w:rsidRPr="0099711C" w14:paraId="5BCC9752" w14:textId="77777777" w:rsidTr="005E637F">
        <w:tc>
          <w:tcPr>
            <w:tcW w:w="3114" w:type="dxa"/>
          </w:tcPr>
          <w:p w14:paraId="1F7F6997" w14:textId="77777777" w:rsidR="00EC1781" w:rsidRPr="0099711C" w:rsidRDefault="00EC1781" w:rsidP="005E637F">
            <w:pPr>
              <w:rPr>
                <w:rFonts w:cstheme="minorHAnsi"/>
              </w:rPr>
            </w:pPr>
            <w:r w:rsidRPr="0099711C">
              <w:rPr>
                <w:rFonts w:cstheme="minorHAnsi"/>
              </w:rPr>
              <w:t>Irene</w:t>
            </w:r>
          </w:p>
        </w:tc>
        <w:tc>
          <w:tcPr>
            <w:tcW w:w="5902" w:type="dxa"/>
          </w:tcPr>
          <w:p w14:paraId="760292F4" w14:textId="77777777" w:rsidR="00EC1781" w:rsidRPr="0099711C" w:rsidRDefault="00EC1781" w:rsidP="005E637F">
            <w:pPr>
              <w:rPr>
                <w:rFonts w:cstheme="minorHAnsi"/>
              </w:rPr>
            </w:pPr>
            <w:r w:rsidRPr="0099711C">
              <w:rPr>
                <w:rFonts w:cstheme="minorHAnsi"/>
              </w:rPr>
              <w:t>AIPJ, DFAT</w:t>
            </w:r>
          </w:p>
        </w:tc>
      </w:tr>
      <w:tr w:rsidR="00EC1781" w:rsidRPr="0099711C" w14:paraId="1F2A484B" w14:textId="77777777" w:rsidTr="005E637F">
        <w:tc>
          <w:tcPr>
            <w:tcW w:w="3114" w:type="dxa"/>
          </w:tcPr>
          <w:p w14:paraId="52D60838" w14:textId="77777777" w:rsidR="00EC1781" w:rsidRPr="0099711C" w:rsidRDefault="00EC1781" w:rsidP="005E637F">
            <w:pPr>
              <w:rPr>
                <w:rFonts w:cstheme="minorHAnsi"/>
              </w:rPr>
            </w:pPr>
            <w:r w:rsidRPr="0099711C">
              <w:rPr>
                <w:rFonts w:cstheme="minorHAnsi"/>
              </w:rPr>
              <w:t>Daniel Rantzen</w:t>
            </w:r>
          </w:p>
        </w:tc>
        <w:tc>
          <w:tcPr>
            <w:tcW w:w="5902" w:type="dxa"/>
          </w:tcPr>
          <w:p w14:paraId="7806279A" w14:textId="77777777" w:rsidR="00EC1781" w:rsidRPr="0099711C" w:rsidRDefault="00EC1781" w:rsidP="005E637F">
            <w:pPr>
              <w:rPr>
                <w:rFonts w:cstheme="minorHAnsi"/>
              </w:rPr>
            </w:pPr>
            <w:r w:rsidRPr="0099711C">
              <w:rPr>
                <w:rFonts w:cstheme="minorHAnsi"/>
              </w:rPr>
              <w:t>Investing in Women, DFAT</w:t>
            </w:r>
          </w:p>
        </w:tc>
      </w:tr>
      <w:tr w:rsidR="00EC1781" w:rsidRPr="0099711C" w14:paraId="484CC9F8" w14:textId="77777777" w:rsidTr="005E637F">
        <w:tc>
          <w:tcPr>
            <w:tcW w:w="3114" w:type="dxa"/>
          </w:tcPr>
          <w:p w14:paraId="342416C6" w14:textId="77777777" w:rsidR="00EC1781" w:rsidRPr="0099711C" w:rsidRDefault="00EC1781" w:rsidP="005E637F">
            <w:pPr>
              <w:rPr>
                <w:rFonts w:cstheme="minorHAnsi"/>
              </w:rPr>
            </w:pPr>
            <w:r w:rsidRPr="0099711C">
              <w:rPr>
                <w:rFonts w:cstheme="minorHAnsi"/>
              </w:rPr>
              <w:t>Ulfah Arafah</w:t>
            </w:r>
          </w:p>
        </w:tc>
        <w:tc>
          <w:tcPr>
            <w:tcW w:w="5902" w:type="dxa"/>
          </w:tcPr>
          <w:p w14:paraId="678A863D" w14:textId="77777777" w:rsidR="00EC1781" w:rsidRPr="0099711C" w:rsidRDefault="00EC1781" w:rsidP="005E637F">
            <w:pPr>
              <w:rPr>
                <w:rFonts w:cstheme="minorHAnsi"/>
              </w:rPr>
            </w:pPr>
            <w:r w:rsidRPr="0099711C">
              <w:rPr>
                <w:rFonts w:cstheme="minorHAnsi"/>
              </w:rPr>
              <w:t>Investing in Women, DFAT</w:t>
            </w:r>
          </w:p>
        </w:tc>
      </w:tr>
      <w:tr w:rsidR="00EC1781" w:rsidRPr="0099711C" w14:paraId="1149E8B6" w14:textId="77777777" w:rsidTr="005E637F">
        <w:tc>
          <w:tcPr>
            <w:tcW w:w="3114" w:type="dxa"/>
          </w:tcPr>
          <w:p w14:paraId="44ED19F1" w14:textId="77777777" w:rsidR="00EC1781" w:rsidRPr="0099711C" w:rsidRDefault="00EC1781" w:rsidP="005E637F">
            <w:pPr>
              <w:rPr>
                <w:rFonts w:cstheme="minorHAnsi"/>
              </w:rPr>
            </w:pPr>
            <w:r w:rsidRPr="0099711C">
              <w:rPr>
                <w:rFonts w:cstheme="minorHAnsi"/>
              </w:rPr>
              <w:t>Wita Krisanti</w:t>
            </w:r>
          </w:p>
        </w:tc>
        <w:tc>
          <w:tcPr>
            <w:tcW w:w="5902" w:type="dxa"/>
          </w:tcPr>
          <w:p w14:paraId="57090D23" w14:textId="77777777" w:rsidR="00EC1781" w:rsidRPr="0099711C" w:rsidRDefault="00EC1781" w:rsidP="005E637F">
            <w:pPr>
              <w:rPr>
                <w:rFonts w:cstheme="minorHAnsi"/>
              </w:rPr>
            </w:pPr>
            <w:r w:rsidRPr="0099711C">
              <w:rPr>
                <w:rFonts w:cstheme="minorHAnsi"/>
              </w:rPr>
              <w:t>Indonesia Country Manager, Investing in Women</w:t>
            </w:r>
          </w:p>
        </w:tc>
      </w:tr>
      <w:tr w:rsidR="00EC1781" w:rsidRPr="0099711C" w14:paraId="337C1208" w14:textId="77777777" w:rsidTr="005E637F">
        <w:tc>
          <w:tcPr>
            <w:tcW w:w="3114" w:type="dxa"/>
          </w:tcPr>
          <w:p w14:paraId="5B713E4B" w14:textId="77777777" w:rsidR="00EC1781" w:rsidRPr="0099711C" w:rsidRDefault="00EC1781" w:rsidP="005E637F">
            <w:pPr>
              <w:rPr>
                <w:rFonts w:cstheme="minorHAnsi"/>
              </w:rPr>
            </w:pPr>
            <w:r w:rsidRPr="0099711C">
              <w:rPr>
                <w:rFonts w:cstheme="minorHAnsi"/>
              </w:rPr>
              <w:t xml:space="preserve">Yenny </w:t>
            </w:r>
          </w:p>
        </w:tc>
        <w:tc>
          <w:tcPr>
            <w:tcW w:w="5902" w:type="dxa"/>
          </w:tcPr>
          <w:p w14:paraId="226FBB95" w14:textId="77777777" w:rsidR="00EC1781" w:rsidRPr="0099711C" w:rsidRDefault="00EC1781" w:rsidP="005E637F">
            <w:pPr>
              <w:rPr>
                <w:rFonts w:cstheme="minorHAnsi"/>
              </w:rPr>
            </w:pPr>
            <w:r w:rsidRPr="0099711C">
              <w:rPr>
                <w:rFonts w:cstheme="minorHAnsi"/>
              </w:rPr>
              <w:t>Team Leader, PEDULI</w:t>
            </w:r>
          </w:p>
        </w:tc>
      </w:tr>
      <w:tr w:rsidR="00EC1781" w:rsidRPr="0099711C" w14:paraId="6D1DCED6" w14:textId="77777777" w:rsidTr="005E637F">
        <w:tc>
          <w:tcPr>
            <w:tcW w:w="3114" w:type="dxa"/>
          </w:tcPr>
          <w:p w14:paraId="39CC7AA6" w14:textId="1388B5EC" w:rsidR="00EC1781" w:rsidRPr="0099711C" w:rsidRDefault="00784EB2" w:rsidP="005E637F">
            <w:pPr>
              <w:rPr>
                <w:rFonts w:cstheme="minorHAnsi"/>
              </w:rPr>
            </w:pPr>
            <w:r>
              <w:rPr>
                <w:rFonts w:cstheme="minorHAnsi"/>
              </w:rPr>
              <w:t>Natalia Warat</w:t>
            </w:r>
          </w:p>
        </w:tc>
        <w:tc>
          <w:tcPr>
            <w:tcW w:w="5902" w:type="dxa"/>
          </w:tcPr>
          <w:p w14:paraId="7489FF8E" w14:textId="77777777" w:rsidR="00EC1781" w:rsidRPr="0099711C" w:rsidRDefault="00EC1781" w:rsidP="005E637F">
            <w:pPr>
              <w:rPr>
                <w:rFonts w:cstheme="minorHAnsi"/>
              </w:rPr>
            </w:pPr>
            <w:r w:rsidRPr="0099711C">
              <w:rPr>
                <w:rFonts w:cstheme="minorHAnsi"/>
              </w:rPr>
              <w:t>Gender and Social Inclusion Specialist, PEDULI</w:t>
            </w:r>
          </w:p>
        </w:tc>
      </w:tr>
      <w:tr w:rsidR="00EC1781" w:rsidRPr="0099711C" w14:paraId="620D7990" w14:textId="77777777" w:rsidTr="005E637F">
        <w:tc>
          <w:tcPr>
            <w:tcW w:w="3114" w:type="dxa"/>
          </w:tcPr>
          <w:p w14:paraId="2B94E972" w14:textId="77777777" w:rsidR="00EC1781" w:rsidRPr="0099711C" w:rsidRDefault="00EC1781" w:rsidP="005E637F">
            <w:pPr>
              <w:rPr>
                <w:rFonts w:cstheme="minorHAnsi"/>
              </w:rPr>
            </w:pPr>
            <w:r w:rsidRPr="0099711C">
              <w:rPr>
                <w:rFonts w:cstheme="minorHAnsi"/>
              </w:rPr>
              <w:t xml:space="preserve">Mark Fiorello </w:t>
            </w:r>
          </w:p>
        </w:tc>
        <w:tc>
          <w:tcPr>
            <w:tcW w:w="5902" w:type="dxa"/>
          </w:tcPr>
          <w:p w14:paraId="0ACC7E14" w14:textId="4BB323FF" w:rsidR="00EC1781" w:rsidRPr="0099711C" w:rsidRDefault="00A03566" w:rsidP="005E637F">
            <w:pPr>
              <w:rPr>
                <w:rFonts w:cstheme="minorHAnsi"/>
              </w:rPr>
            </w:pPr>
            <w:r>
              <w:rPr>
                <w:rFonts w:cstheme="minorHAnsi"/>
              </w:rPr>
              <w:t>Solidaritas</w:t>
            </w:r>
          </w:p>
        </w:tc>
      </w:tr>
      <w:tr w:rsidR="00EC1781" w:rsidRPr="0099711C" w14:paraId="57A6798A" w14:textId="77777777" w:rsidTr="005E637F">
        <w:tc>
          <w:tcPr>
            <w:tcW w:w="3114" w:type="dxa"/>
          </w:tcPr>
          <w:p w14:paraId="39FD8146" w14:textId="77777777" w:rsidR="00EC1781" w:rsidRPr="0099711C" w:rsidRDefault="00EC1781" w:rsidP="005E637F">
            <w:pPr>
              <w:rPr>
                <w:rFonts w:cstheme="minorHAnsi"/>
              </w:rPr>
            </w:pPr>
            <w:r w:rsidRPr="0099711C">
              <w:rPr>
                <w:rFonts w:cstheme="minorHAnsi"/>
              </w:rPr>
              <w:t>Simon Milligan</w:t>
            </w:r>
          </w:p>
        </w:tc>
        <w:tc>
          <w:tcPr>
            <w:tcW w:w="5902" w:type="dxa"/>
          </w:tcPr>
          <w:p w14:paraId="4D552CDA" w14:textId="6901F56A" w:rsidR="00EC1781" w:rsidRPr="0099711C" w:rsidRDefault="00401DFA" w:rsidP="005E637F">
            <w:pPr>
              <w:rPr>
                <w:rFonts w:cstheme="minorHAnsi"/>
              </w:rPr>
            </w:pPr>
            <w:r>
              <w:rPr>
                <w:rFonts w:cstheme="minorHAnsi"/>
              </w:rPr>
              <w:t>Solidaritas</w:t>
            </w:r>
          </w:p>
        </w:tc>
      </w:tr>
      <w:tr w:rsidR="00EC1781" w:rsidRPr="0099711C" w14:paraId="1DD87480" w14:textId="77777777" w:rsidTr="005E637F">
        <w:tc>
          <w:tcPr>
            <w:tcW w:w="3114" w:type="dxa"/>
          </w:tcPr>
          <w:p w14:paraId="289194E0" w14:textId="77777777" w:rsidR="00EC1781" w:rsidRPr="0099711C" w:rsidRDefault="00EC1781" w:rsidP="005E637F">
            <w:pPr>
              <w:rPr>
                <w:rFonts w:cstheme="minorHAnsi"/>
              </w:rPr>
            </w:pPr>
            <w:r w:rsidRPr="0099711C">
              <w:rPr>
                <w:rFonts w:cstheme="minorHAnsi"/>
              </w:rPr>
              <w:t>Kate Shanahan</w:t>
            </w:r>
          </w:p>
        </w:tc>
        <w:tc>
          <w:tcPr>
            <w:tcW w:w="5902" w:type="dxa"/>
          </w:tcPr>
          <w:p w14:paraId="740924DF" w14:textId="77777777" w:rsidR="00EC1781" w:rsidRPr="0099711C" w:rsidRDefault="00EC1781" w:rsidP="005E637F">
            <w:pPr>
              <w:rPr>
                <w:rFonts w:cstheme="minorHAnsi"/>
              </w:rPr>
            </w:pPr>
            <w:r w:rsidRPr="0099711C">
              <w:rPr>
                <w:rFonts w:cstheme="minorHAnsi"/>
              </w:rPr>
              <w:t>Team Leader, MAMPU</w:t>
            </w:r>
          </w:p>
        </w:tc>
      </w:tr>
      <w:tr w:rsidR="00EC1781" w:rsidRPr="0099711C" w14:paraId="257EE2AE" w14:textId="77777777" w:rsidTr="005E637F">
        <w:tc>
          <w:tcPr>
            <w:tcW w:w="3114" w:type="dxa"/>
          </w:tcPr>
          <w:p w14:paraId="13FA2526" w14:textId="77777777" w:rsidR="00EC1781" w:rsidRPr="00A03566" w:rsidRDefault="00EC1781" w:rsidP="005E637F">
            <w:pPr>
              <w:rPr>
                <w:rFonts w:cstheme="minorHAnsi"/>
                <w:color w:val="0D0D0D" w:themeColor="text1" w:themeTint="F2"/>
              </w:rPr>
            </w:pPr>
            <w:r w:rsidRPr="00A03566">
              <w:rPr>
                <w:rFonts w:cstheme="minorHAnsi"/>
                <w:color w:val="0D0D0D" w:themeColor="text1" w:themeTint="F2"/>
              </w:rPr>
              <w:t>Stewart Norup</w:t>
            </w:r>
          </w:p>
        </w:tc>
        <w:tc>
          <w:tcPr>
            <w:tcW w:w="5902" w:type="dxa"/>
          </w:tcPr>
          <w:p w14:paraId="7E6FE3B0" w14:textId="77777777" w:rsidR="00EC1781" w:rsidRPr="00A03566" w:rsidRDefault="00EC1781" w:rsidP="005E637F">
            <w:pPr>
              <w:rPr>
                <w:rFonts w:cstheme="minorHAnsi"/>
                <w:color w:val="0D0D0D" w:themeColor="text1" w:themeTint="F2"/>
              </w:rPr>
            </w:pPr>
            <w:r w:rsidRPr="00A03566">
              <w:rPr>
                <w:rFonts w:cstheme="minorHAnsi"/>
                <w:color w:val="0D0D0D" w:themeColor="text1" w:themeTint="F2"/>
              </w:rPr>
              <w:t>M&amp;E Specialist MAMPU</w:t>
            </w:r>
          </w:p>
        </w:tc>
      </w:tr>
      <w:tr w:rsidR="00EC1781" w:rsidRPr="0099711C" w14:paraId="1696386C" w14:textId="77777777" w:rsidTr="005E637F">
        <w:tc>
          <w:tcPr>
            <w:tcW w:w="3114" w:type="dxa"/>
          </w:tcPr>
          <w:p w14:paraId="0FCAFDE9" w14:textId="77777777" w:rsidR="00EC1781" w:rsidRPr="0099711C" w:rsidRDefault="00EC1781" w:rsidP="005E637F">
            <w:pPr>
              <w:pStyle w:val="Default"/>
              <w:rPr>
                <w:rFonts w:asciiTheme="minorHAnsi" w:hAnsiTheme="minorHAnsi" w:cstheme="minorHAnsi"/>
                <w:sz w:val="22"/>
                <w:szCs w:val="22"/>
              </w:rPr>
            </w:pPr>
            <w:r w:rsidRPr="0099711C">
              <w:rPr>
                <w:rFonts w:asciiTheme="minorHAnsi" w:hAnsiTheme="minorHAnsi" w:cstheme="minorHAnsi"/>
                <w:sz w:val="22"/>
                <w:szCs w:val="22"/>
              </w:rPr>
              <w:t xml:space="preserve">Francisca Indarsiani </w:t>
            </w:r>
          </w:p>
        </w:tc>
        <w:tc>
          <w:tcPr>
            <w:tcW w:w="5902" w:type="dxa"/>
          </w:tcPr>
          <w:p w14:paraId="797B9F2B" w14:textId="73C65D70" w:rsidR="00EC1781" w:rsidRPr="0099711C" w:rsidRDefault="00EC1781" w:rsidP="005E637F">
            <w:pPr>
              <w:rPr>
                <w:rFonts w:cstheme="minorHAnsi"/>
              </w:rPr>
            </w:pPr>
            <w:r w:rsidRPr="0099711C">
              <w:rPr>
                <w:rFonts w:cstheme="minorHAnsi"/>
              </w:rPr>
              <w:t xml:space="preserve">Senior Program </w:t>
            </w:r>
            <w:r w:rsidR="0077583F" w:rsidRPr="0099711C">
              <w:rPr>
                <w:rFonts w:cstheme="minorHAnsi"/>
              </w:rPr>
              <w:t>Advisor, MAMPU</w:t>
            </w:r>
          </w:p>
        </w:tc>
      </w:tr>
      <w:tr w:rsidR="00EC1781" w:rsidRPr="0099711C" w14:paraId="1ADF8F59" w14:textId="77777777" w:rsidTr="005E637F">
        <w:tc>
          <w:tcPr>
            <w:tcW w:w="3114" w:type="dxa"/>
          </w:tcPr>
          <w:p w14:paraId="1BFF4E32" w14:textId="77777777" w:rsidR="00EC1781" w:rsidRPr="0099711C" w:rsidRDefault="00EC1781" w:rsidP="005E637F">
            <w:pPr>
              <w:rPr>
                <w:rFonts w:cstheme="minorHAnsi"/>
              </w:rPr>
            </w:pPr>
            <w:r w:rsidRPr="0099711C">
              <w:rPr>
                <w:rFonts w:cstheme="minorHAnsi"/>
              </w:rPr>
              <w:t>Kris</w:t>
            </w:r>
          </w:p>
        </w:tc>
        <w:tc>
          <w:tcPr>
            <w:tcW w:w="5902" w:type="dxa"/>
          </w:tcPr>
          <w:p w14:paraId="2C67882A" w14:textId="77777777" w:rsidR="00EC1781" w:rsidRPr="0099711C" w:rsidRDefault="00EC1781" w:rsidP="005E637F">
            <w:pPr>
              <w:rPr>
                <w:rFonts w:cstheme="minorHAnsi"/>
              </w:rPr>
            </w:pPr>
            <w:r w:rsidRPr="0099711C">
              <w:rPr>
                <w:rFonts w:cstheme="minorHAnsi"/>
              </w:rPr>
              <w:t>MAMPU - Finance</w:t>
            </w:r>
          </w:p>
        </w:tc>
      </w:tr>
      <w:tr w:rsidR="00EC1781" w:rsidRPr="0099711C" w14:paraId="5D52EB2C" w14:textId="77777777" w:rsidTr="005E637F">
        <w:tc>
          <w:tcPr>
            <w:tcW w:w="3114" w:type="dxa"/>
          </w:tcPr>
          <w:p w14:paraId="0D8B05E1" w14:textId="77777777" w:rsidR="00EC1781" w:rsidRPr="0099711C" w:rsidRDefault="00EC1781" w:rsidP="005E637F">
            <w:pPr>
              <w:rPr>
                <w:rFonts w:cstheme="minorHAnsi"/>
              </w:rPr>
            </w:pPr>
            <w:r w:rsidRPr="0099711C">
              <w:rPr>
                <w:rFonts w:cstheme="minorHAnsi"/>
              </w:rPr>
              <w:t>Widya</w:t>
            </w:r>
          </w:p>
        </w:tc>
        <w:tc>
          <w:tcPr>
            <w:tcW w:w="5902" w:type="dxa"/>
          </w:tcPr>
          <w:p w14:paraId="296D3339" w14:textId="77777777" w:rsidR="00EC1781" w:rsidRPr="0099711C" w:rsidRDefault="00EC1781" w:rsidP="005E637F">
            <w:pPr>
              <w:rPr>
                <w:rFonts w:cstheme="minorHAnsi"/>
              </w:rPr>
            </w:pPr>
            <w:r w:rsidRPr="0099711C">
              <w:rPr>
                <w:rFonts w:cstheme="minorHAnsi"/>
              </w:rPr>
              <w:t xml:space="preserve">MAMPU - </w:t>
            </w:r>
          </w:p>
        </w:tc>
      </w:tr>
      <w:tr w:rsidR="00EC1781" w:rsidRPr="0099711C" w14:paraId="14B7A453" w14:textId="77777777" w:rsidTr="005E637F">
        <w:tc>
          <w:tcPr>
            <w:tcW w:w="3114" w:type="dxa"/>
          </w:tcPr>
          <w:p w14:paraId="5114CC2D" w14:textId="77777777" w:rsidR="00EC1781" w:rsidRPr="0099711C" w:rsidRDefault="00EC1781" w:rsidP="005E637F">
            <w:pPr>
              <w:rPr>
                <w:rFonts w:cstheme="minorHAnsi"/>
              </w:rPr>
            </w:pPr>
          </w:p>
        </w:tc>
        <w:tc>
          <w:tcPr>
            <w:tcW w:w="5902" w:type="dxa"/>
          </w:tcPr>
          <w:p w14:paraId="25E9C858" w14:textId="77777777" w:rsidR="00EC1781" w:rsidRPr="0099711C" w:rsidRDefault="00EC1781" w:rsidP="005E637F">
            <w:pPr>
              <w:rPr>
                <w:rFonts w:cstheme="minorHAnsi"/>
              </w:rPr>
            </w:pPr>
            <w:r w:rsidRPr="0099711C">
              <w:rPr>
                <w:rFonts w:cstheme="minorHAnsi"/>
              </w:rPr>
              <w:t>MAMPU</w:t>
            </w:r>
          </w:p>
        </w:tc>
      </w:tr>
      <w:tr w:rsidR="00EC1781" w:rsidRPr="0099711C" w14:paraId="30A20825" w14:textId="77777777" w:rsidTr="005E637F">
        <w:tc>
          <w:tcPr>
            <w:tcW w:w="3114" w:type="dxa"/>
          </w:tcPr>
          <w:p w14:paraId="6427BB26" w14:textId="77777777" w:rsidR="00EC1781" w:rsidRPr="0099711C" w:rsidRDefault="00EC1781" w:rsidP="005E637F">
            <w:pPr>
              <w:rPr>
                <w:rFonts w:cstheme="minorHAnsi"/>
              </w:rPr>
            </w:pPr>
            <w:r w:rsidRPr="0099711C">
              <w:rPr>
                <w:rFonts w:cstheme="minorHAnsi"/>
              </w:rPr>
              <w:t>Ayu Bulan</w:t>
            </w:r>
          </w:p>
        </w:tc>
        <w:tc>
          <w:tcPr>
            <w:tcW w:w="5902" w:type="dxa"/>
          </w:tcPr>
          <w:p w14:paraId="63438714" w14:textId="77777777" w:rsidR="00EC1781" w:rsidRPr="0099711C" w:rsidRDefault="00EC1781" w:rsidP="005E637F">
            <w:pPr>
              <w:rPr>
                <w:rFonts w:cstheme="minorHAnsi"/>
              </w:rPr>
            </w:pPr>
            <w:r w:rsidRPr="0099711C">
              <w:rPr>
                <w:rFonts w:cstheme="minorHAnsi"/>
              </w:rPr>
              <w:t>MAMPU</w:t>
            </w:r>
          </w:p>
        </w:tc>
      </w:tr>
      <w:tr w:rsidR="00EC1781" w:rsidRPr="0099711C" w14:paraId="3C2F79A9" w14:textId="77777777" w:rsidTr="005E637F">
        <w:tc>
          <w:tcPr>
            <w:tcW w:w="3114" w:type="dxa"/>
          </w:tcPr>
          <w:p w14:paraId="531F5346" w14:textId="77777777" w:rsidR="00EC1781" w:rsidRPr="0099711C" w:rsidRDefault="00EC1781" w:rsidP="005E637F">
            <w:pPr>
              <w:rPr>
                <w:rFonts w:cstheme="minorHAnsi"/>
              </w:rPr>
            </w:pPr>
            <w:r w:rsidRPr="0099711C">
              <w:rPr>
                <w:rFonts w:cstheme="minorHAnsi"/>
              </w:rPr>
              <w:t>Radiya Tirta</w:t>
            </w:r>
          </w:p>
        </w:tc>
        <w:tc>
          <w:tcPr>
            <w:tcW w:w="5902" w:type="dxa"/>
          </w:tcPr>
          <w:p w14:paraId="73CA8A7B" w14:textId="77777777" w:rsidR="00EC1781" w:rsidRPr="0099711C" w:rsidRDefault="00EC1781" w:rsidP="005E637F">
            <w:pPr>
              <w:rPr>
                <w:rFonts w:cstheme="minorHAnsi"/>
              </w:rPr>
            </w:pPr>
            <w:r w:rsidRPr="0099711C">
              <w:rPr>
                <w:rFonts w:cstheme="minorHAnsi"/>
              </w:rPr>
              <w:t>MAMPU</w:t>
            </w:r>
          </w:p>
        </w:tc>
      </w:tr>
      <w:tr w:rsidR="00EC1781" w:rsidRPr="0099711C" w14:paraId="2B42B312" w14:textId="77777777" w:rsidTr="005E637F">
        <w:tc>
          <w:tcPr>
            <w:tcW w:w="3114" w:type="dxa"/>
          </w:tcPr>
          <w:p w14:paraId="045B0E4E" w14:textId="77777777" w:rsidR="00EC1781" w:rsidRPr="0099711C" w:rsidRDefault="00EC1781" w:rsidP="005E637F">
            <w:pPr>
              <w:rPr>
                <w:rFonts w:cstheme="minorHAnsi"/>
              </w:rPr>
            </w:pPr>
            <w:r w:rsidRPr="0099711C">
              <w:rPr>
                <w:rFonts w:cstheme="minorHAnsi"/>
              </w:rPr>
              <w:t>S. Astutik</w:t>
            </w:r>
          </w:p>
        </w:tc>
        <w:tc>
          <w:tcPr>
            <w:tcW w:w="5902" w:type="dxa"/>
          </w:tcPr>
          <w:p w14:paraId="34408BDF" w14:textId="77777777" w:rsidR="00EC1781" w:rsidRPr="0099711C" w:rsidRDefault="00EC1781" w:rsidP="005E637F">
            <w:pPr>
              <w:rPr>
                <w:rFonts w:cstheme="minorHAnsi"/>
              </w:rPr>
            </w:pPr>
            <w:r w:rsidRPr="0099711C">
              <w:rPr>
                <w:rFonts w:cstheme="minorHAnsi"/>
              </w:rPr>
              <w:t>MAMPU</w:t>
            </w:r>
          </w:p>
        </w:tc>
      </w:tr>
      <w:tr w:rsidR="00EC1781" w:rsidRPr="0099711C" w14:paraId="19653171" w14:textId="77777777" w:rsidTr="005E637F">
        <w:tc>
          <w:tcPr>
            <w:tcW w:w="3114" w:type="dxa"/>
          </w:tcPr>
          <w:p w14:paraId="38DC70D6" w14:textId="77777777" w:rsidR="00EC1781" w:rsidRPr="0099711C" w:rsidRDefault="00EC1781" w:rsidP="005E637F">
            <w:pPr>
              <w:rPr>
                <w:rFonts w:cstheme="minorHAnsi"/>
              </w:rPr>
            </w:pPr>
            <w:r w:rsidRPr="0099711C">
              <w:rPr>
                <w:rFonts w:cstheme="minorHAnsi"/>
              </w:rPr>
              <w:t>Qorihani</w:t>
            </w:r>
          </w:p>
        </w:tc>
        <w:tc>
          <w:tcPr>
            <w:tcW w:w="5902" w:type="dxa"/>
          </w:tcPr>
          <w:p w14:paraId="7BE19D87" w14:textId="77777777" w:rsidR="00EC1781" w:rsidRPr="0099711C" w:rsidRDefault="00EC1781" w:rsidP="005E637F">
            <w:pPr>
              <w:rPr>
                <w:rFonts w:cstheme="minorHAnsi"/>
              </w:rPr>
            </w:pPr>
            <w:r w:rsidRPr="0099711C">
              <w:rPr>
                <w:rFonts w:cstheme="minorHAnsi"/>
              </w:rPr>
              <w:t>MAMPU</w:t>
            </w:r>
          </w:p>
        </w:tc>
      </w:tr>
      <w:tr w:rsidR="00EC1781" w:rsidRPr="0099711C" w14:paraId="6A9325EF" w14:textId="77777777" w:rsidTr="005E637F">
        <w:tc>
          <w:tcPr>
            <w:tcW w:w="3114" w:type="dxa"/>
          </w:tcPr>
          <w:p w14:paraId="5A267705" w14:textId="6A767BAB" w:rsidR="00EC1781" w:rsidRPr="0099711C" w:rsidRDefault="00EC1781" w:rsidP="00784EB2">
            <w:pPr>
              <w:rPr>
                <w:rFonts w:cstheme="minorHAnsi"/>
              </w:rPr>
            </w:pPr>
            <w:r w:rsidRPr="0099711C">
              <w:rPr>
                <w:rFonts w:cstheme="minorHAnsi"/>
              </w:rPr>
              <w:t>Rosinta Situmoran</w:t>
            </w:r>
            <w:r w:rsidR="00784EB2">
              <w:rPr>
                <w:rFonts w:cstheme="minorHAnsi"/>
              </w:rPr>
              <w:t>g</w:t>
            </w:r>
          </w:p>
        </w:tc>
        <w:tc>
          <w:tcPr>
            <w:tcW w:w="5902" w:type="dxa"/>
          </w:tcPr>
          <w:p w14:paraId="10B0D2C9" w14:textId="77777777" w:rsidR="00EC1781" w:rsidRPr="0099711C" w:rsidRDefault="00EC1781" w:rsidP="005E637F">
            <w:pPr>
              <w:rPr>
                <w:rFonts w:cstheme="minorHAnsi"/>
              </w:rPr>
            </w:pPr>
            <w:r w:rsidRPr="0099711C">
              <w:rPr>
                <w:rFonts w:cstheme="minorHAnsi"/>
              </w:rPr>
              <w:t>MAMPU</w:t>
            </w:r>
          </w:p>
        </w:tc>
      </w:tr>
      <w:tr w:rsidR="00EC1781" w:rsidRPr="0099711C" w14:paraId="698C7BA1" w14:textId="77777777" w:rsidTr="005E637F">
        <w:tc>
          <w:tcPr>
            <w:tcW w:w="3114" w:type="dxa"/>
          </w:tcPr>
          <w:p w14:paraId="2A233584" w14:textId="77777777" w:rsidR="00EC1781" w:rsidRPr="0099711C" w:rsidRDefault="00EC1781" w:rsidP="005E637F">
            <w:pPr>
              <w:rPr>
                <w:rFonts w:cstheme="minorHAnsi"/>
              </w:rPr>
            </w:pPr>
            <w:r w:rsidRPr="0099711C">
              <w:rPr>
                <w:rFonts w:cstheme="minorHAnsi"/>
              </w:rPr>
              <w:t>KT Acit Sukahame</w:t>
            </w:r>
          </w:p>
        </w:tc>
        <w:tc>
          <w:tcPr>
            <w:tcW w:w="5902" w:type="dxa"/>
          </w:tcPr>
          <w:p w14:paraId="23C8CDD0" w14:textId="77777777" w:rsidR="00EC1781" w:rsidRPr="0099711C" w:rsidRDefault="00EC1781" w:rsidP="005E637F">
            <w:pPr>
              <w:rPr>
                <w:rFonts w:cstheme="minorHAnsi"/>
              </w:rPr>
            </w:pPr>
            <w:r w:rsidRPr="0099711C">
              <w:rPr>
                <w:rFonts w:cstheme="minorHAnsi"/>
              </w:rPr>
              <w:t>MAMPU</w:t>
            </w:r>
          </w:p>
        </w:tc>
      </w:tr>
      <w:tr w:rsidR="00EC1781" w:rsidRPr="0099711C" w14:paraId="3189941C" w14:textId="77777777" w:rsidTr="005E637F">
        <w:tc>
          <w:tcPr>
            <w:tcW w:w="3114" w:type="dxa"/>
          </w:tcPr>
          <w:p w14:paraId="4D6FABE0" w14:textId="77777777" w:rsidR="00EC1781" w:rsidRPr="0099711C" w:rsidRDefault="00EC1781" w:rsidP="005E637F">
            <w:pPr>
              <w:rPr>
                <w:rFonts w:cstheme="minorHAnsi"/>
              </w:rPr>
            </w:pPr>
            <w:r w:rsidRPr="0099711C">
              <w:rPr>
                <w:rFonts w:cstheme="minorHAnsi"/>
              </w:rPr>
              <w:t>Damaris Tnunax</w:t>
            </w:r>
          </w:p>
        </w:tc>
        <w:tc>
          <w:tcPr>
            <w:tcW w:w="5902" w:type="dxa"/>
          </w:tcPr>
          <w:p w14:paraId="502188CA" w14:textId="77777777" w:rsidR="00EC1781" w:rsidRPr="0099711C" w:rsidRDefault="00EC1781" w:rsidP="005E637F">
            <w:pPr>
              <w:rPr>
                <w:rFonts w:cstheme="minorHAnsi"/>
              </w:rPr>
            </w:pPr>
            <w:r w:rsidRPr="0099711C">
              <w:rPr>
                <w:rFonts w:cstheme="minorHAnsi"/>
              </w:rPr>
              <w:t>MAMPU</w:t>
            </w:r>
          </w:p>
        </w:tc>
      </w:tr>
      <w:tr w:rsidR="00EC1781" w:rsidRPr="0099711C" w14:paraId="16C24A98" w14:textId="77777777" w:rsidTr="005E637F">
        <w:tc>
          <w:tcPr>
            <w:tcW w:w="3114" w:type="dxa"/>
          </w:tcPr>
          <w:p w14:paraId="0603D124" w14:textId="77777777" w:rsidR="00EC1781" w:rsidRPr="0099711C" w:rsidRDefault="00EC1781" w:rsidP="005E637F">
            <w:pPr>
              <w:rPr>
                <w:rFonts w:cstheme="minorHAnsi"/>
              </w:rPr>
            </w:pPr>
            <w:r w:rsidRPr="0099711C">
              <w:rPr>
                <w:rFonts w:cstheme="minorHAnsi"/>
              </w:rPr>
              <w:t>Ch Shirta Widimulyani</w:t>
            </w:r>
          </w:p>
        </w:tc>
        <w:tc>
          <w:tcPr>
            <w:tcW w:w="5902" w:type="dxa"/>
          </w:tcPr>
          <w:p w14:paraId="5B7AF2D2" w14:textId="77777777" w:rsidR="00EC1781" w:rsidRPr="0099711C" w:rsidRDefault="00EC1781" w:rsidP="005E637F">
            <w:pPr>
              <w:rPr>
                <w:rFonts w:cstheme="minorHAnsi"/>
              </w:rPr>
            </w:pPr>
            <w:r w:rsidRPr="0099711C">
              <w:rPr>
                <w:rFonts w:cstheme="minorHAnsi"/>
              </w:rPr>
              <w:t>MAMPU</w:t>
            </w:r>
          </w:p>
        </w:tc>
      </w:tr>
      <w:tr w:rsidR="00EC1781" w:rsidRPr="0099711C" w14:paraId="1EADA762" w14:textId="77777777" w:rsidTr="005E637F">
        <w:tc>
          <w:tcPr>
            <w:tcW w:w="3114" w:type="dxa"/>
          </w:tcPr>
          <w:p w14:paraId="36B456B3" w14:textId="77777777" w:rsidR="00EC1781" w:rsidRPr="0099711C" w:rsidRDefault="00EC1781" w:rsidP="005E637F">
            <w:pPr>
              <w:rPr>
                <w:rFonts w:cstheme="minorHAnsi"/>
              </w:rPr>
            </w:pPr>
            <w:r w:rsidRPr="0099711C">
              <w:rPr>
                <w:rFonts w:cstheme="minorHAnsi"/>
              </w:rPr>
              <w:t>Francisca Widayati</w:t>
            </w:r>
          </w:p>
        </w:tc>
        <w:tc>
          <w:tcPr>
            <w:tcW w:w="5902" w:type="dxa"/>
          </w:tcPr>
          <w:p w14:paraId="3F6EF4AF" w14:textId="77777777" w:rsidR="00EC1781" w:rsidRPr="0099711C" w:rsidRDefault="00EC1781" w:rsidP="005E637F">
            <w:pPr>
              <w:rPr>
                <w:rFonts w:cstheme="minorHAnsi"/>
              </w:rPr>
            </w:pPr>
            <w:r w:rsidRPr="0099711C">
              <w:rPr>
                <w:rFonts w:cstheme="minorHAnsi"/>
              </w:rPr>
              <w:t>MAMPU</w:t>
            </w:r>
          </w:p>
        </w:tc>
      </w:tr>
      <w:tr w:rsidR="00EC1781" w:rsidRPr="0099711C" w14:paraId="096F9548" w14:textId="77777777" w:rsidTr="005E637F">
        <w:tc>
          <w:tcPr>
            <w:tcW w:w="3114" w:type="dxa"/>
          </w:tcPr>
          <w:p w14:paraId="06FB0ADC" w14:textId="77777777" w:rsidR="00EC1781" w:rsidRPr="0099711C" w:rsidRDefault="00EC1781" w:rsidP="005E637F">
            <w:pPr>
              <w:rPr>
                <w:rFonts w:cstheme="minorHAnsi"/>
              </w:rPr>
            </w:pPr>
            <w:r w:rsidRPr="0099711C">
              <w:rPr>
                <w:rFonts w:cstheme="minorHAnsi"/>
              </w:rPr>
              <w:t>Amelia Lora</w:t>
            </w:r>
          </w:p>
        </w:tc>
        <w:tc>
          <w:tcPr>
            <w:tcW w:w="5902" w:type="dxa"/>
          </w:tcPr>
          <w:p w14:paraId="67DC4C7F" w14:textId="77777777" w:rsidR="00EC1781" w:rsidRPr="0099711C" w:rsidRDefault="00EC1781" w:rsidP="005E637F">
            <w:pPr>
              <w:rPr>
                <w:rFonts w:cstheme="minorHAnsi"/>
              </w:rPr>
            </w:pPr>
            <w:r w:rsidRPr="0099711C">
              <w:rPr>
                <w:rFonts w:cstheme="minorHAnsi"/>
              </w:rPr>
              <w:t>MAMPU</w:t>
            </w:r>
          </w:p>
        </w:tc>
      </w:tr>
      <w:tr w:rsidR="00EC1781" w:rsidRPr="0099711C" w14:paraId="2E89708B" w14:textId="77777777" w:rsidTr="005E637F">
        <w:tc>
          <w:tcPr>
            <w:tcW w:w="3114" w:type="dxa"/>
          </w:tcPr>
          <w:p w14:paraId="18BEA946" w14:textId="77777777" w:rsidR="00EC1781" w:rsidRPr="0099711C" w:rsidRDefault="00EC1781" w:rsidP="005E637F">
            <w:pPr>
              <w:rPr>
                <w:rFonts w:cstheme="minorHAnsi"/>
              </w:rPr>
            </w:pPr>
            <w:r w:rsidRPr="0099711C">
              <w:rPr>
                <w:rFonts w:cstheme="minorHAnsi"/>
              </w:rPr>
              <w:t>Eva Kurniati</w:t>
            </w:r>
          </w:p>
        </w:tc>
        <w:tc>
          <w:tcPr>
            <w:tcW w:w="5902" w:type="dxa"/>
          </w:tcPr>
          <w:p w14:paraId="6570AC28" w14:textId="77777777" w:rsidR="00EC1781" w:rsidRPr="0099711C" w:rsidRDefault="00EC1781" w:rsidP="005E637F">
            <w:pPr>
              <w:rPr>
                <w:rFonts w:cstheme="minorHAnsi"/>
              </w:rPr>
            </w:pPr>
            <w:r w:rsidRPr="0099711C">
              <w:rPr>
                <w:rFonts w:cstheme="minorHAnsi"/>
              </w:rPr>
              <w:t>MAMPU</w:t>
            </w:r>
          </w:p>
        </w:tc>
      </w:tr>
      <w:tr w:rsidR="00EC1781" w:rsidRPr="0099711C" w14:paraId="5F28E5B2" w14:textId="77777777" w:rsidTr="005E637F">
        <w:tc>
          <w:tcPr>
            <w:tcW w:w="3114" w:type="dxa"/>
          </w:tcPr>
          <w:p w14:paraId="69AF618E" w14:textId="77777777" w:rsidR="00EC1781" w:rsidRPr="0099711C" w:rsidRDefault="00EC1781" w:rsidP="005E637F">
            <w:pPr>
              <w:rPr>
                <w:rFonts w:cstheme="minorHAnsi"/>
              </w:rPr>
            </w:pPr>
            <w:r w:rsidRPr="0099711C">
              <w:rPr>
                <w:rFonts w:cstheme="minorHAnsi"/>
              </w:rPr>
              <w:t>Meia Siano</w:t>
            </w:r>
          </w:p>
        </w:tc>
        <w:tc>
          <w:tcPr>
            <w:tcW w:w="5902" w:type="dxa"/>
          </w:tcPr>
          <w:p w14:paraId="083E755B" w14:textId="77777777" w:rsidR="00EC1781" w:rsidRPr="0099711C" w:rsidRDefault="00EC1781" w:rsidP="005E637F">
            <w:pPr>
              <w:rPr>
                <w:rFonts w:cstheme="minorHAnsi"/>
              </w:rPr>
            </w:pPr>
            <w:r w:rsidRPr="0099711C">
              <w:rPr>
                <w:rFonts w:cstheme="minorHAnsi"/>
              </w:rPr>
              <w:t>MAMPU</w:t>
            </w:r>
          </w:p>
        </w:tc>
      </w:tr>
      <w:tr w:rsidR="00EC1781" w:rsidRPr="0099711C" w14:paraId="1B9EAF9A" w14:textId="77777777" w:rsidTr="005E637F">
        <w:tc>
          <w:tcPr>
            <w:tcW w:w="3114" w:type="dxa"/>
          </w:tcPr>
          <w:p w14:paraId="3F00BC00" w14:textId="77777777" w:rsidR="00EC1781" w:rsidRPr="0099711C" w:rsidRDefault="00EC1781" w:rsidP="005E637F">
            <w:pPr>
              <w:rPr>
                <w:rFonts w:cstheme="minorHAnsi"/>
              </w:rPr>
            </w:pPr>
            <w:r w:rsidRPr="0099711C">
              <w:rPr>
                <w:rFonts w:cstheme="minorHAnsi"/>
              </w:rPr>
              <w:t>Tria Lakshmi</w:t>
            </w:r>
          </w:p>
        </w:tc>
        <w:tc>
          <w:tcPr>
            <w:tcW w:w="5902" w:type="dxa"/>
          </w:tcPr>
          <w:p w14:paraId="1A3919C7" w14:textId="77777777" w:rsidR="00EC1781" w:rsidRPr="0099711C" w:rsidRDefault="00EC1781" w:rsidP="005E637F">
            <w:pPr>
              <w:rPr>
                <w:rFonts w:cstheme="minorHAnsi"/>
              </w:rPr>
            </w:pPr>
            <w:r w:rsidRPr="0099711C">
              <w:rPr>
                <w:rFonts w:cstheme="minorHAnsi"/>
              </w:rPr>
              <w:t>MAMPU</w:t>
            </w:r>
          </w:p>
        </w:tc>
      </w:tr>
      <w:tr w:rsidR="00EC1781" w:rsidRPr="0099711C" w14:paraId="2A6E41D2" w14:textId="77777777" w:rsidTr="005E637F">
        <w:tc>
          <w:tcPr>
            <w:tcW w:w="3114" w:type="dxa"/>
          </w:tcPr>
          <w:p w14:paraId="31C36549" w14:textId="77777777" w:rsidR="00EC1781" w:rsidRPr="0099711C" w:rsidRDefault="00EC1781" w:rsidP="005E637F">
            <w:pPr>
              <w:rPr>
                <w:rFonts w:cstheme="minorHAnsi"/>
              </w:rPr>
            </w:pPr>
            <w:r w:rsidRPr="0099711C">
              <w:rPr>
                <w:rFonts w:cstheme="minorHAnsi"/>
              </w:rPr>
              <w:t>Agung Prahasto</w:t>
            </w:r>
          </w:p>
        </w:tc>
        <w:tc>
          <w:tcPr>
            <w:tcW w:w="5902" w:type="dxa"/>
          </w:tcPr>
          <w:p w14:paraId="30118028" w14:textId="77777777" w:rsidR="00EC1781" w:rsidRPr="0099711C" w:rsidRDefault="00EC1781" w:rsidP="005E637F">
            <w:pPr>
              <w:rPr>
                <w:rFonts w:cstheme="minorHAnsi"/>
              </w:rPr>
            </w:pPr>
            <w:r w:rsidRPr="0099711C">
              <w:rPr>
                <w:rFonts w:cstheme="minorHAnsi"/>
              </w:rPr>
              <w:t>MAMPU</w:t>
            </w:r>
          </w:p>
        </w:tc>
      </w:tr>
      <w:tr w:rsidR="00EC1781" w:rsidRPr="0099711C" w14:paraId="48F1E06C" w14:textId="77777777" w:rsidTr="005E637F">
        <w:tc>
          <w:tcPr>
            <w:tcW w:w="3114" w:type="dxa"/>
          </w:tcPr>
          <w:p w14:paraId="62DFCD1C" w14:textId="77777777" w:rsidR="00EC1781" w:rsidRPr="0099711C" w:rsidRDefault="00EC1781" w:rsidP="005E637F">
            <w:pPr>
              <w:rPr>
                <w:rFonts w:cstheme="minorHAnsi"/>
              </w:rPr>
            </w:pPr>
            <w:r w:rsidRPr="0099711C">
              <w:rPr>
                <w:rFonts w:cstheme="minorHAnsi"/>
              </w:rPr>
              <w:t>Dyana Hutadjulu</w:t>
            </w:r>
          </w:p>
        </w:tc>
        <w:tc>
          <w:tcPr>
            <w:tcW w:w="5902" w:type="dxa"/>
          </w:tcPr>
          <w:p w14:paraId="3ECC9160" w14:textId="77777777" w:rsidR="00EC1781" w:rsidRPr="0099711C" w:rsidRDefault="00EC1781" w:rsidP="005E637F">
            <w:pPr>
              <w:rPr>
                <w:rFonts w:cstheme="minorHAnsi"/>
              </w:rPr>
            </w:pPr>
            <w:r w:rsidRPr="0099711C">
              <w:rPr>
                <w:rFonts w:cstheme="minorHAnsi"/>
              </w:rPr>
              <w:t>MAMPU</w:t>
            </w:r>
          </w:p>
        </w:tc>
      </w:tr>
      <w:tr w:rsidR="00EC1781" w:rsidRPr="0099711C" w14:paraId="5E5BEB08" w14:textId="77777777" w:rsidTr="005E637F">
        <w:tc>
          <w:tcPr>
            <w:tcW w:w="3114" w:type="dxa"/>
          </w:tcPr>
          <w:p w14:paraId="023B7331" w14:textId="77777777" w:rsidR="00EC1781" w:rsidRPr="0099711C" w:rsidRDefault="00EC1781" w:rsidP="005E637F">
            <w:pPr>
              <w:rPr>
                <w:rFonts w:cstheme="minorHAnsi"/>
              </w:rPr>
            </w:pPr>
            <w:r w:rsidRPr="0099711C">
              <w:rPr>
                <w:rFonts w:cstheme="minorHAnsi"/>
              </w:rPr>
              <w:t>Theresia Damayanti</w:t>
            </w:r>
          </w:p>
        </w:tc>
        <w:tc>
          <w:tcPr>
            <w:tcW w:w="5902" w:type="dxa"/>
          </w:tcPr>
          <w:p w14:paraId="3DBEDE1E" w14:textId="77777777" w:rsidR="00EC1781" w:rsidRPr="0099711C" w:rsidRDefault="00EC1781" w:rsidP="005E637F">
            <w:pPr>
              <w:rPr>
                <w:rFonts w:cstheme="minorHAnsi"/>
              </w:rPr>
            </w:pPr>
            <w:r w:rsidRPr="0099711C">
              <w:rPr>
                <w:rFonts w:cstheme="minorHAnsi"/>
              </w:rPr>
              <w:t>MAMPU</w:t>
            </w:r>
          </w:p>
        </w:tc>
      </w:tr>
      <w:tr w:rsidR="00EC1781" w:rsidRPr="0099711C" w14:paraId="39CE7466" w14:textId="77777777" w:rsidTr="005E637F">
        <w:tc>
          <w:tcPr>
            <w:tcW w:w="3114" w:type="dxa"/>
          </w:tcPr>
          <w:p w14:paraId="0754835A" w14:textId="77777777" w:rsidR="00EC1781" w:rsidRPr="0099711C" w:rsidRDefault="00EC1781" w:rsidP="005E637F">
            <w:pPr>
              <w:rPr>
                <w:rFonts w:cstheme="minorHAnsi"/>
              </w:rPr>
            </w:pPr>
            <w:r w:rsidRPr="0099711C">
              <w:rPr>
                <w:rFonts w:cstheme="minorHAnsi"/>
              </w:rPr>
              <w:t>Atik Dewi</w:t>
            </w:r>
          </w:p>
        </w:tc>
        <w:tc>
          <w:tcPr>
            <w:tcW w:w="5902" w:type="dxa"/>
          </w:tcPr>
          <w:p w14:paraId="503FC752" w14:textId="77777777" w:rsidR="00EC1781" w:rsidRPr="0099711C" w:rsidRDefault="00EC1781" w:rsidP="005E637F">
            <w:pPr>
              <w:rPr>
                <w:rFonts w:cstheme="minorHAnsi"/>
              </w:rPr>
            </w:pPr>
            <w:r w:rsidRPr="0099711C">
              <w:rPr>
                <w:rFonts w:cstheme="minorHAnsi"/>
              </w:rPr>
              <w:t>MAMPU</w:t>
            </w:r>
          </w:p>
        </w:tc>
      </w:tr>
      <w:tr w:rsidR="00EC1781" w:rsidRPr="0099711C" w14:paraId="764A4C5B" w14:textId="77777777" w:rsidTr="005E637F">
        <w:tc>
          <w:tcPr>
            <w:tcW w:w="3114" w:type="dxa"/>
          </w:tcPr>
          <w:p w14:paraId="40543E34" w14:textId="77777777" w:rsidR="00EC1781" w:rsidRPr="0099711C" w:rsidRDefault="00EC1781" w:rsidP="005E637F">
            <w:pPr>
              <w:rPr>
                <w:rFonts w:cstheme="minorHAnsi"/>
              </w:rPr>
            </w:pPr>
            <w:r w:rsidRPr="0099711C">
              <w:rPr>
                <w:rFonts w:cstheme="minorHAnsi"/>
              </w:rPr>
              <w:t>Jan Edwards</w:t>
            </w:r>
          </w:p>
        </w:tc>
        <w:tc>
          <w:tcPr>
            <w:tcW w:w="5902" w:type="dxa"/>
          </w:tcPr>
          <w:p w14:paraId="7AE31FDD" w14:textId="77777777" w:rsidR="00EC1781" w:rsidRPr="0099711C" w:rsidRDefault="00EC1781" w:rsidP="005E637F">
            <w:pPr>
              <w:rPr>
                <w:rFonts w:cstheme="minorHAnsi"/>
              </w:rPr>
            </w:pPr>
            <w:r w:rsidRPr="0099711C">
              <w:rPr>
                <w:rFonts w:cstheme="minorHAnsi"/>
              </w:rPr>
              <w:t>KIAT – deputy director GESI and CE</w:t>
            </w:r>
          </w:p>
        </w:tc>
      </w:tr>
      <w:tr w:rsidR="00EC1781" w:rsidRPr="0099711C" w14:paraId="440ABB9F" w14:textId="77777777" w:rsidTr="005E637F">
        <w:tc>
          <w:tcPr>
            <w:tcW w:w="3114" w:type="dxa"/>
          </w:tcPr>
          <w:p w14:paraId="1B602EA1" w14:textId="77777777" w:rsidR="00EC1781" w:rsidRPr="0099711C" w:rsidRDefault="00EC1781" w:rsidP="005E637F">
            <w:pPr>
              <w:rPr>
                <w:rFonts w:cstheme="minorHAnsi"/>
              </w:rPr>
            </w:pPr>
            <w:r w:rsidRPr="0099711C">
              <w:rPr>
                <w:rFonts w:cstheme="minorHAnsi"/>
              </w:rPr>
              <w:t>Ruhanawati</w:t>
            </w:r>
          </w:p>
        </w:tc>
        <w:tc>
          <w:tcPr>
            <w:tcW w:w="5902" w:type="dxa"/>
          </w:tcPr>
          <w:p w14:paraId="53E99BCC" w14:textId="77777777" w:rsidR="00EC1781" w:rsidRPr="0099711C" w:rsidRDefault="00EC1781" w:rsidP="005E637F">
            <w:pPr>
              <w:rPr>
                <w:rFonts w:cstheme="minorHAnsi"/>
              </w:rPr>
            </w:pPr>
            <w:r w:rsidRPr="0099711C">
              <w:rPr>
                <w:rFonts w:cstheme="minorHAnsi"/>
              </w:rPr>
              <w:t>KIAT – GESI and CE officer</w:t>
            </w:r>
          </w:p>
        </w:tc>
      </w:tr>
      <w:tr w:rsidR="00EC1781" w:rsidRPr="0099711C" w14:paraId="27571BC6" w14:textId="77777777" w:rsidTr="005E637F">
        <w:tc>
          <w:tcPr>
            <w:tcW w:w="3114" w:type="dxa"/>
          </w:tcPr>
          <w:p w14:paraId="59DC0625" w14:textId="77777777" w:rsidR="00EC1781" w:rsidRPr="0099711C" w:rsidRDefault="00EC1781" w:rsidP="005E637F">
            <w:pPr>
              <w:rPr>
                <w:rFonts w:cstheme="minorHAnsi"/>
              </w:rPr>
            </w:pPr>
            <w:r w:rsidRPr="0099711C">
              <w:rPr>
                <w:rFonts w:cstheme="minorHAnsi"/>
              </w:rPr>
              <w:t>Niken Dita Larasati</w:t>
            </w:r>
          </w:p>
        </w:tc>
        <w:tc>
          <w:tcPr>
            <w:tcW w:w="5902" w:type="dxa"/>
          </w:tcPr>
          <w:p w14:paraId="68E4A9E8" w14:textId="77777777" w:rsidR="00EC1781" w:rsidRPr="0099711C" w:rsidRDefault="00EC1781" w:rsidP="005E637F">
            <w:pPr>
              <w:rPr>
                <w:rFonts w:cstheme="minorHAnsi"/>
                <w:highlight w:val="yellow"/>
              </w:rPr>
            </w:pPr>
            <w:r w:rsidRPr="00813019">
              <w:rPr>
                <w:rFonts w:cstheme="minorHAnsi"/>
              </w:rPr>
              <w:t>PRISMA</w:t>
            </w:r>
          </w:p>
        </w:tc>
      </w:tr>
      <w:tr w:rsidR="00EC1781" w:rsidRPr="0099711C" w14:paraId="03840B3A" w14:textId="77777777" w:rsidTr="005E637F">
        <w:tc>
          <w:tcPr>
            <w:tcW w:w="3114" w:type="dxa"/>
          </w:tcPr>
          <w:p w14:paraId="6BAF3BA6" w14:textId="77777777" w:rsidR="00EC1781" w:rsidRPr="0099711C" w:rsidRDefault="00EC1781" w:rsidP="005E637F">
            <w:pPr>
              <w:rPr>
                <w:rFonts w:cstheme="minorHAnsi"/>
              </w:rPr>
            </w:pPr>
            <w:r w:rsidRPr="0099711C">
              <w:rPr>
                <w:rFonts w:cstheme="minorHAnsi"/>
                <w:color w:val="000000" w:themeColor="text1"/>
              </w:rPr>
              <w:t xml:space="preserve">Lia Sciortino </w:t>
            </w:r>
          </w:p>
        </w:tc>
        <w:tc>
          <w:tcPr>
            <w:tcW w:w="5902" w:type="dxa"/>
          </w:tcPr>
          <w:p w14:paraId="3C903668" w14:textId="77777777" w:rsidR="00EC1781" w:rsidRPr="0099711C" w:rsidRDefault="00EC1781" w:rsidP="005E637F">
            <w:pPr>
              <w:rPr>
                <w:rFonts w:cstheme="minorHAnsi"/>
              </w:rPr>
            </w:pPr>
            <w:r w:rsidRPr="0099711C">
              <w:rPr>
                <w:rFonts w:cstheme="minorHAnsi"/>
                <w:color w:val="000000" w:themeColor="text1"/>
              </w:rPr>
              <w:t>Senior advisor for social development &amp; health, MAMPU</w:t>
            </w:r>
          </w:p>
        </w:tc>
      </w:tr>
      <w:tr w:rsidR="00EC1781" w:rsidRPr="0099711C" w14:paraId="56E8B14A" w14:textId="77777777" w:rsidTr="005E637F">
        <w:tc>
          <w:tcPr>
            <w:tcW w:w="3114" w:type="dxa"/>
          </w:tcPr>
          <w:p w14:paraId="7BAF6292" w14:textId="77777777" w:rsidR="00EC1781" w:rsidRPr="0099711C" w:rsidRDefault="00EC1781" w:rsidP="005E637F">
            <w:pPr>
              <w:rPr>
                <w:rFonts w:cstheme="minorHAnsi"/>
              </w:rPr>
            </w:pPr>
            <w:r w:rsidRPr="0099711C">
              <w:rPr>
                <w:rFonts w:cstheme="minorHAnsi"/>
                <w:color w:val="000000" w:themeColor="text1"/>
              </w:rPr>
              <w:t xml:space="preserve">Syafieq Hasyim  </w:t>
            </w:r>
          </w:p>
        </w:tc>
        <w:tc>
          <w:tcPr>
            <w:tcW w:w="5902" w:type="dxa"/>
          </w:tcPr>
          <w:p w14:paraId="12656537" w14:textId="1D2708DB" w:rsidR="00EC1781" w:rsidRPr="0099711C" w:rsidRDefault="00EC1781" w:rsidP="005E637F">
            <w:pPr>
              <w:rPr>
                <w:rFonts w:cstheme="minorHAnsi"/>
              </w:rPr>
            </w:pPr>
            <w:r w:rsidRPr="0099711C">
              <w:rPr>
                <w:rFonts w:cstheme="minorHAnsi"/>
                <w:color w:val="000000" w:themeColor="text1"/>
              </w:rPr>
              <w:t xml:space="preserve">Strategic advisor committee </w:t>
            </w:r>
            <w:r w:rsidR="0077583F" w:rsidRPr="0099711C">
              <w:rPr>
                <w:rFonts w:cstheme="minorHAnsi"/>
                <w:color w:val="000000" w:themeColor="text1"/>
              </w:rPr>
              <w:t>member, MAMPU</w:t>
            </w:r>
            <w:r w:rsidRPr="0099711C">
              <w:rPr>
                <w:rFonts w:cstheme="minorHAnsi"/>
                <w:color w:val="000000" w:themeColor="text1"/>
              </w:rPr>
              <w:t>,</w:t>
            </w:r>
          </w:p>
        </w:tc>
      </w:tr>
      <w:tr w:rsidR="00EC1781" w:rsidRPr="0099711C" w14:paraId="3718D809" w14:textId="77777777" w:rsidTr="005E637F">
        <w:tc>
          <w:tcPr>
            <w:tcW w:w="3114" w:type="dxa"/>
          </w:tcPr>
          <w:p w14:paraId="37E65A92" w14:textId="77777777" w:rsidR="00EC1781" w:rsidRPr="0099711C" w:rsidRDefault="00EC1781" w:rsidP="005E637F">
            <w:pPr>
              <w:rPr>
                <w:rFonts w:cstheme="minorHAnsi"/>
              </w:rPr>
            </w:pPr>
            <w:r w:rsidRPr="0099711C">
              <w:rPr>
                <w:rFonts w:cstheme="minorHAnsi"/>
              </w:rPr>
              <w:t xml:space="preserve">Gillian Brown </w:t>
            </w:r>
          </w:p>
        </w:tc>
        <w:tc>
          <w:tcPr>
            <w:tcW w:w="5902" w:type="dxa"/>
          </w:tcPr>
          <w:p w14:paraId="1B2D6217" w14:textId="77777777" w:rsidR="00EC1781" w:rsidRPr="0099711C" w:rsidRDefault="00EC1781" w:rsidP="005E637F">
            <w:pPr>
              <w:rPr>
                <w:rFonts w:cstheme="minorHAnsi"/>
              </w:rPr>
            </w:pPr>
            <w:r w:rsidRPr="0099711C">
              <w:rPr>
                <w:rFonts w:cstheme="minorHAnsi"/>
              </w:rPr>
              <w:t>senior advisor for women’s empowerment &amp; reducing violence against women, MAMPU</w:t>
            </w:r>
          </w:p>
        </w:tc>
      </w:tr>
      <w:tr w:rsidR="00EC1781" w:rsidRPr="0099711C" w14:paraId="015F9442" w14:textId="77777777" w:rsidTr="005E637F">
        <w:tc>
          <w:tcPr>
            <w:tcW w:w="3114" w:type="dxa"/>
          </w:tcPr>
          <w:p w14:paraId="4F249647" w14:textId="77777777" w:rsidR="00EC1781" w:rsidRPr="0099711C" w:rsidRDefault="00EC1781" w:rsidP="005E637F">
            <w:pPr>
              <w:rPr>
                <w:rFonts w:cstheme="minorHAnsi"/>
              </w:rPr>
            </w:pPr>
            <w:r>
              <w:rPr>
                <w:rFonts w:cstheme="minorHAnsi"/>
              </w:rPr>
              <w:t>Diane Brandt</w:t>
            </w:r>
          </w:p>
        </w:tc>
        <w:tc>
          <w:tcPr>
            <w:tcW w:w="5902" w:type="dxa"/>
          </w:tcPr>
          <w:p w14:paraId="49A606CC" w14:textId="77777777" w:rsidR="00EC1781" w:rsidRPr="0099711C" w:rsidRDefault="00EC1781" w:rsidP="005E637F">
            <w:pPr>
              <w:rPr>
                <w:rFonts w:cstheme="minorHAnsi"/>
              </w:rPr>
            </w:pPr>
            <w:r>
              <w:rPr>
                <w:rFonts w:cstheme="minorHAnsi"/>
              </w:rPr>
              <w:t>First secretary, government of Canada</w:t>
            </w:r>
          </w:p>
        </w:tc>
      </w:tr>
      <w:tr w:rsidR="00EC1781" w:rsidRPr="0099711C" w14:paraId="59F25166" w14:textId="77777777" w:rsidTr="005E637F">
        <w:tc>
          <w:tcPr>
            <w:tcW w:w="3114" w:type="dxa"/>
          </w:tcPr>
          <w:p w14:paraId="4AC75AC7" w14:textId="77777777" w:rsidR="00EC1781" w:rsidRPr="0099711C" w:rsidRDefault="00EC1781" w:rsidP="005E637F">
            <w:pPr>
              <w:rPr>
                <w:rFonts w:cstheme="minorHAnsi"/>
              </w:rPr>
            </w:pPr>
            <w:r>
              <w:rPr>
                <w:rFonts w:cstheme="minorHAnsi"/>
              </w:rPr>
              <w:t>Novi Anggraini</w:t>
            </w:r>
          </w:p>
        </w:tc>
        <w:tc>
          <w:tcPr>
            <w:tcW w:w="5902" w:type="dxa"/>
          </w:tcPr>
          <w:p w14:paraId="5CF263FA" w14:textId="77777777" w:rsidR="00EC1781" w:rsidRPr="0099711C" w:rsidRDefault="00EC1781" w:rsidP="005E637F">
            <w:pPr>
              <w:rPr>
                <w:rFonts w:cstheme="minorHAnsi"/>
              </w:rPr>
            </w:pPr>
            <w:r>
              <w:rPr>
                <w:rFonts w:cstheme="minorHAnsi"/>
              </w:rPr>
              <w:t>Senior development Ofc, government of Canada</w:t>
            </w:r>
          </w:p>
        </w:tc>
      </w:tr>
      <w:tr w:rsidR="00EC1781" w:rsidRPr="0099711C" w14:paraId="09432CA5" w14:textId="77777777" w:rsidTr="005E637F">
        <w:tc>
          <w:tcPr>
            <w:tcW w:w="3114" w:type="dxa"/>
          </w:tcPr>
          <w:p w14:paraId="40299F41" w14:textId="77777777" w:rsidR="00EC1781" w:rsidRDefault="00EC1781" w:rsidP="005E637F">
            <w:r>
              <w:t xml:space="preserve">Cahyo Waskita, </w:t>
            </w:r>
          </w:p>
          <w:p w14:paraId="17CF5B5B" w14:textId="77777777" w:rsidR="00EC1781" w:rsidRPr="0099711C" w:rsidRDefault="00EC1781" w:rsidP="005E637F">
            <w:pPr>
              <w:rPr>
                <w:rFonts w:cstheme="minorHAnsi"/>
              </w:rPr>
            </w:pPr>
          </w:p>
        </w:tc>
        <w:tc>
          <w:tcPr>
            <w:tcW w:w="5902" w:type="dxa"/>
          </w:tcPr>
          <w:p w14:paraId="08F06444" w14:textId="77777777" w:rsidR="00EC1781" w:rsidRPr="0099711C" w:rsidRDefault="00EC1781" w:rsidP="005E637F">
            <w:pPr>
              <w:rPr>
                <w:rFonts w:cstheme="minorHAnsi"/>
              </w:rPr>
            </w:pPr>
            <w:r>
              <w:t>Male Involvement Officer, UNFPA</w:t>
            </w:r>
          </w:p>
        </w:tc>
      </w:tr>
      <w:tr w:rsidR="00EC1781" w:rsidRPr="0099711C" w14:paraId="0263055A" w14:textId="77777777" w:rsidTr="005E637F">
        <w:tc>
          <w:tcPr>
            <w:tcW w:w="3114" w:type="dxa"/>
          </w:tcPr>
          <w:p w14:paraId="7114624C" w14:textId="77777777" w:rsidR="00EC1781" w:rsidRPr="0099711C" w:rsidRDefault="00EC1781" w:rsidP="005E637F">
            <w:pPr>
              <w:rPr>
                <w:rFonts w:cstheme="minorHAnsi"/>
              </w:rPr>
            </w:pPr>
            <w:r>
              <w:rPr>
                <w:rFonts w:cstheme="minorHAnsi"/>
              </w:rPr>
              <w:t>Tiur Siregar</w:t>
            </w:r>
          </w:p>
        </w:tc>
        <w:tc>
          <w:tcPr>
            <w:tcW w:w="5902" w:type="dxa"/>
          </w:tcPr>
          <w:p w14:paraId="360BEBD4" w14:textId="77777777" w:rsidR="00EC1781" w:rsidRPr="0099711C" w:rsidRDefault="00EC1781" w:rsidP="005E637F">
            <w:pPr>
              <w:rPr>
                <w:rFonts w:cstheme="minorHAnsi"/>
              </w:rPr>
            </w:pPr>
            <w:r>
              <w:rPr>
                <w:rFonts w:cstheme="minorHAnsi"/>
              </w:rPr>
              <w:t>UN Women</w:t>
            </w:r>
          </w:p>
        </w:tc>
      </w:tr>
      <w:tr w:rsidR="00EC1781" w:rsidRPr="0099711C" w14:paraId="01BFB429" w14:textId="77777777" w:rsidTr="005E637F">
        <w:tc>
          <w:tcPr>
            <w:tcW w:w="3114" w:type="dxa"/>
          </w:tcPr>
          <w:p w14:paraId="2BD0FF4D" w14:textId="77777777" w:rsidR="00EC1781" w:rsidRDefault="00EC1781" w:rsidP="005E637F">
            <w:pPr>
              <w:rPr>
                <w:rFonts w:cstheme="minorHAnsi"/>
              </w:rPr>
            </w:pPr>
            <w:r>
              <w:rPr>
                <w:rFonts w:cstheme="minorHAnsi"/>
              </w:rPr>
              <w:t>Ibu Siska Dewi Noya</w:t>
            </w:r>
          </w:p>
        </w:tc>
        <w:tc>
          <w:tcPr>
            <w:tcW w:w="5902" w:type="dxa"/>
          </w:tcPr>
          <w:p w14:paraId="0BDEE9E5" w14:textId="77777777" w:rsidR="00EC1781" w:rsidRDefault="00EC1781" w:rsidP="005E637F">
            <w:pPr>
              <w:rPr>
                <w:rFonts w:cstheme="minorHAnsi"/>
              </w:rPr>
            </w:pPr>
            <w:r>
              <w:rPr>
                <w:rFonts w:cstheme="minorHAnsi"/>
              </w:rPr>
              <w:t>Project Manager, HIVOS</w:t>
            </w:r>
          </w:p>
        </w:tc>
      </w:tr>
      <w:tr w:rsidR="00EC1781" w:rsidRPr="0099711C" w14:paraId="45261755" w14:textId="77777777" w:rsidTr="005E637F">
        <w:tc>
          <w:tcPr>
            <w:tcW w:w="3114" w:type="dxa"/>
          </w:tcPr>
          <w:p w14:paraId="326F44B0" w14:textId="77777777" w:rsidR="00EC1781" w:rsidRPr="0099711C" w:rsidRDefault="00EC1781" w:rsidP="005E637F">
            <w:pPr>
              <w:rPr>
                <w:rFonts w:cstheme="minorHAnsi"/>
              </w:rPr>
            </w:pPr>
            <w:r w:rsidRPr="0099711C">
              <w:rPr>
                <w:rFonts w:cstheme="minorHAnsi"/>
              </w:rPr>
              <w:t>Lusy Palulungan</w:t>
            </w:r>
          </w:p>
        </w:tc>
        <w:tc>
          <w:tcPr>
            <w:tcW w:w="5902" w:type="dxa"/>
          </w:tcPr>
          <w:p w14:paraId="71AAEBD4" w14:textId="77777777" w:rsidR="00EC1781" w:rsidRPr="0099711C" w:rsidRDefault="00EC1781" w:rsidP="005E637F">
            <w:pPr>
              <w:rPr>
                <w:rFonts w:cstheme="minorHAnsi"/>
              </w:rPr>
            </w:pPr>
            <w:r w:rsidRPr="0099711C">
              <w:rPr>
                <w:rFonts w:cstheme="minorHAnsi"/>
              </w:rPr>
              <w:t>Program Manager, BAKTI</w:t>
            </w:r>
          </w:p>
        </w:tc>
      </w:tr>
      <w:tr w:rsidR="00EC1781" w:rsidRPr="0099711C" w14:paraId="2D6037B6" w14:textId="77777777" w:rsidTr="005E637F">
        <w:tc>
          <w:tcPr>
            <w:tcW w:w="3114" w:type="dxa"/>
          </w:tcPr>
          <w:p w14:paraId="6159E055" w14:textId="77777777" w:rsidR="00EC1781" w:rsidRPr="0099711C" w:rsidRDefault="00EC1781" w:rsidP="005E637F">
            <w:pPr>
              <w:rPr>
                <w:rFonts w:cstheme="minorHAnsi"/>
              </w:rPr>
            </w:pPr>
            <w:r w:rsidRPr="0099711C">
              <w:rPr>
                <w:rFonts w:cstheme="minorHAnsi"/>
              </w:rPr>
              <w:t>Muh. Yusran Laitupa</w:t>
            </w:r>
          </w:p>
        </w:tc>
        <w:tc>
          <w:tcPr>
            <w:tcW w:w="5902" w:type="dxa"/>
          </w:tcPr>
          <w:p w14:paraId="50000F85" w14:textId="77777777" w:rsidR="00EC1781" w:rsidRPr="0099711C" w:rsidRDefault="00EC1781" w:rsidP="005E637F">
            <w:pPr>
              <w:rPr>
                <w:rFonts w:cstheme="minorHAnsi"/>
              </w:rPr>
            </w:pPr>
            <w:r w:rsidRPr="0099711C">
              <w:rPr>
                <w:rFonts w:cstheme="minorHAnsi"/>
              </w:rPr>
              <w:t>Executive Director, BAKTI</w:t>
            </w:r>
          </w:p>
        </w:tc>
      </w:tr>
      <w:tr w:rsidR="00EC1781" w:rsidRPr="0099711C" w14:paraId="71873A0D" w14:textId="77777777" w:rsidTr="005E637F">
        <w:tc>
          <w:tcPr>
            <w:tcW w:w="3114" w:type="dxa"/>
          </w:tcPr>
          <w:p w14:paraId="5F460527" w14:textId="77777777" w:rsidR="00EC1781" w:rsidRPr="0099711C" w:rsidRDefault="00EC1781" w:rsidP="005E637F">
            <w:pPr>
              <w:rPr>
                <w:rFonts w:cstheme="minorHAnsi"/>
              </w:rPr>
            </w:pPr>
            <w:r w:rsidRPr="0099711C">
              <w:rPr>
                <w:rFonts w:cstheme="minorHAnsi"/>
              </w:rPr>
              <w:t>Susi Handayani</w:t>
            </w:r>
          </w:p>
        </w:tc>
        <w:tc>
          <w:tcPr>
            <w:tcW w:w="5902" w:type="dxa"/>
          </w:tcPr>
          <w:p w14:paraId="1C408050" w14:textId="77777777" w:rsidR="00EC1781" w:rsidRPr="0099711C" w:rsidRDefault="00EC1781" w:rsidP="005E637F">
            <w:pPr>
              <w:rPr>
                <w:rFonts w:cstheme="minorHAnsi"/>
              </w:rPr>
            </w:pPr>
            <w:r w:rsidRPr="0099711C">
              <w:rPr>
                <w:rFonts w:cstheme="minorHAnsi"/>
              </w:rPr>
              <w:t>Board member, FPL</w:t>
            </w:r>
          </w:p>
        </w:tc>
      </w:tr>
      <w:tr w:rsidR="00EC1781" w:rsidRPr="0099711C" w14:paraId="4859A7FE" w14:textId="77777777" w:rsidTr="005E637F">
        <w:tc>
          <w:tcPr>
            <w:tcW w:w="3114" w:type="dxa"/>
          </w:tcPr>
          <w:p w14:paraId="6BCAFF61" w14:textId="77777777" w:rsidR="00EC1781" w:rsidRPr="0099711C" w:rsidRDefault="00EC1781" w:rsidP="005E637F">
            <w:pPr>
              <w:rPr>
                <w:rFonts w:cstheme="minorHAnsi"/>
              </w:rPr>
            </w:pPr>
            <w:r w:rsidRPr="0099711C">
              <w:rPr>
                <w:rFonts w:cstheme="minorHAnsi"/>
              </w:rPr>
              <w:t>Cecilia Susiloretno</w:t>
            </w:r>
          </w:p>
        </w:tc>
        <w:tc>
          <w:tcPr>
            <w:tcW w:w="5902" w:type="dxa"/>
          </w:tcPr>
          <w:p w14:paraId="65B4136A" w14:textId="77777777" w:rsidR="00EC1781" w:rsidRPr="0099711C" w:rsidRDefault="00EC1781" w:rsidP="005E637F">
            <w:pPr>
              <w:rPr>
                <w:rFonts w:cstheme="minorHAnsi"/>
              </w:rPr>
            </w:pPr>
            <w:r w:rsidRPr="0099711C">
              <w:rPr>
                <w:rFonts w:cstheme="minorHAnsi"/>
              </w:rPr>
              <w:t xml:space="preserve">MWPRI </w:t>
            </w:r>
          </w:p>
        </w:tc>
      </w:tr>
      <w:tr w:rsidR="00EC1781" w:rsidRPr="0099711C" w14:paraId="626160E8" w14:textId="77777777" w:rsidTr="005E637F">
        <w:tc>
          <w:tcPr>
            <w:tcW w:w="3114" w:type="dxa"/>
          </w:tcPr>
          <w:p w14:paraId="328E96FD" w14:textId="77777777" w:rsidR="00EC1781" w:rsidRPr="0099711C" w:rsidRDefault="00EC1781" w:rsidP="005E637F">
            <w:pPr>
              <w:rPr>
                <w:rFonts w:cstheme="minorHAnsi"/>
              </w:rPr>
            </w:pPr>
            <w:r w:rsidRPr="0099711C">
              <w:rPr>
                <w:rFonts w:cstheme="minorHAnsi"/>
              </w:rPr>
              <w:t>Hery Poedjianto</w:t>
            </w:r>
          </w:p>
        </w:tc>
        <w:tc>
          <w:tcPr>
            <w:tcW w:w="5902" w:type="dxa"/>
          </w:tcPr>
          <w:p w14:paraId="234327FA" w14:textId="77777777" w:rsidR="00EC1781" w:rsidRPr="0099711C" w:rsidRDefault="00EC1781" w:rsidP="005E637F">
            <w:pPr>
              <w:rPr>
                <w:rFonts w:cstheme="minorHAnsi"/>
              </w:rPr>
            </w:pPr>
            <w:r w:rsidRPr="0099711C">
              <w:rPr>
                <w:rFonts w:cstheme="minorHAnsi"/>
              </w:rPr>
              <w:t>MWPRI</w:t>
            </w:r>
          </w:p>
        </w:tc>
      </w:tr>
      <w:tr w:rsidR="00EC1781" w:rsidRPr="0099711C" w14:paraId="298FD584" w14:textId="77777777" w:rsidTr="005E637F">
        <w:tc>
          <w:tcPr>
            <w:tcW w:w="3114" w:type="dxa"/>
          </w:tcPr>
          <w:p w14:paraId="4CCFA23C" w14:textId="77777777" w:rsidR="00EC1781" w:rsidRPr="0099711C" w:rsidRDefault="00EC1781" w:rsidP="005E637F">
            <w:pPr>
              <w:rPr>
                <w:rFonts w:cstheme="minorHAnsi"/>
              </w:rPr>
            </w:pPr>
            <w:r w:rsidRPr="0099711C">
              <w:rPr>
                <w:rFonts w:cstheme="minorHAnsi"/>
              </w:rPr>
              <w:t>Tri Hastuti Murni</w:t>
            </w:r>
          </w:p>
        </w:tc>
        <w:tc>
          <w:tcPr>
            <w:tcW w:w="5902" w:type="dxa"/>
          </w:tcPr>
          <w:p w14:paraId="548FBE99" w14:textId="77777777" w:rsidR="00EC1781" w:rsidRPr="0099711C" w:rsidRDefault="00EC1781" w:rsidP="005E637F">
            <w:pPr>
              <w:rPr>
                <w:rFonts w:cstheme="minorHAnsi"/>
              </w:rPr>
            </w:pPr>
            <w:r w:rsidRPr="0099711C">
              <w:rPr>
                <w:rFonts w:cstheme="minorHAnsi"/>
              </w:rPr>
              <w:t>AISYIYAH</w:t>
            </w:r>
          </w:p>
        </w:tc>
      </w:tr>
      <w:tr w:rsidR="00EC1781" w:rsidRPr="0099711C" w14:paraId="42AE749C" w14:textId="77777777" w:rsidTr="005E637F">
        <w:tc>
          <w:tcPr>
            <w:tcW w:w="3114" w:type="dxa"/>
          </w:tcPr>
          <w:p w14:paraId="0DFEEBF1" w14:textId="77777777" w:rsidR="00EC1781" w:rsidRPr="0099711C" w:rsidRDefault="00EC1781" w:rsidP="005E637F">
            <w:pPr>
              <w:rPr>
                <w:rFonts w:cstheme="minorHAnsi"/>
              </w:rPr>
            </w:pPr>
            <w:r w:rsidRPr="0099711C">
              <w:rPr>
                <w:rFonts w:cstheme="minorHAnsi"/>
              </w:rPr>
              <w:t>Hajarns</w:t>
            </w:r>
          </w:p>
        </w:tc>
        <w:tc>
          <w:tcPr>
            <w:tcW w:w="5902" w:type="dxa"/>
          </w:tcPr>
          <w:p w14:paraId="07AE3EDE" w14:textId="77777777" w:rsidR="00EC1781" w:rsidRPr="0099711C" w:rsidRDefault="00EC1781" w:rsidP="005E637F">
            <w:pPr>
              <w:rPr>
                <w:rFonts w:cstheme="minorHAnsi"/>
              </w:rPr>
            </w:pPr>
            <w:r w:rsidRPr="0099711C">
              <w:rPr>
                <w:rFonts w:cstheme="minorHAnsi"/>
              </w:rPr>
              <w:t>AISYIYAH</w:t>
            </w:r>
          </w:p>
        </w:tc>
      </w:tr>
      <w:tr w:rsidR="00EC1781" w:rsidRPr="0099711C" w14:paraId="47A2E879" w14:textId="77777777" w:rsidTr="005E637F">
        <w:tc>
          <w:tcPr>
            <w:tcW w:w="3114" w:type="dxa"/>
          </w:tcPr>
          <w:p w14:paraId="39BC53B9" w14:textId="77777777" w:rsidR="00EC1781" w:rsidRPr="0099711C" w:rsidRDefault="00EC1781" w:rsidP="005E637F">
            <w:pPr>
              <w:rPr>
                <w:rFonts w:cstheme="minorHAnsi"/>
              </w:rPr>
            </w:pPr>
            <w:r w:rsidRPr="0099711C">
              <w:rPr>
                <w:rFonts w:cstheme="minorHAnsi"/>
              </w:rPr>
              <w:t>Dina Lumbantobing</w:t>
            </w:r>
          </w:p>
        </w:tc>
        <w:tc>
          <w:tcPr>
            <w:tcW w:w="5902" w:type="dxa"/>
          </w:tcPr>
          <w:p w14:paraId="08E4ABE3" w14:textId="77777777" w:rsidR="00EC1781" w:rsidRPr="0099711C" w:rsidRDefault="00EC1781" w:rsidP="005E637F">
            <w:pPr>
              <w:rPr>
                <w:rFonts w:cstheme="minorHAnsi"/>
              </w:rPr>
            </w:pPr>
            <w:r w:rsidRPr="0099711C">
              <w:rPr>
                <w:rFonts w:cstheme="minorHAnsi"/>
              </w:rPr>
              <w:t>PERMAMPU</w:t>
            </w:r>
          </w:p>
        </w:tc>
      </w:tr>
      <w:tr w:rsidR="00EC1781" w:rsidRPr="0099711C" w14:paraId="6CAC05C1" w14:textId="77777777" w:rsidTr="005E637F">
        <w:tc>
          <w:tcPr>
            <w:tcW w:w="3114" w:type="dxa"/>
          </w:tcPr>
          <w:p w14:paraId="4FBD4EF6" w14:textId="77777777" w:rsidR="00EC1781" w:rsidRPr="0099711C" w:rsidRDefault="00EC1781" w:rsidP="005E637F">
            <w:pPr>
              <w:rPr>
                <w:rFonts w:cstheme="minorHAnsi"/>
              </w:rPr>
            </w:pPr>
            <w:r w:rsidRPr="0099711C">
              <w:rPr>
                <w:rFonts w:cstheme="minorHAnsi"/>
              </w:rPr>
              <w:t>Endang Silfiana</w:t>
            </w:r>
          </w:p>
        </w:tc>
        <w:tc>
          <w:tcPr>
            <w:tcW w:w="5902" w:type="dxa"/>
          </w:tcPr>
          <w:p w14:paraId="2C8B0783" w14:textId="77777777" w:rsidR="00EC1781" w:rsidRPr="0099711C" w:rsidRDefault="00EC1781" w:rsidP="005E637F">
            <w:pPr>
              <w:rPr>
                <w:rFonts w:cstheme="minorHAnsi"/>
              </w:rPr>
            </w:pPr>
            <w:r w:rsidRPr="0099711C">
              <w:rPr>
                <w:rFonts w:cstheme="minorHAnsi"/>
              </w:rPr>
              <w:t>PERMAMPU</w:t>
            </w:r>
          </w:p>
        </w:tc>
      </w:tr>
      <w:tr w:rsidR="00EC1781" w:rsidRPr="0099711C" w14:paraId="318D59CC" w14:textId="77777777" w:rsidTr="005E637F">
        <w:tc>
          <w:tcPr>
            <w:tcW w:w="3114" w:type="dxa"/>
          </w:tcPr>
          <w:p w14:paraId="1E659CCD" w14:textId="77777777" w:rsidR="00EC1781" w:rsidRPr="0099711C" w:rsidRDefault="00EC1781" w:rsidP="005E637F">
            <w:pPr>
              <w:rPr>
                <w:rFonts w:cstheme="minorHAnsi"/>
              </w:rPr>
            </w:pPr>
            <w:r w:rsidRPr="0099711C">
              <w:rPr>
                <w:rFonts w:cstheme="minorHAnsi"/>
              </w:rPr>
              <w:t>Hikmah Dh</w:t>
            </w:r>
          </w:p>
        </w:tc>
        <w:tc>
          <w:tcPr>
            <w:tcW w:w="5902" w:type="dxa"/>
          </w:tcPr>
          <w:p w14:paraId="3B3D164D" w14:textId="77777777" w:rsidR="00EC1781" w:rsidRPr="0099711C" w:rsidRDefault="00EC1781" w:rsidP="005E637F">
            <w:pPr>
              <w:rPr>
                <w:rFonts w:cstheme="minorHAnsi"/>
              </w:rPr>
            </w:pPr>
            <w:r w:rsidRPr="0099711C">
              <w:rPr>
                <w:rFonts w:cstheme="minorHAnsi"/>
              </w:rPr>
              <w:t>YASANTI</w:t>
            </w:r>
          </w:p>
        </w:tc>
      </w:tr>
      <w:tr w:rsidR="00EC1781" w:rsidRPr="0099711C" w14:paraId="3FE51EF8" w14:textId="77777777" w:rsidTr="005E637F">
        <w:tc>
          <w:tcPr>
            <w:tcW w:w="3114" w:type="dxa"/>
          </w:tcPr>
          <w:p w14:paraId="16BAA813" w14:textId="77777777" w:rsidR="00EC1781" w:rsidRPr="0099711C" w:rsidRDefault="00EC1781" w:rsidP="005E637F">
            <w:pPr>
              <w:rPr>
                <w:rFonts w:cstheme="minorHAnsi"/>
              </w:rPr>
            </w:pPr>
            <w:r w:rsidRPr="0099711C">
              <w:rPr>
                <w:rFonts w:cstheme="minorHAnsi"/>
              </w:rPr>
              <w:t>Amin M</w:t>
            </w:r>
          </w:p>
        </w:tc>
        <w:tc>
          <w:tcPr>
            <w:tcW w:w="5902" w:type="dxa"/>
          </w:tcPr>
          <w:p w14:paraId="11CEA6E3" w14:textId="77777777" w:rsidR="00EC1781" w:rsidRPr="0099711C" w:rsidRDefault="00EC1781" w:rsidP="005E637F">
            <w:pPr>
              <w:rPr>
                <w:rFonts w:cstheme="minorHAnsi"/>
              </w:rPr>
            </w:pPr>
            <w:r w:rsidRPr="0099711C">
              <w:rPr>
                <w:rFonts w:cstheme="minorHAnsi"/>
              </w:rPr>
              <w:t>YASANTI</w:t>
            </w:r>
          </w:p>
        </w:tc>
      </w:tr>
      <w:tr w:rsidR="00EC1781" w:rsidRPr="0099711C" w14:paraId="017E4509" w14:textId="77777777" w:rsidTr="005E637F">
        <w:tc>
          <w:tcPr>
            <w:tcW w:w="3114" w:type="dxa"/>
          </w:tcPr>
          <w:p w14:paraId="53E1D507" w14:textId="77777777" w:rsidR="00EC1781" w:rsidRPr="0099711C" w:rsidRDefault="00EC1781" w:rsidP="005E637F">
            <w:pPr>
              <w:rPr>
                <w:rFonts w:cstheme="minorHAnsi"/>
              </w:rPr>
            </w:pPr>
            <w:r w:rsidRPr="0099711C">
              <w:rPr>
                <w:rFonts w:cstheme="minorHAnsi"/>
              </w:rPr>
              <w:t>Erika Rosmawati</w:t>
            </w:r>
          </w:p>
        </w:tc>
        <w:tc>
          <w:tcPr>
            <w:tcW w:w="5902" w:type="dxa"/>
          </w:tcPr>
          <w:p w14:paraId="19B64B95" w14:textId="77777777" w:rsidR="00EC1781" w:rsidRPr="0099711C" w:rsidRDefault="00EC1781" w:rsidP="005E637F">
            <w:pPr>
              <w:rPr>
                <w:rFonts w:cstheme="minorHAnsi"/>
              </w:rPr>
            </w:pPr>
            <w:r w:rsidRPr="0099711C">
              <w:rPr>
                <w:rFonts w:cstheme="minorHAnsi"/>
              </w:rPr>
              <w:t>BITRA</w:t>
            </w:r>
          </w:p>
        </w:tc>
      </w:tr>
      <w:tr w:rsidR="00EC1781" w:rsidRPr="0099711C" w14:paraId="354C2BD6" w14:textId="77777777" w:rsidTr="005E637F">
        <w:tc>
          <w:tcPr>
            <w:tcW w:w="3114" w:type="dxa"/>
          </w:tcPr>
          <w:p w14:paraId="642B1CB2" w14:textId="77777777" w:rsidR="00EC1781" w:rsidRPr="0099711C" w:rsidRDefault="00EC1781" w:rsidP="005E637F">
            <w:pPr>
              <w:rPr>
                <w:rFonts w:cstheme="minorHAnsi"/>
              </w:rPr>
            </w:pPr>
            <w:r w:rsidRPr="0099711C">
              <w:rPr>
                <w:rFonts w:cstheme="minorHAnsi"/>
              </w:rPr>
              <w:t>Dewi B. Tampubolon</w:t>
            </w:r>
          </w:p>
        </w:tc>
        <w:tc>
          <w:tcPr>
            <w:tcW w:w="5902" w:type="dxa"/>
          </w:tcPr>
          <w:p w14:paraId="64F8BBDE" w14:textId="77777777" w:rsidR="00EC1781" w:rsidRPr="0099711C" w:rsidRDefault="00EC1781" w:rsidP="005E637F">
            <w:pPr>
              <w:rPr>
                <w:rFonts w:cstheme="minorHAnsi"/>
              </w:rPr>
            </w:pPr>
            <w:r w:rsidRPr="0099711C">
              <w:rPr>
                <w:rFonts w:cstheme="minorHAnsi"/>
              </w:rPr>
              <w:t>BITRA</w:t>
            </w:r>
          </w:p>
        </w:tc>
      </w:tr>
      <w:tr w:rsidR="00EC1781" w:rsidRPr="0099711C" w14:paraId="7CF50929" w14:textId="77777777" w:rsidTr="005E637F">
        <w:tc>
          <w:tcPr>
            <w:tcW w:w="3114" w:type="dxa"/>
          </w:tcPr>
          <w:p w14:paraId="463A71B4" w14:textId="77777777" w:rsidR="00EC1781" w:rsidRPr="0099711C" w:rsidRDefault="00EC1781" w:rsidP="005E637F">
            <w:pPr>
              <w:rPr>
                <w:rFonts w:cstheme="minorHAnsi"/>
              </w:rPr>
            </w:pPr>
            <w:r w:rsidRPr="0099711C">
              <w:rPr>
                <w:rFonts w:cstheme="minorHAnsi"/>
              </w:rPr>
              <w:t>Wahyu Susilo</w:t>
            </w:r>
          </w:p>
        </w:tc>
        <w:tc>
          <w:tcPr>
            <w:tcW w:w="5902" w:type="dxa"/>
          </w:tcPr>
          <w:p w14:paraId="4B28F2BD" w14:textId="77777777" w:rsidR="00EC1781" w:rsidRPr="0099711C" w:rsidRDefault="00EC1781" w:rsidP="005E637F">
            <w:pPr>
              <w:rPr>
                <w:rFonts w:cstheme="minorHAnsi"/>
              </w:rPr>
            </w:pPr>
            <w:r w:rsidRPr="0099711C">
              <w:rPr>
                <w:rFonts w:cstheme="minorHAnsi"/>
              </w:rPr>
              <w:t>Migrant Care</w:t>
            </w:r>
          </w:p>
        </w:tc>
      </w:tr>
      <w:tr w:rsidR="00EC1781" w:rsidRPr="0099711C" w14:paraId="00FAE803" w14:textId="77777777" w:rsidTr="005E637F">
        <w:tc>
          <w:tcPr>
            <w:tcW w:w="3114" w:type="dxa"/>
          </w:tcPr>
          <w:p w14:paraId="5F6D5531" w14:textId="77777777" w:rsidR="00EC1781" w:rsidRPr="0099711C" w:rsidRDefault="00EC1781" w:rsidP="005E637F">
            <w:pPr>
              <w:rPr>
                <w:rFonts w:cstheme="minorHAnsi"/>
              </w:rPr>
            </w:pPr>
            <w:r w:rsidRPr="0099711C">
              <w:rPr>
                <w:rFonts w:cstheme="minorHAnsi"/>
              </w:rPr>
              <w:t>Herra Lestari</w:t>
            </w:r>
          </w:p>
        </w:tc>
        <w:tc>
          <w:tcPr>
            <w:tcW w:w="5902" w:type="dxa"/>
          </w:tcPr>
          <w:p w14:paraId="006A16D7" w14:textId="77777777" w:rsidR="00EC1781" w:rsidRPr="0099711C" w:rsidRDefault="00EC1781" w:rsidP="005E637F">
            <w:pPr>
              <w:rPr>
                <w:rFonts w:cstheme="minorHAnsi"/>
              </w:rPr>
            </w:pPr>
            <w:r w:rsidRPr="0099711C">
              <w:rPr>
                <w:rFonts w:cstheme="minorHAnsi"/>
              </w:rPr>
              <w:t>YPK</w:t>
            </w:r>
          </w:p>
        </w:tc>
      </w:tr>
      <w:tr w:rsidR="00EC1781" w:rsidRPr="0099711C" w14:paraId="1FD5C466" w14:textId="77777777" w:rsidTr="005E637F">
        <w:tc>
          <w:tcPr>
            <w:tcW w:w="3114" w:type="dxa"/>
          </w:tcPr>
          <w:p w14:paraId="34A36D85" w14:textId="77777777" w:rsidR="00EC1781" w:rsidRPr="0099711C" w:rsidRDefault="00EC1781" w:rsidP="005E637F">
            <w:pPr>
              <w:rPr>
                <w:rFonts w:cstheme="minorHAnsi"/>
              </w:rPr>
            </w:pPr>
            <w:r w:rsidRPr="0099711C">
              <w:rPr>
                <w:rFonts w:cstheme="minorHAnsi"/>
              </w:rPr>
              <w:t>Nanda Dwintasari</w:t>
            </w:r>
          </w:p>
        </w:tc>
        <w:tc>
          <w:tcPr>
            <w:tcW w:w="5902" w:type="dxa"/>
          </w:tcPr>
          <w:p w14:paraId="7CAD4FA7" w14:textId="77777777" w:rsidR="00EC1781" w:rsidRPr="0099711C" w:rsidRDefault="00EC1781" w:rsidP="005E637F">
            <w:pPr>
              <w:rPr>
                <w:rFonts w:cstheme="minorHAnsi"/>
              </w:rPr>
            </w:pPr>
            <w:r w:rsidRPr="0099711C">
              <w:rPr>
                <w:rFonts w:cstheme="minorHAnsi"/>
              </w:rPr>
              <w:t>YPK</w:t>
            </w:r>
          </w:p>
        </w:tc>
      </w:tr>
      <w:tr w:rsidR="00EC1781" w:rsidRPr="0099711C" w14:paraId="5BE24E63" w14:textId="77777777" w:rsidTr="005E637F">
        <w:tc>
          <w:tcPr>
            <w:tcW w:w="3114" w:type="dxa"/>
          </w:tcPr>
          <w:p w14:paraId="66DC4F8C" w14:textId="77777777" w:rsidR="00EC1781" w:rsidRPr="0099711C" w:rsidRDefault="00EC1781" w:rsidP="005E637F">
            <w:pPr>
              <w:rPr>
                <w:rFonts w:cstheme="minorHAnsi"/>
              </w:rPr>
            </w:pPr>
            <w:r w:rsidRPr="0099711C">
              <w:rPr>
                <w:rFonts w:cstheme="minorHAnsi"/>
              </w:rPr>
              <w:t>Zumrotin K Susilo</w:t>
            </w:r>
          </w:p>
        </w:tc>
        <w:tc>
          <w:tcPr>
            <w:tcW w:w="5902" w:type="dxa"/>
          </w:tcPr>
          <w:p w14:paraId="2CE4AD8A" w14:textId="77777777" w:rsidR="00EC1781" w:rsidRPr="0099711C" w:rsidRDefault="00EC1781" w:rsidP="005E637F">
            <w:pPr>
              <w:rPr>
                <w:rFonts w:cstheme="minorHAnsi"/>
              </w:rPr>
            </w:pPr>
            <w:r w:rsidRPr="0099711C">
              <w:rPr>
                <w:rFonts w:cstheme="minorHAnsi"/>
              </w:rPr>
              <w:t>YPK</w:t>
            </w:r>
          </w:p>
        </w:tc>
      </w:tr>
      <w:tr w:rsidR="00EC1781" w:rsidRPr="0099711C" w14:paraId="64A8F62D" w14:textId="77777777" w:rsidTr="005E637F">
        <w:tc>
          <w:tcPr>
            <w:tcW w:w="3114" w:type="dxa"/>
          </w:tcPr>
          <w:p w14:paraId="13E62234" w14:textId="77777777" w:rsidR="00EC1781" w:rsidRPr="0099711C" w:rsidRDefault="00EC1781" w:rsidP="005E637F">
            <w:pPr>
              <w:rPr>
                <w:rFonts w:cstheme="minorHAnsi"/>
              </w:rPr>
            </w:pPr>
            <w:r w:rsidRPr="0099711C">
              <w:rPr>
                <w:rFonts w:cstheme="minorHAnsi"/>
              </w:rPr>
              <w:t>Yushaning Sikasia</w:t>
            </w:r>
          </w:p>
        </w:tc>
        <w:tc>
          <w:tcPr>
            <w:tcW w:w="5902" w:type="dxa"/>
          </w:tcPr>
          <w:p w14:paraId="7EBAF07D" w14:textId="77777777" w:rsidR="00EC1781" w:rsidRPr="0099711C" w:rsidRDefault="00EC1781" w:rsidP="005E637F">
            <w:pPr>
              <w:rPr>
                <w:rFonts w:cstheme="minorHAnsi"/>
              </w:rPr>
            </w:pPr>
            <w:r w:rsidRPr="0099711C">
              <w:rPr>
                <w:rFonts w:cstheme="minorHAnsi"/>
              </w:rPr>
              <w:t>KAPAL</w:t>
            </w:r>
          </w:p>
        </w:tc>
      </w:tr>
      <w:tr w:rsidR="00EC1781" w:rsidRPr="0099711C" w14:paraId="24FBAA42" w14:textId="77777777" w:rsidTr="005E637F">
        <w:tc>
          <w:tcPr>
            <w:tcW w:w="3114" w:type="dxa"/>
          </w:tcPr>
          <w:p w14:paraId="40F90579" w14:textId="77777777" w:rsidR="00EC1781" w:rsidRPr="0099711C" w:rsidRDefault="00EC1781" w:rsidP="005E637F">
            <w:pPr>
              <w:rPr>
                <w:rFonts w:cstheme="minorHAnsi"/>
              </w:rPr>
            </w:pPr>
            <w:r w:rsidRPr="0099711C">
              <w:rPr>
                <w:rFonts w:cstheme="minorHAnsi"/>
              </w:rPr>
              <w:t>Missiyah</w:t>
            </w:r>
          </w:p>
        </w:tc>
        <w:tc>
          <w:tcPr>
            <w:tcW w:w="5902" w:type="dxa"/>
          </w:tcPr>
          <w:p w14:paraId="2C53C6BA" w14:textId="77777777" w:rsidR="00EC1781" w:rsidRPr="0099711C" w:rsidRDefault="00EC1781" w:rsidP="005E637F">
            <w:pPr>
              <w:rPr>
                <w:rFonts w:cstheme="minorHAnsi"/>
              </w:rPr>
            </w:pPr>
            <w:r w:rsidRPr="0099711C">
              <w:rPr>
                <w:rFonts w:cstheme="minorHAnsi"/>
              </w:rPr>
              <w:t>KAPAL</w:t>
            </w:r>
          </w:p>
        </w:tc>
      </w:tr>
      <w:tr w:rsidR="00EC1781" w:rsidRPr="0099711C" w14:paraId="0EC0705C" w14:textId="77777777" w:rsidTr="005E637F">
        <w:tc>
          <w:tcPr>
            <w:tcW w:w="3114" w:type="dxa"/>
          </w:tcPr>
          <w:p w14:paraId="65BF73E6" w14:textId="77777777" w:rsidR="00EC1781" w:rsidRPr="0099711C" w:rsidRDefault="00EC1781" w:rsidP="005E637F">
            <w:pPr>
              <w:rPr>
                <w:rFonts w:cstheme="minorHAnsi"/>
              </w:rPr>
            </w:pPr>
            <w:r w:rsidRPr="0099711C">
              <w:rPr>
                <w:rFonts w:cstheme="minorHAnsi"/>
              </w:rPr>
              <w:t>Justine A</w:t>
            </w:r>
          </w:p>
        </w:tc>
        <w:tc>
          <w:tcPr>
            <w:tcW w:w="5902" w:type="dxa"/>
          </w:tcPr>
          <w:p w14:paraId="7CCE3B28" w14:textId="77777777" w:rsidR="00EC1781" w:rsidRPr="0099711C" w:rsidRDefault="00EC1781" w:rsidP="005E637F">
            <w:pPr>
              <w:rPr>
                <w:rFonts w:cstheme="minorHAnsi"/>
              </w:rPr>
            </w:pPr>
            <w:r w:rsidRPr="0099711C">
              <w:rPr>
                <w:rFonts w:cstheme="minorHAnsi"/>
              </w:rPr>
              <w:t>KAPAL</w:t>
            </w:r>
          </w:p>
        </w:tc>
      </w:tr>
      <w:tr w:rsidR="00EC1781" w:rsidRPr="0099711C" w14:paraId="079A0B27" w14:textId="77777777" w:rsidTr="005E637F">
        <w:tc>
          <w:tcPr>
            <w:tcW w:w="3114" w:type="dxa"/>
          </w:tcPr>
          <w:p w14:paraId="07A33299" w14:textId="77777777" w:rsidR="00EC1781" w:rsidRPr="0099711C" w:rsidRDefault="00EC1781" w:rsidP="005E637F">
            <w:pPr>
              <w:rPr>
                <w:rFonts w:cstheme="minorHAnsi"/>
              </w:rPr>
            </w:pPr>
            <w:r w:rsidRPr="0099711C">
              <w:rPr>
                <w:rFonts w:cstheme="minorHAnsi"/>
              </w:rPr>
              <w:t>Margaretha Raco</w:t>
            </w:r>
          </w:p>
        </w:tc>
        <w:tc>
          <w:tcPr>
            <w:tcW w:w="5902" w:type="dxa"/>
          </w:tcPr>
          <w:p w14:paraId="1AD8BB66" w14:textId="77777777" w:rsidR="00EC1781" w:rsidRPr="0099711C" w:rsidRDefault="00EC1781" w:rsidP="005E637F">
            <w:pPr>
              <w:rPr>
                <w:rFonts w:cstheme="minorHAnsi"/>
              </w:rPr>
            </w:pPr>
            <w:r w:rsidRPr="0099711C">
              <w:rPr>
                <w:rFonts w:cstheme="minorHAnsi"/>
              </w:rPr>
              <w:t>KAPAL</w:t>
            </w:r>
          </w:p>
        </w:tc>
      </w:tr>
      <w:tr w:rsidR="00EC1781" w:rsidRPr="0099711C" w14:paraId="2D154AD3" w14:textId="77777777" w:rsidTr="005E637F">
        <w:tc>
          <w:tcPr>
            <w:tcW w:w="3114" w:type="dxa"/>
          </w:tcPr>
          <w:p w14:paraId="3BAA9B81" w14:textId="77777777" w:rsidR="00EC1781" w:rsidRPr="0099711C" w:rsidRDefault="00EC1781" w:rsidP="005E637F">
            <w:pPr>
              <w:rPr>
                <w:rFonts w:cstheme="minorHAnsi"/>
              </w:rPr>
            </w:pPr>
            <w:r w:rsidRPr="0099711C">
              <w:rPr>
                <w:rFonts w:cstheme="minorHAnsi"/>
              </w:rPr>
              <w:t>Dian Kartikasari</w:t>
            </w:r>
          </w:p>
        </w:tc>
        <w:tc>
          <w:tcPr>
            <w:tcW w:w="5902" w:type="dxa"/>
          </w:tcPr>
          <w:p w14:paraId="1B1C7084" w14:textId="77777777" w:rsidR="00EC1781" w:rsidRPr="0099711C" w:rsidRDefault="00EC1781" w:rsidP="005E637F">
            <w:pPr>
              <w:rPr>
                <w:rFonts w:cstheme="minorHAnsi"/>
              </w:rPr>
            </w:pPr>
            <w:r w:rsidRPr="0099711C">
              <w:rPr>
                <w:rFonts w:cstheme="minorHAnsi"/>
              </w:rPr>
              <w:t>KPI</w:t>
            </w:r>
          </w:p>
        </w:tc>
      </w:tr>
      <w:tr w:rsidR="00EC1781" w:rsidRPr="0099711C" w14:paraId="1B1649B6" w14:textId="77777777" w:rsidTr="005E637F">
        <w:tc>
          <w:tcPr>
            <w:tcW w:w="3114" w:type="dxa"/>
          </w:tcPr>
          <w:p w14:paraId="24E45672" w14:textId="77777777" w:rsidR="00EC1781" w:rsidRPr="0099711C" w:rsidRDefault="00EC1781" w:rsidP="005E637F">
            <w:pPr>
              <w:rPr>
                <w:rFonts w:cstheme="minorHAnsi"/>
              </w:rPr>
            </w:pPr>
            <w:r w:rsidRPr="0099711C">
              <w:rPr>
                <w:rFonts w:cstheme="minorHAnsi"/>
              </w:rPr>
              <w:t>Linarn</w:t>
            </w:r>
          </w:p>
        </w:tc>
        <w:tc>
          <w:tcPr>
            <w:tcW w:w="5902" w:type="dxa"/>
          </w:tcPr>
          <w:p w14:paraId="66D52C6D" w14:textId="77777777" w:rsidR="00EC1781" w:rsidRPr="0099711C" w:rsidRDefault="00EC1781" w:rsidP="005E637F">
            <w:pPr>
              <w:rPr>
                <w:rFonts w:cstheme="minorHAnsi"/>
              </w:rPr>
            </w:pPr>
            <w:r w:rsidRPr="0099711C">
              <w:rPr>
                <w:rFonts w:cstheme="minorHAnsi"/>
              </w:rPr>
              <w:t>KPI</w:t>
            </w:r>
          </w:p>
        </w:tc>
      </w:tr>
      <w:tr w:rsidR="00EC1781" w:rsidRPr="0099711C" w14:paraId="714A26B4" w14:textId="77777777" w:rsidTr="005E637F">
        <w:tc>
          <w:tcPr>
            <w:tcW w:w="3114" w:type="dxa"/>
          </w:tcPr>
          <w:p w14:paraId="4116851D" w14:textId="77777777" w:rsidR="00EC1781" w:rsidRPr="0099711C" w:rsidRDefault="00EC1781" w:rsidP="005E637F">
            <w:pPr>
              <w:rPr>
                <w:rFonts w:cstheme="minorHAnsi"/>
              </w:rPr>
            </w:pPr>
            <w:r w:rsidRPr="0099711C">
              <w:rPr>
                <w:rFonts w:cstheme="minorHAnsi"/>
              </w:rPr>
              <w:t>Indriyati Suparno</w:t>
            </w:r>
          </w:p>
        </w:tc>
        <w:tc>
          <w:tcPr>
            <w:tcW w:w="5902" w:type="dxa"/>
          </w:tcPr>
          <w:p w14:paraId="17FD73A4" w14:textId="77777777" w:rsidR="00EC1781" w:rsidRPr="0099711C" w:rsidRDefault="00EC1781" w:rsidP="005E637F">
            <w:pPr>
              <w:rPr>
                <w:rFonts w:cstheme="minorHAnsi"/>
              </w:rPr>
            </w:pPr>
            <w:r w:rsidRPr="0099711C">
              <w:rPr>
                <w:rFonts w:cstheme="minorHAnsi"/>
              </w:rPr>
              <w:t>Komnas Perempuan</w:t>
            </w:r>
          </w:p>
        </w:tc>
      </w:tr>
      <w:tr w:rsidR="00EC1781" w:rsidRPr="0099711C" w14:paraId="623A6474" w14:textId="77777777" w:rsidTr="005E637F">
        <w:tc>
          <w:tcPr>
            <w:tcW w:w="3114" w:type="dxa"/>
          </w:tcPr>
          <w:p w14:paraId="44BBB636" w14:textId="77777777" w:rsidR="00EC1781" w:rsidRPr="0099711C" w:rsidRDefault="00EC1781" w:rsidP="005E637F">
            <w:pPr>
              <w:rPr>
                <w:rFonts w:cstheme="minorHAnsi"/>
              </w:rPr>
            </w:pPr>
            <w:r w:rsidRPr="0099711C">
              <w:rPr>
                <w:rFonts w:cstheme="minorHAnsi"/>
              </w:rPr>
              <w:t>Yulianti Ratnaningin</w:t>
            </w:r>
          </w:p>
        </w:tc>
        <w:tc>
          <w:tcPr>
            <w:tcW w:w="5902" w:type="dxa"/>
          </w:tcPr>
          <w:p w14:paraId="704A01F7" w14:textId="77777777" w:rsidR="00EC1781" w:rsidRPr="0099711C" w:rsidRDefault="00EC1781" w:rsidP="005E637F">
            <w:pPr>
              <w:rPr>
                <w:rFonts w:cstheme="minorHAnsi"/>
              </w:rPr>
            </w:pPr>
            <w:r w:rsidRPr="0099711C">
              <w:rPr>
                <w:rFonts w:cstheme="minorHAnsi"/>
              </w:rPr>
              <w:t>Komnas Perempuan</w:t>
            </w:r>
          </w:p>
        </w:tc>
      </w:tr>
      <w:tr w:rsidR="00EC1781" w:rsidRPr="0099711C" w14:paraId="6D9865BA" w14:textId="77777777" w:rsidTr="005E637F">
        <w:tc>
          <w:tcPr>
            <w:tcW w:w="3114" w:type="dxa"/>
          </w:tcPr>
          <w:p w14:paraId="752C9C91" w14:textId="77777777" w:rsidR="00EC1781" w:rsidRPr="0099711C" w:rsidRDefault="00EC1781" w:rsidP="005E637F">
            <w:pPr>
              <w:rPr>
                <w:rFonts w:cstheme="minorHAnsi"/>
              </w:rPr>
            </w:pPr>
            <w:r>
              <w:rPr>
                <w:rFonts w:cstheme="minorHAnsi"/>
              </w:rPr>
              <w:t>Andrew Otang</w:t>
            </w:r>
          </w:p>
        </w:tc>
        <w:tc>
          <w:tcPr>
            <w:tcW w:w="5902" w:type="dxa"/>
          </w:tcPr>
          <w:p w14:paraId="4B7F4C21" w14:textId="77777777" w:rsidR="00EC1781" w:rsidRPr="0099711C" w:rsidRDefault="00EC1781" w:rsidP="005E637F">
            <w:pPr>
              <w:rPr>
                <w:rFonts w:cstheme="minorHAnsi"/>
              </w:rPr>
            </w:pPr>
            <w:r>
              <w:rPr>
                <w:rFonts w:cstheme="minorHAnsi"/>
              </w:rPr>
              <w:t>Director, TURC</w:t>
            </w:r>
          </w:p>
        </w:tc>
      </w:tr>
      <w:tr w:rsidR="00EC1781" w:rsidRPr="0099711C" w14:paraId="32ADDCCE" w14:textId="77777777" w:rsidTr="005E637F">
        <w:tc>
          <w:tcPr>
            <w:tcW w:w="3114" w:type="dxa"/>
          </w:tcPr>
          <w:p w14:paraId="0A838550" w14:textId="77777777" w:rsidR="00EC1781" w:rsidRDefault="00EC1781" w:rsidP="005E637F">
            <w:pPr>
              <w:rPr>
                <w:rFonts w:cstheme="minorHAnsi"/>
              </w:rPr>
            </w:pPr>
            <w:r>
              <w:rPr>
                <w:rFonts w:cstheme="minorHAnsi"/>
              </w:rPr>
              <w:t>Eci Ernawati</w:t>
            </w:r>
          </w:p>
        </w:tc>
        <w:tc>
          <w:tcPr>
            <w:tcW w:w="5902" w:type="dxa"/>
          </w:tcPr>
          <w:p w14:paraId="729E0189" w14:textId="77777777" w:rsidR="00EC1781" w:rsidRPr="0099711C" w:rsidRDefault="00EC1781" w:rsidP="005E637F">
            <w:pPr>
              <w:rPr>
                <w:rFonts w:cstheme="minorHAnsi"/>
              </w:rPr>
            </w:pPr>
            <w:r>
              <w:rPr>
                <w:rFonts w:cstheme="minorHAnsi"/>
              </w:rPr>
              <w:t>Deputy Director, TURC</w:t>
            </w:r>
          </w:p>
        </w:tc>
      </w:tr>
      <w:tr w:rsidR="00EC1781" w:rsidRPr="0099711C" w14:paraId="08BEEA26" w14:textId="77777777" w:rsidTr="005E637F">
        <w:tc>
          <w:tcPr>
            <w:tcW w:w="3114" w:type="dxa"/>
          </w:tcPr>
          <w:p w14:paraId="52FCA460" w14:textId="77777777" w:rsidR="00EC1781" w:rsidRDefault="00EC1781" w:rsidP="005E637F">
            <w:pPr>
              <w:rPr>
                <w:rFonts w:cstheme="minorHAnsi"/>
              </w:rPr>
            </w:pPr>
            <w:r>
              <w:rPr>
                <w:rFonts w:cstheme="minorHAnsi"/>
              </w:rPr>
              <w:t>Dede Rina</w:t>
            </w:r>
          </w:p>
        </w:tc>
        <w:tc>
          <w:tcPr>
            <w:tcW w:w="5902" w:type="dxa"/>
          </w:tcPr>
          <w:p w14:paraId="413AD309" w14:textId="77777777" w:rsidR="00EC1781" w:rsidRPr="0099711C" w:rsidRDefault="00EC1781" w:rsidP="005E637F">
            <w:pPr>
              <w:rPr>
                <w:rFonts w:cstheme="minorHAnsi"/>
              </w:rPr>
            </w:pPr>
            <w:r>
              <w:rPr>
                <w:rFonts w:cstheme="minorHAnsi"/>
              </w:rPr>
              <w:t>MAMPU Program Coordinator, TURC</w:t>
            </w:r>
          </w:p>
        </w:tc>
      </w:tr>
      <w:tr w:rsidR="00EC1781" w:rsidRPr="0099711C" w14:paraId="732C6989" w14:textId="77777777" w:rsidTr="005E637F">
        <w:tc>
          <w:tcPr>
            <w:tcW w:w="3114" w:type="dxa"/>
          </w:tcPr>
          <w:p w14:paraId="1F295A2C" w14:textId="77777777" w:rsidR="00EC1781" w:rsidRPr="0099711C" w:rsidRDefault="00EC1781" w:rsidP="005E637F">
            <w:pPr>
              <w:rPr>
                <w:rFonts w:cstheme="minorHAnsi"/>
              </w:rPr>
            </w:pPr>
            <w:r w:rsidRPr="0099711C">
              <w:rPr>
                <w:rFonts w:cstheme="minorHAnsi"/>
              </w:rPr>
              <w:t>Irene Pingkan Umboh</w:t>
            </w:r>
          </w:p>
        </w:tc>
        <w:tc>
          <w:tcPr>
            <w:tcW w:w="5902" w:type="dxa"/>
          </w:tcPr>
          <w:p w14:paraId="1074FD77" w14:textId="77777777" w:rsidR="00EC1781" w:rsidRPr="0099711C" w:rsidRDefault="00EC1781" w:rsidP="005E637F">
            <w:pPr>
              <w:rPr>
                <w:rFonts w:cstheme="minorHAnsi"/>
              </w:rPr>
            </w:pPr>
            <w:r w:rsidRPr="0099711C">
              <w:rPr>
                <w:rFonts w:cstheme="minorHAnsi"/>
              </w:rPr>
              <w:t>Program lead, Knowledge Sector Initiative</w:t>
            </w:r>
          </w:p>
        </w:tc>
      </w:tr>
      <w:tr w:rsidR="00EC1781" w:rsidRPr="0099711C" w14:paraId="1B9495E8" w14:textId="77777777" w:rsidTr="005E637F">
        <w:tc>
          <w:tcPr>
            <w:tcW w:w="3114" w:type="dxa"/>
          </w:tcPr>
          <w:p w14:paraId="09D9AC87" w14:textId="77777777" w:rsidR="00EC1781" w:rsidRPr="0099711C" w:rsidRDefault="00EC1781" w:rsidP="005E637F">
            <w:pPr>
              <w:rPr>
                <w:rFonts w:cstheme="minorHAnsi"/>
              </w:rPr>
            </w:pPr>
            <w:r w:rsidRPr="0099711C">
              <w:rPr>
                <w:rFonts w:cstheme="minorHAnsi"/>
              </w:rPr>
              <w:t>Tanty Nurhayati Djafar</w:t>
            </w:r>
          </w:p>
        </w:tc>
        <w:tc>
          <w:tcPr>
            <w:tcW w:w="5902" w:type="dxa"/>
          </w:tcPr>
          <w:p w14:paraId="7EBC5EFA" w14:textId="600D5AC2" w:rsidR="00EC1781" w:rsidRPr="0099711C" w:rsidRDefault="0077583F" w:rsidP="005E637F">
            <w:pPr>
              <w:rPr>
                <w:rFonts w:cstheme="minorHAnsi"/>
              </w:rPr>
            </w:pPr>
            <w:r w:rsidRPr="0099711C">
              <w:rPr>
                <w:rFonts w:cstheme="minorHAnsi"/>
              </w:rPr>
              <w:t>Coordinator, Knowledge</w:t>
            </w:r>
            <w:r w:rsidR="00EC1781" w:rsidRPr="0099711C">
              <w:rPr>
                <w:rFonts w:cstheme="minorHAnsi"/>
              </w:rPr>
              <w:t xml:space="preserve"> Sector Initiative</w:t>
            </w:r>
          </w:p>
        </w:tc>
      </w:tr>
      <w:tr w:rsidR="00EC1781" w:rsidRPr="0099711C" w14:paraId="75613974" w14:textId="77777777" w:rsidTr="005E637F">
        <w:tc>
          <w:tcPr>
            <w:tcW w:w="3114" w:type="dxa"/>
          </w:tcPr>
          <w:p w14:paraId="2E47AD24" w14:textId="77777777" w:rsidR="00EC1781" w:rsidRPr="0099711C" w:rsidRDefault="00EC1781" w:rsidP="005E637F">
            <w:pPr>
              <w:rPr>
                <w:rFonts w:cstheme="minorHAnsi"/>
              </w:rPr>
            </w:pPr>
            <w:r w:rsidRPr="0099711C">
              <w:rPr>
                <w:rFonts w:cstheme="minorHAnsi"/>
              </w:rPr>
              <w:t>Hans Antlov</w:t>
            </w:r>
          </w:p>
        </w:tc>
        <w:tc>
          <w:tcPr>
            <w:tcW w:w="5902" w:type="dxa"/>
          </w:tcPr>
          <w:p w14:paraId="0EC9F8FA" w14:textId="77777777" w:rsidR="00EC1781" w:rsidRPr="0099711C" w:rsidRDefault="00EC1781" w:rsidP="005E637F">
            <w:pPr>
              <w:rPr>
                <w:rFonts w:cstheme="minorHAnsi"/>
              </w:rPr>
            </w:pPr>
            <w:r w:rsidRPr="0099711C">
              <w:rPr>
                <w:rFonts w:cstheme="minorHAnsi"/>
              </w:rPr>
              <w:t>Senior Advisor, Knowledge Sector Initiative</w:t>
            </w:r>
          </w:p>
        </w:tc>
      </w:tr>
      <w:tr w:rsidR="00EC1781" w:rsidRPr="0099711C" w14:paraId="4C55EF28" w14:textId="77777777" w:rsidTr="005E637F">
        <w:tc>
          <w:tcPr>
            <w:tcW w:w="3114" w:type="dxa"/>
          </w:tcPr>
          <w:p w14:paraId="2DE5FE8B" w14:textId="77777777" w:rsidR="00EC1781" w:rsidRPr="0099711C" w:rsidRDefault="00EC1781" w:rsidP="005E637F">
            <w:pPr>
              <w:rPr>
                <w:rFonts w:cstheme="minorHAnsi"/>
              </w:rPr>
            </w:pPr>
            <w:r>
              <w:rPr>
                <w:rFonts w:cstheme="minorHAnsi"/>
              </w:rPr>
              <w:t xml:space="preserve">Lies Marcoes </w:t>
            </w:r>
          </w:p>
        </w:tc>
        <w:tc>
          <w:tcPr>
            <w:tcW w:w="5902" w:type="dxa"/>
          </w:tcPr>
          <w:p w14:paraId="6B62E772" w14:textId="77777777" w:rsidR="00EC1781" w:rsidRPr="0099711C" w:rsidRDefault="00EC1781" w:rsidP="005E637F">
            <w:pPr>
              <w:rPr>
                <w:rFonts w:cstheme="minorHAnsi"/>
              </w:rPr>
            </w:pPr>
            <w:r>
              <w:rPr>
                <w:rFonts w:cstheme="minorHAnsi"/>
              </w:rPr>
              <w:t>Advisor</w:t>
            </w:r>
          </w:p>
        </w:tc>
      </w:tr>
      <w:tr w:rsidR="00EC1781" w:rsidRPr="0099711C" w14:paraId="4AA88339" w14:textId="77777777" w:rsidTr="005E637F">
        <w:tc>
          <w:tcPr>
            <w:tcW w:w="3114" w:type="dxa"/>
          </w:tcPr>
          <w:p w14:paraId="17C4BD5B" w14:textId="77777777" w:rsidR="00EC1781" w:rsidRPr="0099711C" w:rsidRDefault="00EC1781" w:rsidP="005E637F">
            <w:pPr>
              <w:rPr>
                <w:rFonts w:cstheme="minorHAnsi"/>
              </w:rPr>
            </w:pPr>
            <w:r w:rsidRPr="0099711C">
              <w:rPr>
                <w:rFonts w:cstheme="minorHAnsi"/>
              </w:rPr>
              <w:t>Ibu Atnike</w:t>
            </w:r>
          </w:p>
        </w:tc>
        <w:tc>
          <w:tcPr>
            <w:tcW w:w="5902" w:type="dxa"/>
          </w:tcPr>
          <w:p w14:paraId="71A10E25" w14:textId="77777777" w:rsidR="00EC1781" w:rsidRPr="0099711C" w:rsidRDefault="00EC1781" w:rsidP="005E637F">
            <w:pPr>
              <w:rPr>
                <w:rFonts w:cstheme="minorHAnsi"/>
              </w:rPr>
            </w:pPr>
            <w:r w:rsidRPr="0099711C">
              <w:rPr>
                <w:rFonts w:cstheme="minorHAnsi"/>
              </w:rPr>
              <w:t>Yayasan Jurnal Perempuan (publication, research and education for gender equality)</w:t>
            </w:r>
          </w:p>
        </w:tc>
      </w:tr>
      <w:tr w:rsidR="00EC1781" w:rsidRPr="0099711C" w14:paraId="33FF8364" w14:textId="77777777" w:rsidTr="005E637F">
        <w:tc>
          <w:tcPr>
            <w:tcW w:w="3114" w:type="dxa"/>
          </w:tcPr>
          <w:p w14:paraId="3DBEFD32" w14:textId="77777777" w:rsidR="00EC1781" w:rsidRPr="0099711C" w:rsidRDefault="00EC1781" w:rsidP="005E637F">
            <w:pPr>
              <w:rPr>
                <w:rFonts w:cstheme="minorHAnsi"/>
              </w:rPr>
            </w:pPr>
            <w:r w:rsidRPr="0099711C">
              <w:rPr>
                <w:rFonts w:cstheme="minorHAnsi"/>
              </w:rPr>
              <w:t>Ibu Eridani,</w:t>
            </w:r>
          </w:p>
        </w:tc>
        <w:tc>
          <w:tcPr>
            <w:tcW w:w="5902" w:type="dxa"/>
          </w:tcPr>
          <w:p w14:paraId="630438AF" w14:textId="77777777" w:rsidR="00EC1781" w:rsidRPr="0099711C" w:rsidRDefault="00EC1781" w:rsidP="005E637F">
            <w:pPr>
              <w:rPr>
                <w:rFonts w:cstheme="minorHAnsi"/>
              </w:rPr>
            </w:pPr>
            <w:r w:rsidRPr="0099711C">
              <w:rPr>
                <w:rFonts w:cstheme="minorHAnsi"/>
              </w:rPr>
              <w:t>Director, Swara Rahima (Centre for Documentation on Islam and Gender)</w:t>
            </w:r>
          </w:p>
        </w:tc>
      </w:tr>
      <w:tr w:rsidR="00EC1781" w:rsidRPr="0099711C" w14:paraId="05D765A2" w14:textId="77777777" w:rsidTr="005E637F">
        <w:tc>
          <w:tcPr>
            <w:tcW w:w="3114" w:type="dxa"/>
          </w:tcPr>
          <w:p w14:paraId="6C6069CB" w14:textId="77777777" w:rsidR="00EC1781" w:rsidRPr="0099711C" w:rsidRDefault="00EC1781" w:rsidP="005E637F">
            <w:pPr>
              <w:rPr>
                <w:rFonts w:cstheme="minorHAnsi"/>
              </w:rPr>
            </w:pPr>
            <w:r w:rsidRPr="0099711C">
              <w:rPr>
                <w:rFonts w:cstheme="minorHAnsi"/>
              </w:rPr>
              <w:t>Anggi Ermarini</w:t>
            </w:r>
          </w:p>
        </w:tc>
        <w:tc>
          <w:tcPr>
            <w:tcW w:w="5902" w:type="dxa"/>
          </w:tcPr>
          <w:p w14:paraId="49C7821D" w14:textId="77777777" w:rsidR="00EC1781" w:rsidRPr="0099711C" w:rsidRDefault="00EC1781" w:rsidP="005E637F">
            <w:pPr>
              <w:rPr>
                <w:rFonts w:cstheme="minorHAnsi"/>
              </w:rPr>
            </w:pPr>
            <w:r w:rsidRPr="0099711C">
              <w:rPr>
                <w:rFonts w:cstheme="minorHAnsi"/>
              </w:rPr>
              <w:t>Executive Director, PP Fatayat NU (young women’s wing of Nahdlatul Ulama)</w:t>
            </w:r>
          </w:p>
        </w:tc>
      </w:tr>
      <w:tr w:rsidR="00EC1781" w:rsidRPr="0099711C" w14:paraId="6A592739" w14:textId="77777777" w:rsidTr="005E637F">
        <w:tc>
          <w:tcPr>
            <w:tcW w:w="3114" w:type="dxa"/>
          </w:tcPr>
          <w:p w14:paraId="3362BC30" w14:textId="77777777" w:rsidR="00EC1781" w:rsidRPr="0099711C" w:rsidRDefault="00EC1781" w:rsidP="005E637F">
            <w:pPr>
              <w:rPr>
                <w:rFonts w:cstheme="minorHAnsi"/>
              </w:rPr>
            </w:pPr>
            <w:r w:rsidRPr="0099711C">
              <w:rPr>
                <w:rFonts w:cstheme="minorHAnsi"/>
              </w:rPr>
              <w:t xml:space="preserve">Amalia Jayanti </w:t>
            </w:r>
          </w:p>
        </w:tc>
        <w:tc>
          <w:tcPr>
            <w:tcW w:w="5902" w:type="dxa"/>
          </w:tcPr>
          <w:p w14:paraId="6DDA4A16" w14:textId="77777777" w:rsidR="00EC1781" w:rsidRPr="0099711C" w:rsidRDefault="00EC1781" w:rsidP="005E637F">
            <w:pPr>
              <w:rPr>
                <w:rFonts w:cstheme="minorHAnsi"/>
              </w:rPr>
            </w:pPr>
            <w:r w:rsidRPr="0099711C">
              <w:rPr>
                <w:rFonts w:cstheme="minorHAnsi"/>
              </w:rPr>
              <w:t xml:space="preserve">International Relations and Partnership, PP Muslimat NU (women’s wing of Nahdlatul Ulama)  </w:t>
            </w:r>
          </w:p>
        </w:tc>
      </w:tr>
      <w:tr w:rsidR="00EC1781" w:rsidRPr="0099711C" w14:paraId="2B0BE3A7" w14:textId="77777777" w:rsidTr="005E637F">
        <w:tc>
          <w:tcPr>
            <w:tcW w:w="3114" w:type="dxa"/>
          </w:tcPr>
          <w:p w14:paraId="7942B203" w14:textId="77777777" w:rsidR="00EC1781" w:rsidRPr="0099711C" w:rsidRDefault="00EC1781" w:rsidP="005E637F">
            <w:pPr>
              <w:rPr>
                <w:rFonts w:cstheme="minorHAnsi"/>
              </w:rPr>
            </w:pPr>
            <w:r w:rsidRPr="0099711C">
              <w:rPr>
                <w:rFonts w:cstheme="minorHAnsi"/>
              </w:rPr>
              <w:t xml:space="preserve">Siti Kholisoh </w:t>
            </w:r>
          </w:p>
        </w:tc>
        <w:tc>
          <w:tcPr>
            <w:tcW w:w="5902" w:type="dxa"/>
          </w:tcPr>
          <w:p w14:paraId="0EB4040B" w14:textId="77777777" w:rsidR="00EC1781" w:rsidRPr="0099711C" w:rsidRDefault="00EC1781" w:rsidP="005E637F">
            <w:pPr>
              <w:rPr>
                <w:rFonts w:cstheme="minorHAnsi"/>
              </w:rPr>
            </w:pPr>
            <w:r w:rsidRPr="0099711C">
              <w:rPr>
                <w:rFonts w:cstheme="minorHAnsi"/>
              </w:rPr>
              <w:t>Wahid Institute</w:t>
            </w:r>
          </w:p>
        </w:tc>
      </w:tr>
      <w:tr w:rsidR="00EC1781" w:rsidRPr="0099711C" w14:paraId="3CE682FC" w14:textId="77777777" w:rsidTr="005E637F">
        <w:tc>
          <w:tcPr>
            <w:tcW w:w="3114" w:type="dxa"/>
          </w:tcPr>
          <w:p w14:paraId="0229465A" w14:textId="77777777" w:rsidR="00EC1781" w:rsidRPr="0099711C" w:rsidRDefault="00EC1781" w:rsidP="005E637F">
            <w:pPr>
              <w:rPr>
                <w:rFonts w:cstheme="minorHAnsi"/>
              </w:rPr>
            </w:pPr>
            <w:r w:rsidRPr="0099711C">
              <w:rPr>
                <w:rFonts w:cstheme="minorHAnsi"/>
              </w:rPr>
              <w:t xml:space="preserve">Edriana Noerdin </w:t>
            </w:r>
          </w:p>
        </w:tc>
        <w:tc>
          <w:tcPr>
            <w:tcW w:w="5902" w:type="dxa"/>
          </w:tcPr>
          <w:p w14:paraId="047CA585" w14:textId="77777777" w:rsidR="00EC1781" w:rsidRPr="0099711C" w:rsidRDefault="00EC1781" w:rsidP="005E637F">
            <w:pPr>
              <w:rPr>
                <w:rFonts w:cstheme="minorHAnsi"/>
              </w:rPr>
            </w:pPr>
            <w:r w:rsidRPr="0099711C">
              <w:rPr>
                <w:rFonts w:cstheme="minorHAnsi"/>
              </w:rPr>
              <w:t>Research, Director Women’s Research Institute</w:t>
            </w:r>
          </w:p>
        </w:tc>
      </w:tr>
      <w:tr w:rsidR="00EC1781" w:rsidRPr="0099711C" w14:paraId="236EB21B" w14:textId="77777777" w:rsidTr="005E637F">
        <w:tc>
          <w:tcPr>
            <w:tcW w:w="3114" w:type="dxa"/>
          </w:tcPr>
          <w:p w14:paraId="723BD9B2" w14:textId="77777777" w:rsidR="00EC1781" w:rsidRPr="0099711C" w:rsidRDefault="00EC1781" w:rsidP="005E637F">
            <w:pPr>
              <w:rPr>
                <w:rFonts w:cstheme="minorHAnsi"/>
              </w:rPr>
            </w:pPr>
            <w:r w:rsidRPr="0099711C">
              <w:rPr>
                <w:rFonts w:cstheme="minorHAnsi"/>
              </w:rPr>
              <w:t>Yohana Tantria</w:t>
            </w:r>
          </w:p>
        </w:tc>
        <w:tc>
          <w:tcPr>
            <w:tcW w:w="5902" w:type="dxa"/>
          </w:tcPr>
          <w:p w14:paraId="7D1B829D" w14:textId="77777777" w:rsidR="00EC1781" w:rsidRPr="0099711C" w:rsidRDefault="00EC1781" w:rsidP="005E637F">
            <w:pPr>
              <w:rPr>
                <w:rFonts w:cstheme="minorHAnsi"/>
              </w:rPr>
            </w:pPr>
            <w:r w:rsidRPr="0099711C">
              <w:rPr>
                <w:rFonts w:cstheme="minorHAnsi"/>
              </w:rPr>
              <w:t>Kalyanamitra Foundation (centre for information and communication on women’s issues)</w:t>
            </w:r>
          </w:p>
        </w:tc>
      </w:tr>
      <w:tr w:rsidR="00EC1781" w:rsidRPr="0099711C" w14:paraId="03A4CABA" w14:textId="77777777" w:rsidTr="005E637F">
        <w:tc>
          <w:tcPr>
            <w:tcW w:w="3114" w:type="dxa"/>
          </w:tcPr>
          <w:p w14:paraId="68B36D07" w14:textId="77777777" w:rsidR="00EC1781" w:rsidRPr="0099711C" w:rsidRDefault="00EC1781" w:rsidP="005E637F">
            <w:pPr>
              <w:rPr>
                <w:rFonts w:cstheme="minorHAnsi"/>
              </w:rPr>
            </w:pPr>
            <w:r w:rsidRPr="0099711C">
              <w:rPr>
                <w:rFonts w:cstheme="minorHAnsi"/>
              </w:rPr>
              <w:t xml:space="preserve">Mohammad Firdaus </w:t>
            </w:r>
          </w:p>
        </w:tc>
        <w:tc>
          <w:tcPr>
            <w:tcW w:w="5902" w:type="dxa"/>
          </w:tcPr>
          <w:p w14:paraId="466AA0BA" w14:textId="26799BD2" w:rsidR="00EC1781" w:rsidRPr="0099711C" w:rsidRDefault="00EC1781" w:rsidP="005E637F">
            <w:pPr>
              <w:rPr>
                <w:rFonts w:cstheme="minorHAnsi"/>
              </w:rPr>
            </w:pPr>
            <w:r w:rsidRPr="0099711C">
              <w:rPr>
                <w:rFonts w:cstheme="minorHAnsi"/>
              </w:rPr>
              <w:t xml:space="preserve">Advisor, former deputy, ASSPUK (Women’s Small Business </w:t>
            </w:r>
            <w:r w:rsidR="0077583F" w:rsidRPr="0099711C">
              <w:rPr>
                <w:rFonts w:cstheme="minorHAnsi"/>
              </w:rPr>
              <w:t>Partners Association</w:t>
            </w:r>
            <w:r w:rsidRPr="0099711C">
              <w:rPr>
                <w:rFonts w:cstheme="minorHAnsi"/>
              </w:rPr>
              <w:t>)</w:t>
            </w:r>
          </w:p>
        </w:tc>
      </w:tr>
      <w:tr w:rsidR="00EC1781" w:rsidRPr="0099711C" w14:paraId="495D1AE9" w14:textId="77777777" w:rsidTr="005E637F">
        <w:tc>
          <w:tcPr>
            <w:tcW w:w="3114" w:type="dxa"/>
          </w:tcPr>
          <w:p w14:paraId="6401FC2A" w14:textId="77777777" w:rsidR="00EC1781" w:rsidRPr="0099711C" w:rsidRDefault="00EC1781" w:rsidP="005E637F">
            <w:pPr>
              <w:rPr>
                <w:rFonts w:cstheme="minorHAnsi"/>
              </w:rPr>
            </w:pPr>
            <w:r w:rsidRPr="0099711C">
              <w:rPr>
                <w:rFonts w:cstheme="minorHAnsi"/>
              </w:rPr>
              <w:t xml:space="preserve">Hartaty </w:t>
            </w:r>
          </w:p>
        </w:tc>
        <w:tc>
          <w:tcPr>
            <w:tcW w:w="5902" w:type="dxa"/>
          </w:tcPr>
          <w:p w14:paraId="3B33B2BF" w14:textId="77777777" w:rsidR="00EC1781" w:rsidRPr="0099711C" w:rsidRDefault="00EC1781" w:rsidP="005E637F">
            <w:pPr>
              <w:rPr>
                <w:rFonts w:cstheme="minorHAnsi"/>
              </w:rPr>
            </w:pPr>
            <w:r w:rsidRPr="0099711C">
              <w:rPr>
                <w:rFonts w:cstheme="minorHAnsi"/>
              </w:rPr>
              <w:t>Project assistant, ASSPUK</w:t>
            </w:r>
          </w:p>
        </w:tc>
      </w:tr>
      <w:tr w:rsidR="00EC1781" w:rsidRPr="0099711C" w14:paraId="5B3B7539" w14:textId="77777777" w:rsidTr="005E637F">
        <w:tc>
          <w:tcPr>
            <w:tcW w:w="3114" w:type="dxa"/>
          </w:tcPr>
          <w:p w14:paraId="13DE281A" w14:textId="77777777" w:rsidR="00EC1781" w:rsidRPr="0099711C" w:rsidRDefault="00EC1781" w:rsidP="005E637F">
            <w:pPr>
              <w:rPr>
                <w:rFonts w:cstheme="minorHAnsi"/>
              </w:rPr>
            </w:pPr>
            <w:r>
              <w:rPr>
                <w:rFonts w:cstheme="minorHAnsi"/>
              </w:rPr>
              <w:t>Ibu Francisca Fitri</w:t>
            </w:r>
          </w:p>
        </w:tc>
        <w:tc>
          <w:tcPr>
            <w:tcW w:w="5902" w:type="dxa"/>
          </w:tcPr>
          <w:p w14:paraId="4CB51D8D" w14:textId="77777777" w:rsidR="00EC1781" w:rsidRPr="0099711C" w:rsidRDefault="00EC1781" w:rsidP="005E637F">
            <w:pPr>
              <w:rPr>
                <w:rFonts w:cstheme="minorHAnsi"/>
              </w:rPr>
            </w:pPr>
            <w:r>
              <w:rPr>
                <w:rFonts w:cstheme="minorHAnsi"/>
              </w:rPr>
              <w:t>Executive Director, Yappika</w:t>
            </w:r>
          </w:p>
        </w:tc>
      </w:tr>
      <w:tr w:rsidR="00EC1781" w:rsidRPr="0099711C" w14:paraId="29AD47C4" w14:textId="77777777" w:rsidTr="005E637F">
        <w:tc>
          <w:tcPr>
            <w:tcW w:w="3114" w:type="dxa"/>
          </w:tcPr>
          <w:p w14:paraId="130D0518" w14:textId="77777777" w:rsidR="00EC1781" w:rsidRPr="0099711C" w:rsidRDefault="00EC1781" w:rsidP="005E637F">
            <w:pPr>
              <w:rPr>
                <w:rFonts w:cstheme="minorHAnsi"/>
              </w:rPr>
            </w:pPr>
            <w:r>
              <w:rPr>
                <w:rFonts w:cstheme="minorHAnsi"/>
              </w:rPr>
              <w:t>Bapak Roy Tjiong</w:t>
            </w:r>
          </w:p>
        </w:tc>
        <w:tc>
          <w:tcPr>
            <w:tcW w:w="5902" w:type="dxa"/>
          </w:tcPr>
          <w:p w14:paraId="75892715" w14:textId="77777777" w:rsidR="00EC1781" w:rsidRPr="0099711C" w:rsidRDefault="00EC1781" w:rsidP="005E637F">
            <w:pPr>
              <w:rPr>
                <w:rFonts w:cstheme="minorHAnsi"/>
              </w:rPr>
            </w:pPr>
            <w:r>
              <w:rPr>
                <w:rFonts w:cstheme="minorHAnsi"/>
              </w:rPr>
              <w:t>Gender and organisational development advisor, Remdec Swaprakarsa</w:t>
            </w:r>
          </w:p>
        </w:tc>
      </w:tr>
      <w:tr w:rsidR="00EC1781" w:rsidRPr="0099711C" w14:paraId="76C02327" w14:textId="77777777" w:rsidTr="005E637F">
        <w:tc>
          <w:tcPr>
            <w:tcW w:w="3114" w:type="dxa"/>
          </w:tcPr>
          <w:p w14:paraId="77A6FCD9" w14:textId="77777777" w:rsidR="00EC1781" w:rsidRPr="0099711C" w:rsidRDefault="00EC1781" w:rsidP="005E637F">
            <w:pPr>
              <w:rPr>
                <w:rFonts w:cstheme="minorHAnsi"/>
              </w:rPr>
            </w:pPr>
            <w:r>
              <w:rPr>
                <w:rFonts w:cstheme="minorHAnsi"/>
              </w:rPr>
              <w:t>Bapak Ronald Rofiandri</w:t>
            </w:r>
          </w:p>
        </w:tc>
        <w:tc>
          <w:tcPr>
            <w:tcW w:w="5902" w:type="dxa"/>
          </w:tcPr>
          <w:p w14:paraId="5C3EF815" w14:textId="77777777" w:rsidR="00EC1781" w:rsidRPr="0099711C" w:rsidRDefault="00EC1781" w:rsidP="005E637F">
            <w:pPr>
              <w:rPr>
                <w:rFonts w:cstheme="minorHAnsi"/>
              </w:rPr>
            </w:pPr>
            <w:r>
              <w:rPr>
                <w:rFonts w:cstheme="minorHAnsi"/>
              </w:rPr>
              <w:t>PSHK</w:t>
            </w:r>
          </w:p>
        </w:tc>
      </w:tr>
      <w:tr w:rsidR="00EC1781" w:rsidRPr="0099711C" w14:paraId="13726D95" w14:textId="77777777" w:rsidTr="005E637F">
        <w:tc>
          <w:tcPr>
            <w:tcW w:w="3114" w:type="dxa"/>
          </w:tcPr>
          <w:p w14:paraId="2E28D12A" w14:textId="77777777" w:rsidR="00EC1781" w:rsidRPr="0099711C" w:rsidRDefault="00EC1781" w:rsidP="005E637F">
            <w:pPr>
              <w:rPr>
                <w:rFonts w:cstheme="minorHAnsi"/>
              </w:rPr>
            </w:pPr>
            <w:r>
              <w:rPr>
                <w:rFonts w:cstheme="minorHAnsi"/>
              </w:rPr>
              <w:t>Ibu Sely Martini</w:t>
            </w:r>
          </w:p>
        </w:tc>
        <w:tc>
          <w:tcPr>
            <w:tcW w:w="5902" w:type="dxa"/>
          </w:tcPr>
          <w:p w14:paraId="6EECF4A6" w14:textId="77777777" w:rsidR="00EC1781" w:rsidRPr="0099711C" w:rsidRDefault="00EC1781" w:rsidP="005E637F">
            <w:pPr>
              <w:rPr>
                <w:rFonts w:cstheme="minorHAnsi"/>
              </w:rPr>
            </w:pPr>
            <w:r>
              <w:rPr>
                <w:rFonts w:cstheme="minorHAnsi"/>
              </w:rPr>
              <w:t xml:space="preserve">Director, Akatiga </w:t>
            </w:r>
          </w:p>
        </w:tc>
      </w:tr>
      <w:tr w:rsidR="00EC1781" w:rsidRPr="0099711C" w14:paraId="7B23EDFB" w14:textId="77777777" w:rsidTr="005E637F">
        <w:tc>
          <w:tcPr>
            <w:tcW w:w="3114" w:type="dxa"/>
          </w:tcPr>
          <w:p w14:paraId="27E2A88D" w14:textId="77777777" w:rsidR="00EC1781" w:rsidRPr="0099711C" w:rsidRDefault="00EC1781" w:rsidP="005E637F">
            <w:pPr>
              <w:rPr>
                <w:rFonts w:cstheme="minorHAnsi"/>
              </w:rPr>
            </w:pPr>
            <w:r>
              <w:rPr>
                <w:rFonts w:cstheme="minorHAnsi"/>
              </w:rPr>
              <w:t>Ibu Nor Hiqmah</w:t>
            </w:r>
          </w:p>
        </w:tc>
        <w:tc>
          <w:tcPr>
            <w:tcW w:w="5902" w:type="dxa"/>
          </w:tcPr>
          <w:p w14:paraId="3D68DE46" w14:textId="77777777" w:rsidR="00EC1781" w:rsidRPr="0099711C" w:rsidRDefault="00EC1781" w:rsidP="005E637F">
            <w:pPr>
              <w:rPr>
                <w:rFonts w:cstheme="minorHAnsi"/>
              </w:rPr>
            </w:pPr>
            <w:r>
              <w:rPr>
                <w:rFonts w:cstheme="minorHAnsi"/>
              </w:rPr>
              <w:t>Directo, PIRAC</w:t>
            </w:r>
          </w:p>
        </w:tc>
      </w:tr>
      <w:tr w:rsidR="00EC1781" w:rsidRPr="0099711C" w14:paraId="36D3EC53" w14:textId="77777777" w:rsidTr="005E637F">
        <w:tc>
          <w:tcPr>
            <w:tcW w:w="3114" w:type="dxa"/>
          </w:tcPr>
          <w:p w14:paraId="2C6DAC1F" w14:textId="77777777" w:rsidR="00EC1781" w:rsidRPr="0099711C" w:rsidRDefault="00EC1781" w:rsidP="005E637F">
            <w:pPr>
              <w:rPr>
                <w:rFonts w:cstheme="minorHAnsi"/>
              </w:rPr>
            </w:pPr>
            <w:r>
              <w:rPr>
                <w:rFonts w:cstheme="minorHAnsi"/>
              </w:rPr>
              <w:t>Anik Wusari</w:t>
            </w:r>
          </w:p>
        </w:tc>
        <w:tc>
          <w:tcPr>
            <w:tcW w:w="5902" w:type="dxa"/>
          </w:tcPr>
          <w:p w14:paraId="0670F782" w14:textId="77777777" w:rsidR="00EC1781" w:rsidRPr="0099711C" w:rsidRDefault="00EC1781" w:rsidP="005E637F">
            <w:pPr>
              <w:rPr>
                <w:rFonts w:cstheme="minorHAnsi"/>
              </w:rPr>
            </w:pPr>
            <w:r>
              <w:rPr>
                <w:rFonts w:cstheme="minorHAnsi"/>
              </w:rPr>
              <w:t>IKA</w:t>
            </w:r>
          </w:p>
        </w:tc>
      </w:tr>
      <w:tr w:rsidR="00EC1781" w:rsidRPr="0099711C" w14:paraId="79B06336" w14:textId="77777777" w:rsidTr="005E637F">
        <w:tc>
          <w:tcPr>
            <w:tcW w:w="3114" w:type="dxa"/>
          </w:tcPr>
          <w:p w14:paraId="7B1E0B88" w14:textId="77777777" w:rsidR="00EC1781" w:rsidRDefault="00EC1781" w:rsidP="005E637F">
            <w:pPr>
              <w:rPr>
                <w:rFonts w:cstheme="minorHAnsi"/>
              </w:rPr>
            </w:pPr>
            <w:r>
              <w:rPr>
                <w:rFonts w:cstheme="minorHAnsi"/>
              </w:rPr>
              <w:t>Ibu Serlyeti Pulu</w:t>
            </w:r>
          </w:p>
        </w:tc>
        <w:tc>
          <w:tcPr>
            <w:tcW w:w="5902" w:type="dxa"/>
          </w:tcPr>
          <w:p w14:paraId="4AAD6960" w14:textId="77777777" w:rsidR="00EC1781" w:rsidRDefault="00EC1781" w:rsidP="005E637F">
            <w:pPr>
              <w:rPr>
                <w:rFonts w:cstheme="minorHAnsi"/>
              </w:rPr>
            </w:pPr>
            <w:r>
              <w:rPr>
                <w:rFonts w:cstheme="minorHAnsi"/>
              </w:rPr>
              <w:t>Executive Director, Konsil LSM</w:t>
            </w:r>
          </w:p>
        </w:tc>
      </w:tr>
      <w:tr w:rsidR="00EC1781" w:rsidRPr="0099711C" w14:paraId="62C7200B" w14:textId="77777777" w:rsidTr="005E637F">
        <w:tc>
          <w:tcPr>
            <w:tcW w:w="3114" w:type="dxa"/>
          </w:tcPr>
          <w:p w14:paraId="7EDAF890" w14:textId="77777777" w:rsidR="00EC1781" w:rsidRDefault="00EC1781" w:rsidP="005E637F">
            <w:pPr>
              <w:rPr>
                <w:rFonts w:cstheme="minorHAnsi"/>
              </w:rPr>
            </w:pPr>
            <w:r>
              <w:rPr>
                <w:rFonts w:cstheme="minorHAnsi"/>
              </w:rPr>
              <w:t>Ibu Dian Rosdiana</w:t>
            </w:r>
          </w:p>
        </w:tc>
        <w:tc>
          <w:tcPr>
            <w:tcW w:w="5902" w:type="dxa"/>
          </w:tcPr>
          <w:p w14:paraId="317EA686" w14:textId="77777777" w:rsidR="00EC1781" w:rsidRDefault="00EC1781" w:rsidP="005E637F">
            <w:pPr>
              <w:rPr>
                <w:rFonts w:cstheme="minorHAnsi"/>
              </w:rPr>
            </w:pPr>
            <w:r>
              <w:rPr>
                <w:rFonts w:cstheme="minorHAnsi"/>
              </w:rPr>
              <w:t>Executive Director, CCPHI</w:t>
            </w:r>
          </w:p>
        </w:tc>
      </w:tr>
      <w:tr w:rsidR="00EC1781" w:rsidRPr="0099711C" w14:paraId="23B14526" w14:textId="77777777" w:rsidTr="005E637F">
        <w:tc>
          <w:tcPr>
            <w:tcW w:w="3114" w:type="dxa"/>
          </w:tcPr>
          <w:p w14:paraId="0C253D23" w14:textId="77777777" w:rsidR="00EC1781" w:rsidRDefault="00EC1781" w:rsidP="005E637F">
            <w:pPr>
              <w:rPr>
                <w:rFonts w:cstheme="minorHAnsi"/>
              </w:rPr>
            </w:pPr>
            <w:r>
              <w:rPr>
                <w:rFonts w:cstheme="minorHAnsi"/>
              </w:rPr>
              <w:t>Sugeng Bahagijo</w:t>
            </w:r>
          </w:p>
        </w:tc>
        <w:tc>
          <w:tcPr>
            <w:tcW w:w="5902" w:type="dxa"/>
          </w:tcPr>
          <w:p w14:paraId="0BA713DA" w14:textId="77777777" w:rsidR="00EC1781" w:rsidRDefault="00EC1781" w:rsidP="005E637F">
            <w:pPr>
              <w:rPr>
                <w:rFonts w:cstheme="minorHAnsi"/>
              </w:rPr>
            </w:pPr>
            <w:r>
              <w:rPr>
                <w:rFonts w:cstheme="minorHAnsi"/>
              </w:rPr>
              <w:t>Executive Director, INFID</w:t>
            </w:r>
          </w:p>
        </w:tc>
      </w:tr>
      <w:tr w:rsidR="00EC1781" w:rsidRPr="0099711C" w14:paraId="6CBFC68A" w14:textId="77777777" w:rsidTr="005E637F">
        <w:tc>
          <w:tcPr>
            <w:tcW w:w="3114" w:type="dxa"/>
          </w:tcPr>
          <w:p w14:paraId="62B68A0F" w14:textId="77777777" w:rsidR="00EC1781" w:rsidRPr="0099711C" w:rsidRDefault="00EC1781" w:rsidP="005E637F">
            <w:pPr>
              <w:rPr>
                <w:rFonts w:cstheme="minorHAnsi"/>
              </w:rPr>
            </w:pPr>
            <w:r w:rsidRPr="0099711C">
              <w:rPr>
                <w:rFonts w:cstheme="minorHAnsi"/>
              </w:rPr>
              <w:t>Kristi Praptiwi</w:t>
            </w:r>
          </w:p>
        </w:tc>
        <w:tc>
          <w:tcPr>
            <w:tcW w:w="5902" w:type="dxa"/>
          </w:tcPr>
          <w:p w14:paraId="0FDB57B0" w14:textId="77777777" w:rsidR="00EC1781" w:rsidRPr="0099711C" w:rsidRDefault="00EC1781" w:rsidP="005E637F">
            <w:pPr>
              <w:rPr>
                <w:rFonts w:cstheme="minorHAnsi"/>
              </w:rPr>
            </w:pPr>
            <w:r w:rsidRPr="0099711C">
              <w:rPr>
                <w:rFonts w:cstheme="minorHAnsi"/>
              </w:rPr>
              <w:t>OXFAM</w:t>
            </w:r>
          </w:p>
        </w:tc>
      </w:tr>
      <w:tr w:rsidR="00EC1781" w:rsidRPr="0099711C" w14:paraId="158954F7" w14:textId="77777777" w:rsidTr="005E637F">
        <w:tc>
          <w:tcPr>
            <w:tcW w:w="3114" w:type="dxa"/>
          </w:tcPr>
          <w:p w14:paraId="1430808A" w14:textId="77777777" w:rsidR="00EC1781" w:rsidRPr="0099711C" w:rsidRDefault="00EC1781" w:rsidP="005E637F">
            <w:pPr>
              <w:rPr>
                <w:rFonts w:cstheme="minorHAnsi"/>
              </w:rPr>
            </w:pPr>
            <w:r w:rsidRPr="0099711C">
              <w:rPr>
                <w:rFonts w:cstheme="minorHAnsi"/>
              </w:rPr>
              <w:t>Ishma F. Soepriadi</w:t>
            </w:r>
          </w:p>
        </w:tc>
        <w:tc>
          <w:tcPr>
            <w:tcW w:w="5902" w:type="dxa"/>
          </w:tcPr>
          <w:p w14:paraId="23BFF0E5" w14:textId="77777777" w:rsidR="00EC1781" w:rsidRPr="0099711C" w:rsidRDefault="00EC1781" w:rsidP="005E637F">
            <w:pPr>
              <w:rPr>
                <w:rFonts w:cstheme="minorHAnsi"/>
              </w:rPr>
            </w:pPr>
            <w:r w:rsidRPr="0099711C">
              <w:rPr>
                <w:rFonts w:cstheme="minorHAnsi"/>
              </w:rPr>
              <w:t>OXFAM</w:t>
            </w:r>
          </w:p>
        </w:tc>
      </w:tr>
      <w:tr w:rsidR="00EC1781" w:rsidRPr="0099711C" w14:paraId="6D6CE254" w14:textId="77777777" w:rsidTr="005E637F">
        <w:tc>
          <w:tcPr>
            <w:tcW w:w="3114" w:type="dxa"/>
          </w:tcPr>
          <w:p w14:paraId="508D3E0E" w14:textId="342EFA4A" w:rsidR="00EC1781" w:rsidRPr="0099711C" w:rsidRDefault="00342173" w:rsidP="005E637F">
            <w:pPr>
              <w:rPr>
                <w:rFonts w:cstheme="minorHAnsi"/>
              </w:rPr>
            </w:pPr>
            <w:r>
              <w:rPr>
                <w:rFonts w:cstheme="minorHAnsi"/>
              </w:rPr>
              <w:t>Siska Dewi Noya</w:t>
            </w:r>
          </w:p>
        </w:tc>
        <w:tc>
          <w:tcPr>
            <w:tcW w:w="5902" w:type="dxa"/>
          </w:tcPr>
          <w:p w14:paraId="55926D03" w14:textId="77777777" w:rsidR="00EC1781" w:rsidRPr="0099711C" w:rsidRDefault="00EC1781" w:rsidP="005E637F">
            <w:pPr>
              <w:rPr>
                <w:rFonts w:cstheme="minorHAnsi"/>
              </w:rPr>
            </w:pPr>
            <w:r w:rsidRPr="0099711C">
              <w:rPr>
                <w:rFonts w:cstheme="minorHAnsi"/>
              </w:rPr>
              <w:t>Project Manager, Voice Indonesia, HIVOS</w:t>
            </w:r>
          </w:p>
        </w:tc>
      </w:tr>
      <w:tr w:rsidR="00EC1781" w:rsidRPr="0099711C" w14:paraId="19D05F43" w14:textId="77777777" w:rsidTr="005E637F">
        <w:tc>
          <w:tcPr>
            <w:tcW w:w="3114" w:type="dxa"/>
          </w:tcPr>
          <w:p w14:paraId="0533B358" w14:textId="77777777" w:rsidR="00EC1781" w:rsidRPr="0099711C" w:rsidRDefault="00EC1781" w:rsidP="005E637F">
            <w:pPr>
              <w:rPr>
                <w:rFonts w:cstheme="minorHAnsi"/>
              </w:rPr>
            </w:pPr>
            <w:r w:rsidRPr="0099711C">
              <w:rPr>
                <w:rFonts w:cstheme="minorHAnsi"/>
              </w:rPr>
              <w:t>Lies Marcoes</w:t>
            </w:r>
          </w:p>
        </w:tc>
        <w:tc>
          <w:tcPr>
            <w:tcW w:w="5902" w:type="dxa"/>
          </w:tcPr>
          <w:p w14:paraId="2B73F024" w14:textId="77777777" w:rsidR="00EC1781" w:rsidRPr="0099711C" w:rsidRDefault="00EC1781" w:rsidP="005E637F">
            <w:pPr>
              <w:rPr>
                <w:rFonts w:cstheme="minorHAnsi"/>
              </w:rPr>
            </w:pPr>
            <w:r w:rsidRPr="0099711C">
              <w:rPr>
                <w:rFonts w:cstheme="minorHAnsi"/>
              </w:rPr>
              <w:t xml:space="preserve">Rumah Kitab </w:t>
            </w:r>
          </w:p>
        </w:tc>
      </w:tr>
      <w:tr w:rsidR="00EC1781" w:rsidRPr="0099711C" w14:paraId="6C4A83CF" w14:textId="77777777" w:rsidTr="005E637F">
        <w:tc>
          <w:tcPr>
            <w:tcW w:w="3114" w:type="dxa"/>
          </w:tcPr>
          <w:p w14:paraId="69E33A12" w14:textId="77777777" w:rsidR="00EC1781" w:rsidRPr="0099711C" w:rsidRDefault="00EC1781" w:rsidP="005E637F">
            <w:pPr>
              <w:rPr>
                <w:rFonts w:cstheme="minorHAnsi"/>
              </w:rPr>
            </w:pPr>
            <w:r w:rsidRPr="0099711C">
              <w:rPr>
                <w:rFonts w:cstheme="minorHAnsi"/>
              </w:rPr>
              <w:t>Iva Hasanah</w:t>
            </w:r>
          </w:p>
        </w:tc>
        <w:tc>
          <w:tcPr>
            <w:tcW w:w="5902" w:type="dxa"/>
          </w:tcPr>
          <w:p w14:paraId="4D37AF3D" w14:textId="77777777" w:rsidR="00EC1781" w:rsidRPr="0099711C" w:rsidRDefault="00EC1781" w:rsidP="005E637F">
            <w:pPr>
              <w:rPr>
                <w:rFonts w:cstheme="minorHAnsi"/>
              </w:rPr>
            </w:pPr>
            <w:r w:rsidRPr="0099711C">
              <w:rPr>
                <w:rFonts w:cstheme="minorHAnsi"/>
              </w:rPr>
              <w:t>Director KPS2K/Member of steering committee Gender Watch Program – MAMPU – district of Gresik</w:t>
            </w:r>
          </w:p>
        </w:tc>
      </w:tr>
      <w:tr w:rsidR="00EC1781" w:rsidRPr="0099711C" w14:paraId="7378ACA7" w14:textId="77777777" w:rsidTr="005E637F">
        <w:tc>
          <w:tcPr>
            <w:tcW w:w="3114" w:type="dxa"/>
          </w:tcPr>
          <w:p w14:paraId="01AF9570" w14:textId="77777777" w:rsidR="00EC1781" w:rsidRPr="0099711C" w:rsidRDefault="00EC1781" w:rsidP="005E637F">
            <w:pPr>
              <w:rPr>
                <w:rFonts w:cstheme="minorHAnsi"/>
              </w:rPr>
            </w:pPr>
            <w:r w:rsidRPr="0099711C">
              <w:rPr>
                <w:rFonts w:cstheme="minorHAnsi"/>
              </w:rPr>
              <w:t>L. Irma Wardhani</w:t>
            </w:r>
          </w:p>
        </w:tc>
        <w:tc>
          <w:tcPr>
            <w:tcW w:w="5902" w:type="dxa"/>
          </w:tcPr>
          <w:p w14:paraId="48049944" w14:textId="77777777" w:rsidR="00EC1781" w:rsidRPr="0099711C" w:rsidRDefault="00EC1781" w:rsidP="005E637F">
            <w:pPr>
              <w:rPr>
                <w:rFonts w:cstheme="minorHAnsi"/>
              </w:rPr>
            </w:pPr>
            <w:r w:rsidRPr="0099711C">
              <w:rPr>
                <w:rFonts w:cstheme="minorHAnsi"/>
              </w:rPr>
              <w:t>Gresik Office of Family Planning and Women Empowerment and Child Protection</w:t>
            </w:r>
          </w:p>
        </w:tc>
      </w:tr>
      <w:tr w:rsidR="00EC1781" w:rsidRPr="0099711C" w14:paraId="5759C14E" w14:textId="77777777" w:rsidTr="005E637F">
        <w:tc>
          <w:tcPr>
            <w:tcW w:w="3114" w:type="dxa"/>
          </w:tcPr>
          <w:p w14:paraId="77848989" w14:textId="77777777" w:rsidR="00EC1781" w:rsidRPr="0099711C" w:rsidRDefault="00EC1781" w:rsidP="005E637F">
            <w:pPr>
              <w:rPr>
                <w:rFonts w:cstheme="minorHAnsi"/>
              </w:rPr>
            </w:pPr>
            <w:r w:rsidRPr="0099711C">
              <w:rPr>
                <w:rFonts w:cstheme="minorHAnsi"/>
              </w:rPr>
              <w:t>Rumi Handayani</w:t>
            </w:r>
          </w:p>
        </w:tc>
        <w:tc>
          <w:tcPr>
            <w:tcW w:w="5902" w:type="dxa"/>
          </w:tcPr>
          <w:p w14:paraId="329D4B2D" w14:textId="77777777" w:rsidR="00EC1781" w:rsidRPr="0099711C" w:rsidRDefault="00EC1781" w:rsidP="005E637F">
            <w:pPr>
              <w:rPr>
                <w:rFonts w:cstheme="minorHAnsi"/>
              </w:rPr>
            </w:pPr>
            <w:r w:rsidRPr="0099711C">
              <w:rPr>
                <w:rFonts w:cstheme="minorHAnsi"/>
              </w:rPr>
              <w:t>Program Coordinator – KPS2K</w:t>
            </w:r>
          </w:p>
        </w:tc>
      </w:tr>
      <w:tr w:rsidR="00EC1781" w:rsidRPr="0099711C" w14:paraId="14907455" w14:textId="77777777" w:rsidTr="005E637F">
        <w:tc>
          <w:tcPr>
            <w:tcW w:w="3114" w:type="dxa"/>
          </w:tcPr>
          <w:p w14:paraId="2959C3E0" w14:textId="77777777" w:rsidR="00EC1781" w:rsidRPr="0099711C" w:rsidRDefault="00EC1781" w:rsidP="005E637F">
            <w:pPr>
              <w:rPr>
                <w:rFonts w:cstheme="minorHAnsi"/>
              </w:rPr>
            </w:pPr>
            <w:r w:rsidRPr="0099711C">
              <w:rPr>
                <w:rFonts w:cstheme="minorHAnsi"/>
              </w:rPr>
              <w:t>Soerati Mardhiyaningsih</w:t>
            </w:r>
          </w:p>
        </w:tc>
        <w:tc>
          <w:tcPr>
            <w:tcW w:w="5902" w:type="dxa"/>
          </w:tcPr>
          <w:p w14:paraId="73BC297C" w14:textId="77777777" w:rsidR="00EC1781" w:rsidRPr="0099711C" w:rsidRDefault="00EC1781" w:rsidP="005E637F">
            <w:pPr>
              <w:rPr>
                <w:rFonts w:cstheme="minorHAnsi"/>
              </w:rPr>
            </w:pPr>
            <w:r w:rsidRPr="0099711C">
              <w:rPr>
                <w:rFonts w:cstheme="minorHAnsi"/>
              </w:rPr>
              <w:t>Gresik Office of Family Planning and Women Empowerment and Child Protection</w:t>
            </w:r>
          </w:p>
        </w:tc>
      </w:tr>
      <w:tr w:rsidR="00EC1781" w:rsidRPr="0099711C" w14:paraId="5AB4DED5" w14:textId="77777777" w:rsidTr="005E637F">
        <w:tc>
          <w:tcPr>
            <w:tcW w:w="3114" w:type="dxa"/>
          </w:tcPr>
          <w:p w14:paraId="04CBA524" w14:textId="77777777" w:rsidR="00EC1781" w:rsidRPr="0099711C" w:rsidRDefault="00EC1781" w:rsidP="005E637F">
            <w:pPr>
              <w:rPr>
                <w:rFonts w:cstheme="minorHAnsi"/>
              </w:rPr>
            </w:pPr>
            <w:r w:rsidRPr="0099711C">
              <w:rPr>
                <w:rFonts w:cstheme="minorHAnsi"/>
              </w:rPr>
              <w:t>Sri Yoeti Ambarwati</w:t>
            </w:r>
          </w:p>
        </w:tc>
        <w:tc>
          <w:tcPr>
            <w:tcW w:w="5902" w:type="dxa"/>
          </w:tcPr>
          <w:p w14:paraId="138B1BC4" w14:textId="77777777" w:rsidR="00EC1781" w:rsidRPr="0099711C" w:rsidRDefault="00EC1781" w:rsidP="005E637F">
            <w:pPr>
              <w:rPr>
                <w:rFonts w:cstheme="minorHAnsi"/>
              </w:rPr>
            </w:pPr>
            <w:r w:rsidRPr="0099711C">
              <w:rPr>
                <w:rFonts w:cstheme="minorHAnsi"/>
              </w:rPr>
              <w:t>Gresik Office of Family Planning and Women Empowerment and Child Protection</w:t>
            </w:r>
          </w:p>
        </w:tc>
      </w:tr>
      <w:tr w:rsidR="00EC1781" w:rsidRPr="0099711C" w14:paraId="191BAC4C" w14:textId="77777777" w:rsidTr="005E637F">
        <w:tc>
          <w:tcPr>
            <w:tcW w:w="3114" w:type="dxa"/>
          </w:tcPr>
          <w:p w14:paraId="67D566CC" w14:textId="77777777" w:rsidR="00EC1781" w:rsidRPr="0099711C" w:rsidRDefault="00EC1781" w:rsidP="005E637F">
            <w:pPr>
              <w:rPr>
                <w:rFonts w:cstheme="minorHAnsi"/>
              </w:rPr>
            </w:pPr>
            <w:r w:rsidRPr="0099711C">
              <w:rPr>
                <w:rFonts w:cstheme="minorHAnsi"/>
              </w:rPr>
              <w:t>Naily Itqiana</w:t>
            </w:r>
          </w:p>
        </w:tc>
        <w:tc>
          <w:tcPr>
            <w:tcW w:w="5902" w:type="dxa"/>
          </w:tcPr>
          <w:p w14:paraId="00D57CA6" w14:textId="77777777" w:rsidR="00EC1781" w:rsidRPr="0099711C" w:rsidRDefault="00EC1781" w:rsidP="005E637F">
            <w:pPr>
              <w:rPr>
                <w:rFonts w:cstheme="minorHAnsi"/>
              </w:rPr>
            </w:pPr>
            <w:r w:rsidRPr="0099711C">
              <w:rPr>
                <w:rFonts w:cstheme="minorHAnsi"/>
              </w:rPr>
              <w:t>Gresik Bappeda</w:t>
            </w:r>
          </w:p>
        </w:tc>
      </w:tr>
      <w:tr w:rsidR="00EC1781" w:rsidRPr="0099711C" w14:paraId="22E5287B" w14:textId="77777777" w:rsidTr="005E637F">
        <w:tc>
          <w:tcPr>
            <w:tcW w:w="3114" w:type="dxa"/>
          </w:tcPr>
          <w:p w14:paraId="55AD97BB" w14:textId="77777777" w:rsidR="00EC1781" w:rsidRPr="0099711C" w:rsidRDefault="00EC1781" w:rsidP="005E637F">
            <w:pPr>
              <w:rPr>
                <w:rFonts w:cstheme="minorHAnsi"/>
              </w:rPr>
            </w:pPr>
            <w:r w:rsidRPr="0099711C">
              <w:rPr>
                <w:rFonts w:cstheme="minorHAnsi"/>
              </w:rPr>
              <w:t>Joyo Prawoto</w:t>
            </w:r>
          </w:p>
        </w:tc>
        <w:tc>
          <w:tcPr>
            <w:tcW w:w="5902" w:type="dxa"/>
          </w:tcPr>
          <w:p w14:paraId="7FA2C825" w14:textId="77777777" w:rsidR="00EC1781" w:rsidRPr="0099711C" w:rsidRDefault="00EC1781" w:rsidP="005E637F">
            <w:pPr>
              <w:rPr>
                <w:rFonts w:cstheme="minorHAnsi"/>
              </w:rPr>
            </w:pPr>
            <w:r w:rsidRPr="0099711C">
              <w:rPr>
                <w:rFonts w:cstheme="minorHAnsi"/>
              </w:rPr>
              <w:t>Gresik Bappeda</w:t>
            </w:r>
          </w:p>
        </w:tc>
      </w:tr>
      <w:tr w:rsidR="00EC1781" w:rsidRPr="0099711C" w14:paraId="53214B64" w14:textId="77777777" w:rsidTr="005E637F">
        <w:tc>
          <w:tcPr>
            <w:tcW w:w="3114" w:type="dxa"/>
          </w:tcPr>
          <w:p w14:paraId="4C4EC608" w14:textId="77777777" w:rsidR="00EC1781" w:rsidRPr="0099711C" w:rsidRDefault="00EC1781" w:rsidP="005E637F">
            <w:pPr>
              <w:rPr>
                <w:rFonts w:cstheme="minorHAnsi"/>
              </w:rPr>
            </w:pPr>
            <w:r w:rsidRPr="0099711C">
              <w:rPr>
                <w:rFonts w:cstheme="minorHAnsi"/>
              </w:rPr>
              <w:t>Rian Pramana S</w:t>
            </w:r>
          </w:p>
        </w:tc>
        <w:tc>
          <w:tcPr>
            <w:tcW w:w="5902" w:type="dxa"/>
          </w:tcPr>
          <w:p w14:paraId="05100876" w14:textId="77777777" w:rsidR="00EC1781" w:rsidRPr="0099711C" w:rsidRDefault="00EC1781" w:rsidP="005E637F">
            <w:pPr>
              <w:rPr>
                <w:rFonts w:cstheme="minorHAnsi"/>
              </w:rPr>
            </w:pPr>
            <w:r w:rsidRPr="0099711C">
              <w:rPr>
                <w:rFonts w:cstheme="minorHAnsi"/>
              </w:rPr>
              <w:t>Gresik Bappeda</w:t>
            </w:r>
          </w:p>
        </w:tc>
      </w:tr>
      <w:tr w:rsidR="00EC1781" w:rsidRPr="0099711C" w14:paraId="0C9CD229" w14:textId="77777777" w:rsidTr="005E637F">
        <w:tc>
          <w:tcPr>
            <w:tcW w:w="3114" w:type="dxa"/>
          </w:tcPr>
          <w:p w14:paraId="3F5621D5" w14:textId="77777777" w:rsidR="00EC1781" w:rsidRPr="0099711C" w:rsidRDefault="00EC1781" w:rsidP="005E637F">
            <w:pPr>
              <w:rPr>
                <w:rFonts w:cstheme="minorHAnsi"/>
              </w:rPr>
            </w:pPr>
            <w:r w:rsidRPr="0099711C">
              <w:rPr>
                <w:rFonts w:cstheme="minorHAnsi"/>
              </w:rPr>
              <w:t>Fitria R</w:t>
            </w:r>
          </w:p>
        </w:tc>
        <w:tc>
          <w:tcPr>
            <w:tcW w:w="5902" w:type="dxa"/>
          </w:tcPr>
          <w:p w14:paraId="665CAE6F" w14:textId="77777777" w:rsidR="00EC1781" w:rsidRPr="0099711C" w:rsidRDefault="00EC1781" w:rsidP="005E637F">
            <w:pPr>
              <w:rPr>
                <w:rFonts w:cstheme="minorHAnsi"/>
              </w:rPr>
            </w:pPr>
            <w:r w:rsidRPr="0099711C">
              <w:rPr>
                <w:rFonts w:cstheme="minorHAnsi"/>
              </w:rPr>
              <w:t>Finance officer – KPS2K</w:t>
            </w:r>
          </w:p>
        </w:tc>
      </w:tr>
      <w:tr w:rsidR="00EC1781" w:rsidRPr="0099711C" w14:paraId="51554D00" w14:textId="77777777" w:rsidTr="005E637F">
        <w:tc>
          <w:tcPr>
            <w:tcW w:w="3114" w:type="dxa"/>
          </w:tcPr>
          <w:p w14:paraId="77372FB4" w14:textId="77777777" w:rsidR="00EC1781" w:rsidRPr="0099711C" w:rsidRDefault="00EC1781" w:rsidP="005E637F">
            <w:pPr>
              <w:rPr>
                <w:rFonts w:cstheme="minorHAnsi"/>
              </w:rPr>
            </w:pPr>
            <w:r w:rsidRPr="0099711C">
              <w:rPr>
                <w:rFonts w:cstheme="minorHAnsi"/>
              </w:rPr>
              <w:t>Sinta Ristu H</w:t>
            </w:r>
          </w:p>
        </w:tc>
        <w:tc>
          <w:tcPr>
            <w:tcW w:w="5902" w:type="dxa"/>
          </w:tcPr>
          <w:p w14:paraId="1B2E112B" w14:textId="77777777" w:rsidR="00EC1781" w:rsidRPr="0099711C" w:rsidRDefault="00EC1781" w:rsidP="005E637F">
            <w:pPr>
              <w:rPr>
                <w:rFonts w:cstheme="minorHAnsi"/>
              </w:rPr>
            </w:pPr>
            <w:r w:rsidRPr="0099711C">
              <w:rPr>
                <w:rFonts w:cstheme="minorHAnsi"/>
              </w:rPr>
              <w:t>Filed Faciltator – KPS2K</w:t>
            </w:r>
          </w:p>
        </w:tc>
      </w:tr>
      <w:tr w:rsidR="00EC1781" w:rsidRPr="0099711C" w14:paraId="0B51104E" w14:textId="77777777" w:rsidTr="005E637F">
        <w:tc>
          <w:tcPr>
            <w:tcW w:w="3114" w:type="dxa"/>
          </w:tcPr>
          <w:p w14:paraId="5077E38C" w14:textId="77777777" w:rsidR="00EC1781" w:rsidRPr="0099711C" w:rsidRDefault="00EC1781" w:rsidP="005E637F">
            <w:pPr>
              <w:rPr>
                <w:rFonts w:cstheme="minorHAnsi"/>
              </w:rPr>
            </w:pPr>
            <w:r w:rsidRPr="0099711C">
              <w:rPr>
                <w:rFonts w:cstheme="minorHAnsi"/>
              </w:rPr>
              <w:t>Rinta Yusna</w:t>
            </w:r>
          </w:p>
        </w:tc>
        <w:tc>
          <w:tcPr>
            <w:tcW w:w="5902" w:type="dxa"/>
          </w:tcPr>
          <w:p w14:paraId="226156F1" w14:textId="77777777" w:rsidR="00EC1781" w:rsidRPr="0099711C" w:rsidRDefault="00EC1781" w:rsidP="005E637F">
            <w:pPr>
              <w:rPr>
                <w:rFonts w:cstheme="minorHAnsi"/>
              </w:rPr>
            </w:pPr>
            <w:r w:rsidRPr="0099711C">
              <w:rPr>
                <w:rFonts w:cstheme="minorHAnsi"/>
              </w:rPr>
              <w:t>Field Facilitator – KPS2K</w:t>
            </w:r>
          </w:p>
        </w:tc>
      </w:tr>
      <w:tr w:rsidR="00EC1781" w:rsidRPr="0099711C" w14:paraId="5156522F" w14:textId="77777777" w:rsidTr="005E637F">
        <w:tc>
          <w:tcPr>
            <w:tcW w:w="3114" w:type="dxa"/>
          </w:tcPr>
          <w:p w14:paraId="3FEB2F04" w14:textId="77777777" w:rsidR="00EC1781" w:rsidRPr="0099711C" w:rsidRDefault="00EC1781" w:rsidP="005E637F">
            <w:pPr>
              <w:rPr>
                <w:rFonts w:cstheme="minorHAnsi"/>
              </w:rPr>
            </w:pPr>
            <w:r w:rsidRPr="0099711C">
              <w:rPr>
                <w:rFonts w:cstheme="minorHAnsi"/>
              </w:rPr>
              <w:t xml:space="preserve">Sularni </w:t>
            </w:r>
          </w:p>
        </w:tc>
        <w:tc>
          <w:tcPr>
            <w:tcW w:w="5902" w:type="dxa"/>
          </w:tcPr>
          <w:p w14:paraId="3C778C83" w14:textId="77777777" w:rsidR="00EC1781" w:rsidRPr="0099711C" w:rsidRDefault="00EC1781" w:rsidP="005E637F">
            <w:pPr>
              <w:rPr>
                <w:rFonts w:cstheme="minorHAnsi"/>
              </w:rPr>
            </w:pPr>
            <w:r w:rsidRPr="0099711C">
              <w:rPr>
                <w:rFonts w:cstheme="minorHAnsi"/>
              </w:rPr>
              <w:t>Chief – women welfare movement (PKK) village of Wonorejo Gresik</w:t>
            </w:r>
          </w:p>
        </w:tc>
      </w:tr>
      <w:tr w:rsidR="00EC1781" w:rsidRPr="0099711C" w14:paraId="31F6F2A2" w14:textId="77777777" w:rsidTr="005E637F">
        <w:tc>
          <w:tcPr>
            <w:tcW w:w="3114" w:type="dxa"/>
          </w:tcPr>
          <w:p w14:paraId="779BB1AF" w14:textId="77777777" w:rsidR="00EC1781" w:rsidRPr="0099711C" w:rsidRDefault="00EC1781" w:rsidP="005E637F">
            <w:pPr>
              <w:rPr>
                <w:rFonts w:cstheme="minorHAnsi"/>
              </w:rPr>
            </w:pPr>
            <w:r w:rsidRPr="0099711C">
              <w:rPr>
                <w:rFonts w:cstheme="minorHAnsi"/>
              </w:rPr>
              <w:t>Sawoto</w:t>
            </w:r>
          </w:p>
        </w:tc>
        <w:tc>
          <w:tcPr>
            <w:tcW w:w="5902" w:type="dxa"/>
          </w:tcPr>
          <w:p w14:paraId="2AFC73E5" w14:textId="77777777" w:rsidR="00EC1781" w:rsidRPr="0099711C" w:rsidRDefault="00EC1781" w:rsidP="005E637F">
            <w:pPr>
              <w:rPr>
                <w:rFonts w:cstheme="minorHAnsi"/>
              </w:rPr>
            </w:pPr>
            <w:r w:rsidRPr="0099711C">
              <w:rPr>
                <w:rFonts w:cstheme="minorHAnsi"/>
              </w:rPr>
              <w:t>Head – Village of Wonorejo Gresik</w:t>
            </w:r>
          </w:p>
        </w:tc>
      </w:tr>
      <w:tr w:rsidR="00EC1781" w:rsidRPr="0099711C" w14:paraId="3410B761" w14:textId="77777777" w:rsidTr="005E637F">
        <w:tc>
          <w:tcPr>
            <w:tcW w:w="3114" w:type="dxa"/>
          </w:tcPr>
          <w:p w14:paraId="69C6ED8B" w14:textId="77777777" w:rsidR="00EC1781" w:rsidRPr="0099711C" w:rsidRDefault="00EC1781" w:rsidP="005E637F">
            <w:pPr>
              <w:rPr>
                <w:rFonts w:cstheme="minorHAnsi"/>
              </w:rPr>
            </w:pPr>
            <w:r w:rsidRPr="0099711C">
              <w:rPr>
                <w:rFonts w:cstheme="minorHAnsi"/>
              </w:rPr>
              <w:t>Taki</w:t>
            </w:r>
          </w:p>
        </w:tc>
        <w:tc>
          <w:tcPr>
            <w:tcW w:w="5902" w:type="dxa"/>
          </w:tcPr>
          <w:p w14:paraId="0F93CC49" w14:textId="77777777" w:rsidR="00EC1781" w:rsidRPr="0099711C" w:rsidRDefault="00EC1781" w:rsidP="005E637F">
            <w:pPr>
              <w:rPr>
                <w:rFonts w:cstheme="minorHAnsi"/>
              </w:rPr>
            </w:pPr>
            <w:r w:rsidRPr="0099711C">
              <w:rPr>
                <w:rFonts w:cstheme="minorHAnsi"/>
              </w:rPr>
              <w:t>Secretary – Village of Wonorejo Gresik</w:t>
            </w:r>
          </w:p>
        </w:tc>
      </w:tr>
      <w:tr w:rsidR="00EC1781" w:rsidRPr="0099711C" w14:paraId="28652C44" w14:textId="77777777" w:rsidTr="005E637F">
        <w:tc>
          <w:tcPr>
            <w:tcW w:w="3114" w:type="dxa"/>
          </w:tcPr>
          <w:p w14:paraId="0057DA2F" w14:textId="77777777" w:rsidR="00EC1781" w:rsidRPr="0099711C" w:rsidRDefault="00EC1781" w:rsidP="005E637F">
            <w:pPr>
              <w:rPr>
                <w:rFonts w:cstheme="minorHAnsi"/>
              </w:rPr>
            </w:pPr>
          </w:p>
        </w:tc>
        <w:tc>
          <w:tcPr>
            <w:tcW w:w="5902" w:type="dxa"/>
          </w:tcPr>
          <w:p w14:paraId="4559FDAA" w14:textId="2CB209A8" w:rsidR="00EC1781" w:rsidRPr="0099711C" w:rsidRDefault="00EC1781" w:rsidP="005E637F">
            <w:pPr>
              <w:rPr>
                <w:rFonts w:cstheme="minorHAnsi"/>
              </w:rPr>
            </w:pPr>
            <w:r w:rsidRPr="0099711C">
              <w:rPr>
                <w:rFonts w:cstheme="minorHAnsi"/>
              </w:rPr>
              <w:t xml:space="preserve">12 Community </w:t>
            </w:r>
            <w:r w:rsidR="0077583F" w:rsidRPr="0099711C">
              <w:rPr>
                <w:rFonts w:cstheme="minorHAnsi"/>
              </w:rPr>
              <w:t>facilitators and</w:t>
            </w:r>
            <w:r w:rsidRPr="0099711C">
              <w:rPr>
                <w:rFonts w:cstheme="minorHAnsi"/>
              </w:rPr>
              <w:t xml:space="preserve"> participants – Women School</w:t>
            </w:r>
          </w:p>
        </w:tc>
      </w:tr>
      <w:tr w:rsidR="00EC1781" w:rsidRPr="0099711C" w14:paraId="3B6D1165" w14:textId="77777777" w:rsidTr="005E637F">
        <w:tc>
          <w:tcPr>
            <w:tcW w:w="3114" w:type="dxa"/>
          </w:tcPr>
          <w:p w14:paraId="4C5FF5D5" w14:textId="77777777" w:rsidR="00EC1781" w:rsidRPr="0099711C" w:rsidRDefault="00EC1781" w:rsidP="005E637F">
            <w:pPr>
              <w:rPr>
                <w:rFonts w:cstheme="minorHAnsi"/>
              </w:rPr>
            </w:pPr>
            <w:r w:rsidRPr="0099711C">
              <w:rPr>
                <w:rFonts w:cstheme="minorHAnsi"/>
              </w:rPr>
              <w:t>Nelly Asnifati</w:t>
            </w:r>
          </w:p>
        </w:tc>
        <w:tc>
          <w:tcPr>
            <w:tcW w:w="5902" w:type="dxa"/>
          </w:tcPr>
          <w:p w14:paraId="1866D103" w14:textId="77777777" w:rsidR="00EC1781" w:rsidRPr="0099711C" w:rsidRDefault="00EC1781" w:rsidP="005E637F">
            <w:pPr>
              <w:rPr>
                <w:rFonts w:cstheme="minorHAnsi"/>
              </w:rPr>
            </w:pPr>
            <w:r w:rsidRPr="0099711C">
              <w:rPr>
                <w:rFonts w:cstheme="minorHAnsi"/>
              </w:rPr>
              <w:t>Aisyiah - East Java</w:t>
            </w:r>
          </w:p>
        </w:tc>
      </w:tr>
      <w:tr w:rsidR="00EC1781" w:rsidRPr="0099711C" w14:paraId="4375CF8D" w14:textId="77777777" w:rsidTr="005E637F">
        <w:tc>
          <w:tcPr>
            <w:tcW w:w="3114" w:type="dxa"/>
          </w:tcPr>
          <w:p w14:paraId="62411719" w14:textId="77777777" w:rsidR="00EC1781" w:rsidRPr="0099711C" w:rsidRDefault="00EC1781" w:rsidP="005E637F">
            <w:pPr>
              <w:rPr>
                <w:rFonts w:cstheme="minorHAnsi"/>
              </w:rPr>
            </w:pPr>
            <w:r w:rsidRPr="0099711C">
              <w:rPr>
                <w:rFonts w:cstheme="minorHAnsi"/>
              </w:rPr>
              <w:t xml:space="preserve">Dwi Endah </w:t>
            </w:r>
          </w:p>
        </w:tc>
        <w:tc>
          <w:tcPr>
            <w:tcW w:w="5902" w:type="dxa"/>
          </w:tcPr>
          <w:p w14:paraId="761FF7E4" w14:textId="77777777" w:rsidR="00EC1781" w:rsidRPr="0099711C" w:rsidRDefault="00EC1781" w:rsidP="005E637F">
            <w:pPr>
              <w:rPr>
                <w:rFonts w:cstheme="minorHAnsi"/>
              </w:rPr>
            </w:pPr>
            <w:r w:rsidRPr="0099711C">
              <w:rPr>
                <w:rFonts w:cstheme="minorHAnsi"/>
              </w:rPr>
              <w:t>Aisyiah - East Java</w:t>
            </w:r>
          </w:p>
        </w:tc>
      </w:tr>
      <w:tr w:rsidR="00EC1781" w:rsidRPr="0099711C" w14:paraId="4CA166D1" w14:textId="77777777" w:rsidTr="005E637F">
        <w:tc>
          <w:tcPr>
            <w:tcW w:w="3114" w:type="dxa"/>
          </w:tcPr>
          <w:p w14:paraId="19A83974" w14:textId="77777777" w:rsidR="00EC1781" w:rsidRPr="0099711C" w:rsidRDefault="00EC1781" w:rsidP="005E637F">
            <w:pPr>
              <w:rPr>
                <w:rFonts w:cstheme="minorHAnsi"/>
              </w:rPr>
            </w:pPr>
            <w:r w:rsidRPr="0099711C">
              <w:rPr>
                <w:rFonts w:cstheme="minorHAnsi"/>
              </w:rPr>
              <w:t>Siti Asfiyah</w:t>
            </w:r>
          </w:p>
        </w:tc>
        <w:tc>
          <w:tcPr>
            <w:tcW w:w="5902" w:type="dxa"/>
          </w:tcPr>
          <w:p w14:paraId="65B0D9D3" w14:textId="77777777" w:rsidR="00EC1781" w:rsidRPr="0099711C" w:rsidRDefault="00EC1781" w:rsidP="005E637F">
            <w:pPr>
              <w:rPr>
                <w:rFonts w:cstheme="minorHAnsi"/>
              </w:rPr>
            </w:pPr>
            <w:r w:rsidRPr="0099711C">
              <w:rPr>
                <w:rFonts w:cstheme="minorHAnsi"/>
              </w:rPr>
              <w:t>Aisyiah - East Java</w:t>
            </w:r>
          </w:p>
        </w:tc>
      </w:tr>
      <w:tr w:rsidR="00EC1781" w:rsidRPr="0099711C" w14:paraId="7B7A1398" w14:textId="77777777" w:rsidTr="005E637F">
        <w:tc>
          <w:tcPr>
            <w:tcW w:w="3114" w:type="dxa"/>
          </w:tcPr>
          <w:p w14:paraId="66F240BB" w14:textId="77777777" w:rsidR="00EC1781" w:rsidRPr="0099711C" w:rsidRDefault="00EC1781" w:rsidP="005E637F">
            <w:pPr>
              <w:rPr>
                <w:rFonts w:cstheme="minorHAnsi"/>
              </w:rPr>
            </w:pPr>
            <w:r w:rsidRPr="0099711C">
              <w:rPr>
                <w:rFonts w:cstheme="minorHAnsi"/>
              </w:rPr>
              <w:t>Uswatun Chasanah</w:t>
            </w:r>
          </w:p>
        </w:tc>
        <w:tc>
          <w:tcPr>
            <w:tcW w:w="5902" w:type="dxa"/>
          </w:tcPr>
          <w:p w14:paraId="76AA39D8"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3EF56169" w14:textId="77777777" w:rsidTr="005E637F">
        <w:tc>
          <w:tcPr>
            <w:tcW w:w="3114" w:type="dxa"/>
          </w:tcPr>
          <w:p w14:paraId="154E9F70" w14:textId="77777777" w:rsidR="00EC1781" w:rsidRPr="0099711C" w:rsidRDefault="00EC1781" w:rsidP="005E637F">
            <w:pPr>
              <w:rPr>
                <w:rFonts w:cstheme="minorHAnsi"/>
              </w:rPr>
            </w:pPr>
            <w:r w:rsidRPr="0099711C">
              <w:rPr>
                <w:rFonts w:cstheme="minorHAnsi"/>
              </w:rPr>
              <w:t>Masruroh</w:t>
            </w:r>
          </w:p>
        </w:tc>
        <w:tc>
          <w:tcPr>
            <w:tcW w:w="5902" w:type="dxa"/>
          </w:tcPr>
          <w:p w14:paraId="044750DA"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4F6F5112" w14:textId="77777777" w:rsidTr="005E637F">
        <w:tc>
          <w:tcPr>
            <w:tcW w:w="3114" w:type="dxa"/>
          </w:tcPr>
          <w:p w14:paraId="66A6C50B" w14:textId="77777777" w:rsidR="00EC1781" w:rsidRPr="0099711C" w:rsidRDefault="00EC1781" w:rsidP="005E637F">
            <w:pPr>
              <w:rPr>
                <w:rFonts w:cstheme="minorHAnsi"/>
              </w:rPr>
            </w:pPr>
            <w:r w:rsidRPr="0099711C">
              <w:rPr>
                <w:rFonts w:cstheme="minorHAnsi"/>
              </w:rPr>
              <w:t>Isnawati</w:t>
            </w:r>
          </w:p>
        </w:tc>
        <w:tc>
          <w:tcPr>
            <w:tcW w:w="5902" w:type="dxa"/>
          </w:tcPr>
          <w:p w14:paraId="26E23746"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31B9BBC8" w14:textId="77777777" w:rsidTr="005E637F">
        <w:tc>
          <w:tcPr>
            <w:tcW w:w="3114" w:type="dxa"/>
          </w:tcPr>
          <w:p w14:paraId="7C85F4CE" w14:textId="77777777" w:rsidR="00EC1781" w:rsidRPr="0099711C" w:rsidRDefault="00EC1781" w:rsidP="005E637F">
            <w:pPr>
              <w:rPr>
                <w:rFonts w:cstheme="minorHAnsi"/>
              </w:rPr>
            </w:pPr>
            <w:r w:rsidRPr="0099711C">
              <w:rPr>
                <w:rFonts w:cstheme="minorHAnsi"/>
              </w:rPr>
              <w:t>Luluk Alzufah</w:t>
            </w:r>
          </w:p>
        </w:tc>
        <w:tc>
          <w:tcPr>
            <w:tcW w:w="5902" w:type="dxa"/>
          </w:tcPr>
          <w:p w14:paraId="3A0D77CD"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6C636EB7" w14:textId="77777777" w:rsidTr="005E637F">
        <w:tc>
          <w:tcPr>
            <w:tcW w:w="3114" w:type="dxa"/>
          </w:tcPr>
          <w:p w14:paraId="3D65A5FF" w14:textId="77777777" w:rsidR="00EC1781" w:rsidRPr="0099711C" w:rsidRDefault="00EC1781" w:rsidP="005E637F">
            <w:pPr>
              <w:rPr>
                <w:rFonts w:cstheme="minorHAnsi"/>
              </w:rPr>
            </w:pPr>
            <w:r w:rsidRPr="0099711C">
              <w:rPr>
                <w:rFonts w:cstheme="minorHAnsi"/>
              </w:rPr>
              <w:t>Zumrotun Nisa’</w:t>
            </w:r>
          </w:p>
        </w:tc>
        <w:tc>
          <w:tcPr>
            <w:tcW w:w="5902" w:type="dxa"/>
          </w:tcPr>
          <w:p w14:paraId="7F9E0645"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43F12491" w14:textId="77777777" w:rsidTr="005E637F">
        <w:tc>
          <w:tcPr>
            <w:tcW w:w="3114" w:type="dxa"/>
          </w:tcPr>
          <w:p w14:paraId="3D9B40D1" w14:textId="77777777" w:rsidR="00EC1781" w:rsidRPr="0099711C" w:rsidRDefault="00EC1781" w:rsidP="005E637F">
            <w:pPr>
              <w:rPr>
                <w:rFonts w:cstheme="minorHAnsi"/>
              </w:rPr>
            </w:pPr>
            <w:r w:rsidRPr="0099711C">
              <w:rPr>
                <w:rFonts w:cstheme="minorHAnsi"/>
              </w:rPr>
              <w:t>Supanik</w:t>
            </w:r>
          </w:p>
        </w:tc>
        <w:tc>
          <w:tcPr>
            <w:tcW w:w="5902" w:type="dxa"/>
          </w:tcPr>
          <w:p w14:paraId="08125FC8"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36B38AAD" w14:textId="77777777" w:rsidTr="005E637F">
        <w:tc>
          <w:tcPr>
            <w:tcW w:w="3114" w:type="dxa"/>
          </w:tcPr>
          <w:p w14:paraId="1514AF43" w14:textId="77777777" w:rsidR="00EC1781" w:rsidRPr="0099711C" w:rsidRDefault="00EC1781" w:rsidP="005E637F">
            <w:pPr>
              <w:rPr>
                <w:rFonts w:cstheme="minorHAnsi"/>
              </w:rPr>
            </w:pPr>
            <w:r w:rsidRPr="0099711C">
              <w:rPr>
                <w:rFonts w:cstheme="minorHAnsi"/>
              </w:rPr>
              <w:t>Nur Nadhiroh</w:t>
            </w:r>
          </w:p>
        </w:tc>
        <w:tc>
          <w:tcPr>
            <w:tcW w:w="5902" w:type="dxa"/>
          </w:tcPr>
          <w:p w14:paraId="559455FC"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0EE86CCA" w14:textId="77777777" w:rsidTr="005E637F">
        <w:tc>
          <w:tcPr>
            <w:tcW w:w="3114" w:type="dxa"/>
          </w:tcPr>
          <w:p w14:paraId="20DBD86E" w14:textId="77777777" w:rsidR="00EC1781" w:rsidRPr="0099711C" w:rsidRDefault="00EC1781" w:rsidP="005E637F">
            <w:pPr>
              <w:rPr>
                <w:rFonts w:cstheme="minorHAnsi"/>
              </w:rPr>
            </w:pPr>
            <w:r w:rsidRPr="0099711C">
              <w:rPr>
                <w:rFonts w:cstheme="minorHAnsi"/>
              </w:rPr>
              <w:t>Asrokhah</w:t>
            </w:r>
          </w:p>
        </w:tc>
        <w:tc>
          <w:tcPr>
            <w:tcW w:w="5902" w:type="dxa"/>
          </w:tcPr>
          <w:p w14:paraId="2D0AB5AD"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40C4E93F" w14:textId="77777777" w:rsidTr="005E637F">
        <w:tc>
          <w:tcPr>
            <w:tcW w:w="3114" w:type="dxa"/>
          </w:tcPr>
          <w:p w14:paraId="05A24B0B" w14:textId="77777777" w:rsidR="00EC1781" w:rsidRPr="0099711C" w:rsidRDefault="00EC1781" w:rsidP="005E637F">
            <w:pPr>
              <w:rPr>
                <w:rFonts w:cstheme="minorHAnsi"/>
              </w:rPr>
            </w:pPr>
            <w:r w:rsidRPr="0099711C">
              <w:rPr>
                <w:rFonts w:cstheme="minorHAnsi"/>
              </w:rPr>
              <w:t>Yuli Widdiyati</w:t>
            </w:r>
          </w:p>
        </w:tc>
        <w:tc>
          <w:tcPr>
            <w:tcW w:w="5902" w:type="dxa"/>
          </w:tcPr>
          <w:p w14:paraId="3E258750"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331DD0FC" w14:textId="77777777" w:rsidTr="005E637F">
        <w:tc>
          <w:tcPr>
            <w:tcW w:w="3114" w:type="dxa"/>
          </w:tcPr>
          <w:p w14:paraId="5D34DFEA" w14:textId="77777777" w:rsidR="00EC1781" w:rsidRPr="0099711C" w:rsidRDefault="00EC1781" w:rsidP="005E637F">
            <w:pPr>
              <w:rPr>
                <w:rFonts w:cstheme="minorHAnsi"/>
              </w:rPr>
            </w:pPr>
            <w:r w:rsidRPr="0099711C">
              <w:rPr>
                <w:rFonts w:cstheme="minorHAnsi"/>
              </w:rPr>
              <w:t>Zumrotus Sholikah</w:t>
            </w:r>
          </w:p>
        </w:tc>
        <w:tc>
          <w:tcPr>
            <w:tcW w:w="5902" w:type="dxa"/>
          </w:tcPr>
          <w:p w14:paraId="507EFF87"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058D56F2" w14:textId="77777777" w:rsidTr="005E637F">
        <w:tc>
          <w:tcPr>
            <w:tcW w:w="3114" w:type="dxa"/>
          </w:tcPr>
          <w:p w14:paraId="19E71F74" w14:textId="77777777" w:rsidR="00EC1781" w:rsidRPr="0099711C" w:rsidRDefault="00EC1781" w:rsidP="005E637F">
            <w:pPr>
              <w:rPr>
                <w:rFonts w:cstheme="minorHAnsi"/>
              </w:rPr>
            </w:pPr>
            <w:r w:rsidRPr="0099711C">
              <w:rPr>
                <w:rFonts w:cstheme="minorHAnsi"/>
              </w:rPr>
              <w:t>Elvi Z</w:t>
            </w:r>
          </w:p>
        </w:tc>
        <w:tc>
          <w:tcPr>
            <w:tcW w:w="5902" w:type="dxa"/>
          </w:tcPr>
          <w:p w14:paraId="52AE58B1"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7FB3110E" w14:textId="77777777" w:rsidTr="005E637F">
        <w:tc>
          <w:tcPr>
            <w:tcW w:w="3114" w:type="dxa"/>
          </w:tcPr>
          <w:p w14:paraId="1A4D30D2" w14:textId="77777777" w:rsidR="00EC1781" w:rsidRPr="0099711C" w:rsidRDefault="00EC1781" w:rsidP="005E637F">
            <w:pPr>
              <w:rPr>
                <w:rFonts w:cstheme="minorHAnsi"/>
              </w:rPr>
            </w:pPr>
            <w:r w:rsidRPr="0099711C">
              <w:rPr>
                <w:rFonts w:cstheme="minorHAnsi"/>
              </w:rPr>
              <w:t>Mubaidah</w:t>
            </w:r>
          </w:p>
        </w:tc>
        <w:tc>
          <w:tcPr>
            <w:tcW w:w="5902" w:type="dxa"/>
          </w:tcPr>
          <w:p w14:paraId="1E56B6E4"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57A8C129" w14:textId="77777777" w:rsidTr="005E637F">
        <w:tc>
          <w:tcPr>
            <w:tcW w:w="3114" w:type="dxa"/>
          </w:tcPr>
          <w:p w14:paraId="13A24A30" w14:textId="77777777" w:rsidR="00EC1781" w:rsidRPr="0099711C" w:rsidRDefault="00EC1781" w:rsidP="005E637F">
            <w:pPr>
              <w:rPr>
                <w:rFonts w:cstheme="minorHAnsi"/>
              </w:rPr>
            </w:pPr>
            <w:r w:rsidRPr="0099711C">
              <w:rPr>
                <w:rFonts w:cstheme="minorHAnsi"/>
              </w:rPr>
              <w:t>Mamik H</w:t>
            </w:r>
          </w:p>
        </w:tc>
        <w:tc>
          <w:tcPr>
            <w:tcW w:w="5902" w:type="dxa"/>
          </w:tcPr>
          <w:p w14:paraId="5404CFE7" w14:textId="77777777" w:rsidR="00EC1781" w:rsidRPr="0099711C" w:rsidRDefault="00EC1781" w:rsidP="005E637F">
            <w:pPr>
              <w:rPr>
                <w:rFonts w:cstheme="minorHAnsi"/>
              </w:rPr>
            </w:pPr>
            <w:r w:rsidRPr="0099711C">
              <w:rPr>
                <w:rFonts w:cstheme="minorHAnsi"/>
              </w:rPr>
              <w:t>Aisyiah – District of Lamongan</w:t>
            </w:r>
          </w:p>
        </w:tc>
      </w:tr>
      <w:tr w:rsidR="00EC1781" w:rsidRPr="0099711C" w14:paraId="01E7CE06" w14:textId="77777777" w:rsidTr="005E637F">
        <w:tc>
          <w:tcPr>
            <w:tcW w:w="3114" w:type="dxa"/>
          </w:tcPr>
          <w:p w14:paraId="00071F7C" w14:textId="77777777" w:rsidR="00EC1781" w:rsidRPr="0099711C" w:rsidRDefault="00EC1781" w:rsidP="005E637F">
            <w:pPr>
              <w:rPr>
                <w:rFonts w:cstheme="minorHAnsi"/>
              </w:rPr>
            </w:pPr>
            <w:r w:rsidRPr="0099711C">
              <w:rPr>
                <w:rFonts w:cstheme="minorHAnsi"/>
              </w:rPr>
              <w:t>Sutrisno</w:t>
            </w:r>
          </w:p>
        </w:tc>
        <w:tc>
          <w:tcPr>
            <w:tcW w:w="5902" w:type="dxa"/>
          </w:tcPr>
          <w:p w14:paraId="2C4F8681" w14:textId="77777777" w:rsidR="00EC1781" w:rsidRPr="0099711C" w:rsidRDefault="00EC1781" w:rsidP="005E637F">
            <w:pPr>
              <w:rPr>
                <w:rFonts w:cstheme="minorHAnsi"/>
              </w:rPr>
            </w:pPr>
            <w:r w:rsidRPr="0099711C">
              <w:rPr>
                <w:rFonts w:cstheme="minorHAnsi"/>
              </w:rPr>
              <w:t>Head of Village of Bedingin - Lamongan</w:t>
            </w:r>
          </w:p>
        </w:tc>
      </w:tr>
      <w:tr w:rsidR="00EC1781" w:rsidRPr="0099711C" w14:paraId="3C1F227A" w14:textId="77777777" w:rsidTr="005E637F">
        <w:tc>
          <w:tcPr>
            <w:tcW w:w="3114" w:type="dxa"/>
          </w:tcPr>
          <w:p w14:paraId="34D75E0C" w14:textId="77777777" w:rsidR="00EC1781" w:rsidRPr="0099711C" w:rsidRDefault="00EC1781" w:rsidP="005E637F">
            <w:pPr>
              <w:rPr>
                <w:rFonts w:cstheme="minorHAnsi"/>
              </w:rPr>
            </w:pPr>
            <w:r w:rsidRPr="0099711C">
              <w:rPr>
                <w:rFonts w:cstheme="minorHAnsi"/>
              </w:rPr>
              <w:t>Suyitno</w:t>
            </w:r>
          </w:p>
        </w:tc>
        <w:tc>
          <w:tcPr>
            <w:tcW w:w="5902" w:type="dxa"/>
          </w:tcPr>
          <w:p w14:paraId="453FD019" w14:textId="77777777" w:rsidR="00EC1781" w:rsidRPr="0099711C" w:rsidRDefault="00EC1781" w:rsidP="005E637F">
            <w:pPr>
              <w:rPr>
                <w:rFonts w:cstheme="minorHAnsi"/>
              </w:rPr>
            </w:pPr>
            <w:r w:rsidRPr="0099711C">
              <w:rPr>
                <w:rFonts w:cstheme="minorHAnsi"/>
              </w:rPr>
              <w:t>Village apparatus – Bedingin Lamongan</w:t>
            </w:r>
          </w:p>
        </w:tc>
      </w:tr>
      <w:tr w:rsidR="00EC1781" w:rsidRPr="0099711C" w14:paraId="09A276C6" w14:textId="77777777" w:rsidTr="005E637F">
        <w:tc>
          <w:tcPr>
            <w:tcW w:w="3114" w:type="dxa"/>
          </w:tcPr>
          <w:p w14:paraId="117A8288" w14:textId="77777777" w:rsidR="00EC1781" w:rsidRPr="0099711C" w:rsidRDefault="00EC1781" w:rsidP="005E637F">
            <w:pPr>
              <w:rPr>
                <w:rFonts w:cstheme="minorHAnsi"/>
              </w:rPr>
            </w:pPr>
            <w:r w:rsidRPr="0099711C">
              <w:rPr>
                <w:rFonts w:cstheme="minorHAnsi"/>
              </w:rPr>
              <w:t>Bambang Tututko</w:t>
            </w:r>
          </w:p>
        </w:tc>
        <w:tc>
          <w:tcPr>
            <w:tcW w:w="5902" w:type="dxa"/>
          </w:tcPr>
          <w:p w14:paraId="23EE5793" w14:textId="77777777" w:rsidR="00EC1781" w:rsidRPr="0099711C" w:rsidRDefault="00EC1781" w:rsidP="005E637F">
            <w:pPr>
              <w:rPr>
                <w:rFonts w:cstheme="minorHAnsi"/>
              </w:rPr>
            </w:pPr>
            <w:r w:rsidRPr="0099711C">
              <w:rPr>
                <w:rFonts w:cstheme="minorHAnsi"/>
              </w:rPr>
              <w:t>Village informal leader – Bedingin Lamongan</w:t>
            </w:r>
          </w:p>
        </w:tc>
      </w:tr>
      <w:tr w:rsidR="00EC1781" w:rsidRPr="0099711C" w14:paraId="55C13A02" w14:textId="77777777" w:rsidTr="005E637F">
        <w:tc>
          <w:tcPr>
            <w:tcW w:w="3114" w:type="dxa"/>
          </w:tcPr>
          <w:p w14:paraId="38B351A3" w14:textId="77777777" w:rsidR="00EC1781" w:rsidRPr="0099711C" w:rsidRDefault="00EC1781" w:rsidP="005E637F">
            <w:pPr>
              <w:rPr>
                <w:rFonts w:cstheme="minorHAnsi"/>
              </w:rPr>
            </w:pPr>
            <w:r w:rsidRPr="0099711C">
              <w:rPr>
                <w:rFonts w:cstheme="minorHAnsi"/>
              </w:rPr>
              <w:t>Madiyah</w:t>
            </w:r>
          </w:p>
        </w:tc>
        <w:tc>
          <w:tcPr>
            <w:tcW w:w="5902" w:type="dxa"/>
          </w:tcPr>
          <w:p w14:paraId="524FAD89" w14:textId="77777777" w:rsidR="00EC1781" w:rsidRPr="0099711C" w:rsidRDefault="00EC1781" w:rsidP="005E637F">
            <w:pPr>
              <w:rPr>
                <w:rFonts w:cstheme="minorHAnsi"/>
              </w:rPr>
            </w:pPr>
            <w:r w:rsidRPr="0099711C">
              <w:rPr>
                <w:rFonts w:cstheme="minorHAnsi"/>
              </w:rPr>
              <w:t>Village informal leader – Bedingin Lamongan</w:t>
            </w:r>
          </w:p>
        </w:tc>
      </w:tr>
      <w:tr w:rsidR="00EC1781" w:rsidRPr="0099711C" w14:paraId="7CEEBF19" w14:textId="77777777" w:rsidTr="005E637F">
        <w:tc>
          <w:tcPr>
            <w:tcW w:w="3114" w:type="dxa"/>
          </w:tcPr>
          <w:p w14:paraId="70DB4560" w14:textId="77777777" w:rsidR="00EC1781" w:rsidRPr="0099711C" w:rsidRDefault="00EC1781" w:rsidP="005E637F">
            <w:pPr>
              <w:rPr>
                <w:rFonts w:cstheme="minorHAnsi"/>
              </w:rPr>
            </w:pPr>
            <w:r w:rsidRPr="0099711C">
              <w:rPr>
                <w:rFonts w:cstheme="minorHAnsi"/>
              </w:rPr>
              <w:t>Sri Kaeni</w:t>
            </w:r>
          </w:p>
        </w:tc>
        <w:tc>
          <w:tcPr>
            <w:tcW w:w="5902" w:type="dxa"/>
          </w:tcPr>
          <w:p w14:paraId="27016E3C" w14:textId="77777777" w:rsidR="00EC1781" w:rsidRPr="0099711C" w:rsidRDefault="00EC1781" w:rsidP="005E637F">
            <w:pPr>
              <w:rPr>
                <w:rFonts w:cstheme="minorHAnsi"/>
              </w:rPr>
            </w:pPr>
            <w:r w:rsidRPr="0099711C">
              <w:rPr>
                <w:rFonts w:cstheme="minorHAnsi"/>
              </w:rPr>
              <w:t>Wid wife – Bedingin Lamongan</w:t>
            </w:r>
          </w:p>
        </w:tc>
      </w:tr>
      <w:tr w:rsidR="00EC1781" w:rsidRPr="0099711C" w14:paraId="7902D085" w14:textId="77777777" w:rsidTr="005E637F">
        <w:tc>
          <w:tcPr>
            <w:tcW w:w="3114" w:type="dxa"/>
          </w:tcPr>
          <w:p w14:paraId="6E2610F9" w14:textId="77777777" w:rsidR="00EC1781" w:rsidRPr="0099711C" w:rsidRDefault="00EC1781" w:rsidP="005E637F">
            <w:pPr>
              <w:rPr>
                <w:rFonts w:cstheme="minorHAnsi"/>
              </w:rPr>
            </w:pPr>
            <w:r w:rsidRPr="0099711C">
              <w:rPr>
                <w:rFonts w:cstheme="minorHAnsi"/>
              </w:rPr>
              <w:t>dr. Ifa</w:t>
            </w:r>
          </w:p>
        </w:tc>
        <w:tc>
          <w:tcPr>
            <w:tcW w:w="5902" w:type="dxa"/>
          </w:tcPr>
          <w:p w14:paraId="45661A11" w14:textId="77777777" w:rsidR="00EC1781" w:rsidRPr="0099711C" w:rsidRDefault="00EC1781" w:rsidP="005E637F">
            <w:pPr>
              <w:rPr>
                <w:rFonts w:cstheme="minorHAnsi"/>
              </w:rPr>
            </w:pPr>
            <w:r w:rsidRPr="0099711C">
              <w:rPr>
                <w:rFonts w:cstheme="minorHAnsi"/>
              </w:rPr>
              <w:t>Yayasan Kanker Indonesia Lamongan</w:t>
            </w:r>
          </w:p>
        </w:tc>
      </w:tr>
      <w:tr w:rsidR="00EC1781" w:rsidRPr="0099711C" w14:paraId="5D80FF37" w14:textId="77777777" w:rsidTr="005E637F">
        <w:tc>
          <w:tcPr>
            <w:tcW w:w="3114" w:type="dxa"/>
          </w:tcPr>
          <w:p w14:paraId="7C06700E" w14:textId="226C71AB" w:rsidR="00EC1781" w:rsidRPr="0099711C" w:rsidRDefault="0077583F" w:rsidP="005E637F">
            <w:pPr>
              <w:rPr>
                <w:rFonts w:cstheme="minorHAnsi"/>
              </w:rPr>
            </w:pPr>
            <w:r w:rsidRPr="0099711C">
              <w:rPr>
                <w:rFonts w:cstheme="minorHAnsi"/>
              </w:rPr>
              <w:t>dr. Taufik</w:t>
            </w:r>
            <w:r w:rsidR="00EC1781" w:rsidRPr="0099711C">
              <w:rPr>
                <w:rFonts w:cstheme="minorHAnsi"/>
              </w:rPr>
              <w:t xml:space="preserve"> Hidayat</w:t>
            </w:r>
          </w:p>
        </w:tc>
        <w:tc>
          <w:tcPr>
            <w:tcW w:w="5902" w:type="dxa"/>
          </w:tcPr>
          <w:p w14:paraId="1E05BF1A" w14:textId="77777777" w:rsidR="00EC1781" w:rsidRPr="0099711C" w:rsidRDefault="00EC1781" w:rsidP="005E637F">
            <w:pPr>
              <w:rPr>
                <w:rFonts w:cstheme="minorHAnsi"/>
              </w:rPr>
            </w:pPr>
            <w:r w:rsidRPr="0099711C">
              <w:rPr>
                <w:rFonts w:cstheme="minorHAnsi"/>
              </w:rPr>
              <w:t>Lamongan District Head of health office</w:t>
            </w:r>
          </w:p>
        </w:tc>
      </w:tr>
      <w:tr w:rsidR="00EC1781" w:rsidRPr="0099711C" w14:paraId="33245022" w14:textId="77777777" w:rsidTr="005E637F">
        <w:tc>
          <w:tcPr>
            <w:tcW w:w="3114" w:type="dxa"/>
          </w:tcPr>
          <w:p w14:paraId="38CBD8B7" w14:textId="5944737D" w:rsidR="00EC1781" w:rsidRPr="0099711C" w:rsidRDefault="0077583F" w:rsidP="005E637F">
            <w:pPr>
              <w:rPr>
                <w:rFonts w:cstheme="minorHAnsi"/>
              </w:rPr>
            </w:pPr>
            <w:r w:rsidRPr="0099711C">
              <w:rPr>
                <w:rFonts w:cstheme="minorHAnsi"/>
              </w:rPr>
              <w:t>dr. Bambang</w:t>
            </w:r>
            <w:r w:rsidR="00EC1781" w:rsidRPr="0099711C">
              <w:rPr>
                <w:rFonts w:cstheme="minorHAnsi"/>
              </w:rPr>
              <w:t xml:space="preserve"> Susilo</w:t>
            </w:r>
          </w:p>
        </w:tc>
        <w:tc>
          <w:tcPr>
            <w:tcW w:w="5902" w:type="dxa"/>
          </w:tcPr>
          <w:p w14:paraId="7F45C85B" w14:textId="77777777" w:rsidR="00EC1781" w:rsidRPr="0099711C" w:rsidRDefault="00EC1781" w:rsidP="005E637F">
            <w:pPr>
              <w:rPr>
                <w:rFonts w:cstheme="minorHAnsi"/>
              </w:rPr>
            </w:pPr>
            <w:r w:rsidRPr="0099711C">
              <w:rPr>
                <w:rFonts w:cstheme="minorHAnsi"/>
              </w:rPr>
              <w:t>Lamongan District health office</w:t>
            </w:r>
          </w:p>
        </w:tc>
      </w:tr>
      <w:tr w:rsidR="00EC1781" w:rsidRPr="0099711C" w14:paraId="33486917" w14:textId="77777777" w:rsidTr="005E637F">
        <w:tc>
          <w:tcPr>
            <w:tcW w:w="3114" w:type="dxa"/>
          </w:tcPr>
          <w:p w14:paraId="1322F29C" w14:textId="77777777" w:rsidR="00EC1781" w:rsidRPr="0099711C" w:rsidRDefault="00EC1781" w:rsidP="005E637F">
            <w:pPr>
              <w:rPr>
                <w:rFonts w:cstheme="minorHAnsi"/>
              </w:rPr>
            </w:pPr>
            <w:r w:rsidRPr="0099711C">
              <w:rPr>
                <w:rFonts w:cstheme="minorHAnsi"/>
              </w:rPr>
              <w:t>Umuronah</w:t>
            </w:r>
          </w:p>
        </w:tc>
        <w:tc>
          <w:tcPr>
            <w:tcW w:w="5902" w:type="dxa"/>
          </w:tcPr>
          <w:p w14:paraId="3EC1FE5F" w14:textId="77777777" w:rsidR="00EC1781" w:rsidRPr="0099711C" w:rsidRDefault="00EC1781" w:rsidP="005E637F">
            <w:pPr>
              <w:rPr>
                <w:rFonts w:cstheme="minorHAnsi"/>
              </w:rPr>
            </w:pPr>
            <w:r w:rsidRPr="0099711C">
              <w:rPr>
                <w:rFonts w:cstheme="minorHAnsi"/>
              </w:rPr>
              <w:t>Lamongan District health office</w:t>
            </w:r>
          </w:p>
        </w:tc>
      </w:tr>
      <w:tr w:rsidR="00EC1781" w:rsidRPr="0099711C" w14:paraId="65989BE7" w14:textId="77777777" w:rsidTr="005E637F">
        <w:tc>
          <w:tcPr>
            <w:tcW w:w="3114" w:type="dxa"/>
          </w:tcPr>
          <w:p w14:paraId="7BF46461" w14:textId="77777777" w:rsidR="00EC1781" w:rsidRPr="0099711C" w:rsidRDefault="00EC1781" w:rsidP="005E637F">
            <w:pPr>
              <w:rPr>
                <w:rFonts w:cstheme="minorHAnsi"/>
              </w:rPr>
            </w:pPr>
            <w:r w:rsidRPr="0099711C">
              <w:rPr>
                <w:rFonts w:cstheme="minorHAnsi"/>
              </w:rPr>
              <w:t>Djuwari</w:t>
            </w:r>
          </w:p>
        </w:tc>
        <w:tc>
          <w:tcPr>
            <w:tcW w:w="5902" w:type="dxa"/>
          </w:tcPr>
          <w:p w14:paraId="69BBD2F3" w14:textId="77777777" w:rsidR="00EC1781" w:rsidRPr="0099711C" w:rsidRDefault="00EC1781" w:rsidP="005E637F">
            <w:pPr>
              <w:rPr>
                <w:rFonts w:cstheme="minorHAnsi"/>
              </w:rPr>
            </w:pPr>
            <w:r w:rsidRPr="0099711C">
              <w:rPr>
                <w:rFonts w:cstheme="minorHAnsi"/>
              </w:rPr>
              <w:t>Lamongan District health office</w:t>
            </w:r>
          </w:p>
        </w:tc>
      </w:tr>
      <w:tr w:rsidR="00EC1781" w:rsidRPr="0099711C" w14:paraId="6AC3177E" w14:textId="77777777" w:rsidTr="005E637F">
        <w:tc>
          <w:tcPr>
            <w:tcW w:w="3114" w:type="dxa"/>
          </w:tcPr>
          <w:p w14:paraId="2AA1CEC7" w14:textId="77777777" w:rsidR="00EC1781" w:rsidRPr="0099711C" w:rsidRDefault="00EC1781" w:rsidP="005E637F">
            <w:pPr>
              <w:rPr>
                <w:rFonts w:cstheme="minorHAnsi"/>
              </w:rPr>
            </w:pPr>
            <w:r w:rsidRPr="0099711C">
              <w:rPr>
                <w:rFonts w:cstheme="minorHAnsi"/>
              </w:rPr>
              <w:t>Joko Supriyanto</w:t>
            </w:r>
          </w:p>
        </w:tc>
        <w:tc>
          <w:tcPr>
            <w:tcW w:w="5902" w:type="dxa"/>
          </w:tcPr>
          <w:p w14:paraId="1C866450" w14:textId="77777777" w:rsidR="00EC1781" w:rsidRPr="0099711C" w:rsidRDefault="00EC1781" w:rsidP="005E637F">
            <w:pPr>
              <w:rPr>
                <w:rFonts w:cstheme="minorHAnsi"/>
              </w:rPr>
            </w:pPr>
            <w:r w:rsidRPr="0099711C">
              <w:rPr>
                <w:rFonts w:cstheme="minorHAnsi"/>
              </w:rPr>
              <w:t>Lamongan District health office</w:t>
            </w:r>
          </w:p>
        </w:tc>
      </w:tr>
      <w:tr w:rsidR="00EC1781" w:rsidRPr="0099711C" w14:paraId="3FB16598" w14:textId="77777777" w:rsidTr="005E637F">
        <w:tc>
          <w:tcPr>
            <w:tcW w:w="3114" w:type="dxa"/>
          </w:tcPr>
          <w:p w14:paraId="59693315" w14:textId="77777777" w:rsidR="00EC1781" w:rsidRPr="0099711C" w:rsidRDefault="00EC1781" w:rsidP="005E637F">
            <w:pPr>
              <w:rPr>
                <w:rFonts w:cstheme="minorHAnsi"/>
              </w:rPr>
            </w:pPr>
            <w:r w:rsidRPr="0099711C">
              <w:rPr>
                <w:rFonts w:cstheme="minorHAnsi"/>
              </w:rPr>
              <w:t>Maftukhah</w:t>
            </w:r>
          </w:p>
        </w:tc>
        <w:tc>
          <w:tcPr>
            <w:tcW w:w="5902" w:type="dxa"/>
          </w:tcPr>
          <w:p w14:paraId="33D9A590" w14:textId="77777777" w:rsidR="00EC1781" w:rsidRPr="0099711C" w:rsidRDefault="00EC1781" w:rsidP="005E637F">
            <w:pPr>
              <w:rPr>
                <w:rFonts w:cstheme="minorHAnsi"/>
              </w:rPr>
            </w:pPr>
            <w:r w:rsidRPr="0099711C">
              <w:rPr>
                <w:rFonts w:cstheme="minorHAnsi"/>
              </w:rPr>
              <w:t>Lamongan District health office</w:t>
            </w:r>
          </w:p>
        </w:tc>
      </w:tr>
      <w:tr w:rsidR="00EC1781" w:rsidRPr="0099711C" w14:paraId="03C280CE" w14:textId="77777777" w:rsidTr="005E637F">
        <w:tc>
          <w:tcPr>
            <w:tcW w:w="3114" w:type="dxa"/>
          </w:tcPr>
          <w:p w14:paraId="139361B9" w14:textId="77777777" w:rsidR="00EC1781" w:rsidRPr="0099711C" w:rsidRDefault="00EC1781" w:rsidP="005E637F">
            <w:pPr>
              <w:rPr>
                <w:rFonts w:cstheme="minorHAnsi"/>
              </w:rPr>
            </w:pPr>
            <w:r w:rsidRPr="0099711C">
              <w:rPr>
                <w:rFonts w:cstheme="minorHAnsi"/>
              </w:rPr>
              <w:t>Around 50 women</w:t>
            </w:r>
          </w:p>
        </w:tc>
        <w:tc>
          <w:tcPr>
            <w:tcW w:w="5902" w:type="dxa"/>
          </w:tcPr>
          <w:p w14:paraId="1818A018" w14:textId="77777777" w:rsidR="00EC1781" w:rsidRPr="0099711C" w:rsidRDefault="00EC1781" w:rsidP="005E637F">
            <w:pPr>
              <w:rPr>
                <w:rFonts w:cstheme="minorHAnsi"/>
              </w:rPr>
            </w:pPr>
            <w:r w:rsidRPr="0099711C">
              <w:rPr>
                <w:rFonts w:cstheme="minorHAnsi"/>
              </w:rPr>
              <w:t>BSA Bedingin - Lamongan</w:t>
            </w:r>
          </w:p>
        </w:tc>
      </w:tr>
      <w:tr w:rsidR="00EC1781" w:rsidRPr="0099711C" w14:paraId="5DB09056" w14:textId="77777777" w:rsidTr="005E637F">
        <w:tc>
          <w:tcPr>
            <w:tcW w:w="3114" w:type="dxa"/>
          </w:tcPr>
          <w:p w14:paraId="57D40845" w14:textId="77777777" w:rsidR="00EC1781" w:rsidRPr="0099711C" w:rsidRDefault="00EC1781" w:rsidP="005E637F">
            <w:pPr>
              <w:rPr>
                <w:rFonts w:cstheme="minorHAnsi"/>
              </w:rPr>
            </w:pPr>
            <w:r w:rsidRPr="0099711C">
              <w:rPr>
                <w:rFonts w:cstheme="minorHAnsi"/>
              </w:rPr>
              <w:t>Bambang</w:t>
            </w:r>
          </w:p>
        </w:tc>
        <w:tc>
          <w:tcPr>
            <w:tcW w:w="5902" w:type="dxa"/>
          </w:tcPr>
          <w:p w14:paraId="7C4E2A10" w14:textId="77777777" w:rsidR="00EC1781" w:rsidRPr="0099711C" w:rsidRDefault="00EC1781" w:rsidP="005E637F">
            <w:pPr>
              <w:rPr>
                <w:rFonts w:cstheme="minorHAnsi"/>
              </w:rPr>
            </w:pPr>
            <w:r w:rsidRPr="0099711C">
              <w:rPr>
                <w:rFonts w:cstheme="minorHAnsi"/>
              </w:rPr>
              <w:t>Migrant Care East Java</w:t>
            </w:r>
          </w:p>
        </w:tc>
      </w:tr>
      <w:tr w:rsidR="00EC1781" w:rsidRPr="0099711C" w14:paraId="35430D7F" w14:textId="77777777" w:rsidTr="005E637F">
        <w:tc>
          <w:tcPr>
            <w:tcW w:w="3114" w:type="dxa"/>
          </w:tcPr>
          <w:p w14:paraId="599E1C11" w14:textId="77777777" w:rsidR="00EC1781" w:rsidRPr="0099711C" w:rsidRDefault="00EC1781" w:rsidP="005E637F">
            <w:pPr>
              <w:rPr>
                <w:rFonts w:cstheme="minorHAnsi"/>
              </w:rPr>
            </w:pPr>
            <w:r w:rsidRPr="0099711C">
              <w:rPr>
                <w:rFonts w:cstheme="minorHAnsi"/>
              </w:rPr>
              <w:t>Safina</w:t>
            </w:r>
          </w:p>
        </w:tc>
        <w:tc>
          <w:tcPr>
            <w:tcW w:w="5902" w:type="dxa"/>
          </w:tcPr>
          <w:p w14:paraId="21A79670" w14:textId="77777777" w:rsidR="00EC1781" w:rsidRPr="0099711C" w:rsidRDefault="00EC1781" w:rsidP="005E637F">
            <w:pPr>
              <w:rPr>
                <w:rFonts w:cstheme="minorHAnsi"/>
              </w:rPr>
            </w:pPr>
            <w:r w:rsidRPr="0099711C">
              <w:rPr>
                <w:rFonts w:cstheme="minorHAnsi"/>
              </w:rPr>
              <w:t>Migrant Care</w:t>
            </w:r>
          </w:p>
        </w:tc>
      </w:tr>
      <w:tr w:rsidR="00EC1781" w:rsidRPr="0099711C" w14:paraId="2F73C2BC" w14:textId="77777777" w:rsidTr="005E637F">
        <w:tc>
          <w:tcPr>
            <w:tcW w:w="3114" w:type="dxa"/>
          </w:tcPr>
          <w:p w14:paraId="68698D90" w14:textId="77777777" w:rsidR="00EC1781" w:rsidRPr="0099711C" w:rsidRDefault="00EC1781" w:rsidP="005E637F">
            <w:pPr>
              <w:rPr>
                <w:rFonts w:cstheme="minorHAnsi"/>
              </w:rPr>
            </w:pPr>
            <w:r w:rsidRPr="0099711C">
              <w:rPr>
                <w:rFonts w:cstheme="minorHAnsi"/>
              </w:rPr>
              <w:t>Riyandika Patria</w:t>
            </w:r>
          </w:p>
        </w:tc>
        <w:tc>
          <w:tcPr>
            <w:tcW w:w="5902" w:type="dxa"/>
          </w:tcPr>
          <w:p w14:paraId="3468B1A4" w14:textId="77777777" w:rsidR="00EC1781" w:rsidRPr="0099711C" w:rsidRDefault="00EC1781" w:rsidP="005E637F">
            <w:pPr>
              <w:rPr>
                <w:rFonts w:cstheme="minorHAnsi"/>
              </w:rPr>
            </w:pPr>
            <w:r w:rsidRPr="0099711C">
              <w:rPr>
                <w:rFonts w:cstheme="minorHAnsi"/>
              </w:rPr>
              <w:t>Bappeda – East Java province</w:t>
            </w:r>
          </w:p>
        </w:tc>
      </w:tr>
      <w:tr w:rsidR="00EC1781" w:rsidRPr="0099711C" w14:paraId="455B3E32" w14:textId="77777777" w:rsidTr="005E637F">
        <w:tc>
          <w:tcPr>
            <w:tcW w:w="3114" w:type="dxa"/>
          </w:tcPr>
          <w:p w14:paraId="07027E31" w14:textId="77777777" w:rsidR="00EC1781" w:rsidRPr="0099711C" w:rsidRDefault="00EC1781" w:rsidP="005E637F">
            <w:pPr>
              <w:rPr>
                <w:rFonts w:cstheme="minorHAnsi"/>
              </w:rPr>
            </w:pPr>
            <w:r w:rsidRPr="0099711C">
              <w:rPr>
                <w:rFonts w:cstheme="minorHAnsi"/>
              </w:rPr>
              <w:t>Affi</w:t>
            </w:r>
          </w:p>
        </w:tc>
        <w:tc>
          <w:tcPr>
            <w:tcW w:w="5902" w:type="dxa"/>
          </w:tcPr>
          <w:p w14:paraId="05AFD3C1" w14:textId="77777777" w:rsidR="00EC1781" w:rsidRPr="0099711C" w:rsidRDefault="00EC1781" w:rsidP="005E637F">
            <w:pPr>
              <w:rPr>
                <w:rFonts w:cstheme="minorHAnsi"/>
              </w:rPr>
            </w:pPr>
            <w:r w:rsidRPr="0099711C">
              <w:rPr>
                <w:rFonts w:cstheme="minorHAnsi"/>
              </w:rPr>
              <w:t>Bappeda – East Java province</w:t>
            </w:r>
          </w:p>
        </w:tc>
      </w:tr>
      <w:tr w:rsidR="00EC1781" w:rsidRPr="0099711C" w14:paraId="512D7DD7" w14:textId="77777777" w:rsidTr="005E637F">
        <w:tc>
          <w:tcPr>
            <w:tcW w:w="3114" w:type="dxa"/>
          </w:tcPr>
          <w:p w14:paraId="586DEF03" w14:textId="77777777" w:rsidR="00EC1781" w:rsidRPr="0099711C" w:rsidRDefault="00EC1781" w:rsidP="005E637F">
            <w:pPr>
              <w:rPr>
                <w:rFonts w:cstheme="minorHAnsi"/>
              </w:rPr>
            </w:pPr>
            <w:r w:rsidRPr="0099711C">
              <w:rPr>
                <w:rFonts w:cstheme="minorHAnsi"/>
              </w:rPr>
              <w:t>Ardiani</w:t>
            </w:r>
          </w:p>
        </w:tc>
        <w:tc>
          <w:tcPr>
            <w:tcW w:w="5902" w:type="dxa"/>
          </w:tcPr>
          <w:p w14:paraId="0C7720AE" w14:textId="77777777" w:rsidR="00EC1781" w:rsidRPr="0099711C" w:rsidRDefault="00EC1781" w:rsidP="005E637F">
            <w:pPr>
              <w:rPr>
                <w:rFonts w:cstheme="minorHAnsi"/>
              </w:rPr>
            </w:pPr>
            <w:r w:rsidRPr="0099711C">
              <w:rPr>
                <w:rFonts w:cstheme="minorHAnsi"/>
              </w:rPr>
              <w:t>KPI West Sumatera</w:t>
            </w:r>
          </w:p>
        </w:tc>
      </w:tr>
      <w:tr w:rsidR="00EC1781" w:rsidRPr="0099711C" w14:paraId="42768BB1" w14:textId="77777777" w:rsidTr="005E637F">
        <w:tc>
          <w:tcPr>
            <w:tcW w:w="3114" w:type="dxa"/>
          </w:tcPr>
          <w:p w14:paraId="594177A5" w14:textId="77777777" w:rsidR="00EC1781" w:rsidRPr="0099711C" w:rsidRDefault="00EC1781" w:rsidP="005E637F">
            <w:pPr>
              <w:rPr>
                <w:rFonts w:cstheme="minorHAnsi"/>
              </w:rPr>
            </w:pPr>
            <w:r w:rsidRPr="0099711C">
              <w:rPr>
                <w:rFonts w:cstheme="minorHAnsi"/>
              </w:rPr>
              <w:t>Elvi Yenita</w:t>
            </w:r>
          </w:p>
        </w:tc>
        <w:tc>
          <w:tcPr>
            <w:tcW w:w="5902" w:type="dxa"/>
          </w:tcPr>
          <w:p w14:paraId="3F97ED47" w14:textId="77777777" w:rsidR="00EC1781" w:rsidRPr="0099711C" w:rsidRDefault="00EC1781" w:rsidP="005E637F">
            <w:pPr>
              <w:rPr>
                <w:rFonts w:cstheme="minorHAnsi"/>
              </w:rPr>
            </w:pPr>
            <w:r w:rsidRPr="0099711C">
              <w:rPr>
                <w:rFonts w:cstheme="minorHAnsi"/>
              </w:rPr>
              <w:t>KPI West Sumatera</w:t>
            </w:r>
          </w:p>
        </w:tc>
      </w:tr>
      <w:tr w:rsidR="00EC1781" w:rsidRPr="0099711C" w14:paraId="262CFF2A" w14:textId="77777777" w:rsidTr="005E637F">
        <w:tc>
          <w:tcPr>
            <w:tcW w:w="3114" w:type="dxa"/>
          </w:tcPr>
          <w:p w14:paraId="58D9E967" w14:textId="77777777" w:rsidR="00EC1781" w:rsidRPr="0099711C" w:rsidRDefault="00EC1781" w:rsidP="005E637F">
            <w:pPr>
              <w:rPr>
                <w:rFonts w:cstheme="minorHAnsi"/>
              </w:rPr>
            </w:pPr>
            <w:r w:rsidRPr="0099711C">
              <w:rPr>
                <w:rFonts w:cstheme="minorHAnsi"/>
              </w:rPr>
              <w:t>Tanty Herlina</w:t>
            </w:r>
          </w:p>
        </w:tc>
        <w:tc>
          <w:tcPr>
            <w:tcW w:w="5902" w:type="dxa"/>
          </w:tcPr>
          <w:p w14:paraId="3ADC0808" w14:textId="77777777" w:rsidR="00EC1781" w:rsidRPr="0099711C" w:rsidRDefault="00EC1781" w:rsidP="005E637F">
            <w:pPr>
              <w:rPr>
                <w:rFonts w:cstheme="minorHAnsi"/>
              </w:rPr>
            </w:pPr>
            <w:r w:rsidRPr="0099711C">
              <w:rPr>
                <w:rFonts w:cstheme="minorHAnsi"/>
              </w:rPr>
              <w:t>KPI West Sumatera</w:t>
            </w:r>
          </w:p>
        </w:tc>
      </w:tr>
      <w:tr w:rsidR="00EC1781" w:rsidRPr="0099711C" w14:paraId="2C1FC784" w14:textId="77777777" w:rsidTr="005E637F">
        <w:tc>
          <w:tcPr>
            <w:tcW w:w="3114" w:type="dxa"/>
          </w:tcPr>
          <w:p w14:paraId="2745A316" w14:textId="77777777" w:rsidR="00EC1781" w:rsidRPr="0099711C" w:rsidRDefault="00EC1781" w:rsidP="005E637F">
            <w:pPr>
              <w:rPr>
                <w:rFonts w:cstheme="minorHAnsi"/>
              </w:rPr>
            </w:pPr>
          </w:p>
        </w:tc>
        <w:tc>
          <w:tcPr>
            <w:tcW w:w="5902" w:type="dxa"/>
          </w:tcPr>
          <w:p w14:paraId="358E38A4" w14:textId="77777777" w:rsidR="00EC1781" w:rsidRPr="0099711C" w:rsidRDefault="00EC1781" w:rsidP="005E637F">
            <w:pPr>
              <w:rPr>
                <w:rFonts w:cstheme="minorHAnsi"/>
              </w:rPr>
            </w:pPr>
            <w:r w:rsidRPr="0099711C">
              <w:rPr>
                <w:rFonts w:cstheme="minorHAnsi"/>
              </w:rPr>
              <w:t>10 Member of BP PIPA JKN KPI – nagari Lolo Gunungsari</w:t>
            </w:r>
          </w:p>
        </w:tc>
      </w:tr>
      <w:tr w:rsidR="00EC1781" w:rsidRPr="0099711C" w14:paraId="1C91745F" w14:textId="77777777" w:rsidTr="005E637F">
        <w:tc>
          <w:tcPr>
            <w:tcW w:w="3114" w:type="dxa"/>
          </w:tcPr>
          <w:p w14:paraId="5A35E7EC" w14:textId="77777777" w:rsidR="00EC1781" w:rsidRPr="0099711C" w:rsidRDefault="00EC1781" w:rsidP="005E637F">
            <w:pPr>
              <w:rPr>
                <w:rFonts w:cstheme="minorHAnsi"/>
              </w:rPr>
            </w:pPr>
            <w:r w:rsidRPr="0099711C">
              <w:rPr>
                <w:rFonts w:cstheme="minorHAnsi"/>
              </w:rPr>
              <w:t>Ramadhaniati</w:t>
            </w:r>
          </w:p>
        </w:tc>
        <w:tc>
          <w:tcPr>
            <w:tcW w:w="5902" w:type="dxa"/>
          </w:tcPr>
          <w:p w14:paraId="610F21D3" w14:textId="77777777" w:rsidR="00EC1781" w:rsidRPr="0099711C" w:rsidRDefault="00EC1781" w:rsidP="005E637F">
            <w:pPr>
              <w:rPr>
                <w:rFonts w:cstheme="minorHAnsi"/>
              </w:rPr>
            </w:pPr>
            <w:r w:rsidRPr="0099711C">
              <w:rPr>
                <w:rFonts w:cstheme="minorHAnsi"/>
              </w:rPr>
              <w:t>Executive Director – LP2M Padang</w:t>
            </w:r>
          </w:p>
        </w:tc>
      </w:tr>
      <w:tr w:rsidR="00EC1781" w:rsidRPr="0099711C" w14:paraId="16304406" w14:textId="77777777" w:rsidTr="005E637F">
        <w:tc>
          <w:tcPr>
            <w:tcW w:w="3114" w:type="dxa"/>
          </w:tcPr>
          <w:p w14:paraId="132A1663" w14:textId="77777777" w:rsidR="00EC1781" w:rsidRPr="0099711C" w:rsidRDefault="00EC1781" w:rsidP="005E637F">
            <w:pPr>
              <w:rPr>
                <w:rFonts w:cstheme="minorHAnsi"/>
              </w:rPr>
            </w:pPr>
            <w:r w:rsidRPr="0099711C">
              <w:rPr>
                <w:rFonts w:cstheme="minorHAnsi"/>
              </w:rPr>
              <w:t>Sri Ambarwati</w:t>
            </w:r>
          </w:p>
        </w:tc>
        <w:tc>
          <w:tcPr>
            <w:tcW w:w="5902" w:type="dxa"/>
          </w:tcPr>
          <w:p w14:paraId="50A99E71" w14:textId="77777777" w:rsidR="00EC1781" w:rsidRPr="0099711C" w:rsidRDefault="00EC1781" w:rsidP="005E637F">
            <w:pPr>
              <w:rPr>
                <w:rFonts w:cstheme="minorHAnsi"/>
              </w:rPr>
            </w:pPr>
            <w:r w:rsidRPr="0099711C">
              <w:rPr>
                <w:rFonts w:cstheme="minorHAnsi"/>
              </w:rPr>
              <w:t>Program Coordinator – LP2M Padang</w:t>
            </w:r>
          </w:p>
        </w:tc>
      </w:tr>
      <w:tr w:rsidR="00EC1781" w:rsidRPr="0099711C" w14:paraId="61BC9F3B" w14:textId="77777777" w:rsidTr="005E637F">
        <w:tc>
          <w:tcPr>
            <w:tcW w:w="3114" w:type="dxa"/>
          </w:tcPr>
          <w:p w14:paraId="54AE4E07" w14:textId="77777777" w:rsidR="00EC1781" w:rsidRPr="0099711C" w:rsidRDefault="00EC1781" w:rsidP="005E637F">
            <w:pPr>
              <w:rPr>
                <w:rFonts w:cstheme="minorHAnsi"/>
              </w:rPr>
            </w:pPr>
            <w:r w:rsidRPr="0099711C">
              <w:rPr>
                <w:rFonts w:cstheme="minorHAnsi"/>
              </w:rPr>
              <w:t>Triramayani</w:t>
            </w:r>
          </w:p>
        </w:tc>
        <w:tc>
          <w:tcPr>
            <w:tcW w:w="5902" w:type="dxa"/>
          </w:tcPr>
          <w:p w14:paraId="3DF4570F" w14:textId="77777777" w:rsidR="00EC1781" w:rsidRPr="0099711C" w:rsidRDefault="00EC1781" w:rsidP="005E637F">
            <w:pPr>
              <w:rPr>
                <w:rFonts w:cstheme="minorHAnsi"/>
              </w:rPr>
            </w:pPr>
            <w:r w:rsidRPr="0099711C">
              <w:rPr>
                <w:rFonts w:cstheme="minorHAnsi"/>
              </w:rPr>
              <w:t>Program Manager – LP2M Padang</w:t>
            </w:r>
          </w:p>
        </w:tc>
      </w:tr>
      <w:tr w:rsidR="00EC1781" w:rsidRPr="0099711C" w14:paraId="1DF08812" w14:textId="77777777" w:rsidTr="005E637F">
        <w:tc>
          <w:tcPr>
            <w:tcW w:w="3114" w:type="dxa"/>
          </w:tcPr>
          <w:p w14:paraId="1C3590E6" w14:textId="77777777" w:rsidR="00EC1781" w:rsidRPr="0099711C" w:rsidRDefault="00EC1781" w:rsidP="005E637F">
            <w:pPr>
              <w:rPr>
                <w:rFonts w:cstheme="minorHAnsi"/>
              </w:rPr>
            </w:pPr>
            <w:r w:rsidRPr="0099711C">
              <w:rPr>
                <w:rFonts w:cstheme="minorHAnsi"/>
              </w:rPr>
              <w:t>Prof. Elfindri</w:t>
            </w:r>
          </w:p>
        </w:tc>
        <w:tc>
          <w:tcPr>
            <w:tcW w:w="5902" w:type="dxa"/>
          </w:tcPr>
          <w:p w14:paraId="4E0481B3" w14:textId="77777777" w:rsidR="00EC1781" w:rsidRPr="0099711C" w:rsidRDefault="00EC1781" w:rsidP="005E637F">
            <w:pPr>
              <w:rPr>
                <w:rFonts w:cstheme="minorHAnsi"/>
              </w:rPr>
            </w:pPr>
            <w:r w:rsidRPr="0099711C">
              <w:rPr>
                <w:rFonts w:cstheme="minorHAnsi"/>
              </w:rPr>
              <w:t xml:space="preserve">Head of SDGs Center – Andalas University – Padang </w:t>
            </w:r>
          </w:p>
        </w:tc>
      </w:tr>
      <w:tr w:rsidR="00EC1781" w:rsidRPr="0099711C" w14:paraId="1267D813" w14:textId="77777777" w:rsidTr="005E637F">
        <w:tc>
          <w:tcPr>
            <w:tcW w:w="3114" w:type="dxa"/>
          </w:tcPr>
          <w:p w14:paraId="2FA0DE6D" w14:textId="77777777" w:rsidR="00EC1781" w:rsidRPr="0099711C" w:rsidRDefault="00EC1781" w:rsidP="005E637F">
            <w:pPr>
              <w:rPr>
                <w:rFonts w:cstheme="minorHAnsi"/>
              </w:rPr>
            </w:pPr>
            <w:r w:rsidRPr="0099711C">
              <w:rPr>
                <w:rFonts w:cstheme="minorHAnsi"/>
              </w:rPr>
              <w:t>M Nasir</w:t>
            </w:r>
          </w:p>
        </w:tc>
        <w:tc>
          <w:tcPr>
            <w:tcW w:w="5902" w:type="dxa"/>
          </w:tcPr>
          <w:p w14:paraId="4981C4CD" w14:textId="77777777" w:rsidR="00EC1781" w:rsidRPr="0099711C" w:rsidRDefault="00EC1781" w:rsidP="005E637F">
            <w:pPr>
              <w:rPr>
                <w:rFonts w:cstheme="minorHAnsi"/>
              </w:rPr>
            </w:pPr>
            <w:r w:rsidRPr="0099711C">
              <w:rPr>
                <w:rFonts w:cstheme="minorHAnsi"/>
              </w:rPr>
              <w:t>Informal leader – Padang Pariaman</w:t>
            </w:r>
          </w:p>
        </w:tc>
      </w:tr>
      <w:tr w:rsidR="00EC1781" w:rsidRPr="0099711C" w14:paraId="06B8DB39" w14:textId="77777777" w:rsidTr="005E637F">
        <w:tc>
          <w:tcPr>
            <w:tcW w:w="3114" w:type="dxa"/>
          </w:tcPr>
          <w:p w14:paraId="34D8FE16" w14:textId="77777777" w:rsidR="00EC1781" w:rsidRPr="0099711C" w:rsidRDefault="00EC1781" w:rsidP="005E637F">
            <w:pPr>
              <w:rPr>
                <w:rFonts w:cstheme="minorHAnsi"/>
              </w:rPr>
            </w:pPr>
            <w:r w:rsidRPr="0099711C">
              <w:rPr>
                <w:rFonts w:cstheme="minorHAnsi"/>
              </w:rPr>
              <w:t>Hendri</w:t>
            </w:r>
          </w:p>
        </w:tc>
        <w:tc>
          <w:tcPr>
            <w:tcW w:w="5902" w:type="dxa"/>
          </w:tcPr>
          <w:p w14:paraId="039859C7" w14:textId="77777777" w:rsidR="00EC1781" w:rsidRPr="0099711C" w:rsidRDefault="00EC1781" w:rsidP="005E637F">
            <w:pPr>
              <w:rPr>
                <w:rFonts w:cstheme="minorHAnsi"/>
              </w:rPr>
            </w:pPr>
            <w:r w:rsidRPr="0099711C">
              <w:rPr>
                <w:rFonts w:cstheme="minorHAnsi"/>
              </w:rPr>
              <w:t>Village head – Padang Pariaman</w:t>
            </w:r>
          </w:p>
        </w:tc>
      </w:tr>
      <w:tr w:rsidR="00EC1781" w:rsidRPr="0099711C" w14:paraId="02DC4ABE" w14:textId="77777777" w:rsidTr="005E637F">
        <w:tc>
          <w:tcPr>
            <w:tcW w:w="3114" w:type="dxa"/>
          </w:tcPr>
          <w:p w14:paraId="7CBEC875" w14:textId="77777777" w:rsidR="00EC1781" w:rsidRPr="0099711C" w:rsidRDefault="00EC1781" w:rsidP="005E637F">
            <w:pPr>
              <w:rPr>
                <w:rFonts w:cstheme="minorHAnsi"/>
              </w:rPr>
            </w:pPr>
            <w:r w:rsidRPr="0099711C">
              <w:rPr>
                <w:rFonts w:cstheme="minorHAnsi"/>
              </w:rPr>
              <w:t xml:space="preserve">Muziatur Rahma </w:t>
            </w:r>
          </w:p>
        </w:tc>
        <w:tc>
          <w:tcPr>
            <w:tcW w:w="5902" w:type="dxa"/>
          </w:tcPr>
          <w:p w14:paraId="3E1D3DE5" w14:textId="77777777" w:rsidR="00EC1781" w:rsidRPr="0099711C" w:rsidRDefault="00EC1781" w:rsidP="005E637F">
            <w:pPr>
              <w:rPr>
                <w:rFonts w:cstheme="minorHAnsi"/>
              </w:rPr>
            </w:pPr>
            <w:r w:rsidRPr="0099711C">
              <w:rPr>
                <w:rFonts w:cstheme="minorHAnsi"/>
              </w:rPr>
              <w:t>Field facilitator LP2M</w:t>
            </w:r>
          </w:p>
        </w:tc>
      </w:tr>
      <w:tr w:rsidR="00EC1781" w:rsidRPr="0099711C" w14:paraId="0FC25D9F" w14:textId="77777777" w:rsidTr="005E637F">
        <w:tc>
          <w:tcPr>
            <w:tcW w:w="3114" w:type="dxa"/>
          </w:tcPr>
          <w:p w14:paraId="582C189D" w14:textId="77777777" w:rsidR="00EC1781" w:rsidRPr="0099711C" w:rsidRDefault="00EC1781" w:rsidP="005E637F">
            <w:pPr>
              <w:rPr>
                <w:rFonts w:cstheme="minorHAnsi"/>
              </w:rPr>
            </w:pPr>
          </w:p>
        </w:tc>
        <w:tc>
          <w:tcPr>
            <w:tcW w:w="5902" w:type="dxa"/>
          </w:tcPr>
          <w:p w14:paraId="2EB924B7" w14:textId="77777777" w:rsidR="00EC1781" w:rsidRPr="0099711C" w:rsidRDefault="00EC1781" w:rsidP="005E637F">
            <w:pPr>
              <w:rPr>
                <w:rFonts w:cstheme="minorHAnsi"/>
              </w:rPr>
            </w:pPr>
            <w:r w:rsidRPr="0099711C">
              <w:rPr>
                <w:rFonts w:cstheme="minorHAnsi"/>
              </w:rPr>
              <w:t xml:space="preserve">10 Women Community organisers </w:t>
            </w:r>
          </w:p>
        </w:tc>
      </w:tr>
      <w:tr w:rsidR="00EC1781" w:rsidRPr="0099711C" w14:paraId="563CD81F" w14:textId="77777777" w:rsidTr="005E637F">
        <w:tc>
          <w:tcPr>
            <w:tcW w:w="3114" w:type="dxa"/>
          </w:tcPr>
          <w:p w14:paraId="2E8E47C6" w14:textId="77777777" w:rsidR="00EC1781" w:rsidRPr="0099711C" w:rsidRDefault="00EC1781" w:rsidP="005E637F">
            <w:pPr>
              <w:rPr>
                <w:rFonts w:cstheme="minorHAnsi"/>
              </w:rPr>
            </w:pPr>
            <w:r w:rsidRPr="0099711C">
              <w:rPr>
                <w:rFonts w:cstheme="minorHAnsi"/>
              </w:rPr>
              <w:t>Novianti</w:t>
            </w:r>
          </w:p>
        </w:tc>
        <w:tc>
          <w:tcPr>
            <w:tcW w:w="5902" w:type="dxa"/>
          </w:tcPr>
          <w:p w14:paraId="23643473" w14:textId="77777777" w:rsidR="00EC1781" w:rsidRPr="0099711C" w:rsidRDefault="00EC1781" w:rsidP="005E637F">
            <w:pPr>
              <w:rPr>
                <w:rFonts w:cstheme="minorHAnsi"/>
              </w:rPr>
            </w:pPr>
            <w:r w:rsidRPr="0099711C">
              <w:rPr>
                <w:rFonts w:cstheme="minorHAnsi"/>
              </w:rPr>
              <w:t>Bappeda Padang Pariaman</w:t>
            </w:r>
          </w:p>
        </w:tc>
      </w:tr>
      <w:tr w:rsidR="00EC1781" w:rsidRPr="0099711C" w14:paraId="0B5B8134" w14:textId="77777777" w:rsidTr="005E637F">
        <w:tc>
          <w:tcPr>
            <w:tcW w:w="3114" w:type="dxa"/>
          </w:tcPr>
          <w:p w14:paraId="773C0DE0" w14:textId="77777777" w:rsidR="00EC1781" w:rsidRPr="0099711C" w:rsidRDefault="00EC1781" w:rsidP="005E637F">
            <w:pPr>
              <w:rPr>
                <w:rFonts w:cstheme="minorHAnsi"/>
              </w:rPr>
            </w:pPr>
            <w:r w:rsidRPr="0099711C">
              <w:rPr>
                <w:rFonts w:cstheme="minorHAnsi"/>
              </w:rPr>
              <w:t>Herman A</w:t>
            </w:r>
          </w:p>
        </w:tc>
        <w:tc>
          <w:tcPr>
            <w:tcW w:w="5902" w:type="dxa"/>
          </w:tcPr>
          <w:p w14:paraId="55ED4ACD" w14:textId="77777777" w:rsidR="00EC1781" w:rsidRPr="0099711C" w:rsidRDefault="00EC1781" w:rsidP="005E637F">
            <w:pPr>
              <w:rPr>
                <w:rFonts w:cstheme="minorHAnsi"/>
              </w:rPr>
            </w:pPr>
            <w:r w:rsidRPr="0099711C">
              <w:rPr>
                <w:rFonts w:cstheme="minorHAnsi"/>
              </w:rPr>
              <w:t>Bappeda Padang Pariaman</w:t>
            </w:r>
          </w:p>
        </w:tc>
      </w:tr>
      <w:tr w:rsidR="00EC1781" w:rsidRPr="0099711C" w14:paraId="570AE40A" w14:textId="77777777" w:rsidTr="005E637F">
        <w:tc>
          <w:tcPr>
            <w:tcW w:w="3114" w:type="dxa"/>
          </w:tcPr>
          <w:p w14:paraId="50785C7D" w14:textId="77777777" w:rsidR="00EC1781" w:rsidRPr="0099711C" w:rsidRDefault="00EC1781" w:rsidP="005E637F">
            <w:pPr>
              <w:rPr>
                <w:rFonts w:cstheme="minorHAnsi"/>
              </w:rPr>
            </w:pPr>
            <w:r w:rsidRPr="0099711C">
              <w:rPr>
                <w:rFonts w:cstheme="minorHAnsi"/>
              </w:rPr>
              <w:t>Nofiyanti</w:t>
            </w:r>
          </w:p>
        </w:tc>
        <w:tc>
          <w:tcPr>
            <w:tcW w:w="5902" w:type="dxa"/>
          </w:tcPr>
          <w:p w14:paraId="348114E2" w14:textId="77777777" w:rsidR="00EC1781" w:rsidRPr="0099711C" w:rsidRDefault="00EC1781" w:rsidP="005E637F">
            <w:pPr>
              <w:rPr>
                <w:rFonts w:cstheme="minorHAnsi"/>
              </w:rPr>
            </w:pPr>
            <w:r w:rsidRPr="0099711C">
              <w:rPr>
                <w:rFonts w:cstheme="minorHAnsi"/>
              </w:rPr>
              <w:t>Bappeda Padang Pariaman</w:t>
            </w:r>
          </w:p>
        </w:tc>
      </w:tr>
      <w:tr w:rsidR="00EC1781" w:rsidRPr="0099711C" w14:paraId="75C37E9F" w14:textId="77777777" w:rsidTr="005E637F">
        <w:tc>
          <w:tcPr>
            <w:tcW w:w="3114" w:type="dxa"/>
          </w:tcPr>
          <w:p w14:paraId="57DB277A" w14:textId="77777777" w:rsidR="00EC1781" w:rsidRPr="0099711C" w:rsidRDefault="00EC1781" w:rsidP="005E637F">
            <w:pPr>
              <w:rPr>
                <w:rFonts w:cstheme="minorHAnsi"/>
              </w:rPr>
            </w:pPr>
            <w:r w:rsidRPr="0099711C">
              <w:rPr>
                <w:rFonts w:cstheme="minorHAnsi"/>
              </w:rPr>
              <w:t>Rio Antonio</w:t>
            </w:r>
          </w:p>
        </w:tc>
        <w:tc>
          <w:tcPr>
            <w:tcW w:w="5902" w:type="dxa"/>
          </w:tcPr>
          <w:p w14:paraId="0D8656FA" w14:textId="77777777" w:rsidR="00EC1781" w:rsidRPr="0099711C" w:rsidRDefault="00EC1781" w:rsidP="005E637F">
            <w:pPr>
              <w:rPr>
                <w:rFonts w:cstheme="minorHAnsi"/>
              </w:rPr>
            </w:pPr>
            <w:r w:rsidRPr="0099711C">
              <w:rPr>
                <w:rFonts w:cstheme="minorHAnsi"/>
              </w:rPr>
              <w:t>Bappeda Padang Pariaman</w:t>
            </w:r>
          </w:p>
        </w:tc>
      </w:tr>
      <w:tr w:rsidR="00EC1781" w:rsidRPr="0099711C" w14:paraId="29F30183" w14:textId="77777777" w:rsidTr="005E637F">
        <w:tc>
          <w:tcPr>
            <w:tcW w:w="3114" w:type="dxa"/>
          </w:tcPr>
          <w:p w14:paraId="67DD96BD" w14:textId="77777777" w:rsidR="00EC1781" w:rsidRPr="0099711C" w:rsidRDefault="00EC1781" w:rsidP="005E637F">
            <w:pPr>
              <w:rPr>
                <w:rFonts w:cstheme="minorHAnsi"/>
              </w:rPr>
            </w:pPr>
            <w:r w:rsidRPr="0099711C">
              <w:rPr>
                <w:rFonts w:cstheme="minorHAnsi"/>
              </w:rPr>
              <w:t>Rina Novianti</w:t>
            </w:r>
          </w:p>
        </w:tc>
        <w:tc>
          <w:tcPr>
            <w:tcW w:w="5902" w:type="dxa"/>
          </w:tcPr>
          <w:p w14:paraId="3AECCFF7" w14:textId="77777777" w:rsidR="00EC1781" w:rsidRPr="0099711C" w:rsidRDefault="00EC1781" w:rsidP="005E637F">
            <w:pPr>
              <w:rPr>
                <w:rFonts w:cstheme="minorHAnsi"/>
              </w:rPr>
            </w:pPr>
            <w:r w:rsidRPr="0099711C">
              <w:rPr>
                <w:rFonts w:cstheme="minorHAnsi"/>
              </w:rPr>
              <w:t>Social Affairs office – Padang Pariaman</w:t>
            </w:r>
          </w:p>
        </w:tc>
      </w:tr>
      <w:tr w:rsidR="00EC1781" w:rsidRPr="0099711C" w14:paraId="7649A5B1" w14:textId="77777777" w:rsidTr="005E637F">
        <w:tc>
          <w:tcPr>
            <w:tcW w:w="3114" w:type="dxa"/>
          </w:tcPr>
          <w:p w14:paraId="6A8DBCB4" w14:textId="77777777" w:rsidR="00EC1781" w:rsidRPr="0099711C" w:rsidRDefault="00EC1781" w:rsidP="005E637F">
            <w:pPr>
              <w:rPr>
                <w:rFonts w:cstheme="minorHAnsi"/>
              </w:rPr>
            </w:pPr>
            <w:r w:rsidRPr="0099711C">
              <w:rPr>
                <w:rFonts w:cstheme="minorHAnsi"/>
              </w:rPr>
              <w:t>Yuliafitri</w:t>
            </w:r>
          </w:p>
        </w:tc>
        <w:tc>
          <w:tcPr>
            <w:tcW w:w="5902" w:type="dxa"/>
          </w:tcPr>
          <w:p w14:paraId="5A8D357B" w14:textId="77777777" w:rsidR="00EC1781" w:rsidRPr="0099711C" w:rsidRDefault="00EC1781" w:rsidP="005E637F">
            <w:pPr>
              <w:rPr>
                <w:rFonts w:cstheme="minorHAnsi"/>
              </w:rPr>
            </w:pPr>
            <w:r w:rsidRPr="0099711C">
              <w:rPr>
                <w:rFonts w:cstheme="minorHAnsi"/>
              </w:rPr>
              <w:t>Women Empowerment office – Padang Pariaman</w:t>
            </w:r>
          </w:p>
        </w:tc>
      </w:tr>
      <w:tr w:rsidR="00EC1781" w:rsidRPr="0099711C" w14:paraId="129B2734" w14:textId="77777777" w:rsidTr="005E637F">
        <w:tc>
          <w:tcPr>
            <w:tcW w:w="3114" w:type="dxa"/>
          </w:tcPr>
          <w:p w14:paraId="02667ABB" w14:textId="77777777" w:rsidR="00EC1781" w:rsidRPr="0099711C" w:rsidRDefault="00EC1781" w:rsidP="005E637F">
            <w:pPr>
              <w:rPr>
                <w:rFonts w:cstheme="minorHAnsi"/>
              </w:rPr>
            </w:pPr>
            <w:r w:rsidRPr="0099711C">
              <w:rPr>
                <w:rFonts w:cstheme="minorHAnsi"/>
              </w:rPr>
              <w:t>Yanti Herawati</w:t>
            </w:r>
          </w:p>
        </w:tc>
        <w:tc>
          <w:tcPr>
            <w:tcW w:w="5902" w:type="dxa"/>
          </w:tcPr>
          <w:p w14:paraId="307EFC20" w14:textId="77777777" w:rsidR="00EC1781" w:rsidRPr="0099711C" w:rsidRDefault="00EC1781" w:rsidP="005E637F">
            <w:pPr>
              <w:rPr>
                <w:rFonts w:cstheme="minorHAnsi"/>
              </w:rPr>
            </w:pPr>
            <w:r w:rsidRPr="0099711C">
              <w:rPr>
                <w:rFonts w:cstheme="minorHAnsi"/>
              </w:rPr>
              <w:t>Health office – Padang Pariaman</w:t>
            </w:r>
          </w:p>
        </w:tc>
      </w:tr>
      <w:tr w:rsidR="00EC1781" w:rsidRPr="0099711C" w14:paraId="45893B94" w14:textId="77777777" w:rsidTr="005E637F">
        <w:tc>
          <w:tcPr>
            <w:tcW w:w="3114" w:type="dxa"/>
          </w:tcPr>
          <w:p w14:paraId="653BBC9F" w14:textId="77777777" w:rsidR="00EC1781" w:rsidRPr="0099711C" w:rsidRDefault="00EC1781" w:rsidP="005E637F">
            <w:pPr>
              <w:rPr>
                <w:rFonts w:cstheme="minorHAnsi"/>
              </w:rPr>
            </w:pPr>
            <w:r w:rsidRPr="0099711C">
              <w:rPr>
                <w:rFonts w:cstheme="minorHAnsi"/>
              </w:rPr>
              <w:t>Epi Manjardi</w:t>
            </w:r>
          </w:p>
        </w:tc>
        <w:tc>
          <w:tcPr>
            <w:tcW w:w="5902" w:type="dxa"/>
          </w:tcPr>
          <w:p w14:paraId="3FC00B95" w14:textId="77777777" w:rsidR="00EC1781" w:rsidRPr="0099711C" w:rsidRDefault="00EC1781" w:rsidP="005E637F">
            <w:pPr>
              <w:rPr>
                <w:rFonts w:cstheme="minorHAnsi"/>
              </w:rPr>
            </w:pPr>
            <w:r w:rsidRPr="0099711C">
              <w:rPr>
                <w:rFonts w:cstheme="minorHAnsi"/>
              </w:rPr>
              <w:t>Religious affairs office – Padang Pariaman</w:t>
            </w:r>
          </w:p>
        </w:tc>
      </w:tr>
      <w:tr w:rsidR="00EC1781" w:rsidRPr="0099711C" w14:paraId="1085F3FD" w14:textId="77777777" w:rsidTr="005E637F">
        <w:tc>
          <w:tcPr>
            <w:tcW w:w="3114" w:type="dxa"/>
          </w:tcPr>
          <w:p w14:paraId="3CBF7E8C" w14:textId="77777777" w:rsidR="00EC1781" w:rsidRPr="0099711C" w:rsidRDefault="00EC1781" w:rsidP="005E637F">
            <w:pPr>
              <w:rPr>
                <w:rFonts w:cstheme="minorHAnsi"/>
              </w:rPr>
            </w:pPr>
            <w:r w:rsidRPr="0099711C">
              <w:rPr>
                <w:rFonts w:cstheme="minorHAnsi"/>
              </w:rPr>
              <w:t>Kasmir</w:t>
            </w:r>
          </w:p>
        </w:tc>
        <w:tc>
          <w:tcPr>
            <w:tcW w:w="5902" w:type="dxa"/>
          </w:tcPr>
          <w:p w14:paraId="19669C46" w14:textId="77777777" w:rsidR="00EC1781" w:rsidRPr="0099711C" w:rsidRDefault="00EC1781" w:rsidP="005E637F">
            <w:pPr>
              <w:rPr>
                <w:rFonts w:cstheme="minorHAnsi"/>
              </w:rPr>
            </w:pPr>
            <w:r w:rsidRPr="0099711C">
              <w:rPr>
                <w:rFonts w:cstheme="minorHAnsi"/>
              </w:rPr>
              <w:t>Religious affairs office – Padang Pariaman</w:t>
            </w:r>
          </w:p>
        </w:tc>
      </w:tr>
    </w:tbl>
    <w:p w14:paraId="7DEDDA1E" w14:textId="77777777" w:rsidR="00EC1781" w:rsidRPr="0099711C" w:rsidRDefault="00EC1781" w:rsidP="00EC1781">
      <w:pPr>
        <w:rPr>
          <w:rFonts w:cstheme="minorHAnsi"/>
        </w:rPr>
      </w:pPr>
    </w:p>
    <w:p w14:paraId="28D5AD5B" w14:textId="77777777" w:rsidR="00EC1781" w:rsidRPr="00EC1781" w:rsidRDefault="00EC1781" w:rsidP="00EC1781"/>
    <w:p w14:paraId="28684AA9" w14:textId="77777777" w:rsidR="00CB14AA" w:rsidRDefault="00CB14AA" w:rsidP="00CB14AA">
      <w:pPr>
        <w:pStyle w:val="Heading4"/>
      </w:pPr>
    </w:p>
    <w:p w14:paraId="4404FDA0" w14:textId="77777777" w:rsidR="00CB14AA" w:rsidRDefault="00CB14AA" w:rsidP="00CB14AA">
      <w:pPr>
        <w:pStyle w:val="Heading4"/>
      </w:pPr>
    </w:p>
    <w:p w14:paraId="0E82C0DD" w14:textId="77777777" w:rsidR="00CB14AA" w:rsidRDefault="00CB14AA" w:rsidP="00CB14AA">
      <w:pPr>
        <w:pStyle w:val="Heading4"/>
      </w:pPr>
    </w:p>
    <w:p w14:paraId="492D9AAD" w14:textId="77777777" w:rsidR="00CB14AA" w:rsidRDefault="00CB14AA">
      <w:pPr>
        <w:rPr>
          <w:rFonts w:asciiTheme="majorHAnsi" w:eastAsiaTheme="majorEastAsia" w:hAnsiTheme="majorHAnsi" w:cstheme="majorBidi"/>
          <w:i/>
          <w:iCs/>
          <w:color w:val="2E74B5" w:themeColor="accent1" w:themeShade="BF"/>
        </w:rPr>
      </w:pPr>
      <w:r>
        <w:br w:type="page"/>
      </w:r>
    </w:p>
    <w:p w14:paraId="7593C81E" w14:textId="77777777" w:rsidR="008E03B2" w:rsidRDefault="00CB14AA" w:rsidP="00CB14AA">
      <w:pPr>
        <w:pStyle w:val="Heading1"/>
      </w:pPr>
      <w:bookmarkStart w:id="38" w:name="_Toc21523918"/>
      <w:r>
        <w:t>Annex Three: MAMPU Phase 2 CSO Partners</w:t>
      </w:r>
      <w:bookmarkEnd w:id="38"/>
    </w:p>
    <w:p w14:paraId="41712EF8" w14:textId="77777777" w:rsidR="00E44613" w:rsidRDefault="008E03B2" w:rsidP="00D26F54">
      <w:bookmarkStart w:id="39" w:name="_Toc529719783"/>
      <w:bookmarkStart w:id="40" w:name="_Toc529731442"/>
      <w:bookmarkStart w:id="41" w:name="_Toc529816761"/>
      <w:bookmarkStart w:id="42" w:name="_Toc529824062"/>
      <w:bookmarkStart w:id="43" w:name="_Toc529905003"/>
      <w:bookmarkStart w:id="44" w:name="_Toc530007077"/>
      <w:bookmarkStart w:id="45" w:name="_Toc533176166"/>
      <w:r w:rsidRPr="008E03B2">
        <w:rPr>
          <w:noProof/>
          <w:lang w:eastAsia="en-AU"/>
        </w:rPr>
        <w:drawing>
          <wp:inline distT="0" distB="0" distL="0" distR="0" wp14:anchorId="07BEDF79" wp14:editId="408FDF40">
            <wp:extent cx="5889403" cy="802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0313" cy="8027640"/>
                    </a:xfrm>
                    <a:prstGeom prst="rect">
                      <a:avLst/>
                    </a:prstGeom>
                    <a:noFill/>
                    <a:ln>
                      <a:noFill/>
                    </a:ln>
                  </pic:spPr>
                </pic:pic>
              </a:graphicData>
            </a:graphic>
          </wp:inline>
        </w:drawing>
      </w:r>
      <w:bookmarkEnd w:id="39"/>
      <w:bookmarkEnd w:id="40"/>
      <w:bookmarkEnd w:id="41"/>
      <w:bookmarkEnd w:id="42"/>
      <w:bookmarkEnd w:id="43"/>
      <w:bookmarkEnd w:id="44"/>
      <w:bookmarkEnd w:id="45"/>
    </w:p>
    <w:p w14:paraId="2E23B48A" w14:textId="77777777" w:rsidR="002A5118" w:rsidRDefault="00E44613" w:rsidP="00D26F54">
      <w:bookmarkStart w:id="46" w:name="_Toc529719784"/>
      <w:bookmarkStart w:id="47" w:name="_Toc529731443"/>
      <w:bookmarkStart w:id="48" w:name="_Toc529816762"/>
      <w:bookmarkStart w:id="49" w:name="_Toc529824063"/>
      <w:bookmarkStart w:id="50" w:name="_Toc529905004"/>
      <w:bookmarkStart w:id="51" w:name="_Toc530007078"/>
      <w:bookmarkStart w:id="52" w:name="_Toc533176167"/>
      <w:r w:rsidRPr="00E44613">
        <w:rPr>
          <w:noProof/>
          <w:lang w:eastAsia="en-AU"/>
        </w:rPr>
        <w:drawing>
          <wp:inline distT="0" distB="0" distL="0" distR="0" wp14:anchorId="6A74803A" wp14:editId="12681314">
            <wp:extent cx="6390005" cy="85734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2548" cy="8576884"/>
                    </a:xfrm>
                    <a:prstGeom prst="rect">
                      <a:avLst/>
                    </a:prstGeom>
                    <a:noFill/>
                    <a:ln>
                      <a:noFill/>
                    </a:ln>
                  </pic:spPr>
                </pic:pic>
              </a:graphicData>
            </a:graphic>
          </wp:inline>
        </w:drawing>
      </w:r>
      <w:bookmarkEnd w:id="46"/>
      <w:bookmarkEnd w:id="47"/>
      <w:bookmarkEnd w:id="48"/>
      <w:bookmarkEnd w:id="49"/>
      <w:bookmarkEnd w:id="50"/>
      <w:bookmarkEnd w:id="51"/>
      <w:bookmarkEnd w:id="52"/>
      <w:r w:rsidR="002A5118">
        <w:br w:type="page"/>
      </w:r>
    </w:p>
    <w:p w14:paraId="60CFAFEA" w14:textId="0C5F9F64" w:rsidR="00300D93" w:rsidRDefault="008226F9" w:rsidP="007B3770">
      <w:pPr>
        <w:pStyle w:val="Heading1"/>
      </w:pPr>
      <w:bookmarkStart w:id="53" w:name="_Toc21523919"/>
      <w:r>
        <w:t>Annex Four</w:t>
      </w:r>
      <w:r w:rsidR="005100B1">
        <w:t xml:space="preserve">: </w:t>
      </w:r>
      <w:r w:rsidR="00300D93">
        <w:t>MAMPU program management systems</w:t>
      </w:r>
      <w:bookmarkEnd w:id="53"/>
    </w:p>
    <w:p w14:paraId="0E55CB29" w14:textId="642E6797" w:rsidR="00300D93" w:rsidRDefault="00300D93" w:rsidP="003542C0">
      <w:pPr>
        <w:jc w:val="both"/>
      </w:pPr>
      <w:r>
        <w:t>MAMPU Phase 2 has developed some useful approaches to participatory program management</w:t>
      </w:r>
      <w:r w:rsidR="00C479F3">
        <w:t xml:space="preserve"> and monitoring and evaluation</w:t>
      </w:r>
      <w:r>
        <w:t>.</w:t>
      </w:r>
    </w:p>
    <w:p w14:paraId="6C9DFD72" w14:textId="76A2B8A3" w:rsidR="00300D93" w:rsidRDefault="00300D93" w:rsidP="003542C0">
      <w:pPr>
        <w:jc w:val="both"/>
      </w:pPr>
      <w:r>
        <w:t>These include the following:</w:t>
      </w:r>
    </w:p>
    <w:p w14:paraId="5B9247BD" w14:textId="3A2175C6" w:rsidR="00300D93" w:rsidRPr="00300D93" w:rsidRDefault="00300D93" w:rsidP="003542C0">
      <w:pPr>
        <w:pStyle w:val="Heading4"/>
        <w:jc w:val="both"/>
      </w:pPr>
      <w:r w:rsidRPr="00300D93">
        <w:t>Participatory audit</w:t>
      </w:r>
    </w:p>
    <w:p w14:paraId="15D707B0" w14:textId="77777777" w:rsidR="00300D93" w:rsidRPr="00300D93" w:rsidRDefault="00300D93" w:rsidP="003542C0">
      <w:pPr>
        <w:jc w:val="both"/>
      </w:pPr>
      <w:r w:rsidRPr="00300D93">
        <w:t>Often acting as grant-makers themselves, MAMPU partners are required to manage and monitor the use of grants among members of their networks (‘local partners’). MAMPU has been supporting partners to play this grant-making role through a combination of training and systems development.</w:t>
      </w:r>
    </w:p>
    <w:p w14:paraId="754E9F3C" w14:textId="77777777" w:rsidR="00300D93" w:rsidRPr="00300D93" w:rsidRDefault="00300D93" w:rsidP="003542C0">
      <w:pPr>
        <w:jc w:val="both"/>
      </w:pPr>
      <w:r w:rsidRPr="00300D93">
        <w:t xml:space="preserve">As part of this work, MAMPU has been developing partner capacity in ‘Participatory Audit’ (PA). Developed specifically by MAMPU, PA adapts traditional financial audit techniques by involving intended beneficiaries at the community level. The method involves a series of activities over 3 days in a sampled MAMPU location. During this time, a sample of intended beneficiaries are involved in focus group discussions, reviewing and confirming reported activities and associated costs. </w:t>
      </w:r>
    </w:p>
    <w:p w14:paraId="643FB8C1" w14:textId="77777777" w:rsidR="00300D93" w:rsidRPr="00300D93" w:rsidRDefault="00300D93" w:rsidP="003542C0">
      <w:pPr>
        <w:jc w:val="both"/>
      </w:pPr>
      <w:r w:rsidRPr="00300D93">
        <w:t>After first trialling the method with MAMPU’s help, since June 2017 partners conducted a further 59 PAs covering more than AUD 3.5 million in grant funding. Partners have plans for an additional 69 PAs between July 2018 and December 2019. Overall, the Participatory Audit method has been positively received by partners, local-partners, and community level participants and proven to be an effective tool for sound financial management practice. Evidence from Organisational Capacity and Performance Assessments (OCPAT) suggests that partners value this capacity because it supports them to work in networks – providing financial support to other smaller organisations in a way that combines rigour, flexibility, with bottom-up accountability.</w:t>
      </w:r>
    </w:p>
    <w:p w14:paraId="7B9FBCF8" w14:textId="77777777" w:rsidR="00300D93" w:rsidRPr="00300D93" w:rsidRDefault="00300D93" w:rsidP="003542C0">
      <w:pPr>
        <w:jc w:val="both"/>
      </w:pPr>
      <w:r w:rsidRPr="00300D93">
        <w:t>The method has also been further adapted. In 2017, MAMPU worked with one partner – PERMAMPU – to augment the existing PA methodology with a module that engages participants in reflecting on changes (outcomes) from MAMPU activities. The resulting tool – which PERMAMPU have named ‘PrimeL’ – is now in use in 8 provinces of Sumatra and there is interest among other partners in developing a similar tool.</w:t>
      </w:r>
    </w:p>
    <w:p w14:paraId="2866900B" w14:textId="2DD894B0" w:rsidR="00787C9A" w:rsidRPr="00787C9A" w:rsidRDefault="00787C9A" w:rsidP="003542C0">
      <w:pPr>
        <w:pStyle w:val="Heading4"/>
        <w:jc w:val="both"/>
      </w:pPr>
      <w:r w:rsidRPr="00787C9A">
        <w:t xml:space="preserve">MAMPU data management </w:t>
      </w:r>
    </w:p>
    <w:p w14:paraId="01B0CBDE" w14:textId="77777777" w:rsidR="00787C9A" w:rsidRPr="00787C9A" w:rsidRDefault="00787C9A" w:rsidP="003542C0">
      <w:pPr>
        <w:jc w:val="both"/>
      </w:pPr>
      <w:r w:rsidRPr="00787C9A">
        <w:t>MAMPU’s monitoring and evaluation arrangements are underpinned by a comprehensive management information system called ‘MANIS’. The system was developed through an iterative and flexible approach, beginning early in 2014 with a simple MS Access ‘desktop’ application focused on the immediate needs of the program team. Since then MANIS has evolved into a ‘hybrid’ online-desktop system used by the program’s civil society partners across Indonesia, as well as the program team. The system integrates financial information on MAMPU’s grants with an array of qualitative and quantitative performance data drawn from Back-To-Office-Reporting (including field monitoring and training reports), partner quarterly reporting, ‘Most Significant Change’ stories, and large socio-economic datasets from the Government of Indonesia. Data are brought together and visualized in a series of interactive dashboards that enable the team to monitor key trends and analyse relationships between different sets of information. Data can be extracted in pre-formatted reports for distribution to stakeholders, or exported into other software packages for more in-depth analysis. The system has been a key factor behind the program’s capacity to report on its outcomes.</w:t>
      </w:r>
    </w:p>
    <w:p w14:paraId="7689BD44" w14:textId="77777777" w:rsidR="00787C9A" w:rsidRPr="00787C9A" w:rsidRDefault="00787C9A" w:rsidP="003542C0">
      <w:pPr>
        <w:jc w:val="both"/>
      </w:pPr>
      <w:r w:rsidRPr="00787C9A">
        <w:t xml:space="preserve">The system was adapted in 2016 to include an online quarterly reporting module, which replaced a previous off-line reporting system. Partners now enter Quarterly Progress Reports online and at the same time are able to see a suite of dashboards, maps and other visualisations of their data online. Partners can upload documents and files in a range of formats for sharing and. Feedback from MAMPU on the report, and their responses, are all done through the online system. </w:t>
      </w:r>
    </w:p>
    <w:p w14:paraId="1D2ECDB2" w14:textId="77777777" w:rsidR="00787C9A" w:rsidRPr="00787C9A" w:rsidRDefault="00787C9A" w:rsidP="003542C0">
      <w:pPr>
        <w:jc w:val="both"/>
      </w:pPr>
      <w:r w:rsidRPr="00787C9A">
        <w:t>The longer-term plan of moving all reporting online is to encourage more and more sharing between partners until by 2020 there will be a platform that supports the network – not just an information system for a donor-funded program. Reporting, which is a requirement of a MAMPU grant, brings partners to the online system regularly, where they are exposed to visuals, update notices. This is an opportunity for MAMPU to try and pique their interest and encourage further sharing.</w:t>
      </w:r>
    </w:p>
    <w:p w14:paraId="0BE1F5E3" w14:textId="2795F71D" w:rsidR="00300D93" w:rsidRPr="00787C9A" w:rsidRDefault="00787C9A" w:rsidP="003542C0">
      <w:pPr>
        <w:jc w:val="both"/>
        <w:rPr>
          <w:sz w:val="24"/>
        </w:rPr>
      </w:pPr>
      <w:r w:rsidRPr="00787C9A">
        <w:t>Partners also use MANIS for storage and retrieval of their Most Significant Change stories. They directly enter, store and retrieve stories through the MANIS ‘Storybook’. To date more than 500 such narrative accounts of change have been uploaded by partners describing women’s (and some men’s) experiences.</w:t>
      </w:r>
    </w:p>
    <w:p w14:paraId="04ADF04E" w14:textId="77777777" w:rsidR="00300D93" w:rsidRDefault="00300D93" w:rsidP="003542C0">
      <w:pPr>
        <w:jc w:val="both"/>
        <w:rPr>
          <w:rFonts w:asciiTheme="majorHAnsi" w:eastAsiaTheme="majorEastAsia" w:hAnsiTheme="majorHAnsi" w:cstheme="majorBidi"/>
          <w:color w:val="2E74B5" w:themeColor="accent1" w:themeShade="BF"/>
          <w:sz w:val="32"/>
          <w:szCs w:val="32"/>
        </w:rPr>
      </w:pPr>
      <w:r>
        <w:br w:type="page"/>
      </w:r>
    </w:p>
    <w:p w14:paraId="2AD1E0CF" w14:textId="60738F41" w:rsidR="002A5118" w:rsidRDefault="00300D93" w:rsidP="003B650A">
      <w:pPr>
        <w:pStyle w:val="Heading1"/>
      </w:pPr>
      <w:bookmarkStart w:id="54" w:name="_Toc21523920"/>
      <w:r>
        <w:t>Annex Five:</w:t>
      </w:r>
      <w:r w:rsidR="004234BF">
        <w:t xml:space="preserve"> </w:t>
      </w:r>
      <w:r w:rsidR="005100B1">
        <w:t>Socio-political analysis framework for women’s empowerment</w:t>
      </w:r>
      <w:bookmarkEnd w:id="54"/>
    </w:p>
    <w:p w14:paraId="2CA906AC" w14:textId="77777777" w:rsidR="005100B1" w:rsidRDefault="005100B1" w:rsidP="003542C0">
      <w:pPr>
        <w:jc w:val="both"/>
      </w:pPr>
      <w:r>
        <w:t>The Rao and Kelleher’s change model</w:t>
      </w:r>
      <w:r>
        <w:rPr>
          <w:rStyle w:val="FootnoteReference"/>
        </w:rPr>
        <w:footnoteReference w:id="58"/>
      </w:r>
      <w:r>
        <w:t xml:space="preserve">  is founded on the recognition that changes in gender equity require changes in inequitable social systems or institutions i.e. change to ‘the rules of the game’. Their model distinguishes between formal ‘rules’ such as policies, laws, budgets etc, and informal norms, attitude and beliefs. It also recognises the personal as well societal levels, and the importance of the interaction between the two.</w:t>
      </w:r>
    </w:p>
    <w:p w14:paraId="6B71B140" w14:textId="77777777" w:rsidR="005100B1" w:rsidRDefault="005100B1" w:rsidP="003542C0">
      <w:pPr>
        <w:jc w:val="both"/>
      </w:pPr>
      <w:r w:rsidRPr="0008670B">
        <w:rPr>
          <w:noProof/>
          <w:lang w:eastAsia="en-AU"/>
        </w:rPr>
        <mc:AlternateContent>
          <mc:Choice Requires="wps">
            <w:drawing>
              <wp:anchor distT="0" distB="0" distL="114300" distR="114300" simplePos="0" relativeHeight="251676672" behindDoc="0" locked="0" layoutInCell="1" allowOverlap="1" wp14:anchorId="3DB0B038" wp14:editId="3E6538E6">
                <wp:simplePos x="0" y="0"/>
                <wp:positionH relativeFrom="column">
                  <wp:posOffset>1403350</wp:posOffset>
                </wp:positionH>
                <wp:positionV relativeFrom="paragraph">
                  <wp:posOffset>12700</wp:posOffset>
                </wp:positionV>
                <wp:extent cx="268605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14325"/>
                        </a:xfrm>
                        <a:prstGeom prst="rect">
                          <a:avLst/>
                        </a:prstGeom>
                        <a:solidFill>
                          <a:srgbClr val="FFFFFF"/>
                        </a:solidFill>
                        <a:ln w="9525">
                          <a:solidFill>
                            <a:srgbClr val="000000"/>
                          </a:solidFill>
                          <a:miter lim="800000"/>
                          <a:headEnd/>
                          <a:tailEnd/>
                        </a:ln>
                      </wps:spPr>
                      <wps:txbx>
                        <w:txbxContent>
                          <w:p w14:paraId="051D2BA2" w14:textId="77777777" w:rsidR="00551718" w:rsidRPr="0008670B" w:rsidRDefault="00551718" w:rsidP="005100B1">
                            <w:pPr>
                              <w:jc w:val="center"/>
                              <w:rPr>
                                <w:b/>
                              </w:rPr>
                            </w:pPr>
                            <w:r w:rsidRPr="0008670B">
                              <w:rPr>
                                <w:b/>
                              </w:rPr>
                              <w:t>Individual/Family/Community</w:t>
                            </w:r>
                            <w:r>
                              <w:rPr>
                                <w:b/>
                              </w:rPr>
                              <w:t xml:space="preserv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038" id="_x0000_s1035" type="#_x0000_t202" style="position:absolute;left:0;text-align:left;margin-left:110.5pt;margin-top:1pt;width:211.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">
                <v:textbox>
                  <w:txbxContent>
                    <w:p w14:paraId="051D2BA2" w14:textId="77777777" w:rsidR="00551718" w:rsidRPr="0008670B" w:rsidRDefault="00551718" w:rsidP="005100B1">
                      <w:pPr>
                        <w:jc w:val="center"/>
                        <w:rPr>
                          <w:b/>
                        </w:rPr>
                      </w:pPr>
                      <w:r w:rsidRPr="0008670B">
                        <w:rPr>
                          <w:b/>
                        </w:rPr>
                        <w:t>Individual/Family/Community</w:t>
                      </w:r>
                      <w:r>
                        <w:rPr>
                          <w:b/>
                        </w:rPr>
                        <w:t xml:space="preserve"> Change</w:t>
                      </w:r>
                    </w:p>
                  </w:txbxContent>
                </v:textbox>
              </v:shape>
            </w:pict>
          </mc:Fallback>
        </mc:AlternateContent>
      </w:r>
    </w:p>
    <w:p w14:paraId="03A9CA02" w14:textId="77777777" w:rsidR="005100B1" w:rsidRPr="00E642A7" w:rsidRDefault="005100B1" w:rsidP="003542C0">
      <w:pPr>
        <w:jc w:val="both"/>
      </w:pPr>
      <w:r w:rsidRPr="0008670B">
        <w:rPr>
          <w:noProof/>
          <w:lang w:eastAsia="en-AU"/>
        </w:rPr>
        <mc:AlternateContent>
          <mc:Choice Requires="wps">
            <w:drawing>
              <wp:anchor distT="0" distB="0" distL="114300" distR="114300" simplePos="0" relativeHeight="251677696" behindDoc="0" locked="0" layoutInCell="1" allowOverlap="1" wp14:anchorId="4C44A041" wp14:editId="7FC4A923">
                <wp:simplePos x="0" y="0"/>
                <wp:positionH relativeFrom="column">
                  <wp:posOffset>1263650</wp:posOffset>
                </wp:positionH>
                <wp:positionV relativeFrom="paragraph">
                  <wp:posOffset>3204845</wp:posOffset>
                </wp:positionV>
                <wp:extent cx="2825750" cy="26670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66700"/>
                        </a:xfrm>
                        <a:prstGeom prst="rect">
                          <a:avLst/>
                        </a:prstGeom>
                        <a:solidFill>
                          <a:srgbClr val="FFFFFF"/>
                        </a:solidFill>
                        <a:ln w="9525">
                          <a:solidFill>
                            <a:srgbClr val="000000"/>
                          </a:solidFill>
                          <a:miter lim="800000"/>
                          <a:headEnd/>
                          <a:tailEnd/>
                        </a:ln>
                      </wps:spPr>
                      <wps:txbx>
                        <w:txbxContent>
                          <w:p w14:paraId="168C1A37" w14:textId="77777777" w:rsidR="00551718" w:rsidRPr="0008670B" w:rsidRDefault="00551718" w:rsidP="005100B1">
                            <w:pPr>
                              <w:jc w:val="center"/>
                              <w:rPr>
                                <w:b/>
                              </w:rPr>
                            </w:pPr>
                            <w:r w:rsidRPr="0008670B">
                              <w:rPr>
                                <w:b/>
                              </w:rPr>
                              <w:t>Organisational/Societal/Systemic</w:t>
                            </w:r>
                            <w:r>
                              <w:rPr>
                                <w:b/>
                              </w:rPr>
                              <w:t xml:space="preserv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4A041" id="_x0000_s1036" type="#_x0000_t202" style="position:absolute;left:0;text-align:left;margin-left:99.5pt;margin-top:252.35pt;width:22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6kJQ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">
                <v:textbox>
                  <w:txbxContent>
                    <w:p w14:paraId="168C1A37" w14:textId="77777777" w:rsidR="00551718" w:rsidRPr="0008670B" w:rsidRDefault="00551718" w:rsidP="005100B1">
                      <w:pPr>
                        <w:jc w:val="center"/>
                        <w:rPr>
                          <w:b/>
                        </w:rPr>
                      </w:pPr>
                      <w:r w:rsidRPr="0008670B">
                        <w:rPr>
                          <w:b/>
                        </w:rPr>
                        <w:t>Organisational/Societal/Systemic</w:t>
                      </w:r>
                      <w:r>
                        <w:rPr>
                          <w:b/>
                        </w:rPr>
                        <w:t xml:space="preserve"> Change</w:t>
                      </w:r>
                    </w:p>
                  </w:txbxContent>
                </v:textbox>
              </v:shape>
            </w:pict>
          </mc:Fallback>
        </mc:AlternateContent>
      </w:r>
      <w:r w:rsidRPr="0008670B">
        <w:rPr>
          <w:noProof/>
          <w:lang w:eastAsia="en-AU"/>
        </w:rPr>
        <mc:AlternateContent>
          <mc:Choice Requires="wps">
            <w:drawing>
              <wp:anchor distT="0" distB="0" distL="114300" distR="114300" simplePos="0" relativeHeight="251679744" behindDoc="0" locked="0" layoutInCell="1" allowOverlap="1" wp14:anchorId="3699A784" wp14:editId="3FBC39E9">
                <wp:simplePos x="0" y="0"/>
                <wp:positionH relativeFrom="column">
                  <wp:posOffset>4371975</wp:posOffset>
                </wp:positionH>
                <wp:positionV relativeFrom="paragraph">
                  <wp:posOffset>1489075</wp:posOffset>
                </wp:positionV>
                <wp:extent cx="803275" cy="504825"/>
                <wp:effectExtent l="0" t="0" r="158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504825"/>
                        </a:xfrm>
                        <a:prstGeom prst="rect">
                          <a:avLst/>
                        </a:prstGeom>
                        <a:solidFill>
                          <a:srgbClr val="FFFFFF"/>
                        </a:solidFill>
                        <a:ln w="9525">
                          <a:solidFill>
                            <a:srgbClr val="000000"/>
                          </a:solidFill>
                          <a:miter lim="800000"/>
                          <a:headEnd/>
                          <a:tailEnd/>
                        </a:ln>
                      </wps:spPr>
                      <wps:txbx>
                        <w:txbxContent>
                          <w:p w14:paraId="19AC0EE8" w14:textId="77777777" w:rsidR="00551718" w:rsidRPr="0008670B" w:rsidRDefault="00551718" w:rsidP="005100B1">
                            <w:pPr>
                              <w:spacing w:after="0"/>
                              <w:jc w:val="center"/>
                              <w:rPr>
                                <w:b/>
                              </w:rPr>
                            </w:pPr>
                            <w:r w:rsidRPr="0008670B">
                              <w:rPr>
                                <w:b/>
                              </w:rPr>
                              <w:t>Formal/</w:t>
                            </w:r>
                          </w:p>
                          <w:p w14:paraId="78C4A1C2" w14:textId="77777777" w:rsidR="00551718" w:rsidRPr="0008670B" w:rsidRDefault="00551718" w:rsidP="005100B1">
                            <w:pPr>
                              <w:jc w:val="center"/>
                              <w:rPr>
                                <w:b/>
                              </w:rPr>
                            </w:pPr>
                            <w:r w:rsidRPr="0008670B">
                              <w:rPr>
                                <w:b/>
                              </w:rPr>
                              <w:t>Tangible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A784" id="_x0000_s1037" type="#_x0000_t202" style="position:absolute;left:0;text-align:left;margin-left:344.25pt;margin-top:117.25pt;width:63.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FTJAIAAEs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">
                <v:textbox>
                  <w:txbxContent>
                    <w:p w14:paraId="19AC0EE8" w14:textId="77777777" w:rsidR="00551718" w:rsidRPr="0008670B" w:rsidRDefault="00551718" w:rsidP="005100B1">
                      <w:pPr>
                        <w:spacing w:after="0"/>
                        <w:jc w:val="center"/>
                        <w:rPr>
                          <w:b/>
                        </w:rPr>
                      </w:pPr>
                      <w:r w:rsidRPr="0008670B">
                        <w:rPr>
                          <w:b/>
                        </w:rPr>
                        <w:t>Formal/</w:t>
                      </w:r>
                    </w:p>
                    <w:p w14:paraId="78C4A1C2" w14:textId="77777777" w:rsidR="00551718" w:rsidRPr="0008670B" w:rsidRDefault="00551718" w:rsidP="005100B1">
                      <w:pPr>
                        <w:jc w:val="center"/>
                        <w:rPr>
                          <w:b/>
                        </w:rPr>
                      </w:pPr>
                      <w:r w:rsidRPr="0008670B">
                        <w:rPr>
                          <w:b/>
                        </w:rPr>
                        <w:t>Tangible</w:t>
                      </w:r>
                    </w:p>
                  </w:txbxContent>
                </v:textbox>
              </v:shape>
            </w:pict>
          </mc:Fallback>
        </mc:AlternateContent>
      </w:r>
      <w:r w:rsidRPr="0008670B">
        <w:rPr>
          <w:noProof/>
          <w:lang w:eastAsia="en-AU"/>
        </w:rPr>
        <mc:AlternateContent>
          <mc:Choice Requires="wps">
            <w:drawing>
              <wp:anchor distT="0" distB="0" distL="114300" distR="114300" simplePos="0" relativeHeight="251678720" behindDoc="0" locked="0" layoutInCell="1" allowOverlap="1" wp14:anchorId="33067A02" wp14:editId="1A837AD1">
                <wp:simplePos x="0" y="0"/>
                <wp:positionH relativeFrom="column">
                  <wp:posOffset>0</wp:posOffset>
                </wp:positionH>
                <wp:positionV relativeFrom="paragraph">
                  <wp:posOffset>1517650</wp:posOffset>
                </wp:positionV>
                <wp:extent cx="1098550" cy="476250"/>
                <wp:effectExtent l="0" t="0" r="254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76250"/>
                        </a:xfrm>
                        <a:prstGeom prst="rect">
                          <a:avLst/>
                        </a:prstGeom>
                        <a:solidFill>
                          <a:srgbClr val="FFFFFF"/>
                        </a:solidFill>
                        <a:ln w="9525">
                          <a:solidFill>
                            <a:srgbClr val="000000"/>
                          </a:solidFill>
                          <a:miter lim="800000"/>
                          <a:headEnd/>
                          <a:tailEnd/>
                        </a:ln>
                      </wps:spPr>
                      <wps:txbx>
                        <w:txbxContent>
                          <w:p w14:paraId="55FE8513" w14:textId="77777777" w:rsidR="00551718" w:rsidRDefault="00551718" w:rsidP="005100B1">
                            <w:pPr>
                              <w:spacing w:after="0"/>
                              <w:jc w:val="center"/>
                              <w:rPr>
                                <w:b/>
                              </w:rPr>
                            </w:pPr>
                            <w:r w:rsidRPr="0008670B">
                              <w:rPr>
                                <w:b/>
                              </w:rPr>
                              <w:t>Informal</w:t>
                            </w:r>
                            <w:r>
                              <w:rPr>
                                <w:b/>
                              </w:rPr>
                              <w:t>/</w:t>
                            </w:r>
                          </w:p>
                          <w:p w14:paraId="20441667" w14:textId="77777777" w:rsidR="00551718" w:rsidRPr="0008670B" w:rsidRDefault="00551718" w:rsidP="005100B1">
                            <w:pPr>
                              <w:jc w:val="center"/>
                              <w:rPr>
                                <w:b/>
                              </w:rPr>
                            </w:pPr>
                            <w:r>
                              <w:rPr>
                                <w:b/>
                              </w:rPr>
                              <w:t>Intangible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67A02" id="_x0000_s1038" type="#_x0000_t202" style="position:absolute;left:0;text-align:left;margin-left:0;margin-top:119.5pt;width:86.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EzJA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">
                <v:textbox>
                  <w:txbxContent>
                    <w:p w14:paraId="55FE8513" w14:textId="77777777" w:rsidR="00551718" w:rsidRDefault="00551718" w:rsidP="005100B1">
                      <w:pPr>
                        <w:spacing w:after="0"/>
                        <w:jc w:val="center"/>
                        <w:rPr>
                          <w:b/>
                        </w:rPr>
                      </w:pPr>
                      <w:r w:rsidRPr="0008670B">
                        <w:rPr>
                          <w:b/>
                        </w:rPr>
                        <w:t>Informal</w:t>
                      </w:r>
                      <w:r>
                        <w:rPr>
                          <w:b/>
                        </w:rPr>
                        <w:t>/</w:t>
                      </w:r>
                    </w:p>
                    <w:p w14:paraId="20441667" w14:textId="77777777" w:rsidR="00551718" w:rsidRPr="0008670B" w:rsidRDefault="00551718" w:rsidP="005100B1">
                      <w:pPr>
                        <w:jc w:val="center"/>
                        <w:rPr>
                          <w:b/>
                        </w:rPr>
                      </w:pPr>
                      <w:r>
                        <w:rPr>
                          <w:b/>
                        </w:rPr>
                        <w:t>Intangible</w:t>
                      </w:r>
                    </w:p>
                  </w:txbxContent>
                </v:textbox>
              </v:shape>
            </w:pict>
          </mc:Fallback>
        </mc:AlternateContent>
      </w:r>
      <w:r>
        <w:rPr>
          <w:noProof/>
          <w:lang w:eastAsia="en-AU"/>
        </w:rPr>
        <w:drawing>
          <wp:inline distT="0" distB="0" distL="0" distR="0" wp14:anchorId="410B6078" wp14:editId="6C80AC70">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3B7559E" w14:textId="77777777" w:rsidR="005100B1" w:rsidRDefault="005100B1" w:rsidP="003542C0">
      <w:pPr>
        <w:jc w:val="both"/>
        <w:rPr>
          <w:b/>
        </w:rPr>
      </w:pPr>
    </w:p>
    <w:p w14:paraId="4B5C4C4A" w14:textId="77777777" w:rsidR="005100B1" w:rsidRDefault="005100B1" w:rsidP="003542C0">
      <w:pPr>
        <w:jc w:val="both"/>
        <w:rPr>
          <w:b/>
        </w:rPr>
      </w:pPr>
      <w:r>
        <w:rPr>
          <w:b/>
        </w:rPr>
        <w:t>Fig 1 What Needs to Change (after Rao &amp; Kelleher, 2010).</w:t>
      </w:r>
    </w:p>
    <w:p w14:paraId="2EE78E12" w14:textId="77777777" w:rsidR="005100B1" w:rsidRDefault="005100B1" w:rsidP="003542C0">
      <w:pPr>
        <w:jc w:val="both"/>
      </w:pPr>
      <w:r>
        <w:t>Implicit in t</w:t>
      </w:r>
      <w:r w:rsidRPr="00E205D5">
        <w:t xml:space="preserve">his framework </w:t>
      </w:r>
      <w:r>
        <w:t>is an understanding of the difference between visible, hidden and invisible power</w:t>
      </w:r>
      <w:r>
        <w:rPr>
          <w:rStyle w:val="FootnoteReference"/>
        </w:rPr>
        <w:footnoteReference w:id="59"/>
      </w:r>
      <w:r>
        <w:t xml:space="preserve"> i.e. the difference between observable </w:t>
      </w:r>
      <w:r w:rsidR="00B41CAC">
        <w:t>decision-making</w:t>
      </w:r>
      <w:r>
        <w:t xml:space="preserve"> processes, the setting of the political agenda, and how meanings and value are shaped about what is considered ‘normal’. </w:t>
      </w:r>
      <w:r w:rsidRPr="00E205D5">
        <w:t xml:space="preserve"> </w:t>
      </w:r>
      <w:r>
        <w:t>Addressing these types of power require different strategies, any contextual analysis has to try and understand these dimensions, and the linkages between them.</w:t>
      </w:r>
    </w:p>
    <w:p w14:paraId="0442248E" w14:textId="77777777" w:rsidR="005100B1" w:rsidRPr="005100B1" w:rsidRDefault="005100B1" w:rsidP="005100B1"/>
    <w:sectPr w:rsidR="005100B1" w:rsidRPr="005100B1" w:rsidSect="009433C8">
      <w:headerReference w:type="default"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DB152" w14:textId="77777777" w:rsidR="00551718" w:rsidRDefault="00551718" w:rsidP="008C2B26">
      <w:pPr>
        <w:spacing w:after="0" w:line="240" w:lineRule="auto"/>
      </w:pPr>
      <w:r>
        <w:separator/>
      </w:r>
    </w:p>
  </w:endnote>
  <w:endnote w:type="continuationSeparator" w:id="0">
    <w:p w14:paraId="0DA65034" w14:textId="77777777" w:rsidR="00551718" w:rsidRDefault="00551718" w:rsidP="008C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51EA" w14:textId="77777777" w:rsidR="00FC4C4C" w:rsidRDefault="00FC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76426"/>
      <w:docPartObj>
        <w:docPartGallery w:val="Page Numbers (Bottom of Page)"/>
        <w:docPartUnique/>
      </w:docPartObj>
    </w:sdtPr>
    <w:sdtEndPr>
      <w:rPr>
        <w:noProof/>
      </w:rPr>
    </w:sdtEndPr>
    <w:sdtContent>
      <w:p w14:paraId="6F2E6F60" w14:textId="6FCDEA92" w:rsidR="00551718" w:rsidRDefault="00551718">
        <w:pPr>
          <w:pStyle w:val="Footer"/>
          <w:jc w:val="right"/>
        </w:pPr>
        <w:r>
          <w:fldChar w:fldCharType="begin"/>
        </w:r>
        <w:r>
          <w:instrText xml:space="preserve"> PAGE   \* MERGEFORMAT </w:instrText>
        </w:r>
        <w:r>
          <w:fldChar w:fldCharType="separate"/>
        </w:r>
        <w:r w:rsidR="00FC4C4C">
          <w:rPr>
            <w:noProof/>
          </w:rPr>
          <w:t>4</w:t>
        </w:r>
        <w:r>
          <w:rPr>
            <w:noProof/>
          </w:rPr>
          <w:fldChar w:fldCharType="end"/>
        </w:r>
      </w:p>
    </w:sdtContent>
  </w:sdt>
  <w:p w14:paraId="6373B135" w14:textId="77777777" w:rsidR="00551718" w:rsidRDefault="00551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CE2" w14:textId="77777777" w:rsidR="00FC4C4C" w:rsidRDefault="00FC4C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576398"/>
      <w:docPartObj>
        <w:docPartGallery w:val="Page Numbers (Bottom of Page)"/>
        <w:docPartUnique/>
      </w:docPartObj>
    </w:sdtPr>
    <w:sdtEndPr/>
    <w:sdtContent>
      <w:p w14:paraId="5CCCE15A" w14:textId="77777777" w:rsidR="00551718" w:rsidRDefault="00551718">
        <w:pPr>
          <w:pStyle w:val="Footer"/>
        </w:pPr>
        <w:r>
          <w:rPr>
            <w:noProof/>
            <w:lang w:eastAsia="en-AU"/>
          </w:rPr>
          <mc:AlternateContent>
            <mc:Choice Requires="wps">
              <w:drawing>
                <wp:anchor distT="0" distB="0" distL="114300" distR="114300" simplePos="0" relativeHeight="251659264" behindDoc="0" locked="0" layoutInCell="1" allowOverlap="1" wp14:anchorId="387BF498" wp14:editId="06632CA3">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D41C0F3" w14:textId="1053BDF6" w:rsidR="00551718" w:rsidRDefault="00551718">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FC4C4C" w:rsidRPr="00FC4C4C">
                                <w:rPr>
                                  <w:noProof/>
                                  <w:color w:val="ED7D31" w:themeColor="accent2"/>
                                </w:rPr>
                                <w:t>72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87BF498" id="Rectangle 5" o:spid="_x0000_s103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QDZu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4D41C0F3" w14:textId="1053BDF6" w:rsidR="00551718" w:rsidRDefault="00551718">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FC4C4C" w:rsidRPr="00FC4C4C">
                          <w:rPr>
                            <w:noProof/>
                            <w:color w:val="ED7D31" w:themeColor="accent2"/>
                          </w:rPr>
                          <w:t>72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93D2" w14:textId="77777777" w:rsidR="00551718" w:rsidRDefault="00551718" w:rsidP="008C2B26">
      <w:pPr>
        <w:spacing w:after="0" w:line="240" w:lineRule="auto"/>
      </w:pPr>
      <w:r>
        <w:separator/>
      </w:r>
    </w:p>
  </w:footnote>
  <w:footnote w:type="continuationSeparator" w:id="0">
    <w:p w14:paraId="4FC5400C" w14:textId="77777777" w:rsidR="00551718" w:rsidRDefault="00551718" w:rsidP="008C2B26">
      <w:pPr>
        <w:spacing w:after="0" w:line="240" w:lineRule="auto"/>
      </w:pPr>
      <w:r>
        <w:continuationSeparator/>
      </w:r>
    </w:p>
  </w:footnote>
  <w:footnote w:id="1">
    <w:p w14:paraId="25B40C49" w14:textId="77777777" w:rsidR="00551718" w:rsidRPr="006112B9" w:rsidRDefault="00551718" w:rsidP="00AD490A">
      <w:pPr>
        <w:pStyle w:val="NoSpacing"/>
        <w:rPr>
          <w:sz w:val="20"/>
        </w:rPr>
      </w:pPr>
      <w:r w:rsidRPr="006112B9">
        <w:rPr>
          <w:rStyle w:val="FootnoteReference"/>
          <w:sz w:val="20"/>
        </w:rPr>
        <w:footnoteRef/>
      </w:r>
      <w:r w:rsidRPr="006112B9">
        <w:rPr>
          <w:sz w:val="20"/>
        </w:rPr>
        <w:t xml:space="preserve"> DFAT (2015) ‘Development for All, 2015-2020’</w:t>
      </w:r>
    </w:p>
  </w:footnote>
  <w:footnote w:id="2">
    <w:p w14:paraId="3037842A" w14:textId="235FA5ED" w:rsidR="00551718" w:rsidRDefault="00551718" w:rsidP="00C86A17">
      <w:pPr>
        <w:pStyle w:val="FootnoteText"/>
        <w:jc w:val="both"/>
      </w:pPr>
      <w:r>
        <w:rPr>
          <w:rStyle w:val="FootnoteReference"/>
        </w:rPr>
        <w:footnoteRef/>
      </w:r>
      <w:r>
        <w:t xml:space="preserve"> Cole, W. (2017) ‘Advanced middle-income countries in Asia: challenges and opportunities ahead’, The Asia Foundation.</w:t>
      </w:r>
    </w:p>
  </w:footnote>
  <w:footnote w:id="3">
    <w:p w14:paraId="1DB9A10D" w14:textId="11B98A54" w:rsidR="00551718" w:rsidRDefault="00551718" w:rsidP="00C86A17">
      <w:pPr>
        <w:pStyle w:val="FootnoteText"/>
        <w:jc w:val="both"/>
      </w:pPr>
      <w:r>
        <w:rPr>
          <w:rStyle w:val="FootnoteReference"/>
        </w:rPr>
        <w:footnoteRef/>
      </w:r>
      <w:r>
        <w:t xml:space="preserve"> Menoncal, A. R. (2018) ‘Links between inclusive processes and inclusive outcomes’, GOVnet Evidence Paper, </w:t>
      </w:r>
      <w:r w:rsidRPr="006934DA">
        <w:rPr>
          <w:i/>
        </w:rPr>
        <w:t>draft.</w:t>
      </w:r>
    </w:p>
  </w:footnote>
  <w:footnote w:id="4">
    <w:p w14:paraId="30352CE6" w14:textId="25DFC8FB" w:rsidR="00551718" w:rsidRDefault="00551718" w:rsidP="00C86A17">
      <w:pPr>
        <w:pStyle w:val="FootnoteText"/>
        <w:jc w:val="both"/>
      </w:pPr>
      <w:r>
        <w:rPr>
          <w:rStyle w:val="FootnoteReference"/>
        </w:rPr>
        <w:footnoteRef/>
      </w:r>
      <w:r>
        <w:t xml:space="preserve"> The main priorities for gender equality and women's empowerment in the RPJMN include:</w:t>
      </w:r>
    </w:p>
    <w:p w14:paraId="030839D7" w14:textId="77777777" w:rsidR="00551718" w:rsidRDefault="00551718" w:rsidP="00C86A17">
      <w:pPr>
        <w:pStyle w:val="FootnoteText"/>
        <w:numPr>
          <w:ilvl w:val="0"/>
          <w:numId w:val="14"/>
        </w:numPr>
        <w:jc w:val="both"/>
      </w:pPr>
      <w:r>
        <w:t>Increasing the participation of women in politics and development.</w:t>
      </w:r>
    </w:p>
    <w:p w14:paraId="6D9FAF1D" w14:textId="77777777" w:rsidR="00551718" w:rsidRDefault="00551718" w:rsidP="00C86A17">
      <w:pPr>
        <w:pStyle w:val="FootnoteText"/>
        <w:numPr>
          <w:ilvl w:val="0"/>
          <w:numId w:val="14"/>
        </w:numPr>
        <w:jc w:val="both"/>
      </w:pPr>
      <w:r>
        <w:t>Mainstreaming gender in development planning and programs</w:t>
      </w:r>
    </w:p>
    <w:p w14:paraId="220DECB7" w14:textId="77777777" w:rsidR="00551718" w:rsidRDefault="00551718" w:rsidP="00C86A17">
      <w:pPr>
        <w:pStyle w:val="FootnoteText"/>
        <w:numPr>
          <w:ilvl w:val="0"/>
          <w:numId w:val="14"/>
        </w:numPr>
        <w:jc w:val="both"/>
      </w:pPr>
      <w:r>
        <w:t>Protection of women and children</w:t>
      </w:r>
    </w:p>
  </w:footnote>
  <w:footnote w:id="5">
    <w:p w14:paraId="60352C24" w14:textId="0374F05D" w:rsidR="00551718" w:rsidRDefault="00551718" w:rsidP="00C86A17">
      <w:pPr>
        <w:pStyle w:val="FootnoteText"/>
        <w:jc w:val="both"/>
      </w:pPr>
      <w:r>
        <w:rPr>
          <w:rStyle w:val="FootnoteReference"/>
        </w:rPr>
        <w:footnoteRef/>
      </w:r>
      <w:r>
        <w:t xml:space="preserve"> The UNDP HDI report for 2018 ranks Indonesia as a country experiencing ‘medium equality’ between men and women.</w:t>
      </w:r>
    </w:p>
  </w:footnote>
  <w:footnote w:id="6">
    <w:p w14:paraId="167E85CB" w14:textId="77777777" w:rsidR="00551718" w:rsidRDefault="00551718" w:rsidP="00C86A17">
      <w:pPr>
        <w:pStyle w:val="FootnoteText"/>
        <w:jc w:val="both"/>
      </w:pPr>
      <w:r>
        <w:rPr>
          <w:rStyle w:val="FootnoteReference"/>
        </w:rPr>
        <w:footnoteRef/>
      </w:r>
      <w:r>
        <w:t xml:space="preserve"> The World Bank in Indonesia reported that recent review of the Indonesian government public service since 1999 indicates that women are less likely to be recruited to the public service now than in 1999.</w:t>
      </w:r>
    </w:p>
    <w:p w14:paraId="0EDF82BC" w14:textId="7239F418" w:rsidR="00551718" w:rsidRDefault="00551718" w:rsidP="00C86A17">
      <w:pPr>
        <w:pStyle w:val="FootnoteText"/>
        <w:jc w:val="both"/>
      </w:pPr>
      <w:r>
        <w:t xml:space="preserve">The DFAT funded Investing in Women program has undertaken recent surveys which show ongoing gender bias in employment and home life across Indonesia. </w:t>
      </w:r>
    </w:p>
  </w:footnote>
  <w:footnote w:id="7">
    <w:p w14:paraId="6C7F7899" w14:textId="25B5C1BF" w:rsidR="00551718" w:rsidRDefault="00551718" w:rsidP="00C86A17">
      <w:pPr>
        <w:pStyle w:val="FootnoteText"/>
        <w:jc w:val="both"/>
      </w:pPr>
      <w:r>
        <w:rPr>
          <w:rStyle w:val="FootnoteReference"/>
        </w:rPr>
        <w:footnoteRef/>
      </w:r>
      <w:r>
        <w:t xml:space="preserve"> The Indonesian National Commission on Human Rights, 2016 report notes an increase in acts of intimidation against women, in the name of religion. </w:t>
      </w:r>
    </w:p>
  </w:footnote>
  <w:footnote w:id="8">
    <w:p w14:paraId="5369BAF3" w14:textId="08CF84FC" w:rsidR="00551718" w:rsidRPr="00F02A26" w:rsidRDefault="00551718" w:rsidP="00C86A17">
      <w:pPr>
        <w:pStyle w:val="FootnoteText"/>
        <w:jc w:val="both"/>
      </w:pPr>
      <w:r w:rsidRPr="00F02A26">
        <w:rPr>
          <w:rStyle w:val="FootnoteReference"/>
        </w:rPr>
        <w:footnoteRef/>
      </w:r>
      <w:r w:rsidRPr="00F02A26">
        <w:t xml:space="preserve"> Komnas Perempuan</w:t>
      </w:r>
      <w:r>
        <w:t xml:space="preserve"> (2017) ‘Annual report on violence against women’.</w:t>
      </w:r>
    </w:p>
  </w:footnote>
  <w:footnote w:id="9">
    <w:p w14:paraId="69963487" w14:textId="1956AB4F" w:rsidR="00551718" w:rsidRDefault="00551718" w:rsidP="00C86A17">
      <w:pPr>
        <w:pStyle w:val="FootnoteText"/>
        <w:jc w:val="both"/>
      </w:pPr>
      <w:r>
        <w:rPr>
          <w:rStyle w:val="FootnoteReference"/>
        </w:rPr>
        <w:footnoteRef/>
      </w:r>
      <w:r>
        <w:t xml:space="preserve"> A survey of young people in Indonesia aged 19-29, undertaken by CSIS in 2017, found that more than 50% are not prepared to accept non-Muslim leaders. A Jakarta UIN PPIM study also in 2017 found up to 91.23 % supported the application of Islamic law for the country. </w:t>
      </w:r>
    </w:p>
  </w:footnote>
  <w:footnote w:id="10">
    <w:p w14:paraId="50CFF263" w14:textId="2B760225" w:rsidR="00551718" w:rsidRDefault="00551718" w:rsidP="00BB6201">
      <w:pPr>
        <w:pStyle w:val="FootnoteText"/>
      </w:pPr>
      <w:r>
        <w:rPr>
          <w:rStyle w:val="FootnoteReference"/>
        </w:rPr>
        <w:footnoteRef/>
      </w:r>
      <w:r>
        <w:t xml:space="preserve"> A study of 80 Australian government development programs in Indonesia identified that engaging with CSO has been an effective and efficient approach for DFAT to achieve its intended outcomes</w:t>
      </w:r>
      <w:r w:rsidRPr="005C1D47">
        <w:t>. (</w:t>
      </w:r>
      <w:r w:rsidRPr="00F541E0">
        <w:t>Zurstrassen, M.</w:t>
      </w:r>
      <w:r w:rsidRPr="00476EB1">
        <w:t xml:space="preserve"> &amp;</w:t>
      </w:r>
      <w:r w:rsidRPr="005C1D47">
        <w:t xml:space="preserve"> Nugroho, K. (2015) ‘DFATs Engagement with Indonesian Non-Government Organisations (2007-2014). A Review and Recommendations’.)</w:t>
      </w:r>
    </w:p>
  </w:footnote>
  <w:footnote w:id="11">
    <w:p w14:paraId="172C76A6" w14:textId="548B0EE3" w:rsidR="00551718" w:rsidRDefault="00551718">
      <w:pPr>
        <w:pStyle w:val="FootnoteText"/>
      </w:pPr>
      <w:r>
        <w:rPr>
          <w:rStyle w:val="FootnoteReference"/>
        </w:rPr>
        <w:footnoteRef/>
      </w:r>
      <w:r>
        <w:t xml:space="preserve"> Davies, B. (2015) ‘Financial Sustainability and Funding Diversification: The Challenge for Indonesian NGOs.’</w:t>
      </w:r>
    </w:p>
  </w:footnote>
  <w:footnote w:id="12">
    <w:p w14:paraId="3DA237D9" w14:textId="50B264D0" w:rsidR="00551718" w:rsidRDefault="00551718">
      <w:pPr>
        <w:pStyle w:val="FootnoteText"/>
      </w:pPr>
      <w:r>
        <w:rPr>
          <w:rStyle w:val="FootnoteReference"/>
        </w:rPr>
        <w:footnoteRef/>
      </w:r>
      <w:r>
        <w:t xml:space="preserve"> Scanlon, M. (2013) ‘NGO sector review’, findings report.</w:t>
      </w:r>
    </w:p>
  </w:footnote>
  <w:footnote w:id="13">
    <w:p w14:paraId="4A82E43C" w14:textId="77777777" w:rsidR="00551718" w:rsidRDefault="00551718" w:rsidP="00290153">
      <w:pPr>
        <w:pStyle w:val="FootnoteText"/>
      </w:pPr>
      <w:r>
        <w:rPr>
          <w:rStyle w:val="FootnoteReference"/>
        </w:rPr>
        <w:footnoteRef/>
      </w:r>
      <w:r>
        <w:t xml:space="preserve"> The recently released Presidential Regulation No. 16 2018 on public procurement will make it easier for the Indonesian Government to contract CSO to deliver services. </w:t>
      </w:r>
    </w:p>
  </w:footnote>
  <w:footnote w:id="14">
    <w:p w14:paraId="7E1FF456" w14:textId="2C022AD2" w:rsidR="00551718" w:rsidRDefault="00551718">
      <w:pPr>
        <w:pStyle w:val="FootnoteText"/>
      </w:pPr>
      <w:r>
        <w:rPr>
          <w:rStyle w:val="FootnoteReference"/>
        </w:rPr>
        <w:footnoteRef/>
      </w:r>
      <w:r>
        <w:t xml:space="preserve"> HIVOS provides small and targeted funding for projects that focus on one of the four areas of empowerment, influencing, sudden opportunities and/or innovation. The grants are for a limited time and focused on specific tasks. This creates a situation where organisations are less likely to be dependent on the donor and are required to be very strategic in their planning and approach. </w:t>
      </w:r>
    </w:p>
  </w:footnote>
  <w:footnote w:id="15">
    <w:p w14:paraId="0748004C" w14:textId="77777777" w:rsidR="00551718" w:rsidRDefault="00551718">
      <w:pPr>
        <w:pStyle w:val="FootnoteText"/>
      </w:pPr>
      <w:r>
        <w:rPr>
          <w:rStyle w:val="FootnoteReference"/>
        </w:rPr>
        <w:footnoteRef/>
      </w:r>
      <w:r>
        <w:t xml:space="preserve"> MAMPU Indonesia: </w:t>
      </w:r>
      <w:r w:rsidRPr="005F5380">
        <w:rPr>
          <w:i/>
        </w:rPr>
        <w:t>Maju Perempuan Indonesia untuk Penanggulangan Kemiskinan</w:t>
      </w:r>
      <w:r>
        <w:t>. Program design document. Part A: Situational Analysis and Program Overview. Part B: Implementation, Performance and Risks. June 2012</w:t>
      </w:r>
    </w:p>
  </w:footnote>
  <w:footnote w:id="16">
    <w:p w14:paraId="5C4267A6" w14:textId="77777777" w:rsidR="00551718" w:rsidRDefault="00551718" w:rsidP="001B7F84">
      <w:pPr>
        <w:pStyle w:val="FootnoteText"/>
      </w:pPr>
      <w:r>
        <w:rPr>
          <w:rStyle w:val="FootnoteReference"/>
        </w:rPr>
        <w:footnoteRef/>
      </w:r>
      <w:r>
        <w:t xml:space="preserve"> </w:t>
      </w:r>
      <w:r w:rsidRPr="00745410">
        <w:t>The original five themes where it was assumed that CSO would make a significant difference for poor women included:</w:t>
      </w:r>
      <w:r>
        <w:t xml:space="preserve"> </w:t>
      </w:r>
    </w:p>
    <w:p w14:paraId="7A8F3088" w14:textId="77777777" w:rsidR="00551718" w:rsidRDefault="00551718" w:rsidP="001B7F84">
      <w:pPr>
        <w:pStyle w:val="FootnoteText"/>
        <w:numPr>
          <w:ilvl w:val="0"/>
          <w:numId w:val="3"/>
        </w:numPr>
      </w:pPr>
      <w:r>
        <w:t>Improving women's access to government social protection programs</w:t>
      </w:r>
    </w:p>
    <w:p w14:paraId="6245BA74" w14:textId="77777777" w:rsidR="00551718" w:rsidRDefault="00551718" w:rsidP="001B7F84">
      <w:pPr>
        <w:pStyle w:val="FootnoteText"/>
        <w:numPr>
          <w:ilvl w:val="0"/>
          <w:numId w:val="3"/>
        </w:numPr>
      </w:pPr>
      <w:r>
        <w:t>Increasing women's access to jobs and removing workplace discrimination</w:t>
      </w:r>
    </w:p>
    <w:p w14:paraId="280EE775" w14:textId="77777777" w:rsidR="00551718" w:rsidRDefault="00551718" w:rsidP="001B7F84">
      <w:pPr>
        <w:pStyle w:val="FootnoteText"/>
        <w:numPr>
          <w:ilvl w:val="0"/>
          <w:numId w:val="3"/>
        </w:numPr>
      </w:pPr>
      <w:r>
        <w:t>Improving conditions for women's overseas labour migration.</w:t>
      </w:r>
    </w:p>
    <w:p w14:paraId="5ED23BE2" w14:textId="77777777" w:rsidR="00551718" w:rsidRDefault="00551718" w:rsidP="001B7F84">
      <w:pPr>
        <w:pStyle w:val="FootnoteText"/>
        <w:numPr>
          <w:ilvl w:val="0"/>
          <w:numId w:val="3"/>
        </w:numPr>
      </w:pPr>
      <w:r>
        <w:t>Strengthening women's leadership for better maternal and reproductive health.</w:t>
      </w:r>
    </w:p>
    <w:p w14:paraId="425038C6" w14:textId="77777777" w:rsidR="00551718" w:rsidRDefault="00551718" w:rsidP="001B7F84">
      <w:pPr>
        <w:pStyle w:val="FootnoteText"/>
        <w:numPr>
          <w:ilvl w:val="0"/>
          <w:numId w:val="3"/>
        </w:numPr>
      </w:pPr>
      <w:r>
        <w:t>Strengthening women's leadership to reduce violence against women.</w:t>
      </w:r>
    </w:p>
  </w:footnote>
  <w:footnote w:id="17">
    <w:p w14:paraId="34376963" w14:textId="77777777" w:rsidR="00551718" w:rsidRDefault="00551718">
      <w:pPr>
        <w:pStyle w:val="FootnoteText"/>
      </w:pPr>
      <w:r>
        <w:rPr>
          <w:rStyle w:val="FootnoteReference"/>
        </w:rPr>
        <w:footnoteRef/>
      </w:r>
      <w:r>
        <w:t xml:space="preserve"> Fleming, F. &amp; Davis, P. (2015) ‘Mid-Term Review of Empowering Indonesian women for poverty reduction: Verification of the Performance Story and Forward Plan.’</w:t>
      </w:r>
    </w:p>
  </w:footnote>
  <w:footnote w:id="18">
    <w:p w14:paraId="5B8F4AA6" w14:textId="11CC838C" w:rsidR="00551718" w:rsidRDefault="00551718">
      <w:pPr>
        <w:pStyle w:val="FootnoteText"/>
      </w:pPr>
      <w:r>
        <w:rPr>
          <w:rStyle w:val="FootnoteReference"/>
        </w:rPr>
        <w:footnoteRef/>
      </w:r>
      <w:r>
        <w:t xml:space="preserve"> ‘MAMPU Forward Plan. Phase II: July 2016-June 2020’, June 2015</w:t>
      </w:r>
    </w:p>
  </w:footnote>
  <w:footnote w:id="19">
    <w:p w14:paraId="56127810" w14:textId="17539008" w:rsidR="00551718" w:rsidRDefault="00551718">
      <w:pPr>
        <w:pStyle w:val="FootnoteText"/>
      </w:pPr>
      <w:r>
        <w:rPr>
          <w:rStyle w:val="FootnoteReference"/>
        </w:rPr>
        <w:footnoteRef/>
      </w:r>
      <w:r>
        <w:t xml:space="preserve"> MAMPU Strategic Plan, 2017-2020.</w:t>
      </w:r>
    </w:p>
  </w:footnote>
  <w:footnote w:id="20">
    <w:p w14:paraId="4CFEAE3E" w14:textId="77777777" w:rsidR="00551718" w:rsidRDefault="00551718">
      <w:pPr>
        <w:pStyle w:val="FootnoteText"/>
      </w:pPr>
      <w:r>
        <w:rPr>
          <w:rStyle w:val="FootnoteReference"/>
        </w:rPr>
        <w:footnoteRef/>
      </w:r>
      <w:r>
        <w:t xml:space="preserve"> Additional areas of work by CSO partners has included collective action around SDGs, elections, child marriage, violence, the national health insurance scheme and promoting religious pluralism. </w:t>
      </w:r>
    </w:p>
  </w:footnote>
  <w:footnote w:id="21">
    <w:p w14:paraId="616F685F" w14:textId="7672F455" w:rsidR="00551718" w:rsidRDefault="00551718">
      <w:pPr>
        <w:pStyle w:val="FootnoteText"/>
      </w:pPr>
      <w:r>
        <w:rPr>
          <w:rStyle w:val="FootnoteReference"/>
        </w:rPr>
        <w:footnoteRef/>
      </w:r>
      <w:r>
        <w:t xml:space="preserve"> A partnership with the International Labour Organisation, which included four CSO local partners was dissolved in the second phase and the local partners became direct MAMPU partners.</w:t>
      </w:r>
    </w:p>
  </w:footnote>
  <w:footnote w:id="22">
    <w:p w14:paraId="12452FAD" w14:textId="0D517C56" w:rsidR="00551718" w:rsidRPr="00BB0517" w:rsidRDefault="00551718" w:rsidP="00C86A17">
      <w:pPr>
        <w:pStyle w:val="FootnoteText"/>
        <w:jc w:val="both"/>
        <w:rPr>
          <w:color w:val="FF0000"/>
        </w:rPr>
      </w:pPr>
      <w:r>
        <w:rPr>
          <w:rStyle w:val="FootnoteReference"/>
        </w:rPr>
        <w:footnoteRef/>
      </w:r>
      <w:r>
        <w:t xml:space="preserve"> It is important to note that the ISR team are not suggesting that the MAMPU M&amp;E ought to establish targets or specific measures. For a program such as MAMPU, where achievements need to be assessed based on context and relevance, it should be the responsibility of the governance and implementing groups, together with the women and girls who receive the services, to provide </w:t>
      </w:r>
      <w:r w:rsidRPr="00F541E0">
        <w:t>regular assessment about the value of the changes achieved.</w:t>
      </w:r>
      <w:r w:rsidRPr="00020A95">
        <w:t xml:space="preserve"> This could be included as part of the end of</w:t>
      </w:r>
      <w:r>
        <w:t xml:space="preserve"> program review </w:t>
      </w:r>
    </w:p>
  </w:footnote>
  <w:footnote w:id="23">
    <w:p w14:paraId="0A03FB47" w14:textId="77777777" w:rsidR="00551718" w:rsidRDefault="00551718" w:rsidP="00C86A17">
      <w:pPr>
        <w:pStyle w:val="FootnoteText"/>
        <w:jc w:val="both"/>
      </w:pPr>
      <w:r>
        <w:rPr>
          <w:rStyle w:val="FootnoteReference"/>
        </w:rPr>
        <w:footnoteRef/>
      </w:r>
      <w:r>
        <w:t xml:space="preserve"> MAMPU (undated) ‘Draft Monitoring and Evaluation Framework’. </w:t>
      </w:r>
    </w:p>
  </w:footnote>
  <w:footnote w:id="24">
    <w:p w14:paraId="55CB8272" w14:textId="61E7A77B" w:rsidR="00551718" w:rsidRDefault="00551718" w:rsidP="00C86A17">
      <w:pPr>
        <w:spacing w:after="0"/>
        <w:jc w:val="both"/>
      </w:pPr>
      <w:r>
        <w:rPr>
          <w:rStyle w:val="FootnoteReference"/>
        </w:rPr>
        <w:footnoteRef/>
      </w:r>
      <w:r>
        <w:t xml:space="preserve"> </w:t>
      </w:r>
      <w:r w:rsidRPr="00303A04">
        <w:rPr>
          <w:sz w:val="20"/>
        </w:rPr>
        <w:t>MAMPU – Research Project Updat</w:t>
      </w:r>
      <w:r>
        <w:rPr>
          <w:sz w:val="20"/>
        </w:rPr>
        <w:t xml:space="preserve">e, </w:t>
      </w:r>
      <w:r w:rsidRPr="00303A04">
        <w:rPr>
          <w:sz w:val="20"/>
        </w:rPr>
        <w:t>August 2018</w:t>
      </w:r>
      <w:r w:rsidRPr="00303A04">
        <w:rPr>
          <w:b/>
          <w:sz w:val="20"/>
        </w:rPr>
        <w:t xml:space="preserve"> </w:t>
      </w:r>
    </w:p>
  </w:footnote>
  <w:footnote w:id="25">
    <w:p w14:paraId="7B583D55" w14:textId="2E9E22A8" w:rsidR="00551718" w:rsidRDefault="00551718" w:rsidP="00C86A17">
      <w:pPr>
        <w:pStyle w:val="FootnoteText"/>
        <w:jc w:val="both"/>
      </w:pPr>
      <w:r>
        <w:rPr>
          <w:rStyle w:val="FootnoteReference"/>
        </w:rPr>
        <w:footnoteRef/>
      </w:r>
      <w:r>
        <w:t xml:space="preserve"> ISR field review in two provinces found good quality examples of partner and local partner CSO capacity to organise and mobilise women from diverse backgrounds. The ISR review also found strong evidence of partner capacity to engage with the government at village, district and in some provincial levels, in ways which influenced subnational government approach and focus.</w:t>
      </w:r>
    </w:p>
  </w:footnote>
  <w:footnote w:id="26">
    <w:p w14:paraId="0335D1A1" w14:textId="77777777" w:rsidR="00551718" w:rsidRDefault="00551718" w:rsidP="00C86A17">
      <w:pPr>
        <w:pStyle w:val="FootnoteText"/>
        <w:jc w:val="both"/>
      </w:pPr>
      <w:r>
        <w:rPr>
          <w:rStyle w:val="FootnoteReference"/>
        </w:rPr>
        <w:footnoteRef/>
      </w:r>
      <w:r>
        <w:t xml:space="preserve"> Sherlock (2018)</w:t>
      </w:r>
    </w:p>
  </w:footnote>
  <w:footnote w:id="27">
    <w:p w14:paraId="42B7C8C2" w14:textId="77777777" w:rsidR="00551718" w:rsidRDefault="00551718" w:rsidP="00C86A17">
      <w:pPr>
        <w:pStyle w:val="Default"/>
        <w:jc w:val="both"/>
      </w:pPr>
      <w:r>
        <w:rPr>
          <w:rStyle w:val="FootnoteReference"/>
        </w:rPr>
        <w:footnoteRef/>
      </w:r>
      <w:r>
        <w:t xml:space="preserve"> </w:t>
      </w:r>
      <w:r w:rsidRPr="00E917B4">
        <w:rPr>
          <w:sz w:val="20"/>
          <w:szCs w:val="20"/>
        </w:rPr>
        <w:t>ODE (2018) ‘</w:t>
      </w:r>
      <w:r w:rsidRPr="00303A04">
        <w:rPr>
          <w:bCs/>
          <w:sz w:val="20"/>
          <w:szCs w:val="20"/>
        </w:rPr>
        <w:t>Aide Memoire: Indonesia Country Visit:</w:t>
      </w:r>
      <w:r w:rsidRPr="00E917B4">
        <w:rPr>
          <w:b/>
          <w:bCs/>
          <w:sz w:val="20"/>
          <w:szCs w:val="20"/>
        </w:rPr>
        <w:t xml:space="preserve"> </w:t>
      </w:r>
      <w:r w:rsidRPr="00E917B4">
        <w:rPr>
          <w:sz w:val="20"/>
          <w:szCs w:val="20"/>
        </w:rPr>
        <w:t>Ending Violence Aga</w:t>
      </w:r>
      <w:r>
        <w:rPr>
          <w:sz w:val="20"/>
          <w:szCs w:val="20"/>
        </w:rPr>
        <w:t>inst Women a</w:t>
      </w:r>
      <w:r w:rsidRPr="00E917B4">
        <w:rPr>
          <w:sz w:val="20"/>
          <w:szCs w:val="20"/>
        </w:rPr>
        <w:t>nd Girls Evaluation</w:t>
      </w:r>
      <w:r>
        <w:rPr>
          <w:sz w:val="20"/>
          <w:szCs w:val="20"/>
        </w:rPr>
        <w:t xml:space="preserve">’. </w:t>
      </w:r>
    </w:p>
  </w:footnote>
  <w:footnote w:id="28">
    <w:p w14:paraId="3826535D" w14:textId="74CA8790" w:rsidR="00551718" w:rsidRDefault="00551718" w:rsidP="00C86A17">
      <w:pPr>
        <w:pStyle w:val="FootnoteText"/>
        <w:jc w:val="both"/>
      </w:pPr>
      <w:r>
        <w:rPr>
          <w:rStyle w:val="FootnoteReference"/>
        </w:rPr>
        <w:footnoteRef/>
      </w:r>
      <w:r>
        <w:t xml:space="preserve"> Some of the partners working with very marginalised groups reported in the MAMPU COR exercise that that they spend much of their time simply maintaining their rights to operate and to be able to freely support the human rights of others</w:t>
      </w:r>
      <w:r>
        <w:rPr>
          <w:color w:val="FF0000"/>
        </w:rPr>
        <w:t xml:space="preserve"> </w:t>
      </w:r>
    </w:p>
  </w:footnote>
  <w:footnote w:id="29">
    <w:p w14:paraId="44A7C394" w14:textId="4AF1BB8D" w:rsidR="00551718" w:rsidRDefault="00551718" w:rsidP="00C86A17">
      <w:pPr>
        <w:pStyle w:val="FootnoteText"/>
        <w:jc w:val="both"/>
      </w:pPr>
      <w:r>
        <w:rPr>
          <w:rStyle w:val="FootnoteReference"/>
        </w:rPr>
        <w:footnoteRef/>
      </w:r>
      <w:r>
        <w:t xml:space="preserve"> Some partners have their own branches and are able to operate in relatively simple and responsive ways. Others such as KPI and Aisyiah have large and more hierarchical structures which provide for wide reach, but make it more difficult for them to share information and capacity development across all levels. One example of a particularly effective model is the consortium model of PERMAMPU. With 8 implementing partners and one host organisation, all operating in an equal consortium, this model seems to be able to rapidly share information, experience and learning. </w:t>
      </w:r>
    </w:p>
  </w:footnote>
  <w:footnote w:id="30">
    <w:p w14:paraId="20FBC58A" w14:textId="77777777" w:rsidR="00551718" w:rsidRDefault="00551718" w:rsidP="00C86A17">
      <w:pPr>
        <w:pStyle w:val="FootnoteText"/>
        <w:jc w:val="both"/>
      </w:pPr>
      <w:r>
        <w:rPr>
          <w:rStyle w:val="FootnoteReference"/>
        </w:rPr>
        <w:footnoteRef/>
      </w:r>
      <w:r>
        <w:t xml:space="preserve"> Summary of Partner Quarterly Reporting, Collaborative Outcomes Reporting, September 2018. </w:t>
      </w:r>
    </w:p>
  </w:footnote>
  <w:footnote w:id="31">
    <w:p w14:paraId="75D5F36E" w14:textId="77777777" w:rsidR="00551718" w:rsidRDefault="00551718" w:rsidP="00C86A17">
      <w:pPr>
        <w:pStyle w:val="FootnoteText"/>
        <w:jc w:val="both"/>
      </w:pPr>
      <w:r>
        <w:rPr>
          <w:rStyle w:val="FootnoteReference"/>
        </w:rPr>
        <w:footnoteRef/>
      </w:r>
      <w:r>
        <w:t xml:space="preserve"> MAMPU progress report May 2018.</w:t>
      </w:r>
    </w:p>
  </w:footnote>
  <w:footnote w:id="32">
    <w:p w14:paraId="2C8D05CF" w14:textId="77777777" w:rsidR="00551718" w:rsidRDefault="00551718" w:rsidP="00C86A17">
      <w:pPr>
        <w:pStyle w:val="FootnoteText"/>
        <w:jc w:val="both"/>
      </w:pPr>
      <w:r>
        <w:rPr>
          <w:rStyle w:val="FootnoteReference"/>
        </w:rPr>
        <w:footnoteRef/>
      </w:r>
      <w:r>
        <w:t xml:space="preserve"> MAMPU Most Significant Change reporting, September 2018.</w:t>
      </w:r>
    </w:p>
  </w:footnote>
  <w:footnote w:id="33">
    <w:p w14:paraId="3924B43C" w14:textId="77777777" w:rsidR="00551718" w:rsidRDefault="00551718" w:rsidP="00C86A17">
      <w:pPr>
        <w:pStyle w:val="FootnoteText"/>
        <w:jc w:val="both"/>
      </w:pPr>
      <w:r>
        <w:rPr>
          <w:rStyle w:val="FootnoteReference"/>
        </w:rPr>
        <w:footnoteRef/>
      </w:r>
      <w:r>
        <w:t xml:space="preserve"> Schneider, L., King, J. &amp; Jones, L (2018) ‘Findings and Recommendations for MAMPU Thematic Area 2’, June. </w:t>
      </w:r>
    </w:p>
  </w:footnote>
  <w:footnote w:id="34">
    <w:p w14:paraId="721426BC" w14:textId="77777777" w:rsidR="00551718" w:rsidRDefault="00551718" w:rsidP="003E7B5F">
      <w:pPr>
        <w:pStyle w:val="FootnoteText"/>
      </w:pPr>
      <w:r>
        <w:rPr>
          <w:rStyle w:val="FootnoteReference"/>
        </w:rPr>
        <w:footnoteRef/>
      </w:r>
      <w:r>
        <w:t xml:space="preserve"> Figures reported on MAMPU website, October 2018. </w:t>
      </w:r>
    </w:p>
  </w:footnote>
  <w:footnote w:id="35">
    <w:p w14:paraId="1B776988" w14:textId="37D5393F" w:rsidR="00551718" w:rsidRPr="00605BFF" w:rsidRDefault="00551718" w:rsidP="00441EF2">
      <w:pPr>
        <w:pStyle w:val="FootnoteText"/>
        <w:jc w:val="both"/>
      </w:pPr>
      <w:r>
        <w:rPr>
          <w:rStyle w:val="FootnoteReference"/>
        </w:rPr>
        <w:footnoteRef/>
      </w:r>
      <w:r>
        <w:t xml:space="preserve"> MAMPU assesses change in organisational capacity of its national partners. It tracks local partner’s communication with government organisations or other policy-making actors and local partner’s collaboration with other organisations outside government. </w:t>
      </w:r>
      <w:r w:rsidRPr="00F541E0">
        <w:t>There is not a specific system in place to track capacity building from national to local partners, although this could be developed.</w:t>
      </w:r>
    </w:p>
  </w:footnote>
  <w:footnote w:id="36">
    <w:p w14:paraId="6D12C7ED" w14:textId="56761F0D" w:rsidR="00551718" w:rsidRDefault="00551718" w:rsidP="00441EF2">
      <w:pPr>
        <w:pStyle w:val="FootnoteText"/>
        <w:jc w:val="both"/>
      </w:pPr>
      <w:r>
        <w:rPr>
          <w:rStyle w:val="FootnoteReference"/>
        </w:rPr>
        <w:footnoteRef/>
      </w:r>
      <w:r>
        <w:t xml:space="preserve"> Sherlock, S.  (2018) ‘The experience of parliamentary engagement by MAMPU and its partners’, Executive Summary. Note the report does not specify location. </w:t>
      </w:r>
    </w:p>
  </w:footnote>
  <w:footnote w:id="37">
    <w:p w14:paraId="665C0726" w14:textId="41445E82" w:rsidR="00551718" w:rsidRDefault="00551718" w:rsidP="00441EF2">
      <w:pPr>
        <w:pStyle w:val="FootnoteText"/>
        <w:jc w:val="both"/>
      </w:pPr>
      <w:r>
        <w:rPr>
          <w:rStyle w:val="FootnoteReference"/>
        </w:rPr>
        <w:footnoteRef/>
      </w:r>
      <w:r>
        <w:t xml:space="preserve"> Internal reporting shows that there has been increased engagement with media and national government agencies including improved connections with the Ministry of Health, TNP2K, Ministry of Women's Empowerment, Office of the President and other government departments. The records also show more frequent engagement with </w:t>
      </w:r>
      <w:r w:rsidRPr="00F541E0">
        <w:t>BAPPENAS (Review of Back to Office reports, 2018).</w:t>
      </w:r>
      <w:r>
        <w:t xml:space="preserve"> </w:t>
      </w:r>
    </w:p>
  </w:footnote>
  <w:footnote w:id="38">
    <w:p w14:paraId="640F39B2" w14:textId="77777777" w:rsidR="00551718" w:rsidRDefault="00551718" w:rsidP="00586811">
      <w:pPr>
        <w:pStyle w:val="FootnoteText"/>
      </w:pPr>
      <w:r>
        <w:rPr>
          <w:rStyle w:val="FootnoteReference"/>
        </w:rPr>
        <w:footnoteRef/>
      </w:r>
      <w:r>
        <w:t xml:space="preserve"> Sherlock, S.  (2018) ‘The experience of parliamentary engagement by MAMPU and its partners’.</w:t>
      </w:r>
    </w:p>
  </w:footnote>
  <w:footnote w:id="39">
    <w:p w14:paraId="029D9D97" w14:textId="77777777" w:rsidR="00551718" w:rsidRDefault="00551718" w:rsidP="0041084C">
      <w:pPr>
        <w:pStyle w:val="FootnoteText"/>
      </w:pPr>
      <w:r>
        <w:rPr>
          <w:rStyle w:val="FootnoteReference"/>
        </w:rPr>
        <w:footnoteRef/>
      </w:r>
      <w:r>
        <w:t xml:space="preserve"> Summary of partner reports, September 2018, prepared for the Collaborative Outcomes Reporting exercise.</w:t>
      </w:r>
    </w:p>
  </w:footnote>
  <w:footnote w:id="40">
    <w:p w14:paraId="3CC4E906" w14:textId="77777777" w:rsidR="00551718" w:rsidRDefault="00551718">
      <w:pPr>
        <w:pStyle w:val="FootnoteText"/>
      </w:pPr>
      <w:r>
        <w:rPr>
          <w:rStyle w:val="FootnoteReference"/>
        </w:rPr>
        <w:footnoteRef/>
      </w:r>
      <w:r>
        <w:t xml:space="preserve"> MAMPU Progress Report, May 2018.</w:t>
      </w:r>
    </w:p>
  </w:footnote>
  <w:footnote w:id="41">
    <w:p w14:paraId="692C6205" w14:textId="0230D520" w:rsidR="00551718" w:rsidRDefault="00551718" w:rsidP="00441EF2">
      <w:pPr>
        <w:pStyle w:val="FootnoteText"/>
        <w:jc w:val="both"/>
      </w:pPr>
      <w:r>
        <w:rPr>
          <w:rStyle w:val="FootnoteReference"/>
        </w:rPr>
        <w:footnoteRef/>
      </w:r>
      <w:r>
        <w:t xml:space="preserve"> Schneider, L., King, J. &amp; Jones, L (2018) ‘Findings and Recommendations </w:t>
      </w:r>
      <w:r w:rsidR="00441EF2">
        <w:t>for MAMPU Thematic Area 2’.</w:t>
      </w:r>
    </w:p>
  </w:footnote>
  <w:footnote w:id="42">
    <w:p w14:paraId="4B20A246" w14:textId="77777777" w:rsidR="00551718" w:rsidRPr="004E3AA7" w:rsidRDefault="00551718" w:rsidP="00441EF2">
      <w:pPr>
        <w:pStyle w:val="BodyText"/>
        <w:jc w:val="both"/>
        <w:rPr>
          <w:rFonts w:asciiTheme="minorHAnsi" w:hAnsiTheme="minorHAnsi" w:cstheme="minorHAnsi"/>
          <w:b/>
          <w:sz w:val="20"/>
          <w:szCs w:val="20"/>
          <w:lang w:val="en-ID"/>
        </w:rPr>
      </w:pPr>
      <w:r>
        <w:rPr>
          <w:rStyle w:val="FootnoteReference"/>
        </w:rPr>
        <w:footnoteRef/>
      </w:r>
      <w:r>
        <w:t xml:space="preserve"> </w:t>
      </w:r>
      <w:r w:rsidRPr="00877D43">
        <w:rPr>
          <w:rFonts w:asciiTheme="minorHAnsi" w:hAnsiTheme="minorHAnsi" w:cstheme="minorHAnsi"/>
          <w:sz w:val="20"/>
          <w:szCs w:val="20"/>
        </w:rPr>
        <w:t xml:space="preserve">SMERU Research Institute (2018) </w:t>
      </w:r>
      <w:r>
        <w:rPr>
          <w:rFonts w:asciiTheme="minorHAnsi" w:hAnsiTheme="minorHAnsi" w:cstheme="minorHAnsi"/>
          <w:sz w:val="20"/>
          <w:szCs w:val="20"/>
        </w:rPr>
        <w:t>‘</w:t>
      </w:r>
      <w:r w:rsidRPr="00441EF2">
        <w:rPr>
          <w:rFonts w:asciiTheme="minorHAnsi" w:hAnsiTheme="minorHAnsi" w:cstheme="minorHAnsi"/>
          <w:i/>
          <w:sz w:val="20"/>
          <w:szCs w:val="20"/>
          <w:lang w:val="id-ID"/>
        </w:rPr>
        <w:t>Laporan Sintesis Studi Midline</w:t>
      </w:r>
      <w:r w:rsidRPr="00441EF2">
        <w:rPr>
          <w:rFonts w:asciiTheme="minorHAnsi" w:hAnsiTheme="minorHAnsi" w:cstheme="minorHAnsi"/>
          <w:i/>
          <w:sz w:val="20"/>
          <w:szCs w:val="20"/>
          <w:lang w:val="en-ID"/>
        </w:rPr>
        <w:t xml:space="preserve"> MAMPU </w:t>
      </w:r>
      <w:r w:rsidRPr="00441EF2">
        <w:rPr>
          <w:rFonts w:asciiTheme="minorHAnsi" w:hAnsiTheme="minorHAnsi" w:cstheme="minorHAnsi"/>
          <w:i/>
          <w:sz w:val="20"/>
          <w:szCs w:val="20"/>
          <w:lang w:val="id-ID"/>
        </w:rPr>
        <w:t xml:space="preserve">Akses Perempuan Miskin terhadap </w:t>
      </w:r>
      <w:r w:rsidRPr="00441EF2">
        <w:rPr>
          <w:rFonts w:asciiTheme="minorHAnsi" w:hAnsiTheme="minorHAnsi" w:cstheme="minorHAnsi"/>
          <w:i/>
          <w:sz w:val="20"/>
          <w:szCs w:val="20"/>
          <w:lang w:val="en-ID"/>
        </w:rPr>
        <w:t>Layanan Publik pada Lima Tema Penghidupan’</w:t>
      </w:r>
      <w:r>
        <w:rPr>
          <w:rFonts w:asciiTheme="minorHAnsi" w:hAnsiTheme="minorHAnsi" w:cstheme="minorHAnsi"/>
          <w:sz w:val="20"/>
          <w:szCs w:val="20"/>
          <w:lang w:val="en-ID"/>
        </w:rPr>
        <w:t>.</w:t>
      </w:r>
    </w:p>
    <w:p w14:paraId="3DFE3C22" w14:textId="77777777" w:rsidR="00551718" w:rsidRDefault="00551718" w:rsidP="004B3D50">
      <w:pPr>
        <w:pStyle w:val="FootnoteText"/>
      </w:pPr>
    </w:p>
  </w:footnote>
  <w:footnote w:id="43">
    <w:p w14:paraId="0E299497" w14:textId="77777777" w:rsidR="00551718" w:rsidRPr="00D4420E" w:rsidRDefault="00551718" w:rsidP="00441EF2">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D4420E">
        <w:rPr>
          <w:rFonts w:cstheme="minorHAnsi"/>
          <w:sz w:val="20"/>
          <w:szCs w:val="20"/>
        </w:rPr>
        <w:t>S. Laurel Weldon &amp; Mala Htun (2013) Feminist mobilisation and progressive policy change:</w:t>
      </w:r>
    </w:p>
    <w:p w14:paraId="6C362405" w14:textId="77777777" w:rsidR="00551718" w:rsidRDefault="00551718" w:rsidP="00D4420E">
      <w:pPr>
        <w:pStyle w:val="FootnoteText"/>
      </w:pPr>
      <w:r w:rsidRPr="00D4420E">
        <w:rPr>
          <w:rFonts w:cstheme="minorHAnsi"/>
        </w:rPr>
        <w:t>why governments take action to combat violence against women, Gender &amp; Development, 21:2, 231-247</w:t>
      </w:r>
    </w:p>
  </w:footnote>
  <w:footnote w:id="44">
    <w:p w14:paraId="2C77AA41" w14:textId="77777777" w:rsidR="00551718" w:rsidRDefault="00551718" w:rsidP="00441EF2">
      <w:pPr>
        <w:pStyle w:val="FootnoteText"/>
        <w:jc w:val="both"/>
      </w:pPr>
      <w:r>
        <w:rPr>
          <w:rStyle w:val="FootnoteReference"/>
        </w:rPr>
        <w:footnoteRef/>
      </w:r>
      <w:r>
        <w:t xml:space="preserve"> The Ministry of Women's Empowerment and Child Protection particularly identified several areas of MAMPU work in line with its priorities. These included economic empowerment, nutrition and public health, migrant workers, gender-based violence and child marriage. This ministry was particularly keen to see increased CSO engagement at the subnational level in order to take forward its priorities in the decentralised context.</w:t>
      </w:r>
    </w:p>
  </w:footnote>
  <w:footnote w:id="45">
    <w:p w14:paraId="05CB42C1" w14:textId="77777777" w:rsidR="00551718" w:rsidRPr="0007682A" w:rsidRDefault="00551718" w:rsidP="00441EF2">
      <w:pPr>
        <w:autoSpaceDE w:val="0"/>
        <w:autoSpaceDN w:val="0"/>
        <w:adjustRightInd w:val="0"/>
        <w:spacing w:after="0" w:line="240" w:lineRule="auto"/>
        <w:jc w:val="both"/>
        <w:rPr>
          <w:rFonts w:cstheme="minorHAnsi"/>
          <w:sz w:val="20"/>
          <w:szCs w:val="20"/>
        </w:rPr>
      </w:pPr>
      <w:r>
        <w:rPr>
          <w:rStyle w:val="FootnoteReference"/>
        </w:rPr>
        <w:footnoteRef/>
      </w:r>
      <w:r>
        <w:t xml:space="preserve"> </w:t>
      </w:r>
      <w:r w:rsidRPr="009123C6">
        <w:rPr>
          <w:sz w:val="20"/>
        </w:rPr>
        <w:t>Australian Government (2017) ‘Foreign Policy White Paper’, Canberra.</w:t>
      </w:r>
    </w:p>
  </w:footnote>
  <w:footnote w:id="46">
    <w:p w14:paraId="079C0502" w14:textId="77777777" w:rsidR="00551718" w:rsidRDefault="00551718" w:rsidP="00441EF2">
      <w:pPr>
        <w:pStyle w:val="FootnoteText"/>
        <w:jc w:val="both"/>
      </w:pPr>
      <w:r>
        <w:rPr>
          <w:rStyle w:val="FootnoteReference"/>
        </w:rPr>
        <w:footnoteRef/>
      </w:r>
      <w:r>
        <w:t xml:space="preserve"> </w:t>
      </w:r>
      <w:r w:rsidRPr="009123C6">
        <w:t>Australian Government (2017) ‘Foreign Policy White Paper’, Canberra.</w:t>
      </w:r>
    </w:p>
  </w:footnote>
  <w:footnote w:id="47">
    <w:p w14:paraId="61CC8FFF" w14:textId="77777777" w:rsidR="00551718" w:rsidRDefault="00551718" w:rsidP="00441EF2">
      <w:pPr>
        <w:pStyle w:val="FootnoteText"/>
        <w:jc w:val="both"/>
      </w:pPr>
      <w:r>
        <w:rPr>
          <w:rStyle w:val="FootnoteReference"/>
        </w:rPr>
        <w:footnoteRef/>
      </w:r>
      <w:r>
        <w:t xml:space="preserve"> The DFAT gender equality and women's empowerment strategy, 2016, has three priorities for action. MAMPU Phase 2 is directly aligned with two of these priorities: </w:t>
      </w:r>
    </w:p>
    <w:p w14:paraId="7FBD1814" w14:textId="77777777" w:rsidR="00551718" w:rsidRDefault="00551718" w:rsidP="00441EF2">
      <w:pPr>
        <w:pStyle w:val="FootnoteText"/>
        <w:numPr>
          <w:ilvl w:val="0"/>
          <w:numId w:val="15"/>
        </w:numPr>
        <w:jc w:val="both"/>
      </w:pPr>
      <w:r w:rsidRPr="00D021BC">
        <w:t>Enhancing women’s voice in decision-making, leadership and peace-building</w:t>
      </w:r>
    </w:p>
    <w:p w14:paraId="1451AD6E" w14:textId="77777777" w:rsidR="00551718" w:rsidRPr="006112B9" w:rsidRDefault="00551718" w:rsidP="00441EF2">
      <w:pPr>
        <w:pStyle w:val="NoSpacing"/>
        <w:numPr>
          <w:ilvl w:val="0"/>
          <w:numId w:val="15"/>
        </w:numPr>
        <w:jc w:val="both"/>
        <w:rPr>
          <w:sz w:val="20"/>
        </w:rPr>
      </w:pPr>
      <w:r w:rsidRPr="00D021BC">
        <w:rPr>
          <w:sz w:val="20"/>
          <w:lang w:val="en-GB" w:eastAsia="ja-JP"/>
        </w:rPr>
        <w:t>Ending violence against women and girls</w:t>
      </w:r>
    </w:p>
  </w:footnote>
  <w:footnote w:id="48">
    <w:p w14:paraId="4AFB6B5D" w14:textId="77777777" w:rsidR="00551718" w:rsidRPr="006112B9" w:rsidRDefault="00551718" w:rsidP="00441EF2">
      <w:pPr>
        <w:pStyle w:val="NoSpacing"/>
        <w:jc w:val="both"/>
        <w:rPr>
          <w:sz w:val="20"/>
        </w:rPr>
      </w:pPr>
      <w:r w:rsidRPr="006112B9">
        <w:rPr>
          <w:rStyle w:val="FootnoteReference"/>
          <w:sz w:val="20"/>
        </w:rPr>
        <w:footnoteRef/>
      </w:r>
      <w:r w:rsidRPr="006112B9">
        <w:rPr>
          <w:sz w:val="20"/>
        </w:rPr>
        <w:t xml:space="preserve"> DFAT (2015) ‘Development for All, 2015-2020’</w:t>
      </w:r>
    </w:p>
  </w:footnote>
  <w:footnote w:id="49">
    <w:p w14:paraId="2020A49E" w14:textId="77777777" w:rsidR="00551718" w:rsidRDefault="00551718" w:rsidP="00441EF2">
      <w:pPr>
        <w:pStyle w:val="BodyText"/>
        <w:jc w:val="both"/>
      </w:pPr>
      <w:r>
        <w:rPr>
          <w:rStyle w:val="FootnoteReference"/>
        </w:rPr>
        <w:footnoteRef/>
      </w:r>
      <w:r>
        <w:t>‘</w:t>
      </w:r>
      <w:r w:rsidRPr="006112B9">
        <w:rPr>
          <w:rFonts w:asciiTheme="minorHAnsi" w:hAnsiTheme="minorHAnsi" w:cstheme="minorHAnsi"/>
          <w:sz w:val="20"/>
        </w:rPr>
        <w:t>Disability in Indonesia: Mapping MAMPU’S Engagement with Women with Disabilities’, MAMPU Internal Mapping Paper, September 2018</w:t>
      </w:r>
      <w:r>
        <w:rPr>
          <w:rFonts w:asciiTheme="minorHAnsi" w:hAnsiTheme="minorHAnsi" w:cstheme="minorHAnsi"/>
          <w:sz w:val="20"/>
          <w:szCs w:val="20"/>
        </w:rPr>
        <w:t>.</w:t>
      </w:r>
    </w:p>
  </w:footnote>
  <w:footnote w:id="50">
    <w:p w14:paraId="1F57FFAB" w14:textId="77777777" w:rsidR="00551718" w:rsidRDefault="00551718" w:rsidP="00441EF2">
      <w:pPr>
        <w:pStyle w:val="FootnoteText"/>
        <w:jc w:val="both"/>
      </w:pPr>
      <w:r>
        <w:rPr>
          <w:rStyle w:val="FootnoteReference"/>
        </w:rPr>
        <w:footnoteRef/>
      </w:r>
      <w:r>
        <w:t xml:space="preserve"> DFAT (2018) ‘Aid program performance report 2017-18, Indonesia’.</w:t>
      </w:r>
    </w:p>
  </w:footnote>
  <w:footnote w:id="51">
    <w:p w14:paraId="7C68C100" w14:textId="6BD0EBE7" w:rsidR="00551718" w:rsidRDefault="00551718" w:rsidP="00441EF2">
      <w:pPr>
        <w:pStyle w:val="FootnoteText"/>
        <w:jc w:val="both"/>
      </w:pPr>
      <w:r>
        <w:rPr>
          <w:rStyle w:val="FootnoteReference"/>
        </w:rPr>
        <w:footnoteRef/>
      </w:r>
      <w:r>
        <w:t xml:space="preserve"> The recent ODE review of programs focused on reducing violence against women identified that in Indonesia there would be benefit in a cross program coordinated approach to addressing this issue. </w:t>
      </w:r>
    </w:p>
  </w:footnote>
  <w:footnote w:id="52">
    <w:p w14:paraId="59C1212C" w14:textId="77777777" w:rsidR="00551718" w:rsidRDefault="00551718" w:rsidP="00441EF2">
      <w:pPr>
        <w:pStyle w:val="FootnoteText"/>
        <w:jc w:val="both"/>
      </w:pPr>
      <w:r>
        <w:rPr>
          <w:rStyle w:val="FootnoteReference"/>
        </w:rPr>
        <w:footnoteRef/>
      </w:r>
      <w:r>
        <w:t xml:space="preserve"> DFAT (2018) ‘Aid program performance report 2017-18, Indonesia’.</w:t>
      </w:r>
    </w:p>
  </w:footnote>
  <w:footnote w:id="53">
    <w:p w14:paraId="259ABF4A" w14:textId="77777777" w:rsidR="00551718" w:rsidRDefault="00551718" w:rsidP="00441EF2">
      <w:pPr>
        <w:pStyle w:val="FootnoteText"/>
        <w:jc w:val="both"/>
      </w:pPr>
      <w:r>
        <w:rPr>
          <w:rStyle w:val="FootnoteReference"/>
        </w:rPr>
        <w:footnoteRef/>
      </w:r>
      <w:r>
        <w:t xml:space="preserve"> For example, the internationally recognised framework utilised by the DFAT program </w:t>
      </w:r>
      <w:r w:rsidRPr="005668F0">
        <w:rPr>
          <w:i/>
        </w:rPr>
        <w:t>Pacific Women</w:t>
      </w:r>
      <w:r>
        <w:t xml:space="preserve"> (</w:t>
      </w:r>
      <w:r w:rsidRPr="005668F0">
        <w:rPr>
          <w:u w:val="single"/>
        </w:rPr>
        <w:t xml:space="preserve">see Annex </w:t>
      </w:r>
      <w:r>
        <w:rPr>
          <w:u w:val="single"/>
        </w:rPr>
        <w:t>Five</w:t>
      </w:r>
      <w:r>
        <w:t>) provides for this multidimensional understanding of women’s empowerment and gender equality and illustrates the essential need for cooperation between service delivery, governance and economic development programming. It has been effectively applied in the Pacific DFAT posts to create a comprehensive approach across the whole DFAT program to change for women and girls.</w:t>
      </w:r>
    </w:p>
  </w:footnote>
  <w:footnote w:id="54">
    <w:p w14:paraId="1989A8B6" w14:textId="77777777" w:rsidR="00551718" w:rsidRDefault="00551718">
      <w:pPr>
        <w:pStyle w:val="FootnoteText"/>
      </w:pPr>
      <w:r>
        <w:rPr>
          <w:rStyle w:val="FootnoteReference"/>
        </w:rPr>
        <w:footnoteRef/>
      </w:r>
      <w:r>
        <w:t xml:space="preserve"> Davis, B. (2015) ‘Financial sustainability and funding diversification. The challenges for Indonesian NGOs’. </w:t>
      </w:r>
    </w:p>
  </w:footnote>
  <w:footnote w:id="55">
    <w:p w14:paraId="511A0830" w14:textId="77777777" w:rsidR="00551718" w:rsidRDefault="00551718">
      <w:pPr>
        <w:pStyle w:val="FootnoteText"/>
      </w:pPr>
      <w:r>
        <w:rPr>
          <w:rStyle w:val="FootnoteReference"/>
        </w:rPr>
        <w:footnoteRef/>
      </w:r>
      <w:r>
        <w:t xml:space="preserve"> DFAT utilise an operational platform approach to implement its programs for governance and for justice in the Solomon Islands. DFAT work directly with team leaders and staff of both programs to ensure they are implemented in line with DFAT policy and intentions. The operational platform is managed by a managing contractor and costs are shared across the two larger programs. Other additional programs are being added onto the platform over time. </w:t>
      </w:r>
    </w:p>
    <w:p w14:paraId="6EB8EA82" w14:textId="77777777" w:rsidR="00551718" w:rsidRDefault="00551718">
      <w:pPr>
        <w:pStyle w:val="FootnoteText"/>
      </w:pPr>
      <w:r>
        <w:t xml:space="preserve">In the Pacific the DFAT regional program, the Australia Pacific Climate Action Program, brings together three different programs of work, implemented by very different systems (scientific services implemented through Australian research and government institutions, a governance program managed by UNDP, and a program of technical and other services under the responsibility of a managing contractor). This program shares operational services within one platform. The modality has been organised to promote learning and sharing between quite different but interrelated programs of work, and to reduce costs from what were three standalone programs. </w:t>
      </w:r>
    </w:p>
  </w:footnote>
  <w:footnote w:id="56">
    <w:p w14:paraId="47096B99" w14:textId="77777777" w:rsidR="00551718" w:rsidRDefault="00551718" w:rsidP="002A5118">
      <w:pPr>
        <w:pStyle w:val="FootnoteText"/>
      </w:pPr>
      <w:r>
        <w:rPr>
          <w:rStyle w:val="FootnoteReference"/>
        </w:rPr>
        <w:footnoteRef/>
      </w:r>
      <w:r>
        <w:t xml:space="preserve"> The collaborative outcomes reporting exercise differs from the previous performance story process utilised under MAMPU phase I. The collaborative outcomes reporting includes a specific process for independent verification of evidence and initial conclusions, before results are analysed and considered by program partners. This is expected to generate more robust information and provides an excellent opportunity for the ISR to make use of an existing comprehensive set of data which combines both external verification and internal voice and review.</w:t>
      </w:r>
    </w:p>
  </w:footnote>
  <w:footnote w:id="57">
    <w:p w14:paraId="4F71957D" w14:textId="77777777" w:rsidR="00551718" w:rsidRDefault="00551718" w:rsidP="002A5118">
      <w:pPr>
        <w:pStyle w:val="FootnoteText"/>
      </w:pPr>
      <w:r>
        <w:rPr>
          <w:rStyle w:val="FootnoteReference"/>
        </w:rPr>
        <w:footnoteRef/>
      </w:r>
      <w:r>
        <w:t xml:space="preserve"> It should be noted that these are general areas of inquiry, NOT specific questions which to be applied to all respondents using these terms. The ISR team will draw from these areas to craft specific inquiry schedules as required.  </w:t>
      </w:r>
    </w:p>
  </w:footnote>
  <w:footnote w:id="58">
    <w:p w14:paraId="5380AC22" w14:textId="455E24EE" w:rsidR="00551718" w:rsidRPr="000A0C38" w:rsidRDefault="00551718" w:rsidP="005100B1">
      <w:pPr>
        <w:pStyle w:val="FootnoteText"/>
        <w:rPr>
          <w:sz w:val="18"/>
          <w:szCs w:val="18"/>
        </w:rPr>
      </w:pPr>
      <w:r w:rsidRPr="000A0C38">
        <w:rPr>
          <w:rStyle w:val="FootnoteReference"/>
          <w:sz w:val="18"/>
          <w:szCs w:val="18"/>
        </w:rPr>
        <w:footnoteRef/>
      </w:r>
      <w:r w:rsidRPr="000A0C38">
        <w:rPr>
          <w:sz w:val="18"/>
          <w:szCs w:val="18"/>
        </w:rPr>
        <w:t xml:space="preserve"> See Rao and Kelleher (2010) ‘Is there Life </w:t>
      </w:r>
      <w:r w:rsidRPr="0077583F">
        <w:rPr>
          <w:sz w:val="18"/>
          <w:szCs w:val="18"/>
        </w:rPr>
        <w:t xml:space="preserve">After Mainstreaming?’, </w:t>
      </w:r>
      <w:r w:rsidRPr="0077583F">
        <w:rPr>
          <w:i/>
          <w:sz w:val="18"/>
          <w:szCs w:val="18"/>
        </w:rPr>
        <w:t>Gender and Development</w:t>
      </w:r>
      <w:r w:rsidRPr="0077583F">
        <w:rPr>
          <w:sz w:val="18"/>
          <w:szCs w:val="18"/>
        </w:rPr>
        <w:t xml:space="preserve"> Vol13:2, 57-69</w:t>
      </w:r>
    </w:p>
  </w:footnote>
  <w:footnote w:id="59">
    <w:p w14:paraId="0A587862" w14:textId="77777777" w:rsidR="00551718" w:rsidRPr="000A0C38" w:rsidRDefault="00551718" w:rsidP="005100B1">
      <w:pPr>
        <w:shd w:val="clear" w:color="auto" w:fill="FFFFFF"/>
        <w:spacing w:line="240" w:lineRule="auto"/>
        <w:rPr>
          <w:rFonts w:eastAsia="Times New Roman" w:cs="Arial"/>
          <w:sz w:val="18"/>
          <w:szCs w:val="18"/>
          <w:lang w:eastAsia="en-AU"/>
        </w:rPr>
      </w:pPr>
      <w:r w:rsidRPr="000A0C38">
        <w:rPr>
          <w:rStyle w:val="FootnoteReference"/>
          <w:sz w:val="18"/>
          <w:szCs w:val="18"/>
        </w:rPr>
        <w:footnoteRef/>
      </w:r>
      <w:r w:rsidRPr="000A0C38">
        <w:rPr>
          <w:sz w:val="18"/>
          <w:szCs w:val="18"/>
        </w:rPr>
        <w:t xml:space="preserve"> See </w:t>
      </w:r>
      <w:r w:rsidRPr="000A0C38">
        <w:rPr>
          <w:rFonts w:eastAsia="Times New Roman" w:cs="Arial"/>
          <w:sz w:val="18"/>
          <w:szCs w:val="18"/>
          <w:lang w:eastAsia="en-AU"/>
        </w:rPr>
        <w:t xml:space="preserve">Miller, VeneKlasen, Reilly &amp; Clark </w:t>
      </w:r>
      <w:hyperlink r:id="rId1" w:history="1">
        <w:r w:rsidRPr="000A0C38">
          <w:rPr>
            <w:rStyle w:val="Hyperlink"/>
            <w:rFonts w:eastAsia="Times New Roman" w:cs="Arial"/>
            <w:sz w:val="18"/>
            <w:szCs w:val="18"/>
            <w:lang w:eastAsia="en-AU"/>
          </w:rPr>
          <w:t>Making Change Happen: Concepts for Revisioning Power for Justice, Equality and Peace</w:t>
        </w:r>
      </w:hyperlink>
      <w:r>
        <w:rPr>
          <w:rFonts w:eastAsia="Times New Roman" w:cs="Arial"/>
          <w:sz w:val="18"/>
          <w:szCs w:val="18"/>
          <w:lang w:eastAsia="en-AU"/>
        </w:rPr>
        <w:t>, Jass Associates, see in particular pages11-12</w:t>
      </w:r>
    </w:p>
    <w:p w14:paraId="7F0F0DE1" w14:textId="77777777" w:rsidR="00551718" w:rsidRDefault="00551718" w:rsidP="005100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2E6B" w14:textId="77777777" w:rsidR="00FC4C4C" w:rsidRDefault="00FC4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9"/>
      <w:gridCol w:w="8617"/>
    </w:tblGrid>
    <w:tr w:rsidR="00551718" w14:paraId="1C8B9F23" w14:textId="77777777">
      <w:trPr>
        <w:jc w:val="right"/>
      </w:trPr>
      <w:tc>
        <w:tcPr>
          <w:tcW w:w="0" w:type="auto"/>
          <w:shd w:val="clear" w:color="auto" w:fill="ED7D31" w:themeFill="accent2"/>
          <w:vAlign w:val="center"/>
        </w:tcPr>
        <w:p w14:paraId="55571218" w14:textId="77777777" w:rsidR="00551718" w:rsidRDefault="00551718">
          <w:pPr>
            <w:pStyle w:val="Header"/>
            <w:rPr>
              <w:caps/>
              <w:color w:val="FFFFFF" w:themeColor="background1"/>
            </w:rPr>
          </w:pPr>
        </w:p>
      </w:tc>
      <w:tc>
        <w:tcPr>
          <w:tcW w:w="0" w:type="auto"/>
          <w:shd w:val="clear" w:color="auto" w:fill="ED7D31" w:themeFill="accent2"/>
          <w:vAlign w:val="center"/>
        </w:tcPr>
        <w:p w14:paraId="085E1656" w14:textId="30C9C186" w:rsidR="00551718" w:rsidRDefault="00551718">
          <w:pPr>
            <w:pStyle w:val="Header"/>
            <w:jc w:val="right"/>
            <w:rPr>
              <w:caps/>
              <w:color w:val="FFFFFF" w:themeColor="background1"/>
            </w:rPr>
          </w:pPr>
          <w:r>
            <w:rPr>
              <w:caps/>
              <w:color w:val="FFFFFF" w:themeColor="background1"/>
            </w:rPr>
            <w:t xml:space="preserve"> MAMPU Phase 2 Independent Strategic Review</w:t>
          </w:r>
        </w:p>
      </w:tc>
    </w:tr>
  </w:tbl>
  <w:p w14:paraId="3364B68A" w14:textId="77777777" w:rsidR="00551718" w:rsidRDefault="00551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C5FF" w14:textId="77777777" w:rsidR="00FC4C4C" w:rsidRDefault="00FC4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51"/>
      <w:gridCol w:w="8575"/>
    </w:tblGrid>
    <w:tr w:rsidR="00551718" w14:paraId="644FF272" w14:textId="77777777">
      <w:trPr>
        <w:jc w:val="right"/>
      </w:trPr>
      <w:tc>
        <w:tcPr>
          <w:tcW w:w="0" w:type="auto"/>
          <w:shd w:val="clear" w:color="auto" w:fill="ED7D31" w:themeFill="accent2"/>
          <w:vAlign w:val="center"/>
        </w:tcPr>
        <w:p w14:paraId="162C236E" w14:textId="77777777" w:rsidR="00551718" w:rsidRDefault="00551718">
          <w:pPr>
            <w:pStyle w:val="Header"/>
            <w:rPr>
              <w:caps/>
              <w:color w:val="FFFFFF" w:themeColor="background1"/>
            </w:rPr>
          </w:pPr>
        </w:p>
      </w:tc>
      <w:tc>
        <w:tcPr>
          <w:tcW w:w="0" w:type="auto"/>
          <w:shd w:val="clear" w:color="auto" w:fill="ED7D31" w:themeFill="accent2"/>
          <w:vAlign w:val="center"/>
        </w:tcPr>
        <w:p w14:paraId="3657E098" w14:textId="19CF64D0" w:rsidR="00551718" w:rsidRPr="002D16EB" w:rsidRDefault="00551718" w:rsidP="002D16EB">
          <w:pPr>
            <w:pStyle w:val="Header"/>
            <w:jc w:val="right"/>
            <w:rPr>
              <w:i/>
              <w:caps/>
              <w:color w:val="FFFFFF" w:themeColor="background1"/>
            </w:rPr>
          </w:pPr>
          <w:r>
            <w:rPr>
              <w:i/>
              <w:caps/>
              <w:color w:val="FFFFFF" w:themeColor="background1"/>
              <w:sz w:val="20"/>
            </w:rPr>
            <w:t>MAMPU Phase 2 Independent Strategic Review</w:t>
          </w:r>
        </w:p>
      </w:tc>
    </w:tr>
  </w:tbl>
  <w:p w14:paraId="6A14E756" w14:textId="77777777" w:rsidR="00551718" w:rsidRDefault="0055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4A1"/>
    <w:multiLevelType w:val="hybridMultilevel"/>
    <w:tmpl w:val="D2A80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85413"/>
    <w:multiLevelType w:val="hybridMultilevel"/>
    <w:tmpl w:val="5A9A2DDE"/>
    <w:lvl w:ilvl="0" w:tplc="1504A0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DC2929"/>
    <w:multiLevelType w:val="hybridMultilevel"/>
    <w:tmpl w:val="8E56E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C61FB"/>
    <w:multiLevelType w:val="hybridMultilevel"/>
    <w:tmpl w:val="9982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95C09"/>
    <w:multiLevelType w:val="hybridMultilevel"/>
    <w:tmpl w:val="41A6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61F98"/>
    <w:multiLevelType w:val="hybridMultilevel"/>
    <w:tmpl w:val="6492A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232488"/>
    <w:multiLevelType w:val="hybridMultilevel"/>
    <w:tmpl w:val="5F4C4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33FE5"/>
    <w:multiLevelType w:val="hybridMultilevel"/>
    <w:tmpl w:val="0FF46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FA7F07"/>
    <w:multiLevelType w:val="hybridMultilevel"/>
    <w:tmpl w:val="FFA87FBC"/>
    <w:lvl w:ilvl="0" w:tplc="0C090001">
      <w:start w:val="1"/>
      <w:numFmt w:val="bullet"/>
      <w:lvlText w:val=""/>
      <w:lvlJc w:val="left"/>
      <w:pPr>
        <w:ind w:left="720" w:hanging="360"/>
      </w:pPr>
      <w:rPr>
        <w:rFonts w:ascii="Symbol" w:hAnsi="Symbol" w:hint="default"/>
      </w:rPr>
    </w:lvl>
    <w:lvl w:ilvl="1" w:tplc="E33AE6D2">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E4835"/>
    <w:multiLevelType w:val="hybridMultilevel"/>
    <w:tmpl w:val="4D9A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B4DD6"/>
    <w:multiLevelType w:val="hybridMultilevel"/>
    <w:tmpl w:val="C3785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47220"/>
    <w:multiLevelType w:val="hybridMultilevel"/>
    <w:tmpl w:val="F6ACA9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E60938"/>
    <w:multiLevelType w:val="hybridMultilevel"/>
    <w:tmpl w:val="A5E2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CE4E82"/>
    <w:multiLevelType w:val="hybridMultilevel"/>
    <w:tmpl w:val="1366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E27A38"/>
    <w:multiLevelType w:val="hybridMultilevel"/>
    <w:tmpl w:val="43324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3E145E"/>
    <w:multiLevelType w:val="hybridMultilevel"/>
    <w:tmpl w:val="3DB00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960343"/>
    <w:multiLevelType w:val="hybridMultilevel"/>
    <w:tmpl w:val="AFC6BB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1E2252"/>
    <w:multiLevelType w:val="hybridMultilevel"/>
    <w:tmpl w:val="0EBA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82D2F"/>
    <w:multiLevelType w:val="hybridMultilevel"/>
    <w:tmpl w:val="B70A9D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75CC61DB"/>
    <w:multiLevelType w:val="hybridMultilevel"/>
    <w:tmpl w:val="D842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55735E"/>
    <w:multiLevelType w:val="hybridMultilevel"/>
    <w:tmpl w:val="78E4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0127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5"/>
  </w:num>
  <w:num w:numId="3">
    <w:abstractNumId w:val="6"/>
  </w:num>
  <w:num w:numId="4">
    <w:abstractNumId w:val="10"/>
  </w:num>
  <w:num w:numId="5">
    <w:abstractNumId w:val="18"/>
  </w:num>
  <w:num w:numId="6">
    <w:abstractNumId w:val="12"/>
  </w:num>
  <w:num w:numId="7">
    <w:abstractNumId w:val="2"/>
  </w:num>
  <w:num w:numId="8">
    <w:abstractNumId w:val="19"/>
  </w:num>
  <w:num w:numId="9">
    <w:abstractNumId w:val="8"/>
  </w:num>
  <w:num w:numId="10">
    <w:abstractNumId w:val="3"/>
  </w:num>
  <w:num w:numId="11">
    <w:abstractNumId w:val="17"/>
  </w:num>
  <w:num w:numId="12">
    <w:abstractNumId w:val="9"/>
  </w:num>
  <w:num w:numId="13">
    <w:abstractNumId w:val="14"/>
  </w:num>
  <w:num w:numId="14">
    <w:abstractNumId w:val="1"/>
  </w:num>
  <w:num w:numId="15">
    <w:abstractNumId w:val="0"/>
  </w:num>
  <w:num w:numId="16">
    <w:abstractNumId w:val="16"/>
  </w:num>
  <w:num w:numId="17">
    <w:abstractNumId w:val="4"/>
  </w:num>
  <w:num w:numId="18">
    <w:abstractNumId w:val="5"/>
  </w:num>
  <w:num w:numId="19">
    <w:abstractNumId w:val="21"/>
  </w:num>
  <w:num w:numId="20">
    <w:abstractNumId w:val="7"/>
  </w:num>
  <w:num w:numId="21">
    <w:abstractNumId w:val="2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95B587-1627-4BEB-9C85-89B32B9F8120}"/>
    <w:docVar w:name="dgnword-eventsink" w:val="102084192"/>
  </w:docVars>
  <w:rsids>
    <w:rsidRoot w:val="008C2B26"/>
    <w:rsid w:val="00003F1B"/>
    <w:rsid w:val="000040DD"/>
    <w:rsid w:val="000113B3"/>
    <w:rsid w:val="00020A95"/>
    <w:rsid w:val="00024646"/>
    <w:rsid w:val="00025736"/>
    <w:rsid w:val="000258FF"/>
    <w:rsid w:val="00025E14"/>
    <w:rsid w:val="00027950"/>
    <w:rsid w:val="00030218"/>
    <w:rsid w:val="0003459F"/>
    <w:rsid w:val="00035E6B"/>
    <w:rsid w:val="000461D0"/>
    <w:rsid w:val="00047143"/>
    <w:rsid w:val="00053ADB"/>
    <w:rsid w:val="00060CA1"/>
    <w:rsid w:val="00067F3E"/>
    <w:rsid w:val="00070454"/>
    <w:rsid w:val="000710CF"/>
    <w:rsid w:val="00072E4B"/>
    <w:rsid w:val="0007682A"/>
    <w:rsid w:val="00081421"/>
    <w:rsid w:val="000868C4"/>
    <w:rsid w:val="0009003B"/>
    <w:rsid w:val="00092051"/>
    <w:rsid w:val="000942BF"/>
    <w:rsid w:val="00095939"/>
    <w:rsid w:val="000979D3"/>
    <w:rsid w:val="000A1FBF"/>
    <w:rsid w:val="000A3F61"/>
    <w:rsid w:val="000B0F6E"/>
    <w:rsid w:val="000B3C75"/>
    <w:rsid w:val="000B510B"/>
    <w:rsid w:val="000B682F"/>
    <w:rsid w:val="000C06B9"/>
    <w:rsid w:val="000C2BC0"/>
    <w:rsid w:val="000C309E"/>
    <w:rsid w:val="000C3754"/>
    <w:rsid w:val="000C39CF"/>
    <w:rsid w:val="000C480A"/>
    <w:rsid w:val="000D0F9B"/>
    <w:rsid w:val="000D2FC4"/>
    <w:rsid w:val="000D57F2"/>
    <w:rsid w:val="000E34E6"/>
    <w:rsid w:val="000E7765"/>
    <w:rsid w:val="000F3B57"/>
    <w:rsid w:val="000F529D"/>
    <w:rsid w:val="000F5462"/>
    <w:rsid w:val="000F74B0"/>
    <w:rsid w:val="001019E3"/>
    <w:rsid w:val="00102B9E"/>
    <w:rsid w:val="00104188"/>
    <w:rsid w:val="00104312"/>
    <w:rsid w:val="00106006"/>
    <w:rsid w:val="0010621E"/>
    <w:rsid w:val="001114CA"/>
    <w:rsid w:val="001125C7"/>
    <w:rsid w:val="001212EE"/>
    <w:rsid w:val="00123AD6"/>
    <w:rsid w:val="00130322"/>
    <w:rsid w:val="001330B3"/>
    <w:rsid w:val="001357FD"/>
    <w:rsid w:val="00137A58"/>
    <w:rsid w:val="0014178D"/>
    <w:rsid w:val="00145F54"/>
    <w:rsid w:val="00150278"/>
    <w:rsid w:val="001527DC"/>
    <w:rsid w:val="001537DA"/>
    <w:rsid w:val="001603A5"/>
    <w:rsid w:val="00160AA7"/>
    <w:rsid w:val="00160E5D"/>
    <w:rsid w:val="00161245"/>
    <w:rsid w:val="00161C0B"/>
    <w:rsid w:val="001667EA"/>
    <w:rsid w:val="00167E5E"/>
    <w:rsid w:val="00174250"/>
    <w:rsid w:val="00176F59"/>
    <w:rsid w:val="00177FE6"/>
    <w:rsid w:val="00181ACC"/>
    <w:rsid w:val="00192DBB"/>
    <w:rsid w:val="001959DC"/>
    <w:rsid w:val="001A038B"/>
    <w:rsid w:val="001A7589"/>
    <w:rsid w:val="001B1821"/>
    <w:rsid w:val="001B482E"/>
    <w:rsid w:val="001B591D"/>
    <w:rsid w:val="001B7F84"/>
    <w:rsid w:val="001C074A"/>
    <w:rsid w:val="001C3FA2"/>
    <w:rsid w:val="001C48E2"/>
    <w:rsid w:val="001C51F6"/>
    <w:rsid w:val="001D1A14"/>
    <w:rsid w:val="001D48A6"/>
    <w:rsid w:val="001E4012"/>
    <w:rsid w:val="001E65F3"/>
    <w:rsid w:val="001F0E43"/>
    <w:rsid w:val="001F0FD4"/>
    <w:rsid w:val="00206374"/>
    <w:rsid w:val="002127BE"/>
    <w:rsid w:val="002334B2"/>
    <w:rsid w:val="00235393"/>
    <w:rsid w:val="00241450"/>
    <w:rsid w:val="00241B6F"/>
    <w:rsid w:val="002423BB"/>
    <w:rsid w:val="00245E18"/>
    <w:rsid w:val="00246858"/>
    <w:rsid w:val="002473D4"/>
    <w:rsid w:val="00252B86"/>
    <w:rsid w:val="00255CB4"/>
    <w:rsid w:val="002675A8"/>
    <w:rsid w:val="00270513"/>
    <w:rsid w:val="002755B6"/>
    <w:rsid w:val="002800A8"/>
    <w:rsid w:val="0028093E"/>
    <w:rsid w:val="00285BA8"/>
    <w:rsid w:val="002866A5"/>
    <w:rsid w:val="00290153"/>
    <w:rsid w:val="00292ED0"/>
    <w:rsid w:val="002933D2"/>
    <w:rsid w:val="00293949"/>
    <w:rsid w:val="00293DCA"/>
    <w:rsid w:val="00294FC3"/>
    <w:rsid w:val="002960BD"/>
    <w:rsid w:val="002A0B04"/>
    <w:rsid w:val="002A5118"/>
    <w:rsid w:val="002A5AB5"/>
    <w:rsid w:val="002A606D"/>
    <w:rsid w:val="002A7DD7"/>
    <w:rsid w:val="002B3BAB"/>
    <w:rsid w:val="002B5331"/>
    <w:rsid w:val="002C1140"/>
    <w:rsid w:val="002D16EB"/>
    <w:rsid w:val="002D18B9"/>
    <w:rsid w:val="002D27C3"/>
    <w:rsid w:val="002D2CD6"/>
    <w:rsid w:val="002D7682"/>
    <w:rsid w:val="002D77B2"/>
    <w:rsid w:val="002E055A"/>
    <w:rsid w:val="002E2994"/>
    <w:rsid w:val="002E31D6"/>
    <w:rsid w:val="002E3C23"/>
    <w:rsid w:val="002E5717"/>
    <w:rsid w:val="002E7978"/>
    <w:rsid w:val="002F2E52"/>
    <w:rsid w:val="002F59A9"/>
    <w:rsid w:val="002F5A71"/>
    <w:rsid w:val="002F5AA8"/>
    <w:rsid w:val="00300D93"/>
    <w:rsid w:val="00301E99"/>
    <w:rsid w:val="00303A04"/>
    <w:rsid w:val="00304417"/>
    <w:rsid w:val="00311D80"/>
    <w:rsid w:val="00312763"/>
    <w:rsid w:val="00313C41"/>
    <w:rsid w:val="00322AB8"/>
    <w:rsid w:val="00326CEB"/>
    <w:rsid w:val="00326EB1"/>
    <w:rsid w:val="003357DE"/>
    <w:rsid w:val="003405C6"/>
    <w:rsid w:val="0034157E"/>
    <w:rsid w:val="00341BD5"/>
    <w:rsid w:val="00342173"/>
    <w:rsid w:val="00343759"/>
    <w:rsid w:val="00344537"/>
    <w:rsid w:val="00344B57"/>
    <w:rsid w:val="00347D8B"/>
    <w:rsid w:val="003542C0"/>
    <w:rsid w:val="003637D6"/>
    <w:rsid w:val="003659F9"/>
    <w:rsid w:val="00370085"/>
    <w:rsid w:val="00371851"/>
    <w:rsid w:val="003718A5"/>
    <w:rsid w:val="00374BF8"/>
    <w:rsid w:val="00375D44"/>
    <w:rsid w:val="0038155F"/>
    <w:rsid w:val="00381AE8"/>
    <w:rsid w:val="00390084"/>
    <w:rsid w:val="00392FED"/>
    <w:rsid w:val="0039321F"/>
    <w:rsid w:val="0039402A"/>
    <w:rsid w:val="00395601"/>
    <w:rsid w:val="003956AD"/>
    <w:rsid w:val="003A49CF"/>
    <w:rsid w:val="003A5329"/>
    <w:rsid w:val="003A72D4"/>
    <w:rsid w:val="003B01A4"/>
    <w:rsid w:val="003B1EA5"/>
    <w:rsid w:val="003B650A"/>
    <w:rsid w:val="003B7260"/>
    <w:rsid w:val="003C04F2"/>
    <w:rsid w:val="003C54DF"/>
    <w:rsid w:val="003D0A9F"/>
    <w:rsid w:val="003D1BC7"/>
    <w:rsid w:val="003D1C39"/>
    <w:rsid w:val="003D2C7C"/>
    <w:rsid w:val="003D3B93"/>
    <w:rsid w:val="003D61BF"/>
    <w:rsid w:val="003D628B"/>
    <w:rsid w:val="003E0E49"/>
    <w:rsid w:val="003E584F"/>
    <w:rsid w:val="003E61FB"/>
    <w:rsid w:val="003E7A2E"/>
    <w:rsid w:val="003E7B5F"/>
    <w:rsid w:val="003F3936"/>
    <w:rsid w:val="00400D80"/>
    <w:rsid w:val="00401DFA"/>
    <w:rsid w:val="004035FD"/>
    <w:rsid w:val="00404DCC"/>
    <w:rsid w:val="004066B3"/>
    <w:rsid w:val="0041084C"/>
    <w:rsid w:val="004131FF"/>
    <w:rsid w:val="00413A11"/>
    <w:rsid w:val="0041714F"/>
    <w:rsid w:val="0042143C"/>
    <w:rsid w:val="004234BF"/>
    <w:rsid w:val="004235B7"/>
    <w:rsid w:val="0042562E"/>
    <w:rsid w:val="00425796"/>
    <w:rsid w:val="004265C0"/>
    <w:rsid w:val="00427BA2"/>
    <w:rsid w:val="00431D51"/>
    <w:rsid w:val="004407DC"/>
    <w:rsid w:val="00441EF2"/>
    <w:rsid w:val="00445045"/>
    <w:rsid w:val="004467A6"/>
    <w:rsid w:val="00450067"/>
    <w:rsid w:val="0045387D"/>
    <w:rsid w:val="00453C23"/>
    <w:rsid w:val="00454DEA"/>
    <w:rsid w:val="004567CD"/>
    <w:rsid w:val="00456D32"/>
    <w:rsid w:val="00461F3A"/>
    <w:rsid w:val="00462C18"/>
    <w:rsid w:val="00464D42"/>
    <w:rsid w:val="0046551F"/>
    <w:rsid w:val="00466064"/>
    <w:rsid w:val="0047084C"/>
    <w:rsid w:val="0047088F"/>
    <w:rsid w:val="00472947"/>
    <w:rsid w:val="00475AE3"/>
    <w:rsid w:val="00476EB1"/>
    <w:rsid w:val="00480736"/>
    <w:rsid w:val="0048100F"/>
    <w:rsid w:val="0048589E"/>
    <w:rsid w:val="004966F0"/>
    <w:rsid w:val="00496706"/>
    <w:rsid w:val="00497372"/>
    <w:rsid w:val="004A5B47"/>
    <w:rsid w:val="004B1077"/>
    <w:rsid w:val="004B3D50"/>
    <w:rsid w:val="004B3F66"/>
    <w:rsid w:val="004B721E"/>
    <w:rsid w:val="004B7A08"/>
    <w:rsid w:val="004C1658"/>
    <w:rsid w:val="004C2EC1"/>
    <w:rsid w:val="004C7300"/>
    <w:rsid w:val="004D4BCF"/>
    <w:rsid w:val="004D4EA8"/>
    <w:rsid w:val="004E08AB"/>
    <w:rsid w:val="004E3980"/>
    <w:rsid w:val="004F2F3D"/>
    <w:rsid w:val="004F34BE"/>
    <w:rsid w:val="004F4058"/>
    <w:rsid w:val="004F5D1E"/>
    <w:rsid w:val="004F6D43"/>
    <w:rsid w:val="004F7496"/>
    <w:rsid w:val="005041BD"/>
    <w:rsid w:val="00505CC6"/>
    <w:rsid w:val="00506271"/>
    <w:rsid w:val="005100B1"/>
    <w:rsid w:val="00512F66"/>
    <w:rsid w:val="00513E2C"/>
    <w:rsid w:val="00516285"/>
    <w:rsid w:val="00516AE6"/>
    <w:rsid w:val="00521A59"/>
    <w:rsid w:val="00522230"/>
    <w:rsid w:val="00523473"/>
    <w:rsid w:val="00524FCD"/>
    <w:rsid w:val="00525788"/>
    <w:rsid w:val="00525B4A"/>
    <w:rsid w:val="0052652D"/>
    <w:rsid w:val="005306EC"/>
    <w:rsid w:val="005320F0"/>
    <w:rsid w:val="00540319"/>
    <w:rsid w:val="005427D3"/>
    <w:rsid w:val="00544C5F"/>
    <w:rsid w:val="00550CBB"/>
    <w:rsid w:val="00551718"/>
    <w:rsid w:val="00556A30"/>
    <w:rsid w:val="00561907"/>
    <w:rsid w:val="00562306"/>
    <w:rsid w:val="0056284C"/>
    <w:rsid w:val="00562A4B"/>
    <w:rsid w:val="005641FF"/>
    <w:rsid w:val="00564674"/>
    <w:rsid w:val="00565B31"/>
    <w:rsid w:val="00566729"/>
    <w:rsid w:val="005668F0"/>
    <w:rsid w:val="005673A9"/>
    <w:rsid w:val="0057053D"/>
    <w:rsid w:val="00580C8D"/>
    <w:rsid w:val="005818C4"/>
    <w:rsid w:val="00586811"/>
    <w:rsid w:val="0059227D"/>
    <w:rsid w:val="005A1E00"/>
    <w:rsid w:val="005A3E7E"/>
    <w:rsid w:val="005C1D47"/>
    <w:rsid w:val="005C7F97"/>
    <w:rsid w:val="005E41F7"/>
    <w:rsid w:val="005E4D59"/>
    <w:rsid w:val="005E637F"/>
    <w:rsid w:val="005E6DB2"/>
    <w:rsid w:val="005F1BC2"/>
    <w:rsid w:val="005F33F5"/>
    <w:rsid w:val="005F5380"/>
    <w:rsid w:val="005F5AFA"/>
    <w:rsid w:val="005F5C9F"/>
    <w:rsid w:val="005F6789"/>
    <w:rsid w:val="005F78B3"/>
    <w:rsid w:val="006034D2"/>
    <w:rsid w:val="00604408"/>
    <w:rsid w:val="00605BFF"/>
    <w:rsid w:val="006070A4"/>
    <w:rsid w:val="006112B9"/>
    <w:rsid w:val="00612B69"/>
    <w:rsid w:val="00612CF5"/>
    <w:rsid w:val="00613294"/>
    <w:rsid w:val="00615D99"/>
    <w:rsid w:val="006254B0"/>
    <w:rsid w:val="00631814"/>
    <w:rsid w:val="006340AA"/>
    <w:rsid w:val="006352AB"/>
    <w:rsid w:val="00635476"/>
    <w:rsid w:val="00641CEC"/>
    <w:rsid w:val="006444C4"/>
    <w:rsid w:val="006445B0"/>
    <w:rsid w:val="00651749"/>
    <w:rsid w:val="00654A90"/>
    <w:rsid w:val="00661345"/>
    <w:rsid w:val="006626D1"/>
    <w:rsid w:val="0066311D"/>
    <w:rsid w:val="006640DC"/>
    <w:rsid w:val="00667CCE"/>
    <w:rsid w:val="00670A9B"/>
    <w:rsid w:val="006729CA"/>
    <w:rsid w:val="006934DA"/>
    <w:rsid w:val="00697230"/>
    <w:rsid w:val="006A032D"/>
    <w:rsid w:val="006A1736"/>
    <w:rsid w:val="006A6BFE"/>
    <w:rsid w:val="006B0DEC"/>
    <w:rsid w:val="006B55B8"/>
    <w:rsid w:val="006C5862"/>
    <w:rsid w:val="006C5D08"/>
    <w:rsid w:val="006C76D4"/>
    <w:rsid w:val="006D147A"/>
    <w:rsid w:val="006D2215"/>
    <w:rsid w:val="006D2B03"/>
    <w:rsid w:val="006D2C28"/>
    <w:rsid w:val="006D4146"/>
    <w:rsid w:val="006D7FA1"/>
    <w:rsid w:val="006E2CFB"/>
    <w:rsid w:val="006E5927"/>
    <w:rsid w:val="006E5E98"/>
    <w:rsid w:val="006E7ADE"/>
    <w:rsid w:val="006F1872"/>
    <w:rsid w:val="006F40E2"/>
    <w:rsid w:val="006F545C"/>
    <w:rsid w:val="006F6D2F"/>
    <w:rsid w:val="00700295"/>
    <w:rsid w:val="0070403F"/>
    <w:rsid w:val="0070522D"/>
    <w:rsid w:val="007059BF"/>
    <w:rsid w:val="00706810"/>
    <w:rsid w:val="00707E60"/>
    <w:rsid w:val="00710FD1"/>
    <w:rsid w:val="00714974"/>
    <w:rsid w:val="0071534B"/>
    <w:rsid w:val="007318EA"/>
    <w:rsid w:val="00734B80"/>
    <w:rsid w:val="0073693C"/>
    <w:rsid w:val="00736AEB"/>
    <w:rsid w:val="007428ED"/>
    <w:rsid w:val="00745410"/>
    <w:rsid w:val="00755E15"/>
    <w:rsid w:val="0075694C"/>
    <w:rsid w:val="00760229"/>
    <w:rsid w:val="0076374A"/>
    <w:rsid w:val="007678EF"/>
    <w:rsid w:val="00767FAF"/>
    <w:rsid w:val="00770F5F"/>
    <w:rsid w:val="0077583F"/>
    <w:rsid w:val="00777466"/>
    <w:rsid w:val="00781DEB"/>
    <w:rsid w:val="00784EB2"/>
    <w:rsid w:val="00787C9A"/>
    <w:rsid w:val="007904A2"/>
    <w:rsid w:val="00791B6D"/>
    <w:rsid w:val="0079653D"/>
    <w:rsid w:val="007A16F2"/>
    <w:rsid w:val="007A4A14"/>
    <w:rsid w:val="007A6D18"/>
    <w:rsid w:val="007A7484"/>
    <w:rsid w:val="007A7588"/>
    <w:rsid w:val="007A798C"/>
    <w:rsid w:val="007A7C28"/>
    <w:rsid w:val="007B3770"/>
    <w:rsid w:val="007C01FA"/>
    <w:rsid w:val="007C4FD0"/>
    <w:rsid w:val="007C6AFF"/>
    <w:rsid w:val="007D19CF"/>
    <w:rsid w:val="007D205A"/>
    <w:rsid w:val="007D4BF5"/>
    <w:rsid w:val="007D5EA8"/>
    <w:rsid w:val="007D7770"/>
    <w:rsid w:val="007E359E"/>
    <w:rsid w:val="007F6F6B"/>
    <w:rsid w:val="007F7402"/>
    <w:rsid w:val="00801D35"/>
    <w:rsid w:val="00802441"/>
    <w:rsid w:val="0080451A"/>
    <w:rsid w:val="00804F54"/>
    <w:rsid w:val="00813019"/>
    <w:rsid w:val="00814A34"/>
    <w:rsid w:val="008157E8"/>
    <w:rsid w:val="008215EF"/>
    <w:rsid w:val="00821647"/>
    <w:rsid w:val="008226F9"/>
    <w:rsid w:val="00822E19"/>
    <w:rsid w:val="00834605"/>
    <w:rsid w:val="00841E38"/>
    <w:rsid w:val="00842342"/>
    <w:rsid w:val="00844730"/>
    <w:rsid w:val="008454C9"/>
    <w:rsid w:val="008508C0"/>
    <w:rsid w:val="008524FE"/>
    <w:rsid w:val="0085266B"/>
    <w:rsid w:val="00855616"/>
    <w:rsid w:val="008560C9"/>
    <w:rsid w:val="00856972"/>
    <w:rsid w:val="008602B1"/>
    <w:rsid w:val="00860B95"/>
    <w:rsid w:val="0086170B"/>
    <w:rsid w:val="00864183"/>
    <w:rsid w:val="008644F0"/>
    <w:rsid w:val="00864C5E"/>
    <w:rsid w:val="00864D66"/>
    <w:rsid w:val="008729F3"/>
    <w:rsid w:val="00872D71"/>
    <w:rsid w:val="00874FCF"/>
    <w:rsid w:val="00876C1C"/>
    <w:rsid w:val="00877D43"/>
    <w:rsid w:val="008801B8"/>
    <w:rsid w:val="008808E1"/>
    <w:rsid w:val="008859CF"/>
    <w:rsid w:val="00887FBA"/>
    <w:rsid w:val="00890614"/>
    <w:rsid w:val="0089556C"/>
    <w:rsid w:val="00895679"/>
    <w:rsid w:val="00895A77"/>
    <w:rsid w:val="00896BC3"/>
    <w:rsid w:val="008A0236"/>
    <w:rsid w:val="008A27BA"/>
    <w:rsid w:val="008A758C"/>
    <w:rsid w:val="008B024E"/>
    <w:rsid w:val="008B1235"/>
    <w:rsid w:val="008B18EF"/>
    <w:rsid w:val="008B27F4"/>
    <w:rsid w:val="008B3FE0"/>
    <w:rsid w:val="008B766B"/>
    <w:rsid w:val="008B7CE8"/>
    <w:rsid w:val="008C2B26"/>
    <w:rsid w:val="008C3358"/>
    <w:rsid w:val="008C4FF8"/>
    <w:rsid w:val="008C6A1F"/>
    <w:rsid w:val="008C7BA5"/>
    <w:rsid w:val="008D039F"/>
    <w:rsid w:val="008D04E0"/>
    <w:rsid w:val="008D20D8"/>
    <w:rsid w:val="008D57B4"/>
    <w:rsid w:val="008D7DCE"/>
    <w:rsid w:val="008E03B2"/>
    <w:rsid w:val="008E2424"/>
    <w:rsid w:val="008E4392"/>
    <w:rsid w:val="008F22F6"/>
    <w:rsid w:val="008F3B99"/>
    <w:rsid w:val="008F4E43"/>
    <w:rsid w:val="009028CD"/>
    <w:rsid w:val="00906A49"/>
    <w:rsid w:val="00910E27"/>
    <w:rsid w:val="009123C6"/>
    <w:rsid w:val="009147EF"/>
    <w:rsid w:val="00916C09"/>
    <w:rsid w:val="009235F9"/>
    <w:rsid w:val="009261FF"/>
    <w:rsid w:val="009320A5"/>
    <w:rsid w:val="009433C8"/>
    <w:rsid w:val="00945E94"/>
    <w:rsid w:val="00946545"/>
    <w:rsid w:val="00946D00"/>
    <w:rsid w:val="009527CC"/>
    <w:rsid w:val="00952B36"/>
    <w:rsid w:val="009535C1"/>
    <w:rsid w:val="009560FF"/>
    <w:rsid w:val="00966790"/>
    <w:rsid w:val="00966D0A"/>
    <w:rsid w:val="009670F8"/>
    <w:rsid w:val="00971600"/>
    <w:rsid w:val="00974CE7"/>
    <w:rsid w:val="009852C0"/>
    <w:rsid w:val="009875DF"/>
    <w:rsid w:val="0098779E"/>
    <w:rsid w:val="00987919"/>
    <w:rsid w:val="00990AA0"/>
    <w:rsid w:val="009917A5"/>
    <w:rsid w:val="00993F31"/>
    <w:rsid w:val="009A43C2"/>
    <w:rsid w:val="009A4993"/>
    <w:rsid w:val="009B0DEA"/>
    <w:rsid w:val="009B1852"/>
    <w:rsid w:val="009B26F4"/>
    <w:rsid w:val="009B2C00"/>
    <w:rsid w:val="009B7E34"/>
    <w:rsid w:val="009D567E"/>
    <w:rsid w:val="009E15C2"/>
    <w:rsid w:val="009E19C2"/>
    <w:rsid w:val="009E297E"/>
    <w:rsid w:val="009F1075"/>
    <w:rsid w:val="009F274F"/>
    <w:rsid w:val="009F418A"/>
    <w:rsid w:val="00A0035F"/>
    <w:rsid w:val="00A0119B"/>
    <w:rsid w:val="00A03566"/>
    <w:rsid w:val="00A038DA"/>
    <w:rsid w:val="00A03F20"/>
    <w:rsid w:val="00A065EC"/>
    <w:rsid w:val="00A13F56"/>
    <w:rsid w:val="00A175E3"/>
    <w:rsid w:val="00A211F5"/>
    <w:rsid w:val="00A27A3A"/>
    <w:rsid w:val="00A333A2"/>
    <w:rsid w:val="00A4422A"/>
    <w:rsid w:val="00A44ADC"/>
    <w:rsid w:val="00A44B14"/>
    <w:rsid w:val="00A45595"/>
    <w:rsid w:val="00A4614D"/>
    <w:rsid w:val="00A46C6E"/>
    <w:rsid w:val="00A47D8E"/>
    <w:rsid w:val="00A50E10"/>
    <w:rsid w:val="00A53329"/>
    <w:rsid w:val="00A57435"/>
    <w:rsid w:val="00A633CC"/>
    <w:rsid w:val="00A65AF2"/>
    <w:rsid w:val="00A65B44"/>
    <w:rsid w:val="00A66888"/>
    <w:rsid w:val="00A67334"/>
    <w:rsid w:val="00A71AB6"/>
    <w:rsid w:val="00A71C32"/>
    <w:rsid w:val="00A73665"/>
    <w:rsid w:val="00A73DDE"/>
    <w:rsid w:val="00A73F34"/>
    <w:rsid w:val="00A80543"/>
    <w:rsid w:val="00A873C7"/>
    <w:rsid w:val="00A8741E"/>
    <w:rsid w:val="00A9265F"/>
    <w:rsid w:val="00A94AD8"/>
    <w:rsid w:val="00A95419"/>
    <w:rsid w:val="00A95CFA"/>
    <w:rsid w:val="00A975D2"/>
    <w:rsid w:val="00AA4F57"/>
    <w:rsid w:val="00AB1455"/>
    <w:rsid w:val="00AB230B"/>
    <w:rsid w:val="00AB3CCA"/>
    <w:rsid w:val="00AB4A93"/>
    <w:rsid w:val="00AC24FA"/>
    <w:rsid w:val="00AC6039"/>
    <w:rsid w:val="00AC68D0"/>
    <w:rsid w:val="00AD490A"/>
    <w:rsid w:val="00AD5AF0"/>
    <w:rsid w:val="00AE65CC"/>
    <w:rsid w:val="00AE7E15"/>
    <w:rsid w:val="00AF01B1"/>
    <w:rsid w:val="00AF1E33"/>
    <w:rsid w:val="00AF2580"/>
    <w:rsid w:val="00AF4ECF"/>
    <w:rsid w:val="00AF6769"/>
    <w:rsid w:val="00B01A9A"/>
    <w:rsid w:val="00B12FCE"/>
    <w:rsid w:val="00B13007"/>
    <w:rsid w:val="00B1380E"/>
    <w:rsid w:val="00B13E7B"/>
    <w:rsid w:val="00B1484D"/>
    <w:rsid w:val="00B15648"/>
    <w:rsid w:val="00B17089"/>
    <w:rsid w:val="00B1722B"/>
    <w:rsid w:val="00B2154E"/>
    <w:rsid w:val="00B2158B"/>
    <w:rsid w:val="00B21F1E"/>
    <w:rsid w:val="00B241EF"/>
    <w:rsid w:val="00B25B75"/>
    <w:rsid w:val="00B265F7"/>
    <w:rsid w:val="00B3407D"/>
    <w:rsid w:val="00B34183"/>
    <w:rsid w:val="00B3589D"/>
    <w:rsid w:val="00B36B5A"/>
    <w:rsid w:val="00B411CB"/>
    <w:rsid w:val="00B4130C"/>
    <w:rsid w:val="00B41CAC"/>
    <w:rsid w:val="00B433BC"/>
    <w:rsid w:val="00B43B3E"/>
    <w:rsid w:val="00B45825"/>
    <w:rsid w:val="00B45986"/>
    <w:rsid w:val="00B45D76"/>
    <w:rsid w:val="00B54FE6"/>
    <w:rsid w:val="00B611E6"/>
    <w:rsid w:val="00B6463A"/>
    <w:rsid w:val="00B668A6"/>
    <w:rsid w:val="00B76DF4"/>
    <w:rsid w:val="00B84FBD"/>
    <w:rsid w:val="00B85973"/>
    <w:rsid w:val="00B86B32"/>
    <w:rsid w:val="00B87212"/>
    <w:rsid w:val="00B90C40"/>
    <w:rsid w:val="00B95121"/>
    <w:rsid w:val="00BA0BA4"/>
    <w:rsid w:val="00BA2B06"/>
    <w:rsid w:val="00BA40E4"/>
    <w:rsid w:val="00BA4F10"/>
    <w:rsid w:val="00BA6D70"/>
    <w:rsid w:val="00BB0517"/>
    <w:rsid w:val="00BB18D7"/>
    <w:rsid w:val="00BB18E1"/>
    <w:rsid w:val="00BB57D2"/>
    <w:rsid w:val="00BB6201"/>
    <w:rsid w:val="00BB6514"/>
    <w:rsid w:val="00BB6CF2"/>
    <w:rsid w:val="00BB7BEA"/>
    <w:rsid w:val="00BC0047"/>
    <w:rsid w:val="00BC31C5"/>
    <w:rsid w:val="00BC3A34"/>
    <w:rsid w:val="00BC49C8"/>
    <w:rsid w:val="00BC5E5E"/>
    <w:rsid w:val="00BC7EC9"/>
    <w:rsid w:val="00BD0679"/>
    <w:rsid w:val="00BD28A3"/>
    <w:rsid w:val="00BD771B"/>
    <w:rsid w:val="00BE2A80"/>
    <w:rsid w:val="00BE40AE"/>
    <w:rsid w:val="00BE4786"/>
    <w:rsid w:val="00BE4A09"/>
    <w:rsid w:val="00BE5E15"/>
    <w:rsid w:val="00BE60CF"/>
    <w:rsid w:val="00BE74F7"/>
    <w:rsid w:val="00BF0097"/>
    <w:rsid w:val="00BF216B"/>
    <w:rsid w:val="00BF2337"/>
    <w:rsid w:val="00BF5385"/>
    <w:rsid w:val="00C048A3"/>
    <w:rsid w:val="00C0594A"/>
    <w:rsid w:val="00C10F81"/>
    <w:rsid w:val="00C13578"/>
    <w:rsid w:val="00C167D2"/>
    <w:rsid w:val="00C17D21"/>
    <w:rsid w:val="00C20BA2"/>
    <w:rsid w:val="00C25D86"/>
    <w:rsid w:val="00C40B70"/>
    <w:rsid w:val="00C45869"/>
    <w:rsid w:val="00C479F3"/>
    <w:rsid w:val="00C535A9"/>
    <w:rsid w:val="00C5737B"/>
    <w:rsid w:val="00C574F5"/>
    <w:rsid w:val="00C62058"/>
    <w:rsid w:val="00C679D6"/>
    <w:rsid w:val="00C70C10"/>
    <w:rsid w:val="00C73F93"/>
    <w:rsid w:val="00C75AC4"/>
    <w:rsid w:val="00C75F81"/>
    <w:rsid w:val="00C80576"/>
    <w:rsid w:val="00C81056"/>
    <w:rsid w:val="00C83135"/>
    <w:rsid w:val="00C852C6"/>
    <w:rsid w:val="00C85683"/>
    <w:rsid w:val="00C85EE7"/>
    <w:rsid w:val="00C86A17"/>
    <w:rsid w:val="00C87CB4"/>
    <w:rsid w:val="00C943DA"/>
    <w:rsid w:val="00C9605B"/>
    <w:rsid w:val="00C96600"/>
    <w:rsid w:val="00CA29C4"/>
    <w:rsid w:val="00CA3F26"/>
    <w:rsid w:val="00CA6CEE"/>
    <w:rsid w:val="00CB14AA"/>
    <w:rsid w:val="00CB5779"/>
    <w:rsid w:val="00CC18D0"/>
    <w:rsid w:val="00CC3BD0"/>
    <w:rsid w:val="00CC5498"/>
    <w:rsid w:val="00CC638C"/>
    <w:rsid w:val="00CC7ED7"/>
    <w:rsid w:val="00CD6F7A"/>
    <w:rsid w:val="00CE3D47"/>
    <w:rsid w:val="00CE51AA"/>
    <w:rsid w:val="00CE7747"/>
    <w:rsid w:val="00CF0AEA"/>
    <w:rsid w:val="00CF6C8C"/>
    <w:rsid w:val="00D01D30"/>
    <w:rsid w:val="00D021BC"/>
    <w:rsid w:val="00D05414"/>
    <w:rsid w:val="00D05AAA"/>
    <w:rsid w:val="00D06B43"/>
    <w:rsid w:val="00D07196"/>
    <w:rsid w:val="00D07989"/>
    <w:rsid w:val="00D104F6"/>
    <w:rsid w:val="00D149C8"/>
    <w:rsid w:val="00D14C95"/>
    <w:rsid w:val="00D17C4B"/>
    <w:rsid w:val="00D17EF4"/>
    <w:rsid w:val="00D26F54"/>
    <w:rsid w:val="00D33F67"/>
    <w:rsid w:val="00D40505"/>
    <w:rsid w:val="00D40602"/>
    <w:rsid w:val="00D41966"/>
    <w:rsid w:val="00D4420E"/>
    <w:rsid w:val="00D44358"/>
    <w:rsid w:val="00D45BEA"/>
    <w:rsid w:val="00D47BC5"/>
    <w:rsid w:val="00D47EEF"/>
    <w:rsid w:val="00D6121C"/>
    <w:rsid w:val="00D61630"/>
    <w:rsid w:val="00D66B10"/>
    <w:rsid w:val="00D672CF"/>
    <w:rsid w:val="00D77094"/>
    <w:rsid w:val="00D80686"/>
    <w:rsid w:val="00D831E5"/>
    <w:rsid w:val="00D84D2C"/>
    <w:rsid w:val="00D87709"/>
    <w:rsid w:val="00D90533"/>
    <w:rsid w:val="00D905D6"/>
    <w:rsid w:val="00D91366"/>
    <w:rsid w:val="00DA3FD6"/>
    <w:rsid w:val="00DA6FD9"/>
    <w:rsid w:val="00DB02E5"/>
    <w:rsid w:val="00DB708C"/>
    <w:rsid w:val="00DC5B85"/>
    <w:rsid w:val="00DD1758"/>
    <w:rsid w:val="00DD1F5A"/>
    <w:rsid w:val="00DD2CE6"/>
    <w:rsid w:val="00DD2E03"/>
    <w:rsid w:val="00DD3159"/>
    <w:rsid w:val="00DD52A1"/>
    <w:rsid w:val="00DD541B"/>
    <w:rsid w:val="00DD57E0"/>
    <w:rsid w:val="00DE0D19"/>
    <w:rsid w:val="00DE39DF"/>
    <w:rsid w:val="00DF1C64"/>
    <w:rsid w:val="00DF2BF7"/>
    <w:rsid w:val="00DF3F9F"/>
    <w:rsid w:val="00DF7010"/>
    <w:rsid w:val="00E00322"/>
    <w:rsid w:val="00E01422"/>
    <w:rsid w:val="00E03B44"/>
    <w:rsid w:val="00E075AF"/>
    <w:rsid w:val="00E11C64"/>
    <w:rsid w:val="00E134A2"/>
    <w:rsid w:val="00E15052"/>
    <w:rsid w:val="00E160CC"/>
    <w:rsid w:val="00E17862"/>
    <w:rsid w:val="00E221F7"/>
    <w:rsid w:val="00E23D65"/>
    <w:rsid w:val="00E2470E"/>
    <w:rsid w:val="00E27195"/>
    <w:rsid w:val="00E3126D"/>
    <w:rsid w:val="00E344E6"/>
    <w:rsid w:val="00E370B3"/>
    <w:rsid w:val="00E402C0"/>
    <w:rsid w:val="00E44613"/>
    <w:rsid w:val="00E45EE3"/>
    <w:rsid w:val="00E5150B"/>
    <w:rsid w:val="00E61826"/>
    <w:rsid w:val="00E64A94"/>
    <w:rsid w:val="00E6536C"/>
    <w:rsid w:val="00E71BDE"/>
    <w:rsid w:val="00E72ED5"/>
    <w:rsid w:val="00E742A3"/>
    <w:rsid w:val="00E74F3A"/>
    <w:rsid w:val="00E75EDD"/>
    <w:rsid w:val="00E808D8"/>
    <w:rsid w:val="00E80C3C"/>
    <w:rsid w:val="00E83564"/>
    <w:rsid w:val="00E86D64"/>
    <w:rsid w:val="00E87B07"/>
    <w:rsid w:val="00E910E4"/>
    <w:rsid w:val="00E917B4"/>
    <w:rsid w:val="00E95DDC"/>
    <w:rsid w:val="00E966ED"/>
    <w:rsid w:val="00EA2CC5"/>
    <w:rsid w:val="00EA6677"/>
    <w:rsid w:val="00EA6B6C"/>
    <w:rsid w:val="00EB1747"/>
    <w:rsid w:val="00EB1DB6"/>
    <w:rsid w:val="00EB4C07"/>
    <w:rsid w:val="00EB4F8C"/>
    <w:rsid w:val="00EC1781"/>
    <w:rsid w:val="00EC270E"/>
    <w:rsid w:val="00EC5B5F"/>
    <w:rsid w:val="00EC6997"/>
    <w:rsid w:val="00ED5A3F"/>
    <w:rsid w:val="00ED5AF3"/>
    <w:rsid w:val="00ED5FE6"/>
    <w:rsid w:val="00EE015F"/>
    <w:rsid w:val="00EE0F6A"/>
    <w:rsid w:val="00EE2B3D"/>
    <w:rsid w:val="00EE7173"/>
    <w:rsid w:val="00EE7F50"/>
    <w:rsid w:val="00EF1C6A"/>
    <w:rsid w:val="00EF365A"/>
    <w:rsid w:val="00EF5692"/>
    <w:rsid w:val="00EF7D77"/>
    <w:rsid w:val="00F000E9"/>
    <w:rsid w:val="00F02A26"/>
    <w:rsid w:val="00F15168"/>
    <w:rsid w:val="00F20952"/>
    <w:rsid w:val="00F212B2"/>
    <w:rsid w:val="00F26F6B"/>
    <w:rsid w:val="00F271EE"/>
    <w:rsid w:val="00F308FF"/>
    <w:rsid w:val="00F31B40"/>
    <w:rsid w:val="00F33C93"/>
    <w:rsid w:val="00F3635F"/>
    <w:rsid w:val="00F36BCC"/>
    <w:rsid w:val="00F406D1"/>
    <w:rsid w:val="00F409EC"/>
    <w:rsid w:val="00F541E0"/>
    <w:rsid w:val="00F5721B"/>
    <w:rsid w:val="00F57299"/>
    <w:rsid w:val="00F62207"/>
    <w:rsid w:val="00F6262E"/>
    <w:rsid w:val="00F66781"/>
    <w:rsid w:val="00F677EC"/>
    <w:rsid w:val="00F76607"/>
    <w:rsid w:val="00FA0CB5"/>
    <w:rsid w:val="00FA0EAE"/>
    <w:rsid w:val="00FA49CB"/>
    <w:rsid w:val="00FB20C4"/>
    <w:rsid w:val="00FB5541"/>
    <w:rsid w:val="00FB5715"/>
    <w:rsid w:val="00FB5D1C"/>
    <w:rsid w:val="00FC0D96"/>
    <w:rsid w:val="00FC11BD"/>
    <w:rsid w:val="00FC18DB"/>
    <w:rsid w:val="00FC49D9"/>
    <w:rsid w:val="00FC4C4C"/>
    <w:rsid w:val="00FC62D1"/>
    <w:rsid w:val="00FE163B"/>
    <w:rsid w:val="00FE6622"/>
    <w:rsid w:val="00FE6B49"/>
    <w:rsid w:val="00FF00EB"/>
    <w:rsid w:val="00FF6330"/>
    <w:rsid w:val="00FF7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6C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9E"/>
  </w:style>
  <w:style w:type="paragraph" w:styleId="Heading1">
    <w:name w:val="heading 1"/>
    <w:basedOn w:val="Normal"/>
    <w:next w:val="Normal"/>
    <w:link w:val="Heading1Char"/>
    <w:uiPriority w:val="9"/>
    <w:qFormat/>
    <w:rsid w:val="008C2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5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51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51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B2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C2B2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C2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B26"/>
  </w:style>
  <w:style w:type="paragraph" w:styleId="Footer">
    <w:name w:val="footer"/>
    <w:basedOn w:val="Normal"/>
    <w:link w:val="FooterChar"/>
    <w:uiPriority w:val="99"/>
    <w:unhideWhenUsed/>
    <w:rsid w:val="008C2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B26"/>
  </w:style>
  <w:style w:type="paragraph" w:styleId="NoSpacing">
    <w:name w:val="No Spacing"/>
    <w:link w:val="NoSpacingChar"/>
    <w:uiPriority w:val="1"/>
    <w:qFormat/>
    <w:rsid w:val="00525B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5B4A"/>
    <w:rPr>
      <w:rFonts w:eastAsiaTheme="minorEastAsia"/>
      <w:lang w:val="en-US"/>
    </w:rPr>
  </w:style>
  <w:style w:type="paragraph" w:styleId="TOCHeading">
    <w:name w:val="TOC Heading"/>
    <w:basedOn w:val="Heading1"/>
    <w:next w:val="Normal"/>
    <w:uiPriority w:val="39"/>
    <w:unhideWhenUsed/>
    <w:qFormat/>
    <w:rsid w:val="00525B4A"/>
    <w:pPr>
      <w:outlineLvl w:val="9"/>
    </w:pPr>
    <w:rPr>
      <w:lang w:val="en-US"/>
    </w:rPr>
  </w:style>
  <w:style w:type="paragraph" w:styleId="TOC1">
    <w:name w:val="toc 1"/>
    <w:basedOn w:val="Normal"/>
    <w:next w:val="Normal"/>
    <w:autoRedefine/>
    <w:uiPriority w:val="39"/>
    <w:unhideWhenUsed/>
    <w:rsid w:val="00525B4A"/>
    <w:pPr>
      <w:spacing w:after="100"/>
    </w:pPr>
  </w:style>
  <w:style w:type="character" w:styleId="Hyperlink">
    <w:name w:val="Hyperlink"/>
    <w:basedOn w:val="DefaultParagraphFont"/>
    <w:uiPriority w:val="99"/>
    <w:unhideWhenUsed/>
    <w:rsid w:val="00525B4A"/>
    <w:rPr>
      <w:color w:val="0563C1" w:themeColor="hyperlink"/>
      <w:u w:val="single"/>
    </w:rPr>
  </w:style>
  <w:style w:type="paragraph" w:styleId="ListParagraph">
    <w:name w:val="List Paragraph"/>
    <w:basedOn w:val="Normal"/>
    <w:uiPriority w:val="34"/>
    <w:qFormat/>
    <w:rsid w:val="00EA6677"/>
    <w:pPr>
      <w:ind w:left="720"/>
      <w:contextualSpacing/>
    </w:pPr>
  </w:style>
  <w:style w:type="paragraph" w:styleId="FootnoteText">
    <w:name w:val="footnote text"/>
    <w:basedOn w:val="Normal"/>
    <w:link w:val="FootnoteTextChar"/>
    <w:uiPriority w:val="99"/>
    <w:semiHidden/>
    <w:unhideWhenUsed/>
    <w:rsid w:val="00FC0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96"/>
    <w:rPr>
      <w:sz w:val="20"/>
      <w:szCs w:val="20"/>
    </w:rPr>
  </w:style>
  <w:style w:type="character" w:styleId="FootnoteReference">
    <w:name w:val="footnote reference"/>
    <w:basedOn w:val="DefaultParagraphFont"/>
    <w:uiPriority w:val="99"/>
    <w:semiHidden/>
    <w:unhideWhenUsed/>
    <w:rsid w:val="00FC0D96"/>
    <w:rPr>
      <w:vertAlign w:val="superscript"/>
    </w:rPr>
  </w:style>
  <w:style w:type="paragraph" w:styleId="Caption">
    <w:name w:val="caption"/>
    <w:basedOn w:val="Normal"/>
    <w:next w:val="Normal"/>
    <w:uiPriority w:val="35"/>
    <w:unhideWhenUsed/>
    <w:qFormat/>
    <w:rsid w:val="00BC49C8"/>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D149C8"/>
    <w:pPr>
      <w:spacing w:after="100"/>
      <w:ind w:left="220"/>
    </w:pPr>
  </w:style>
  <w:style w:type="character" w:customStyle="1" w:styleId="Heading3Char">
    <w:name w:val="Heading 3 Char"/>
    <w:basedOn w:val="DefaultParagraphFont"/>
    <w:link w:val="Heading3"/>
    <w:uiPriority w:val="9"/>
    <w:rsid w:val="002A51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511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5118"/>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2A5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5118"/>
    <w:pPr>
      <w:spacing w:line="240" w:lineRule="auto"/>
    </w:pPr>
    <w:rPr>
      <w:sz w:val="20"/>
      <w:szCs w:val="20"/>
    </w:rPr>
  </w:style>
  <w:style w:type="character" w:customStyle="1" w:styleId="CommentTextChar">
    <w:name w:val="Comment Text Char"/>
    <w:basedOn w:val="DefaultParagraphFont"/>
    <w:link w:val="CommentText"/>
    <w:uiPriority w:val="99"/>
    <w:rsid w:val="002A5118"/>
    <w:rPr>
      <w:sz w:val="20"/>
      <w:szCs w:val="20"/>
    </w:rPr>
  </w:style>
  <w:style w:type="paragraph" w:styleId="BalloonText">
    <w:name w:val="Balloon Text"/>
    <w:basedOn w:val="Normal"/>
    <w:link w:val="BalloonTextChar"/>
    <w:uiPriority w:val="99"/>
    <w:semiHidden/>
    <w:unhideWhenUsed/>
    <w:rsid w:val="008E0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B2"/>
    <w:rPr>
      <w:rFonts w:ascii="Segoe UI" w:hAnsi="Segoe UI" w:cs="Segoe UI"/>
      <w:sz w:val="18"/>
      <w:szCs w:val="18"/>
    </w:rPr>
  </w:style>
  <w:style w:type="paragraph" w:customStyle="1" w:styleId="Default">
    <w:name w:val="Default"/>
    <w:rsid w:val="000979D3"/>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C87CB4"/>
    <w:pPr>
      <w:spacing w:after="100"/>
      <w:ind w:left="440"/>
    </w:pPr>
  </w:style>
  <w:style w:type="paragraph" w:styleId="BodyText">
    <w:name w:val="Body Text"/>
    <w:basedOn w:val="Normal"/>
    <w:link w:val="BodyTextChar"/>
    <w:qFormat/>
    <w:rsid w:val="005F6789"/>
    <w:pPr>
      <w:spacing w:after="120" w:line="276"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5F6789"/>
    <w:rPr>
      <w:rFonts w:ascii="Times New Roman" w:eastAsia="Times New Roman" w:hAnsi="Times New Roman" w:cs="Times New Roman"/>
      <w:sz w:val="24"/>
      <w:szCs w:val="24"/>
      <w:lang w:eastAsia="en-AU"/>
    </w:rPr>
  </w:style>
  <w:style w:type="character" w:customStyle="1" w:styleId="A7">
    <w:name w:val="A7"/>
    <w:uiPriority w:val="99"/>
    <w:rsid w:val="003B1EA5"/>
    <w:rPr>
      <w:color w:val="000000"/>
      <w:sz w:val="18"/>
      <w:szCs w:val="18"/>
    </w:rPr>
  </w:style>
  <w:style w:type="paragraph" w:customStyle="1" w:styleId="Pa3">
    <w:name w:val="Pa3"/>
    <w:basedOn w:val="Default"/>
    <w:next w:val="Default"/>
    <w:uiPriority w:val="99"/>
    <w:rsid w:val="002E31D6"/>
    <w:pPr>
      <w:spacing w:line="241" w:lineRule="atLeast"/>
    </w:pPr>
    <w:rPr>
      <w:rFonts w:ascii="Arial" w:hAnsi="Arial" w:cs="Arial"/>
      <w:color w:val="auto"/>
    </w:rPr>
  </w:style>
  <w:style w:type="character" w:styleId="CommentReference">
    <w:name w:val="annotation reference"/>
    <w:basedOn w:val="DefaultParagraphFont"/>
    <w:uiPriority w:val="99"/>
    <w:semiHidden/>
    <w:unhideWhenUsed/>
    <w:rsid w:val="00EC1781"/>
    <w:rPr>
      <w:sz w:val="16"/>
      <w:szCs w:val="16"/>
    </w:rPr>
  </w:style>
  <w:style w:type="paragraph" w:styleId="CommentSubject">
    <w:name w:val="annotation subject"/>
    <w:basedOn w:val="CommentText"/>
    <w:next w:val="CommentText"/>
    <w:link w:val="CommentSubjectChar"/>
    <w:uiPriority w:val="99"/>
    <w:semiHidden/>
    <w:unhideWhenUsed/>
    <w:rsid w:val="001212EE"/>
    <w:rPr>
      <w:b/>
      <w:bCs/>
    </w:rPr>
  </w:style>
  <w:style w:type="character" w:customStyle="1" w:styleId="CommentSubjectChar">
    <w:name w:val="Comment Subject Char"/>
    <w:basedOn w:val="CommentTextChar"/>
    <w:link w:val="CommentSubject"/>
    <w:uiPriority w:val="99"/>
    <w:semiHidden/>
    <w:rsid w:val="001212EE"/>
    <w:rPr>
      <w:b/>
      <w:bCs/>
      <w:sz w:val="20"/>
      <w:szCs w:val="20"/>
    </w:rPr>
  </w:style>
  <w:style w:type="paragraph" w:styleId="Revision">
    <w:name w:val="Revision"/>
    <w:hidden/>
    <w:uiPriority w:val="99"/>
    <w:semiHidden/>
    <w:rsid w:val="00A33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fat.gov.au/about-us/publications/Pages/empowering-indonesian-women-for-poverty-reduction-mampu-program-design-document.aspx" TargetMode="External"/><Relationship Id="rId26" Type="http://schemas.openxmlformats.org/officeDocument/2006/relationships/hyperlink" Target="https://dfat.gov.au/about-us/publications/Pages/development-for-all-2015-2020.aspx" TargetMode="External"/><Relationship Id="rId39" Type="http://schemas.openxmlformats.org/officeDocument/2006/relationships/customXml" Target="../customXml/item3.xml"/><Relationship Id="rId21" Type="http://schemas.openxmlformats.org/officeDocument/2006/relationships/hyperlink" Target="http://dfat.gov.au/about-us/publications/Pages/indonesia-mampu-performance-story.aspx" TargetMode="External"/><Relationship Id="rId34"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fat.gov.au/about-us/publications/Pages/gender-equality-and-womens-empowerment-strategy.aspx" TargetMode="External"/><Relationship Id="rId29" Type="http://schemas.openxmlformats.org/officeDocument/2006/relationships/diagramData" Target="diagrams/data1.xm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dfat.gov.au/about-us/publications/Pages/indonesia-mampu-forward-plan-jun-15.aspx" TargetMode="External"/><Relationship Id="rId32" Type="http://schemas.openxmlformats.org/officeDocument/2006/relationships/diagramColors" Target="diagrams/colors1.xml"/><Relationship Id="rId37" Type="http://schemas.openxmlformats.org/officeDocument/2006/relationships/glossaryDocument" Target="glossary/document.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fat.gov.au/about-us/publications/Pages/australian-aid-promoting-prosperity-reducing-poverty-enhancing-stability.aspx" TargetMode="Externa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pwhitepaper.gov.au/" TargetMode="External"/><Relationship Id="rId31"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dfat.gov.au/about-us/publications/Pages/gender-poverty-well-being-indonesia-mampu-background-assessment.aspx" TargetMode="External"/><Relationship Id="rId27" Type="http://schemas.openxmlformats.org/officeDocument/2006/relationships/image" Target="media/image4.emf"/><Relationship Id="rId30" Type="http://schemas.openxmlformats.org/officeDocument/2006/relationships/diagramLayout" Target="diagrams/layout1.xm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fat.gov.au/about-us/publications/Pages/indonesia-mampu-verification-report-man-resp.aspx" TargetMode="External"/><Relationship Id="rId33" Type="http://schemas.microsoft.com/office/2007/relationships/diagramDrawing" Target="diagrams/drawing1.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ustassociates.org/en/resources/mch3-power-concepts-revisioning-power-justice-equality-and-pea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4410C-646E-4AA8-852D-435BF885975C}"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AU"/>
        </a:p>
      </dgm:t>
    </dgm:pt>
    <dgm:pt modelId="{33DE27D3-B4A6-4C14-97CA-3BF4C96D6DB3}">
      <dgm:prSet phldrT="[Text]"/>
      <dgm:spPr>
        <a:xfrm>
          <a:off x="1351026" y="208026"/>
          <a:ext cx="128016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Women and men's individual beliefs, abilities, attitudes, and opportunities.</a:t>
          </a:r>
        </a:p>
      </dgm:t>
    </dgm:pt>
    <dgm:pt modelId="{B881FB96-E4F6-4433-99CC-630479D4696D}" type="parTrans" cxnId="{1F04AEBB-134A-46C9-8940-9929B746DF15}">
      <dgm:prSet/>
      <dgm:spPr/>
      <dgm:t>
        <a:bodyPr/>
        <a:lstStyle/>
        <a:p>
          <a:endParaRPr lang="en-AU"/>
        </a:p>
      </dgm:t>
    </dgm:pt>
    <dgm:pt modelId="{B6AB0F9E-82D1-49F8-B37A-6A039059847F}" type="sibTrans" cxnId="{1F04AEBB-134A-46C9-8940-9929B746DF15}">
      <dgm:prSet/>
      <dgm:spPr/>
      <dgm:t>
        <a:bodyPr/>
        <a:lstStyle/>
        <a:p>
          <a:endParaRPr lang="en-AU"/>
        </a:p>
      </dgm:t>
    </dgm:pt>
    <dgm:pt modelId="{9D016A0C-DFA9-430F-903C-020B4D723EAA}">
      <dgm:prSet phldrT="[Text]"/>
      <dgm:spPr>
        <a:xfrm>
          <a:off x="2855214" y="208026"/>
          <a:ext cx="128016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Access to resources such as land, income, education and health.</a:t>
          </a:r>
        </a:p>
      </dgm:t>
    </dgm:pt>
    <dgm:pt modelId="{69111491-F66E-4C2C-A06C-4DC863EE1112}" type="parTrans" cxnId="{FEE4053B-4945-4CCA-A7C7-FCEABE2D839E}">
      <dgm:prSet/>
      <dgm:spPr/>
      <dgm:t>
        <a:bodyPr/>
        <a:lstStyle/>
        <a:p>
          <a:endParaRPr lang="en-AU"/>
        </a:p>
      </dgm:t>
    </dgm:pt>
    <dgm:pt modelId="{BE184EED-7EF5-4108-B1C9-2C32FD4078B2}" type="sibTrans" cxnId="{FEE4053B-4945-4CCA-A7C7-FCEABE2D839E}">
      <dgm:prSet/>
      <dgm:spPr/>
      <dgm:t>
        <a:bodyPr/>
        <a:lstStyle/>
        <a:p>
          <a:endParaRPr lang="en-AU"/>
        </a:p>
      </dgm:t>
    </dgm:pt>
    <dgm:pt modelId="{42708E46-2DB3-4CC5-B42B-9264E4CFF3B9}">
      <dgm:prSet phldrT="[Text]"/>
      <dgm:spPr>
        <a:xfrm>
          <a:off x="1351026" y="1712214"/>
          <a:ext cx="128016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Social norms and attitudes</a:t>
          </a:r>
        </a:p>
      </dgm:t>
    </dgm:pt>
    <dgm:pt modelId="{724073FD-6B07-480D-A6D8-E09829C85DDB}" type="parTrans" cxnId="{35045861-039E-4D1B-B2DD-3E3706BCE805}">
      <dgm:prSet/>
      <dgm:spPr/>
      <dgm:t>
        <a:bodyPr/>
        <a:lstStyle/>
        <a:p>
          <a:endParaRPr lang="en-AU"/>
        </a:p>
      </dgm:t>
    </dgm:pt>
    <dgm:pt modelId="{47196BB3-3D0B-4DF4-8220-E5BF4ADB41C5}" type="sibTrans" cxnId="{35045861-039E-4D1B-B2DD-3E3706BCE805}">
      <dgm:prSet/>
      <dgm:spPr/>
      <dgm:t>
        <a:bodyPr/>
        <a:lstStyle/>
        <a:p>
          <a:endParaRPr lang="en-AU"/>
        </a:p>
      </dgm:t>
    </dgm:pt>
    <dgm:pt modelId="{1990AE7D-5177-442A-B992-EC33695395F8}">
      <dgm:prSet phldrT="[Text]"/>
      <dgm:spPr>
        <a:xfrm>
          <a:off x="2855214" y="1712214"/>
          <a:ext cx="128016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Policies and laws</a:t>
          </a:r>
        </a:p>
      </dgm:t>
    </dgm:pt>
    <dgm:pt modelId="{5A040B48-7C40-465E-9BA7-53D651218441}" type="parTrans" cxnId="{4693EA94-7733-4474-8E5B-A2B4944FB4E3}">
      <dgm:prSet/>
      <dgm:spPr/>
      <dgm:t>
        <a:bodyPr/>
        <a:lstStyle/>
        <a:p>
          <a:endParaRPr lang="en-AU"/>
        </a:p>
      </dgm:t>
    </dgm:pt>
    <dgm:pt modelId="{D618E5E2-6FC8-426C-808D-BE8D4A5F1F21}" type="sibTrans" cxnId="{4693EA94-7733-4474-8E5B-A2B4944FB4E3}">
      <dgm:prSet/>
      <dgm:spPr/>
      <dgm:t>
        <a:bodyPr/>
        <a:lstStyle/>
        <a:p>
          <a:endParaRPr lang="en-AU"/>
        </a:p>
      </dgm:t>
    </dgm:pt>
    <dgm:pt modelId="{4C56B10D-BF44-4FA1-82A9-05E29A7E1559}" type="pres">
      <dgm:prSet presAssocID="{EA34410C-646E-4AA8-852D-435BF885975C}" presName="matrix" presStyleCnt="0">
        <dgm:presLayoutVars>
          <dgm:chMax val="1"/>
          <dgm:dir/>
          <dgm:resizeHandles val="exact"/>
        </dgm:presLayoutVars>
      </dgm:prSet>
      <dgm:spPr/>
      <dgm:t>
        <a:bodyPr/>
        <a:lstStyle/>
        <a:p>
          <a:endParaRPr lang="en-US"/>
        </a:p>
      </dgm:t>
    </dgm:pt>
    <dgm:pt modelId="{4FB03769-CF83-46CD-B9B2-B65C5024B944}" type="pres">
      <dgm:prSet presAssocID="{EA34410C-646E-4AA8-852D-435BF885975C}" presName="axisShape" presStyleLbl="bgShp" presStyleIdx="0" presStyleCnt="1"/>
      <dgm:spPr>
        <a:xfrm>
          <a:off x="1143000" y="0"/>
          <a:ext cx="3200400" cy="3200400"/>
        </a:xfrm>
        <a:prstGeom prst="quadArrow">
          <a:avLst>
            <a:gd name="adj1" fmla="val 2000"/>
            <a:gd name="adj2" fmla="val 4000"/>
            <a:gd name="adj3" fmla="val 5000"/>
          </a:avLst>
        </a:prstGeom>
        <a:solidFill>
          <a:srgbClr val="4F81BD">
            <a:tint val="40000"/>
            <a:hueOff val="0"/>
            <a:satOff val="0"/>
            <a:lumOff val="0"/>
            <a:alphaOff val="0"/>
          </a:srgbClr>
        </a:solidFill>
        <a:ln>
          <a:noFill/>
        </a:ln>
        <a:effectLst/>
      </dgm:spPr>
    </dgm:pt>
    <dgm:pt modelId="{B74AFB39-F76C-4A76-97A2-BE89A231C34E}" type="pres">
      <dgm:prSet presAssocID="{EA34410C-646E-4AA8-852D-435BF885975C}" presName="rect1" presStyleLbl="node1" presStyleIdx="0" presStyleCnt="4">
        <dgm:presLayoutVars>
          <dgm:chMax val="0"/>
          <dgm:chPref val="0"/>
          <dgm:bulletEnabled val="1"/>
        </dgm:presLayoutVars>
      </dgm:prSet>
      <dgm:spPr>
        <a:prstGeom prst="roundRect">
          <a:avLst/>
        </a:prstGeom>
      </dgm:spPr>
      <dgm:t>
        <a:bodyPr/>
        <a:lstStyle/>
        <a:p>
          <a:endParaRPr lang="en-US"/>
        </a:p>
      </dgm:t>
    </dgm:pt>
    <dgm:pt modelId="{35919FC1-39D1-443F-94EA-9788F661F7A2}" type="pres">
      <dgm:prSet presAssocID="{EA34410C-646E-4AA8-852D-435BF885975C}" presName="rect2" presStyleLbl="node1" presStyleIdx="1" presStyleCnt="4">
        <dgm:presLayoutVars>
          <dgm:chMax val="0"/>
          <dgm:chPref val="0"/>
          <dgm:bulletEnabled val="1"/>
        </dgm:presLayoutVars>
      </dgm:prSet>
      <dgm:spPr>
        <a:prstGeom prst="roundRect">
          <a:avLst/>
        </a:prstGeom>
      </dgm:spPr>
      <dgm:t>
        <a:bodyPr/>
        <a:lstStyle/>
        <a:p>
          <a:endParaRPr lang="en-US"/>
        </a:p>
      </dgm:t>
    </dgm:pt>
    <dgm:pt modelId="{02558E4D-1C57-4B02-9E98-63E608A45EFA}" type="pres">
      <dgm:prSet presAssocID="{EA34410C-646E-4AA8-852D-435BF885975C}" presName="rect3" presStyleLbl="node1" presStyleIdx="2" presStyleCnt="4">
        <dgm:presLayoutVars>
          <dgm:chMax val="0"/>
          <dgm:chPref val="0"/>
          <dgm:bulletEnabled val="1"/>
        </dgm:presLayoutVars>
      </dgm:prSet>
      <dgm:spPr>
        <a:prstGeom prst="roundRect">
          <a:avLst/>
        </a:prstGeom>
      </dgm:spPr>
      <dgm:t>
        <a:bodyPr/>
        <a:lstStyle/>
        <a:p>
          <a:endParaRPr lang="en-US"/>
        </a:p>
      </dgm:t>
    </dgm:pt>
    <dgm:pt modelId="{CF22E7D0-79BF-4E73-8039-154C34ECFC13}" type="pres">
      <dgm:prSet presAssocID="{EA34410C-646E-4AA8-852D-435BF885975C}" presName="rect4" presStyleLbl="node1" presStyleIdx="3" presStyleCnt="4">
        <dgm:presLayoutVars>
          <dgm:chMax val="0"/>
          <dgm:chPref val="0"/>
          <dgm:bulletEnabled val="1"/>
        </dgm:presLayoutVars>
      </dgm:prSet>
      <dgm:spPr>
        <a:prstGeom prst="roundRect">
          <a:avLst/>
        </a:prstGeom>
      </dgm:spPr>
      <dgm:t>
        <a:bodyPr/>
        <a:lstStyle/>
        <a:p>
          <a:endParaRPr lang="en-US"/>
        </a:p>
      </dgm:t>
    </dgm:pt>
  </dgm:ptLst>
  <dgm:cxnLst>
    <dgm:cxn modelId="{F5F534B6-A874-4F5A-BC30-D7CA635659A4}" type="presOf" srcId="{EA34410C-646E-4AA8-852D-435BF885975C}" destId="{4C56B10D-BF44-4FA1-82A9-05E29A7E1559}" srcOrd="0" destOrd="0" presId="urn:microsoft.com/office/officeart/2005/8/layout/matrix2"/>
    <dgm:cxn modelId="{5DA9C06D-B96B-45CA-8CB3-B17A04AE4CFF}" type="presOf" srcId="{33DE27D3-B4A6-4C14-97CA-3BF4C96D6DB3}" destId="{B74AFB39-F76C-4A76-97A2-BE89A231C34E}" srcOrd="0" destOrd="0" presId="urn:microsoft.com/office/officeart/2005/8/layout/matrix2"/>
    <dgm:cxn modelId="{FEE4053B-4945-4CCA-A7C7-FCEABE2D839E}" srcId="{EA34410C-646E-4AA8-852D-435BF885975C}" destId="{9D016A0C-DFA9-430F-903C-020B4D723EAA}" srcOrd="1" destOrd="0" parTransId="{69111491-F66E-4C2C-A06C-4DC863EE1112}" sibTransId="{BE184EED-7EF5-4108-B1C9-2C32FD4078B2}"/>
    <dgm:cxn modelId="{4693EA94-7733-4474-8E5B-A2B4944FB4E3}" srcId="{EA34410C-646E-4AA8-852D-435BF885975C}" destId="{1990AE7D-5177-442A-B992-EC33695395F8}" srcOrd="3" destOrd="0" parTransId="{5A040B48-7C40-465E-9BA7-53D651218441}" sibTransId="{D618E5E2-6FC8-426C-808D-BE8D4A5F1F21}"/>
    <dgm:cxn modelId="{AC5CBB9B-B94C-4D4E-9084-09962D2A77F0}" type="presOf" srcId="{1990AE7D-5177-442A-B992-EC33695395F8}" destId="{CF22E7D0-79BF-4E73-8039-154C34ECFC13}" srcOrd="0" destOrd="0" presId="urn:microsoft.com/office/officeart/2005/8/layout/matrix2"/>
    <dgm:cxn modelId="{834686F1-667D-4C8A-A220-F0A38A5BCF13}" type="presOf" srcId="{9D016A0C-DFA9-430F-903C-020B4D723EAA}" destId="{35919FC1-39D1-443F-94EA-9788F661F7A2}" srcOrd="0" destOrd="0" presId="urn:microsoft.com/office/officeart/2005/8/layout/matrix2"/>
    <dgm:cxn modelId="{35045861-039E-4D1B-B2DD-3E3706BCE805}" srcId="{EA34410C-646E-4AA8-852D-435BF885975C}" destId="{42708E46-2DB3-4CC5-B42B-9264E4CFF3B9}" srcOrd="2" destOrd="0" parTransId="{724073FD-6B07-480D-A6D8-E09829C85DDB}" sibTransId="{47196BB3-3D0B-4DF4-8220-E5BF4ADB41C5}"/>
    <dgm:cxn modelId="{1F04AEBB-134A-46C9-8940-9929B746DF15}" srcId="{EA34410C-646E-4AA8-852D-435BF885975C}" destId="{33DE27D3-B4A6-4C14-97CA-3BF4C96D6DB3}" srcOrd="0" destOrd="0" parTransId="{B881FB96-E4F6-4433-99CC-630479D4696D}" sibTransId="{B6AB0F9E-82D1-49F8-B37A-6A039059847F}"/>
    <dgm:cxn modelId="{88421A37-7BC2-4A1D-9C0D-AFBA2CE099E0}" type="presOf" srcId="{42708E46-2DB3-4CC5-B42B-9264E4CFF3B9}" destId="{02558E4D-1C57-4B02-9E98-63E608A45EFA}" srcOrd="0" destOrd="0" presId="urn:microsoft.com/office/officeart/2005/8/layout/matrix2"/>
    <dgm:cxn modelId="{F2E827DA-7ABF-4DDC-8C10-93AB5C978F68}" type="presParOf" srcId="{4C56B10D-BF44-4FA1-82A9-05E29A7E1559}" destId="{4FB03769-CF83-46CD-B9B2-B65C5024B944}" srcOrd="0" destOrd="0" presId="urn:microsoft.com/office/officeart/2005/8/layout/matrix2"/>
    <dgm:cxn modelId="{EFEDD2BA-536C-4932-8AC9-F8C3816D6A0E}" type="presParOf" srcId="{4C56B10D-BF44-4FA1-82A9-05E29A7E1559}" destId="{B74AFB39-F76C-4A76-97A2-BE89A231C34E}" srcOrd="1" destOrd="0" presId="urn:microsoft.com/office/officeart/2005/8/layout/matrix2"/>
    <dgm:cxn modelId="{E580F00B-44BC-42EA-B180-8D6855B4E0D5}" type="presParOf" srcId="{4C56B10D-BF44-4FA1-82A9-05E29A7E1559}" destId="{35919FC1-39D1-443F-94EA-9788F661F7A2}" srcOrd="2" destOrd="0" presId="urn:microsoft.com/office/officeart/2005/8/layout/matrix2"/>
    <dgm:cxn modelId="{913137A6-EFA7-4576-BD55-8DCE0F7ADDE1}" type="presParOf" srcId="{4C56B10D-BF44-4FA1-82A9-05E29A7E1559}" destId="{02558E4D-1C57-4B02-9E98-63E608A45EFA}" srcOrd="3" destOrd="0" presId="urn:microsoft.com/office/officeart/2005/8/layout/matrix2"/>
    <dgm:cxn modelId="{27B35C3D-BF57-4A92-96DC-8017A8073949}" type="presParOf" srcId="{4C56B10D-BF44-4FA1-82A9-05E29A7E1559}" destId="{CF22E7D0-79BF-4E73-8039-154C34ECFC13}" srcOrd="4" destOrd="0" presId="urn:microsoft.com/office/officeart/2005/8/layout/matrix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B03769-CF83-46CD-B9B2-B65C5024B944}">
      <dsp:nvSpPr>
        <dsp:cNvPr id="0" name=""/>
        <dsp:cNvSpPr/>
      </dsp:nvSpPr>
      <dsp:spPr>
        <a:xfrm>
          <a:off x="1143000" y="0"/>
          <a:ext cx="3200400" cy="3200400"/>
        </a:xfrm>
        <a:prstGeom prst="quadArrow">
          <a:avLst>
            <a:gd name="adj1" fmla="val 2000"/>
            <a:gd name="adj2" fmla="val 4000"/>
            <a:gd name="adj3" fmla="val 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74AFB39-F76C-4A76-97A2-BE89A231C34E}">
      <dsp:nvSpPr>
        <dsp:cNvPr id="0" name=""/>
        <dsp:cNvSpPr/>
      </dsp:nvSpPr>
      <dsp:spPr>
        <a:xfrm>
          <a:off x="1351026" y="208026"/>
          <a:ext cx="1280160"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Women and men's individual beliefs, abilities, attitudes, and opportunities.</a:t>
          </a:r>
        </a:p>
      </dsp:txBody>
      <dsp:txXfrm>
        <a:off x="1413518" y="270518"/>
        <a:ext cx="1155176" cy="1155176"/>
      </dsp:txXfrm>
    </dsp:sp>
    <dsp:sp modelId="{35919FC1-39D1-443F-94EA-9788F661F7A2}">
      <dsp:nvSpPr>
        <dsp:cNvPr id="0" name=""/>
        <dsp:cNvSpPr/>
      </dsp:nvSpPr>
      <dsp:spPr>
        <a:xfrm>
          <a:off x="2855214" y="208026"/>
          <a:ext cx="1280160"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Access to resources such as land, income, education and health.</a:t>
          </a:r>
        </a:p>
      </dsp:txBody>
      <dsp:txXfrm>
        <a:off x="2917706" y="270518"/>
        <a:ext cx="1155176" cy="1155176"/>
      </dsp:txXfrm>
    </dsp:sp>
    <dsp:sp modelId="{02558E4D-1C57-4B02-9E98-63E608A45EFA}">
      <dsp:nvSpPr>
        <dsp:cNvPr id="0" name=""/>
        <dsp:cNvSpPr/>
      </dsp:nvSpPr>
      <dsp:spPr>
        <a:xfrm>
          <a:off x="1351026" y="1712214"/>
          <a:ext cx="1280160"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Social norms and attitudes</a:t>
          </a:r>
        </a:p>
      </dsp:txBody>
      <dsp:txXfrm>
        <a:off x="1413518" y="1774706"/>
        <a:ext cx="1155176" cy="1155176"/>
      </dsp:txXfrm>
    </dsp:sp>
    <dsp:sp modelId="{CF22E7D0-79BF-4E73-8039-154C34ECFC13}">
      <dsp:nvSpPr>
        <dsp:cNvPr id="0" name=""/>
        <dsp:cNvSpPr/>
      </dsp:nvSpPr>
      <dsp:spPr>
        <a:xfrm>
          <a:off x="2855214" y="1712214"/>
          <a:ext cx="1280160"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Policies and laws</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91"/>
    <w:rsid w:val="00000F3F"/>
    <w:rsid w:val="000571D0"/>
    <w:rsid w:val="000C3446"/>
    <w:rsid w:val="00112CEA"/>
    <w:rsid w:val="0019046B"/>
    <w:rsid w:val="001D29C2"/>
    <w:rsid w:val="00275187"/>
    <w:rsid w:val="00314B91"/>
    <w:rsid w:val="0047425D"/>
    <w:rsid w:val="004B519F"/>
    <w:rsid w:val="004C599E"/>
    <w:rsid w:val="005F7B57"/>
    <w:rsid w:val="006026F3"/>
    <w:rsid w:val="0061572C"/>
    <w:rsid w:val="00616B5C"/>
    <w:rsid w:val="006D73E4"/>
    <w:rsid w:val="006E0756"/>
    <w:rsid w:val="007511A1"/>
    <w:rsid w:val="007835C3"/>
    <w:rsid w:val="007938A7"/>
    <w:rsid w:val="00862016"/>
    <w:rsid w:val="008A1E4B"/>
    <w:rsid w:val="00947A6B"/>
    <w:rsid w:val="00952F33"/>
    <w:rsid w:val="009E06E7"/>
    <w:rsid w:val="009F2FF4"/>
    <w:rsid w:val="00A213A2"/>
    <w:rsid w:val="00B70763"/>
    <w:rsid w:val="00BC2A04"/>
    <w:rsid w:val="00BF7890"/>
    <w:rsid w:val="00C02650"/>
    <w:rsid w:val="00C06FFF"/>
    <w:rsid w:val="00C46ABC"/>
    <w:rsid w:val="00D33A08"/>
    <w:rsid w:val="00E248E9"/>
    <w:rsid w:val="00F65CF7"/>
    <w:rsid w:val="00F94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AE73BA3C34D60A2ACEFF21D4C3E4F">
    <w:name w:val="E04AE73BA3C34D60A2ACEFF21D4C3E4F"/>
    <w:rsid w:val="00314B91"/>
  </w:style>
  <w:style w:type="paragraph" w:customStyle="1" w:styleId="4C524A69B22940F2806BAB813AACF54F">
    <w:name w:val="4C524A69B22940F2806BAB813AACF54F"/>
    <w:rsid w:val="00314B91"/>
  </w:style>
  <w:style w:type="character" w:styleId="PlaceholderText">
    <w:name w:val="Placeholder Text"/>
    <w:basedOn w:val="DefaultParagraphFont"/>
    <w:uiPriority w:val="99"/>
    <w:semiHidden/>
    <w:rsid w:val="00314B91"/>
    <w:rPr>
      <w:color w:val="808080"/>
    </w:rPr>
  </w:style>
  <w:style w:type="paragraph" w:customStyle="1" w:styleId="9F2379E8D38C447E9AF7557C3B46F1D7">
    <w:name w:val="9F2379E8D38C447E9AF7557C3B46F1D7"/>
    <w:rsid w:val="00314B91"/>
  </w:style>
  <w:style w:type="paragraph" w:customStyle="1" w:styleId="B4F6AF1A9DD4489BB14F852E58A4BBCD">
    <w:name w:val="B4F6AF1A9DD4489BB14F852E58A4BBCD"/>
    <w:rsid w:val="00314B91"/>
  </w:style>
  <w:style w:type="paragraph" w:customStyle="1" w:styleId="6101F05C30B44C0AA80467F41232CDC5">
    <w:name w:val="6101F05C30B44C0AA80467F41232CDC5"/>
    <w:rsid w:val="006D7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CC19C8-5C7D-419C-8911-7071A1180D45}"/>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65816BE-1196-4950-BC1A-941A00DD9ED4}"/>
</file>

<file path=customXml/itemProps4.xml><?xml version="1.0" encoding="utf-8"?>
<ds:datastoreItem xmlns:ds="http://schemas.openxmlformats.org/officeDocument/2006/customXml" ds:itemID="{1538F685-4920-4072-A8F4-6A49136EF784}"/>
</file>

<file path=customXml/itemProps5.xml><?xml version="1.0" encoding="utf-8"?>
<ds:datastoreItem xmlns:ds="http://schemas.openxmlformats.org/officeDocument/2006/customXml" ds:itemID="{FA776AF9-B848-4408-BF06-44251A73BFD3}"/>
</file>

<file path=docProps/app.xml><?xml version="1.0" encoding="utf-8"?>
<Properties xmlns="http://schemas.openxmlformats.org/officeDocument/2006/extended-properties" xmlns:vt="http://schemas.openxmlformats.org/officeDocument/2006/docPropsVTypes">
  <Template>Normal.dotm</Template>
  <TotalTime>0</TotalTime>
  <Pages>72</Pages>
  <Words>24460</Words>
  <Characters>139422</Characters>
  <Application>Microsoft Office Word</Application>
  <DocSecurity>0</DocSecurity>
  <Lines>1161</Lines>
  <Paragraphs>327</Paragraphs>
  <ScaleCrop>false</ScaleCrop>
  <Company/>
  <LinksUpToDate>false</LinksUpToDate>
  <CharactersWithSpaces>163555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2019-10-28T03:24:00Z</dcterms:created>
  <dcterms:modified xsi:type="dcterms:W3CDTF">2019-10-28T03:24:00Z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90894383-7679-44fc-8795-45fc15f053b5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1234100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