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21E163A" w14:textId="3EAA2035" w:rsidR="004023E1" w:rsidRDefault="00977C92" w:rsidP="005C731A">
      <w:pPr>
        <w:pStyle w:val="TOCHeading"/>
        <w:rPr>
          <w:lang w:val="en-CA"/>
        </w:rPr>
      </w:pPr>
      <w:r w:rsidRPr="006D5667">
        <w:rPr>
          <w:noProof/>
          <w:sz w:val="22"/>
          <w:szCs w:val="24"/>
          <w:lang w:eastAsia="en-AU"/>
        </w:rPr>
        <mc:AlternateContent>
          <mc:Choice Requires="wps">
            <w:drawing>
              <wp:anchor distT="0" distB="0" distL="114300" distR="114300" simplePos="0" relativeHeight="251664384" behindDoc="0" locked="0" layoutInCell="1" allowOverlap="1" wp14:anchorId="2F974049" wp14:editId="4F9AA332">
                <wp:simplePos x="0" y="0"/>
                <wp:positionH relativeFrom="column">
                  <wp:posOffset>1116418</wp:posOffset>
                </wp:positionH>
                <wp:positionV relativeFrom="paragraph">
                  <wp:posOffset>-446567</wp:posOffset>
                </wp:positionV>
                <wp:extent cx="3987209" cy="628015"/>
                <wp:effectExtent l="0" t="0" r="0" b="635"/>
                <wp:wrapNone/>
                <wp:docPr id="2" name="Text Box 2"/>
                <wp:cNvGraphicFramePr/>
                <a:graphic xmlns:a="http://schemas.openxmlformats.org/drawingml/2006/main">
                  <a:graphicData uri="http://schemas.microsoft.com/office/word/2010/wordprocessingShape">
                    <wps:wsp>
                      <wps:cNvSpPr txBox="1"/>
                      <wps:spPr>
                        <a:xfrm>
                          <a:off x="0" y="0"/>
                          <a:ext cx="3987209" cy="628015"/>
                        </a:xfrm>
                        <a:prstGeom prst="rect">
                          <a:avLst/>
                        </a:prstGeom>
                        <a:solidFill>
                          <a:sysClr val="window" lastClr="FFFFFF"/>
                        </a:solidFill>
                        <a:ln w="6350">
                          <a:noFill/>
                        </a:ln>
                        <a:effectLst/>
                      </wps:spPr>
                      <wps:txbx>
                        <w:txbxContent>
                          <w:p w14:paraId="356AC67F" w14:textId="6135E422" w:rsidR="00977C92" w:rsidRPr="00977C92" w:rsidRDefault="00977C92" w:rsidP="00977C92">
                            <w:pPr>
                              <w:rPr>
                                <w:b/>
                                <w:color w:val="808080" w:themeColor="background1" w:themeShade="80"/>
                                <w:sz w:val="44"/>
                                <w:szCs w:val="44"/>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7.9pt;margin-top:-35.15pt;width:313.95pt;height:49.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" fillcolor="window" stroked="f" strokeweight=".5pt">
                <v:textbox>
                  <w:txbxContent>
                    <w:p w14:paraId="356AC67F" w14:textId="6135E422" w:rsidR="00977C92" w:rsidRPr="00977C92" w:rsidRDefault="00977C92" w:rsidP="00977C92">
                      <w:pPr>
                        <w:rPr>
                          <w:b/>
                          <w:color w:val="808080" w:themeColor="background1" w:themeShade="80"/>
                          <w:sz w:val="44"/>
                          <w:szCs w:val="44"/>
                          <w:lang w:val="en-CA"/>
                        </w:rPr>
                      </w:pPr>
                      <w:bookmarkStart w:id="1" w:name="_GoBack"/>
                      <w:bookmarkEnd w:id="1"/>
                    </w:p>
                  </w:txbxContent>
                </v:textbox>
              </v:shape>
            </w:pict>
          </mc:Fallback>
        </mc:AlternateContent>
      </w:r>
      <w:r w:rsidR="006D5667" w:rsidRPr="006D5667">
        <w:rPr>
          <w:noProof/>
          <w:sz w:val="22"/>
          <w:szCs w:val="24"/>
          <w:lang w:eastAsia="en-AU"/>
        </w:rPr>
        <w:drawing>
          <wp:anchor distT="0" distB="0" distL="114300" distR="114300" simplePos="0" relativeHeight="251659264" behindDoc="1" locked="0" layoutInCell="1" allowOverlap="1" wp14:anchorId="18FEF393" wp14:editId="62101BD7">
            <wp:simplePos x="0" y="0"/>
            <wp:positionH relativeFrom="column">
              <wp:posOffset>-908685</wp:posOffset>
            </wp:positionH>
            <wp:positionV relativeFrom="paragraph">
              <wp:posOffset>-913765</wp:posOffset>
            </wp:positionV>
            <wp:extent cx="7600315" cy="10744200"/>
            <wp:effectExtent l="0" t="0" r="63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ater Coverpage 2015 - Anniversary - A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00315" cy="10744200"/>
                    </a:xfrm>
                    <a:prstGeom prst="rect">
                      <a:avLst/>
                    </a:prstGeom>
                  </pic:spPr>
                </pic:pic>
              </a:graphicData>
            </a:graphic>
            <wp14:sizeRelH relativeFrom="page">
              <wp14:pctWidth>0</wp14:pctWidth>
            </wp14:sizeRelH>
            <wp14:sizeRelV relativeFrom="page">
              <wp14:pctHeight>0</wp14:pctHeight>
            </wp14:sizeRelV>
          </wp:anchor>
        </w:drawing>
      </w:r>
    </w:p>
    <w:p w14:paraId="2EC76B00" w14:textId="77777777" w:rsidR="001A27C9" w:rsidRDefault="001A27C9" w:rsidP="001A27C9">
      <w:pPr>
        <w:rPr>
          <w:lang w:val="en-CA" w:eastAsia="ja-JP"/>
        </w:rPr>
      </w:pPr>
    </w:p>
    <w:p w14:paraId="33609F37" w14:textId="77777777" w:rsidR="001A27C9" w:rsidRPr="001A27C9" w:rsidRDefault="001A27C9" w:rsidP="001A27C9">
      <w:pPr>
        <w:jc w:val="center"/>
        <w:rPr>
          <w:b/>
          <w:sz w:val="36"/>
          <w:szCs w:val="36"/>
          <w:lang w:val="en-CA" w:eastAsia="ja-JP"/>
        </w:rPr>
      </w:pPr>
    </w:p>
    <w:p w14:paraId="65FD86B3" w14:textId="2DE17DF6" w:rsidR="006D5667" w:rsidRPr="006D5667" w:rsidRDefault="006D5667" w:rsidP="006D5667">
      <w:pPr>
        <w:rPr>
          <w:sz w:val="22"/>
          <w:szCs w:val="24"/>
          <w:lang w:val="en-US"/>
        </w:rPr>
      </w:pPr>
      <w:r w:rsidRPr="006D5667">
        <w:rPr>
          <w:noProof/>
          <w:sz w:val="22"/>
          <w:szCs w:val="24"/>
          <w:lang w:eastAsia="en-AU"/>
        </w:rPr>
        <mc:AlternateContent>
          <mc:Choice Requires="wps">
            <w:drawing>
              <wp:anchor distT="0" distB="0" distL="114300" distR="114300" simplePos="0" relativeHeight="251662336" behindDoc="0" locked="0" layoutInCell="1" allowOverlap="1" wp14:anchorId="0BAE07AF" wp14:editId="7500045B">
                <wp:simplePos x="0" y="0"/>
                <wp:positionH relativeFrom="column">
                  <wp:posOffset>2170706</wp:posOffset>
                </wp:positionH>
                <wp:positionV relativeFrom="paragraph">
                  <wp:posOffset>1478943</wp:posOffset>
                </wp:positionV>
                <wp:extent cx="2759103" cy="834887"/>
                <wp:effectExtent l="0" t="0" r="3175" b="3810"/>
                <wp:wrapNone/>
                <wp:docPr id="7" name="Text Box 7"/>
                <wp:cNvGraphicFramePr/>
                <a:graphic xmlns:a="http://schemas.openxmlformats.org/drawingml/2006/main">
                  <a:graphicData uri="http://schemas.microsoft.com/office/word/2010/wordprocessingShape">
                    <wps:wsp>
                      <wps:cNvSpPr txBox="1"/>
                      <wps:spPr>
                        <a:xfrm>
                          <a:off x="0" y="0"/>
                          <a:ext cx="2759103" cy="834887"/>
                        </a:xfrm>
                        <a:prstGeom prst="rect">
                          <a:avLst/>
                        </a:prstGeom>
                        <a:solidFill>
                          <a:sysClr val="window" lastClr="FFFFFF"/>
                        </a:solidFill>
                        <a:ln w="6350">
                          <a:noFill/>
                        </a:ln>
                        <a:effectLst/>
                      </wps:spPr>
                      <wps:txbx>
                        <w:txbxContent>
                          <w:p w14:paraId="2F1651BC" w14:textId="77777777" w:rsidR="00706F12" w:rsidRDefault="00706F12" w:rsidP="006D56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7" o:spid="_x0000_s1026" type="#_x0000_t202" style="position:absolute;left:0;text-align:left;margin-left:170.9pt;margin-top:116.45pt;width:217.25pt;height:65.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" fillcolor="window" stroked="f" strokeweight=".5pt">
                <v:textbox>
                  <w:txbxContent>
                    <w:p w14:paraId="2F1651BC" w14:textId="77777777" w:rsidR="005665DF" w:rsidRDefault="005665DF" w:rsidP="006D5667"/>
                  </w:txbxContent>
                </v:textbox>
              </v:shape>
            </w:pict>
          </mc:Fallback>
        </mc:AlternateContent>
      </w:r>
      <w:r w:rsidRPr="006D5667">
        <w:rPr>
          <w:noProof/>
          <w:sz w:val="22"/>
          <w:szCs w:val="24"/>
          <w:lang w:eastAsia="en-AU"/>
        </w:rPr>
        <mc:AlternateContent>
          <mc:Choice Requires="wps">
            <w:drawing>
              <wp:anchor distT="0" distB="0" distL="114300" distR="114300" simplePos="0" relativeHeight="251661312" behindDoc="0" locked="0" layoutInCell="1" allowOverlap="1" wp14:anchorId="1F3DBBC0" wp14:editId="1E587989">
                <wp:simplePos x="0" y="0"/>
                <wp:positionH relativeFrom="column">
                  <wp:posOffset>2313830</wp:posOffset>
                </wp:positionH>
                <wp:positionV relativeFrom="paragraph">
                  <wp:posOffset>7911548</wp:posOffset>
                </wp:positionV>
                <wp:extent cx="2107095" cy="628153"/>
                <wp:effectExtent l="0" t="0" r="7620" b="635"/>
                <wp:wrapNone/>
                <wp:docPr id="3" name="Text Box 3"/>
                <wp:cNvGraphicFramePr/>
                <a:graphic xmlns:a="http://schemas.openxmlformats.org/drawingml/2006/main">
                  <a:graphicData uri="http://schemas.microsoft.com/office/word/2010/wordprocessingShape">
                    <wps:wsp>
                      <wps:cNvSpPr txBox="1"/>
                      <wps:spPr>
                        <a:xfrm>
                          <a:off x="0" y="0"/>
                          <a:ext cx="2107095" cy="628153"/>
                        </a:xfrm>
                        <a:prstGeom prst="rect">
                          <a:avLst/>
                        </a:prstGeom>
                        <a:solidFill>
                          <a:sysClr val="window" lastClr="FFFFFF"/>
                        </a:solidFill>
                        <a:ln w="6350">
                          <a:noFill/>
                        </a:ln>
                        <a:effectLst/>
                      </wps:spPr>
                      <wps:txbx>
                        <w:txbxContent>
                          <w:p w14:paraId="064A632E" w14:textId="77777777" w:rsidR="00706F12" w:rsidRPr="00007324" w:rsidRDefault="00706F12" w:rsidP="006D5667">
                            <w:pPr>
                              <w:rPr>
                                <w:color w:val="808080" w:themeColor="background1" w:themeShade="80"/>
                                <w:sz w:val="28"/>
                                <w:szCs w:val="28"/>
                                <w:lang w:val="en-CA"/>
                              </w:rPr>
                            </w:pPr>
                            <w:r>
                              <w:rPr>
                                <w:color w:val="808080" w:themeColor="background1" w:themeShade="80"/>
                                <w:sz w:val="28"/>
                                <w:szCs w:val="28"/>
                                <w:lang w:val="en-CA"/>
                              </w:rPr>
                              <w:t xml:space="preserve">JUNE </w:t>
                            </w:r>
                            <w:r w:rsidRPr="00007324">
                              <w:rPr>
                                <w:color w:val="808080" w:themeColor="background1" w:themeShade="80"/>
                                <w:sz w:val="28"/>
                                <w:szCs w:val="28"/>
                                <w:lang w:val="en-CA"/>
                              </w:rPr>
                              <w:t>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3" o:spid="_x0000_s1027" type="#_x0000_t202" style="position:absolute;left:0;text-align:left;margin-left:182.2pt;margin-top:622.95pt;width:165.9pt;height:49.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" fillcolor="window" stroked="f" strokeweight=".5pt">
                <v:textbox>
                  <w:txbxContent>
                    <w:p w14:paraId="064A632E" w14:textId="77777777" w:rsidR="005665DF" w:rsidRPr="00007324" w:rsidRDefault="005665DF" w:rsidP="006D5667">
                      <w:pPr>
                        <w:rPr>
                          <w:color w:val="808080" w:themeColor="background1" w:themeShade="80"/>
                          <w:sz w:val="28"/>
                          <w:szCs w:val="28"/>
                          <w:lang w:val="en-CA"/>
                        </w:rPr>
                      </w:pPr>
                      <w:r>
                        <w:rPr>
                          <w:color w:val="808080" w:themeColor="background1" w:themeShade="80"/>
                          <w:sz w:val="28"/>
                          <w:szCs w:val="28"/>
                          <w:lang w:val="en-CA"/>
                        </w:rPr>
                        <w:t xml:space="preserve">JUNE </w:t>
                      </w:r>
                      <w:r w:rsidRPr="00007324">
                        <w:rPr>
                          <w:color w:val="808080" w:themeColor="background1" w:themeShade="80"/>
                          <w:sz w:val="28"/>
                          <w:szCs w:val="28"/>
                          <w:lang w:val="en-CA"/>
                        </w:rPr>
                        <w:t>2015</w:t>
                      </w:r>
                    </w:p>
                  </w:txbxContent>
                </v:textbox>
              </v:shape>
            </w:pict>
          </mc:Fallback>
        </mc:AlternateContent>
      </w:r>
      <w:r w:rsidRPr="006D5667">
        <w:rPr>
          <w:noProof/>
          <w:sz w:val="22"/>
          <w:szCs w:val="24"/>
          <w:lang w:eastAsia="en-AU"/>
        </w:rPr>
        <mc:AlternateContent>
          <mc:Choice Requires="wps">
            <w:drawing>
              <wp:anchor distT="0" distB="0" distL="114300" distR="114300" simplePos="0" relativeHeight="251660288" behindDoc="0" locked="0" layoutInCell="1" allowOverlap="1" wp14:anchorId="433B4CDE" wp14:editId="03495C8F">
                <wp:simplePos x="0" y="0"/>
                <wp:positionH relativeFrom="column">
                  <wp:posOffset>1852654</wp:posOffset>
                </wp:positionH>
                <wp:positionV relativeFrom="paragraph">
                  <wp:posOffset>2369489</wp:posOffset>
                </wp:positionV>
                <wp:extent cx="3705308" cy="438912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3705308" cy="4389120"/>
                        </a:xfrm>
                        <a:prstGeom prst="rect">
                          <a:avLst/>
                        </a:prstGeom>
                        <a:solidFill>
                          <a:sysClr val="window" lastClr="FFFFFF"/>
                        </a:solidFill>
                        <a:ln w="6350">
                          <a:noFill/>
                        </a:ln>
                        <a:effectLst/>
                      </wps:spPr>
                      <wps:txbx>
                        <w:txbxContent>
                          <w:p w14:paraId="6ECB92EE" w14:textId="77777777" w:rsidR="00706F12" w:rsidRDefault="00706F12" w:rsidP="006D5667">
                            <w:pPr>
                              <w:spacing w:after="120"/>
                              <w:rPr>
                                <w:b/>
                                <w:color w:val="808080" w:themeColor="background1" w:themeShade="80"/>
                                <w:sz w:val="36"/>
                                <w:szCs w:val="36"/>
                                <w:lang w:val="en-CA"/>
                              </w:rPr>
                            </w:pPr>
                          </w:p>
                          <w:p w14:paraId="12D0AFA5" w14:textId="1CB41876" w:rsidR="00706F12" w:rsidRDefault="00706F12" w:rsidP="00581EC9">
                            <w:pPr>
                              <w:spacing w:after="120"/>
                              <w:jc w:val="left"/>
                              <w:rPr>
                                <w:b/>
                                <w:color w:val="808080" w:themeColor="background1" w:themeShade="80"/>
                                <w:sz w:val="36"/>
                                <w:szCs w:val="36"/>
                                <w:lang w:val="en-CA"/>
                              </w:rPr>
                            </w:pPr>
                            <w:r w:rsidRPr="00007324">
                              <w:rPr>
                                <w:b/>
                                <w:color w:val="808080" w:themeColor="background1" w:themeShade="80"/>
                                <w:sz w:val="36"/>
                                <w:szCs w:val="36"/>
                                <w:lang w:val="en-CA"/>
                              </w:rPr>
                              <w:t xml:space="preserve">MAMPU </w:t>
                            </w:r>
                            <w:r>
                              <w:rPr>
                                <w:b/>
                                <w:color w:val="808080" w:themeColor="background1" w:themeShade="80"/>
                                <w:sz w:val="36"/>
                                <w:szCs w:val="36"/>
                                <w:lang w:val="en-CA"/>
                              </w:rPr>
                              <w:t>FORWARD PLAN</w:t>
                            </w:r>
                          </w:p>
                          <w:p w14:paraId="441B3504" w14:textId="3BB3E871" w:rsidR="00706F12" w:rsidRPr="00581EC9" w:rsidRDefault="00706F12" w:rsidP="00581EC9">
                            <w:pPr>
                              <w:spacing w:after="120"/>
                              <w:jc w:val="left"/>
                              <w:rPr>
                                <w:b/>
                                <w:i/>
                                <w:color w:val="808080" w:themeColor="background1" w:themeShade="80"/>
                                <w:sz w:val="36"/>
                                <w:szCs w:val="36"/>
                                <w:lang w:val="en-CA"/>
                              </w:rPr>
                            </w:pPr>
                            <w:r>
                              <w:rPr>
                                <w:b/>
                                <w:i/>
                                <w:color w:val="808080" w:themeColor="background1" w:themeShade="80"/>
                                <w:sz w:val="36"/>
                                <w:szCs w:val="36"/>
                                <w:lang w:val="en-CA"/>
                              </w:rPr>
                              <w:t xml:space="preserve">Phase II: </w:t>
                            </w:r>
                            <w:r w:rsidRPr="00581EC9">
                              <w:rPr>
                                <w:b/>
                                <w:i/>
                                <w:color w:val="808080" w:themeColor="background1" w:themeShade="80"/>
                                <w:sz w:val="36"/>
                                <w:szCs w:val="36"/>
                                <w:lang w:val="en-CA"/>
                              </w:rPr>
                              <w:t>July 2016-June 2020</w:t>
                            </w:r>
                          </w:p>
                          <w:p w14:paraId="6AEF1818" w14:textId="77777777" w:rsidR="00706F12" w:rsidRPr="00007324" w:rsidRDefault="00706F12" w:rsidP="006D5667">
                            <w:pPr>
                              <w:spacing w:after="120"/>
                              <w:rPr>
                                <w:b/>
                                <w:color w:val="808080" w:themeColor="background1" w:themeShade="80"/>
                                <w:sz w:val="28"/>
                                <w:szCs w:val="28"/>
                                <w:lang w:val="en-CA"/>
                              </w:rPr>
                            </w:pPr>
                          </w:p>
                          <w:p w14:paraId="717C31AC" w14:textId="77777777" w:rsidR="00706F12" w:rsidRDefault="00706F12" w:rsidP="006D5667">
                            <w:pPr>
                              <w:jc w:val="left"/>
                              <w:rPr>
                                <w:color w:val="808080" w:themeColor="background1" w:themeShade="80"/>
                                <w:sz w:val="36"/>
                                <w:szCs w:val="36"/>
                                <w:lang w:val="en-CA"/>
                              </w:rPr>
                            </w:pPr>
                          </w:p>
                          <w:p w14:paraId="448A9556" w14:textId="77777777" w:rsidR="00706F12" w:rsidRDefault="00706F12" w:rsidP="006D5667">
                            <w:pPr>
                              <w:rPr>
                                <w:color w:val="808080" w:themeColor="background1" w:themeShade="80"/>
                                <w:sz w:val="32"/>
                                <w:szCs w:val="32"/>
                                <w:lang w:val="en-CA"/>
                              </w:rPr>
                            </w:pPr>
                          </w:p>
                          <w:p w14:paraId="138FD5D8" w14:textId="77777777" w:rsidR="00706F12" w:rsidRDefault="00706F12" w:rsidP="006D5667">
                            <w:pPr>
                              <w:rPr>
                                <w:color w:val="808080" w:themeColor="background1" w:themeShade="80"/>
                                <w:sz w:val="32"/>
                                <w:szCs w:val="32"/>
                                <w:lang w:val="en-CA"/>
                              </w:rPr>
                            </w:pPr>
                          </w:p>
                          <w:p w14:paraId="100B6B88" w14:textId="77777777" w:rsidR="00706F12" w:rsidRDefault="00706F12" w:rsidP="006D5667">
                            <w:pPr>
                              <w:rPr>
                                <w:color w:val="808080" w:themeColor="background1" w:themeShade="80"/>
                                <w:sz w:val="32"/>
                                <w:szCs w:val="32"/>
                                <w:lang w:val="en-CA"/>
                              </w:rPr>
                            </w:pPr>
                          </w:p>
                          <w:p w14:paraId="2128EC64" w14:textId="77777777" w:rsidR="00706F12" w:rsidRDefault="00706F12" w:rsidP="006D5667">
                            <w:pPr>
                              <w:rPr>
                                <w:color w:val="808080" w:themeColor="background1" w:themeShade="80"/>
                                <w:sz w:val="32"/>
                                <w:szCs w:val="32"/>
                                <w:lang w:val="en-CA"/>
                              </w:rPr>
                            </w:pPr>
                          </w:p>
                          <w:p w14:paraId="3A0183B5" w14:textId="77777777" w:rsidR="00706F12" w:rsidRDefault="00706F12" w:rsidP="006D5667">
                            <w:pPr>
                              <w:rPr>
                                <w:color w:val="808080" w:themeColor="background1" w:themeShade="80"/>
                                <w:sz w:val="32"/>
                                <w:szCs w:val="32"/>
                                <w:lang w:val="en-CA"/>
                              </w:rPr>
                            </w:pPr>
                          </w:p>
                          <w:p w14:paraId="67268640" w14:textId="77777777" w:rsidR="00706F12" w:rsidRDefault="00706F12" w:rsidP="006D5667">
                            <w:pPr>
                              <w:rPr>
                                <w:color w:val="808080" w:themeColor="background1" w:themeShade="80"/>
                                <w:sz w:val="32"/>
                                <w:szCs w:val="32"/>
                                <w:lang w:val="en-CA"/>
                              </w:rPr>
                            </w:pPr>
                          </w:p>
                          <w:p w14:paraId="4BF93ABD" w14:textId="77777777" w:rsidR="00706F12" w:rsidRDefault="00706F12" w:rsidP="006D5667">
                            <w:pPr>
                              <w:rPr>
                                <w:color w:val="808080" w:themeColor="background1" w:themeShade="80"/>
                                <w:sz w:val="28"/>
                                <w:szCs w:val="28"/>
                                <w:lang w:val="en-CA"/>
                              </w:rPr>
                            </w:pPr>
                          </w:p>
                          <w:p w14:paraId="334F374F" w14:textId="77777777" w:rsidR="00706F12" w:rsidRDefault="00706F12" w:rsidP="006D5667">
                            <w:pPr>
                              <w:rPr>
                                <w:color w:val="808080" w:themeColor="background1" w:themeShade="80"/>
                                <w:sz w:val="28"/>
                                <w:szCs w:val="28"/>
                                <w:lang w:val="en-CA"/>
                              </w:rPr>
                            </w:pPr>
                          </w:p>
                          <w:p w14:paraId="01099297" w14:textId="77777777" w:rsidR="00706F12" w:rsidRDefault="00706F12" w:rsidP="006D5667">
                            <w:pPr>
                              <w:rPr>
                                <w:color w:val="808080" w:themeColor="background1" w:themeShade="80"/>
                                <w:sz w:val="28"/>
                                <w:szCs w:val="28"/>
                                <w:lang w:val="en-CA"/>
                              </w:rPr>
                            </w:pPr>
                          </w:p>
                          <w:p w14:paraId="674969DE" w14:textId="77777777" w:rsidR="00706F12" w:rsidRDefault="00706F12" w:rsidP="006D5667">
                            <w:pPr>
                              <w:rPr>
                                <w:color w:val="808080" w:themeColor="background1" w:themeShade="80"/>
                                <w:sz w:val="28"/>
                                <w:szCs w:val="28"/>
                                <w:lang w:val="en-CA"/>
                              </w:rPr>
                            </w:pPr>
                            <w:r>
                              <w:rPr>
                                <w:color w:val="808080" w:themeColor="background1" w:themeShade="80"/>
                                <w:sz w:val="28"/>
                                <w:szCs w:val="28"/>
                                <w:lang w:val="en-CA"/>
                              </w:rPr>
                              <w:t>Prepared for:</w:t>
                            </w:r>
                          </w:p>
                          <w:p w14:paraId="79DB1D3C" w14:textId="0B8D2520" w:rsidR="00706F12" w:rsidRPr="00B37E6E" w:rsidRDefault="00977C92" w:rsidP="006D5667">
                            <w:pPr>
                              <w:rPr>
                                <w:color w:val="808080" w:themeColor="background1" w:themeShade="80"/>
                                <w:sz w:val="24"/>
                                <w:lang w:val="en-CA"/>
                              </w:rPr>
                            </w:pPr>
                            <w:r>
                              <w:rPr>
                                <w:color w:val="808080" w:themeColor="background1" w:themeShade="80"/>
                                <w:sz w:val="24"/>
                                <w:lang w:val="en-CA"/>
                              </w:rPr>
                              <w:t xml:space="preserve">Australian </w:t>
                            </w:r>
                            <w:r w:rsidR="00706F12">
                              <w:rPr>
                                <w:color w:val="808080" w:themeColor="background1" w:themeShade="80"/>
                                <w:sz w:val="24"/>
                                <w:lang w:val="en-CA"/>
                              </w:rPr>
                              <w:t>Department of Foreign Affairs and Trade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145.9pt;margin-top:186.55pt;width:291.75pt;height:34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" fillcolor="window" stroked="f" strokeweight=".5pt">
                <v:textbox>
                  <w:txbxContent>
                    <w:p w14:paraId="6ECB92EE" w14:textId="77777777" w:rsidR="00706F12" w:rsidRDefault="00706F12" w:rsidP="006D5667">
                      <w:pPr>
                        <w:spacing w:after="120"/>
                        <w:rPr>
                          <w:b/>
                          <w:color w:val="808080" w:themeColor="background1" w:themeShade="80"/>
                          <w:sz w:val="36"/>
                          <w:szCs w:val="36"/>
                          <w:lang w:val="en-CA"/>
                        </w:rPr>
                      </w:pPr>
                    </w:p>
                    <w:p w14:paraId="12D0AFA5" w14:textId="1CB41876" w:rsidR="00706F12" w:rsidRDefault="00706F12" w:rsidP="00581EC9">
                      <w:pPr>
                        <w:spacing w:after="120"/>
                        <w:jc w:val="left"/>
                        <w:rPr>
                          <w:b/>
                          <w:color w:val="808080" w:themeColor="background1" w:themeShade="80"/>
                          <w:sz w:val="36"/>
                          <w:szCs w:val="36"/>
                          <w:lang w:val="en-CA"/>
                        </w:rPr>
                      </w:pPr>
                      <w:r w:rsidRPr="00007324">
                        <w:rPr>
                          <w:b/>
                          <w:color w:val="808080" w:themeColor="background1" w:themeShade="80"/>
                          <w:sz w:val="36"/>
                          <w:szCs w:val="36"/>
                          <w:lang w:val="en-CA"/>
                        </w:rPr>
                        <w:t xml:space="preserve">MAMPU </w:t>
                      </w:r>
                      <w:r>
                        <w:rPr>
                          <w:b/>
                          <w:color w:val="808080" w:themeColor="background1" w:themeShade="80"/>
                          <w:sz w:val="36"/>
                          <w:szCs w:val="36"/>
                          <w:lang w:val="en-CA"/>
                        </w:rPr>
                        <w:t>FORWARD PLAN</w:t>
                      </w:r>
                    </w:p>
                    <w:p w14:paraId="441B3504" w14:textId="3BB3E871" w:rsidR="00706F12" w:rsidRPr="00581EC9" w:rsidRDefault="00706F12" w:rsidP="00581EC9">
                      <w:pPr>
                        <w:spacing w:after="120"/>
                        <w:jc w:val="left"/>
                        <w:rPr>
                          <w:b/>
                          <w:i/>
                          <w:color w:val="808080" w:themeColor="background1" w:themeShade="80"/>
                          <w:sz w:val="36"/>
                          <w:szCs w:val="36"/>
                          <w:lang w:val="en-CA"/>
                        </w:rPr>
                      </w:pPr>
                      <w:r>
                        <w:rPr>
                          <w:b/>
                          <w:i/>
                          <w:color w:val="808080" w:themeColor="background1" w:themeShade="80"/>
                          <w:sz w:val="36"/>
                          <w:szCs w:val="36"/>
                          <w:lang w:val="en-CA"/>
                        </w:rPr>
                        <w:t xml:space="preserve">Phase II: </w:t>
                      </w:r>
                      <w:r w:rsidRPr="00581EC9">
                        <w:rPr>
                          <w:b/>
                          <w:i/>
                          <w:color w:val="808080" w:themeColor="background1" w:themeShade="80"/>
                          <w:sz w:val="36"/>
                          <w:szCs w:val="36"/>
                          <w:lang w:val="en-CA"/>
                        </w:rPr>
                        <w:t>July 2016-June 2020</w:t>
                      </w:r>
                    </w:p>
                    <w:p w14:paraId="6AEF1818" w14:textId="77777777" w:rsidR="00706F12" w:rsidRPr="00007324" w:rsidRDefault="00706F12" w:rsidP="006D5667">
                      <w:pPr>
                        <w:spacing w:after="120"/>
                        <w:rPr>
                          <w:b/>
                          <w:color w:val="808080" w:themeColor="background1" w:themeShade="80"/>
                          <w:sz w:val="28"/>
                          <w:szCs w:val="28"/>
                          <w:lang w:val="en-CA"/>
                        </w:rPr>
                      </w:pPr>
                    </w:p>
                    <w:p w14:paraId="717C31AC" w14:textId="77777777" w:rsidR="00706F12" w:rsidRDefault="00706F12" w:rsidP="006D5667">
                      <w:pPr>
                        <w:jc w:val="left"/>
                        <w:rPr>
                          <w:color w:val="808080" w:themeColor="background1" w:themeShade="80"/>
                          <w:sz w:val="36"/>
                          <w:szCs w:val="36"/>
                          <w:lang w:val="en-CA"/>
                        </w:rPr>
                      </w:pPr>
                    </w:p>
                    <w:p w14:paraId="448A9556" w14:textId="77777777" w:rsidR="00706F12" w:rsidRDefault="00706F12" w:rsidP="006D5667">
                      <w:pPr>
                        <w:rPr>
                          <w:color w:val="808080" w:themeColor="background1" w:themeShade="80"/>
                          <w:sz w:val="32"/>
                          <w:szCs w:val="32"/>
                          <w:lang w:val="en-CA"/>
                        </w:rPr>
                      </w:pPr>
                    </w:p>
                    <w:p w14:paraId="138FD5D8" w14:textId="77777777" w:rsidR="00706F12" w:rsidRDefault="00706F12" w:rsidP="006D5667">
                      <w:pPr>
                        <w:rPr>
                          <w:color w:val="808080" w:themeColor="background1" w:themeShade="80"/>
                          <w:sz w:val="32"/>
                          <w:szCs w:val="32"/>
                          <w:lang w:val="en-CA"/>
                        </w:rPr>
                      </w:pPr>
                    </w:p>
                    <w:p w14:paraId="100B6B88" w14:textId="77777777" w:rsidR="00706F12" w:rsidRDefault="00706F12" w:rsidP="006D5667">
                      <w:pPr>
                        <w:rPr>
                          <w:color w:val="808080" w:themeColor="background1" w:themeShade="80"/>
                          <w:sz w:val="32"/>
                          <w:szCs w:val="32"/>
                          <w:lang w:val="en-CA"/>
                        </w:rPr>
                      </w:pPr>
                    </w:p>
                    <w:p w14:paraId="2128EC64" w14:textId="77777777" w:rsidR="00706F12" w:rsidRDefault="00706F12" w:rsidP="006D5667">
                      <w:pPr>
                        <w:rPr>
                          <w:color w:val="808080" w:themeColor="background1" w:themeShade="80"/>
                          <w:sz w:val="32"/>
                          <w:szCs w:val="32"/>
                          <w:lang w:val="en-CA"/>
                        </w:rPr>
                      </w:pPr>
                    </w:p>
                    <w:p w14:paraId="3A0183B5" w14:textId="77777777" w:rsidR="00706F12" w:rsidRDefault="00706F12" w:rsidP="006D5667">
                      <w:pPr>
                        <w:rPr>
                          <w:color w:val="808080" w:themeColor="background1" w:themeShade="80"/>
                          <w:sz w:val="32"/>
                          <w:szCs w:val="32"/>
                          <w:lang w:val="en-CA"/>
                        </w:rPr>
                      </w:pPr>
                    </w:p>
                    <w:p w14:paraId="67268640" w14:textId="77777777" w:rsidR="00706F12" w:rsidRDefault="00706F12" w:rsidP="006D5667">
                      <w:pPr>
                        <w:rPr>
                          <w:color w:val="808080" w:themeColor="background1" w:themeShade="80"/>
                          <w:sz w:val="32"/>
                          <w:szCs w:val="32"/>
                          <w:lang w:val="en-CA"/>
                        </w:rPr>
                      </w:pPr>
                    </w:p>
                    <w:p w14:paraId="4BF93ABD" w14:textId="77777777" w:rsidR="00706F12" w:rsidRDefault="00706F12" w:rsidP="006D5667">
                      <w:pPr>
                        <w:rPr>
                          <w:color w:val="808080" w:themeColor="background1" w:themeShade="80"/>
                          <w:sz w:val="28"/>
                          <w:szCs w:val="28"/>
                          <w:lang w:val="en-CA"/>
                        </w:rPr>
                      </w:pPr>
                    </w:p>
                    <w:p w14:paraId="334F374F" w14:textId="77777777" w:rsidR="00706F12" w:rsidRDefault="00706F12" w:rsidP="006D5667">
                      <w:pPr>
                        <w:rPr>
                          <w:color w:val="808080" w:themeColor="background1" w:themeShade="80"/>
                          <w:sz w:val="28"/>
                          <w:szCs w:val="28"/>
                          <w:lang w:val="en-CA"/>
                        </w:rPr>
                      </w:pPr>
                    </w:p>
                    <w:p w14:paraId="01099297" w14:textId="77777777" w:rsidR="00706F12" w:rsidRDefault="00706F12" w:rsidP="006D5667">
                      <w:pPr>
                        <w:rPr>
                          <w:color w:val="808080" w:themeColor="background1" w:themeShade="80"/>
                          <w:sz w:val="28"/>
                          <w:szCs w:val="28"/>
                          <w:lang w:val="en-CA"/>
                        </w:rPr>
                      </w:pPr>
                    </w:p>
                    <w:p w14:paraId="674969DE" w14:textId="77777777" w:rsidR="00706F12" w:rsidRDefault="00706F12" w:rsidP="006D5667">
                      <w:pPr>
                        <w:rPr>
                          <w:color w:val="808080" w:themeColor="background1" w:themeShade="80"/>
                          <w:sz w:val="28"/>
                          <w:szCs w:val="28"/>
                          <w:lang w:val="en-CA"/>
                        </w:rPr>
                      </w:pPr>
                      <w:r>
                        <w:rPr>
                          <w:color w:val="808080" w:themeColor="background1" w:themeShade="80"/>
                          <w:sz w:val="28"/>
                          <w:szCs w:val="28"/>
                          <w:lang w:val="en-CA"/>
                        </w:rPr>
                        <w:t>Prepared for:</w:t>
                      </w:r>
                    </w:p>
                    <w:p w14:paraId="79DB1D3C" w14:textId="0B8D2520" w:rsidR="00706F12" w:rsidRPr="00B37E6E" w:rsidRDefault="00977C92" w:rsidP="006D5667">
                      <w:pPr>
                        <w:rPr>
                          <w:color w:val="808080" w:themeColor="background1" w:themeShade="80"/>
                          <w:sz w:val="24"/>
                          <w:lang w:val="en-CA"/>
                        </w:rPr>
                      </w:pPr>
                      <w:r>
                        <w:rPr>
                          <w:color w:val="808080" w:themeColor="background1" w:themeShade="80"/>
                          <w:sz w:val="24"/>
                          <w:lang w:val="en-CA"/>
                        </w:rPr>
                        <w:t xml:space="preserve">Australian </w:t>
                      </w:r>
                      <w:r w:rsidR="00706F12">
                        <w:rPr>
                          <w:color w:val="808080" w:themeColor="background1" w:themeShade="80"/>
                          <w:sz w:val="24"/>
                          <w:lang w:val="en-CA"/>
                        </w:rPr>
                        <w:t>Department of Foreign Affairs and Trade</w:t>
                      </w:r>
                    </w:p>
                  </w:txbxContent>
                </v:textbox>
              </v:shape>
            </w:pict>
          </mc:Fallback>
        </mc:AlternateContent>
      </w:r>
    </w:p>
    <w:p w14:paraId="1CC8CE02" w14:textId="141AFB3E" w:rsidR="001A27C9" w:rsidRPr="001A27C9" w:rsidRDefault="001A27C9" w:rsidP="001A27C9">
      <w:pPr>
        <w:jc w:val="center"/>
        <w:rPr>
          <w:b/>
          <w:i/>
          <w:sz w:val="36"/>
          <w:szCs w:val="36"/>
          <w:lang w:val="en-CA" w:eastAsia="ja-JP"/>
        </w:rPr>
        <w:sectPr w:rsidR="001A27C9" w:rsidRPr="001A27C9" w:rsidSect="00614064">
          <w:headerReference w:type="even" r:id="rId10"/>
          <w:headerReference w:type="default" r:id="rId11"/>
          <w:footerReference w:type="even" r:id="rId12"/>
          <w:footerReference w:type="default" r:id="rId13"/>
          <w:headerReference w:type="first" r:id="rId14"/>
          <w:footerReference w:type="first" r:id="rId15"/>
          <w:type w:val="nextColumn"/>
          <w:pgSz w:w="11909" w:h="16834" w:code="9"/>
          <w:pgMar w:top="1440" w:right="1440" w:bottom="1440" w:left="1440" w:header="720" w:footer="720" w:gutter="0"/>
          <w:pgNumType w:fmt="lowerRoman"/>
          <w:cols w:space="708"/>
          <w:titlePg/>
          <w:docGrid w:linePitch="360"/>
        </w:sectPr>
      </w:pPr>
    </w:p>
    <w:p w14:paraId="7CFE577F" w14:textId="0484B4F0" w:rsidR="005C731A" w:rsidRPr="009D07E3" w:rsidRDefault="005C731A" w:rsidP="005C731A">
      <w:pPr>
        <w:pStyle w:val="TOCHeading"/>
        <w:rPr>
          <w:lang w:val="en-CA"/>
        </w:rPr>
      </w:pPr>
      <w:r w:rsidRPr="009D07E3">
        <w:rPr>
          <w:lang w:val="en-CA"/>
        </w:rPr>
        <w:lastRenderedPageBreak/>
        <w:t>TABLE OF CONTENTS</w:t>
      </w:r>
    </w:p>
    <w:p w14:paraId="558554DC" w14:textId="1C858323" w:rsidR="00CD2846" w:rsidRPr="00CC3149" w:rsidRDefault="00CD2846" w:rsidP="00302B23">
      <w:pPr>
        <w:pStyle w:val="TOC1"/>
        <w:rPr>
          <w:sz w:val="22"/>
          <w:szCs w:val="22"/>
          <w:lang w:val="en-CA"/>
        </w:rPr>
      </w:pPr>
      <w:r w:rsidRPr="00CC3149">
        <w:rPr>
          <w:sz w:val="22"/>
          <w:szCs w:val="22"/>
          <w:lang w:val="en-CA"/>
        </w:rPr>
        <w:t>Executive Summary</w:t>
      </w:r>
      <w:r w:rsidRPr="00CC3149">
        <w:rPr>
          <w:sz w:val="22"/>
          <w:szCs w:val="22"/>
          <w:lang w:val="en-CA"/>
        </w:rPr>
        <w:tab/>
      </w:r>
      <w:r w:rsidRPr="00CC3149">
        <w:rPr>
          <w:caps w:val="0"/>
          <w:sz w:val="22"/>
          <w:szCs w:val="22"/>
          <w:lang w:val="en-CA"/>
        </w:rPr>
        <w:t>iii</w:t>
      </w:r>
    </w:p>
    <w:p w14:paraId="136B7573" w14:textId="2644D564" w:rsidR="00CD2846" w:rsidRPr="00CC3149" w:rsidRDefault="00CD2846" w:rsidP="00302B23">
      <w:pPr>
        <w:pStyle w:val="TOC1"/>
        <w:rPr>
          <w:sz w:val="22"/>
          <w:szCs w:val="22"/>
          <w:lang w:val="en-CA"/>
        </w:rPr>
      </w:pPr>
      <w:r w:rsidRPr="00CC3149">
        <w:rPr>
          <w:sz w:val="22"/>
          <w:szCs w:val="22"/>
          <w:lang w:val="en-CA"/>
        </w:rPr>
        <w:t>Abbreviations</w:t>
      </w:r>
      <w:r w:rsidRPr="00CC3149">
        <w:rPr>
          <w:sz w:val="22"/>
          <w:szCs w:val="22"/>
          <w:lang w:val="en-CA"/>
        </w:rPr>
        <w:tab/>
      </w:r>
      <w:r w:rsidR="0062552B" w:rsidRPr="00CC3149">
        <w:rPr>
          <w:caps w:val="0"/>
          <w:sz w:val="22"/>
          <w:szCs w:val="22"/>
          <w:lang w:val="en-CA"/>
        </w:rPr>
        <w:t>v</w:t>
      </w:r>
    </w:p>
    <w:p w14:paraId="4DFB7511" w14:textId="77777777" w:rsidR="000873B0" w:rsidRDefault="00302B23">
      <w:pPr>
        <w:pStyle w:val="TOC1"/>
        <w:rPr>
          <w:rFonts w:asciiTheme="minorHAnsi" w:eastAsiaTheme="minorEastAsia" w:hAnsiTheme="minorHAnsi" w:cstheme="minorBidi"/>
          <w:b w:val="0"/>
          <w:caps w:val="0"/>
          <w:sz w:val="22"/>
          <w:szCs w:val="22"/>
          <w:lang w:val="en-CA" w:eastAsia="en-CA"/>
        </w:rPr>
      </w:pPr>
      <w:r w:rsidRPr="00CC3149">
        <w:rPr>
          <w:sz w:val="22"/>
          <w:szCs w:val="22"/>
          <w:lang w:val="en-CA"/>
        </w:rPr>
        <w:fldChar w:fldCharType="begin"/>
      </w:r>
      <w:r w:rsidRPr="00CC3149">
        <w:rPr>
          <w:sz w:val="22"/>
          <w:szCs w:val="22"/>
          <w:lang w:val="en-CA"/>
        </w:rPr>
        <w:instrText xml:space="preserve"> TOC \o "1-4" \f \h \z \u </w:instrText>
      </w:r>
      <w:r w:rsidRPr="00CC3149">
        <w:rPr>
          <w:sz w:val="22"/>
          <w:szCs w:val="22"/>
          <w:lang w:val="en-CA"/>
        </w:rPr>
        <w:fldChar w:fldCharType="separate"/>
      </w:r>
      <w:hyperlink w:anchor="_Toc423438689" w:history="1">
        <w:r w:rsidR="000873B0" w:rsidRPr="005F3DE9">
          <w:rPr>
            <w:rStyle w:val="Hyperlink"/>
            <w:lang w:val="en-CA"/>
          </w:rPr>
          <w:t>1</w:t>
        </w:r>
        <w:r w:rsidR="000873B0">
          <w:rPr>
            <w:rFonts w:asciiTheme="minorHAnsi" w:eastAsiaTheme="minorEastAsia" w:hAnsiTheme="minorHAnsi" w:cstheme="minorBidi"/>
            <w:b w:val="0"/>
            <w:caps w:val="0"/>
            <w:sz w:val="22"/>
            <w:szCs w:val="22"/>
            <w:lang w:val="en-CA" w:eastAsia="en-CA"/>
          </w:rPr>
          <w:tab/>
        </w:r>
        <w:r w:rsidR="000873B0" w:rsidRPr="005F3DE9">
          <w:rPr>
            <w:rStyle w:val="Hyperlink"/>
            <w:lang w:val="en-CA"/>
          </w:rPr>
          <w:t>Situational Analysis</w:t>
        </w:r>
        <w:r w:rsidR="000873B0">
          <w:rPr>
            <w:webHidden/>
          </w:rPr>
          <w:tab/>
        </w:r>
        <w:r w:rsidR="000873B0">
          <w:rPr>
            <w:webHidden/>
          </w:rPr>
          <w:fldChar w:fldCharType="begin"/>
        </w:r>
        <w:r w:rsidR="000873B0">
          <w:rPr>
            <w:webHidden/>
          </w:rPr>
          <w:instrText xml:space="preserve"> PAGEREF _Toc423438689 \h </w:instrText>
        </w:r>
        <w:r w:rsidR="000873B0">
          <w:rPr>
            <w:webHidden/>
          </w:rPr>
        </w:r>
        <w:r w:rsidR="000873B0">
          <w:rPr>
            <w:webHidden/>
          </w:rPr>
          <w:fldChar w:fldCharType="separate"/>
        </w:r>
        <w:r w:rsidR="006C2AB4">
          <w:rPr>
            <w:webHidden/>
          </w:rPr>
          <w:t>1-1</w:t>
        </w:r>
        <w:r w:rsidR="000873B0">
          <w:rPr>
            <w:webHidden/>
          </w:rPr>
          <w:fldChar w:fldCharType="end"/>
        </w:r>
      </w:hyperlink>
    </w:p>
    <w:p w14:paraId="42C6E837" w14:textId="77777777" w:rsidR="000873B0" w:rsidRDefault="00531473">
      <w:pPr>
        <w:pStyle w:val="TOC2"/>
        <w:rPr>
          <w:rFonts w:asciiTheme="minorHAnsi" w:eastAsiaTheme="minorEastAsia" w:hAnsiTheme="minorHAnsi" w:cstheme="minorBidi"/>
          <w:noProof/>
          <w:szCs w:val="22"/>
          <w:lang w:val="en-CA" w:eastAsia="en-CA"/>
        </w:rPr>
      </w:pPr>
      <w:hyperlink w:anchor="_Toc423438690" w:history="1">
        <w:r w:rsidR="000873B0" w:rsidRPr="005F3DE9">
          <w:rPr>
            <w:rStyle w:val="Hyperlink"/>
            <w:noProof/>
            <w:lang w:val="en-CA"/>
          </w:rPr>
          <w:t>1.1</w:t>
        </w:r>
        <w:r w:rsidR="000873B0">
          <w:rPr>
            <w:rFonts w:asciiTheme="minorHAnsi" w:eastAsiaTheme="minorEastAsia" w:hAnsiTheme="minorHAnsi" w:cstheme="minorBidi"/>
            <w:noProof/>
            <w:szCs w:val="22"/>
            <w:lang w:val="en-CA" w:eastAsia="en-CA"/>
          </w:rPr>
          <w:tab/>
        </w:r>
        <w:r w:rsidR="000873B0" w:rsidRPr="005F3DE9">
          <w:rPr>
            <w:rStyle w:val="Hyperlink"/>
            <w:noProof/>
            <w:lang w:val="en-CA"/>
          </w:rPr>
          <w:t>Political Context</w:t>
        </w:r>
        <w:r w:rsidR="000873B0">
          <w:rPr>
            <w:noProof/>
            <w:webHidden/>
          </w:rPr>
          <w:tab/>
        </w:r>
        <w:r w:rsidR="000873B0">
          <w:rPr>
            <w:noProof/>
            <w:webHidden/>
          </w:rPr>
          <w:fldChar w:fldCharType="begin"/>
        </w:r>
        <w:r w:rsidR="000873B0">
          <w:rPr>
            <w:noProof/>
            <w:webHidden/>
          </w:rPr>
          <w:instrText xml:space="preserve"> PAGEREF _Toc423438690 \h </w:instrText>
        </w:r>
        <w:r w:rsidR="000873B0">
          <w:rPr>
            <w:noProof/>
            <w:webHidden/>
          </w:rPr>
        </w:r>
        <w:r w:rsidR="000873B0">
          <w:rPr>
            <w:noProof/>
            <w:webHidden/>
          </w:rPr>
          <w:fldChar w:fldCharType="separate"/>
        </w:r>
        <w:r w:rsidR="006C2AB4">
          <w:rPr>
            <w:noProof/>
            <w:webHidden/>
          </w:rPr>
          <w:t>1-1</w:t>
        </w:r>
        <w:r w:rsidR="000873B0">
          <w:rPr>
            <w:noProof/>
            <w:webHidden/>
          </w:rPr>
          <w:fldChar w:fldCharType="end"/>
        </w:r>
      </w:hyperlink>
    </w:p>
    <w:p w14:paraId="63C7540E" w14:textId="77777777" w:rsidR="000873B0" w:rsidRDefault="00531473">
      <w:pPr>
        <w:pStyle w:val="TOC2"/>
        <w:rPr>
          <w:rFonts w:asciiTheme="minorHAnsi" w:eastAsiaTheme="minorEastAsia" w:hAnsiTheme="minorHAnsi" w:cstheme="minorBidi"/>
          <w:noProof/>
          <w:szCs w:val="22"/>
          <w:lang w:val="en-CA" w:eastAsia="en-CA"/>
        </w:rPr>
      </w:pPr>
      <w:hyperlink w:anchor="_Toc423438691" w:history="1">
        <w:r w:rsidR="000873B0" w:rsidRPr="005F3DE9">
          <w:rPr>
            <w:rStyle w:val="Hyperlink"/>
            <w:noProof/>
            <w:lang w:val="en-CA"/>
          </w:rPr>
          <w:t>1.2</w:t>
        </w:r>
        <w:r w:rsidR="000873B0">
          <w:rPr>
            <w:rFonts w:asciiTheme="minorHAnsi" w:eastAsiaTheme="minorEastAsia" w:hAnsiTheme="minorHAnsi" w:cstheme="minorBidi"/>
            <w:noProof/>
            <w:szCs w:val="22"/>
            <w:lang w:val="en-CA" w:eastAsia="en-CA"/>
          </w:rPr>
          <w:tab/>
        </w:r>
        <w:r w:rsidR="000873B0" w:rsidRPr="005F3DE9">
          <w:rPr>
            <w:rStyle w:val="Hyperlink"/>
            <w:noProof/>
            <w:lang w:val="en-CA"/>
          </w:rPr>
          <w:t>Economy</w:t>
        </w:r>
        <w:r w:rsidR="000873B0">
          <w:rPr>
            <w:noProof/>
            <w:webHidden/>
          </w:rPr>
          <w:tab/>
        </w:r>
        <w:r w:rsidR="000873B0">
          <w:rPr>
            <w:noProof/>
            <w:webHidden/>
          </w:rPr>
          <w:fldChar w:fldCharType="begin"/>
        </w:r>
        <w:r w:rsidR="000873B0">
          <w:rPr>
            <w:noProof/>
            <w:webHidden/>
          </w:rPr>
          <w:instrText xml:space="preserve"> PAGEREF _Toc423438691 \h </w:instrText>
        </w:r>
        <w:r w:rsidR="000873B0">
          <w:rPr>
            <w:noProof/>
            <w:webHidden/>
          </w:rPr>
        </w:r>
        <w:r w:rsidR="000873B0">
          <w:rPr>
            <w:noProof/>
            <w:webHidden/>
          </w:rPr>
          <w:fldChar w:fldCharType="separate"/>
        </w:r>
        <w:r w:rsidR="006C2AB4">
          <w:rPr>
            <w:noProof/>
            <w:webHidden/>
          </w:rPr>
          <w:t>1-2</w:t>
        </w:r>
        <w:r w:rsidR="000873B0">
          <w:rPr>
            <w:noProof/>
            <w:webHidden/>
          </w:rPr>
          <w:fldChar w:fldCharType="end"/>
        </w:r>
      </w:hyperlink>
    </w:p>
    <w:p w14:paraId="70F08143" w14:textId="77777777" w:rsidR="000873B0" w:rsidRDefault="00531473">
      <w:pPr>
        <w:pStyle w:val="TOC2"/>
        <w:rPr>
          <w:rFonts w:asciiTheme="minorHAnsi" w:eastAsiaTheme="minorEastAsia" w:hAnsiTheme="minorHAnsi" w:cstheme="minorBidi"/>
          <w:noProof/>
          <w:szCs w:val="22"/>
          <w:lang w:val="en-CA" w:eastAsia="en-CA"/>
        </w:rPr>
      </w:pPr>
      <w:hyperlink w:anchor="_Toc423438692" w:history="1">
        <w:r w:rsidR="000873B0" w:rsidRPr="005F3DE9">
          <w:rPr>
            <w:rStyle w:val="Hyperlink"/>
            <w:noProof/>
            <w:lang w:val="en-CA"/>
          </w:rPr>
          <w:t>1.3</w:t>
        </w:r>
        <w:r w:rsidR="000873B0">
          <w:rPr>
            <w:rFonts w:asciiTheme="minorHAnsi" w:eastAsiaTheme="minorEastAsia" w:hAnsiTheme="minorHAnsi" w:cstheme="minorBidi"/>
            <w:noProof/>
            <w:szCs w:val="22"/>
            <w:lang w:val="en-CA" w:eastAsia="en-CA"/>
          </w:rPr>
          <w:tab/>
        </w:r>
        <w:r w:rsidR="000873B0" w:rsidRPr="005F3DE9">
          <w:rPr>
            <w:rStyle w:val="Hyperlink"/>
            <w:noProof/>
            <w:lang w:val="en-CA"/>
          </w:rPr>
          <w:t>Gender and Poverty</w:t>
        </w:r>
        <w:r w:rsidR="000873B0">
          <w:rPr>
            <w:noProof/>
            <w:webHidden/>
          </w:rPr>
          <w:tab/>
        </w:r>
        <w:r w:rsidR="000873B0">
          <w:rPr>
            <w:noProof/>
            <w:webHidden/>
          </w:rPr>
          <w:fldChar w:fldCharType="begin"/>
        </w:r>
        <w:r w:rsidR="000873B0">
          <w:rPr>
            <w:noProof/>
            <w:webHidden/>
          </w:rPr>
          <w:instrText xml:space="preserve"> PAGEREF _Toc423438692 \h </w:instrText>
        </w:r>
        <w:r w:rsidR="000873B0">
          <w:rPr>
            <w:noProof/>
            <w:webHidden/>
          </w:rPr>
        </w:r>
        <w:r w:rsidR="000873B0">
          <w:rPr>
            <w:noProof/>
            <w:webHidden/>
          </w:rPr>
          <w:fldChar w:fldCharType="separate"/>
        </w:r>
        <w:r w:rsidR="006C2AB4">
          <w:rPr>
            <w:noProof/>
            <w:webHidden/>
          </w:rPr>
          <w:t>1-2</w:t>
        </w:r>
        <w:r w:rsidR="000873B0">
          <w:rPr>
            <w:noProof/>
            <w:webHidden/>
          </w:rPr>
          <w:fldChar w:fldCharType="end"/>
        </w:r>
      </w:hyperlink>
    </w:p>
    <w:p w14:paraId="559BE1EC" w14:textId="77777777" w:rsidR="000873B0" w:rsidRDefault="00531473">
      <w:pPr>
        <w:pStyle w:val="TOC2"/>
        <w:rPr>
          <w:rFonts w:asciiTheme="minorHAnsi" w:eastAsiaTheme="minorEastAsia" w:hAnsiTheme="minorHAnsi" w:cstheme="minorBidi"/>
          <w:noProof/>
          <w:szCs w:val="22"/>
          <w:lang w:val="en-CA" w:eastAsia="en-CA"/>
        </w:rPr>
      </w:pPr>
      <w:hyperlink w:anchor="_Toc423438693" w:history="1">
        <w:r w:rsidR="000873B0" w:rsidRPr="005F3DE9">
          <w:rPr>
            <w:rStyle w:val="Hyperlink"/>
            <w:noProof/>
            <w:lang w:val="en-CA"/>
          </w:rPr>
          <w:t>1.4</w:t>
        </w:r>
        <w:r w:rsidR="000873B0">
          <w:rPr>
            <w:rFonts w:asciiTheme="minorHAnsi" w:eastAsiaTheme="minorEastAsia" w:hAnsiTheme="minorHAnsi" w:cstheme="minorBidi"/>
            <w:noProof/>
            <w:szCs w:val="22"/>
            <w:lang w:val="en-CA" w:eastAsia="en-CA"/>
          </w:rPr>
          <w:tab/>
        </w:r>
        <w:r w:rsidR="000873B0" w:rsidRPr="005F3DE9">
          <w:rPr>
            <w:rStyle w:val="Hyperlink"/>
            <w:noProof/>
            <w:lang w:val="en-CA"/>
          </w:rPr>
          <w:t>Developments in the thematic areas</w:t>
        </w:r>
        <w:r w:rsidR="000873B0">
          <w:rPr>
            <w:noProof/>
            <w:webHidden/>
          </w:rPr>
          <w:tab/>
        </w:r>
        <w:r w:rsidR="000873B0">
          <w:rPr>
            <w:noProof/>
            <w:webHidden/>
          </w:rPr>
          <w:fldChar w:fldCharType="begin"/>
        </w:r>
        <w:r w:rsidR="000873B0">
          <w:rPr>
            <w:noProof/>
            <w:webHidden/>
          </w:rPr>
          <w:instrText xml:space="preserve"> PAGEREF _Toc423438693 \h </w:instrText>
        </w:r>
        <w:r w:rsidR="000873B0">
          <w:rPr>
            <w:noProof/>
            <w:webHidden/>
          </w:rPr>
        </w:r>
        <w:r w:rsidR="000873B0">
          <w:rPr>
            <w:noProof/>
            <w:webHidden/>
          </w:rPr>
          <w:fldChar w:fldCharType="separate"/>
        </w:r>
        <w:r w:rsidR="006C2AB4">
          <w:rPr>
            <w:noProof/>
            <w:webHidden/>
          </w:rPr>
          <w:t>1-3</w:t>
        </w:r>
        <w:r w:rsidR="000873B0">
          <w:rPr>
            <w:noProof/>
            <w:webHidden/>
          </w:rPr>
          <w:fldChar w:fldCharType="end"/>
        </w:r>
      </w:hyperlink>
    </w:p>
    <w:p w14:paraId="5836FADE" w14:textId="77777777" w:rsidR="000873B0" w:rsidRDefault="00531473">
      <w:pPr>
        <w:pStyle w:val="TOC3"/>
        <w:rPr>
          <w:rFonts w:asciiTheme="minorHAnsi" w:eastAsiaTheme="minorEastAsia" w:hAnsiTheme="minorHAnsi" w:cstheme="minorBidi"/>
          <w:noProof/>
          <w:sz w:val="22"/>
          <w:szCs w:val="22"/>
          <w:lang w:val="en-CA" w:eastAsia="en-CA"/>
        </w:rPr>
      </w:pPr>
      <w:hyperlink w:anchor="_Toc423438694" w:history="1">
        <w:r w:rsidR="000873B0" w:rsidRPr="005F3DE9">
          <w:rPr>
            <w:rStyle w:val="Hyperlink"/>
            <w:noProof/>
            <w:lang w:val="en-CA"/>
          </w:rPr>
          <w:t>1.4.1</w:t>
        </w:r>
        <w:r w:rsidR="000873B0">
          <w:rPr>
            <w:rFonts w:asciiTheme="minorHAnsi" w:eastAsiaTheme="minorEastAsia" w:hAnsiTheme="minorHAnsi" w:cstheme="minorBidi"/>
            <w:noProof/>
            <w:sz w:val="22"/>
            <w:szCs w:val="22"/>
            <w:lang w:val="en-CA" w:eastAsia="en-CA"/>
          </w:rPr>
          <w:tab/>
        </w:r>
        <w:r w:rsidR="000873B0" w:rsidRPr="005F3DE9">
          <w:rPr>
            <w:rStyle w:val="Hyperlink"/>
            <w:noProof/>
            <w:lang w:val="en-CA"/>
          </w:rPr>
          <w:t>Violence Against Women (VAW)</w:t>
        </w:r>
        <w:r w:rsidR="000873B0">
          <w:rPr>
            <w:noProof/>
            <w:webHidden/>
          </w:rPr>
          <w:tab/>
        </w:r>
        <w:r w:rsidR="000873B0">
          <w:rPr>
            <w:noProof/>
            <w:webHidden/>
          </w:rPr>
          <w:fldChar w:fldCharType="begin"/>
        </w:r>
        <w:r w:rsidR="000873B0">
          <w:rPr>
            <w:noProof/>
            <w:webHidden/>
          </w:rPr>
          <w:instrText xml:space="preserve"> PAGEREF _Toc423438694 \h </w:instrText>
        </w:r>
        <w:r w:rsidR="000873B0">
          <w:rPr>
            <w:noProof/>
            <w:webHidden/>
          </w:rPr>
        </w:r>
        <w:r w:rsidR="000873B0">
          <w:rPr>
            <w:noProof/>
            <w:webHidden/>
          </w:rPr>
          <w:fldChar w:fldCharType="separate"/>
        </w:r>
        <w:r w:rsidR="006C2AB4">
          <w:rPr>
            <w:noProof/>
            <w:webHidden/>
          </w:rPr>
          <w:t>1-3</w:t>
        </w:r>
        <w:r w:rsidR="000873B0">
          <w:rPr>
            <w:noProof/>
            <w:webHidden/>
          </w:rPr>
          <w:fldChar w:fldCharType="end"/>
        </w:r>
      </w:hyperlink>
    </w:p>
    <w:p w14:paraId="5042F236" w14:textId="77777777" w:rsidR="000873B0" w:rsidRDefault="00531473">
      <w:pPr>
        <w:pStyle w:val="TOC3"/>
        <w:rPr>
          <w:rFonts w:asciiTheme="minorHAnsi" w:eastAsiaTheme="minorEastAsia" w:hAnsiTheme="minorHAnsi" w:cstheme="minorBidi"/>
          <w:noProof/>
          <w:sz w:val="22"/>
          <w:szCs w:val="22"/>
          <w:lang w:val="en-CA" w:eastAsia="en-CA"/>
        </w:rPr>
      </w:pPr>
      <w:hyperlink w:anchor="_Toc423438695" w:history="1">
        <w:r w:rsidR="000873B0" w:rsidRPr="005F3DE9">
          <w:rPr>
            <w:rStyle w:val="Hyperlink"/>
            <w:noProof/>
            <w:lang w:val="en-CA"/>
          </w:rPr>
          <w:t>1.4.2</w:t>
        </w:r>
        <w:r w:rsidR="000873B0">
          <w:rPr>
            <w:rFonts w:asciiTheme="minorHAnsi" w:eastAsiaTheme="minorEastAsia" w:hAnsiTheme="minorHAnsi" w:cstheme="minorBidi"/>
            <w:noProof/>
            <w:sz w:val="22"/>
            <w:szCs w:val="22"/>
            <w:lang w:val="en-CA" w:eastAsia="en-CA"/>
          </w:rPr>
          <w:tab/>
        </w:r>
        <w:r w:rsidR="000873B0" w:rsidRPr="005F3DE9">
          <w:rPr>
            <w:rStyle w:val="Hyperlink"/>
            <w:noProof/>
            <w:lang w:val="en-CA"/>
          </w:rPr>
          <w:t>Social Protection</w:t>
        </w:r>
        <w:r w:rsidR="000873B0">
          <w:rPr>
            <w:noProof/>
            <w:webHidden/>
          </w:rPr>
          <w:tab/>
        </w:r>
        <w:r w:rsidR="000873B0">
          <w:rPr>
            <w:noProof/>
            <w:webHidden/>
          </w:rPr>
          <w:fldChar w:fldCharType="begin"/>
        </w:r>
        <w:r w:rsidR="000873B0">
          <w:rPr>
            <w:noProof/>
            <w:webHidden/>
          </w:rPr>
          <w:instrText xml:space="preserve"> PAGEREF _Toc423438695 \h </w:instrText>
        </w:r>
        <w:r w:rsidR="000873B0">
          <w:rPr>
            <w:noProof/>
            <w:webHidden/>
          </w:rPr>
        </w:r>
        <w:r w:rsidR="000873B0">
          <w:rPr>
            <w:noProof/>
            <w:webHidden/>
          </w:rPr>
          <w:fldChar w:fldCharType="separate"/>
        </w:r>
        <w:r w:rsidR="006C2AB4">
          <w:rPr>
            <w:noProof/>
            <w:webHidden/>
          </w:rPr>
          <w:t>1-4</w:t>
        </w:r>
        <w:r w:rsidR="000873B0">
          <w:rPr>
            <w:noProof/>
            <w:webHidden/>
          </w:rPr>
          <w:fldChar w:fldCharType="end"/>
        </w:r>
      </w:hyperlink>
    </w:p>
    <w:p w14:paraId="3352DA1C" w14:textId="77777777" w:rsidR="000873B0" w:rsidRDefault="00531473">
      <w:pPr>
        <w:pStyle w:val="TOC3"/>
        <w:rPr>
          <w:rFonts w:asciiTheme="minorHAnsi" w:eastAsiaTheme="minorEastAsia" w:hAnsiTheme="minorHAnsi" w:cstheme="minorBidi"/>
          <w:noProof/>
          <w:sz w:val="22"/>
          <w:szCs w:val="22"/>
          <w:lang w:val="en-CA" w:eastAsia="en-CA"/>
        </w:rPr>
      </w:pPr>
      <w:hyperlink w:anchor="_Toc423438696" w:history="1">
        <w:r w:rsidR="000873B0" w:rsidRPr="005F3DE9">
          <w:rPr>
            <w:rStyle w:val="Hyperlink"/>
            <w:noProof/>
            <w:lang w:val="en-CA"/>
          </w:rPr>
          <w:t>1.4.3</w:t>
        </w:r>
        <w:r w:rsidR="000873B0">
          <w:rPr>
            <w:rFonts w:asciiTheme="minorHAnsi" w:eastAsiaTheme="minorEastAsia" w:hAnsiTheme="minorHAnsi" w:cstheme="minorBidi"/>
            <w:noProof/>
            <w:sz w:val="22"/>
            <w:szCs w:val="22"/>
            <w:lang w:val="en-CA" w:eastAsia="en-CA"/>
          </w:rPr>
          <w:tab/>
        </w:r>
        <w:r w:rsidR="000873B0" w:rsidRPr="005F3DE9">
          <w:rPr>
            <w:rStyle w:val="Hyperlink"/>
            <w:noProof/>
            <w:lang w:val="en-CA"/>
          </w:rPr>
          <w:t>Migrant Workers</w:t>
        </w:r>
        <w:r w:rsidR="000873B0">
          <w:rPr>
            <w:noProof/>
            <w:webHidden/>
          </w:rPr>
          <w:tab/>
        </w:r>
        <w:r w:rsidR="000873B0">
          <w:rPr>
            <w:noProof/>
            <w:webHidden/>
          </w:rPr>
          <w:fldChar w:fldCharType="begin"/>
        </w:r>
        <w:r w:rsidR="000873B0">
          <w:rPr>
            <w:noProof/>
            <w:webHidden/>
          </w:rPr>
          <w:instrText xml:space="preserve"> PAGEREF _Toc423438696 \h </w:instrText>
        </w:r>
        <w:r w:rsidR="000873B0">
          <w:rPr>
            <w:noProof/>
            <w:webHidden/>
          </w:rPr>
        </w:r>
        <w:r w:rsidR="000873B0">
          <w:rPr>
            <w:noProof/>
            <w:webHidden/>
          </w:rPr>
          <w:fldChar w:fldCharType="separate"/>
        </w:r>
        <w:r w:rsidR="006C2AB4">
          <w:rPr>
            <w:noProof/>
            <w:webHidden/>
          </w:rPr>
          <w:t>1-4</w:t>
        </w:r>
        <w:r w:rsidR="000873B0">
          <w:rPr>
            <w:noProof/>
            <w:webHidden/>
          </w:rPr>
          <w:fldChar w:fldCharType="end"/>
        </w:r>
      </w:hyperlink>
    </w:p>
    <w:p w14:paraId="0C862B82" w14:textId="77777777" w:rsidR="000873B0" w:rsidRDefault="00531473">
      <w:pPr>
        <w:pStyle w:val="TOC3"/>
        <w:rPr>
          <w:rFonts w:asciiTheme="minorHAnsi" w:eastAsiaTheme="minorEastAsia" w:hAnsiTheme="minorHAnsi" w:cstheme="minorBidi"/>
          <w:noProof/>
          <w:sz w:val="22"/>
          <w:szCs w:val="22"/>
          <w:lang w:val="en-CA" w:eastAsia="en-CA"/>
        </w:rPr>
      </w:pPr>
      <w:hyperlink w:anchor="_Toc423438697" w:history="1">
        <w:r w:rsidR="000873B0" w:rsidRPr="005F3DE9">
          <w:rPr>
            <w:rStyle w:val="Hyperlink"/>
            <w:noProof/>
            <w:lang w:val="en-CA"/>
          </w:rPr>
          <w:t>1.4.4</w:t>
        </w:r>
        <w:r w:rsidR="000873B0">
          <w:rPr>
            <w:rFonts w:asciiTheme="minorHAnsi" w:eastAsiaTheme="minorEastAsia" w:hAnsiTheme="minorHAnsi" w:cstheme="minorBidi"/>
            <w:noProof/>
            <w:sz w:val="22"/>
            <w:szCs w:val="22"/>
            <w:lang w:val="en-CA" w:eastAsia="en-CA"/>
          </w:rPr>
          <w:tab/>
        </w:r>
        <w:r w:rsidR="000873B0" w:rsidRPr="005F3DE9">
          <w:rPr>
            <w:rStyle w:val="Hyperlink"/>
            <w:noProof/>
            <w:lang w:val="en-CA"/>
          </w:rPr>
          <w:t>Increasing Women’s Access to Jobs and Removing Workplace Discrimination</w:t>
        </w:r>
        <w:r w:rsidR="000873B0">
          <w:rPr>
            <w:noProof/>
            <w:webHidden/>
          </w:rPr>
          <w:tab/>
        </w:r>
        <w:r w:rsidR="000873B0">
          <w:rPr>
            <w:noProof/>
            <w:webHidden/>
          </w:rPr>
          <w:fldChar w:fldCharType="begin"/>
        </w:r>
        <w:r w:rsidR="000873B0">
          <w:rPr>
            <w:noProof/>
            <w:webHidden/>
          </w:rPr>
          <w:instrText xml:space="preserve"> PAGEREF _Toc423438697 \h </w:instrText>
        </w:r>
        <w:r w:rsidR="000873B0">
          <w:rPr>
            <w:noProof/>
            <w:webHidden/>
          </w:rPr>
        </w:r>
        <w:r w:rsidR="000873B0">
          <w:rPr>
            <w:noProof/>
            <w:webHidden/>
          </w:rPr>
          <w:fldChar w:fldCharType="separate"/>
        </w:r>
        <w:r w:rsidR="006C2AB4">
          <w:rPr>
            <w:noProof/>
            <w:webHidden/>
          </w:rPr>
          <w:t>1-5</w:t>
        </w:r>
        <w:r w:rsidR="000873B0">
          <w:rPr>
            <w:noProof/>
            <w:webHidden/>
          </w:rPr>
          <w:fldChar w:fldCharType="end"/>
        </w:r>
      </w:hyperlink>
    </w:p>
    <w:p w14:paraId="123FCAB5" w14:textId="77777777" w:rsidR="000873B0" w:rsidRDefault="00531473">
      <w:pPr>
        <w:pStyle w:val="TOC3"/>
        <w:rPr>
          <w:rFonts w:asciiTheme="minorHAnsi" w:eastAsiaTheme="minorEastAsia" w:hAnsiTheme="minorHAnsi" w:cstheme="minorBidi"/>
          <w:noProof/>
          <w:sz w:val="22"/>
          <w:szCs w:val="22"/>
          <w:lang w:val="en-CA" w:eastAsia="en-CA"/>
        </w:rPr>
      </w:pPr>
      <w:hyperlink w:anchor="_Toc423438698" w:history="1">
        <w:r w:rsidR="000873B0" w:rsidRPr="005F3DE9">
          <w:rPr>
            <w:rStyle w:val="Hyperlink"/>
            <w:noProof/>
            <w:lang w:val="en-CA"/>
          </w:rPr>
          <w:t>1.4.5</w:t>
        </w:r>
        <w:r w:rsidR="000873B0">
          <w:rPr>
            <w:rFonts w:asciiTheme="minorHAnsi" w:eastAsiaTheme="minorEastAsia" w:hAnsiTheme="minorHAnsi" w:cstheme="minorBidi"/>
            <w:noProof/>
            <w:sz w:val="22"/>
            <w:szCs w:val="22"/>
            <w:lang w:val="en-CA" w:eastAsia="en-CA"/>
          </w:rPr>
          <w:tab/>
        </w:r>
        <w:r w:rsidR="000873B0" w:rsidRPr="005F3DE9">
          <w:rPr>
            <w:rStyle w:val="Hyperlink"/>
            <w:noProof/>
            <w:lang w:val="en-CA"/>
          </w:rPr>
          <w:t>Reproductive Health</w:t>
        </w:r>
        <w:r w:rsidR="000873B0">
          <w:rPr>
            <w:noProof/>
            <w:webHidden/>
          </w:rPr>
          <w:tab/>
        </w:r>
        <w:r w:rsidR="000873B0">
          <w:rPr>
            <w:noProof/>
            <w:webHidden/>
          </w:rPr>
          <w:fldChar w:fldCharType="begin"/>
        </w:r>
        <w:r w:rsidR="000873B0">
          <w:rPr>
            <w:noProof/>
            <w:webHidden/>
          </w:rPr>
          <w:instrText xml:space="preserve"> PAGEREF _Toc423438698 \h </w:instrText>
        </w:r>
        <w:r w:rsidR="000873B0">
          <w:rPr>
            <w:noProof/>
            <w:webHidden/>
          </w:rPr>
        </w:r>
        <w:r w:rsidR="000873B0">
          <w:rPr>
            <w:noProof/>
            <w:webHidden/>
          </w:rPr>
          <w:fldChar w:fldCharType="separate"/>
        </w:r>
        <w:r w:rsidR="006C2AB4">
          <w:rPr>
            <w:noProof/>
            <w:webHidden/>
          </w:rPr>
          <w:t>1-6</w:t>
        </w:r>
        <w:r w:rsidR="000873B0">
          <w:rPr>
            <w:noProof/>
            <w:webHidden/>
          </w:rPr>
          <w:fldChar w:fldCharType="end"/>
        </w:r>
      </w:hyperlink>
    </w:p>
    <w:p w14:paraId="3450493D" w14:textId="77777777" w:rsidR="000873B0" w:rsidRDefault="00531473">
      <w:pPr>
        <w:pStyle w:val="TOC1"/>
        <w:rPr>
          <w:rFonts w:asciiTheme="minorHAnsi" w:eastAsiaTheme="minorEastAsia" w:hAnsiTheme="minorHAnsi" w:cstheme="minorBidi"/>
          <w:b w:val="0"/>
          <w:caps w:val="0"/>
          <w:sz w:val="22"/>
          <w:szCs w:val="22"/>
          <w:lang w:val="en-CA" w:eastAsia="en-CA"/>
        </w:rPr>
      </w:pPr>
      <w:hyperlink w:anchor="_Toc423438699" w:history="1">
        <w:r w:rsidR="000873B0" w:rsidRPr="005F3DE9">
          <w:rPr>
            <w:rStyle w:val="Hyperlink"/>
            <w:lang w:val="en-CA"/>
          </w:rPr>
          <w:t>2</w:t>
        </w:r>
        <w:r w:rsidR="000873B0">
          <w:rPr>
            <w:rFonts w:asciiTheme="minorHAnsi" w:eastAsiaTheme="minorEastAsia" w:hAnsiTheme="minorHAnsi" w:cstheme="minorBidi"/>
            <w:b w:val="0"/>
            <w:caps w:val="0"/>
            <w:sz w:val="22"/>
            <w:szCs w:val="22"/>
            <w:lang w:val="en-CA" w:eastAsia="en-CA"/>
          </w:rPr>
          <w:tab/>
        </w:r>
        <w:r w:rsidR="000873B0" w:rsidRPr="005F3DE9">
          <w:rPr>
            <w:rStyle w:val="Hyperlink"/>
            <w:lang w:val="en-CA"/>
          </w:rPr>
          <w:t>Rationale</w:t>
        </w:r>
        <w:r w:rsidR="000873B0">
          <w:rPr>
            <w:webHidden/>
          </w:rPr>
          <w:tab/>
        </w:r>
        <w:r w:rsidR="000873B0">
          <w:rPr>
            <w:webHidden/>
          </w:rPr>
          <w:fldChar w:fldCharType="begin"/>
        </w:r>
        <w:r w:rsidR="000873B0">
          <w:rPr>
            <w:webHidden/>
          </w:rPr>
          <w:instrText xml:space="preserve"> PAGEREF _Toc423438699 \h </w:instrText>
        </w:r>
        <w:r w:rsidR="000873B0">
          <w:rPr>
            <w:webHidden/>
          </w:rPr>
        </w:r>
        <w:r w:rsidR="000873B0">
          <w:rPr>
            <w:webHidden/>
          </w:rPr>
          <w:fldChar w:fldCharType="separate"/>
        </w:r>
        <w:r w:rsidR="006C2AB4">
          <w:rPr>
            <w:webHidden/>
          </w:rPr>
          <w:t>2-1</w:t>
        </w:r>
        <w:r w:rsidR="000873B0">
          <w:rPr>
            <w:webHidden/>
          </w:rPr>
          <w:fldChar w:fldCharType="end"/>
        </w:r>
      </w:hyperlink>
    </w:p>
    <w:p w14:paraId="07166794" w14:textId="77777777" w:rsidR="000873B0" w:rsidRDefault="00531473">
      <w:pPr>
        <w:pStyle w:val="TOC2"/>
        <w:rPr>
          <w:rFonts w:asciiTheme="minorHAnsi" w:eastAsiaTheme="minorEastAsia" w:hAnsiTheme="minorHAnsi" w:cstheme="minorBidi"/>
          <w:noProof/>
          <w:szCs w:val="22"/>
          <w:lang w:val="en-CA" w:eastAsia="en-CA"/>
        </w:rPr>
      </w:pPr>
      <w:hyperlink w:anchor="_Toc423438700" w:history="1">
        <w:r w:rsidR="000873B0" w:rsidRPr="005F3DE9">
          <w:rPr>
            <w:rStyle w:val="Hyperlink"/>
            <w:noProof/>
            <w:lang w:val="en-CA"/>
          </w:rPr>
          <w:t>2.1</w:t>
        </w:r>
        <w:r w:rsidR="000873B0">
          <w:rPr>
            <w:rFonts w:asciiTheme="minorHAnsi" w:eastAsiaTheme="minorEastAsia" w:hAnsiTheme="minorHAnsi" w:cstheme="minorBidi"/>
            <w:noProof/>
            <w:szCs w:val="22"/>
            <w:lang w:val="en-CA" w:eastAsia="en-CA"/>
          </w:rPr>
          <w:tab/>
        </w:r>
        <w:r w:rsidR="000873B0" w:rsidRPr="005F3DE9">
          <w:rPr>
            <w:rStyle w:val="Hyperlink"/>
            <w:noProof/>
            <w:lang w:val="en-CA"/>
          </w:rPr>
          <w:t>New Evidence in Support of Empowering Women for Poverty Reduction</w:t>
        </w:r>
        <w:r w:rsidR="000873B0">
          <w:rPr>
            <w:noProof/>
            <w:webHidden/>
          </w:rPr>
          <w:tab/>
        </w:r>
        <w:r w:rsidR="000873B0">
          <w:rPr>
            <w:noProof/>
            <w:webHidden/>
          </w:rPr>
          <w:fldChar w:fldCharType="begin"/>
        </w:r>
        <w:r w:rsidR="000873B0">
          <w:rPr>
            <w:noProof/>
            <w:webHidden/>
          </w:rPr>
          <w:instrText xml:space="preserve"> PAGEREF _Toc423438700 \h </w:instrText>
        </w:r>
        <w:r w:rsidR="000873B0">
          <w:rPr>
            <w:noProof/>
            <w:webHidden/>
          </w:rPr>
        </w:r>
        <w:r w:rsidR="000873B0">
          <w:rPr>
            <w:noProof/>
            <w:webHidden/>
          </w:rPr>
          <w:fldChar w:fldCharType="separate"/>
        </w:r>
        <w:r w:rsidR="006C2AB4">
          <w:rPr>
            <w:noProof/>
            <w:webHidden/>
          </w:rPr>
          <w:t>2-1</w:t>
        </w:r>
        <w:r w:rsidR="000873B0">
          <w:rPr>
            <w:noProof/>
            <w:webHidden/>
          </w:rPr>
          <w:fldChar w:fldCharType="end"/>
        </w:r>
      </w:hyperlink>
    </w:p>
    <w:p w14:paraId="01905802" w14:textId="77777777" w:rsidR="000873B0" w:rsidRDefault="00531473">
      <w:pPr>
        <w:pStyle w:val="TOC2"/>
        <w:rPr>
          <w:rFonts w:asciiTheme="minorHAnsi" w:eastAsiaTheme="minorEastAsia" w:hAnsiTheme="minorHAnsi" w:cstheme="minorBidi"/>
          <w:noProof/>
          <w:szCs w:val="22"/>
          <w:lang w:val="en-CA" w:eastAsia="en-CA"/>
        </w:rPr>
      </w:pPr>
      <w:hyperlink w:anchor="_Toc423438701" w:history="1">
        <w:r w:rsidR="000873B0" w:rsidRPr="005F3DE9">
          <w:rPr>
            <w:rStyle w:val="Hyperlink"/>
            <w:noProof/>
            <w:lang w:val="en-CA"/>
          </w:rPr>
          <w:t>2.2</w:t>
        </w:r>
        <w:r w:rsidR="000873B0">
          <w:rPr>
            <w:rFonts w:asciiTheme="minorHAnsi" w:eastAsiaTheme="minorEastAsia" w:hAnsiTheme="minorHAnsi" w:cstheme="minorBidi"/>
            <w:noProof/>
            <w:szCs w:val="22"/>
            <w:lang w:val="en-CA" w:eastAsia="en-CA"/>
          </w:rPr>
          <w:tab/>
        </w:r>
        <w:r w:rsidR="000873B0" w:rsidRPr="005F3DE9">
          <w:rPr>
            <w:rStyle w:val="Hyperlink"/>
            <w:noProof/>
            <w:lang w:val="en-CA"/>
          </w:rPr>
          <w:t>The Alignment of MAMPU with New Australian Government Priorities</w:t>
        </w:r>
        <w:r w:rsidR="000873B0">
          <w:rPr>
            <w:noProof/>
            <w:webHidden/>
          </w:rPr>
          <w:tab/>
        </w:r>
        <w:r w:rsidR="000873B0">
          <w:rPr>
            <w:noProof/>
            <w:webHidden/>
          </w:rPr>
          <w:fldChar w:fldCharType="begin"/>
        </w:r>
        <w:r w:rsidR="000873B0">
          <w:rPr>
            <w:noProof/>
            <w:webHidden/>
          </w:rPr>
          <w:instrText xml:space="preserve"> PAGEREF _Toc423438701 \h </w:instrText>
        </w:r>
        <w:r w:rsidR="000873B0">
          <w:rPr>
            <w:noProof/>
            <w:webHidden/>
          </w:rPr>
        </w:r>
        <w:r w:rsidR="000873B0">
          <w:rPr>
            <w:noProof/>
            <w:webHidden/>
          </w:rPr>
          <w:fldChar w:fldCharType="separate"/>
        </w:r>
        <w:r w:rsidR="006C2AB4">
          <w:rPr>
            <w:noProof/>
            <w:webHidden/>
          </w:rPr>
          <w:t>2-1</w:t>
        </w:r>
        <w:r w:rsidR="000873B0">
          <w:rPr>
            <w:noProof/>
            <w:webHidden/>
          </w:rPr>
          <w:fldChar w:fldCharType="end"/>
        </w:r>
      </w:hyperlink>
    </w:p>
    <w:p w14:paraId="198D03E5" w14:textId="77777777" w:rsidR="000873B0" w:rsidRDefault="00531473">
      <w:pPr>
        <w:pStyle w:val="TOC2"/>
        <w:rPr>
          <w:rFonts w:asciiTheme="minorHAnsi" w:eastAsiaTheme="minorEastAsia" w:hAnsiTheme="minorHAnsi" w:cstheme="minorBidi"/>
          <w:noProof/>
          <w:szCs w:val="22"/>
          <w:lang w:val="en-CA" w:eastAsia="en-CA"/>
        </w:rPr>
      </w:pPr>
      <w:hyperlink w:anchor="_Toc423438702" w:history="1">
        <w:r w:rsidR="000873B0" w:rsidRPr="005F3DE9">
          <w:rPr>
            <w:rStyle w:val="Hyperlink"/>
            <w:noProof/>
            <w:lang w:val="en-CA"/>
          </w:rPr>
          <w:t>2.3</w:t>
        </w:r>
        <w:r w:rsidR="000873B0">
          <w:rPr>
            <w:rFonts w:asciiTheme="minorHAnsi" w:eastAsiaTheme="minorEastAsia" w:hAnsiTheme="minorHAnsi" w:cstheme="minorBidi"/>
            <w:noProof/>
            <w:szCs w:val="22"/>
            <w:lang w:val="en-CA" w:eastAsia="en-CA"/>
          </w:rPr>
          <w:tab/>
        </w:r>
        <w:r w:rsidR="000873B0" w:rsidRPr="005F3DE9">
          <w:rPr>
            <w:rStyle w:val="Hyperlink"/>
            <w:noProof/>
            <w:lang w:val="en-CA"/>
          </w:rPr>
          <w:t>The Alignment of MAMPU with Indonesian Government Priorities</w:t>
        </w:r>
        <w:r w:rsidR="000873B0">
          <w:rPr>
            <w:noProof/>
            <w:webHidden/>
          </w:rPr>
          <w:tab/>
        </w:r>
        <w:r w:rsidR="000873B0">
          <w:rPr>
            <w:noProof/>
            <w:webHidden/>
          </w:rPr>
          <w:fldChar w:fldCharType="begin"/>
        </w:r>
        <w:r w:rsidR="000873B0">
          <w:rPr>
            <w:noProof/>
            <w:webHidden/>
          </w:rPr>
          <w:instrText xml:space="preserve"> PAGEREF _Toc423438702 \h </w:instrText>
        </w:r>
        <w:r w:rsidR="000873B0">
          <w:rPr>
            <w:noProof/>
            <w:webHidden/>
          </w:rPr>
        </w:r>
        <w:r w:rsidR="000873B0">
          <w:rPr>
            <w:noProof/>
            <w:webHidden/>
          </w:rPr>
          <w:fldChar w:fldCharType="separate"/>
        </w:r>
        <w:r w:rsidR="006C2AB4">
          <w:rPr>
            <w:noProof/>
            <w:webHidden/>
          </w:rPr>
          <w:t>2-2</w:t>
        </w:r>
        <w:r w:rsidR="000873B0">
          <w:rPr>
            <w:noProof/>
            <w:webHidden/>
          </w:rPr>
          <w:fldChar w:fldCharType="end"/>
        </w:r>
      </w:hyperlink>
    </w:p>
    <w:p w14:paraId="51DB2063" w14:textId="77777777" w:rsidR="000873B0" w:rsidRDefault="00531473">
      <w:pPr>
        <w:pStyle w:val="TOC1"/>
        <w:rPr>
          <w:rFonts w:asciiTheme="minorHAnsi" w:eastAsiaTheme="minorEastAsia" w:hAnsiTheme="minorHAnsi" w:cstheme="minorBidi"/>
          <w:b w:val="0"/>
          <w:caps w:val="0"/>
          <w:sz w:val="22"/>
          <w:szCs w:val="22"/>
          <w:lang w:val="en-CA" w:eastAsia="en-CA"/>
        </w:rPr>
      </w:pPr>
      <w:hyperlink w:anchor="_Toc423438703" w:history="1">
        <w:r w:rsidR="000873B0" w:rsidRPr="005F3DE9">
          <w:rPr>
            <w:rStyle w:val="Hyperlink"/>
            <w:lang w:val="en-CA"/>
          </w:rPr>
          <w:t>3</w:t>
        </w:r>
        <w:r w:rsidR="000873B0">
          <w:rPr>
            <w:rFonts w:asciiTheme="minorHAnsi" w:eastAsiaTheme="minorEastAsia" w:hAnsiTheme="minorHAnsi" w:cstheme="minorBidi"/>
            <w:b w:val="0"/>
            <w:caps w:val="0"/>
            <w:sz w:val="22"/>
            <w:szCs w:val="22"/>
            <w:lang w:val="en-CA" w:eastAsia="en-CA"/>
          </w:rPr>
          <w:tab/>
        </w:r>
        <w:r w:rsidR="000873B0" w:rsidRPr="005F3DE9">
          <w:rPr>
            <w:rStyle w:val="Hyperlink"/>
            <w:lang w:val="en-CA"/>
          </w:rPr>
          <w:t>Program goal, purpose and expected end of program outcomes</w:t>
        </w:r>
        <w:r w:rsidR="000873B0">
          <w:rPr>
            <w:webHidden/>
          </w:rPr>
          <w:tab/>
        </w:r>
        <w:r w:rsidR="000873B0">
          <w:rPr>
            <w:webHidden/>
          </w:rPr>
          <w:fldChar w:fldCharType="begin"/>
        </w:r>
        <w:r w:rsidR="000873B0">
          <w:rPr>
            <w:webHidden/>
          </w:rPr>
          <w:instrText xml:space="preserve"> PAGEREF _Toc423438703 \h </w:instrText>
        </w:r>
        <w:r w:rsidR="000873B0">
          <w:rPr>
            <w:webHidden/>
          </w:rPr>
        </w:r>
        <w:r w:rsidR="000873B0">
          <w:rPr>
            <w:webHidden/>
          </w:rPr>
          <w:fldChar w:fldCharType="separate"/>
        </w:r>
        <w:r w:rsidR="006C2AB4">
          <w:rPr>
            <w:webHidden/>
          </w:rPr>
          <w:t>3-1</w:t>
        </w:r>
        <w:r w:rsidR="000873B0">
          <w:rPr>
            <w:webHidden/>
          </w:rPr>
          <w:fldChar w:fldCharType="end"/>
        </w:r>
      </w:hyperlink>
    </w:p>
    <w:p w14:paraId="5E766425" w14:textId="77777777" w:rsidR="000873B0" w:rsidRDefault="00531473">
      <w:pPr>
        <w:pStyle w:val="TOC1"/>
        <w:rPr>
          <w:rFonts w:asciiTheme="minorHAnsi" w:eastAsiaTheme="minorEastAsia" w:hAnsiTheme="minorHAnsi" w:cstheme="minorBidi"/>
          <w:b w:val="0"/>
          <w:caps w:val="0"/>
          <w:sz w:val="22"/>
          <w:szCs w:val="22"/>
          <w:lang w:val="en-CA" w:eastAsia="en-CA"/>
        </w:rPr>
      </w:pPr>
      <w:hyperlink w:anchor="_Toc423438704" w:history="1">
        <w:r w:rsidR="000873B0" w:rsidRPr="005F3DE9">
          <w:rPr>
            <w:rStyle w:val="Hyperlink"/>
            <w:lang w:val="en-CA"/>
          </w:rPr>
          <w:t>4</w:t>
        </w:r>
        <w:r w:rsidR="000873B0">
          <w:rPr>
            <w:rFonts w:asciiTheme="minorHAnsi" w:eastAsiaTheme="minorEastAsia" w:hAnsiTheme="minorHAnsi" w:cstheme="minorBidi"/>
            <w:b w:val="0"/>
            <w:caps w:val="0"/>
            <w:sz w:val="22"/>
            <w:szCs w:val="22"/>
            <w:lang w:val="en-CA" w:eastAsia="en-CA"/>
          </w:rPr>
          <w:tab/>
        </w:r>
        <w:r w:rsidR="000873B0" w:rsidRPr="005F3DE9">
          <w:rPr>
            <w:rStyle w:val="Hyperlink"/>
            <w:lang w:val="en-CA"/>
          </w:rPr>
          <w:t>Revisiting the Design and Theory of Change</w:t>
        </w:r>
        <w:r w:rsidR="000873B0">
          <w:rPr>
            <w:webHidden/>
          </w:rPr>
          <w:tab/>
        </w:r>
        <w:r w:rsidR="000873B0">
          <w:rPr>
            <w:webHidden/>
          </w:rPr>
          <w:fldChar w:fldCharType="begin"/>
        </w:r>
        <w:r w:rsidR="000873B0">
          <w:rPr>
            <w:webHidden/>
          </w:rPr>
          <w:instrText xml:space="preserve"> PAGEREF _Toc423438704 \h </w:instrText>
        </w:r>
        <w:r w:rsidR="000873B0">
          <w:rPr>
            <w:webHidden/>
          </w:rPr>
        </w:r>
        <w:r w:rsidR="000873B0">
          <w:rPr>
            <w:webHidden/>
          </w:rPr>
          <w:fldChar w:fldCharType="separate"/>
        </w:r>
        <w:r w:rsidR="006C2AB4">
          <w:rPr>
            <w:webHidden/>
          </w:rPr>
          <w:t>4-1</w:t>
        </w:r>
        <w:r w:rsidR="000873B0">
          <w:rPr>
            <w:webHidden/>
          </w:rPr>
          <w:fldChar w:fldCharType="end"/>
        </w:r>
      </w:hyperlink>
    </w:p>
    <w:p w14:paraId="7EECD06E" w14:textId="77777777" w:rsidR="000873B0" w:rsidRDefault="00531473">
      <w:pPr>
        <w:pStyle w:val="TOC2"/>
        <w:rPr>
          <w:rFonts w:asciiTheme="minorHAnsi" w:eastAsiaTheme="minorEastAsia" w:hAnsiTheme="minorHAnsi" w:cstheme="minorBidi"/>
          <w:noProof/>
          <w:szCs w:val="22"/>
          <w:lang w:val="en-CA" w:eastAsia="en-CA"/>
        </w:rPr>
      </w:pPr>
      <w:hyperlink w:anchor="_Toc423438705" w:history="1">
        <w:r w:rsidR="000873B0" w:rsidRPr="005F3DE9">
          <w:rPr>
            <w:rStyle w:val="Hyperlink"/>
            <w:noProof/>
            <w:lang w:val="en-CA"/>
          </w:rPr>
          <w:t>4.1</w:t>
        </w:r>
        <w:r w:rsidR="000873B0">
          <w:rPr>
            <w:rFonts w:asciiTheme="minorHAnsi" w:eastAsiaTheme="minorEastAsia" w:hAnsiTheme="minorHAnsi" w:cstheme="minorBidi"/>
            <w:noProof/>
            <w:szCs w:val="22"/>
            <w:lang w:val="en-CA" w:eastAsia="en-CA"/>
          </w:rPr>
          <w:tab/>
        </w:r>
        <w:r w:rsidR="000873B0" w:rsidRPr="005F3DE9">
          <w:rPr>
            <w:rStyle w:val="Hyperlink"/>
            <w:noProof/>
            <w:lang w:val="en-CA"/>
          </w:rPr>
          <w:t>Increasing the Voice and Agency of Women at the Village Level</w:t>
        </w:r>
        <w:r w:rsidR="000873B0">
          <w:rPr>
            <w:noProof/>
            <w:webHidden/>
          </w:rPr>
          <w:tab/>
        </w:r>
        <w:r w:rsidR="000873B0">
          <w:rPr>
            <w:noProof/>
            <w:webHidden/>
          </w:rPr>
          <w:fldChar w:fldCharType="begin"/>
        </w:r>
        <w:r w:rsidR="000873B0">
          <w:rPr>
            <w:noProof/>
            <w:webHidden/>
          </w:rPr>
          <w:instrText xml:space="preserve"> PAGEREF _Toc423438705 \h </w:instrText>
        </w:r>
        <w:r w:rsidR="000873B0">
          <w:rPr>
            <w:noProof/>
            <w:webHidden/>
          </w:rPr>
        </w:r>
        <w:r w:rsidR="000873B0">
          <w:rPr>
            <w:noProof/>
            <w:webHidden/>
          </w:rPr>
          <w:fldChar w:fldCharType="separate"/>
        </w:r>
        <w:r w:rsidR="006C2AB4">
          <w:rPr>
            <w:noProof/>
            <w:webHidden/>
          </w:rPr>
          <w:t>4-1</w:t>
        </w:r>
        <w:r w:rsidR="000873B0">
          <w:rPr>
            <w:noProof/>
            <w:webHidden/>
          </w:rPr>
          <w:fldChar w:fldCharType="end"/>
        </w:r>
      </w:hyperlink>
    </w:p>
    <w:p w14:paraId="5E0508DD" w14:textId="77777777" w:rsidR="000873B0" w:rsidRDefault="00531473">
      <w:pPr>
        <w:pStyle w:val="TOC2"/>
        <w:rPr>
          <w:rFonts w:asciiTheme="minorHAnsi" w:eastAsiaTheme="minorEastAsia" w:hAnsiTheme="minorHAnsi" w:cstheme="minorBidi"/>
          <w:noProof/>
          <w:szCs w:val="22"/>
          <w:lang w:val="en-CA" w:eastAsia="en-CA"/>
        </w:rPr>
      </w:pPr>
      <w:hyperlink w:anchor="_Toc423438706" w:history="1">
        <w:r w:rsidR="000873B0" w:rsidRPr="005F3DE9">
          <w:rPr>
            <w:rStyle w:val="Hyperlink"/>
            <w:noProof/>
            <w:lang w:val="en-CA"/>
          </w:rPr>
          <w:t>4.2</w:t>
        </w:r>
        <w:r w:rsidR="000873B0">
          <w:rPr>
            <w:rFonts w:asciiTheme="minorHAnsi" w:eastAsiaTheme="minorEastAsia" w:hAnsiTheme="minorHAnsi" w:cstheme="minorBidi"/>
            <w:noProof/>
            <w:szCs w:val="22"/>
            <w:lang w:val="en-CA" w:eastAsia="en-CA"/>
          </w:rPr>
          <w:tab/>
        </w:r>
        <w:r w:rsidR="000873B0" w:rsidRPr="005F3DE9">
          <w:rPr>
            <w:rStyle w:val="Hyperlink"/>
            <w:noProof/>
            <w:lang w:val="en-CA"/>
          </w:rPr>
          <w:t>Redefining Livelihoods</w:t>
        </w:r>
        <w:r w:rsidR="000873B0">
          <w:rPr>
            <w:noProof/>
            <w:webHidden/>
          </w:rPr>
          <w:tab/>
        </w:r>
        <w:r w:rsidR="000873B0">
          <w:rPr>
            <w:noProof/>
            <w:webHidden/>
          </w:rPr>
          <w:fldChar w:fldCharType="begin"/>
        </w:r>
        <w:r w:rsidR="000873B0">
          <w:rPr>
            <w:noProof/>
            <w:webHidden/>
          </w:rPr>
          <w:instrText xml:space="preserve"> PAGEREF _Toc423438706 \h </w:instrText>
        </w:r>
        <w:r w:rsidR="000873B0">
          <w:rPr>
            <w:noProof/>
            <w:webHidden/>
          </w:rPr>
        </w:r>
        <w:r w:rsidR="000873B0">
          <w:rPr>
            <w:noProof/>
            <w:webHidden/>
          </w:rPr>
          <w:fldChar w:fldCharType="separate"/>
        </w:r>
        <w:r w:rsidR="006C2AB4">
          <w:rPr>
            <w:noProof/>
            <w:webHidden/>
          </w:rPr>
          <w:t>4-1</w:t>
        </w:r>
        <w:r w:rsidR="000873B0">
          <w:rPr>
            <w:noProof/>
            <w:webHidden/>
          </w:rPr>
          <w:fldChar w:fldCharType="end"/>
        </w:r>
      </w:hyperlink>
    </w:p>
    <w:p w14:paraId="0231FEB3" w14:textId="77777777" w:rsidR="000873B0" w:rsidRDefault="00531473">
      <w:pPr>
        <w:pStyle w:val="TOC2"/>
        <w:rPr>
          <w:rFonts w:asciiTheme="minorHAnsi" w:eastAsiaTheme="minorEastAsia" w:hAnsiTheme="minorHAnsi" w:cstheme="minorBidi"/>
          <w:noProof/>
          <w:szCs w:val="22"/>
          <w:lang w:val="en-CA" w:eastAsia="en-CA"/>
        </w:rPr>
      </w:pPr>
      <w:hyperlink w:anchor="_Toc423438707" w:history="1">
        <w:r w:rsidR="000873B0" w:rsidRPr="005F3DE9">
          <w:rPr>
            <w:rStyle w:val="Hyperlink"/>
            <w:noProof/>
            <w:lang w:val="en-CA"/>
          </w:rPr>
          <w:t>4.3</w:t>
        </w:r>
        <w:r w:rsidR="000873B0">
          <w:rPr>
            <w:rFonts w:asciiTheme="minorHAnsi" w:eastAsiaTheme="minorEastAsia" w:hAnsiTheme="minorHAnsi" w:cstheme="minorBidi"/>
            <w:noProof/>
            <w:szCs w:val="22"/>
            <w:lang w:val="en-CA" w:eastAsia="en-CA"/>
          </w:rPr>
          <w:tab/>
        </w:r>
        <w:r w:rsidR="000873B0" w:rsidRPr="005F3DE9">
          <w:rPr>
            <w:rStyle w:val="Hyperlink"/>
            <w:noProof/>
            <w:lang w:val="en-CA"/>
          </w:rPr>
          <w:t>Taking a Holistic Approach to Empowerment</w:t>
        </w:r>
        <w:r w:rsidR="000873B0">
          <w:rPr>
            <w:noProof/>
            <w:webHidden/>
          </w:rPr>
          <w:tab/>
        </w:r>
        <w:r w:rsidR="000873B0">
          <w:rPr>
            <w:noProof/>
            <w:webHidden/>
          </w:rPr>
          <w:fldChar w:fldCharType="begin"/>
        </w:r>
        <w:r w:rsidR="000873B0">
          <w:rPr>
            <w:noProof/>
            <w:webHidden/>
          </w:rPr>
          <w:instrText xml:space="preserve"> PAGEREF _Toc423438707 \h </w:instrText>
        </w:r>
        <w:r w:rsidR="000873B0">
          <w:rPr>
            <w:noProof/>
            <w:webHidden/>
          </w:rPr>
        </w:r>
        <w:r w:rsidR="000873B0">
          <w:rPr>
            <w:noProof/>
            <w:webHidden/>
          </w:rPr>
          <w:fldChar w:fldCharType="separate"/>
        </w:r>
        <w:r w:rsidR="006C2AB4">
          <w:rPr>
            <w:noProof/>
            <w:webHidden/>
          </w:rPr>
          <w:t>4-2</w:t>
        </w:r>
        <w:r w:rsidR="000873B0">
          <w:rPr>
            <w:noProof/>
            <w:webHidden/>
          </w:rPr>
          <w:fldChar w:fldCharType="end"/>
        </w:r>
      </w:hyperlink>
    </w:p>
    <w:p w14:paraId="5304C888" w14:textId="77777777" w:rsidR="000873B0" w:rsidRDefault="00531473">
      <w:pPr>
        <w:pStyle w:val="TOC1"/>
        <w:rPr>
          <w:rFonts w:asciiTheme="minorHAnsi" w:eastAsiaTheme="minorEastAsia" w:hAnsiTheme="minorHAnsi" w:cstheme="minorBidi"/>
          <w:b w:val="0"/>
          <w:caps w:val="0"/>
          <w:sz w:val="22"/>
          <w:szCs w:val="22"/>
          <w:lang w:val="en-CA" w:eastAsia="en-CA"/>
        </w:rPr>
      </w:pPr>
      <w:hyperlink w:anchor="_Toc423438708" w:history="1">
        <w:r w:rsidR="000873B0" w:rsidRPr="005F3DE9">
          <w:rPr>
            <w:rStyle w:val="Hyperlink"/>
            <w:lang w:val="en-CA"/>
          </w:rPr>
          <w:t>5</w:t>
        </w:r>
        <w:r w:rsidR="000873B0">
          <w:rPr>
            <w:rFonts w:asciiTheme="minorHAnsi" w:eastAsiaTheme="minorEastAsia" w:hAnsiTheme="minorHAnsi" w:cstheme="minorBidi"/>
            <w:b w:val="0"/>
            <w:caps w:val="0"/>
            <w:sz w:val="22"/>
            <w:szCs w:val="22"/>
            <w:lang w:val="en-CA" w:eastAsia="en-CA"/>
          </w:rPr>
          <w:tab/>
        </w:r>
        <w:r w:rsidR="000873B0" w:rsidRPr="005F3DE9">
          <w:rPr>
            <w:rStyle w:val="Hyperlink"/>
            <w:lang w:val="en-CA"/>
          </w:rPr>
          <w:t>Implementation: Lessons from Phase 1</w:t>
        </w:r>
        <w:r w:rsidR="000873B0">
          <w:rPr>
            <w:webHidden/>
          </w:rPr>
          <w:tab/>
        </w:r>
        <w:r w:rsidR="000873B0">
          <w:rPr>
            <w:webHidden/>
          </w:rPr>
          <w:fldChar w:fldCharType="begin"/>
        </w:r>
        <w:r w:rsidR="000873B0">
          <w:rPr>
            <w:webHidden/>
          </w:rPr>
          <w:instrText xml:space="preserve"> PAGEREF _Toc423438708 \h </w:instrText>
        </w:r>
        <w:r w:rsidR="000873B0">
          <w:rPr>
            <w:webHidden/>
          </w:rPr>
        </w:r>
        <w:r w:rsidR="000873B0">
          <w:rPr>
            <w:webHidden/>
          </w:rPr>
          <w:fldChar w:fldCharType="separate"/>
        </w:r>
        <w:r w:rsidR="006C2AB4">
          <w:rPr>
            <w:webHidden/>
          </w:rPr>
          <w:t>5-1</w:t>
        </w:r>
        <w:r w:rsidR="000873B0">
          <w:rPr>
            <w:webHidden/>
          </w:rPr>
          <w:fldChar w:fldCharType="end"/>
        </w:r>
      </w:hyperlink>
    </w:p>
    <w:p w14:paraId="798DE963" w14:textId="77777777" w:rsidR="000873B0" w:rsidRDefault="00531473">
      <w:pPr>
        <w:pStyle w:val="TOC1"/>
        <w:rPr>
          <w:rFonts w:asciiTheme="minorHAnsi" w:eastAsiaTheme="minorEastAsia" w:hAnsiTheme="minorHAnsi" w:cstheme="minorBidi"/>
          <w:b w:val="0"/>
          <w:caps w:val="0"/>
          <w:sz w:val="22"/>
          <w:szCs w:val="22"/>
          <w:lang w:val="en-CA" w:eastAsia="en-CA"/>
        </w:rPr>
      </w:pPr>
      <w:hyperlink w:anchor="_Toc423438709" w:history="1">
        <w:r w:rsidR="000873B0" w:rsidRPr="005F3DE9">
          <w:rPr>
            <w:rStyle w:val="Hyperlink"/>
            <w:lang w:val="en-CA"/>
          </w:rPr>
          <w:t>6</w:t>
        </w:r>
        <w:r w:rsidR="000873B0">
          <w:rPr>
            <w:rFonts w:asciiTheme="minorHAnsi" w:eastAsiaTheme="minorEastAsia" w:hAnsiTheme="minorHAnsi" w:cstheme="minorBidi"/>
            <w:b w:val="0"/>
            <w:caps w:val="0"/>
            <w:sz w:val="22"/>
            <w:szCs w:val="22"/>
            <w:lang w:val="en-CA" w:eastAsia="en-CA"/>
          </w:rPr>
          <w:tab/>
        </w:r>
        <w:r w:rsidR="000873B0" w:rsidRPr="005F3DE9">
          <w:rPr>
            <w:rStyle w:val="Hyperlink"/>
            <w:lang w:val="en-CA"/>
          </w:rPr>
          <w:t>Implementation: Proposed approach for Phase 2</w:t>
        </w:r>
        <w:r w:rsidR="000873B0">
          <w:rPr>
            <w:webHidden/>
          </w:rPr>
          <w:tab/>
        </w:r>
        <w:r w:rsidR="000873B0">
          <w:rPr>
            <w:webHidden/>
          </w:rPr>
          <w:fldChar w:fldCharType="begin"/>
        </w:r>
        <w:r w:rsidR="000873B0">
          <w:rPr>
            <w:webHidden/>
          </w:rPr>
          <w:instrText xml:space="preserve"> PAGEREF _Toc423438709 \h </w:instrText>
        </w:r>
        <w:r w:rsidR="000873B0">
          <w:rPr>
            <w:webHidden/>
          </w:rPr>
        </w:r>
        <w:r w:rsidR="000873B0">
          <w:rPr>
            <w:webHidden/>
          </w:rPr>
          <w:fldChar w:fldCharType="separate"/>
        </w:r>
        <w:r w:rsidR="006C2AB4">
          <w:rPr>
            <w:webHidden/>
          </w:rPr>
          <w:t>6-1</w:t>
        </w:r>
        <w:r w:rsidR="000873B0">
          <w:rPr>
            <w:webHidden/>
          </w:rPr>
          <w:fldChar w:fldCharType="end"/>
        </w:r>
      </w:hyperlink>
    </w:p>
    <w:p w14:paraId="543F85F5" w14:textId="77777777" w:rsidR="000873B0" w:rsidRDefault="00531473">
      <w:pPr>
        <w:pStyle w:val="TOC2"/>
        <w:rPr>
          <w:rFonts w:asciiTheme="minorHAnsi" w:eastAsiaTheme="minorEastAsia" w:hAnsiTheme="minorHAnsi" w:cstheme="minorBidi"/>
          <w:noProof/>
          <w:szCs w:val="22"/>
          <w:lang w:val="en-CA" w:eastAsia="en-CA"/>
        </w:rPr>
      </w:pPr>
      <w:hyperlink w:anchor="_Toc423438710" w:history="1">
        <w:r w:rsidR="000873B0" w:rsidRPr="005F3DE9">
          <w:rPr>
            <w:rStyle w:val="Hyperlink"/>
            <w:noProof/>
            <w:lang w:val="en-CA"/>
          </w:rPr>
          <w:t>6.1</w:t>
        </w:r>
        <w:r w:rsidR="000873B0">
          <w:rPr>
            <w:rFonts w:asciiTheme="minorHAnsi" w:eastAsiaTheme="minorEastAsia" w:hAnsiTheme="minorHAnsi" w:cstheme="minorBidi"/>
            <w:noProof/>
            <w:szCs w:val="22"/>
            <w:lang w:val="en-CA" w:eastAsia="en-CA"/>
          </w:rPr>
          <w:tab/>
        </w:r>
        <w:r w:rsidR="000873B0" w:rsidRPr="005F3DE9">
          <w:rPr>
            <w:rStyle w:val="Hyperlink"/>
            <w:noProof/>
            <w:lang w:val="en-CA"/>
          </w:rPr>
          <w:t>Taking a holistic approach to empowerment</w:t>
        </w:r>
        <w:r w:rsidR="000873B0">
          <w:rPr>
            <w:noProof/>
            <w:webHidden/>
          </w:rPr>
          <w:tab/>
        </w:r>
        <w:r w:rsidR="000873B0">
          <w:rPr>
            <w:noProof/>
            <w:webHidden/>
          </w:rPr>
          <w:fldChar w:fldCharType="begin"/>
        </w:r>
        <w:r w:rsidR="000873B0">
          <w:rPr>
            <w:noProof/>
            <w:webHidden/>
          </w:rPr>
          <w:instrText xml:space="preserve"> PAGEREF _Toc423438710 \h </w:instrText>
        </w:r>
        <w:r w:rsidR="000873B0">
          <w:rPr>
            <w:noProof/>
            <w:webHidden/>
          </w:rPr>
        </w:r>
        <w:r w:rsidR="000873B0">
          <w:rPr>
            <w:noProof/>
            <w:webHidden/>
          </w:rPr>
          <w:fldChar w:fldCharType="separate"/>
        </w:r>
        <w:r w:rsidR="006C2AB4">
          <w:rPr>
            <w:noProof/>
            <w:webHidden/>
          </w:rPr>
          <w:t>6-1</w:t>
        </w:r>
        <w:r w:rsidR="000873B0">
          <w:rPr>
            <w:noProof/>
            <w:webHidden/>
          </w:rPr>
          <w:fldChar w:fldCharType="end"/>
        </w:r>
      </w:hyperlink>
    </w:p>
    <w:p w14:paraId="2402DFBF" w14:textId="77777777" w:rsidR="000873B0" w:rsidRDefault="00531473">
      <w:pPr>
        <w:pStyle w:val="TOC2"/>
        <w:rPr>
          <w:rFonts w:asciiTheme="minorHAnsi" w:eastAsiaTheme="minorEastAsia" w:hAnsiTheme="minorHAnsi" w:cstheme="minorBidi"/>
          <w:noProof/>
          <w:szCs w:val="22"/>
          <w:lang w:val="en-CA" w:eastAsia="en-CA"/>
        </w:rPr>
      </w:pPr>
      <w:hyperlink w:anchor="_Toc423438711" w:history="1">
        <w:r w:rsidR="000873B0" w:rsidRPr="005F3DE9">
          <w:rPr>
            <w:rStyle w:val="Hyperlink"/>
            <w:noProof/>
            <w:lang w:val="en-CA"/>
          </w:rPr>
          <w:t>6.2</w:t>
        </w:r>
        <w:r w:rsidR="000873B0">
          <w:rPr>
            <w:rFonts w:asciiTheme="minorHAnsi" w:eastAsiaTheme="minorEastAsia" w:hAnsiTheme="minorHAnsi" w:cstheme="minorBidi"/>
            <w:noProof/>
            <w:szCs w:val="22"/>
            <w:lang w:val="en-CA" w:eastAsia="en-CA"/>
          </w:rPr>
          <w:tab/>
        </w:r>
        <w:r w:rsidR="000873B0" w:rsidRPr="005F3DE9">
          <w:rPr>
            <w:rStyle w:val="Hyperlink"/>
            <w:noProof/>
            <w:lang w:val="en-CA"/>
          </w:rPr>
          <w:t>Strengthening Vertical and Horizontal Networks and Coalitions</w:t>
        </w:r>
        <w:r w:rsidR="000873B0">
          <w:rPr>
            <w:noProof/>
            <w:webHidden/>
          </w:rPr>
          <w:tab/>
        </w:r>
        <w:r w:rsidR="000873B0">
          <w:rPr>
            <w:noProof/>
            <w:webHidden/>
          </w:rPr>
          <w:fldChar w:fldCharType="begin"/>
        </w:r>
        <w:r w:rsidR="000873B0">
          <w:rPr>
            <w:noProof/>
            <w:webHidden/>
          </w:rPr>
          <w:instrText xml:space="preserve"> PAGEREF _Toc423438711 \h </w:instrText>
        </w:r>
        <w:r w:rsidR="000873B0">
          <w:rPr>
            <w:noProof/>
            <w:webHidden/>
          </w:rPr>
        </w:r>
        <w:r w:rsidR="000873B0">
          <w:rPr>
            <w:noProof/>
            <w:webHidden/>
          </w:rPr>
          <w:fldChar w:fldCharType="separate"/>
        </w:r>
        <w:r w:rsidR="006C2AB4">
          <w:rPr>
            <w:noProof/>
            <w:webHidden/>
          </w:rPr>
          <w:t>6-1</w:t>
        </w:r>
        <w:r w:rsidR="000873B0">
          <w:rPr>
            <w:noProof/>
            <w:webHidden/>
          </w:rPr>
          <w:fldChar w:fldCharType="end"/>
        </w:r>
      </w:hyperlink>
    </w:p>
    <w:p w14:paraId="1D4E70C4" w14:textId="77777777" w:rsidR="000873B0" w:rsidRDefault="00531473">
      <w:pPr>
        <w:pStyle w:val="TOC3"/>
        <w:rPr>
          <w:rFonts w:asciiTheme="minorHAnsi" w:eastAsiaTheme="minorEastAsia" w:hAnsiTheme="minorHAnsi" w:cstheme="minorBidi"/>
          <w:noProof/>
          <w:sz w:val="22"/>
          <w:szCs w:val="22"/>
          <w:lang w:val="en-CA" w:eastAsia="en-CA"/>
        </w:rPr>
      </w:pPr>
      <w:hyperlink w:anchor="_Toc423438712" w:history="1">
        <w:r w:rsidR="000873B0" w:rsidRPr="005F3DE9">
          <w:rPr>
            <w:rStyle w:val="Hyperlink"/>
            <w:noProof/>
            <w:lang w:val="en-CA"/>
          </w:rPr>
          <w:t>6.2.1</w:t>
        </w:r>
        <w:r w:rsidR="000873B0">
          <w:rPr>
            <w:rFonts w:asciiTheme="minorHAnsi" w:eastAsiaTheme="minorEastAsia" w:hAnsiTheme="minorHAnsi" w:cstheme="minorBidi"/>
            <w:noProof/>
            <w:sz w:val="22"/>
            <w:szCs w:val="22"/>
            <w:lang w:val="en-CA" w:eastAsia="en-CA"/>
          </w:rPr>
          <w:tab/>
        </w:r>
        <w:r w:rsidR="000873B0" w:rsidRPr="005F3DE9">
          <w:rPr>
            <w:rStyle w:val="Hyperlink"/>
            <w:noProof/>
            <w:lang w:val="en-CA"/>
          </w:rPr>
          <w:t>Strengthening the partner and sub-partner network</w:t>
        </w:r>
        <w:r w:rsidR="000873B0">
          <w:rPr>
            <w:noProof/>
            <w:webHidden/>
          </w:rPr>
          <w:tab/>
        </w:r>
        <w:r w:rsidR="000873B0">
          <w:rPr>
            <w:noProof/>
            <w:webHidden/>
          </w:rPr>
          <w:fldChar w:fldCharType="begin"/>
        </w:r>
        <w:r w:rsidR="000873B0">
          <w:rPr>
            <w:noProof/>
            <w:webHidden/>
          </w:rPr>
          <w:instrText xml:space="preserve"> PAGEREF _Toc423438712 \h </w:instrText>
        </w:r>
        <w:r w:rsidR="000873B0">
          <w:rPr>
            <w:noProof/>
            <w:webHidden/>
          </w:rPr>
        </w:r>
        <w:r w:rsidR="000873B0">
          <w:rPr>
            <w:noProof/>
            <w:webHidden/>
          </w:rPr>
          <w:fldChar w:fldCharType="separate"/>
        </w:r>
        <w:r w:rsidR="006C2AB4">
          <w:rPr>
            <w:noProof/>
            <w:webHidden/>
          </w:rPr>
          <w:t>6-2</w:t>
        </w:r>
        <w:r w:rsidR="000873B0">
          <w:rPr>
            <w:noProof/>
            <w:webHidden/>
          </w:rPr>
          <w:fldChar w:fldCharType="end"/>
        </w:r>
      </w:hyperlink>
    </w:p>
    <w:p w14:paraId="6548C287" w14:textId="77777777" w:rsidR="000873B0" w:rsidRDefault="00531473">
      <w:pPr>
        <w:pStyle w:val="TOC3"/>
        <w:rPr>
          <w:rFonts w:asciiTheme="minorHAnsi" w:eastAsiaTheme="minorEastAsia" w:hAnsiTheme="minorHAnsi" w:cstheme="minorBidi"/>
          <w:noProof/>
          <w:sz w:val="22"/>
          <w:szCs w:val="22"/>
          <w:lang w:val="en-CA" w:eastAsia="en-CA"/>
        </w:rPr>
      </w:pPr>
      <w:hyperlink w:anchor="_Toc423438713" w:history="1">
        <w:r w:rsidR="000873B0" w:rsidRPr="005F3DE9">
          <w:rPr>
            <w:rStyle w:val="Hyperlink"/>
            <w:noProof/>
            <w:lang w:val="en-CA"/>
          </w:rPr>
          <w:t>6.2.2</w:t>
        </w:r>
        <w:r w:rsidR="000873B0">
          <w:rPr>
            <w:rFonts w:asciiTheme="minorHAnsi" w:eastAsiaTheme="minorEastAsia" w:hAnsiTheme="minorHAnsi" w:cstheme="minorBidi"/>
            <w:noProof/>
            <w:sz w:val="22"/>
            <w:szCs w:val="22"/>
            <w:lang w:val="en-CA" w:eastAsia="en-CA"/>
          </w:rPr>
          <w:tab/>
        </w:r>
        <w:r w:rsidR="000873B0" w:rsidRPr="005F3DE9">
          <w:rPr>
            <w:rStyle w:val="Hyperlink"/>
            <w:noProof/>
            <w:lang w:val="en-CA"/>
          </w:rPr>
          <w:t>Collective action with increased policy focus</w:t>
        </w:r>
        <w:r w:rsidR="000873B0">
          <w:rPr>
            <w:noProof/>
            <w:webHidden/>
          </w:rPr>
          <w:tab/>
        </w:r>
        <w:r w:rsidR="000873B0">
          <w:rPr>
            <w:noProof/>
            <w:webHidden/>
          </w:rPr>
          <w:fldChar w:fldCharType="begin"/>
        </w:r>
        <w:r w:rsidR="000873B0">
          <w:rPr>
            <w:noProof/>
            <w:webHidden/>
          </w:rPr>
          <w:instrText xml:space="preserve"> PAGEREF _Toc423438713 \h </w:instrText>
        </w:r>
        <w:r w:rsidR="000873B0">
          <w:rPr>
            <w:noProof/>
            <w:webHidden/>
          </w:rPr>
        </w:r>
        <w:r w:rsidR="000873B0">
          <w:rPr>
            <w:noProof/>
            <w:webHidden/>
          </w:rPr>
          <w:fldChar w:fldCharType="separate"/>
        </w:r>
        <w:r w:rsidR="006C2AB4">
          <w:rPr>
            <w:noProof/>
            <w:webHidden/>
          </w:rPr>
          <w:t>6-2</w:t>
        </w:r>
        <w:r w:rsidR="000873B0">
          <w:rPr>
            <w:noProof/>
            <w:webHidden/>
          </w:rPr>
          <w:fldChar w:fldCharType="end"/>
        </w:r>
      </w:hyperlink>
    </w:p>
    <w:p w14:paraId="335B9F24" w14:textId="77777777" w:rsidR="000873B0" w:rsidRDefault="00531473">
      <w:pPr>
        <w:pStyle w:val="TOC3"/>
        <w:rPr>
          <w:rFonts w:asciiTheme="minorHAnsi" w:eastAsiaTheme="minorEastAsia" w:hAnsiTheme="minorHAnsi" w:cstheme="minorBidi"/>
          <w:noProof/>
          <w:sz w:val="22"/>
          <w:szCs w:val="22"/>
          <w:lang w:val="en-CA" w:eastAsia="en-CA"/>
        </w:rPr>
      </w:pPr>
      <w:hyperlink w:anchor="_Toc423438714" w:history="1">
        <w:r w:rsidR="000873B0" w:rsidRPr="005F3DE9">
          <w:rPr>
            <w:rStyle w:val="Hyperlink"/>
            <w:noProof/>
            <w:lang w:val="en-CA"/>
          </w:rPr>
          <w:t>6.2.3</w:t>
        </w:r>
        <w:r w:rsidR="000873B0">
          <w:rPr>
            <w:rFonts w:asciiTheme="minorHAnsi" w:eastAsiaTheme="minorEastAsia" w:hAnsiTheme="minorHAnsi" w:cstheme="minorBidi"/>
            <w:noProof/>
            <w:sz w:val="22"/>
            <w:szCs w:val="22"/>
            <w:lang w:val="en-CA" w:eastAsia="en-CA"/>
          </w:rPr>
          <w:tab/>
        </w:r>
        <w:r w:rsidR="000873B0" w:rsidRPr="005F3DE9">
          <w:rPr>
            <w:rStyle w:val="Hyperlink"/>
            <w:noProof/>
            <w:lang w:val="en-CA"/>
          </w:rPr>
          <w:t>Supporting partners in global and regional dialogue</w:t>
        </w:r>
        <w:r w:rsidR="000873B0">
          <w:rPr>
            <w:noProof/>
            <w:webHidden/>
          </w:rPr>
          <w:tab/>
        </w:r>
        <w:r w:rsidR="000873B0">
          <w:rPr>
            <w:noProof/>
            <w:webHidden/>
          </w:rPr>
          <w:fldChar w:fldCharType="begin"/>
        </w:r>
        <w:r w:rsidR="000873B0">
          <w:rPr>
            <w:noProof/>
            <w:webHidden/>
          </w:rPr>
          <w:instrText xml:space="preserve"> PAGEREF _Toc423438714 \h </w:instrText>
        </w:r>
        <w:r w:rsidR="000873B0">
          <w:rPr>
            <w:noProof/>
            <w:webHidden/>
          </w:rPr>
        </w:r>
        <w:r w:rsidR="000873B0">
          <w:rPr>
            <w:noProof/>
            <w:webHidden/>
          </w:rPr>
          <w:fldChar w:fldCharType="separate"/>
        </w:r>
        <w:r w:rsidR="006C2AB4">
          <w:rPr>
            <w:noProof/>
            <w:webHidden/>
          </w:rPr>
          <w:t>6-2</w:t>
        </w:r>
        <w:r w:rsidR="000873B0">
          <w:rPr>
            <w:noProof/>
            <w:webHidden/>
          </w:rPr>
          <w:fldChar w:fldCharType="end"/>
        </w:r>
      </w:hyperlink>
    </w:p>
    <w:p w14:paraId="5CF509B5" w14:textId="77777777" w:rsidR="000873B0" w:rsidRDefault="00531473">
      <w:pPr>
        <w:pStyle w:val="TOC2"/>
        <w:rPr>
          <w:rFonts w:asciiTheme="minorHAnsi" w:eastAsiaTheme="minorEastAsia" w:hAnsiTheme="minorHAnsi" w:cstheme="minorBidi"/>
          <w:noProof/>
          <w:szCs w:val="22"/>
          <w:lang w:val="en-CA" w:eastAsia="en-CA"/>
        </w:rPr>
      </w:pPr>
      <w:hyperlink w:anchor="_Toc423438715" w:history="1">
        <w:r w:rsidR="000873B0" w:rsidRPr="005F3DE9">
          <w:rPr>
            <w:rStyle w:val="Hyperlink"/>
            <w:noProof/>
            <w:lang w:val="en-CA"/>
          </w:rPr>
          <w:t>6.3</w:t>
        </w:r>
        <w:r w:rsidR="000873B0">
          <w:rPr>
            <w:rFonts w:asciiTheme="minorHAnsi" w:eastAsiaTheme="minorEastAsia" w:hAnsiTheme="minorHAnsi" w:cstheme="minorBidi"/>
            <w:noProof/>
            <w:szCs w:val="22"/>
            <w:lang w:val="en-CA" w:eastAsia="en-CA"/>
          </w:rPr>
          <w:tab/>
        </w:r>
        <w:r w:rsidR="000873B0" w:rsidRPr="005F3DE9">
          <w:rPr>
            <w:rStyle w:val="Hyperlink"/>
            <w:noProof/>
            <w:lang w:val="en-CA"/>
          </w:rPr>
          <w:t>Political Networks</w:t>
        </w:r>
        <w:r w:rsidR="000873B0">
          <w:rPr>
            <w:noProof/>
            <w:webHidden/>
          </w:rPr>
          <w:tab/>
        </w:r>
        <w:r w:rsidR="000873B0">
          <w:rPr>
            <w:noProof/>
            <w:webHidden/>
          </w:rPr>
          <w:fldChar w:fldCharType="begin"/>
        </w:r>
        <w:r w:rsidR="000873B0">
          <w:rPr>
            <w:noProof/>
            <w:webHidden/>
          </w:rPr>
          <w:instrText xml:space="preserve"> PAGEREF _Toc423438715 \h </w:instrText>
        </w:r>
        <w:r w:rsidR="000873B0">
          <w:rPr>
            <w:noProof/>
            <w:webHidden/>
          </w:rPr>
        </w:r>
        <w:r w:rsidR="000873B0">
          <w:rPr>
            <w:noProof/>
            <w:webHidden/>
          </w:rPr>
          <w:fldChar w:fldCharType="separate"/>
        </w:r>
        <w:r w:rsidR="006C2AB4">
          <w:rPr>
            <w:noProof/>
            <w:webHidden/>
          </w:rPr>
          <w:t>6-2</w:t>
        </w:r>
        <w:r w:rsidR="000873B0">
          <w:rPr>
            <w:noProof/>
            <w:webHidden/>
          </w:rPr>
          <w:fldChar w:fldCharType="end"/>
        </w:r>
      </w:hyperlink>
    </w:p>
    <w:p w14:paraId="3F825898" w14:textId="77777777" w:rsidR="000873B0" w:rsidRDefault="00531473">
      <w:pPr>
        <w:pStyle w:val="TOC2"/>
        <w:rPr>
          <w:rFonts w:asciiTheme="minorHAnsi" w:eastAsiaTheme="minorEastAsia" w:hAnsiTheme="minorHAnsi" w:cstheme="minorBidi"/>
          <w:noProof/>
          <w:szCs w:val="22"/>
          <w:lang w:val="en-CA" w:eastAsia="en-CA"/>
        </w:rPr>
      </w:pPr>
      <w:hyperlink w:anchor="_Toc423438716" w:history="1">
        <w:r w:rsidR="000873B0" w:rsidRPr="005F3DE9">
          <w:rPr>
            <w:rStyle w:val="Hyperlink"/>
            <w:noProof/>
            <w:lang w:val="en-CA"/>
          </w:rPr>
          <w:t>6.4</w:t>
        </w:r>
        <w:r w:rsidR="000873B0">
          <w:rPr>
            <w:rFonts w:asciiTheme="minorHAnsi" w:eastAsiaTheme="minorEastAsia" w:hAnsiTheme="minorHAnsi" w:cstheme="minorBidi"/>
            <w:noProof/>
            <w:szCs w:val="22"/>
            <w:lang w:val="en-CA" w:eastAsia="en-CA"/>
          </w:rPr>
          <w:tab/>
        </w:r>
        <w:r w:rsidR="000873B0" w:rsidRPr="005F3DE9">
          <w:rPr>
            <w:rStyle w:val="Hyperlink"/>
            <w:noProof/>
            <w:lang w:val="en-CA"/>
          </w:rPr>
          <w:t>Engaging with Parliament</w:t>
        </w:r>
        <w:r w:rsidR="000873B0">
          <w:rPr>
            <w:noProof/>
            <w:webHidden/>
          </w:rPr>
          <w:tab/>
        </w:r>
        <w:r w:rsidR="000873B0">
          <w:rPr>
            <w:noProof/>
            <w:webHidden/>
          </w:rPr>
          <w:fldChar w:fldCharType="begin"/>
        </w:r>
        <w:r w:rsidR="000873B0">
          <w:rPr>
            <w:noProof/>
            <w:webHidden/>
          </w:rPr>
          <w:instrText xml:space="preserve"> PAGEREF _Toc423438716 \h </w:instrText>
        </w:r>
        <w:r w:rsidR="000873B0">
          <w:rPr>
            <w:noProof/>
            <w:webHidden/>
          </w:rPr>
        </w:r>
        <w:r w:rsidR="000873B0">
          <w:rPr>
            <w:noProof/>
            <w:webHidden/>
          </w:rPr>
          <w:fldChar w:fldCharType="separate"/>
        </w:r>
        <w:r w:rsidR="006C2AB4">
          <w:rPr>
            <w:noProof/>
            <w:webHidden/>
          </w:rPr>
          <w:t>6-2</w:t>
        </w:r>
        <w:r w:rsidR="000873B0">
          <w:rPr>
            <w:noProof/>
            <w:webHidden/>
          </w:rPr>
          <w:fldChar w:fldCharType="end"/>
        </w:r>
      </w:hyperlink>
    </w:p>
    <w:p w14:paraId="068D9205" w14:textId="77777777" w:rsidR="000873B0" w:rsidRDefault="00531473">
      <w:pPr>
        <w:pStyle w:val="TOC2"/>
        <w:rPr>
          <w:rFonts w:asciiTheme="minorHAnsi" w:eastAsiaTheme="minorEastAsia" w:hAnsiTheme="minorHAnsi" w:cstheme="minorBidi"/>
          <w:noProof/>
          <w:szCs w:val="22"/>
          <w:lang w:val="en-CA" w:eastAsia="en-CA"/>
        </w:rPr>
      </w:pPr>
      <w:hyperlink w:anchor="_Toc423438717" w:history="1">
        <w:r w:rsidR="000873B0" w:rsidRPr="005F3DE9">
          <w:rPr>
            <w:rStyle w:val="Hyperlink"/>
            <w:noProof/>
            <w:lang w:val="en-CA"/>
          </w:rPr>
          <w:t>6.5</w:t>
        </w:r>
        <w:r w:rsidR="000873B0">
          <w:rPr>
            <w:rFonts w:asciiTheme="minorHAnsi" w:eastAsiaTheme="minorEastAsia" w:hAnsiTheme="minorHAnsi" w:cstheme="minorBidi"/>
            <w:noProof/>
            <w:szCs w:val="22"/>
            <w:lang w:val="en-CA" w:eastAsia="en-CA"/>
          </w:rPr>
          <w:tab/>
        </w:r>
        <w:r w:rsidR="000873B0" w:rsidRPr="005F3DE9">
          <w:rPr>
            <w:rStyle w:val="Hyperlink"/>
            <w:noProof/>
            <w:lang w:val="en-CA"/>
          </w:rPr>
          <w:t>Multi-Stakeholder &amp; Community Forums</w:t>
        </w:r>
        <w:r w:rsidR="000873B0">
          <w:rPr>
            <w:noProof/>
            <w:webHidden/>
          </w:rPr>
          <w:tab/>
        </w:r>
        <w:r w:rsidR="000873B0">
          <w:rPr>
            <w:noProof/>
            <w:webHidden/>
          </w:rPr>
          <w:fldChar w:fldCharType="begin"/>
        </w:r>
        <w:r w:rsidR="000873B0">
          <w:rPr>
            <w:noProof/>
            <w:webHidden/>
          </w:rPr>
          <w:instrText xml:space="preserve"> PAGEREF _Toc423438717 \h </w:instrText>
        </w:r>
        <w:r w:rsidR="000873B0">
          <w:rPr>
            <w:noProof/>
            <w:webHidden/>
          </w:rPr>
        </w:r>
        <w:r w:rsidR="000873B0">
          <w:rPr>
            <w:noProof/>
            <w:webHidden/>
          </w:rPr>
          <w:fldChar w:fldCharType="separate"/>
        </w:r>
        <w:r w:rsidR="006C2AB4">
          <w:rPr>
            <w:noProof/>
            <w:webHidden/>
          </w:rPr>
          <w:t>6-3</w:t>
        </w:r>
        <w:r w:rsidR="000873B0">
          <w:rPr>
            <w:noProof/>
            <w:webHidden/>
          </w:rPr>
          <w:fldChar w:fldCharType="end"/>
        </w:r>
      </w:hyperlink>
    </w:p>
    <w:p w14:paraId="00277248" w14:textId="77777777" w:rsidR="000873B0" w:rsidRDefault="00531473">
      <w:pPr>
        <w:pStyle w:val="TOC2"/>
        <w:rPr>
          <w:rFonts w:asciiTheme="minorHAnsi" w:eastAsiaTheme="minorEastAsia" w:hAnsiTheme="minorHAnsi" w:cstheme="minorBidi"/>
          <w:noProof/>
          <w:szCs w:val="22"/>
          <w:lang w:val="en-CA" w:eastAsia="en-CA"/>
        </w:rPr>
      </w:pPr>
      <w:hyperlink w:anchor="_Toc423438718" w:history="1">
        <w:r w:rsidR="000873B0" w:rsidRPr="005F3DE9">
          <w:rPr>
            <w:rStyle w:val="Hyperlink"/>
            <w:noProof/>
            <w:lang w:val="en-CA"/>
          </w:rPr>
          <w:t>6.6</w:t>
        </w:r>
        <w:r w:rsidR="000873B0">
          <w:rPr>
            <w:rFonts w:asciiTheme="minorHAnsi" w:eastAsiaTheme="minorEastAsia" w:hAnsiTheme="minorHAnsi" w:cstheme="minorBidi"/>
            <w:noProof/>
            <w:szCs w:val="22"/>
            <w:lang w:val="en-CA" w:eastAsia="en-CA"/>
          </w:rPr>
          <w:tab/>
        </w:r>
        <w:r w:rsidR="000873B0" w:rsidRPr="005F3DE9">
          <w:rPr>
            <w:rStyle w:val="Hyperlink"/>
            <w:noProof/>
            <w:lang w:val="en-CA"/>
          </w:rPr>
          <w:t>Working with Government Departments</w:t>
        </w:r>
        <w:r w:rsidR="000873B0">
          <w:rPr>
            <w:noProof/>
            <w:webHidden/>
          </w:rPr>
          <w:tab/>
        </w:r>
        <w:r w:rsidR="000873B0">
          <w:rPr>
            <w:noProof/>
            <w:webHidden/>
          </w:rPr>
          <w:fldChar w:fldCharType="begin"/>
        </w:r>
        <w:r w:rsidR="000873B0">
          <w:rPr>
            <w:noProof/>
            <w:webHidden/>
          </w:rPr>
          <w:instrText xml:space="preserve"> PAGEREF _Toc423438718 \h </w:instrText>
        </w:r>
        <w:r w:rsidR="000873B0">
          <w:rPr>
            <w:noProof/>
            <w:webHidden/>
          </w:rPr>
        </w:r>
        <w:r w:rsidR="000873B0">
          <w:rPr>
            <w:noProof/>
            <w:webHidden/>
          </w:rPr>
          <w:fldChar w:fldCharType="separate"/>
        </w:r>
        <w:r w:rsidR="006C2AB4">
          <w:rPr>
            <w:noProof/>
            <w:webHidden/>
          </w:rPr>
          <w:t>6-3</w:t>
        </w:r>
        <w:r w:rsidR="000873B0">
          <w:rPr>
            <w:noProof/>
            <w:webHidden/>
          </w:rPr>
          <w:fldChar w:fldCharType="end"/>
        </w:r>
      </w:hyperlink>
    </w:p>
    <w:p w14:paraId="0457EAEF" w14:textId="77777777" w:rsidR="000873B0" w:rsidRDefault="00531473">
      <w:pPr>
        <w:pStyle w:val="TOC2"/>
        <w:rPr>
          <w:rFonts w:asciiTheme="minorHAnsi" w:eastAsiaTheme="minorEastAsia" w:hAnsiTheme="minorHAnsi" w:cstheme="minorBidi"/>
          <w:noProof/>
          <w:szCs w:val="22"/>
          <w:lang w:val="en-CA" w:eastAsia="en-CA"/>
        </w:rPr>
      </w:pPr>
      <w:hyperlink w:anchor="_Toc423438719" w:history="1">
        <w:r w:rsidR="000873B0" w:rsidRPr="005F3DE9">
          <w:rPr>
            <w:rStyle w:val="Hyperlink"/>
            <w:noProof/>
            <w:lang w:val="en-CA"/>
          </w:rPr>
          <w:t>6.7</w:t>
        </w:r>
        <w:r w:rsidR="000873B0">
          <w:rPr>
            <w:rFonts w:asciiTheme="minorHAnsi" w:eastAsiaTheme="minorEastAsia" w:hAnsiTheme="minorHAnsi" w:cstheme="minorBidi"/>
            <w:noProof/>
            <w:szCs w:val="22"/>
            <w:lang w:val="en-CA" w:eastAsia="en-CA"/>
          </w:rPr>
          <w:tab/>
        </w:r>
        <w:r w:rsidR="000873B0" w:rsidRPr="005F3DE9">
          <w:rPr>
            <w:rStyle w:val="Hyperlink"/>
            <w:noProof/>
            <w:lang w:val="en-CA"/>
          </w:rPr>
          <w:t>Initiatives to Improve Sustainability</w:t>
        </w:r>
        <w:r w:rsidR="000873B0">
          <w:rPr>
            <w:noProof/>
            <w:webHidden/>
          </w:rPr>
          <w:tab/>
        </w:r>
        <w:r w:rsidR="000873B0">
          <w:rPr>
            <w:noProof/>
            <w:webHidden/>
          </w:rPr>
          <w:fldChar w:fldCharType="begin"/>
        </w:r>
        <w:r w:rsidR="000873B0">
          <w:rPr>
            <w:noProof/>
            <w:webHidden/>
          </w:rPr>
          <w:instrText xml:space="preserve"> PAGEREF _Toc423438719 \h </w:instrText>
        </w:r>
        <w:r w:rsidR="000873B0">
          <w:rPr>
            <w:noProof/>
            <w:webHidden/>
          </w:rPr>
        </w:r>
        <w:r w:rsidR="000873B0">
          <w:rPr>
            <w:noProof/>
            <w:webHidden/>
          </w:rPr>
          <w:fldChar w:fldCharType="separate"/>
        </w:r>
        <w:r w:rsidR="006C2AB4">
          <w:rPr>
            <w:noProof/>
            <w:webHidden/>
          </w:rPr>
          <w:t>6-3</w:t>
        </w:r>
        <w:r w:rsidR="000873B0">
          <w:rPr>
            <w:noProof/>
            <w:webHidden/>
          </w:rPr>
          <w:fldChar w:fldCharType="end"/>
        </w:r>
      </w:hyperlink>
    </w:p>
    <w:p w14:paraId="3BDC7DD6" w14:textId="77777777" w:rsidR="000873B0" w:rsidRDefault="00531473">
      <w:pPr>
        <w:pStyle w:val="TOC3"/>
        <w:rPr>
          <w:rFonts w:asciiTheme="minorHAnsi" w:eastAsiaTheme="minorEastAsia" w:hAnsiTheme="minorHAnsi" w:cstheme="minorBidi"/>
          <w:noProof/>
          <w:sz w:val="22"/>
          <w:szCs w:val="22"/>
          <w:lang w:val="en-CA" w:eastAsia="en-CA"/>
        </w:rPr>
      </w:pPr>
      <w:hyperlink w:anchor="_Toc423438720" w:history="1">
        <w:r w:rsidR="000873B0" w:rsidRPr="005F3DE9">
          <w:rPr>
            <w:rStyle w:val="Hyperlink"/>
            <w:noProof/>
            <w:lang w:val="en-CA"/>
          </w:rPr>
          <w:t>6.7.1</w:t>
        </w:r>
        <w:r w:rsidR="000873B0">
          <w:rPr>
            <w:rFonts w:asciiTheme="minorHAnsi" w:eastAsiaTheme="minorEastAsia" w:hAnsiTheme="minorHAnsi" w:cstheme="minorBidi"/>
            <w:noProof/>
            <w:sz w:val="22"/>
            <w:szCs w:val="22"/>
            <w:lang w:val="en-CA" w:eastAsia="en-CA"/>
          </w:rPr>
          <w:tab/>
        </w:r>
        <w:r w:rsidR="000873B0" w:rsidRPr="005F3DE9">
          <w:rPr>
            <w:rStyle w:val="Hyperlink"/>
            <w:noProof/>
            <w:lang w:val="en-CA"/>
          </w:rPr>
          <w:t>Strategy for developing women leaders</w:t>
        </w:r>
        <w:r w:rsidR="000873B0">
          <w:rPr>
            <w:noProof/>
            <w:webHidden/>
          </w:rPr>
          <w:tab/>
        </w:r>
        <w:r w:rsidR="000873B0">
          <w:rPr>
            <w:noProof/>
            <w:webHidden/>
          </w:rPr>
          <w:fldChar w:fldCharType="begin"/>
        </w:r>
        <w:r w:rsidR="000873B0">
          <w:rPr>
            <w:noProof/>
            <w:webHidden/>
          </w:rPr>
          <w:instrText xml:space="preserve"> PAGEREF _Toc423438720 \h </w:instrText>
        </w:r>
        <w:r w:rsidR="000873B0">
          <w:rPr>
            <w:noProof/>
            <w:webHidden/>
          </w:rPr>
        </w:r>
        <w:r w:rsidR="000873B0">
          <w:rPr>
            <w:noProof/>
            <w:webHidden/>
          </w:rPr>
          <w:fldChar w:fldCharType="separate"/>
        </w:r>
        <w:r w:rsidR="006C2AB4">
          <w:rPr>
            <w:noProof/>
            <w:webHidden/>
          </w:rPr>
          <w:t>6-3</w:t>
        </w:r>
        <w:r w:rsidR="000873B0">
          <w:rPr>
            <w:noProof/>
            <w:webHidden/>
          </w:rPr>
          <w:fldChar w:fldCharType="end"/>
        </w:r>
      </w:hyperlink>
    </w:p>
    <w:p w14:paraId="14D446A2" w14:textId="77777777" w:rsidR="000873B0" w:rsidRDefault="00531473">
      <w:pPr>
        <w:pStyle w:val="TOC3"/>
        <w:rPr>
          <w:rFonts w:asciiTheme="minorHAnsi" w:eastAsiaTheme="minorEastAsia" w:hAnsiTheme="minorHAnsi" w:cstheme="minorBidi"/>
          <w:noProof/>
          <w:sz w:val="22"/>
          <w:szCs w:val="22"/>
          <w:lang w:val="en-CA" w:eastAsia="en-CA"/>
        </w:rPr>
      </w:pPr>
      <w:hyperlink w:anchor="_Toc423438721" w:history="1">
        <w:r w:rsidR="000873B0" w:rsidRPr="005F3DE9">
          <w:rPr>
            <w:rStyle w:val="Hyperlink"/>
            <w:noProof/>
          </w:rPr>
          <w:t>6.7.2</w:t>
        </w:r>
        <w:r w:rsidR="000873B0">
          <w:rPr>
            <w:rFonts w:asciiTheme="minorHAnsi" w:eastAsiaTheme="minorEastAsia" w:hAnsiTheme="minorHAnsi" w:cstheme="minorBidi"/>
            <w:noProof/>
            <w:sz w:val="22"/>
            <w:szCs w:val="22"/>
            <w:lang w:val="en-CA" w:eastAsia="en-CA"/>
          </w:rPr>
          <w:tab/>
        </w:r>
        <w:r w:rsidR="000873B0" w:rsidRPr="005F3DE9">
          <w:rPr>
            <w:rStyle w:val="Hyperlink"/>
            <w:noProof/>
          </w:rPr>
          <w:t>Innovation</w:t>
        </w:r>
        <w:r w:rsidR="000873B0">
          <w:rPr>
            <w:noProof/>
            <w:webHidden/>
          </w:rPr>
          <w:tab/>
        </w:r>
        <w:r w:rsidR="000873B0">
          <w:rPr>
            <w:noProof/>
            <w:webHidden/>
          </w:rPr>
          <w:fldChar w:fldCharType="begin"/>
        </w:r>
        <w:r w:rsidR="000873B0">
          <w:rPr>
            <w:noProof/>
            <w:webHidden/>
          </w:rPr>
          <w:instrText xml:space="preserve"> PAGEREF _Toc423438721 \h </w:instrText>
        </w:r>
        <w:r w:rsidR="000873B0">
          <w:rPr>
            <w:noProof/>
            <w:webHidden/>
          </w:rPr>
        </w:r>
        <w:r w:rsidR="000873B0">
          <w:rPr>
            <w:noProof/>
            <w:webHidden/>
          </w:rPr>
          <w:fldChar w:fldCharType="separate"/>
        </w:r>
        <w:r w:rsidR="006C2AB4">
          <w:rPr>
            <w:noProof/>
            <w:webHidden/>
          </w:rPr>
          <w:t>6-3</w:t>
        </w:r>
        <w:r w:rsidR="000873B0">
          <w:rPr>
            <w:noProof/>
            <w:webHidden/>
          </w:rPr>
          <w:fldChar w:fldCharType="end"/>
        </w:r>
      </w:hyperlink>
    </w:p>
    <w:p w14:paraId="2EA677EA" w14:textId="77777777" w:rsidR="000873B0" w:rsidRDefault="00531473">
      <w:pPr>
        <w:pStyle w:val="TOC3"/>
        <w:rPr>
          <w:rFonts w:asciiTheme="minorHAnsi" w:eastAsiaTheme="minorEastAsia" w:hAnsiTheme="minorHAnsi" w:cstheme="minorBidi"/>
          <w:noProof/>
          <w:sz w:val="22"/>
          <w:szCs w:val="22"/>
          <w:lang w:val="en-CA" w:eastAsia="en-CA"/>
        </w:rPr>
      </w:pPr>
      <w:hyperlink w:anchor="_Toc423438722" w:history="1">
        <w:r w:rsidR="000873B0" w:rsidRPr="005F3DE9">
          <w:rPr>
            <w:rStyle w:val="Hyperlink"/>
            <w:noProof/>
            <w:lang w:val="en-CA"/>
          </w:rPr>
          <w:t>6.7.3</w:t>
        </w:r>
        <w:r w:rsidR="000873B0">
          <w:rPr>
            <w:rFonts w:asciiTheme="minorHAnsi" w:eastAsiaTheme="minorEastAsia" w:hAnsiTheme="minorHAnsi" w:cstheme="minorBidi"/>
            <w:noProof/>
            <w:sz w:val="22"/>
            <w:szCs w:val="22"/>
            <w:lang w:val="en-CA" w:eastAsia="en-CA"/>
          </w:rPr>
          <w:tab/>
        </w:r>
        <w:r w:rsidR="000873B0" w:rsidRPr="005F3DE9">
          <w:rPr>
            <w:rStyle w:val="Hyperlink"/>
            <w:noProof/>
            <w:lang w:val="en-CA"/>
          </w:rPr>
          <w:t>Building adaptive learning systems</w:t>
        </w:r>
        <w:r w:rsidR="000873B0">
          <w:rPr>
            <w:noProof/>
            <w:webHidden/>
          </w:rPr>
          <w:tab/>
        </w:r>
        <w:r w:rsidR="000873B0">
          <w:rPr>
            <w:noProof/>
            <w:webHidden/>
          </w:rPr>
          <w:fldChar w:fldCharType="begin"/>
        </w:r>
        <w:r w:rsidR="000873B0">
          <w:rPr>
            <w:noProof/>
            <w:webHidden/>
          </w:rPr>
          <w:instrText xml:space="preserve"> PAGEREF _Toc423438722 \h </w:instrText>
        </w:r>
        <w:r w:rsidR="000873B0">
          <w:rPr>
            <w:noProof/>
            <w:webHidden/>
          </w:rPr>
        </w:r>
        <w:r w:rsidR="000873B0">
          <w:rPr>
            <w:noProof/>
            <w:webHidden/>
          </w:rPr>
          <w:fldChar w:fldCharType="separate"/>
        </w:r>
        <w:r w:rsidR="006C2AB4">
          <w:rPr>
            <w:noProof/>
            <w:webHidden/>
          </w:rPr>
          <w:t>6-4</w:t>
        </w:r>
        <w:r w:rsidR="000873B0">
          <w:rPr>
            <w:noProof/>
            <w:webHidden/>
          </w:rPr>
          <w:fldChar w:fldCharType="end"/>
        </w:r>
      </w:hyperlink>
    </w:p>
    <w:p w14:paraId="4353154A" w14:textId="77777777" w:rsidR="000873B0" w:rsidRDefault="00531473">
      <w:pPr>
        <w:pStyle w:val="TOC2"/>
        <w:rPr>
          <w:rFonts w:asciiTheme="minorHAnsi" w:eastAsiaTheme="minorEastAsia" w:hAnsiTheme="minorHAnsi" w:cstheme="minorBidi"/>
          <w:noProof/>
          <w:szCs w:val="22"/>
          <w:lang w:val="en-CA" w:eastAsia="en-CA"/>
        </w:rPr>
      </w:pPr>
      <w:hyperlink w:anchor="_Toc423438723" w:history="1">
        <w:r w:rsidR="000873B0" w:rsidRPr="005F3DE9">
          <w:rPr>
            <w:rStyle w:val="Hyperlink"/>
            <w:noProof/>
            <w:lang w:val="en-CA"/>
          </w:rPr>
          <w:t>6.8</w:t>
        </w:r>
        <w:r w:rsidR="000873B0">
          <w:rPr>
            <w:rFonts w:asciiTheme="minorHAnsi" w:eastAsiaTheme="minorEastAsia" w:hAnsiTheme="minorHAnsi" w:cstheme="minorBidi"/>
            <w:noProof/>
            <w:szCs w:val="22"/>
            <w:lang w:val="en-CA" w:eastAsia="en-CA"/>
          </w:rPr>
          <w:tab/>
        </w:r>
        <w:r w:rsidR="000873B0" w:rsidRPr="005F3DE9">
          <w:rPr>
            <w:rStyle w:val="Hyperlink"/>
            <w:noProof/>
            <w:lang w:val="en-CA"/>
          </w:rPr>
          <w:t>Testing New Approaches</w:t>
        </w:r>
        <w:r w:rsidR="000873B0">
          <w:rPr>
            <w:noProof/>
            <w:webHidden/>
          </w:rPr>
          <w:tab/>
        </w:r>
        <w:r w:rsidR="000873B0">
          <w:rPr>
            <w:noProof/>
            <w:webHidden/>
          </w:rPr>
          <w:fldChar w:fldCharType="begin"/>
        </w:r>
        <w:r w:rsidR="000873B0">
          <w:rPr>
            <w:noProof/>
            <w:webHidden/>
          </w:rPr>
          <w:instrText xml:space="preserve"> PAGEREF _Toc423438723 \h </w:instrText>
        </w:r>
        <w:r w:rsidR="000873B0">
          <w:rPr>
            <w:noProof/>
            <w:webHidden/>
          </w:rPr>
        </w:r>
        <w:r w:rsidR="000873B0">
          <w:rPr>
            <w:noProof/>
            <w:webHidden/>
          </w:rPr>
          <w:fldChar w:fldCharType="separate"/>
        </w:r>
        <w:r w:rsidR="006C2AB4">
          <w:rPr>
            <w:noProof/>
            <w:webHidden/>
          </w:rPr>
          <w:t>6-4</w:t>
        </w:r>
        <w:r w:rsidR="000873B0">
          <w:rPr>
            <w:noProof/>
            <w:webHidden/>
          </w:rPr>
          <w:fldChar w:fldCharType="end"/>
        </w:r>
      </w:hyperlink>
    </w:p>
    <w:p w14:paraId="65648415" w14:textId="77777777" w:rsidR="000873B0" w:rsidRDefault="00531473">
      <w:pPr>
        <w:pStyle w:val="TOC3"/>
        <w:rPr>
          <w:rFonts w:asciiTheme="minorHAnsi" w:eastAsiaTheme="minorEastAsia" w:hAnsiTheme="minorHAnsi" w:cstheme="minorBidi"/>
          <w:noProof/>
          <w:sz w:val="22"/>
          <w:szCs w:val="22"/>
          <w:lang w:val="en-CA" w:eastAsia="en-CA"/>
        </w:rPr>
      </w:pPr>
      <w:hyperlink w:anchor="_Toc423438724" w:history="1">
        <w:r w:rsidR="000873B0" w:rsidRPr="005F3DE9">
          <w:rPr>
            <w:rStyle w:val="Hyperlink"/>
            <w:noProof/>
            <w:lang w:val="en-CA"/>
          </w:rPr>
          <w:t>6.8.1</w:t>
        </w:r>
        <w:r w:rsidR="000873B0">
          <w:rPr>
            <w:rFonts w:asciiTheme="minorHAnsi" w:eastAsiaTheme="minorEastAsia" w:hAnsiTheme="minorHAnsi" w:cstheme="minorBidi"/>
            <w:noProof/>
            <w:sz w:val="22"/>
            <w:szCs w:val="22"/>
            <w:lang w:val="en-CA" w:eastAsia="en-CA"/>
          </w:rPr>
          <w:tab/>
        </w:r>
        <w:r w:rsidR="000873B0" w:rsidRPr="005F3DE9">
          <w:rPr>
            <w:rStyle w:val="Hyperlink"/>
            <w:noProof/>
            <w:lang w:val="en-CA"/>
          </w:rPr>
          <w:t>Religious and customary leaders</w:t>
        </w:r>
        <w:r w:rsidR="000873B0">
          <w:rPr>
            <w:noProof/>
            <w:webHidden/>
          </w:rPr>
          <w:tab/>
        </w:r>
        <w:r w:rsidR="000873B0">
          <w:rPr>
            <w:noProof/>
            <w:webHidden/>
          </w:rPr>
          <w:fldChar w:fldCharType="begin"/>
        </w:r>
        <w:r w:rsidR="000873B0">
          <w:rPr>
            <w:noProof/>
            <w:webHidden/>
          </w:rPr>
          <w:instrText xml:space="preserve"> PAGEREF _Toc423438724 \h </w:instrText>
        </w:r>
        <w:r w:rsidR="000873B0">
          <w:rPr>
            <w:noProof/>
            <w:webHidden/>
          </w:rPr>
        </w:r>
        <w:r w:rsidR="000873B0">
          <w:rPr>
            <w:noProof/>
            <w:webHidden/>
          </w:rPr>
          <w:fldChar w:fldCharType="separate"/>
        </w:r>
        <w:r w:rsidR="006C2AB4">
          <w:rPr>
            <w:noProof/>
            <w:webHidden/>
          </w:rPr>
          <w:t>6-4</w:t>
        </w:r>
        <w:r w:rsidR="000873B0">
          <w:rPr>
            <w:noProof/>
            <w:webHidden/>
          </w:rPr>
          <w:fldChar w:fldCharType="end"/>
        </w:r>
      </w:hyperlink>
    </w:p>
    <w:p w14:paraId="5C2C0F6A" w14:textId="77777777" w:rsidR="000873B0" w:rsidRDefault="00531473">
      <w:pPr>
        <w:pStyle w:val="TOC3"/>
        <w:rPr>
          <w:rFonts w:asciiTheme="minorHAnsi" w:eastAsiaTheme="minorEastAsia" w:hAnsiTheme="minorHAnsi" w:cstheme="minorBidi"/>
          <w:noProof/>
          <w:sz w:val="22"/>
          <w:szCs w:val="22"/>
          <w:lang w:val="en-CA" w:eastAsia="en-CA"/>
        </w:rPr>
      </w:pPr>
      <w:hyperlink w:anchor="_Toc423438725" w:history="1">
        <w:r w:rsidR="000873B0" w:rsidRPr="005F3DE9">
          <w:rPr>
            <w:rStyle w:val="Hyperlink"/>
            <w:noProof/>
            <w:lang w:val="en-CA"/>
          </w:rPr>
          <w:t>6.8.2</w:t>
        </w:r>
        <w:r w:rsidR="000873B0">
          <w:rPr>
            <w:rFonts w:asciiTheme="minorHAnsi" w:eastAsiaTheme="minorEastAsia" w:hAnsiTheme="minorHAnsi" w:cstheme="minorBidi"/>
            <w:noProof/>
            <w:sz w:val="22"/>
            <w:szCs w:val="22"/>
            <w:lang w:val="en-CA" w:eastAsia="en-CA"/>
          </w:rPr>
          <w:tab/>
        </w:r>
        <w:r w:rsidR="000873B0" w:rsidRPr="005F3DE9">
          <w:rPr>
            <w:rStyle w:val="Hyperlink"/>
            <w:noProof/>
            <w:lang w:val="en-CA"/>
          </w:rPr>
          <w:t>Challenging discriminatory laws and bylaws</w:t>
        </w:r>
        <w:r w:rsidR="000873B0">
          <w:rPr>
            <w:noProof/>
            <w:webHidden/>
          </w:rPr>
          <w:tab/>
        </w:r>
        <w:r w:rsidR="000873B0">
          <w:rPr>
            <w:noProof/>
            <w:webHidden/>
          </w:rPr>
          <w:fldChar w:fldCharType="begin"/>
        </w:r>
        <w:r w:rsidR="000873B0">
          <w:rPr>
            <w:noProof/>
            <w:webHidden/>
          </w:rPr>
          <w:instrText xml:space="preserve"> PAGEREF _Toc423438725 \h </w:instrText>
        </w:r>
        <w:r w:rsidR="000873B0">
          <w:rPr>
            <w:noProof/>
            <w:webHidden/>
          </w:rPr>
        </w:r>
        <w:r w:rsidR="000873B0">
          <w:rPr>
            <w:noProof/>
            <w:webHidden/>
          </w:rPr>
          <w:fldChar w:fldCharType="separate"/>
        </w:r>
        <w:r w:rsidR="006C2AB4">
          <w:rPr>
            <w:noProof/>
            <w:webHidden/>
          </w:rPr>
          <w:t>6-4</w:t>
        </w:r>
        <w:r w:rsidR="000873B0">
          <w:rPr>
            <w:noProof/>
            <w:webHidden/>
          </w:rPr>
          <w:fldChar w:fldCharType="end"/>
        </w:r>
      </w:hyperlink>
    </w:p>
    <w:p w14:paraId="21584407" w14:textId="77777777" w:rsidR="000873B0" w:rsidRDefault="00531473">
      <w:pPr>
        <w:pStyle w:val="TOC3"/>
        <w:rPr>
          <w:rFonts w:asciiTheme="minorHAnsi" w:eastAsiaTheme="minorEastAsia" w:hAnsiTheme="minorHAnsi" w:cstheme="minorBidi"/>
          <w:noProof/>
          <w:sz w:val="22"/>
          <w:szCs w:val="22"/>
          <w:lang w:val="en-CA" w:eastAsia="en-CA"/>
        </w:rPr>
      </w:pPr>
      <w:hyperlink w:anchor="_Toc423438726" w:history="1">
        <w:r w:rsidR="000873B0" w:rsidRPr="005F3DE9">
          <w:rPr>
            <w:rStyle w:val="Hyperlink"/>
            <w:noProof/>
            <w:lang w:val="en-CA"/>
          </w:rPr>
          <w:t>6.8.3</w:t>
        </w:r>
        <w:r w:rsidR="000873B0">
          <w:rPr>
            <w:rFonts w:asciiTheme="minorHAnsi" w:eastAsiaTheme="minorEastAsia" w:hAnsiTheme="minorHAnsi" w:cstheme="minorBidi"/>
            <w:noProof/>
            <w:sz w:val="22"/>
            <w:szCs w:val="22"/>
            <w:lang w:val="en-CA" w:eastAsia="en-CA"/>
          </w:rPr>
          <w:tab/>
        </w:r>
        <w:r w:rsidR="000873B0" w:rsidRPr="005F3DE9">
          <w:rPr>
            <w:rStyle w:val="Hyperlink"/>
            <w:noProof/>
            <w:lang w:val="en-CA"/>
          </w:rPr>
          <w:t>Engaging men as agents of empowerment</w:t>
        </w:r>
        <w:r w:rsidR="000873B0">
          <w:rPr>
            <w:noProof/>
            <w:webHidden/>
          </w:rPr>
          <w:tab/>
        </w:r>
        <w:r w:rsidR="000873B0">
          <w:rPr>
            <w:noProof/>
            <w:webHidden/>
          </w:rPr>
          <w:fldChar w:fldCharType="begin"/>
        </w:r>
        <w:r w:rsidR="000873B0">
          <w:rPr>
            <w:noProof/>
            <w:webHidden/>
          </w:rPr>
          <w:instrText xml:space="preserve"> PAGEREF _Toc423438726 \h </w:instrText>
        </w:r>
        <w:r w:rsidR="000873B0">
          <w:rPr>
            <w:noProof/>
            <w:webHidden/>
          </w:rPr>
        </w:r>
        <w:r w:rsidR="000873B0">
          <w:rPr>
            <w:noProof/>
            <w:webHidden/>
          </w:rPr>
          <w:fldChar w:fldCharType="separate"/>
        </w:r>
        <w:r w:rsidR="006C2AB4">
          <w:rPr>
            <w:noProof/>
            <w:webHidden/>
          </w:rPr>
          <w:t>6-5</w:t>
        </w:r>
        <w:r w:rsidR="000873B0">
          <w:rPr>
            <w:noProof/>
            <w:webHidden/>
          </w:rPr>
          <w:fldChar w:fldCharType="end"/>
        </w:r>
      </w:hyperlink>
    </w:p>
    <w:p w14:paraId="5236974F" w14:textId="77777777" w:rsidR="000873B0" w:rsidRDefault="00531473">
      <w:pPr>
        <w:pStyle w:val="TOC3"/>
        <w:rPr>
          <w:rFonts w:asciiTheme="minorHAnsi" w:eastAsiaTheme="minorEastAsia" w:hAnsiTheme="minorHAnsi" w:cstheme="minorBidi"/>
          <w:noProof/>
          <w:sz w:val="22"/>
          <w:szCs w:val="22"/>
          <w:lang w:val="en-CA" w:eastAsia="en-CA"/>
        </w:rPr>
      </w:pPr>
      <w:hyperlink w:anchor="_Toc423438727" w:history="1">
        <w:r w:rsidR="000873B0" w:rsidRPr="005F3DE9">
          <w:rPr>
            <w:rStyle w:val="Hyperlink"/>
            <w:noProof/>
          </w:rPr>
          <w:t>6.8.4</w:t>
        </w:r>
        <w:r w:rsidR="000873B0">
          <w:rPr>
            <w:rFonts w:asciiTheme="minorHAnsi" w:eastAsiaTheme="minorEastAsia" w:hAnsiTheme="minorHAnsi" w:cstheme="minorBidi"/>
            <w:noProof/>
            <w:sz w:val="22"/>
            <w:szCs w:val="22"/>
            <w:lang w:val="en-CA" w:eastAsia="en-CA"/>
          </w:rPr>
          <w:tab/>
        </w:r>
        <w:r w:rsidR="000873B0" w:rsidRPr="005F3DE9">
          <w:rPr>
            <w:rStyle w:val="Hyperlink"/>
            <w:noProof/>
          </w:rPr>
          <w:t>Expanding into Papua</w:t>
        </w:r>
        <w:r w:rsidR="000873B0">
          <w:rPr>
            <w:noProof/>
            <w:webHidden/>
          </w:rPr>
          <w:tab/>
        </w:r>
        <w:r w:rsidR="000873B0">
          <w:rPr>
            <w:noProof/>
            <w:webHidden/>
          </w:rPr>
          <w:fldChar w:fldCharType="begin"/>
        </w:r>
        <w:r w:rsidR="000873B0">
          <w:rPr>
            <w:noProof/>
            <w:webHidden/>
          </w:rPr>
          <w:instrText xml:space="preserve"> PAGEREF _Toc423438727 \h </w:instrText>
        </w:r>
        <w:r w:rsidR="000873B0">
          <w:rPr>
            <w:noProof/>
            <w:webHidden/>
          </w:rPr>
        </w:r>
        <w:r w:rsidR="000873B0">
          <w:rPr>
            <w:noProof/>
            <w:webHidden/>
          </w:rPr>
          <w:fldChar w:fldCharType="separate"/>
        </w:r>
        <w:r w:rsidR="006C2AB4">
          <w:rPr>
            <w:noProof/>
            <w:webHidden/>
          </w:rPr>
          <w:t>6-5</w:t>
        </w:r>
        <w:r w:rsidR="000873B0">
          <w:rPr>
            <w:noProof/>
            <w:webHidden/>
          </w:rPr>
          <w:fldChar w:fldCharType="end"/>
        </w:r>
      </w:hyperlink>
    </w:p>
    <w:p w14:paraId="13579894" w14:textId="77777777" w:rsidR="000873B0" w:rsidRDefault="00531473">
      <w:pPr>
        <w:pStyle w:val="TOC3"/>
        <w:rPr>
          <w:rFonts w:asciiTheme="minorHAnsi" w:eastAsiaTheme="minorEastAsia" w:hAnsiTheme="minorHAnsi" w:cstheme="minorBidi"/>
          <w:noProof/>
          <w:sz w:val="22"/>
          <w:szCs w:val="22"/>
          <w:lang w:val="en-CA" w:eastAsia="en-CA"/>
        </w:rPr>
      </w:pPr>
      <w:hyperlink w:anchor="_Toc423438728" w:history="1">
        <w:r w:rsidR="000873B0" w:rsidRPr="005F3DE9">
          <w:rPr>
            <w:rStyle w:val="Hyperlink"/>
            <w:noProof/>
          </w:rPr>
          <w:t>6.8.5</w:t>
        </w:r>
        <w:r w:rsidR="000873B0">
          <w:rPr>
            <w:rFonts w:asciiTheme="minorHAnsi" w:eastAsiaTheme="minorEastAsia" w:hAnsiTheme="minorHAnsi" w:cstheme="minorBidi"/>
            <w:noProof/>
            <w:sz w:val="22"/>
            <w:szCs w:val="22"/>
            <w:lang w:val="en-CA" w:eastAsia="en-CA"/>
          </w:rPr>
          <w:tab/>
        </w:r>
        <w:r w:rsidR="000873B0" w:rsidRPr="005F3DE9">
          <w:rPr>
            <w:rStyle w:val="Hyperlink"/>
            <w:noProof/>
          </w:rPr>
          <w:t>Homeworkers: the invisible worker bees of Indonesia’s economy</w:t>
        </w:r>
        <w:r w:rsidR="000873B0">
          <w:rPr>
            <w:noProof/>
            <w:webHidden/>
          </w:rPr>
          <w:tab/>
        </w:r>
        <w:r w:rsidR="000873B0">
          <w:rPr>
            <w:noProof/>
            <w:webHidden/>
          </w:rPr>
          <w:fldChar w:fldCharType="begin"/>
        </w:r>
        <w:r w:rsidR="000873B0">
          <w:rPr>
            <w:noProof/>
            <w:webHidden/>
          </w:rPr>
          <w:instrText xml:space="preserve"> PAGEREF _Toc423438728 \h </w:instrText>
        </w:r>
        <w:r w:rsidR="000873B0">
          <w:rPr>
            <w:noProof/>
            <w:webHidden/>
          </w:rPr>
        </w:r>
        <w:r w:rsidR="000873B0">
          <w:rPr>
            <w:noProof/>
            <w:webHidden/>
          </w:rPr>
          <w:fldChar w:fldCharType="separate"/>
        </w:r>
        <w:r w:rsidR="006C2AB4">
          <w:rPr>
            <w:noProof/>
            <w:webHidden/>
          </w:rPr>
          <w:t>6-5</w:t>
        </w:r>
        <w:r w:rsidR="000873B0">
          <w:rPr>
            <w:noProof/>
            <w:webHidden/>
          </w:rPr>
          <w:fldChar w:fldCharType="end"/>
        </w:r>
      </w:hyperlink>
    </w:p>
    <w:p w14:paraId="2285284E" w14:textId="77777777" w:rsidR="000873B0" w:rsidRDefault="00531473">
      <w:pPr>
        <w:pStyle w:val="TOC2"/>
        <w:rPr>
          <w:rFonts w:asciiTheme="minorHAnsi" w:eastAsiaTheme="minorEastAsia" w:hAnsiTheme="minorHAnsi" w:cstheme="minorBidi"/>
          <w:noProof/>
          <w:szCs w:val="22"/>
          <w:lang w:val="en-CA" w:eastAsia="en-CA"/>
        </w:rPr>
      </w:pPr>
      <w:hyperlink w:anchor="_Toc423438729" w:history="1">
        <w:r w:rsidR="000873B0" w:rsidRPr="005F3DE9">
          <w:rPr>
            <w:rStyle w:val="Hyperlink"/>
            <w:noProof/>
            <w:lang w:val="en-CA"/>
          </w:rPr>
          <w:t>6.9</w:t>
        </w:r>
        <w:r w:rsidR="000873B0">
          <w:rPr>
            <w:rFonts w:asciiTheme="minorHAnsi" w:eastAsiaTheme="minorEastAsia" w:hAnsiTheme="minorHAnsi" w:cstheme="minorBidi"/>
            <w:noProof/>
            <w:szCs w:val="22"/>
            <w:lang w:val="en-CA" w:eastAsia="en-CA"/>
          </w:rPr>
          <w:tab/>
        </w:r>
        <w:r w:rsidR="000873B0" w:rsidRPr="005F3DE9">
          <w:rPr>
            <w:rStyle w:val="Hyperlink"/>
            <w:noProof/>
            <w:lang w:val="en-CA"/>
          </w:rPr>
          <w:t>On-Going and Potential Collaboration with Programs in AIP</w:t>
        </w:r>
        <w:r w:rsidR="000873B0">
          <w:rPr>
            <w:noProof/>
            <w:webHidden/>
          </w:rPr>
          <w:tab/>
        </w:r>
        <w:r w:rsidR="000873B0">
          <w:rPr>
            <w:noProof/>
            <w:webHidden/>
          </w:rPr>
          <w:fldChar w:fldCharType="begin"/>
        </w:r>
        <w:r w:rsidR="000873B0">
          <w:rPr>
            <w:noProof/>
            <w:webHidden/>
          </w:rPr>
          <w:instrText xml:space="preserve"> PAGEREF _Toc423438729 \h </w:instrText>
        </w:r>
        <w:r w:rsidR="000873B0">
          <w:rPr>
            <w:noProof/>
            <w:webHidden/>
          </w:rPr>
        </w:r>
        <w:r w:rsidR="000873B0">
          <w:rPr>
            <w:noProof/>
            <w:webHidden/>
          </w:rPr>
          <w:fldChar w:fldCharType="separate"/>
        </w:r>
        <w:r w:rsidR="006C2AB4">
          <w:rPr>
            <w:noProof/>
            <w:webHidden/>
          </w:rPr>
          <w:t>6-5</w:t>
        </w:r>
        <w:r w:rsidR="000873B0">
          <w:rPr>
            <w:noProof/>
            <w:webHidden/>
          </w:rPr>
          <w:fldChar w:fldCharType="end"/>
        </w:r>
      </w:hyperlink>
    </w:p>
    <w:p w14:paraId="6967F733" w14:textId="77777777" w:rsidR="000873B0" w:rsidRDefault="00531473">
      <w:pPr>
        <w:pStyle w:val="TOC2"/>
        <w:rPr>
          <w:rFonts w:asciiTheme="minorHAnsi" w:eastAsiaTheme="minorEastAsia" w:hAnsiTheme="minorHAnsi" w:cstheme="minorBidi"/>
          <w:noProof/>
          <w:szCs w:val="22"/>
          <w:lang w:val="en-CA" w:eastAsia="en-CA"/>
        </w:rPr>
      </w:pPr>
      <w:hyperlink w:anchor="_Toc423438730" w:history="1">
        <w:r w:rsidR="000873B0" w:rsidRPr="005F3DE9">
          <w:rPr>
            <w:rStyle w:val="Hyperlink"/>
            <w:noProof/>
            <w:lang w:val="en-CA"/>
          </w:rPr>
          <w:t>6.10</w:t>
        </w:r>
        <w:r w:rsidR="000873B0">
          <w:rPr>
            <w:rFonts w:asciiTheme="minorHAnsi" w:eastAsiaTheme="minorEastAsia" w:hAnsiTheme="minorHAnsi" w:cstheme="minorBidi"/>
            <w:noProof/>
            <w:szCs w:val="22"/>
            <w:lang w:val="en-CA" w:eastAsia="en-CA"/>
          </w:rPr>
          <w:tab/>
        </w:r>
        <w:r w:rsidR="000873B0" w:rsidRPr="005F3DE9">
          <w:rPr>
            <w:rStyle w:val="Hyperlink"/>
            <w:noProof/>
            <w:lang w:val="en-CA"/>
          </w:rPr>
          <w:t>MAMPU Principles of Sustainability</w:t>
        </w:r>
        <w:r w:rsidR="000873B0">
          <w:rPr>
            <w:noProof/>
            <w:webHidden/>
          </w:rPr>
          <w:tab/>
        </w:r>
        <w:r w:rsidR="000873B0">
          <w:rPr>
            <w:noProof/>
            <w:webHidden/>
          </w:rPr>
          <w:fldChar w:fldCharType="begin"/>
        </w:r>
        <w:r w:rsidR="000873B0">
          <w:rPr>
            <w:noProof/>
            <w:webHidden/>
          </w:rPr>
          <w:instrText xml:space="preserve"> PAGEREF _Toc423438730 \h </w:instrText>
        </w:r>
        <w:r w:rsidR="000873B0">
          <w:rPr>
            <w:noProof/>
            <w:webHidden/>
          </w:rPr>
        </w:r>
        <w:r w:rsidR="000873B0">
          <w:rPr>
            <w:noProof/>
            <w:webHidden/>
          </w:rPr>
          <w:fldChar w:fldCharType="separate"/>
        </w:r>
        <w:r w:rsidR="006C2AB4">
          <w:rPr>
            <w:noProof/>
            <w:webHidden/>
          </w:rPr>
          <w:t>6-6</w:t>
        </w:r>
        <w:r w:rsidR="000873B0">
          <w:rPr>
            <w:noProof/>
            <w:webHidden/>
          </w:rPr>
          <w:fldChar w:fldCharType="end"/>
        </w:r>
      </w:hyperlink>
    </w:p>
    <w:p w14:paraId="54834893" w14:textId="77777777" w:rsidR="000873B0" w:rsidRDefault="00531473">
      <w:pPr>
        <w:pStyle w:val="TOC3"/>
        <w:rPr>
          <w:rFonts w:asciiTheme="minorHAnsi" w:eastAsiaTheme="minorEastAsia" w:hAnsiTheme="minorHAnsi" w:cstheme="minorBidi"/>
          <w:noProof/>
          <w:sz w:val="22"/>
          <w:szCs w:val="22"/>
          <w:lang w:val="en-CA" w:eastAsia="en-CA"/>
        </w:rPr>
      </w:pPr>
      <w:hyperlink w:anchor="_Toc423438731" w:history="1">
        <w:r w:rsidR="000873B0" w:rsidRPr="005F3DE9">
          <w:rPr>
            <w:rStyle w:val="Hyperlink"/>
            <w:noProof/>
          </w:rPr>
          <w:t>6.10.1</w:t>
        </w:r>
        <w:r w:rsidR="000873B0">
          <w:rPr>
            <w:rFonts w:asciiTheme="minorHAnsi" w:eastAsiaTheme="minorEastAsia" w:hAnsiTheme="minorHAnsi" w:cstheme="minorBidi"/>
            <w:noProof/>
            <w:sz w:val="22"/>
            <w:szCs w:val="22"/>
            <w:lang w:val="en-CA" w:eastAsia="en-CA"/>
          </w:rPr>
          <w:tab/>
        </w:r>
        <w:r w:rsidR="000873B0" w:rsidRPr="005F3DE9">
          <w:rPr>
            <w:rStyle w:val="Hyperlink"/>
            <w:noProof/>
          </w:rPr>
          <w:t>Invest in local systems and processes to strengthen institutional capacity</w:t>
        </w:r>
        <w:r w:rsidR="000873B0">
          <w:rPr>
            <w:noProof/>
            <w:webHidden/>
          </w:rPr>
          <w:tab/>
        </w:r>
        <w:r w:rsidR="000873B0">
          <w:rPr>
            <w:noProof/>
            <w:webHidden/>
          </w:rPr>
          <w:fldChar w:fldCharType="begin"/>
        </w:r>
        <w:r w:rsidR="000873B0">
          <w:rPr>
            <w:noProof/>
            <w:webHidden/>
          </w:rPr>
          <w:instrText xml:space="preserve"> PAGEREF _Toc423438731 \h </w:instrText>
        </w:r>
        <w:r w:rsidR="000873B0">
          <w:rPr>
            <w:noProof/>
            <w:webHidden/>
          </w:rPr>
        </w:r>
        <w:r w:rsidR="000873B0">
          <w:rPr>
            <w:noProof/>
            <w:webHidden/>
          </w:rPr>
          <w:fldChar w:fldCharType="separate"/>
        </w:r>
        <w:r w:rsidR="006C2AB4">
          <w:rPr>
            <w:noProof/>
            <w:webHidden/>
          </w:rPr>
          <w:t>6-6</w:t>
        </w:r>
        <w:r w:rsidR="000873B0">
          <w:rPr>
            <w:noProof/>
            <w:webHidden/>
          </w:rPr>
          <w:fldChar w:fldCharType="end"/>
        </w:r>
      </w:hyperlink>
    </w:p>
    <w:p w14:paraId="4B842291" w14:textId="77777777" w:rsidR="000873B0" w:rsidRDefault="00531473">
      <w:pPr>
        <w:pStyle w:val="TOC3"/>
        <w:rPr>
          <w:rFonts w:asciiTheme="minorHAnsi" w:eastAsiaTheme="minorEastAsia" w:hAnsiTheme="minorHAnsi" w:cstheme="minorBidi"/>
          <w:noProof/>
          <w:sz w:val="22"/>
          <w:szCs w:val="22"/>
          <w:lang w:val="en-CA" w:eastAsia="en-CA"/>
        </w:rPr>
      </w:pPr>
      <w:hyperlink w:anchor="_Toc423438732" w:history="1">
        <w:r w:rsidR="000873B0" w:rsidRPr="005F3DE9">
          <w:rPr>
            <w:rStyle w:val="Hyperlink"/>
            <w:noProof/>
          </w:rPr>
          <w:t>6.10.2</w:t>
        </w:r>
        <w:r w:rsidR="000873B0">
          <w:rPr>
            <w:rFonts w:asciiTheme="minorHAnsi" w:eastAsiaTheme="minorEastAsia" w:hAnsiTheme="minorHAnsi" w:cstheme="minorBidi"/>
            <w:noProof/>
            <w:sz w:val="22"/>
            <w:szCs w:val="22"/>
            <w:lang w:val="en-CA" w:eastAsia="en-CA"/>
          </w:rPr>
          <w:tab/>
        </w:r>
        <w:r w:rsidR="000873B0" w:rsidRPr="005F3DE9">
          <w:rPr>
            <w:rStyle w:val="Hyperlink"/>
            <w:noProof/>
          </w:rPr>
          <w:t>Focus on partners that lead and own solutions</w:t>
        </w:r>
        <w:r w:rsidR="000873B0">
          <w:rPr>
            <w:noProof/>
            <w:webHidden/>
          </w:rPr>
          <w:tab/>
        </w:r>
        <w:r w:rsidR="000873B0">
          <w:rPr>
            <w:noProof/>
            <w:webHidden/>
          </w:rPr>
          <w:fldChar w:fldCharType="begin"/>
        </w:r>
        <w:r w:rsidR="000873B0">
          <w:rPr>
            <w:noProof/>
            <w:webHidden/>
          </w:rPr>
          <w:instrText xml:space="preserve"> PAGEREF _Toc423438732 \h </w:instrText>
        </w:r>
        <w:r w:rsidR="000873B0">
          <w:rPr>
            <w:noProof/>
            <w:webHidden/>
          </w:rPr>
        </w:r>
        <w:r w:rsidR="000873B0">
          <w:rPr>
            <w:noProof/>
            <w:webHidden/>
          </w:rPr>
          <w:fldChar w:fldCharType="separate"/>
        </w:r>
        <w:r w:rsidR="006C2AB4">
          <w:rPr>
            <w:noProof/>
            <w:webHidden/>
          </w:rPr>
          <w:t>6-6</w:t>
        </w:r>
        <w:r w:rsidR="000873B0">
          <w:rPr>
            <w:noProof/>
            <w:webHidden/>
          </w:rPr>
          <w:fldChar w:fldCharType="end"/>
        </w:r>
      </w:hyperlink>
    </w:p>
    <w:p w14:paraId="272EF57C" w14:textId="77777777" w:rsidR="000873B0" w:rsidRDefault="00531473">
      <w:pPr>
        <w:pStyle w:val="TOC3"/>
        <w:rPr>
          <w:rFonts w:asciiTheme="minorHAnsi" w:eastAsiaTheme="minorEastAsia" w:hAnsiTheme="minorHAnsi" w:cstheme="minorBidi"/>
          <w:noProof/>
          <w:sz w:val="22"/>
          <w:szCs w:val="22"/>
          <w:lang w:val="en-CA" w:eastAsia="en-CA"/>
        </w:rPr>
      </w:pPr>
      <w:hyperlink w:anchor="_Toc423438733" w:history="1">
        <w:r w:rsidR="000873B0" w:rsidRPr="005F3DE9">
          <w:rPr>
            <w:rStyle w:val="Hyperlink"/>
            <w:noProof/>
          </w:rPr>
          <w:t>6.10.3</w:t>
        </w:r>
        <w:r w:rsidR="000873B0">
          <w:rPr>
            <w:rFonts w:asciiTheme="minorHAnsi" w:eastAsiaTheme="minorEastAsia" w:hAnsiTheme="minorHAnsi" w:cstheme="minorBidi"/>
            <w:noProof/>
            <w:sz w:val="22"/>
            <w:szCs w:val="22"/>
            <w:lang w:val="en-CA" w:eastAsia="en-CA"/>
          </w:rPr>
          <w:tab/>
        </w:r>
        <w:r w:rsidR="000873B0" w:rsidRPr="005F3DE9">
          <w:rPr>
            <w:rStyle w:val="Hyperlink"/>
            <w:noProof/>
          </w:rPr>
          <w:t>Explore opportunities for connecting partners to new networks</w:t>
        </w:r>
        <w:r w:rsidR="000873B0">
          <w:rPr>
            <w:noProof/>
            <w:webHidden/>
          </w:rPr>
          <w:tab/>
        </w:r>
        <w:r w:rsidR="000873B0">
          <w:rPr>
            <w:noProof/>
            <w:webHidden/>
          </w:rPr>
          <w:fldChar w:fldCharType="begin"/>
        </w:r>
        <w:r w:rsidR="000873B0">
          <w:rPr>
            <w:noProof/>
            <w:webHidden/>
          </w:rPr>
          <w:instrText xml:space="preserve"> PAGEREF _Toc423438733 \h </w:instrText>
        </w:r>
        <w:r w:rsidR="000873B0">
          <w:rPr>
            <w:noProof/>
            <w:webHidden/>
          </w:rPr>
        </w:r>
        <w:r w:rsidR="000873B0">
          <w:rPr>
            <w:noProof/>
            <w:webHidden/>
          </w:rPr>
          <w:fldChar w:fldCharType="separate"/>
        </w:r>
        <w:r w:rsidR="006C2AB4">
          <w:rPr>
            <w:noProof/>
            <w:webHidden/>
          </w:rPr>
          <w:t>6-6</w:t>
        </w:r>
        <w:r w:rsidR="000873B0">
          <w:rPr>
            <w:noProof/>
            <w:webHidden/>
          </w:rPr>
          <w:fldChar w:fldCharType="end"/>
        </w:r>
      </w:hyperlink>
    </w:p>
    <w:p w14:paraId="4F8C6399" w14:textId="77777777" w:rsidR="000873B0" w:rsidRDefault="00531473">
      <w:pPr>
        <w:pStyle w:val="TOC3"/>
        <w:rPr>
          <w:rFonts w:asciiTheme="minorHAnsi" w:eastAsiaTheme="minorEastAsia" w:hAnsiTheme="minorHAnsi" w:cstheme="minorBidi"/>
          <w:noProof/>
          <w:sz w:val="22"/>
          <w:szCs w:val="22"/>
          <w:lang w:val="en-CA" w:eastAsia="en-CA"/>
        </w:rPr>
      </w:pPr>
      <w:hyperlink w:anchor="_Toc423438734" w:history="1">
        <w:r w:rsidR="000873B0" w:rsidRPr="005F3DE9">
          <w:rPr>
            <w:rStyle w:val="Hyperlink"/>
            <w:noProof/>
          </w:rPr>
          <w:t>6.10.4</w:t>
        </w:r>
        <w:r w:rsidR="000873B0">
          <w:rPr>
            <w:rFonts w:asciiTheme="minorHAnsi" w:eastAsiaTheme="minorEastAsia" w:hAnsiTheme="minorHAnsi" w:cstheme="minorBidi"/>
            <w:noProof/>
            <w:sz w:val="22"/>
            <w:szCs w:val="22"/>
            <w:lang w:val="en-CA" w:eastAsia="en-CA"/>
          </w:rPr>
          <w:tab/>
        </w:r>
        <w:r w:rsidR="000873B0" w:rsidRPr="005F3DE9">
          <w:rPr>
            <w:rStyle w:val="Hyperlink"/>
            <w:noProof/>
          </w:rPr>
          <w:t>Embed the use of evidence</w:t>
        </w:r>
        <w:r w:rsidR="000873B0">
          <w:rPr>
            <w:noProof/>
            <w:webHidden/>
          </w:rPr>
          <w:tab/>
        </w:r>
        <w:r w:rsidR="000873B0">
          <w:rPr>
            <w:noProof/>
            <w:webHidden/>
          </w:rPr>
          <w:fldChar w:fldCharType="begin"/>
        </w:r>
        <w:r w:rsidR="000873B0">
          <w:rPr>
            <w:noProof/>
            <w:webHidden/>
          </w:rPr>
          <w:instrText xml:space="preserve"> PAGEREF _Toc423438734 \h </w:instrText>
        </w:r>
        <w:r w:rsidR="000873B0">
          <w:rPr>
            <w:noProof/>
            <w:webHidden/>
          </w:rPr>
        </w:r>
        <w:r w:rsidR="000873B0">
          <w:rPr>
            <w:noProof/>
            <w:webHidden/>
          </w:rPr>
          <w:fldChar w:fldCharType="separate"/>
        </w:r>
        <w:r w:rsidR="006C2AB4">
          <w:rPr>
            <w:noProof/>
            <w:webHidden/>
          </w:rPr>
          <w:t>6-7</w:t>
        </w:r>
        <w:r w:rsidR="000873B0">
          <w:rPr>
            <w:noProof/>
            <w:webHidden/>
          </w:rPr>
          <w:fldChar w:fldCharType="end"/>
        </w:r>
      </w:hyperlink>
    </w:p>
    <w:p w14:paraId="57D5BE58" w14:textId="77777777" w:rsidR="000873B0" w:rsidRDefault="00531473">
      <w:pPr>
        <w:pStyle w:val="TOC3"/>
        <w:rPr>
          <w:rFonts w:asciiTheme="minorHAnsi" w:eastAsiaTheme="minorEastAsia" w:hAnsiTheme="minorHAnsi" w:cstheme="minorBidi"/>
          <w:noProof/>
          <w:sz w:val="22"/>
          <w:szCs w:val="22"/>
          <w:lang w:val="en-CA" w:eastAsia="en-CA"/>
        </w:rPr>
      </w:pPr>
      <w:hyperlink w:anchor="_Toc423438735" w:history="1">
        <w:r w:rsidR="000873B0" w:rsidRPr="005F3DE9">
          <w:rPr>
            <w:rStyle w:val="Hyperlink"/>
            <w:noProof/>
            <w:lang w:val="id-ID"/>
          </w:rPr>
          <w:t>6.10.5</w:t>
        </w:r>
        <w:r w:rsidR="000873B0">
          <w:rPr>
            <w:rFonts w:asciiTheme="minorHAnsi" w:eastAsiaTheme="minorEastAsia" w:hAnsiTheme="minorHAnsi" w:cstheme="minorBidi"/>
            <w:noProof/>
            <w:sz w:val="22"/>
            <w:szCs w:val="22"/>
            <w:lang w:val="en-CA" w:eastAsia="en-CA"/>
          </w:rPr>
          <w:tab/>
        </w:r>
        <w:r w:rsidR="000873B0" w:rsidRPr="005F3DE9">
          <w:rPr>
            <w:rStyle w:val="Hyperlink"/>
            <w:noProof/>
          </w:rPr>
          <w:t>Engage partners to find ways to raise funds outside traditional donors</w:t>
        </w:r>
        <w:r w:rsidR="000873B0">
          <w:rPr>
            <w:noProof/>
            <w:webHidden/>
          </w:rPr>
          <w:tab/>
        </w:r>
        <w:r w:rsidR="000873B0">
          <w:rPr>
            <w:noProof/>
            <w:webHidden/>
          </w:rPr>
          <w:fldChar w:fldCharType="begin"/>
        </w:r>
        <w:r w:rsidR="000873B0">
          <w:rPr>
            <w:noProof/>
            <w:webHidden/>
          </w:rPr>
          <w:instrText xml:space="preserve"> PAGEREF _Toc423438735 \h </w:instrText>
        </w:r>
        <w:r w:rsidR="000873B0">
          <w:rPr>
            <w:noProof/>
            <w:webHidden/>
          </w:rPr>
        </w:r>
        <w:r w:rsidR="000873B0">
          <w:rPr>
            <w:noProof/>
            <w:webHidden/>
          </w:rPr>
          <w:fldChar w:fldCharType="separate"/>
        </w:r>
        <w:r w:rsidR="006C2AB4">
          <w:rPr>
            <w:noProof/>
            <w:webHidden/>
          </w:rPr>
          <w:t>6-7</w:t>
        </w:r>
        <w:r w:rsidR="000873B0">
          <w:rPr>
            <w:noProof/>
            <w:webHidden/>
          </w:rPr>
          <w:fldChar w:fldCharType="end"/>
        </w:r>
      </w:hyperlink>
    </w:p>
    <w:p w14:paraId="3DF42709" w14:textId="77777777" w:rsidR="000873B0" w:rsidRDefault="00531473">
      <w:pPr>
        <w:pStyle w:val="TOC3"/>
        <w:rPr>
          <w:rFonts w:asciiTheme="minorHAnsi" w:eastAsiaTheme="minorEastAsia" w:hAnsiTheme="minorHAnsi" w:cstheme="minorBidi"/>
          <w:noProof/>
          <w:sz w:val="22"/>
          <w:szCs w:val="22"/>
          <w:lang w:val="en-CA" w:eastAsia="en-CA"/>
        </w:rPr>
      </w:pPr>
      <w:hyperlink w:anchor="_Toc423438736" w:history="1">
        <w:r w:rsidR="000873B0" w:rsidRPr="005F3DE9">
          <w:rPr>
            <w:rStyle w:val="Hyperlink"/>
            <w:noProof/>
          </w:rPr>
          <w:t>6.10.6</w:t>
        </w:r>
        <w:r w:rsidR="000873B0">
          <w:rPr>
            <w:rFonts w:asciiTheme="minorHAnsi" w:eastAsiaTheme="minorEastAsia" w:hAnsiTheme="minorHAnsi" w:cstheme="minorBidi"/>
            <w:noProof/>
            <w:sz w:val="22"/>
            <w:szCs w:val="22"/>
            <w:lang w:val="en-CA" w:eastAsia="en-CA"/>
          </w:rPr>
          <w:tab/>
        </w:r>
        <w:r w:rsidR="000873B0" w:rsidRPr="005F3DE9">
          <w:rPr>
            <w:rStyle w:val="Hyperlink"/>
            <w:noProof/>
          </w:rPr>
          <w:t>Empower women in Indonesia</w:t>
        </w:r>
        <w:r w:rsidR="000873B0">
          <w:rPr>
            <w:noProof/>
            <w:webHidden/>
          </w:rPr>
          <w:tab/>
        </w:r>
        <w:r w:rsidR="000873B0">
          <w:rPr>
            <w:noProof/>
            <w:webHidden/>
          </w:rPr>
          <w:fldChar w:fldCharType="begin"/>
        </w:r>
        <w:r w:rsidR="000873B0">
          <w:rPr>
            <w:noProof/>
            <w:webHidden/>
          </w:rPr>
          <w:instrText xml:space="preserve"> PAGEREF _Toc423438736 \h </w:instrText>
        </w:r>
        <w:r w:rsidR="000873B0">
          <w:rPr>
            <w:noProof/>
            <w:webHidden/>
          </w:rPr>
        </w:r>
        <w:r w:rsidR="000873B0">
          <w:rPr>
            <w:noProof/>
            <w:webHidden/>
          </w:rPr>
          <w:fldChar w:fldCharType="separate"/>
        </w:r>
        <w:r w:rsidR="006C2AB4">
          <w:rPr>
            <w:noProof/>
            <w:webHidden/>
          </w:rPr>
          <w:t>6-7</w:t>
        </w:r>
        <w:r w:rsidR="000873B0">
          <w:rPr>
            <w:noProof/>
            <w:webHidden/>
          </w:rPr>
          <w:fldChar w:fldCharType="end"/>
        </w:r>
      </w:hyperlink>
    </w:p>
    <w:p w14:paraId="5A8A61C7" w14:textId="77777777" w:rsidR="000873B0" w:rsidRDefault="00531473">
      <w:pPr>
        <w:pStyle w:val="TOC3"/>
        <w:rPr>
          <w:rFonts w:asciiTheme="minorHAnsi" w:eastAsiaTheme="minorEastAsia" w:hAnsiTheme="minorHAnsi" w:cstheme="minorBidi"/>
          <w:noProof/>
          <w:sz w:val="22"/>
          <w:szCs w:val="22"/>
          <w:lang w:val="en-CA" w:eastAsia="en-CA"/>
        </w:rPr>
      </w:pPr>
      <w:hyperlink w:anchor="_Toc423438737" w:history="1">
        <w:r w:rsidR="000873B0" w:rsidRPr="005F3DE9">
          <w:rPr>
            <w:rStyle w:val="Hyperlink"/>
            <w:noProof/>
          </w:rPr>
          <w:t>6.10.7</w:t>
        </w:r>
        <w:r w:rsidR="000873B0">
          <w:rPr>
            <w:rFonts w:asciiTheme="minorHAnsi" w:eastAsiaTheme="minorEastAsia" w:hAnsiTheme="minorHAnsi" w:cstheme="minorBidi"/>
            <w:noProof/>
            <w:sz w:val="22"/>
            <w:szCs w:val="22"/>
            <w:lang w:val="en-CA" w:eastAsia="en-CA"/>
          </w:rPr>
          <w:tab/>
        </w:r>
        <w:r w:rsidR="000873B0" w:rsidRPr="005F3DE9">
          <w:rPr>
            <w:rStyle w:val="Hyperlink"/>
            <w:noProof/>
          </w:rPr>
          <w:t>Organisational Evolution</w:t>
        </w:r>
        <w:r w:rsidR="000873B0">
          <w:rPr>
            <w:noProof/>
            <w:webHidden/>
          </w:rPr>
          <w:tab/>
        </w:r>
        <w:r w:rsidR="000873B0">
          <w:rPr>
            <w:noProof/>
            <w:webHidden/>
          </w:rPr>
          <w:fldChar w:fldCharType="begin"/>
        </w:r>
        <w:r w:rsidR="000873B0">
          <w:rPr>
            <w:noProof/>
            <w:webHidden/>
          </w:rPr>
          <w:instrText xml:space="preserve"> PAGEREF _Toc423438737 \h </w:instrText>
        </w:r>
        <w:r w:rsidR="000873B0">
          <w:rPr>
            <w:noProof/>
            <w:webHidden/>
          </w:rPr>
        </w:r>
        <w:r w:rsidR="000873B0">
          <w:rPr>
            <w:noProof/>
            <w:webHidden/>
          </w:rPr>
          <w:fldChar w:fldCharType="separate"/>
        </w:r>
        <w:r w:rsidR="006C2AB4">
          <w:rPr>
            <w:noProof/>
            <w:webHidden/>
          </w:rPr>
          <w:t>6-7</w:t>
        </w:r>
        <w:r w:rsidR="000873B0">
          <w:rPr>
            <w:noProof/>
            <w:webHidden/>
          </w:rPr>
          <w:fldChar w:fldCharType="end"/>
        </w:r>
      </w:hyperlink>
    </w:p>
    <w:p w14:paraId="09D60383" w14:textId="77777777" w:rsidR="000873B0" w:rsidRDefault="00531473">
      <w:pPr>
        <w:pStyle w:val="TOC1"/>
        <w:rPr>
          <w:rFonts w:asciiTheme="minorHAnsi" w:eastAsiaTheme="minorEastAsia" w:hAnsiTheme="minorHAnsi" w:cstheme="minorBidi"/>
          <w:b w:val="0"/>
          <w:caps w:val="0"/>
          <w:sz w:val="22"/>
          <w:szCs w:val="22"/>
          <w:lang w:val="en-CA" w:eastAsia="en-CA"/>
        </w:rPr>
      </w:pPr>
      <w:hyperlink w:anchor="_Toc423438738" w:history="1">
        <w:r w:rsidR="000873B0" w:rsidRPr="005F3DE9">
          <w:rPr>
            <w:rStyle w:val="Hyperlink"/>
            <w:lang w:val="en-CA"/>
          </w:rPr>
          <w:t>7</w:t>
        </w:r>
        <w:r w:rsidR="000873B0">
          <w:rPr>
            <w:rFonts w:asciiTheme="minorHAnsi" w:eastAsiaTheme="minorEastAsia" w:hAnsiTheme="minorHAnsi" w:cstheme="minorBidi"/>
            <w:b w:val="0"/>
            <w:caps w:val="0"/>
            <w:sz w:val="22"/>
            <w:szCs w:val="22"/>
            <w:lang w:val="en-CA" w:eastAsia="en-CA"/>
          </w:rPr>
          <w:tab/>
        </w:r>
        <w:r w:rsidR="000873B0" w:rsidRPr="005F3DE9">
          <w:rPr>
            <w:rStyle w:val="Hyperlink"/>
            <w:lang w:val="en-CA"/>
          </w:rPr>
          <w:t>Governance and management arrangements</w:t>
        </w:r>
        <w:r w:rsidR="000873B0">
          <w:rPr>
            <w:webHidden/>
          </w:rPr>
          <w:tab/>
        </w:r>
        <w:r w:rsidR="000873B0">
          <w:rPr>
            <w:webHidden/>
          </w:rPr>
          <w:fldChar w:fldCharType="begin"/>
        </w:r>
        <w:r w:rsidR="000873B0">
          <w:rPr>
            <w:webHidden/>
          </w:rPr>
          <w:instrText xml:space="preserve"> PAGEREF _Toc423438738 \h </w:instrText>
        </w:r>
        <w:r w:rsidR="000873B0">
          <w:rPr>
            <w:webHidden/>
          </w:rPr>
        </w:r>
        <w:r w:rsidR="000873B0">
          <w:rPr>
            <w:webHidden/>
          </w:rPr>
          <w:fldChar w:fldCharType="separate"/>
        </w:r>
        <w:r w:rsidR="006C2AB4">
          <w:rPr>
            <w:webHidden/>
          </w:rPr>
          <w:t>7-1</w:t>
        </w:r>
        <w:r w:rsidR="000873B0">
          <w:rPr>
            <w:webHidden/>
          </w:rPr>
          <w:fldChar w:fldCharType="end"/>
        </w:r>
      </w:hyperlink>
    </w:p>
    <w:p w14:paraId="7251617F" w14:textId="77777777" w:rsidR="000873B0" w:rsidRDefault="00531473">
      <w:pPr>
        <w:pStyle w:val="TOC2"/>
        <w:rPr>
          <w:rFonts w:asciiTheme="minorHAnsi" w:eastAsiaTheme="minorEastAsia" w:hAnsiTheme="minorHAnsi" w:cstheme="minorBidi"/>
          <w:noProof/>
          <w:szCs w:val="22"/>
          <w:lang w:val="en-CA" w:eastAsia="en-CA"/>
        </w:rPr>
      </w:pPr>
      <w:hyperlink w:anchor="_Toc423438739" w:history="1">
        <w:r w:rsidR="000873B0" w:rsidRPr="005F3DE9">
          <w:rPr>
            <w:rStyle w:val="Hyperlink"/>
            <w:noProof/>
            <w:lang w:val="en-CA"/>
          </w:rPr>
          <w:t>7.1</w:t>
        </w:r>
        <w:r w:rsidR="000873B0">
          <w:rPr>
            <w:rFonts w:asciiTheme="minorHAnsi" w:eastAsiaTheme="minorEastAsia" w:hAnsiTheme="minorHAnsi" w:cstheme="minorBidi"/>
            <w:noProof/>
            <w:szCs w:val="22"/>
            <w:lang w:val="en-CA" w:eastAsia="en-CA"/>
          </w:rPr>
          <w:tab/>
        </w:r>
        <w:r w:rsidR="000873B0" w:rsidRPr="005F3DE9">
          <w:rPr>
            <w:rStyle w:val="Hyperlink"/>
            <w:noProof/>
            <w:lang w:val="en-CA"/>
          </w:rPr>
          <w:t>Lessons Learned</w:t>
        </w:r>
        <w:r w:rsidR="000873B0">
          <w:rPr>
            <w:noProof/>
            <w:webHidden/>
          </w:rPr>
          <w:tab/>
        </w:r>
        <w:r w:rsidR="000873B0">
          <w:rPr>
            <w:noProof/>
            <w:webHidden/>
          </w:rPr>
          <w:fldChar w:fldCharType="begin"/>
        </w:r>
        <w:r w:rsidR="000873B0">
          <w:rPr>
            <w:noProof/>
            <w:webHidden/>
          </w:rPr>
          <w:instrText xml:space="preserve"> PAGEREF _Toc423438739 \h </w:instrText>
        </w:r>
        <w:r w:rsidR="000873B0">
          <w:rPr>
            <w:noProof/>
            <w:webHidden/>
          </w:rPr>
        </w:r>
        <w:r w:rsidR="000873B0">
          <w:rPr>
            <w:noProof/>
            <w:webHidden/>
          </w:rPr>
          <w:fldChar w:fldCharType="separate"/>
        </w:r>
        <w:r w:rsidR="006C2AB4">
          <w:rPr>
            <w:noProof/>
            <w:webHidden/>
          </w:rPr>
          <w:t>7-1</w:t>
        </w:r>
        <w:r w:rsidR="000873B0">
          <w:rPr>
            <w:noProof/>
            <w:webHidden/>
          </w:rPr>
          <w:fldChar w:fldCharType="end"/>
        </w:r>
      </w:hyperlink>
    </w:p>
    <w:p w14:paraId="37164C15" w14:textId="77777777" w:rsidR="000873B0" w:rsidRDefault="00531473">
      <w:pPr>
        <w:pStyle w:val="TOC2"/>
        <w:rPr>
          <w:rFonts w:asciiTheme="minorHAnsi" w:eastAsiaTheme="minorEastAsia" w:hAnsiTheme="minorHAnsi" w:cstheme="minorBidi"/>
          <w:noProof/>
          <w:szCs w:val="22"/>
          <w:lang w:val="en-CA" w:eastAsia="en-CA"/>
        </w:rPr>
      </w:pPr>
      <w:hyperlink w:anchor="_Toc423438740" w:history="1">
        <w:r w:rsidR="000873B0" w:rsidRPr="005F3DE9">
          <w:rPr>
            <w:rStyle w:val="Hyperlink"/>
            <w:noProof/>
            <w:lang w:val="en-CA"/>
          </w:rPr>
          <w:t>7.2</w:t>
        </w:r>
        <w:r w:rsidR="000873B0">
          <w:rPr>
            <w:rFonts w:asciiTheme="minorHAnsi" w:eastAsiaTheme="minorEastAsia" w:hAnsiTheme="minorHAnsi" w:cstheme="minorBidi"/>
            <w:noProof/>
            <w:szCs w:val="22"/>
            <w:lang w:val="en-CA" w:eastAsia="en-CA"/>
          </w:rPr>
          <w:tab/>
        </w:r>
        <w:r w:rsidR="000873B0" w:rsidRPr="005F3DE9">
          <w:rPr>
            <w:rStyle w:val="Hyperlink"/>
            <w:noProof/>
            <w:lang w:val="en-CA"/>
          </w:rPr>
          <w:t>Partners Strategic Consultative Forum (MPSCF)</w:t>
        </w:r>
        <w:r w:rsidR="000873B0">
          <w:rPr>
            <w:noProof/>
            <w:webHidden/>
          </w:rPr>
          <w:tab/>
        </w:r>
        <w:r w:rsidR="000873B0">
          <w:rPr>
            <w:noProof/>
            <w:webHidden/>
          </w:rPr>
          <w:fldChar w:fldCharType="begin"/>
        </w:r>
        <w:r w:rsidR="000873B0">
          <w:rPr>
            <w:noProof/>
            <w:webHidden/>
          </w:rPr>
          <w:instrText xml:space="preserve"> PAGEREF _Toc423438740 \h </w:instrText>
        </w:r>
        <w:r w:rsidR="000873B0">
          <w:rPr>
            <w:noProof/>
            <w:webHidden/>
          </w:rPr>
        </w:r>
        <w:r w:rsidR="000873B0">
          <w:rPr>
            <w:noProof/>
            <w:webHidden/>
          </w:rPr>
          <w:fldChar w:fldCharType="separate"/>
        </w:r>
        <w:r w:rsidR="006C2AB4">
          <w:rPr>
            <w:noProof/>
            <w:webHidden/>
          </w:rPr>
          <w:t>7-1</w:t>
        </w:r>
        <w:r w:rsidR="000873B0">
          <w:rPr>
            <w:noProof/>
            <w:webHidden/>
          </w:rPr>
          <w:fldChar w:fldCharType="end"/>
        </w:r>
      </w:hyperlink>
    </w:p>
    <w:p w14:paraId="6D71A0B6" w14:textId="77777777" w:rsidR="000873B0" w:rsidRDefault="00531473">
      <w:pPr>
        <w:pStyle w:val="TOC2"/>
        <w:rPr>
          <w:rFonts w:asciiTheme="minorHAnsi" w:eastAsiaTheme="minorEastAsia" w:hAnsiTheme="minorHAnsi" w:cstheme="minorBidi"/>
          <w:noProof/>
          <w:szCs w:val="22"/>
          <w:lang w:val="en-CA" w:eastAsia="en-CA"/>
        </w:rPr>
      </w:pPr>
      <w:hyperlink w:anchor="_Toc423438741" w:history="1">
        <w:r w:rsidR="000873B0" w:rsidRPr="005F3DE9">
          <w:rPr>
            <w:rStyle w:val="Hyperlink"/>
            <w:noProof/>
            <w:lang w:val="en-CA"/>
          </w:rPr>
          <w:t>7.3</w:t>
        </w:r>
        <w:r w:rsidR="000873B0">
          <w:rPr>
            <w:rFonts w:asciiTheme="minorHAnsi" w:eastAsiaTheme="minorEastAsia" w:hAnsiTheme="minorHAnsi" w:cstheme="minorBidi"/>
            <w:noProof/>
            <w:szCs w:val="22"/>
            <w:lang w:val="en-CA" w:eastAsia="en-CA"/>
          </w:rPr>
          <w:tab/>
        </w:r>
        <w:r w:rsidR="000873B0" w:rsidRPr="005F3DE9">
          <w:rPr>
            <w:rStyle w:val="Hyperlink"/>
            <w:noProof/>
            <w:lang w:val="en-CA"/>
          </w:rPr>
          <w:t>Analytics and Research Unit (ARU)</w:t>
        </w:r>
        <w:r w:rsidR="000873B0">
          <w:rPr>
            <w:noProof/>
            <w:webHidden/>
          </w:rPr>
          <w:tab/>
        </w:r>
        <w:r w:rsidR="000873B0">
          <w:rPr>
            <w:noProof/>
            <w:webHidden/>
          </w:rPr>
          <w:fldChar w:fldCharType="begin"/>
        </w:r>
        <w:r w:rsidR="000873B0">
          <w:rPr>
            <w:noProof/>
            <w:webHidden/>
          </w:rPr>
          <w:instrText xml:space="preserve"> PAGEREF _Toc423438741 \h </w:instrText>
        </w:r>
        <w:r w:rsidR="000873B0">
          <w:rPr>
            <w:noProof/>
            <w:webHidden/>
          </w:rPr>
        </w:r>
        <w:r w:rsidR="000873B0">
          <w:rPr>
            <w:noProof/>
            <w:webHidden/>
          </w:rPr>
          <w:fldChar w:fldCharType="separate"/>
        </w:r>
        <w:r w:rsidR="006C2AB4">
          <w:rPr>
            <w:noProof/>
            <w:webHidden/>
          </w:rPr>
          <w:t>7-1</w:t>
        </w:r>
        <w:r w:rsidR="000873B0">
          <w:rPr>
            <w:noProof/>
            <w:webHidden/>
          </w:rPr>
          <w:fldChar w:fldCharType="end"/>
        </w:r>
      </w:hyperlink>
    </w:p>
    <w:p w14:paraId="3B2F5337" w14:textId="77777777" w:rsidR="000873B0" w:rsidRDefault="00531473">
      <w:pPr>
        <w:pStyle w:val="TOC2"/>
        <w:rPr>
          <w:rFonts w:asciiTheme="minorHAnsi" w:eastAsiaTheme="minorEastAsia" w:hAnsiTheme="minorHAnsi" w:cstheme="minorBidi"/>
          <w:noProof/>
          <w:szCs w:val="22"/>
          <w:lang w:val="en-CA" w:eastAsia="en-CA"/>
        </w:rPr>
      </w:pPr>
      <w:hyperlink w:anchor="_Toc423438742" w:history="1">
        <w:r w:rsidR="000873B0" w:rsidRPr="005F3DE9">
          <w:rPr>
            <w:rStyle w:val="Hyperlink"/>
            <w:rFonts w:cs="Arial"/>
            <w:noProof/>
            <w:lang w:val="en-CA"/>
          </w:rPr>
          <w:t>7.4</w:t>
        </w:r>
        <w:r w:rsidR="000873B0">
          <w:rPr>
            <w:rFonts w:asciiTheme="minorHAnsi" w:eastAsiaTheme="minorEastAsia" w:hAnsiTheme="minorHAnsi" w:cstheme="minorBidi"/>
            <w:noProof/>
            <w:szCs w:val="22"/>
            <w:lang w:val="en-CA" w:eastAsia="en-CA"/>
          </w:rPr>
          <w:tab/>
        </w:r>
        <w:r w:rsidR="000873B0" w:rsidRPr="005F3DE9">
          <w:rPr>
            <w:rStyle w:val="Hyperlink"/>
            <w:noProof/>
          </w:rPr>
          <w:t>Steering Committee</w:t>
        </w:r>
        <w:r w:rsidR="000873B0">
          <w:rPr>
            <w:noProof/>
            <w:webHidden/>
          </w:rPr>
          <w:tab/>
        </w:r>
        <w:r w:rsidR="000873B0">
          <w:rPr>
            <w:noProof/>
            <w:webHidden/>
          </w:rPr>
          <w:fldChar w:fldCharType="begin"/>
        </w:r>
        <w:r w:rsidR="000873B0">
          <w:rPr>
            <w:noProof/>
            <w:webHidden/>
          </w:rPr>
          <w:instrText xml:space="preserve"> PAGEREF _Toc423438742 \h </w:instrText>
        </w:r>
        <w:r w:rsidR="000873B0">
          <w:rPr>
            <w:noProof/>
            <w:webHidden/>
          </w:rPr>
        </w:r>
        <w:r w:rsidR="000873B0">
          <w:rPr>
            <w:noProof/>
            <w:webHidden/>
          </w:rPr>
          <w:fldChar w:fldCharType="separate"/>
        </w:r>
        <w:r w:rsidR="006C2AB4">
          <w:rPr>
            <w:noProof/>
            <w:webHidden/>
          </w:rPr>
          <w:t>7-1</w:t>
        </w:r>
        <w:r w:rsidR="000873B0">
          <w:rPr>
            <w:noProof/>
            <w:webHidden/>
          </w:rPr>
          <w:fldChar w:fldCharType="end"/>
        </w:r>
      </w:hyperlink>
    </w:p>
    <w:p w14:paraId="21982A71" w14:textId="77777777" w:rsidR="000873B0" w:rsidRDefault="00531473">
      <w:pPr>
        <w:pStyle w:val="TOC2"/>
        <w:rPr>
          <w:rFonts w:asciiTheme="minorHAnsi" w:eastAsiaTheme="minorEastAsia" w:hAnsiTheme="minorHAnsi" w:cstheme="minorBidi"/>
          <w:noProof/>
          <w:szCs w:val="22"/>
          <w:lang w:val="en-CA" w:eastAsia="en-CA"/>
        </w:rPr>
      </w:pPr>
      <w:hyperlink w:anchor="_Toc423438743" w:history="1">
        <w:r w:rsidR="000873B0" w:rsidRPr="005F3DE9">
          <w:rPr>
            <w:rStyle w:val="Hyperlink"/>
            <w:noProof/>
            <w:lang w:val="en-CA"/>
          </w:rPr>
          <w:t>7.5</w:t>
        </w:r>
        <w:r w:rsidR="000873B0">
          <w:rPr>
            <w:rFonts w:asciiTheme="minorHAnsi" w:eastAsiaTheme="minorEastAsia" w:hAnsiTheme="minorHAnsi" w:cstheme="minorBidi"/>
            <w:noProof/>
            <w:szCs w:val="22"/>
            <w:lang w:val="en-CA" w:eastAsia="en-CA"/>
          </w:rPr>
          <w:tab/>
        </w:r>
        <w:r w:rsidR="000873B0" w:rsidRPr="005F3DE9">
          <w:rPr>
            <w:rStyle w:val="Hyperlink"/>
            <w:noProof/>
            <w:lang w:val="en-CA"/>
          </w:rPr>
          <w:t>Thematic Working Groups</w:t>
        </w:r>
        <w:r w:rsidR="000873B0">
          <w:rPr>
            <w:noProof/>
            <w:webHidden/>
          </w:rPr>
          <w:tab/>
        </w:r>
        <w:r w:rsidR="000873B0">
          <w:rPr>
            <w:noProof/>
            <w:webHidden/>
          </w:rPr>
          <w:fldChar w:fldCharType="begin"/>
        </w:r>
        <w:r w:rsidR="000873B0">
          <w:rPr>
            <w:noProof/>
            <w:webHidden/>
          </w:rPr>
          <w:instrText xml:space="preserve"> PAGEREF _Toc423438743 \h </w:instrText>
        </w:r>
        <w:r w:rsidR="000873B0">
          <w:rPr>
            <w:noProof/>
            <w:webHidden/>
          </w:rPr>
        </w:r>
        <w:r w:rsidR="000873B0">
          <w:rPr>
            <w:noProof/>
            <w:webHidden/>
          </w:rPr>
          <w:fldChar w:fldCharType="separate"/>
        </w:r>
        <w:r w:rsidR="006C2AB4">
          <w:rPr>
            <w:noProof/>
            <w:webHidden/>
          </w:rPr>
          <w:t>7-2</w:t>
        </w:r>
        <w:r w:rsidR="000873B0">
          <w:rPr>
            <w:noProof/>
            <w:webHidden/>
          </w:rPr>
          <w:fldChar w:fldCharType="end"/>
        </w:r>
      </w:hyperlink>
    </w:p>
    <w:p w14:paraId="65A0F323" w14:textId="77777777" w:rsidR="000873B0" w:rsidRDefault="00531473">
      <w:pPr>
        <w:pStyle w:val="TOC2"/>
        <w:rPr>
          <w:rFonts w:asciiTheme="minorHAnsi" w:eastAsiaTheme="minorEastAsia" w:hAnsiTheme="minorHAnsi" w:cstheme="minorBidi"/>
          <w:noProof/>
          <w:szCs w:val="22"/>
          <w:lang w:val="en-CA" w:eastAsia="en-CA"/>
        </w:rPr>
      </w:pPr>
      <w:hyperlink w:anchor="_Toc423438744" w:history="1">
        <w:r w:rsidR="000873B0" w:rsidRPr="005F3DE9">
          <w:rPr>
            <w:rStyle w:val="Hyperlink"/>
            <w:noProof/>
            <w:lang w:val="en-CA"/>
          </w:rPr>
          <w:t>7.6</w:t>
        </w:r>
        <w:r w:rsidR="000873B0">
          <w:rPr>
            <w:rFonts w:asciiTheme="minorHAnsi" w:eastAsiaTheme="minorEastAsia" w:hAnsiTheme="minorHAnsi" w:cstheme="minorBidi"/>
            <w:noProof/>
            <w:szCs w:val="22"/>
            <w:lang w:val="en-CA" w:eastAsia="en-CA"/>
          </w:rPr>
          <w:tab/>
        </w:r>
        <w:r w:rsidR="000873B0" w:rsidRPr="005F3DE9">
          <w:rPr>
            <w:rStyle w:val="Hyperlink"/>
            <w:noProof/>
            <w:lang w:val="en-CA"/>
          </w:rPr>
          <w:t>Rationale for continuing the Managing Contractor Mechanism</w:t>
        </w:r>
        <w:r w:rsidR="000873B0">
          <w:rPr>
            <w:noProof/>
            <w:webHidden/>
          </w:rPr>
          <w:tab/>
        </w:r>
        <w:r w:rsidR="000873B0">
          <w:rPr>
            <w:noProof/>
            <w:webHidden/>
          </w:rPr>
          <w:fldChar w:fldCharType="begin"/>
        </w:r>
        <w:r w:rsidR="000873B0">
          <w:rPr>
            <w:noProof/>
            <w:webHidden/>
          </w:rPr>
          <w:instrText xml:space="preserve"> PAGEREF _Toc423438744 \h </w:instrText>
        </w:r>
        <w:r w:rsidR="000873B0">
          <w:rPr>
            <w:noProof/>
            <w:webHidden/>
          </w:rPr>
        </w:r>
        <w:r w:rsidR="000873B0">
          <w:rPr>
            <w:noProof/>
            <w:webHidden/>
          </w:rPr>
          <w:fldChar w:fldCharType="separate"/>
        </w:r>
        <w:r w:rsidR="006C2AB4">
          <w:rPr>
            <w:noProof/>
            <w:webHidden/>
          </w:rPr>
          <w:t>7-2</w:t>
        </w:r>
        <w:r w:rsidR="000873B0">
          <w:rPr>
            <w:noProof/>
            <w:webHidden/>
          </w:rPr>
          <w:fldChar w:fldCharType="end"/>
        </w:r>
      </w:hyperlink>
    </w:p>
    <w:p w14:paraId="6A9C677E" w14:textId="77777777" w:rsidR="000873B0" w:rsidRDefault="00531473">
      <w:pPr>
        <w:pStyle w:val="TOC2"/>
        <w:rPr>
          <w:rFonts w:asciiTheme="minorHAnsi" w:eastAsiaTheme="minorEastAsia" w:hAnsiTheme="minorHAnsi" w:cstheme="minorBidi"/>
          <w:noProof/>
          <w:szCs w:val="22"/>
          <w:lang w:val="en-CA" w:eastAsia="en-CA"/>
        </w:rPr>
      </w:pPr>
      <w:hyperlink w:anchor="_Toc423438745" w:history="1">
        <w:r w:rsidR="000873B0" w:rsidRPr="005F3DE9">
          <w:rPr>
            <w:rStyle w:val="Hyperlink"/>
            <w:noProof/>
            <w:lang w:val="en-CA"/>
          </w:rPr>
          <w:t>7.7</w:t>
        </w:r>
        <w:r w:rsidR="000873B0">
          <w:rPr>
            <w:rFonts w:asciiTheme="minorHAnsi" w:eastAsiaTheme="minorEastAsia" w:hAnsiTheme="minorHAnsi" w:cstheme="minorBidi"/>
            <w:noProof/>
            <w:szCs w:val="22"/>
            <w:lang w:val="en-CA" w:eastAsia="en-CA"/>
          </w:rPr>
          <w:tab/>
        </w:r>
        <w:r w:rsidR="000873B0" w:rsidRPr="005F3DE9">
          <w:rPr>
            <w:rStyle w:val="Hyperlink"/>
            <w:noProof/>
            <w:lang w:val="en-CA"/>
          </w:rPr>
          <w:t>Other Program Delivery Mechanisms</w:t>
        </w:r>
        <w:r w:rsidR="000873B0">
          <w:rPr>
            <w:noProof/>
            <w:webHidden/>
          </w:rPr>
          <w:tab/>
        </w:r>
        <w:r w:rsidR="000873B0">
          <w:rPr>
            <w:noProof/>
            <w:webHidden/>
          </w:rPr>
          <w:fldChar w:fldCharType="begin"/>
        </w:r>
        <w:r w:rsidR="000873B0">
          <w:rPr>
            <w:noProof/>
            <w:webHidden/>
          </w:rPr>
          <w:instrText xml:space="preserve"> PAGEREF _Toc423438745 \h </w:instrText>
        </w:r>
        <w:r w:rsidR="000873B0">
          <w:rPr>
            <w:noProof/>
            <w:webHidden/>
          </w:rPr>
        </w:r>
        <w:r w:rsidR="000873B0">
          <w:rPr>
            <w:noProof/>
            <w:webHidden/>
          </w:rPr>
          <w:fldChar w:fldCharType="separate"/>
        </w:r>
        <w:r w:rsidR="006C2AB4">
          <w:rPr>
            <w:noProof/>
            <w:webHidden/>
          </w:rPr>
          <w:t>7-3</w:t>
        </w:r>
        <w:r w:rsidR="000873B0">
          <w:rPr>
            <w:noProof/>
            <w:webHidden/>
          </w:rPr>
          <w:fldChar w:fldCharType="end"/>
        </w:r>
      </w:hyperlink>
    </w:p>
    <w:p w14:paraId="0D3B4E8D" w14:textId="77777777" w:rsidR="000873B0" w:rsidRDefault="00531473">
      <w:pPr>
        <w:pStyle w:val="TOC1"/>
        <w:rPr>
          <w:rFonts w:asciiTheme="minorHAnsi" w:eastAsiaTheme="minorEastAsia" w:hAnsiTheme="minorHAnsi" w:cstheme="minorBidi"/>
          <w:b w:val="0"/>
          <w:caps w:val="0"/>
          <w:sz w:val="22"/>
          <w:szCs w:val="22"/>
          <w:lang w:val="en-CA" w:eastAsia="en-CA"/>
        </w:rPr>
      </w:pPr>
      <w:hyperlink w:anchor="_Toc423438746" w:history="1">
        <w:r w:rsidR="000873B0" w:rsidRPr="005F3DE9">
          <w:rPr>
            <w:rStyle w:val="Hyperlink"/>
            <w:lang w:val="en-CA"/>
          </w:rPr>
          <w:t>8</w:t>
        </w:r>
        <w:r w:rsidR="000873B0">
          <w:rPr>
            <w:rFonts w:asciiTheme="minorHAnsi" w:eastAsiaTheme="minorEastAsia" w:hAnsiTheme="minorHAnsi" w:cstheme="minorBidi"/>
            <w:b w:val="0"/>
            <w:caps w:val="0"/>
            <w:sz w:val="22"/>
            <w:szCs w:val="22"/>
            <w:lang w:val="en-CA" w:eastAsia="en-CA"/>
          </w:rPr>
          <w:tab/>
        </w:r>
        <w:r w:rsidR="000873B0" w:rsidRPr="005F3DE9">
          <w:rPr>
            <w:rStyle w:val="Hyperlink"/>
            <w:lang w:val="en-CA"/>
          </w:rPr>
          <w:t>Performance, Results and Risk</w:t>
        </w:r>
        <w:r w:rsidR="000873B0">
          <w:rPr>
            <w:webHidden/>
          </w:rPr>
          <w:tab/>
        </w:r>
        <w:r w:rsidR="000873B0">
          <w:rPr>
            <w:webHidden/>
          </w:rPr>
          <w:fldChar w:fldCharType="begin"/>
        </w:r>
        <w:r w:rsidR="000873B0">
          <w:rPr>
            <w:webHidden/>
          </w:rPr>
          <w:instrText xml:space="preserve"> PAGEREF _Toc423438746 \h </w:instrText>
        </w:r>
        <w:r w:rsidR="000873B0">
          <w:rPr>
            <w:webHidden/>
          </w:rPr>
        </w:r>
        <w:r w:rsidR="000873B0">
          <w:rPr>
            <w:webHidden/>
          </w:rPr>
          <w:fldChar w:fldCharType="separate"/>
        </w:r>
        <w:r w:rsidR="006C2AB4">
          <w:rPr>
            <w:webHidden/>
          </w:rPr>
          <w:t>8-1</w:t>
        </w:r>
        <w:r w:rsidR="000873B0">
          <w:rPr>
            <w:webHidden/>
          </w:rPr>
          <w:fldChar w:fldCharType="end"/>
        </w:r>
      </w:hyperlink>
    </w:p>
    <w:p w14:paraId="374141C7" w14:textId="77777777" w:rsidR="000873B0" w:rsidRDefault="00531473">
      <w:pPr>
        <w:pStyle w:val="TOC2"/>
        <w:rPr>
          <w:rFonts w:asciiTheme="minorHAnsi" w:eastAsiaTheme="minorEastAsia" w:hAnsiTheme="minorHAnsi" w:cstheme="minorBidi"/>
          <w:noProof/>
          <w:szCs w:val="22"/>
          <w:lang w:val="en-CA" w:eastAsia="en-CA"/>
        </w:rPr>
      </w:pPr>
      <w:hyperlink w:anchor="_Toc423438747" w:history="1">
        <w:r w:rsidR="000873B0" w:rsidRPr="005F3DE9">
          <w:rPr>
            <w:rStyle w:val="Hyperlink"/>
            <w:noProof/>
            <w:lang w:val="en-CA"/>
          </w:rPr>
          <w:t>8.1</w:t>
        </w:r>
        <w:r w:rsidR="000873B0">
          <w:rPr>
            <w:rFonts w:asciiTheme="minorHAnsi" w:eastAsiaTheme="minorEastAsia" w:hAnsiTheme="minorHAnsi" w:cstheme="minorBidi"/>
            <w:noProof/>
            <w:szCs w:val="22"/>
            <w:lang w:val="en-CA" w:eastAsia="en-CA"/>
          </w:rPr>
          <w:tab/>
        </w:r>
        <w:r w:rsidR="000873B0" w:rsidRPr="005F3DE9">
          <w:rPr>
            <w:rStyle w:val="Hyperlink"/>
            <w:noProof/>
            <w:lang w:val="en-CA"/>
          </w:rPr>
          <w:t>Performance and Results of MAMPU and Updated M&amp;E Framework</w:t>
        </w:r>
        <w:r w:rsidR="000873B0">
          <w:rPr>
            <w:noProof/>
            <w:webHidden/>
          </w:rPr>
          <w:tab/>
        </w:r>
        <w:r w:rsidR="000873B0">
          <w:rPr>
            <w:noProof/>
            <w:webHidden/>
          </w:rPr>
          <w:fldChar w:fldCharType="begin"/>
        </w:r>
        <w:r w:rsidR="000873B0">
          <w:rPr>
            <w:noProof/>
            <w:webHidden/>
          </w:rPr>
          <w:instrText xml:space="preserve"> PAGEREF _Toc423438747 \h </w:instrText>
        </w:r>
        <w:r w:rsidR="000873B0">
          <w:rPr>
            <w:noProof/>
            <w:webHidden/>
          </w:rPr>
        </w:r>
        <w:r w:rsidR="000873B0">
          <w:rPr>
            <w:noProof/>
            <w:webHidden/>
          </w:rPr>
          <w:fldChar w:fldCharType="separate"/>
        </w:r>
        <w:r w:rsidR="006C2AB4">
          <w:rPr>
            <w:noProof/>
            <w:webHidden/>
          </w:rPr>
          <w:t>8-1</w:t>
        </w:r>
        <w:r w:rsidR="000873B0">
          <w:rPr>
            <w:noProof/>
            <w:webHidden/>
          </w:rPr>
          <w:fldChar w:fldCharType="end"/>
        </w:r>
      </w:hyperlink>
    </w:p>
    <w:p w14:paraId="5D853EDE" w14:textId="77777777" w:rsidR="000873B0" w:rsidRDefault="00531473">
      <w:pPr>
        <w:pStyle w:val="TOC2"/>
        <w:rPr>
          <w:rFonts w:asciiTheme="minorHAnsi" w:eastAsiaTheme="minorEastAsia" w:hAnsiTheme="minorHAnsi" w:cstheme="minorBidi"/>
          <w:noProof/>
          <w:szCs w:val="22"/>
          <w:lang w:val="en-CA" w:eastAsia="en-CA"/>
        </w:rPr>
      </w:pPr>
      <w:hyperlink w:anchor="_Toc423438748" w:history="1">
        <w:r w:rsidR="000873B0" w:rsidRPr="005F3DE9">
          <w:rPr>
            <w:rStyle w:val="Hyperlink"/>
            <w:noProof/>
            <w:lang w:val="en-CA"/>
          </w:rPr>
          <w:t>8.2</w:t>
        </w:r>
        <w:r w:rsidR="000873B0">
          <w:rPr>
            <w:rFonts w:asciiTheme="minorHAnsi" w:eastAsiaTheme="minorEastAsia" w:hAnsiTheme="minorHAnsi" w:cstheme="minorBidi"/>
            <w:noProof/>
            <w:szCs w:val="22"/>
            <w:lang w:val="en-CA" w:eastAsia="en-CA"/>
          </w:rPr>
          <w:tab/>
        </w:r>
        <w:r w:rsidR="000873B0" w:rsidRPr="005F3DE9">
          <w:rPr>
            <w:rStyle w:val="Hyperlink"/>
            <w:noProof/>
            <w:lang w:val="en-CA"/>
          </w:rPr>
          <w:t>Finance and Grants</w:t>
        </w:r>
        <w:r w:rsidR="000873B0">
          <w:rPr>
            <w:noProof/>
            <w:webHidden/>
          </w:rPr>
          <w:tab/>
        </w:r>
        <w:r w:rsidR="000873B0">
          <w:rPr>
            <w:noProof/>
            <w:webHidden/>
          </w:rPr>
          <w:fldChar w:fldCharType="begin"/>
        </w:r>
        <w:r w:rsidR="000873B0">
          <w:rPr>
            <w:noProof/>
            <w:webHidden/>
          </w:rPr>
          <w:instrText xml:space="preserve"> PAGEREF _Toc423438748 \h </w:instrText>
        </w:r>
        <w:r w:rsidR="000873B0">
          <w:rPr>
            <w:noProof/>
            <w:webHidden/>
          </w:rPr>
        </w:r>
        <w:r w:rsidR="000873B0">
          <w:rPr>
            <w:noProof/>
            <w:webHidden/>
          </w:rPr>
          <w:fldChar w:fldCharType="separate"/>
        </w:r>
        <w:r w:rsidR="006C2AB4">
          <w:rPr>
            <w:noProof/>
            <w:webHidden/>
          </w:rPr>
          <w:t>8-2</w:t>
        </w:r>
        <w:r w:rsidR="000873B0">
          <w:rPr>
            <w:noProof/>
            <w:webHidden/>
          </w:rPr>
          <w:fldChar w:fldCharType="end"/>
        </w:r>
      </w:hyperlink>
    </w:p>
    <w:p w14:paraId="5BC9A0BD" w14:textId="77777777" w:rsidR="000873B0" w:rsidRDefault="00531473">
      <w:pPr>
        <w:pStyle w:val="TOC2"/>
        <w:rPr>
          <w:rFonts w:asciiTheme="minorHAnsi" w:eastAsiaTheme="minorEastAsia" w:hAnsiTheme="minorHAnsi" w:cstheme="minorBidi"/>
          <w:noProof/>
          <w:szCs w:val="22"/>
          <w:lang w:val="en-CA" w:eastAsia="en-CA"/>
        </w:rPr>
      </w:pPr>
      <w:hyperlink w:anchor="_Toc423438749" w:history="1">
        <w:r w:rsidR="000873B0" w:rsidRPr="005F3DE9">
          <w:rPr>
            <w:rStyle w:val="Hyperlink"/>
            <w:noProof/>
            <w:lang w:val="en-CA"/>
          </w:rPr>
          <w:t>8.3</w:t>
        </w:r>
        <w:r w:rsidR="000873B0">
          <w:rPr>
            <w:rFonts w:asciiTheme="minorHAnsi" w:eastAsiaTheme="minorEastAsia" w:hAnsiTheme="minorHAnsi" w:cstheme="minorBidi"/>
            <w:noProof/>
            <w:szCs w:val="22"/>
            <w:lang w:val="en-CA" w:eastAsia="en-CA"/>
          </w:rPr>
          <w:tab/>
        </w:r>
        <w:r w:rsidR="000873B0" w:rsidRPr="005F3DE9">
          <w:rPr>
            <w:rStyle w:val="Hyperlink"/>
            <w:noProof/>
            <w:lang w:val="en-CA"/>
          </w:rPr>
          <w:t>Projected Budget Structure and Approach</w:t>
        </w:r>
        <w:r w:rsidR="000873B0">
          <w:rPr>
            <w:noProof/>
            <w:webHidden/>
          </w:rPr>
          <w:tab/>
        </w:r>
        <w:r w:rsidR="000873B0">
          <w:rPr>
            <w:noProof/>
            <w:webHidden/>
          </w:rPr>
          <w:fldChar w:fldCharType="begin"/>
        </w:r>
        <w:r w:rsidR="000873B0">
          <w:rPr>
            <w:noProof/>
            <w:webHidden/>
          </w:rPr>
          <w:instrText xml:space="preserve"> PAGEREF _Toc423438749 \h </w:instrText>
        </w:r>
        <w:r w:rsidR="000873B0">
          <w:rPr>
            <w:noProof/>
            <w:webHidden/>
          </w:rPr>
        </w:r>
        <w:r w:rsidR="000873B0">
          <w:rPr>
            <w:noProof/>
            <w:webHidden/>
          </w:rPr>
          <w:fldChar w:fldCharType="separate"/>
        </w:r>
        <w:r w:rsidR="006C2AB4">
          <w:rPr>
            <w:noProof/>
            <w:webHidden/>
          </w:rPr>
          <w:t>8-3</w:t>
        </w:r>
        <w:r w:rsidR="000873B0">
          <w:rPr>
            <w:noProof/>
            <w:webHidden/>
          </w:rPr>
          <w:fldChar w:fldCharType="end"/>
        </w:r>
      </w:hyperlink>
    </w:p>
    <w:p w14:paraId="6128678C" w14:textId="77777777" w:rsidR="000873B0" w:rsidRDefault="00531473">
      <w:pPr>
        <w:pStyle w:val="TOC2"/>
        <w:rPr>
          <w:rFonts w:asciiTheme="minorHAnsi" w:eastAsiaTheme="minorEastAsia" w:hAnsiTheme="minorHAnsi" w:cstheme="minorBidi"/>
          <w:noProof/>
          <w:szCs w:val="22"/>
          <w:lang w:val="en-CA" w:eastAsia="en-CA"/>
        </w:rPr>
      </w:pPr>
      <w:hyperlink w:anchor="_Toc423438750" w:history="1">
        <w:r w:rsidR="000873B0" w:rsidRPr="005F3DE9">
          <w:rPr>
            <w:rStyle w:val="Hyperlink"/>
            <w:noProof/>
            <w:lang w:val="en-CA"/>
          </w:rPr>
          <w:t>8.4</w:t>
        </w:r>
        <w:r w:rsidR="000873B0">
          <w:rPr>
            <w:rFonts w:asciiTheme="minorHAnsi" w:eastAsiaTheme="minorEastAsia" w:hAnsiTheme="minorHAnsi" w:cstheme="minorBidi"/>
            <w:noProof/>
            <w:szCs w:val="22"/>
            <w:lang w:val="en-CA" w:eastAsia="en-CA"/>
          </w:rPr>
          <w:tab/>
        </w:r>
        <w:r w:rsidR="000873B0" w:rsidRPr="005F3DE9">
          <w:rPr>
            <w:rStyle w:val="Hyperlink"/>
            <w:noProof/>
            <w:lang w:val="en-CA"/>
          </w:rPr>
          <w:t>Internal Annual Quality Audit</w:t>
        </w:r>
        <w:r w:rsidR="000873B0">
          <w:rPr>
            <w:noProof/>
            <w:webHidden/>
          </w:rPr>
          <w:tab/>
        </w:r>
        <w:r w:rsidR="000873B0">
          <w:rPr>
            <w:noProof/>
            <w:webHidden/>
          </w:rPr>
          <w:fldChar w:fldCharType="begin"/>
        </w:r>
        <w:r w:rsidR="000873B0">
          <w:rPr>
            <w:noProof/>
            <w:webHidden/>
          </w:rPr>
          <w:instrText xml:space="preserve"> PAGEREF _Toc423438750 \h </w:instrText>
        </w:r>
        <w:r w:rsidR="000873B0">
          <w:rPr>
            <w:noProof/>
            <w:webHidden/>
          </w:rPr>
        </w:r>
        <w:r w:rsidR="000873B0">
          <w:rPr>
            <w:noProof/>
            <w:webHidden/>
          </w:rPr>
          <w:fldChar w:fldCharType="separate"/>
        </w:r>
        <w:r w:rsidR="006C2AB4">
          <w:rPr>
            <w:noProof/>
            <w:webHidden/>
          </w:rPr>
          <w:t>8-3</w:t>
        </w:r>
        <w:r w:rsidR="000873B0">
          <w:rPr>
            <w:noProof/>
            <w:webHidden/>
          </w:rPr>
          <w:fldChar w:fldCharType="end"/>
        </w:r>
      </w:hyperlink>
    </w:p>
    <w:p w14:paraId="66194D7C" w14:textId="77777777" w:rsidR="000873B0" w:rsidRDefault="00531473">
      <w:pPr>
        <w:pStyle w:val="TOC2"/>
        <w:rPr>
          <w:rFonts w:asciiTheme="minorHAnsi" w:eastAsiaTheme="minorEastAsia" w:hAnsiTheme="minorHAnsi" w:cstheme="minorBidi"/>
          <w:noProof/>
          <w:szCs w:val="22"/>
          <w:lang w:val="en-CA" w:eastAsia="en-CA"/>
        </w:rPr>
      </w:pPr>
      <w:hyperlink w:anchor="_Toc423438751" w:history="1">
        <w:r w:rsidR="000873B0" w:rsidRPr="005F3DE9">
          <w:rPr>
            <w:rStyle w:val="Hyperlink"/>
            <w:noProof/>
            <w:lang w:val="en-CA"/>
          </w:rPr>
          <w:t>8.5</w:t>
        </w:r>
        <w:r w:rsidR="000873B0">
          <w:rPr>
            <w:rFonts w:asciiTheme="minorHAnsi" w:eastAsiaTheme="minorEastAsia" w:hAnsiTheme="minorHAnsi" w:cstheme="minorBidi"/>
            <w:noProof/>
            <w:szCs w:val="22"/>
            <w:lang w:val="en-CA" w:eastAsia="en-CA"/>
          </w:rPr>
          <w:tab/>
        </w:r>
        <w:r w:rsidR="000873B0" w:rsidRPr="005F3DE9">
          <w:rPr>
            <w:rStyle w:val="Hyperlink"/>
            <w:noProof/>
            <w:lang w:val="en-CA"/>
          </w:rPr>
          <w:t>Risk Management</w:t>
        </w:r>
        <w:r w:rsidR="000873B0">
          <w:rPr>
            <w:noProof/>
            <w:webHidden/>
          </w:rPr>
          <w:tab/>
        </w:r>
        <w:r w:rsidR="000873B0">
          <w:rPr>
            <w:noProof/>
            <w:webHidden/>
          </w:rPr>
          <w:fldChar w:fldCharType="begin"/>
        </w:r>
        <w:r w:rsidR="000873B0">
          <w:rPr>
            <w:noProof/>
            <w:webHidden/>
          </w:rPr>
          <w:instrText xml:space="preserve"> PAGEREF _Toc423438751 \h </w:instrText>
        </w:r>
        <w:r w:rsidR="000873B0">
          <w:rPr>
            <w:noProof/>
            <w:webHidden/>
          </w:rPr>
        </w:r>
        <w:r w:rsidR="000873B0">
          <w:rPr>
            <w:noProof/>
            <w:webHidden/>
          </w:rPr>
          <w:fldChar w:fldCharType="separate"/>
        </w:r>
        <w:r w:rsidR="006C2AB4">
          <w:rPr>
            <w:noProof/>
            <w:webHidden/>
          </w:rPr>
          <w:t>8-4</w:t>
        </w:r>
        <w:r w:rsidR="000873B0">
          <w:rPr>
            <w:noProof/>
            <w:webHidden/>
          </w:rPr>
          <w:fldChar w:fldCharType="end"/>
        </w:r>
      </w:hyperlink>
    </w:p>
    <w:p w14:paraId="73BE6FE7" w14:textId="77777777" w:rsidR="000873B0" w:rsidRDefault="00531473">
      <w:pPr>
        <w:pStyle w:val="TOC2"/>
        <w:rPr>
          <w:rFonts w:asciiTheme="minorHAnsi" w:eastAsiaTheme="minorEastAsia" w:hAnsiTheme="minorHAnsi" w:cstheme="minorBidi"/>
          <w:noProof/>
          <w:szCs w:val="22"/>
          <w:lang w:val="en-CA" w:eastAsia="en-CA"/>
        </w:rPr>
      </w:pPr>
      <w:hyperlink w:anchor="_Toc423438752" w:history="1">
        <w:r w:rsidR="000873B0" w:rsidRPr="005F3DE9">
          <w:rPr>
            <w:rStyle w:val="Hyperlink"/>
            <w:noProof/>
            <w:lang w:val="en-CA"/>
          </w:rPr>
          <w:t>8.6</w:t>
        </w:r>
        <w:r w:rsidR="000873B0">
          <w:rPr>
            <w:rFonts w:asciiTheme="minorHAnsi" w:eastAsiaTheme="minorEastAsia" w:hAnsiTheme="minorHAnsi" w:cstheme="minorBidi"/>
            <w:noProof/>
            <w:szCs w:val="22"/>
            <w:lang w:val="en-CA" w:eastAsia="en-CA"/>
          </w:rPr>
          <w:tab/>
        </w:r>
        <w:r w:rsidR="000873B0" w:rsidRPr="005F3DE9">
          <w:rPr>
            <w:rStyle w:val="Hyperlink"/>
            <w:noProof/>
            <w:lang w:val="en-CA"/>
          </w:rPr>
          <w:t>Exit Strategy and Handover Plan</w:t>
        </w:r>
        <w:r w:rsidR="000873B0">
          <w:rPr>
            <w:noProof/>
            <w:webHidden/>
          </w:rPr>
          <w:tab/>
        </w:r>
        <w:r w:rsidR="000873B0">
          <w:rPr>
            <w:noProof/>
            <w:webHidden/>
          </w:rPr>
          <w:fldChar w:fldCharType="begin"/>
        </w:r>
        <w:r w:rsidR="000873B0">
          <w:rPr>
            <w:noProof/>
            <w:webHidden/>
          </w:rPr>
          <w:instrText xml:space="preserve"> PAGEREF _Toc423438752 \h </w:instrText>
        </w:r>
        <w:r w:rsidR="000873B0">
          <w:rPr>
            <w:noProof/>
            <w:webHidden/>
          </w:rPr>
        </w:r>
        <w:r w:rsidR="000873B0">
          <w:rPr>
            <w:noProof/>
            <w:webHidden/>
          </w:rPr>
          <w:fldChar w:fldCharType="separate"/>
        </w:r>
        <w:r w:rsidR="006C2AB4">
          <w:rPr>
            <w:noProof/>
            <w:webHidden/>
          </w:rPr>
          <w:t>8-4</w:t>
        </w:r>
        <w:r w:rsidR="000873B0">
          <w:rPr>
            <w:noProof/>
            <w:webHidden/>
          </w:rPr>
          <w:fldChar w:fldCharType="end"/>
        </w:r>
      </w:hyperlink>
    </w:p>
    <w:p w14:paraId="1DF2F001" w14:textId="1D6C300B" w:rsidR="005C731A" w:rsidRPr="009D07E3" w:rsidRDefault="00302B23" w:rsidP="00BE1779">
      <w:pPr>
        <w:tabs>
          <w:tab w:val="right" w:leader="dot" w:pos="8820"/>
          <w:tab w:val="right" w:leader="dot" w:pos="8931"/>
        </w:tabs>
        <w:rPr>
          <w:lang w:val="en-CA"/>
        </w:rPr>
      </w:pPr>
      <w:r w:rsidRPr="00CC3149">
        <w:rPr>
          <w:rFonts w:ascii="Arial Bold" w:hAnsi="Arial Bold"/>
          <w:noProof/>
          <w:sz w:val="22"/>
          <w:szCs w:val="22"/>
          <w:lang w:val="en-CA"/>
        </w:rPr>
        <w:fldChar w:fldCharType="end"/>
      </w:r>
    </w:p>
    <w:p w14:paraId="0AEF6B6E" w14:textId="377F242F" w:rsidR="005C731A" w:rsidRPr="009D07E3" w:rsidRDefault="005C731A" w:rsidP="005C731A">
      <w:pPr>
        <w:tabs>
          <w:tab w:val="right" w:leader="dot" w:pos="9090"/>
        </w:tabs>
        <w:rPr>
          <w:b/>
          <w:lang w:val="en-CA"/>
        </w:rPr>
      </w:pPr>
    </w:p>
    <w:p w14:paraId="1DF9024D" w14:textId="25464DCA" w:rsidR="005C731A" w:rsidRPr="007E5EEB" w:rsidRDefault="005C731A" w:rsidP="005C731A">
      <w:pPr>
        <w:tabs>
          <w:tab w:val="right" w:leader="dot" w:pos="8931"/>
        </w:tabs>
        <w:spacing w:after="120"/>
        <w:rPr>
          <w:b/>
          <w:sz w:val="22"/>
          <w:lang w:val="en-CA"/>
        </w:rPr>
      </w:pPr>
      <w:r w:rsidRPr="007E5EEB">
        <w:rPr>
          <w:b/>
          <w:sz w:val="22"/>
          <w:lang w:val="en-CA"/>
        </w:rPr>
        <w:t>ANNEXES</w:t>
      </w:r>
    </w:p>
    <w:p w14:paraId="04D95CDE" w14:textId="57FB7D16" w:rsidR="006426B5" w:rsidRPr="007E5EEB" w:rsidRDefault="00F757E5" w:rsidP="006426B5">
      <w:pPr>
        <w:pStyle w:val="NoSpacing"/>
        <w:jc w:val="both"/>
        <w:rPr>
          <w:rFonts w:cs="Arial"/>
        </w:rPr>
      </w:pPr>
      <w:r>
        <w:rPr>
          <w:rFonts w:cs="Arial"/>
        </w:rPr>
        <w:t xml:space="preserve">Annex A: </w:t>
      </w:r>
      <w:r w:rsidR="006426B5" w:rsidRPr="007E5EEB">
        <w:rPr>
          <w:rFonts w:cs="Arial"/>
        </w:rPr>
        <w:t xml:space="preserve">Governance Structure </w:t>
      </w:r>
    </w:p>
    <w:p w14:paraId="68F35969" w14:textId="77777777" w:rsidR="006426B5" w:rsidRPr="000A333F" w:rsidRDefault="006426B5" w:rsidP="006426B5">
      <w:pPr>
        <w:pStyle w:val="NoSpacing"/>
        <w:jc w:val="both"/>
        <w:rPr>
          <w:rFonts w:cs="Arial"/>
          <w:sz w:val="20"/>
          <w:szCs w:val="20"/>
          <w:highlight w:val="yellow"/>
        </w:rPr>
      </w:pPr>
    </w:p>
    <w:p w14:paraId="2BEE1AE6" w14:textId="77777777" w:rsidR="006426B5" w:rsidRPr="000A333F" w:rsidRDefault="006426B5" w:rsidP="006426B5">
      <w:pPr>
        <w:pStyle w:val="NoSpacing"/>
        <w:jc w:val="both"/>
        <w:rPr>
          <w:rFonts w:cs="Arial"/>
          <w:sz w:val="20"/>
          <w:szCs w:val="20"/>
          <w:highlight w:val="yellow"/>
        </w:rPr>
      </w:pPr>
    </w:p>
    <w:p w14:paraId="17C24FB0" w14:textId="77777777" w:rsidR="006426B5" w:rsidRDefault="006426B5" w:rsidP="005C731A">
      <w:pPr>
        <w:tabs>
          <w:tab w:val="right" w:leader="dot" w:pos="8931"/>
        </w:tabs>
        <w:spacing w:after="120"/>
        <w:rPr>
          <w:b/>
          <w:lang w:val="en-CA"/>
        </w:rPr>
      </w:pPr>
    </w:p>
    <w:p w14:paraId="1477DA59" w14:textId="77777777" w:rsidR="006426B5" w:rsidRPr="009D07E3" w:rsidRDefault="006426B5" w:rsidP="005C731A">
      <w:pPr>
        <w:tabs>
          <w:tab w:val="right" w:leader="dot" w:pos="8931"/>
        </w:tabs>
        <w:spacing w:after="120"/>
        <w:rPr>
          <w:b/>
          <w:lang w:val="en-CA"/>
        </w:rPr>
      </w:pPr>
    </w:p>
    <w:p w14:paraId="546A2BB0" w14:textId="77777777" w:rsidR="003232A5" w:rsidRPr="009D07E3" w:rsidRDefault="003232A5" w:rsidP="00F757E5">
      <w:pPr>
        <w:pStyle w:val="Title"/>
        <w:sectPr w:rsidR="003232A5" w:rsidRPr="009D07E3" w:rsidSect="00614064">
          <w:headerReference w:type="first" r:id="rId16"/>
          <w:type w:val="nextColumn"/>
          <w:pgSz w:w="11909" w:h="16834" w:code="9"/>
          <w:pgMar w:top="1440" w:right="1440" w:bottom="1440" w:left="1440" w:header="720" w:footer="720" w:gutter="0"/>
          <w:pgNumType w:fmt="lowerRoman" w:start="1"/>
          <w:cols w:space="708"/>
          <w:titlePg/>
          <w:docGrid w:linePitch="360"/>
        </w:sectPr>
      </w:pPr>
    </w:p>
    <w:p w14:paraId="01B4A075" w14:textId="7BA06C5D" w:rsidR="00F74442" w:rsidRDefault="00F74442" w:rsidP="00F757E5">
      <w:pPr>
        <w:pStyle w:val="Title"/>
      </w:pPr>
      <w:r w:rsidRPr="009D07E3">
        <w:lastRenderedPageBreak/>
        <w:t>Executive Summary</w:t>
      </w:r>
    </w:p>
    <w:p w14:paraId="1D38DC32" w14:textId="77777777" w:rsidR="0005229C" w:rsidRPr="0005229C" w:rsidRDefault="0005229C" w:rsidP="0005229C"/>
    <w:p w14:paraId="2DD79448" w14:textId="080DD7A6" w:rsidR="00BE5598" w:rsidRDefault="00197460" w:rsidP="00F74442">
      <w:pPr>
        <w:rPr>
          <w:rFonts w:cs="Arial"/>
          <w:lang w:val="en-CA"/>
        </w:rPr>
      </w:pPr>
      <w:r>
        <w:rPr>
          <w:rFonts w:cs="Arial"/>
          <w:lang w:val="en-CA"/>
        </w:rPr>
        <w:t xml:space="preserve">This report presents </w:t>
      </w:r>
      <w:r w:rsidR="00BE5598">
        <w:rPr>
          <w:rFonts w:cs="Arial"/>
          <w:lang w:val="en-CA"/>
        </w:rPr>
        <w:t>a proposed</w:t>
      </w:r>
      <w:r>
        <w:rPr>
          <w:rFonts w:cs="Arial"/>
          <w:lang w:val="en-CA"/>
        </w:rPr>
        <w:t xml:space="preserve"> forward plan for phase two of the ‘</w:t>
      </w:r>
      <w:r w:rsidR="00F74442" w:rsidRPr="009D07E3">
        <w:rPr>
          <w:rFonts w:cs="Arial"/>
          <w:lang w:val="en-CA"/>
        </w:rPr>
        <w:t xml:space="preserve">Empowering </w:t>
      </w:r>
      <w:r>
        <w:rPr>
          <w:rFonts w:cs="Arial"/>
          <w:lang w:val="en-CA"/>
        </w:rPr>
        <w:t>Indonesian Women for Poverty Reduction’ (MAMPU)</w:t>
      </w:r>
      <w:r w:rsidR="00F74442" w:rsidRPr="009D07E3">
        <w:rPr>
          <w:rFonts w:cs="Arial"/>
          <w:lang w:val="en-CA"/>
        </w:rPr>
        <w:t xml:space="preserve"> program</w:t>
      </w:r>
      <w:r w:rsidR="006A2F51">
        <w:rPr>
          <w:rFonts w:cs="Arial"/>
          <w:lang w:val="en-CA"/>
        </w:rPr>
        <w:t xml:space="preserve">. </w:t>
      </w:r>
      <w:r w:rsidR="006A2F51" w:rsidRPr="009D07E3">
        <w:rPr>
          <w:rFonts w:cs="Arial"/>
          <w:lang w:val="en-CA"/>
        </w:rPr>
        <w:t>With one more year to run before phase 2 begins, this forward planning document revisits the rationale for the program given the changing context and new evidence available since the program began, and reflects on the implication</w:t>
      </w:r>
      <w:r w:rsidR="00035E57">
        <w:rPr>
          <w:rFonts w:cs="Arial"/>
          <w:lang w:val="en-CA"/>
        </w:rPr>
        <w:t>s</w:t>
      </w:r>
      <w:r w:rsidR="006A2F51" w:rsidRPr="009D07E3">
        <w:rPr>
          <w:rFonts w:cs="Arial"/>
          <w:lang w:val="en-CA"/>
        </w:rPr>
        <w:t xml:space="preserve"> of lessons learned to date</w:t>
      </w:r>
      <w:r w:rsidR="00035E57">
        <w:rPr>
          <w:rFonts w:cs="Arial"/>
          <w:lang w:val="en-CA"/>
        </w:rPr>
        <w:t xml:space="preserve"> and</w:t>
      </w:r>
      <w:r w:rsidR="006A2F51" w:rsidRPr="009D07E3">
        <w:rPr>
          <w:rFonts w:cs="Arial"/>
          <w:lang w:val="en-CA"/>
        </w:rPr>
        <w:t xml:space="preserve"> on the future implementation approach and governance arrangements.</w:t>
      </w:r>
      <w:r w:rsidR="00BE5598">
        <w:rPr>
          <w:rFonts w:cs="Arial"/>
          <w:lang w:val="en-CA"/>
        </w:rPr>
        <w:t xml:space="preserve"> </w:t>
      </w:r>
    </w:p>
    <w:p w14:paraId="054F0CA9" w14:textId="77777777" w:rsidR="00BE5598" w:rsidRDefault="00BE5598" w:rsidP="00F74442">
      <w:pPr>
        <w:rPr>
          <w:rFonts w:cs="Arial"/>
          <w:lang w:val="en-CA"/>
        </w:rPr>
      </w:pPr>
    </w:p>
    <w:p w14:paraId="3F7574A4" w14:textId="1BF938F1" w:rsidR="00BE5598" w:rsidRDefault="00BE5598" w:rsidP="00F74442">
      <w:pPr>
        <w:rPr>
          <w:rFonts w:cs="Arial"/>
          <w:lang w:val="en-CA"/>
        </w:rPr>
      </w:pPr>
      <w:r>
        <w:rPr>
          <w:rFonts w:cs="Arial"/>
          <w:lang w:val="en-CA"/>
        </w:rPr>
        <w:t>The MAMPU Program is funded by the Department of Foreign Affairs and Trade (DFAT)</w:t>
      </w:r>
      <w:r w:rsidR="00F74442" w:rsidRPr="009D07E3">
        <w:rPr>
          <w:rFonts w:cs="Arial"/>
          <w:lang w:val="en-CA"/>
        </w:rPr>
        <w:t xml:space="preserve"> </w:t>
      </w:r>
      <w:r>
        <w:rPr>
          <w:rFonts w:cs="Arial"/>
          <w:lang w:val="en-CA"/>
        </w:rPr>
        <w:t xml:space="preserve">of the </w:t>
      </w:r>
      <w:r w:rsidR="00035E57">
        <w:rPr>
          <w:rFonts w:cs="Arial"/>
          <w:lang w:val="en-CA"/>
        </w:rPr>
        <w:t>G</w:t>
      </w:r>
      <w:r>
        <w:rPr>
          <w:rFonts w:cs="Arial"/>
          <w:lang w:val="en-CA"/>
        </w:rPr>
        <w:t>overnment of Australia and is implemented in cooperation with the National Planning and Developm</w:t>
      </w:r>
      <w:r w:rsidR="00035E57">
        <w:rPr>
          <w:rFonts w:cs="Arial"/>
          <w:lang w:val="en-CA"/>
        </w:rPr>
        <w:t>ent Ministry (BAPPENAS) of the G</w:t>
      </w:r>
      <w:r>
        <w:rPr>
          <w:rFonts w:cs="Arial"/>
          <w:lang w:val="en-CA"/>
        </w:rPr>
        <w:t>overnment of Indonesia.  MAMPU supports the development of networks and inclusive coalitions of women’s and gender-interested organisations (the MAMPU ‘partners’) and parliamentarians to influence government policies, regulations and services, and to apply influence in selected private sector arenas. Ultimately</w:t>
      </w:r>
      <w:r w:rsidR="00035E57">
        <w:rPr>
          <w:rFonts w:cs="Arial"/>
          <w:lang w:val="en-CA"/>
        </w:rPr>
        <w:t>,</w:t>
      </w:r>
      <w:r>
        <w:rPr>
          <w:rFonts w:cs="Arial"/>
          <w:lang w:val="en-CA"/>
        </w:rPr>
        <w:t xml:space="preserve"> this work aims to improve the access of poor women in Indonesia to critical services and programs and improve their livelihoods.</w:t>
      </w:r>
    </w:p>
    <w:p w14:paraId="6301FE53" w14:textId="77777777" w:rsidR="00BE5598" w:rsidRDefault="00BE5598" w:rsidP="00F74442">
      <w:pPr>
        <w:rPr>
          <w:rFonts w:cs="Arial"/>
          <w:lang w:val="en-CA"/>
        </w:rPr>
      </w:pPr>
    </w:p>
    <w:p w14:paraId="5E86A725" w14:textId="3F08C3D4" w:rsidR="00BE5598" w:rsidRDefault="00BE5598" w:rsidP="00F74442">
      <w:pPr>
        <w:rPr>
          <w:rFonts w:cs="Arial"/>
          <w:lang w:val="en-CA"/>
        </w:rPr>
      </w:pPr>
      <w:r>
        <w:rPr>
          <w:rFonts w:cs="Arial"/>
          <w:lang w:val="en-CA"/>
        </w:rPr>
        <w:t>The MAMPU Program provides grants and technical assistance to partners working in five thematic areas:</w:t>
      </w:r>
    </w:p>
    <w:p w14:paraId="4556E26C" w14:textId="77777777" w:rsidR="00BE5598" w:rsidRDefault="00BE5598" w:rsidP="00F74442">
      <w:pPr>
        <w:rPr>
          <w:rFonts w:cs="Arial"/>
          <w:lang w:val="en-CA"/>
        </w:rPr>
      </w:pPr>
    </w:p>
    <w:p w14:paraId="33A045C7" w14:textId="430A39BC" w:rsidR="00BE5598" w:rsidRPr="00BE5598" w:rsidRDefault="00BE5598" w:rsidP="00BE5598">
      <w:pPr>
        <w:spacing w:line="276" w:lineRule="auto"/>
        <w:rPr>
          <w:rFonts w:cs="Arial"/>
          <w:lang w:val="en-US"/>
        </w:rPr>
      </w:pPr>
      <w:r w:rsidRPr="00BE5598">
        <w:rPr>
          <w:rFonts w:cs="Arial"/>
          <w:lang w:val="en-US"/>
        </w:rPr>
        <w:t xml:space="preserve">1. </w:t>
      </w:r>
      <w:proofErr w:type="gramStart"/>
      <w:r w:rsidRPr="00BE5598">
        <w:rPr>
          <w:rFonts w:cs="Arial"/>
          <w:lang w:val="en-US"/>
        </w:rPr>
        <w:t>improving</w:t>
      </w:r>
      <w:proofErr w:type="gramEnd"/>
      <w:r w:rsidRPr="00BE5598">
        <w:rPr>
          <w:rFonts w:cs="Arial"/>
          <w:lang w:val="en-US"/>
        </w:rPr>
        <w:t xml:space="preserve"> women’s access to government social protection programs</w:t>
      </w:r>
    </w:p>
    <w:p w14:paraId="26A1C18E" w14:textId="7A55C65F" w:rsidR="00BE5598" w:rsidRPr="00BE5598" w:rsidRDefault="00BE5598" w:rsidP="00BE5598">
      <w:pPr>
        <w:spacing w:line="276" w:lineRule="auto"/>
        <w:rPr>
          <w:rFonts w:cs="Arial"/>
          <w:lang w:val="en-US"/>
        </w:rPr>
      </w:pPr>
      <w:r w:rsidRPr="00BE5598">
        <w:rPr>
          <w:rFonts w:cs="Arial"/>
          <w:lang w:val="en-US"/>
        </w:rPr>
        <w:t xml:space="preserve">2. </w:t>
      </w:r>
      <w:proofErr w:type="gramStart"/>
      <w:r w:rsidRPr="00BE5598">
        <w:rPr>
          <w:rFonts w:cs="Arial"/>
          <w:lang w:val="en-US"/>
        </w:rPr>
        <w:t>increasing</w:t>
      </w:r>
      <w:proofErr w:type="gramEnd"/>
      <w:r w:rsidRPr="00BE5598">
        <w:rPr>
          <w:rFonts w:cs="Arial"/>
          <w:lang w:val="en-US"/>
        </w:rPr>
        <w:t xml:space="preserve"> women’s access to jobs and removing workplace discrimination</w:t>
      </w:r>
    </w:p>
    <w:p w14:paraId="268B2B65" w14:textId="47A82BFD" w:rsidR="00BE5598" w:rsidRPr="00BE5598" w:rsidRDefault="00BE5598" w:rsidP="00BE5598">
      <w:pPr>
        <w:spacing w:line="276" w:lineRule="auto"/>
        <w:rPr>
          <w:rFonts w:cs="Arial"/>
          <w:lang w:val="en-US"/>
        </w:rPr>
      </w:pPr>
      <w:r w:rsidRPr="00BE5598">
        <w:rPr>
          <w:rFonts w:cs="Arial"/>
          <w:lang w:val="en-US"/>
        </w:rPr>
        <w:t xml:space="preserve">3. </w:t>
      </w:r>
      <w:proofErr w:type="gramStart"/>
      <w:r w:rsidRPr="00BE5598">
        <w:rPr>
          <w:rFonts w:cs="Arial"/>
          <w:lang w:val="en-US"/>
        </w:rPr>
        <w:t>improving</w:t>
      </w:r>
      <w:proofErr w:type="gramEnd"/>
      <w:r w:rsidRPr="00BE5598">
        <w:rPr>
          <w:rFonts w:cs="Arial"/>
          <w:lang w:val="en-US"/>
        </w:rPr>
        <w:t xml:space="preserve"> conditions for women’s overseas </w:t>
      </w:r>
      <w:proofErr w:type="spellStart"/>
      <w:r w:rsidRPr="00BE5598">
        <w:rPr>
          <w:rFonts w:cs="Arial"/>
          <w:lang w:val="en-US"/>
        </w:rPr>
        <w:t>labour</w:t>
      </w:r>
      <w:proofErr w:type="spellEnd"/>
      <w:r w:rsidRPr="00BE5598">
        <w:rPr>
          <w:rFonts w:cs="Arial"/>
          <w:lang w:val="en-US"/>
        </w:rPr>
        <w:t xml:space="preserve"> migration</w:t>
      </w:r>
    </w:p>
    <w:p w14:paraId="440C8E1E" w14:textId="77777777" w:rsidR="00BE5598" w:rsidRPr="00BE5598" w:rsidRDefault="00BE5598" w:rsidP="00BE5598">
      <w:pPr>
        <w:spacing w:line="276" w:lineRule="auto"/>
        <w:rPr>
          <w:rFonts w:cs="Arial"/>
          <w:lang w:val="en-US"/>
        </w:rPr>
      </w:pPr>
      <w:r w:rsidRPr="00BE5598">
        <w:rPr>
          <w:rFonts w:cs="Arial"/>
          <w:lang w:val="en-US"/>
        </w:rPr>
        <w:t xml:space="preserve">4. </w:t>
      </w:r>
      <w:proofErr w:type="gramStart"/>
      <w:r w:rsidRPr="00BE5598">
        <w:rPr>
          <w:rFonts w:cs="Arial"/>
          <w:lang w:val="en-US"/>
        </w:rPr>
        <w:t>strengthening</w:t>
      </w:r>
      <w:proofErr w:type="gramEnd"/>
      <w:r w:rsidRPr="00BE5598">
        <w:rPr>
          <w:rFonts w:cs="Arial"/>
          <w:lang w:val="en-US"/>
        </w:rPr>
        <w:t xml:space="preserve"> women’s leadership for better maternal and reproductive health </w:t>
      </w:r>
    </w:p>
    <w:p w14:paraId="30B4F93B" w14:textId="19AC5DF5" w:rsidR="00BE5598" w:rsidRPr="00BE5598" w:rsidRDefault="00BE5598" w:rsidP="00BE5598">
      <w:pPr>
        <w:spacing w:line="276" w:lineRule="auto"/>
        <w:rPr>
          <w:rFonts w:cs="Arial"/>
          <w:lang w:val="en-US"/>
        </w:rPr>
      </w:pPr>
      <w:r w:rsidRPr="00BE5598">
        <w:rPr>
          <w:rFonts w:cs="Arial"/>
          <w:lang w:val="en-US"/>
        </w:rPr>
        <w:t xml:space="preserve">5. </w:t>
      </w:r>
      <w:proofErr w:type="gramStart"/>
      <w:r w:rsidRPr="00BE5598">
        <w:rPr>
          <w:rFonts w:cs="Arial"/>
          <w:lang w:val="en-US"/>
        </w:rPr>
        <w:t>strengthening</w:t>
      </w:r>
      <w:proofErr w:type="gramEnd"/>
      <w:r w:rsidRPr="00BE5598">
        <w:rPr>
          <w:rFonts w:cs="Arial"/>
          <w:lang w:val="en-US"/>
        </w:rPr>
        <w:t xml:space="preserve"> women’s leadership to reduce violence against women </w:t>
      </w:r>
    </w:p>
    <w:p w14:paraId="1870FDAB" w14:textId="77777777" w:rsidR="00BE5598" w:rsidRDefault="00BE5598" w:rsidP="00F74442">
      <w:pPr>
        <w:rPr>
          <w:rFonts w:cs="Arial"/>
          <w:lang w:val="en-CA"/>
        </w:rPr>
      </w:pPr>
    </w:p>
    <w:p w14:paraId="045A0CEC" w14:textId="1F949FB7" w:rsidR="00F74442" w:rsidRPr="009D07E3" w:rsidRDefault="00BE5598" w:rsidP="00F74442">
      <w:pPr>
        <w:rPr>
          <w:rFonts w:cs="Arial"/>
          <w:lang w:val="en-CA"/>
        </w:rPr>
      </w:pPr>
      <w:r>
        <w:rPr>
          <w:rFonts w:cs="Arial"/>
          <w:lang w:val="en-CA"/>
        </w:rPr>
        <w:t xml:space="preserve">Currently </w:t>
      </w:r>
      <w:r w:rsidR="00F74442" w:rsidRPr="009D07E3">
        <w:rPr>
          <w:rFonts w:cs="Arial"/>
          <w:lang w:val="en-CA"/>
        </w:rPr>
        <w:t>in its 3</w:t>
      </w:r>
      <w:r w:rsidR="00F74442" w:rsidRPr="009D07E3">
        <w:rPr>
          <w:rFonts w:cs="Arial"/>
          <w:vertAlign w:val="superscript"/>
          <w:lang w:val="en-CA"/>
        </w:rPr>
        <w:t>rd</w:t>
      </w:r>
      <w:r>
        <w:rPr>
          <w:rFonts w:cs="Arial"/>
          <w:lang w:val="en-CA"/>
        </w:rPr>
        <w:t xml:space="preserve"> year</w:t>
      </w:r>
      <w:r w:rsidR="00E2463D">
        <w:rPr>
          <w:rFonts w:cs="Arial"/>
          <w:lang w:val="en-CA"/>
        </w:rPr>
        <w:t xml:space="preserve"> of implementation</w:t>
      </w:r>
      <w:r>
        <w:rPr>
          <w:rFonts w:cs="Arial"/>
          <w:lang w:val="en-CA"/>
        </w:rPr>
        <w:t>,</w:t>
      </w:r>
      <w:r w:rsidR="00B61E95" w:rsidRPr="009D07E3">
        <w:rPr>
          <w:rFonts w:cs="Arial"/>
          <w:lang w:val="en-CA"/>
        </w:rPr>
        <w:t xml:space="preserve"> </w:t>
      </w:r>
      <w:r w:rsidR="00F74442" w:rsidRPr="009D07E3">
        <w:rPr>
          <w:rFonts w:cs="Arial"/>
          <w:lang w:val="en-CA"/>
        </w:rPr>
        <w:t>MAMPU</w:t>
      </w:r>
      <w:r w:rsidR="007644BB">
        <w:rPr>
          <w:rFonts w:cs="Arial"/>
          <w:lang w:val="en-CA"/>
        </w:rPr>
        <w:t xml:space="preserve">’s partner network has grown to 161 organisations, counting both local branches or mass organisations </w:t>
      </w:r>
      <w:r w:rsidR="007D64AF">
        <w:rPr>
          <w:rFonts w:cs="Arial"/>
          <w:lang w:val="en-CA"/>
        </w:rPr>
        <w:t xml:space="preserve">and civil society organisations </w:t>
      </w:r>
      <w:r w:rsidR="00E2463D">
        <w:rPr>
          <w:rFonts w:cs="Arial"/>
          <w:lang w:val="en-CA"/>
        </w:rPr>
        <w:t xml:space="preserve">that </w:t>
      </w:r>
      <w:r w:rsidR="00F74442" w:rsidRPr="009D07E3">
        <w:rPr>
          <w:rFonts w:cs="Arial"/>
          <w:lang w:val="en-CA"/>
        </w:rPr>
        <w:t>are achieving some significant results through their programs at the grass roots levels, and through the influence of their networks at sub-national and national level</w:t>
      </w:r>
      <w:r w:rsidR="00035E57">
        <w:rPr>
          <w:rFonts w:cs="Arial"/>
          <w:lang w:val="en-CA"/>
        </w:rPr>
        <w:t>s</w:t>
      </w:r>
      <w:r w:rsidR="00F74442" w:rsidRPr="009D07E3">
        <w:rPr>
          <w:rFonts w:cs="Arial"/>
          <w:lang w:val="en-CA"/>
        </w:rPr>
        <w:t xml:space="preserve">. </w:t>
      </w:r>
      <w:r w:rsidR="00081FDD">
        <w:rPr>
          <w:rFonts w:cs="Arial"/>
          <w:lang w:val="en-CA"/>
        </w:rPr>
        <w:t xml:space="preserve">MAMPU partners work in more than 2,400 villages (across 27 provinces) and more than 800 local groups have been established with a total membership of more than 14,000 women. </w:t>
      </w:r>
      <w:r w:rsidR="008B378D">
        <w:rPr>
          <w:rFonts w:cs="Arial"/>
          <w:lang w:val="en-CA"/>
        </w:rPr>
        <w:t xml:space="preserve">MAMPU </w:t>
      </w:r>
      <w:r w:rsidR="00081FDD" w:rsidRPr="009D07E3">
        <w:rPr>
          <w:rFonts w:cs="Arial"/>
          <w:lang w:val="en-CA"/>
        </w:rPr>
        <w:t>also facilitated engagement of Indonesian women leaders at regional and global level</w:t>
      </w:r>
      <w:r w:rsidR="00035E57">
        <w:rPr>
          <w:rFonts w:cs="Arial"/>
          <w:lang w:val="en-CA"/>
        </w:rPr>
        <w:t>s</w:t>
      </w:r>
      <w:r w:rsidR="00081FDD" w:rsidRPr="009D07E3">
        <w:rPr>
          <w:rFonts w:cs="Arial"/>
          <w:lang w:val="en-CA"/>
        </w:rPr>
        <w:t xml:space="preserve"> on women’s issues.</w:t>
      </w:r>
    </w:p>
    <w:p w14:paraId="0DAE5A9F" w14:textId="77777777" w:rsidR="00F74442" w:rsidRPr="009D07E3" w:rsidRDefault="00F74442" w:rsidP="00F74442">
      <w:pPr>
        <w:rPr>
          <w:rFonts w:cs="Arial"/>
          <w:lang w:val="en-CA"/>
        </w:rPr>
      </w:pPr>
    </w:p>
    <w:p w14:paraId="74D74660" w14:textId="3002B33E" w:rsidR="00F74442" w:rsidRPr="009D07E3" w:rsidRDefault="00F74442" w:rsidP="00F74442">
      <w:pPr>
        <w:rPr>
          <w:rFonts w:cs="Arial"/>
          <w:lang w:val="en-CA"/>
        </w:rPr>
      </w:pPr>
      <w:r w:rsidRPr="009D07E3">
        <w:rPr>
          <w:rFonts w:cs="Arial"/>
          <w:lang w:val="en-CA"/>
        </w:rPr>
        <w:t xml:space="preserve">The rationale for MAMPU is strengthened in the current </w:t>
      </w:r>
      <w:r w:rsidR="009D07E3" w:rsidRPr="009D07E3">
        <w:rPr>
          <w:rFonts w:cs="Arial"/>
          <w:lang w:val="en-CA"/>
        </w:rPr>
        <w:t>macro-economic</w:t>
      </w:r>
      <w:r w:rsidRPr="009D07E3">
        <w:rPr>
          <w:rFonts w:cs="Arial"/>
          <w:lang w:val="en-CA"/>
        </w:rPr>
        <w:t xml:space="preserve"> and political climate. In an environment of more restrained budgets due to reduced rate of growth, </w:t>
      </w:r>
      <w:r w:rsidR="002F2933">
        <w:rPr>
          <w:rFonts w:cs="Arial"/>
          <w:lang w:val="en-CA"/>
        </w:rPr>
        <w:t>Indonesia</w:t>
      </w:r>
      <w:r w:rsidRPr="009D07E3">
        <w:rPr>
          <w:rFonts w:cs="Arial"/>
          <w:lang w:val="en-CA"/>
        </w:rPr>
        <w:t xml:space="preserve"> cannot afford to miss the opportunity that empowering women provides. Empowered women have the potential to contribute to the economy, and help to improve the efficiency and effectiveness with which resources are allocated to deliver essen</w:t>
      </w:r>
      <w:r w:rsidR="008A4478">
        <w:rPr>
          <w:rFonts w:cs="Arial"/>
          <w:lang w:val="en-CA"/>
        </w:rPr>
        <w:t xml:space="preserve">tial services.  Increasingly </w:t>
      </w:r>
      <w:r w:rsidRPr="009D07E3">
        <w:rPr>
          <w:rFonts w:cs="Arial"/>
          <w:lang w:val="en-CA"/>
        </w:rPr>
        <w:t xml:space="preserve">global evidence shows how improving gender equality impacts positively on economic growth and argues for dedicated programs to empower women.  </w:t>
      </w:r>
    </w:p>
    <w:p w14:paraId="01B3C82A" w14:textId="77777777" w:rsidR="00F74442" w:rsidRPr="009D07E3" w:rsidRDefault="00F74442" w:rsidP="00F74442">
      <w:pPr>
        <w:rPr>
          <w:rFonts w:cs="Arial"/>
          <w:lang w:val="en-CA"/>
        </w:rPr>
      </w:pPr>
    </w:p>
    <w:p w14:paraId="6912AD53" w14:textId="5ED20913" w:rsidR="00F74442" w:rsidRPr="009D07E3" w:rsidRDefault="002872FE" w:rsidP="00F74442">
      <w:pPr>
        <w:rPr>
          <w:rFonts w:cs="Arial"/>
          <w:lang w:val="en-CA"/>
        </w:rPr>
      </w:pPr>
      <w:r>
        <w:rPr>
          <w:rFonts w:cs="Arial"/>
          <w:lang w:val="en-CA"/>
        </w:rPr>
        <w:t xml:space="preserve">The recent elections </w:t>
      </w:r>
      <w:r w:rsidR="00F74442" w:rsidRPr="009D07E3">
        <w:rPr>
          <w:rFonts w:cs="Arial"/>
          <w:lang w:val="en-CA"/>
        </w:rPr>
        <w:t>also highlighted the challenge of increasing the proportion of women in legislative bodies – especially at the sub national level. The lack of women’s voice in policy formulation contributes, among other things</w:t>
      </w:r>
      <w:r w:rsidR="002F2B3B">
        <w:rPr>
          <w:rFonts w:cs="Arial"/>
          <w:lang w:val="en-CA"/>
        </w:rPr>
        <w:t>,</w:t>
      </w:r>
      <w:r w:rsidR="00F74442" w:rsidRPr="009D07E3">
        <w:rPr>
          <w:rFonts w:cs="Arial"/>
          <w:lang w:val="en-CA"/>
        </w:rPr>
        <w:t xml:space="preserve"> to an increasing number of local regulations that restrict women’s freedoms. </w:t>
      </w:r>
      <w:r w:rsidR="009F0782">
        <w:rPr>
          <w:rFonts w:cs="Arial"/>
          <w:lang w:val="en-CA"/>
        </w:rPr>
        <w:t>A new village law means that</w:t>
      </w:r>
      <w:r w:rsidR="00F74442" w:rsidRPr="009D07E3">
        <w:rPr>
          <w:rFonts w:cs="Arial"/>
          <w:lang w:val="en-CA"/>
        </w:rPr>
        <w:t xml:space="preserve"> substantial resources will be allocated to villages and their use decided on by villagers. The importance of helping women at this level to have voice and </w:t>
      </w:r>
      <w:r w:rsidR="00BF6BA3" w:rsidRPr="009D07E3">
        <w:rPr>
          <w:rFonts w:cs="Arial"/>
          <w:lang w:val="en-CA"/>
        </w:rPr>
        <w:t>agency</w:t>
      </w:r>
      <w:r w:rsidR="00F74442" w:rsidRPr="009D07E3">
        <w:rPr>
          <w:rFonts w:cs="Arial"/>
          <w:lang w:val="en-CA"/>
        </w:rPr>
        <w:t xml:space="preserve"> and to be a</w:t>
      </w:r>
      <w:r w:rsidR="009F0782">
        <w:rPr>
          <w:rFonts w:cs="Arial"/>
          <w:lang w:val="en-CA"/>
        </w:rPr>
        <w:t>b</w:t>
      </w:r>
      <w:r w:rsidR="00035E57">
        <w:rPr>
          <w:rFonts w:cs="Arial"/>
          <w:lang w:val="en-CA"/>
        </w:rPr>
        <w:t>le to participate and influence</w:t>
      </w:r>
      <w:r w:rsidR="00F74442" w:rsidRPr="009D07E3">
        <w:rPr>
          <w:rFonts w:cs="Arial"/>
          <w:lang w:val="en-CA"/>
        </w:rPr>
        <w:t xml:space="preserve"> decision-making has taken on a new level of urgency. Yet, the evidence is that gender equality is not improving </w:t>
      </w:r>
      <w:r w:rsidR="002F2B3B">
        <w:rPr>
          <w:rFonts w:cs="Arial"/>
          <w:lang w:val="en-CA"/>
        </w:rPr>
        <w:t>quickly</w:t>
      </w:r>
      <w:r w:rsidR="00F74442" w:rsidRPr="009D07E3">
        <w:rPr>
          <w:rFonts w:cs="Arial"/>
          <w:lang w:val="en-CA"/>
        </w:rPr>
        <w:t xml:space="preserve"> in Indonesia and substantial gaps and challenges persist, with many women excluded from social protection programs, a maternal mortality rate that has risen, and persistent issues of violence against women. Female migrant workers continue to be exploited, and barriers to women’s participation in the economy show up in one of the lowest female labour force participation rates in the region.  Indeed, in the absence of any significant progress in this regard</w:t>
      </w:r>
      <w:r w:rsidR="00FA0F7A">
        <w:rPr>
          <w:rFonts w:cs="Arial"/>
          <w:lang w:val="en-CA"/>
        </w:rPr>
        <w:t>,</w:t>
      </w:r>
      <w:r w:rsidR="00F74442" w:rsidRPr="009D07E3">
        <w:rPr>
          <w:rFonts w:cs="Arial"/>
          <w:lang w:val="en-CA"/>
        </w:rPr>
        <w:t xml:space="preserve"> through mainstream service delivery programs, the need for a program that supports the organic development of women’s organisations and women leaders to lead the change </w:t>
      </w:r>
      <w:r w:rsidR="00035E57">
        <w:rPr>
          <w:rFonts w:cs="Arial"/>
          <w:lang w:val="en-CA"/>
        </w:rPr>
        <w:t xml:space="preserve">is </w:t>
      </w:r>
      <w:r w:rsidR="00F74442" w:rsidRPr="009D07E3">
        <w:rPr>
          <w:rFonts w:cs="Arial"/>
          <w:lang w:val="en-CA"/>
        </w:rPr>
        <w:t xml:space="preserve">now stronger than ever.  </w:t>
      </w:r>
    </w:p>
    <w:p w14:paraId="0C904098" w14:textId="77777777" w:rsidR="00F74442" w:rsidRPr="009D07E3" w:rsidRDefault="00F74442" w:rsidP="00F74442">
      <w:pPr>
        <w:rPr>
          <w:rFonts w:cs="Arial"/>
          <w:lang w:val="en-CA"/>
        </w:rPr>
      </w:pPr>
    </w:p>
    <w:p w14:paraId="150ABFDE" w14:textId="1E63E211" w:rsidR="00F74442" w:rsidRPr="009D07E3" w:rsidRDefault="00F74442" w:rsidP="00F74442">
      <w:pPr>
        <w:rPr>
          <w:rFonts w:cs="Arial"/>
          <w:lang w:val="en-CA"/>
        </w:rPr>
      </w:pPr>
      <w:r w:rsidRPr="009D07E3">
        <w:rPr>
          <w:rFonts w:cs="Arial"/>
          <w:lang w:val="en-CA"/>
        </w:rPr>
        <w:t>Moving forward, the program needs to increa</w:t>
      </w:r>
      <w:r w:rsidR="002B14BA">
        <w:rPr>
          <w:rFonts w:cs="Arial"/>
          <w:lang w:val="en-CA"/>
        </w:rPr>
        <w:t xml:space="preserve">se focus on the empowerment of </w:t>
      </w:r>
      <w:r w:rsidRPr="009D07E3">
        <w:rPr>
          <w:rFonts w:cs="Arial"/>
          <w:lang w:val="en-CA"/>
        </w:rPr>
        <w:t>women</w:t>
      </w:r>
      <w:r w:rsidR="002B14BA">
        <w:rPr>
          <w:rFonts w:cs="Arial"/>
          <w:lang w:val="en-CA"/>
        </w:rPr>
        <w:t xml:space="preserve"> at the grassroots</w:t>
      </w:r>
      <w:r w:rsidRPr="009D07E3">
        <w:rPr>
          <w:rFonts w:cs="Arial"/>
          <w:lang w:val="en-CA"/>
        </w:rPr>
        <w:t xml:space="preserve"> in light of the implications of the village law. It also needs to clarify the original goal of </w:t>
      </w:r>
      <w:r w:rsidRPr="009D07E3">
        <w:rPr>
          <w:rFonts w:cs="Arial"/>
          <w:lang w:val="en-CA"/>
        </w:rPr>
        <w:lastRenderedPageBreak/>
        <w:t>improved livelihoods within a broader context of economic empowerment since this is now recognised as having links with both the macro economy</w:t>
      </w:r>
      <w:r w:rsidR="00035E57">
        <w:rPr>
          <w:rFonts w:cs="Arial"/>
          <w:lang w:val="en-CA"/>
        </w:rPr>
        <w:t>,</w:t>
      </w:r>
      <w:r w:rsidRPr="009D07E3">
        <w:rPr>
          <w:rFonts w:cs="Arial"/>
          <w:lang w:val="en-CA"/>
        </w:rPr>
        <w:t xml:space="preserve"> as well as on the social welfare outcomes of families and communities.  Lessons learned in Phase 1 with regard to how networks and coalitions can work effectively in Indonesia need to be built upon. The valuable experience of partners nee</w:t>
      </w:r>
      <w:r w:rsidR="00035E57">
        <w:rPr>
          <w:rFonts w:cs="Arial"/>
          <w:lang w:val="en-CA"/>
        </w:rPr>
        <w:t xml:space="preserve">ds to contribute to </w:t>
      </w:r>
      <w:r w:rsidRPr="009D07E3">
        <w:rPr>
          <w:rFonts w:cs="Arial"/>
          <w:lang w:val="en-CA"/>
        </w:rPr>
        <w:t>better integration across the thematic areas at the grassroots level, and strengthened vertical linkages between sub-national and national level policy agendas.  There has been increasing recognition during phase 1 of the need to become smarter in working with men – not just men in the households whose role will need to change to acco</w:t>
      </w:r>
      <w:r w:rsidR="004F4B2D">
        <w:rPr>
          <w:rFonts w:cs="Arial"/>
          <w:lang w:val="en-CA"/>
        </w:rPr>
        <w:t>mmodate changing roles of women,</w:t>
      </w:r>
      <w:r w:rsidRPr="009D07E3">
        <w:rPr>
          <w:rFonts w:cs="Arial"/>
          <w:lang w:val="en-CA"/>
        </w:rPr>
        <w:t xml:space="preserve"> but with male leaders at all levels to forge partnerships and gain their support for change. Increasingly, MAMPU partners need to be able to engage with religious</w:t>
      </w:r>
      <w:r w:rsidR="00935CCE">
        <w:rPr>
          <w:rFonts w:cs="Arial"/>
          <w:lang w:val="en-CA"/>
        </w:rPr>
        <w:t xml:space="preserve"> and customary</w:t>
      </w:r>
      <w:r w:rsidRPr="009D07E3">
        <w:rPr>
          <w:rFonts w:cs="Arial"/>
          <w:lang w:val="en-CA"/>
        </w:rPr>
        <w:t xml:space="preserve"> leaders in influencing the legal environment as well as addressing social norms.  </w:t>
      </w:r>
    </w:p>
    <w:p w14:paraId="586F6769" w14:textId="77777777" w:rsidR="00F74442" w:rsidRPr="009D07E3" w:rsidRDefault="00F74442" w:rsidP="00F74442">
      <w:pPr>
        <w:rPr>
          <w:rFonts w:cs="Arial"/>
          <w:lang w:val="en-CA"/>
        </w:rPr>
      </w:pPr>
    </w:p>
    <w:p w14:paraId="44DF1716" w14:textId="6A43361A" w:rsidR="00F74442" w:rsidRPr="009D07E3" w:rsidRDefault="00F74442" w:rsidP="00F74442">
      <w:pPr>
        <w:rPr>
          <w:rFonts w:cs="Arial"/>
          <w:lang w:val="en-CA"/>
        </w:rPr>
      </w:pPr>
      <w:r w:rsidRPr="009D07E3">
        <w:rPr>
          <w:rFonts w:cs="Arial"/>
          <w:lang w:val="en-CA"/>
        </w:rPr>
        <w:t>As MAMPU partners have expanded and strengthened through much of the country</w:t>
      </w:r>
      <w:r w:rsidR="00035E57">
        <w:rPr>
          <w:rFonts w:cs="Arial"/>
          <w:lang w:val="en-CA"/>
        </w:rPr>
        <w:t>,</w:t>
      </w:r>
      <w:r w:rsidRPr="009D07E3">
        <w:rPr>
          <w:rFonts w:cs="Arial"/>
          <w:lang w:val="en-CA"/>
        </w:rPr>
        <w:t xml:space="preserve"> questions have been raised abou</w:t>
      </w:r>
      <w:r w:rsidR="00035E57">
        <w:rPr>
          <w:rFonts w:cs="Arial"/>
          <w:lang w:val="en-CA"/>
        </w:rPr>
        <w:t>t further geographic expansion.</w:t>
      </w:r>
      <w:r w:rsidRPr="009D07E3">
        <w:rPr>
          <w:rFonts w:cs="Arial"/>
          <w:lang w:val="en-CA"/>
        </w:rPr>
        <w:t xml:space="preserve"> There is much to be gained by consolidating the progress where there is already traction</w:t>
      </w:r>
      <w:r w:rsidR="004F4B2D">
        <w:rPr>
          <w:rFonts w:cs="Arial"/>
          <w:lang w:val="en-CA"/>
        </w:rPr>
        <w:t>.</w:t>
      </w:r>
      <w:r w:rsidRPr="009D07E3">
        <w:rPr>
          <w:rFonts w:cs="Arial"/>
          <w:lang w:val="en-CA"/>
        </w:rPr>
        <w:t xml:space="preserve"> </w:t>
      </w:r>
      <w:r w:rsidR="004F4B2D">
        <w:rPr>
          <w:rFonts w:cs="Arial"/>
          <w:lang w:val="en-CA"/>
        </w:rPr>
        <w:t>H</w:t>
      </w:r>
      <w:r w:rsidRPr="009D07E3">
        <w:rPr>
          <w:rFonts w:cs="Arial"/>
          <w:lang w:val="en-CA"/>
        </w:rPr>
        <w:t>owever, the same logic that underpins MAMPU also raises the question as to why the program is not supporting women’s organisations in the same way in Papua and Papua Barat where the gender inequalities are most extreme. A strategy for realistic engagement in a challenging environment needs to be developed</w:t>
      </w:r>
      <w:r w:rsidR="00CA2723">
        <w:rPr>
          <w:rFonts w:cs="Arial"/>
          <w:lang w:val="en-CA"/>
        </w:rPr>
        <w:t xml:space="preserve"> carefully</w:t>
      </w:r>
      <w:r w:rsidRPr="009D07E3">
        <w:rPr>
          <w:rFonts w:cs="Arial"/>
          <w:lang w:val="en-CA"/>
        </w:rPr>
        <w:t xml:space="preserve">.   </w:t>
      </w:r>
    </w:p>
    <w:p w14:paraId="3D858F11" w14:textId="77777777" w:rsidR="00F74442" w:rsidRPr="009D07E3" w:rsidRDefault="00F74442" w:rsidP="00F74442">
      <w:pPr>
        <w:rPr>
          <w:rFonts w:cs="Arial"/>
          <w:lang w:val="en-CA"/>
        </w:rPr>
      </w:pPr>
    </w:p>
    <w:p w14:paraId="47CE647B" w14:textId="45A1ECB5" w:rsidR="00F74442" w:rsidRPr="009D07E3" w:rsidRDefault="00F74442" w:rsidP="00F74442">
      <w:pPr>
        <w:rPr>
          <w:rFonts w:cs="Arial"/>
          <w:lang w:val="en-CA"/>
        </w:rPr>
      </w:pPr>
      <w:r w:rsidRPr="009D07E3">
        <w:rPr>
          <w:rFonts w:cs="Arial"/>
          <w:lang w:val="en-CA"/>
        </w:rPr>
        <w:t>Other lessons learned point to the importance of embedding the innovation framework of MAMPU and building on this to expand successful initiatives, and the need to develop career pathways for emerging women leaders at all levels.  The range of programs in the Aust</w:t>
      </w:r>
      <w:r w:rsidR="00642DFD">
        <w:rPr>
          <w:rFonts w:cs="Arial"/>
          <w:lang w:val="en-CA"/>
        </w:rPr>
        <w:t>ralian aid program in Indonesia</w:t>
      </w:r>
      <w:r w:rsidRPr="009D07E3">
        <w:rPr>
          <w:rFonts w:cs="Arial"/>
          <w:lang w:val="en-CA"/>
        </w:rPr>
        <w:t xml:space="preserve"> provide multiple opportunities for two way partnership</w:t>
      </w:r>
      <w:r w:rsidR="00BA186C">
        <w:rPr>
          <w:rFonts w:cs="Arial"/>
          <w:lang w:val="en-CA"/>
        </w:rPr>
        <w:t>s</w:t>
      </w:r>
      <w:r w:rsidRPr="009D07E3">
        <w:rPr>
          <w:rFonts w:cs="Arial"/>
          <w:lang w:val="en-CA"/>
        </w:rPr>
        <w:t xml:space="preserve"> and complementarity that would be valuable for MAMPU as well as the other programs. The focus on sustainability will need to balance out the need to build technocratic and management skills in organizations with the need for an endurable women’s movement to emerge organically.  </w:t>
      </w:r>
    </w:p>
    <w:p w14:paraId="53F18C56" w14:textId="77777777" w:rsidR="00F74442" w:rsidRPr="009D07E3" w:rsidRDefault="00F74442" w:rsidP="00F74442">
      <w:pPr>
        <w:rPr>
          <w:rFonts w:cs="Arial"/>
          <w:lang w:val="en-CA"/>
        </w:rPr>
      </w:pPr>
    </w:p>
    <w:p w14:paraId="74A1AE48" w14:textId="542F5517" w:rsidR="00F74442" w:rsidRPr="009D07E3" w:rsidRDefault="00F74442" w:rsidP="00F74442">
      <w:pPr>
        <w:rPr>
          <w:rFonts w:cs="Arial"/>
          <w:lang w:val="en-CA"/>
        </w:rPr>
      </w:pPr>
      <w:r w:rsidRPr="009D07E3">
        <w:rPr>
          <w:rFonts w:cs="Arial"/>
          <w:lang w:val="en-CA"/>
        </w:rPr>
        <w:t xml:space="preserve">The first two years of MAMPU </w:t>
      </w:r>
      <w:r w:rsidR="00470324">
        <w:rPr>
          <w:rFonts w:cs="Arial"/>
          <w:lang w:val="en-CA"/>
        </w:rPr>
        <w:t xml:space="preserve">implementation </w:t>
      </w:r>
      <w:r w:rsidRPr="009D07E3">
        <w:rPr>
          <w:rFonts w:cs="Arial"/>
          <w:lang w:val="en-CA"/>
        </w:rPr>
        <w:t>ha</w:t>
      </w:r>
      <w:r w:rsidR="00AF49CB">
        <w:rPr>
          <w:rFonts w:cs="Arial"/>
          <w:lang w:val="en-CA"/>
        </w:rPr>
        <w:t>ve</w:t>
      </w:r>
      <w:r w:rsidRPr="009D07E3">
        <w:rPr>
          <w:rFonts w:cs="Arial"/>
          <w:lang w:val="en-CA"/>
        </w:rPr>
        <w:t xml:space="preserve"> seen changes in management and governance arrangements as the program has evolved.  The current arrangement is very different to that envisaged at the start.  The Strategic Advisory Committee has been replaced by the Partners Strategic Consultative Forum</w:t>
      </w:r>
      <w:r w:rsidR="00C213B2">
        <w:rPr>
          <w:rFonts w:cs="Arial"/>
          <w:lang w:val="en-CA"/>
        </w:rPr>
        <w:t>,</w:t>
      </w:r>
      <w:r w:rsidRPr="009D07E3">
        <w:rPr>
          <w:rFonts w:cs="Arial"/>
          <w:lang w:val="en-CA"/>
        </w:rPr>
        <w:t xml:space="preserve"> which gives the partners </w:t>
      </w:r>
      <w:r w:rsidR="00AF49CB">
        <w:rPr>
          <w:rFonts w:cs="Arial"/>
          <w:lang w:val="en-CA"/>
        </w:rPr>
        <w:t xml:space="preserve">a </w:t>
      </w:r>
      <w:r w:rsidRPr="009D07E3">
        <w:rPr>
          <w:rFonts w:cs="Arial"/>
          <w:lang w:val="en-CA"/>
        </w:rPr>
        <w:t>greater role in shaping the program while the advisers continue to provide advice in their areas of expertise</w:t>
      </w:r>
      <w:r w:rsidR="00AF49CB">
        <w:rPr>
          <w:rFonts w:cs="Arial"/>
          <w:lang w:val="en-CA"/>
        </w:rPr>
        <w:t>,</w:t>
      </w:r>
      <w:r w:rsidRPr="009D07E3">
        <w:rPr>
          <w:rFonts w:cs="Arial"/>
          <w:lang w:val="en-CA"/>
        </w:rPr>
        <w:t xml:space="preserve"> as needed.  </w:t>
      </w:r>
      <w:proofErr w:type="spellStart"/>
      <w:r w:rsidRPr="009D07E3">
        <w:rPr>
          <w:rFonts w:cs="Arial"/>
          <w:lang w:val="en-CA"/>
        </w:rPr>
        <w:t>Bappenas</w:t>
      </w:r>
      <w:proofErr w:type="spellEnd"/>
      <w:r w:rsidRPr="009D07E3">
        <w:rPr>
          <w:rFonts w:cs="Arial"/>
          <w:lang w:val="en-CA"/>
        </w:rPr>
        <w:t xml:space="preserve"> has taken on a more significant role in supporting the establishment of </w:t>
      </w:r>
      <w:r w:rsidR="00AF49CB">
        <w:rPr>
          <w:rFonts w:cs="Arial"/>
          <w:lang w:val="en-CA"/>
        </w:rPr>
        <w:t>T</w:t>
      </w:r>
      <w:r w:rsidRPr="009D07E3">
        <w:rPr>
          <w:rFonts w:cs="Arial"/>
          <w:lang w:val="en-CA"/>
        </w:rPr>
        <w:t xml:space="preserve">hematic Working Groups, and the Analytics and Research Unit has been replaced with a research and innovation team that </w:t>
      </w:r>
      <w:r w:rsidR="00C213B2">
        <w:rPr>
          <w:rFonts w:cs="Arial"/>
          <w:lang w:val="en-CA"/>
        </w:rPr>
        <w:t>is</w:t>
      </w:r>
      <w:r w:rsidRPr="009D07E3">
        <w:rPr>
          <w:rFonts w:cs="Arial"/>
          <w:lang w:val="en-CA"/>
        </w:rPr>
        <w:t xml:space="preserve"> more integrated into the program management.</w:t>
      </w:r>
    </w:p>
    <w:p w14:paraId="79A807B3" w14:textId="77777777" w:rsidR="00F74442" w:rsidRPr="009D07E3" w:rsidRDefault="00F74442" w:rsidP="00F74442">
      <w:pPr>
        <w:rPr>
          <w:rFonts w:cs="Arial"/>
          <w:lang w:val="en-CA"/>
        </w:rPr>
      </w:pPr>
    </w:p>
    <w:p w14:paraId="3E3C4E7F" w14:textId="072E67BA" w:rsidR="00F74442" w:rsidRDefault="00F74442" w:rsidP="00F74442">
      <w:pPr>
        <w:rPr>
          <w:rFonts w:cs="Arial"/>
          <w:lang w:val="en-CA"/>
        </w:rPr>
      </w:pPr>
      <w:r w:rsidRPr="009D07E3">
        <w:rPr>
          <w:rFonts w:cs="Arial"/>
          <w:lang w:val="en-CA"/>
        </w:rPr>
        <w:t>Perhaps most significant</w:t>
      </w:r>
      <w:r w:rsidR="008062C6">
        <w:rPr>
          <w:rFonts w:cs="Arial"/>
          <w:lang w:val="en-CA"/>
        </w:rPr>
        <w:t>ly</w:t>
      </w:r>
      <w:r w:rsidRPr="009D07E3">
        <w:rPr>
          <w:rFonts w:cs="Arial"/>
          <w:lang w:val="en-CA"/>
        </w:rPr>
        <w:t>, the management</w:t>
      </w:r>
      <w:r w:rsidR="008062C6">
        <w:rPr>
          <w:rFonts w:cs="Arial"/>
          <w:lang w:val="en-CA"/>
        </w:rPr>
        <w:t xml:space="preserve"> of the program</w:t>
      </w:r>
      <w:r w:rsidRPr="009D07E3">
        <w:rPr>
          <w:rFonts w:cs="Arial"/>
          <w:lang w:val="en-CA"/>
        </w:rPr>
        <w:t xml:space="preserve"> was handed over to a </w:t>
      </w:r>
      <w:r w:rsidR="008062C6">
        <w:rPr>
          <w:rFonts w:cs="Arial"/>
          <w:lang w:val="en-CA"/>
        </w:rPr>
        <w:t>M</w:t>
      </w:r>
      <w:r w:rsidRPr="009D07E3">
        <w:rPr>
          <w:rFonts w:cs="Arial"/>
          <w:lang w:val="en-CA"/>
        </w:rPr>
        <w:t xml:space="preserve">anaging </w:t>
      </w:r>
      <w:r w:rsidR="008062C6">
        <w:rPr>
          <w:rFonts w:cs="Arial"/>
          <w:lang w:val="en-CA"/>
        </w:rPr>
        <w:t>C</w:t>
      </w:r>
      <w:r w:rsidRPr="009D07E3">
        <w:rPr>
          <w:rFonts w:cs="Arial"/>
          <w:lang w:val="en-CA"/>
        </w:rPr>
        <w:t>ontractor</w:t>
      </w:r>
      <w:r w:rsidR="008062C6">
        <w:rPr>
          <w:rFonts w:cs="Arial"/>
          <w:lang w:val="en-CA"/>
        </w:rPr>
        <w:t xml:space="preserve"> (MC)</w:t>
      </w:r>
      <w:r w:rsidRPr="009D07E3">
        <w:rPr>
          <w:rFonts w:cs="Arial"/>
          <w:lang w:val="en-CA"/>
        </w:rPr>
        <w:t xml:space="preserve"> after </w:t>
      </w:r>
      <w:r w:rsidR="00743D5F">
        <w:rPr>
          <w:rFonts w:cs="Arial"/>
          <w:lang w:val="en-CA"/>
        </w:rPr>
        <w:t xml:space="preserve">an </w:t>
      </w:r>
      <w:r w:rsidRPr="009D07E3">
        <w:rPr>
          <w:rFonts w:cs="Arial"/>
          <w:lang w:val="en-CA"/>
        </w:rPr>
        <w:t xml:space="preserve">initial </w:t>
      </w:r>
      <w:r w:rsidR="008062C6">
        <w:rPr>
          <w:rFonts w:cs="Arial"/>
          <w:lang w:val="en-CA"/>
        </w:rPr>
        <w:t>interim phase managed</w:t>
      </w:r>
      <w:r w:rsidRPr="009D07E3">
        <w:rPr>
          <w:rFonts w:cs="Arial"/>
          <w:lang w:val="en-CA"/>
        </w:rPr>
        <w:t xml:space="preserve"> by DFAT.  This has created a neutral zone for developing relationship bridges between different stakeholders and provided a buffer during sometimes challeng</w:t>
      </w:r>
      <w:r w:rsidR="00706F12">
        <w:rPr>
          <w:rFonts w:cs="Arial"/>
          <w:lang w:val="en-CA"/>
        </w:rPr>
        <w:t xml:space="preserve">ing diplomatic episodes. It </w:t>
      </w:r>
      <w:r w:rsidRPr="009D07E3">
        <w:rPr>
          <w:rFonts w:cs="Arial"/>
          <w:lang w:val="en-CA"/>
        </w:rPr>
        <w:t xml:space="preserve">also provided a high level of financial management and administrative oversight and </w:t>
      </w:r>
      <w:r w:rsidR="00BF6BA3" w:rsidRPr="009D07E3">
        <w:rPr>
          <w:rFonts w:cs="Arial"/>
          <w:lang w:val="en-CA"/>
        </w:rPr>
        <w:t>helps</w:t>
      </w:r>
      <w:r w:rsidRPr="009D07E3">
        <w:rPr>
          <w:rFonts w:cs="Arial"/>
          <w:lang w:val="en-CA"/>
        </w:rPr>
        <w:t xml:space="preserve"> strengthen the systems and processes o</w:t>
      </w:r>
      <w:r w:rsidR="00F729B4">
        <w:rPr>
          <w:rFonts w:cs="Arial"/>
          <w:lang w:val="en-CA"/>
        </w:rPr>
        <w:t xml:space="preserve">f the different organisations. </w:t>
      </w:r>
      <w:r w:rsidRPr="009D07E3">
        <w:rPr>
          <w:rFonts w:cs="Arial"/>
          <w:lang w:val="en-CA"/>
        </w:rPr>
        <w:t xml:space="preserve">As DFAT has undergone changes and reorganisations, the managing contractor has been able to adapt the role to ensure that these changes do not impact </w:t>
      </w:r>
      <w:r w:rsidR="00F278DC">
        <w:rPr>
          <w:rFonts w:cs="Arial"/>
          <w:lang w:val="en-CA"/>
        </w:rPr>
        <w:t>on the work of partners and has</w:t>
      </w:r>
      <w:r w:rsidRPr="009D07E3">
        <w:rPr>
          <w:rFonts w:cs="Arial"/>
          <w:lang w:val="en-CA"/>
        </w:rPr>
        <w:t xml:space="preserve"> provided the continuity of dialogue with them and with the government.  Good relations between the managing contractor team and DFAT staff have ensured flows of information and understanding between them. </w:t>
      </w:r>
    </w:p>
    <w:p w14:paraId="02FFBA10" w14:textId="77777777" w:rsidR="009F0782" w:rsidRDefault="009F0782" w:rsidP="00F74442">
      <w:pPr>
        <w:rPr>
          <w:rFonts w:cs="Arial"/>
          <w:lang w:val="en-CA"/>
        </w:rPr>
      </w:pPr>
    </w:p>
    <w:p w14:paraId="279199D5" w14:textId="58F435B0" w:rsidR="009F0782" w:rsidRPr="009D07E3" w:rsidRDefault="00C752C8" w:rsidP="00F74442">
      <w:pPr>
        <w:rPr>
          <w:rFonts w:cs="Arial"/>
          <w:lang w:val="en-CA"/>
        </w:rPr>
      </w:pPr>
      <w:r>
        <w:rPr>
          <w:rFonts w:cs="Arial"/>
          <w:lang w:val="en-CA"/>
        </w:rPr>
        <w:t xml:space="preserve">This forward plan is intended to </w:t>
      </w:r>
      <w:r w:rsidR="006A2F51">
        <w:rPr>
          <w:rFonts w:cs="Arial"/>
          <w:lang w:val="en-CA"/>
        </w:rPr>
        <w:t xml:space="preserve">build on </w:t>
      </w:r>
      <w:r>
        <w:rPr>
          <w:rFonts w:cs="Arial"/>
          <w:lang w:val="en-CA"/>
        </w:rPr>
        <w:t>the MAMPU Performance Story, which provides more detail and evidence regarding the program’s progress against MAMPU’s theory of change. The approaches put forward for phase two in this document are the result of ongoing discussions with MAMPU partners, BAPPENAS and other relevant stakeholders and it is e</w:t>
      </w:r>
      <w:r w:rsidR="006A2F51">
        <w:rPr>
          <w:rFonts w:cs="Arial"/>
          <w:lang w:val="en-CA"/>
        </w:rPr>
        <w:t xml:space="preserve">xpected that the forward plan </w:t>
      </w:r>
      <w:r>
        <w:rPr>
          <w:rFonts w:cs="Arial"/>
          <w:lang w:val="en-CA"/>
        </w:rPr>
        <w:t>will be regularly updated as the program continues to evolve.</w:t>
      </w:r>
    </w:p>
    <w:p w14:paraId="2A9C2A57" w14:textId="77777777" w:rsidR="00F74442" w:rsidRPr="009D07E3" w:rsidRDefault="00F74442" w:rsidP="00F74442">
      <w:pPr>
        <w:rPr>
          <w:rFonts w:cs="Arial"/>
          <w:lang w:val="en-CA"/>
        </w:rPr>
      </w:pPr>
    </w:p>
    <w:p w14:paraId="03557D4D" w14:textId="318EB569" w:rsidR="00F74442" w:rsidRPr="009D07E3" w:rsidRDefault="00F74442">
      <w:pPr>
        <w:rPr>
          <w:rFonts w:cs="Arial"/>
          <w:lang w:val="en-CA"/>
        </w:rPr>
      </w:pPr>
    </w:p>
    <w:p w14:paraId="616749A4" w14:textId="77777777" w:rsidR="006403C7" w:rsidRPr="009D07E3" w:rsidRDefault="006403C7" w:rsidP="006616E3">
      <w:pPr>
        <w:rPr>
          <w:rFonts w:cs="Arial"/>
          <w:lang w:val="en-CA"/>
        </w:rPr>
        <w:sectPr w:rsidR="006403C7" w:rsidRPr="009D07E3" w:rsidSect="00614064">
          <w:type w:val="nextColumn"/>
          <w:pgSz w:w="11909" w:h="16834" w:code="9"/>
          <w:pgMar w:top="1440" w:right="1440" w:bottom="1440" w:left="1440" w:header="720" w:footer="720" w:gutter="0"/>
          <w:pgNumType w:fmt="lowerRoman"/>
          <w:cols w:space="708"/>
          <w:docGrid w:linePitch="360"/>
        </w:sectPr>
      </w:pPr>
    </w:p>
    <w:p w14:paraId="1601D4C8" w14:textId="252040EB" w:rsidR="006616E3" w:rsidRPr="009D07E3" w:rsidRDefault="006616E3" w:rsidP="00F757E5">
      <w:pPr>
        <w:pStyle w:val="Title"/>
      </w:pPr>
      <w:r w:rsidRPr="009D07E3">
        <w:t>Abbreviations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761"/>
      </w:tblGrid>
      <w:tr w:rsidR="008D0006" w:rsidRPr="009D07E3" w14:paraId="46D836E0" w14:textId="77777777" w:rsidTr="008D0006">
        <w:tc>
          <w:tcPr>
            <w:tcW w:w="2268" w:type="dxa"/>
          </w:tcPr>
          <w:p w14:paraId="1501C698" w14:textId="5CC28A51" w:rsidR="008D0006" w:rsidRPr="009D07E3" w:rsidRDefault="008D0006" w:rsidP="00DD3D96">
            <w:pPr>
              <w:pStyle w:val="ListParagraph"/>
              <w:spacing w:after="60"/>
              <w:ind w:left="0"/>
              <w:contextualSpacing w:val="0"/>
              <w:rPr>
                <w:rFonts w:cs="Arial"/>
                <w:lang w:val="en-CA"/>
              </w:rPr>
            </w:pPr>
            <w:r w:rsidRPr="009D07E3">
              <w:rPr>
                <w:rFonts w:cs="Arial"/>
                <w:lang w:val="en-CA"/>
              </w:rPr>
              <w:t>AAP</w:t>
            </w:r>
          </w:p>
        </w:tc>
        <w:tc>
          <w:tcPr>
            <w:tcW w:w="6761" w:type="dxa"/>
          </w:tcPr>
          <w:p w14:paraId="002C8433" w14:textId="77777777" w:rsidR="008D0006" w:rsidRPr="009D07E3" w:rsidRDefault="008D0006" w:rsidP="008D0006">
            <w:pPr>
              <w:pStyle w:val="ListParagraph"/>
              <w:spacing w:after="60"/>
              <w:ind w:left="0"/>
              <w:contextualSpacing w:val="0"/>
              <w:rPr>
                <w:rFonts w:cs="Arial"/>
                <w:lang w:val="en-CA"/>
              </w:rPr>
            </w:pPr>
            <w:r w:rsidRPr="009D07E3">
              <w:rPr>
                <w:rFonts w:cs="Arial"/>
                <w:lang w:val="en-CA"/>
              </w:rPr>
              <w:t>Australian Awards Program</w:t>
            </w:r>
          </w:p>
        </w:tc>
      </w:tr>
      <w:tr w:rsidR="008D0006" w:rsidRPr="009D07E3" w14:paraId="44B20DAF" w14:textId="77777777" w:rsidTr="008D0006">
        <w:tc>
          <w:tcPr>
            <w:tcW w:w="2268" w:type="dxa"/>
          </w:tcPr>
          <w:p w14:paraId="6FBDF881" w14:textId="2E413B4A" w:rsidR="008D0006" w:rsidRPr="009D07E3" w:rsidRDefault="008D0006" w:rsidP="00DD3D96">
            <w:pPr>
              <w:pStyle w:val="ListParagraph"/>
              <w:spacing w:after="60"/>
              <w:ind w:left="0"/>
              <w:contextualSpacing w:val="0"/>
              <w:rPr>
                <w:rFonts w:cs="Arial"/>
                <w:lang w:val="en-CA"/>
              </w:rPr>
            </w:pPr>
            <w:r w:rsidRPr="009D07E3">
              <w:rPr>
                <w:rFonts w:cs="Arial"/>
                <w:lang w:val="en-CA"/>
              </w:rPr>
              <w:t>AIPEG</w:t>
            </w:r>
          </w:p>
        </w:tc>
        <w:tc>
          <w:tcPr>
            <w:tcW w:w="6761" w:type="dxa"/>
          </w:tcPr>
          <w:p w14:paraId="65F35FE0" w14:textId="77777777" w:rsidR="008D0006" w:rsidRPr="009D07E3" w:rsidRDefault="008D0006" w:rsidP="008D0006">
            <w:pPr>
              <w:pStyle w:val="ListParagraph"/>
              <w:spacing w:after="60"/>
              <w:ind w:left="0"/>
              <w:contextualSpacing w:val="0"/>
              <w:rPr>
                <w:rFonts w:cs="Arial"/>
                <w:lang w:val="en-CA"/>
              </w:rPr>
            </w:pPr>
            <w:r w:rsidRPr="009D07E3">
              <w:rPr>
                <w:rFonts w:cs="Arial"/>
                <w:lang w:val="en-CA"/>
              </w:rPr>
              <w:t>Australia Indonesia Partnership on Economic Governance</w:t>
            </w:r>
          </w:p>
        </w:tc>
      </w:tr>
      <w:tr w:rsidR="008D0006" w:rsidRPr="009D07E3" w14:paraId="044A6FEA" w14:textId="77777777" w:rsidTr="008D0006">
        <w:tc>
          <w:tcPr>
            <w:tcW w:w="2268" w:type="dxa"/>
          </w:tcPr>
          <w:p w14:paraId="7DC3CF55" w14:textId="7DA6005E" w:rsidR="008D0006" w:rsidRPr="009D07E3" w:rsidRDefault="00DD3D96" w:rsidP="008D0006">
            <w:pPr>
              <w:pStyle w:val="ListParagraph"/>
              <w:spacing w:after="60"/>
              <w:ind w:left="0"/>
              <w:contextualSpacing w:val="0"/>
              <w:rPr>
                <w:rFonts w:cs="Arial"/>
                <w:lang w:val="en-CA"/>
              </w:rPr>
            </w:pPr>
            <w:r>
              <w:rPr>
                <w:rFonts w:cs="Arial"/>
                <w:lang w:val="en-CA"/>
              </w:rPr>
              <w:t>ARU</w:t>
            </w:r>
          </w:p>
        </w:tc>
        <w:tc>
          <w:tcPr>
            <w:tcW w:w="6761" w:type="dxa"/>
          </w:tcPr>
          <w:p w14:paraId="5BF5EB22" w14:textId="77777777" w:rsidR="008D0006" w:rsidRPr="009D07E3" w:rsidRDefault="008D0006" w:rsidP="008D0006">
            <w:pPr>
              <w:pStyle w:val="ListParagraph"/>
              <w:spacing w:after="60"/>
              <w:ind w:left="0"/>
              <w:contextualSpacing w:val="0"/>
              <w:rPr>
                <w:rFonts w:cs="Arial"/>
                <w:lang w:val="en-CA"/>
              </w:rPr>
            </w:pPr>
            <w:r w:rsidRPr="009D07E3">
              <w:rPr>
                <w:rFonts w:cs="Arial"/>
                <w:lang w:val="en-CA"/>
              </w:rPr>
              <w:t>Analytics and Research Unit</w:t>
            </w:r>
          </w:p>
        </w:tc>
      </w:tr>
      <w:tr w:rsidR="008D0006" w:rsidRPr="009D07E3" w14:paraId="7AAA8CB0" w14:textId="77777777" w:rsidTr="008D0006">
        <w:tc>
          <w:tcPr>
            <w:tcW w:w="2268" w:type="dxa"/>
          </w:tcPr>
          <w:p w14:paraId="36B42173" w14:textId="646923C3" w:rsidR="008D0006" w:rsidRPr="009D07E3" w:rsidRDefault="008D0006" w:rsidP="00DD3D96">
            <w:pPr>
              <w:pStyle w:val="ListParagraph"/>
              <w:spacing w:after="60"/>
              <w:ind w:left="0"/>
              <w:contextualSpacing w:val="0"/>
              <w:rPr>
                <w:rFonts w:cs="Arial"/>
                <w:lang w:val="en-CA"/>
              </w:rPr>
            </w:pPr>
            <w:r w:rsidRPr="009D07E3">
              <w:rPr>
                <w:rFonts w:cs="Arial"/>
                <w:lang w:val="en-CA"/>
              </w:rPr>
              <w:t>ASEAN</w:t>
            </w:r>
          </w:p>
        </w:tc>
        <w:tc>
          <w:tcPr>
            <w:tcW w:w="6761" w:type="dxa"/>
          </w:tcPr>
          <w:p w14:paraId="37741085" w14:textId="0A1ED32A" w:rsidR="008D0006" w:rsidRPr="009D07E3" w:rsidRDefault="008D0006" w:rsidP="008D0006">
            <w:pPr>
              <w:pStyle w:val="ListParagraph"/>
              <w:spacing w:after="60"/>
              <w:ind w:left="0"/>
              <w:contextualSpacing w:val="0"/>
              <w:rPr>
                <w:rFonts w:cs="Arial"/>
                <w:lang w:val="en-CA"/>
              </w:rPr>
            </w:pPr>
            <w:r w:rsidRPr="009D07E3">
              <w:rPr>
                <w:rFonts w:cs="Arial"/>
                <w:lang w:val="en-CA"/>
              </w:rPr>
              <w:t>Association South East Asian Nations</w:t>
            </w:r>
          </w:p>
        </w:tc>
      </w:tr>
      <w:tr w:rsidR="00BF6BA3" w:rsidRPr="009D07E3" w14:paraId="119F043B" w14:textId="77777777" w:rsidTr="00BF6BA3">
        <w:tc>
          <w:tcPr>
            <w:tcW w:w="2268" w:type="dxa"/>
          </w:tcPr>
          <w:p w14:paraId="7F876C87" w14:textId="77777777" w:rsidR="00BF6BA3" w:rsidRPr="009D07E3" w:rsidRDefault="00BF6BA3" w:rsidP="00BF6BA3">
            <w:pPr>
              <w:pStyle w:val="ListParagraph"/>
              <w:spacing w:after="60"/>
              <w:ind w:left="0"/>
              <w:contextualSpacing w:val="0"/>
              <w:rPr>
                <w:rFonts w:cs="Arial"/>
                <w:lang w:val="en-CA"/>
              </w:rPr>
            </w:pPr>
          </w:p>
        </w:tc>
        <w:tc>
          <w:tcPr>
            <w:tcW w:w="6761" w:type="dxa"/>
          </w:tcPr>
          <w:p w14:paraId="095B60D8" w14:textId="77777777" w:rsidR="00BF6BA3" w:rsidRPr="009D07E3" w:rsidRDefault="00BF6BA3" w:rsidP="00BF6BA3">
            <w:pPr>
              <w:pStyle w:val="ListParagraph"/>
              <w:spacing w:after="60"/>
              <w:ind w:left="0"/>
              <w:contextualSpacing w:val="0"/>
              <w:rPr>
                <w:rFonts w:cs="Arial"/>
                <w:lang w:val="en-CA"/>
              </w:rPr>
            </w:pPr>
          </w:p>
        </w:tc>
      </w:tr>
      <w:tr w:rsidR="008D0006" w:rsidRPr="009D07E3" w14:paraId="52C0654E" w14:textId="77777777" w:rsidTr="008D0006">
        <w:tc>
          <w:tcPr>
            <w:tcW w:w="2268" w:type="dxa"/>
          </w:tcPr>
          <w:p w14:paraId="7BE43BFD" w14:textId="308DD538" w:rsidR="008D0006" w:rsidRPr="009D07E3" w:rsidRDefault="008D0006" w:rsidP="00DD3D96">
            <w:pPr>
              <w:pStyle w:val="ListParagraph"/>
              <w:spacing w:after="60"/>
              <w:ind w:left="0"/>
              <w:contextualSpacing w:val="0"/>
              <w:rPr>
                <w:rFonts w:cs="Arial"/>
                <w:lang w:val="en-CA"/>
              </w:rPr>
            </w:pPr>
            <w:r w:rsidRPr="009D07E3">
              <w:rPr>
                <w:rFonts w:cs="Arial"/>
                <w:lang w:val="en-CA"/>
              </w:rPr>
              <w:t>BAPPENAS</w:t>
            </w:r>
          </w:p>
        </w:tc>
        <w:tc>
          <w:tcPr>
            <w:tcW w:w="6761" w:type="dxa"/>
          </w:tcPr>
          <w:p w14:paraId="7DDE4315" w14:textId="5B97A2CF" w:rsidR="008D0006" w:rsidRPr="009D07E3" w:rsidRDefault="008D0006" w:rsidP="008D0006">
            <w:pPr>
              <w:pStyle w:val="ListParagraph"/>
              <w:spacing w:after="60"/>
              <w:ind w:left="0"/>
              <w:contextualSpacing w:val="0"/>
              <w:rPr>
                <w:rFonts w:cs="Arial"/>
                <w:lang w:val="en-CA"/>
              </w:rPr>
            </w:pPr>
            <w:proofErr w:type="spellStart"/>
            <w:r w:rsidRPr="009D07E3">
              <w:rPr>
                <w:rFonts w:cs="Arial"/>
                <w:lang w:val="en-CA"/>
              </w:rPr>
              <w:t>Badan</w:t>
            </w:r>
            <w:proofErr w:type="spellEnd"/>
            <w:r w:rsidRPr="009D07E3">
              <w:rPr>
                <w:rFonts w:cs="Arial"/>
                <w:lang w:val="en-CA"/>
              </w:rPr>
              <w:t xml:space="preserve"> </w:t>
            </w:r>
            <w:proofErr w:type="spellStart"/>
            <w:r w:rsidRPr="009D07E3">
              <w:rPr>
                <w:rFonts w:cs="Arial"/>
                <w:lang w:val="en-CA"/>
              </w:rPr>
              <w:t>Perencanaan</w:t>
            </w:r>
            <w:proofErr w:type="spellEnd"/>
            <w:r w:rsidRPr="009D07E3">
              <w:rPr>
                <w:rFonts w:cs="Arial"/>
                <w:lang w:val="en-CA"/>
              </w:rPr>
              <w:t xml:space="preserve"> Pembangunan </w:t>
            </w:r>
            <w:proofErr w:type="spellStart"/>
            <w:r w:rsidRPr="009D07E3">
              <w:rPr>
                <w:rFonts w:cs="Arial"/>
                <w:lang w:val="en-CA"/>
              </w:rPr>
              <w:t>Nasional</w:t>
            </w:r>
            <w:proofErr w:type="spellEnd"/>
          </w:p>
        </w:tc>
      </w:tr>
      <w:tr w:rsidR="008D0006" w:rsidRPr="009D07E3" w14:paraId="17B11DFC" w14:textId="77777777" w:rsidTr="008D0006">
        <w:tc>
          <w:tcPr>
            <w:tcW w:w="2268" w:type="dxa"/>
          </w:tcPr>
          <w:p w14:paraId="39FB31BC" w14:textId="583B0FA7" w:rsidR="008D0006" w:rsidRPr="009D07E3" w:rsidRDefault="008D0006" w:rsidP="00DD3D96">
            <w:pPr>
              <w:pStyle w:val="ListParagraph"/>
              <w:spacing w:after="60"/>
              <w:ind w:left="0"/>
              <w:contextualSpacing w:val="0"/>
              <w:rPr>
                <w:rFonts w:cs="Arial"/>
                <w:lang w:val="en-CA"/>
              </w:rPr>
            </w:pPr>
            <w:r w:rsidRPr="009D07E3">
              <w:rPr>
                <w:rFonts w:cs="Arial"/>
                <w:lang w:val="en-CA"/>
              </w:rPr>
              <w:t>BKKBN</w:t>
            </w:r>
          </w:p>
        </w:tc>
        <w:tc>
          <w:tcPr>
            <w:tcW w:w="6761" w:type="dxa"/>
          </w:tcPr>
          <w:p w14:paraId="74AFCF50" w14:textId="634DD403" w:rsidR="008D0006" w:rsidRPr="009D07E3" w:rsidRDefault="008D0006" w:rsidP="008D0006">
            <w:pPr>
              <w:pStyle w:val="ListParagraph"/>
              <w:spacing w:after="60"/>
              <w:ind w:left="0"/>
              <w:contextualSpacing w:val="0"/>
              <w:rPr>
                <w:rFonts w:cs="Arial"/>
                <w:lang w:val="en-CA"/>
              </w:rPr>
            </w:pPr>
            <w:proofErr w:type="spellStart"/>
            <w:r w:rsidRPr="009D07E3">
              <w:rPr>
                <w:rFonts w:cs="Arial"/>
                <w:lang w:val="en-CA"/>
              </w:rPr>
              <w:t>Badan</w:t>
            </w:r>
            <w:proofErr w:type="spellEnd"/>
            <w:r w:rsidRPr="009D07E3">
              <w:rPr>
                <w:rFonts w:cs="Arial"/>
                <w:lang w:val="en-CA"/>
              </w:rPr>
              <w:t xml:space="preserve"> </w:t>
            </w:r>
            <w:proofErr w:type="spellStart"/>
            <w:r w:rsidRPr="009D07E3">
              <w:rPr>
                <w:rFonts w:cs="Arial"/>
                <w:lang w:val="en-CA"/>
              </w:rPr>
              <w:t>Kependudukan</w:t>
            </w:r>
            <w:proofErr w:type="spellEnd"/>
            <w:r w:rsidRPr="009D07E3">
              <w:rPr>
                <w:rFonts w:cs="Arial"/>
                <w:lang w:val="en-CA"/>
              </w:rPr>
              <w:t xml:space="preserve"> </w:t>
            </w:r>
            <w:proofErr w:type="spellStart"/>
            <w:r w:rsidRPr="009D07E3">
              <w:rPr>
                <w:rFonts w:cs="Arial"/>
                <w:lang w:val="en-CA"/>
              </w:rPr>
              <w:t>dan</w:t>
            </w:r>
            <w:proofErr w:type="spellEnd"/>
            <w:r w:rsidRPr="009D07E3">
              <w:rPr>
                <w:rFonts w:cs="Arial"/>
                <w:lang w:val="en-CA"/>
              </w:rPr>
              <w:t xml:space="preserve"> </w:t>
            </w:r>
            <w:proofErr w:type="spellStart"/>
            <w:r w:rsidRPr="009D07E3">
              <w:rPr>
                <w:rFonts w:cs="Arial"/>
                <w:lang w:val="en-CA"/>
              </w:rPr>
              <w:t>Keluarga</w:t>
            </w:r>
            <w:proofErr w:type="spellEnd"/>
            <w:r w:rsidRPr="009D07E3">
              <w:rPr>
                <w:rFonts w:cs="Arial"/>
                <w:lang w:val="en-CA"/>
              </w:rPr>
              <w:t xml:space="preserve"> </w:t>
            </w:r>
            <w:proofErr w:type="spellStart"/>
            <w:r w:rsidRPr="009D07E3">
              <w:rPr>
                <w:rFonts w:cs="Arial"/>
                <w:lang w:val="en-CA"/>
              </w:rPr>
              <w:t>Berencana</w:t>
            </w:r>
            <w:proofErr w:type="spellEnd"/>
            <w:r w:rsidRPr="009D07E3">
              <w:rPr>
                <w:rFonts w:cs="Arial"/>
                <w:lang w:val="en-CA"/>
              </w:rPr>
              <w:t xml:space="preserve"> </w:t>
            </w:r>
            <w:proofErr w:type="spellStart"/>
            <w:r w:rsidRPr="009D07E3">
              <w:rPr>
                <w:rFonts w:cs="Arial"/>
                <w:lang w:val="en-CA"/>
              </w:rPr>
              <w:t>Nasional</w:t>
            </w:r>
            <w:proofErr w:type="spellEnd"/>
          </w:p>
        </w:tc>
      </w:tr>
      <w:tr w:rsidR="008D0006" w:rsidRPr="009D07E3" w14:paraId="7BEE4557" w14:textId="77777777" w:rsidTr="008D0006">
        <w:tc>
          <w:tcPr>
            <w:tcW w:w="2268" w:type="dxa"/>
          </w:tcPr>
          <w:p w14:paraId="00D81202" w14:textId="4C3995F7" w:rsidR="008D0006" w:rsidRPr="009D07E3" w:rsidRDefault="008D0006" w:rsidP="00DD3D96">
            <w:pPr>
              <w:pStyle w:val="ListParagraph"/>
              <w:spacing w:after="60"/>
              <w:ind w:left="0"/>
              <w:contextualSpacing w:val="0"/>
              <w:rPr>
                <w:rFonts w:cs="Arial"/>
                <w:lang w:val="en-CA"/>
              </w:rPr>
            </w:pPr>
            <w:r w:rsidRPr="009D07E3">
              <w:rPr>
                <w:rFonts w:cs="Arial"/>
                <w:lang w:val="en-CA"/>
              </w:rPr>
              <w:t>BLT</w:t>
            </w:r>
          </w:p>
        </w:tc>
        <w:tc>
          <w:tcPr>
            <w:tcW w:w="6761" w:type="dxa"/>
          </w:tcPr>
          <w:p w14:paraId="7C3798CF" w14:textId="77777777" w:rsidR="008D0006" w:rsidRPr="009D07E3" w:rsidRDefault="008D0006" w:rsidP="008D0006">
            <w:pPr>
              <w:pStyle w:val="ListParagraph"/>
              <w:spacing w:after="60"/>
              <w:ind w:left="0"/>
              <w:contextualSpacing w:val="0"/>
              <w:rPr>
                <w:rFonts w:cs="Arial"/>
                <w:lang w:val="en-CA"/>
              </w:rPr>
            </w:pPr>
            <w:proofErr w:type="spellStart"/>
            <w:r w:rsidRPr="009D07E3">
              <w:rPr>
                <w:rFonts w:cs="Arial"/>
                <w:lang w:val="en-CA"/>
              </w:rPr>
              <w:t>Bantuan</w:t>
            </w:r>
            <w:proofErr w:type="spellEnd"/>
            <w:r w:rsidRPr="009D07E3">
              <w:rPr>
                <w:rFonts w:cs="Arial"/>
                <w:lang w:val="en-CA"/>
              </w:rPr>
              <w:t xml:space="preserve"> </w:t>
            </w:r>
            <w:proofErr w:type="spellStart"/>
            <w:r w:rsidRPr="009D07E3">
              <w:rPr>
                <w:rFonts w:cs="Arial"/>
                <w:lang w:val="en-CA"/>
              </w:rPr>
              <w:t>Langsung</w:t>
            </w:r>
            <w:proofErr w:type="spellEnd"/>
            <w:r w:rsidRPr="009D07E3">
              <w:rPr>
                <w:rFonts w:cs="Arial"/>
                <w:lang w:val="en-CA"/>
              </w:rPr>
              <w:t xml:space="preserve"> </w:t>
            </w:r>
            <w:proofErr w:type="spellStart"/>
            <w:r w:rsidRPr="009D07E3">
              <w:rPr>
                <w:rFonts w:cs="Arial"/>
                <w:lang w:val="en-CA"/>
              </w:rPr>
              <w:t>Tunai</w:t>
            </w:r>
            <w:proofErr w:type="spellEnd"/>
            <w:r w:rsidRPr="009D07E3">
              <w:rPr>
                <w:rFonts w:cs="Arial"/>
                <w:lang w:val="en-CA"/>
              </w:rPr>
              <w:t xml:space="preserve"> </w:t>
            </w:r>
          </w:p>
        </w:tc>
      </w:tr>
      <w:tr w:rsidR="008D0006" w:rsidRPr="009D07E3" w14:paraId="17634553" w14:textId="77777777" w:rsidTr="008D0006">
        <w:tc>
          <w:tcPr>
            <w:tcW w:w="2268" w:type="dxa"/>
          </w:tcPr>
          <w:p w14:paraId="7EE727D7" w14:textId="6CD45B39" w:rsidR="008D0006" w:rsidRPr="009D07E3" w:rsidRDefault="008D0006" w:rsidP="00DD3D96">
            <w:pPr>
              <w:pStyle w:val="ListParagraph"/>
              <w:spacing w:after="60"/>
              <w:ind w:left="0"/>
              <w:contextualSpacing w:val="0"/>
              <w:rPr>
                <w:rFonts w:cs="Arial"/>
                <w:lang w:val="en-CA"/>
              </w:rPr>
            </w:pPr>
            <w:r w:rsidRPr="009D07E3">
              <w:rPr>
                <w:rFonts w:cs="Arial"/>
                <w:lang w:val="en-CA"/>
              </w:rPr>
              <w:t>BNP2TKI</w:t>
            </w:r>
          </w:p>
        </w:tc>
        <w:tc>
          <w:tcPr>
            <w:tcW w:w="6761" w:type="dxa"/>
          </w:tcPr>
          <w:p w14:paraId="04F07272" w14:textId="77777777" w:rsidR="008D0006" w:rsidRPr="009D07E3" w:rsidRDefault="008D0006" w:rsidP="008D0006">
            <w:pPr>
              <w:pStyle w:val="ListParagraph"/>
              <w:spacing w:after="60"/>
              <w:ind w:left="0"/>
              <w:contextualSpacing w:val="0"/>
              <w:rPr>
                <w:rFonts w:cs="Arial"/>
                <w:lang w:val="en-CA"/>
              </w:rPr>
            </w:pPr>
            <w:proofErr w:type="spellStart"/>
            <w:r w:rsidRPr="009D07E3">
              <w:rPr>
                <w:rFonts w:cs="Arial"/>
                <w:lang w:val="en-CA"/>
              </w:rPr>
              <w:t>Badan</w:t>
            </w:r>
            <w:proofErr w:type="spellEnd"/>
            <w:r w:rsidRPr="009D07E3">
              <w:rPr>
                <w:rFonts w:cs="Arial"/>
                <w:lang w:val="en-CA"/>
              </w:rPr>
              <w:t xml:space="preserve"> </w:t>
            </w:r>
            <w:proofErr w:type="spellStart"/>
            <w:r w:rsidRPr="009D07E3">
              <w:rPr>
                <w:rFonts w:cs="Arial"/>
                <w:lang w:val="en-CA"/>
              </w:rPr>
              <w:t>Nasional</w:t>
            </w:r>
            <w:proofErr w:type="spellEnd"/>
            <w:r w:rsidRPr="009D07E3">
              <w:rPr>
                <w:rFonts w:cs="Arial"/>
                <w:lang w:val="en-CA"/>
              </w:rPr>
              <w:t xml:space="preserve"> </w:t>
            </w:r>
            <w:proofErr w:type="spellStart"/>
            <w:r w:rsidRPr="009D07E3">
              <w:rPr>
                <w:rFonts w:cs="Arial"/>
                <w:lang w:val="en-CA"/>
              </w:rPr>
              <w:t>Penempatan</w:t>
            </w:r>
            <w:proofErr w:type="spellEnd"/>
            <w:r w:rsidRPr="009D07E3">
              <w:rPr>
                <w:rFonts w:cs="Arial"/>
                <w:lang w:val="en-CA"/>
              </w:rPr>
              <w:t xml:space="preserve"> </w:t>
            </w:r>
            <w:proofErr w:type="spellStart"/>
            <w:r w:rsidRPr="009D07E3">
              <w:rPr>
                <w:rFonts w:cs="Arial"/>
                <w:lang w:val="en-CA"/>
              </w:rPr>
              <w:t>dan</w:t>
            </w:r>
            <w:proofErr w:type="spellEnd"/>
            <w:r w:rsidRPr="009D07E3">
              <w:rPr>
                <w:rFonts w:cs="Arial"/>
                <w:lang w:val="en-CA"/>
              </w:rPr>
              <w:t xml:space="preserve"> </w:t>
            </w:r>
            <w:proofErr w:type="spellStart"/>
            <w:r w:rsidRPr="009D07E3">
              <w:rPr>
                <w:rFonts w:cs="Arial"/>
                <w:lang w:val="en-CA"/>
              </w:rPr>
              <w:t>Perlindungan</w:t>
            </w:r>
            <w:proofErr w:type="spellEnd"/>
            <w:r w:rsidRPr="009D07E3">
              <w:rPr>
                <w:rFonts w:cs="Arial"/>
                <w:lang w:val="en-CA"/>
              </w:rPr>
              <w:t xml:space="preserve"> Tenaga </w:t>
            </w:r>
            <w:proofErr w:type="spellStart"/>
            <w:r w:rsidRPr="009D07E3">
              <w:rPr>
                <w:rFonts w:cs="Arial"/>
                <w:lang w:val="en-CA"/>
              </w:rPr>
              <w:t>Kerja</w:t>
            </w:r>
            <w:proofErr w:type="spellEnd"/>
            <w:r w:rsidRPr="009D07E3">
              <w:rPr>
                <w:rFonts w:cs="Arial"/>
                <w:lang w:val="en-CA"/>
              </w:rPr>
              <w:t xml:space="preserve"> Indonesia</w:t>
            </w:r>
          </w:p>
        </w:tc>
      </w:tr>
      <w:tr w:rsidR="008D0006" w:rsidRPr="009D07E3" w14:paraId="18206BF0" w14:textId="77777777" w:rsidTr="008D0006">
        <w:tc>
          <w:tcPr>
            <w:tcW w:w="2268" w:type="dxa"/>
          </w:tcPr>
          <w:p w14:paraId="566746AF" w14:textId="29BC8694" w:rsidR="008D0006" w:rsidRPr="009D07E3" w:rsidRDefault="008D0006" w:rsidP="00DD3D96">
            <w:pPr>
              <w:pStyle w:val="ListParagraph"/>
              <w:spacing w:after="60"/>
              <w:ind w:left="0"/>
              <w:contextualSpacing w:val="0"/>
              <w:rPr>
                <w:rFonts w:cs="Arial"/>
                <w:lang w:val="en-CA"/>
              </w:rPr>
            </w:pPr>
            <w:r w:rsidRPr="009D07E3">
              <w:rPr>
                <w:rFonts w:cs="Arial"/>
                <w:lang w:val="en-CA"/>
              </w:rPr>
              <w:t>BPD</w:t>
            </w:r>
          </w:p>
        </w:tc>
        <w:tc>
          <w:tcPr>
            <w:tcW w:w="6761" w:type="dxa"/>
          </w:tcPr>
          <w:p w14:paraId="530F96FE" w14:textId="77777777" w:rsidR="008D0006" w:rsidRPr="009D07E3" w:rsidRDefault="008D0006" w:rsidP="008D0006">
            <w:pPr>
              <w:pStyle w:val="ListParagraph"/>
              <w:spacing w:after="60"/>
              <w:ind w:left="0"/>
              <w:contextualSpacing w:val="0"/>
              <w:rPr>
                <w:rFonts w:cs="Arial"/>
                <w:lang w:val="en-CA"/>
              </w:rPr>
            </w:pPr>
            <w:proofErr w:type="spellStart"/>
            <w:r w:rsidRPr="009D07E3">
              <w:rPr>
                <w:rFonts w:cs="Arial"/>
                <w:lang w:val="en-CA"/>
              </w:rPr>
              <w:t>Badan</w:t>
            </w:r>
            <w:proofErr w:type="spellEnd"/>
            <w:r w:rsidRPr="009D07E3">
              <w:rPr>
                <w:rFonts w:cs="Arial"/>
                <w:lang w:val="en-CA"/>
              </w:rPr>
              <w:t xml:space="preserve"> Pembangunan Daerah</w:t>
            </w:r>
          </w:p>
        </w:tc>
      </w:tr>
      <w:tr w:rsidR="008D0006" w:rsidRPr="009D07E3" w14:paraId="7440E681" w14:textId="77777777" w:rsidTr="008D0006">
        <w:tc>
          <w:tcPr>
            <w:tcW w:w="2268" w:type="dxa"/>
          </w:tcPr>
          <w:p w14:paraId="2ED98B9D" w14:textId="4083B2C2" w:rsidR="008D0006" w:rsidRPr="009D07E3" w:rsidRDefault="008D0006" w:rsidP="00DD3D96">
            <w:pPr>
              <w:pStyle w:val="ListParagraph"/>
              <w:spacing w:after="60"/>
              <w:ind w:left="0"/>
              <w:contextualSpacing w:val="0"/>
              <w:rPr>
                <w:rFonts w:cs="Arial"/>
                <w:lang w:val="en-CA"/>
              </w:rPr>
            </w:pPr>
            <w:r w:rsidRPr="009D07E3">
              <w:rPr>
                <w:rFonts w:cs="Arial"/>
                <w:lang w:val="en-CA"/>
              </w:rPr>
              <w:t>BPS</w:t>
            </w:r>
          </w:p>
        </w:tc>
        <w:tc>
          <w:tcPr>
            <w:tcW w:w="6761" w:type="dxa"/>
          </w:tcPr>
          <w:p w14:paraId="6ACDCD11" w14:textId="77777777" w:rsidR="008D0006" w:rsidRPr="009D07E3" w:rsidRDefault="008D0006" w:rsidP="008D0006">
            <w:pPr>
              <w:pStyle w:val="ListParagraph"/>
              <w:spacing w:after="60"/>
              <w:ind w:left="0"/>
              <w:contextualSpacing w:val="0"/>
              <w:rPr>
                <w:rFonts w:cs="Arial"/>
                <w:lang w:val="en-CA"/>
              </w:rPr>
            </w:pPr>
            <w:r w:rsidRPr="009D07E3">
              <w:rPr>
                <w:rFonts w:cs="Arial"/>
                <w:lang w:val="en-CA"/>
              </w:rPr>
              <w:t xml:space="preserve">Biro </w:t>
            </w:r>
            <w:proofErr w:type="spellStart"/>
            <w:r w:rsidRPr="009D07E3">
              <w:rPr>
                <w:rFonts w:cs="Arial"/>
                <w:lang w:val="en-CA"/>
              </w:rPr>
              <w:t>Pusat</w:t>
            </w:r>
            <w:proofErr w:type="spellEnd"/>
            <w:r w:rsidRPr="009D07E3">
              <w:rPr>
                <w:rFonts w:cs="Arial"/>
                <w:lang w:val="en-CA"/>
              </w:rPr>
              <w:t xml:space="preserve"> </w:t>
            </w:r>
            <w:proofErr w:type="spellStart"/>
            <w:r w:rsidRPr="009D07E3">
              <w:rPr>
                <w:rFonts w:cs="Arial"/>
                <w:lang w:val="en-CA"/>
              </w:rPr>
              <w:t>Statistik</w:t>
            </w:r>
            <w:proofErr w:type="spellEnd"/>
          </w:p>
        </w:tc>
      </w:tr>
      <w:tr w:rsidR="00794D36" w:rsidRPr="009D07E3" w14:paraId="5DE8FA51" w14:textId="77777777" w:rsidTr="00BF6BA3">
        <w:tc>
          <w:tcPr>
            <w:tcW w:w="2268" w:type="dxa"/>
          </w:tcPr>
          <w:p w14:paraId="1E2F61B2" w14:textId="77777777" w:rsidR="00794D36" w:rsidRPr="009D07E3" w:rsidRDefault="00794D36" w:rsidP="00BF6BA3">
            <w:pPr>
              <w:pStyle w:val="ListParagraph"/>
              <w:spacing w:after="60"/>
              <w:ind w:left="0"/>
              <w:contextualSpacing w:val="0"/>
              <w:rPr>
                <w:rFonts w:cs="Arial"/>
                <w:lang w:val="en-CA"/>
              </w:rPr>
            </w:pPr>
          </w:p>
        </w:tc>
        <w:tc>
          <w:tcPr>
            <w:tcW w:w="6761" w:type="dxa"/>
          </w:tcPr>
          <w:p w14:paraId="1AC3A04A" w14:textId="77777777" w:rsidR="00794D36" w:rsidRPr="009D07E3" w:rsidRDefault="00794D36" w:rsidP="00BF6BA3">
            <w:pPr>
              <w:pStyle w:val="ListParagraph"/>
              <w:spacing w:after="60"/>
              <w:ind w:left="0"/>
              <w:contextualSpacing w:val="0"/>
              <w:rPr>
                <w:rFonts w:cs="Arial"/>
                <w:lang w:val="en-CA"/>
              </w:rPr>
            </w:pPr>
          </w:p>
        </w:tc>
      </w:tr>
      <w:tr w:rsidR="008D0006" w:rsidRPr="009D07E3" w14:paraId="021154CC" w14:textId="77777777" w:rsidTr="008D0006">
        <w:tc>
          <w:tcPr>
            <w:tcW w:w="2268" w:type="dxa"/>
          </w:tcPr>
          <w:p w14:paraId="78D7E144" w14:textId="176D91E6" w:rsidR="008D0006" w:rsidRPr="009D07E3" w:rsidRDefault="008D0006" w:rsidP="00DD3D96">
            <w:pPr>
              <w:pStyle w:val="ListParagraph"/>
              <w:spacing w:after="60"/>
              <w:ind w:left="0"/>
              <w:contextualSpacing w:val="0"/>
              <w:rPr>
                <w:rFonts w:cs="Arial"/>
                <w:lang w:val="en-CA"/>
              </w:rPr>
            </w:pPr>
            <w:r w:rsidRPr="009D07E3">
              <w:rPr>
                <w:rFonts w:cs="Arial"/>
                <w:lang w:val="en-CA"/>
              </w:rPr>
              <w:t>CPR</w:t>
            </w:r>
          </w:p>
        </w:tc>
        <w:tc>
          <w:tcPr>
            <w:tcW w:w="6761" w:type="dxa"/>
          </w:tcPr>
          <w:p w14:paraId="0CE9D808" w14:textId="77777777" w:rsidR="008D0006" w:rsidRPr="009D07E3" w:rsidRDefault="008D0006" w:rsidP="008D0006">
            <w:pPr>
              <w:pStyle w:val="ListParagraph"/>
              <w:spacing w:after="60"/>
              <w:ind w:left="0"/>
              <w:contextualSpacing w:val="0"/>
              <w:rPr>
                <w:rFonts w:cs="Arial"/>
                <w:lang w:val="en-CA"/>
              </w:rPr>
            </w:pPr>
            <w:r w:rsidRPr="009D07E3">
              <w:rPr>
                <w:rFonts w:cs="Arial"/>
                <w:lang w:val="en-CA"/>
              </w:rPr>
              <w:t>Contraceptive Prevalence Rate</w:t>
            </w:r>
          </w:p>
        </w:tc>
      </w:tr>
      <w:tr w:rsidR="008D0006" w:rsidRPr="009D07E3" w14:paraId="2EDEA091" w14:textId="77777777" w:rsidTr="008D0006">
        <w:tc>
          <w:tcPr>
            <w:tcW w:w="2268" w:type="dxa"/>
          </w:tcPr>
          <w:p w14:paraId="6DEEB7D3" w14:textId="6182DABA" w:rsidR="008D0006" w:rsidRPr="009D07E3" w:rsidRDefault="008D0006" w:rsidP="00DD3D96">
            <w:pPr>
              <w:pStyle w:val="ListParagraph"/>
              <w:spacing w:after="60"/>
              <w:ind w:left="0"/>
              <w:contextualSpacing w:val="0"/>
              <w:rPr>
                <w:rFonts w:cs="Arial"/>
                <w:lang w:val="en-CA"/>
              </w:rPr>
            </w:pPr>
            <w:r w:rsidRPr="009D07E3">
              <w:rPr>
                <w:rFonts w:cs="Arial"/>
                <w:lang w:val="en-CA"/>
              </w:rPr>
              <w:t>C2</w:t>
            </w:r>
          </w:p>
        </w:tc>
        <w:tc>
          <w:tcPr>
            <w:tcW w:w="6761" w:type="dxa"/>
          </w:tcPr>
          <w:p w14:paraId="7A0F0FD0" w14:textId="77777777" w:rsidR="008D0006" w:rsidRPr="009D07E3" w:rsidRDefault="008D0006" w:rsidP="008D0006">
            <w:pPr>
              <w:pStyle w:val="ListParagraph"/>
              <w:spacing w:after="60"/>
              <w:ind w:left="0"/>
              <w:contextualSpacing w:val="0"/>
              <w:rPr>
                <w:rFonts w:cs="Arial"/>
                <w:lang w:val="en-CA"/>
              </w:rPr>
            </w:pPr>
            <w:r w:rsidRPr="009D07E3">
              <w:rPr>
                <w:rFonts w:cs="Arial"/>
                <w:lang w:val="en-CA"/>
              </w:rPr>
              <w:t>Component 2</w:t>
            </w:r>
          </w:p>
        </w:tc>
      </w:tr>
      <w:tr w:rsidR="008D0006" w:rsidRPr="009D07E3" w14:paraId="7589642F" w14:textId="77777777" w:rsidTr="008D0006">
        <w:tc>
          <w:tcPr>
            <w:tcW w:w="2268" w:type="dxa"/>
          </w:tcPr>
          <w:p w14:paraId="2DC293D9" w14:textId="740DF7EB" w:rsidR="008D0006" w:rsidRPr="009D07E3" w:rsidRDefault="008D0006" w:rsidP="00DD3D96">
            <w:pPr>
              <w:pStyle w:val="ListParagraph"/>
              <w:spacing w:after="60"/>
              <w:ind w:left="0"/>
              <w:contextualSpacing w:val="0"/>
              <w:rPr>
                <w:rFonts w:cs="Arial"/>
                <w:lang w:val="en-CA"/>
              </w:rPr>
            </w:pPr>
            <w:r w:rsidRPr="009D07E3">
              <w:rPr>
                <w:rFonts w:cs="Arial"/>
                <w:lang w:val="en-CA"/>
              </w:rPr>
              <w:t>CSO</w:t>
            </w:r>
          </w:p>
        </w:tc>
        <w:tc>
          <w:tcPr>
            <w:tcW w:w="6761" w:type="dxa"/>
          </w:tcPr>
          <w:p w14:paraId="1CAEB603" w14:textId="77777777" w:rsidR="008D0006" w:rsidRPr="009D07E3" w:rsidRDefault="008D0006" w:rsidP="008D0006">
            <w:pPr>
              <w:pStyle w:val="ListParagraph"/>
              <w:spacing w:after="60"/>
              <w:ind w:left="0"/>
              <w:contextualSpacing w:val="0"/>
              <w:rPr>
                <w:rFonts w:cs="Arial"/>
                <w:lang w:val="en-CA"/>
              </w:rPr>
            </w:pPr>
            <w:r w:rsidRPr="009D07E3">
              <w:rPr>
                <w:rFonts w:cs="Arial"/>
                <w:lang w:val="en-CA"/>
              </w:rPr>
              <w:t>Civil Society Organization</w:t>
            </w:r>
          </w:p>
        </w:tc>
      </w:tr>
      <w:tr w:rsidR="00794D36" w:rsidRPr="009D07E3" w14:paraId="6B5A4D72" w14:textId="77777777" w:rsidTr="00BF6BA3">
        <w:tc>
          <w:tcPr>
            <w:tcW w:w="2268" w:type="dxa"/>
          </w:tcPr>
          <w:p w14:paraId="5B740DDA" w14:textId="77777777" w:rsidR="00794D36" w:rsidRPr="009D07E3" w:rsidRDefault="00794D36" w:rsidP="00BF6BA3">
            <w:pPr>
              <w:pStyle w:val="ListParagraph"/>
              <w:spacing w:after="60"/>
              <w:ind w:left="0"/>
              <w:contextualSpacing w:val="0"/>
              <w:rPr>
                <w:rFonts w:cs="Arial"/>
                <w:lang w:val="en-CA"/>
              </w:rPr>
            </w:pPr>
          </w:p>
        </w:tc>
        <w:tc>
          <w:tcPr>
            <w:tcW w:w="6761" w:type="dxa"/>
          </w:tcPr>
          <w:p w14:paraId="0E444010" w14:textId="77777777" w:rsidR="00794D36" w:rsidRPr="009D07E3" w:rsidRDefault="00794D36" w:rsidP="00BF6BA3">
            <w:pPr>
              <w:pStyle w:val="ListParagraph"/>
              <w:spacing w:after="60"/>
              <w:ind w:left="0"/>
              <w:contextualSpacing w:val="0"/>
              <w:rPr>
                <w:rFonts w:cs="Arial"/>
                <w:lang w:val="en-CA"/>
              </w:rPr>
            </w:pPr>
          </w:p>
        </w:tc>
      </w:tr>
      <w:tr w:rsidR="008D0006" w:rsidRPr="009D07E3" w14:paraId="1EBC1001" w14:textId="77777777" w:rsidTr="008D0006">
        <w:tc>
          <w:tcPr>
            <w:tcW w:w="2268" w:type="dxa"/>
          </w:tcPr>
          <w:p w14:paraId="32D549C6" w14:textId="56ECF738" w:rsidR="008D0006" w:rsidRPr="009D07E3" w:rsidRDefault="008D0006" w:rsidP="00DD3D96">
            <w:pPr>
              <w:pStyle w:val="ListParagraph"/>
              <w:spacing w:after="60"/>
              <w:ind w:left="0"/>
              <w:contextualSpacing w:val="0"/>
              <w:rPr>
                <w:rFonts w:cs="Arial"/>
                <w:lang w:val="en-CA"/>
              </w:rPr>
            </w:pPr>
            <w:r w:rsidRPr="009D07E3">
              <w:rPr>
                <w:rFonts w:cs="Arial"/>
                <w:lang w:val="en-CA"/>
              </w:rPr>
              <w:t>DFAT</w:t>
            </w:r>
          </w:p>
        </w:tc>
        <w:tc>
          <w:tcPr>
            <w:tcW w:w="6761" w:type="dxa"/>
          </w:tcPr>
          <w:p w14:paraId="3B7BFD95" w14:textId="77777777" w:rsidR="008D0006" w:rsidRPr="009D07E3" w:rsidRDefault="008D0006" w:rsidP="008D0006">
            <w:pPr>
              <w:pStyle w:val="ListParagraph"/>
              <w:spacing w:after="60"/>
              <w:ind w:left="0"/>
              <w:contextualSpacing w:val="0"/>
              <w:rPr>
                <w:rFonts w:cs="Arial"/>
                <w:lang w:val="en-CA"/>
              </w:rPr>
            </w:pPr>
            <w:r w:rsidRPr="009D07E3">
              <w:rPr>
                <w:rFonts w:cs="Arial"/>
                <w:lang w:val="en-CA"/>
              </w:rPr>
              <w:t>Department of Foreign Affairs and Trade</w:t>
            </w:r>
          </w:p>
        </w:tc>
      </w:tr>
      <w:tr w:rsidR="008D0006" w:rsidRPr="009D07E3" w14:paraId="3D7A4B96" w14:textId="77777777" w:rsidTr="008D0006">
        <w:tc>
          <w:tcPr>
            <w:tcW w:w="2268" w:type="dxa"/>
          </w:tcPr>
          <w:p w14:paraId="2FBEA5CB" w14:textId="5BD4FB21" w:rsidR="008D0006" w:rsidRPr="009D07E3" w:rsidRDefault="008D0006" w:rsidP="00DD3D96">
            <w:pPr>
              <w:pStyle w:val="ListParagraph"/>
              <w:spacing w:after="60"/>
              <w:ind w:left="0"/>
              <w:contextualSpacing w:val="0"/>
              <w:rPr>
                <w:rFonts w:cs="Arial"/>
                <w:lang w:val="en-CA"/>
              </w:rPr>
            </w:pPr>
            <w:r w:rsidRPr="009D07E3">
              <w:rPr>
                <w:rFonts w:cs="Arial"/>
                <w:lang w:val="en-CA"/>
              </w:rPr>
              <w:t>DPD</w:t>
            </w:r>
          </w:p>
        </w:tc>
        <w:tc>
          <w:tcPr>
            <w:tcW w:w="6761" w:type="dxa"/>
          </w:tcPr>
          <w:p w14:paraId="3FEB35C3" w14:textId="77777777" w:rsidR="008D0006" w:rsidRPr="009D07E3" w:rsidRDefault="008D0006" w:rsidP="008D0006">
            <w:pPr>
              <w:pStyle w:val="ListParagraph"/>
              <w:spacing w:after="60"/>
              <w:ind w:left="0"/>
              <w:contextualSpacing w:val="0"/>
              <w:rPr>
                <w:rFonts w:cs="Arial"/>
                <w:lang w:val="en-CA"/>
              </w:rPr>
            </w:pPr>
            <w:r w:rsidRPr="009D07E3">
              <w:rPr>
                <w:rFonts w:cs="Arial"/>
                <w:lang w:val="en-CA"/>
              </w:rPr>
              <w:t xml:space="preserve">Dewan </w:t>
            </w:r>
            <w:proofErr w:type="spellStart"/>
            <w:r w:rsidRPr="009D07E3">
              <w:rPr>
                <w:rFonts w:cs="Arial"/>
                <w:lang w:val="en-CA"/>
              </w:rPr>
              <w:t>Pimpinan</w:t>
            </w:r>
            <w:proofErr w:type="spellEnd"/>
            <w:r w:rsidRPr="009D07E3">
              <w:rPr>
                <w:rFonts w:cs="Arial"/>
                <w:lang w:val="en-CA"/>
              </w:rPr>
              <w:t xml:space="preserve"> Daerah </w:t>
            </w:r>
          </w:p>
        </w:tc>
      </w:tr>
      <w:tr w:rsidR="008D0006" w:rsidRPr="009D07E3" w14:paraId="5728F819" w14:textId="77777777" w:rsidTr="008D0006">
        <w:tc>
          <w:tcPr>
            <w:tcW w:w="2268" w:type="dxa"/>
          </w:tcPr>
          <w:p w14:paraId="17B299DA" w14:textId="14B30E63" w:rsidR="008D0006" w:rsidRPr="009D07E3" w:rsidRDefault="008D0006" w:rsidP="00DD3D96">
            <w:pPr>
              <w:pStyle w:val="ListParagraph"/>
              <w:spacing w:after="60"/>
              <w:ind w:left="0"/>
              <w:contextualSpacing w:val="0"/>
              <w:rPr>
                <w:rFonts w:cs="Arial"/>
                <w:lang w:val="en-CA"/>
              </w:rPr>
            </w:pPr>
            <w:r w:rsidRPr="009D07E3">
              <w:rPr>
                <w:rFonts w:cs="Arial"/>
                <w:lang w:val="en-CA"/>
              </w:rPr>
              <w:t>DPRD</w:t>
            </w:r>
          </w:p>
        </w:tc>
        <w:tc>
          <w:tcPr>
            <w:tcW w:w="6761" w:type="dxa"/>
          </w:tcPr>
          <w:p w14:paraId="39C50A4D" w14:textId="77777777" w:rsidR="008D0006" w:rsidRPr="009D07E3" w:rsidRDefault="008D0006" w:rsidP="008D0006">
            <w:pPr>
              <w:pStyle w:val="ListParagraph"/>
              <w:spacing w:after="60"/>
              <w:ind w:left="0"/>
              <w:contextualSpacing w:val="0"/>
              <w:rPr>
                <w:rFonts w:cs="Arial"/>
                <w:lang w:val="en-CA"/>
              </w:rPr>
            </w:pPr>
            <w:r w:rsidRPr="009D07E3">
              <w:rPr>
                <w:rFonts w:cs="Arial"/>
                <w:lang w:val="en-CA"/>
              </w:rPr>
              <w:t xml:space="preserve">Dewan </w:t>
            </w:r>
            <w:proofErr w:type="spellStart"/>
            <w:r w:rsidRPr="009D07E3">
              <w:rPr>
                <w:rFonts w:cs="Arial"/>
                <w:lang w:val="en-CA"/>
              </w:rPr>
              <w:t>Perwakilan</w:t>
            </w:r>
            <w:proofErr w:type="spellEnd"/>
            <w:r w:rsidRPr="009D07E3">
              <w:rPr>
                <w:rFonts w:cs="Arial"/>
                <w:lang w:val="en-CA"/>
              </w:rPr>
              <w:t xml:space="preserve"> Rakyat Daerah</w:t>
            </w:r>
          </w:p>
        </w:tc>
      </w:tr>
      <w:tr w:rsidR="008D0006" w:rsidRPr="009D07E3" w14:paraId="0129B7C0" w14:textId="77777777" w:rsidTr="008D0006">
        <w:tc>
          <w:tcPr>
            <w:tcW w:w="2268" w:type="dxa"/>
          </w:tcPr>
          <w:p w14:paraId="51890C5A" w14:textId="77777777" w:rsidR="008D0006" w:rsidRPr="009D07E3" w:rsidRDefault="008D0006" w:rsidP="008D0006">
            <w:pPr>
              <w:pStyle w:val="ListParagraph"/>
              <w:spacing w:after="60"/>
              <w:ind w:left="0"/>
              <w:contextualSpacing w:val="0"/>
              <w:rPr>
                <w:rFonts w:cs="Arial"/>
                <w:lang w:val="en-CA"/>
              </w:rPr>
            </w:pPr>
          </w:p>
        </w:tc>
        <w:tc>
          <w:tcPr>
            <w:tcW w:w="6761" w:type="dxa"/>
          </w:tcPr>
          <w:p w14:paraId="11ABA6C6" w14:textId="77777777" w:rsidR="008D0006" w:rsidRPr="009D07E3" w:rsidRDefault="008D0006" w:rsidP="008D0006">
            <w:pPr>
              <w:pStyle w:val="ListParagraph"/>
              <w:spacing w:after="60"/>
              <w:ind w:left="0"/>
              <w:contextualSpacing w:val="0"/>
              <w:rPr>
                <w:rFonts w:cs="Arial"/>
                <w:lang w:val="en-CA"/>
              </w:rPr>
            </w:pPr>
          </w:p>
        </w:tc>
      </w:tr>
      <w:tr w:rsidR="008D0006" w:rsidRPr="009D07E3" w14:paraId="4567838E" w14:textId="77777777" w:rsidTr="008D0006">
        <w:tc>
          <w:tcPr>
            <w:tcW w:w="2268" w:type="dxa"/>
          </w:tcPr>
          <w:p w14:paraId="59C2C5E6" w14:textId="343BA6EF" w:rsidR="008D0006" w:rsidRPr="009D07E3" w:rsidRDefault="008D0006" w:rsidP="00DD3D96">
            <w:pPr>
              <w:pStyle w:val="ListParagraph"/>
              <w:spacing w:after="60"/>
              <w:ind w:left="0"/>
              <w:contextualSpacing w:val="0"/>
              <w:rPr>
                <w:rFonts w:cs="Arial"/>
                <w:lang w:val="en-CA"/>
              </w:rPr>
            </w:pPr>
            <w:r w:rsidRPr="009D07E3">
              <w:rPr>
                <w:rFonts w:cs="Arial"/>
                <w:lang w:val="en-CA"/>
              </w:rPr>
              <w:t>FLFP</w:t>
            </w:r>
          </w:p>
        </w:tc>
        <w:tc>
          <w:tcPr>
            <w:tcW w:w="6761" w:type="dxa"/>
          </w:tcPr>
          <w:p w14:paraId="202EFB32" w14:textId="77777777" w:rsidR="008D0006" w:rsidRPr="009D07E3" w:rsidRDefault="008D0006" w:rsidP="008D0006">
            <w:pPr>
              <w:pStyle w:val="ListParagraph"/>
              <w:spacing w:after="60"/>
              <w:ind w:left="0"/>
              <w:contextualSpacing w:val="0"/>
              <w:rPr>
                <w:rFonts w:cs="Arial"/>
                <w:lang w:val="en-CA"/>
              </w:rPr>
            </w:pPr>
            <w:r w:rsidRPr="009D07E3">
              <w:rPr>
                <w:rFonts w:cs="Arial"/>
                <w:lang w:val="en-CA"/>
              </w:rPr>
              <w:t>The Female Labour Force Participation</w:t>
            </w:r>
          </w:p>
        </w:tc>
      </w:tr>
      <w:tr w:rsidR="008D0006" w:rsidRPr="009D07E3" w14:paraId="402F38A5" w14:textId="77777777" w:rsidTr="008D0006">
        <w:tc>
          <w:tcPr>
            <w:tcW w:w="2268" w:type="dxa"/>
          </w:tcPr>
          <w:p w14:paraId="7F522613" w14:textId="77777777" w:rsidR="008D0006" w:rsidRPr="009D07E3" w:rsidRDefault="008D0006" w:rsidP="008D0006">
            <w:pPr>
              <w:pStyle w:val="ListParagraph"/>
              <w:spacing w:after="60"/>
              <w:ind w:left="0"/>
              <w:contextualSpacing w:val="0"/>
              <w:rPr>
                <w:rFonts w:cs="Arial"/>
                <w:lang w:val="en-CA"/>
              </w:rPr>
            </w:pPr>
          </w:p>
        </w:tc>
        <w:tc>
          <w:tcPr>
            <w:tcW w:w="6761" w:type="dxa"/>
          </w:tcPr>
          <w:p w14:paraId="0D8B9DBE" w14:textId="77777777" w:rsidR="008D0006" w:rsidRPr="009D07E3" w:rsidRDefault="008D0006" w:rsidP="008D0006">
            <w:pPr>
              <w:pStyle w:val="ListParagraph"/>
              <w:spacing w:after="60"/>
              <w:ind w:left="0"/>
              <w:contextualSpacing w:val="0"/>
              <w:rPr>
                <w:rFonts w:cs="Arial"/>
                <w:lang w:val="en-CA"/>
              </w:rPr>
            </w:pPr>
          </w:p>
        </w:tc>
      </w:tr>
      <w:tr w:rsidR="008D0006" w:rsidRPr="009D07E3" w14:paraId="4CC83D4B" w14:textId="77777777" w:rsidTr="008D0006">
        <w:tc>
          <w:tcPr>
            <w:tcW w:w="2268" w:type="dxa"/>
          </w:tcPr>
          <w:p w14:paraId="2F2EC8FC" w14:textId="6F7FF6CA" w:rsidR="008D0006" w:rsidRPr="009D07E3" w:rsidRDefault="008D0006" w:rsidP="00DD3D96">
            <w:pPr>
              <w:pStyle w:val="ListParagraph"/>
              <w:spacing w:after="60"/>
              <w:ind w:left="0"/>
              <w:contextualSpacing w:val="0"/>
              <w:rPr>
                <w:rFonts w:cs="Arial"/>
                <w:lang w:val="en-CA"/>
              </w:rPr>
            </w:pPr>
            <w:r w:rsidRPr="009D07E3">
              <w:rPr>
                <w:rFonts w:cs="Arial"/>
                <w:lang w:val="en-CA"/>
              </w:rPr>
              <w:t>GDP</w:t>
            </w:r>
          </w:p>
        </w:tc>
        <w:tc>
          <w:tcPr>
            <w:tcW w:w="6761" w:type="dxa"/>
          </w:tcPr>
          <w:p w14:paraId="30E142B1" w14:textId="77777777" w:rsidR="008D0006" w:rsidRPr="009D07E3" w:rsidRDefault="008D0006" w:rsidP="008D0006">
            <w:pPr>
              <w:pStyle w:val="ListParagraph"/>
              <w:spacing w:after="60"/>
              <w:ind w:left="0"/>
              <w:contextualSpacing w:val="0"/>
              <w:rPr>
                <w:rFonts w:cs="Arial"/>
                <w:lang w:val="en-CA"/>
              </w:rPr>
            </w:pPr>
            <w:r w:rsidRPr="009D07E3">
              <w:rPr>
                <w:rFonts w:cs="Arial"/>
                <w:lang w:val="en-CA"/>
              </w:rPr>
              <w:t>Gross Domestic Product</w:t>
            </w:r>
          </w:p>
        </w:tc>
      </w:tr>
      <w:tr w:rsidR="008D0006" w:rsidRPr="009D07E3" w14:paraId="626A803D" w14:textId="77777777" w:rsidTr="008D0006">
        <w:tc>
          <w:tcPr>
            <w:tcW w:w="2268" w:type="dxa"/>
          </w:tcPr>
          <w:p w14:paraId="38E43A8B" w14:textId="1B2B86AA" w:rsidR="008D0006" w:rsidRPr="009D07E3" w:rsidRDefault="008D0006" w:rsidP="00DD3D96">
            <w:pPr>
              <w:pStyle w:val="ListParagraph"/>
              <w:spacing w:after="60"/>
              <w:ind w:left="0"/>
              <w:contextualSpacing w:val="0"/>
              <w:rPr>
                <w:rFonts w:cs="Arial"/>
                <w:lang w:val="en-CA"/>
              </w:rPr>
            </w:pPr>
            <w:proofErr w:type="spellStart"/>
            <w:r w:rsidRPr="009D07E3">
              <w:rPr>
                <w:rFonts w:cs="Arial"/>
                <w:lang w:val="en-CA"/>
              </w:rPr>
              <w:t>GoA</w:t>
            </w:r>
            <w:proofErr w:type="spellEnd"/>
          </w:p>
        </w:tc>
        <w:tc>
          <w:tcPr>
            <w:tcW w:w="6761" w:type="dxa"/>
          </w:tcPr>
          <w:p w14:paraId="26A6A73C" w14:textId="77777777" w:rsidR="008D0006" w:rsidRPr="009D07E3" w:rsidRDefault="008D0006" w:rsidP="008D0006">
            <w:pPr>
              <w:pStyle w:val="ListParagraph"/>
              <w:spacing w:after="60"/>
              <w:ind w:left="0"/>
              <w:contextualSpacing w:val="0"/>
              <w:rPr>
                <w:rFonts w:cs="Arial"/>
                <w:lang w:val="en-CA"/>
              </w:rPr>
            </w:pPr>
            <w:r w:rsidRPr="009D07E3">
              <w:rPr>
                <w:rFonts w:cs="Arial"/>
                <w:lang w:val="en-CA"/>
              </w:rPr>
              <w:t>Government of Australia</w:t>
            </w:r>
          </w:p>
        </w:tc>
      </w:tr>
      <w:tr w:rsidR="008D0006" w:rsidRPr="009D07E3" w14:paraId="5F201A4B" w14:textId="77777777" w:rsidTr="008D0006">
        <w:tc>
          <w:tcPr>
            <w:tcW w:w="2268" w:type="dxa"/>
          </w:tcPr>
          <w:p w14:paraId="2AC67D07" w14:textId="6FD9F528" w:rsidR="008D0006" w:rsidRPr="009D07E3" w:rsidRDefault="008D0006" w:rsidP="00DD3D96">
            <w:pPr>
              <w:pStyle w:val="ListParagraph"/>
              <w:spacing w:after="60"/>
              <w:ind w:left="0"/>
              <w:contextualSpacing w:val="0"/>
              <w:rPr>
                <w:rFonts w:cs="Arial"/>
                <w:lang w:val="en-CA"/>
              </w:rPr>
            </w:pPr>
            <w:proofErr w:type="spellStart"/>
            <w:r w:rsidRPr="009D07E3">
              <w:rPr>
                <w:rFonts w:cs="Arial"/>
                <w:lang w:val="en-CA"/>
              </w:rPr>
              <w:t>GoI</w:t>
            </w:r>
            <w:proofErr w:type="spellEnd"/>
          </w:p>
        </w:tc>
        <w:tc>
          <w:tcPr>
            <w:tcW w:w="6761" w:type="dxa"/>
          </w:tcPr>
          <w:p w14:paraId="1BB7395B" w14:textId="77777777" w:rsidR="008D0006" w:rsidRPr="009D07E3" w:rsidRDefault="008D0006" w:rsidP="008D0006">
            <w:pPr>
              <w:pStyle w:val="ListParagraph"/>
              <w:spacing w:after="60"/>
              <w:ind w:left="0"/>
              <w:contextualSpacing w:val="0"/>
              <w:rPr>
                <w:rFonts w:cs="Arial"/>
                <w:lang w:val="en-CA"/>
              </w:rPr>
            </w:pPr>
            <w:r w:rsidRPr="009D07E3">
              <w:rPr>
                <w:rFonts w:cs="Arial"/>
                <w:lang w:val="en-CA"/>
              </w:rPr>
              <w:t>Government of Indonesia</w:t>
            </w:r>
          </w:p>
        </w:tc>
      </w:tr>
      <w:tr w:rsidR="008D0006" w:rsidRPr="009D07E3" w14:paraId="2067E078" w14:textId="77777777" w:rsidTr="008D0006">
        <w:tc>
          <w:tcPr>
            <w:tcW w:w="2268" w:type="dxa"/>
          </w:tcPr>
          <w:p w14:paraId="1BEA6FB2" w14:textId="77777777" w:rsidR="008D0006" w:rsidRPr="009D07E3" w:rsidRDefault="008D0006" w:rsidP="008D0006">
            <w:pPr>
              <w:pStyle w:val="ListParagraph"/>
              <w:spacing w:after="60"/>
              <w:ind w:left="0"/>
              <w:contextualSpacing w:val="0"/>
              <w:rPr>
                <w:rFonts w:cs="Arial"/>
                <w:lang w:val="en-CA"/>
              </w:rPr>
            </w:pPr>
          </w:p>
        </w:tc>
        <w:tc>
          <w:tcPr>
            <w:tcW w:w="6761" w:type="dxa"/>
          </w:tcPr>
          <w:p w14:paraId="0BCBB192" w14:textId="77777777" w:rsidR="008D0006" w:rsidRPr="009D07E3" w:rsidRDefault="008D0006" w:rsidP="008D0006">
            <w:pPr>
              <w:pStyle w:val="ListParagraph"/>
              <w:spacing w:after="60"/>
              <w:ind w:left="0"/>
              <w:contextualSpacing w:val="0"/>
              <w:rPr>
                <w:rFonts w:cs="Arial"/>
                <w:lang w:val="en-CA"/>
              </w:rPr>
            </w:pPr>
          </w:p>
        </w:tc>
      </w:tr>
      <w:tr w:rsidR="008D0006" w:rsidRPr="009D07E3" w14:paraId="32753539" w14:textId="77777777" w:rsidTr="008D0006">
        <w:tc>
          <w:tcPr>
            <w:tcW w:w="2268" w:type="dxa"/>
          </w:tcPr>
          <w:p w14:paraId="6D9D9EF6" w14:textId="179EF1BA" w:rsidR="008D0006" w:rsidRPr="009D07E3" w:rsidRDefault="008D0006" w:rsidP="00DD3D96">
            <w:pPr>
              <w:pStyle w:val="ListParagraph"/>
              <w:spacing w:after="60"/>
              <w:ind w:left="0"/>
              <w:contextualSpacing w:val="0"/>
              <w:rPr>
                <w:rFonts w:cs="Arial"/>
                <w:lang w:val="en-CA"/>
              </w:rPr>
            </w:pPr>
            <w:r w:rsidRPr="009D07E3">
              <w:rPr>
                <w:rFonts w:cs="Arial"/>
                <w:lang w:val="en-CA"/>
              </w:rPr>
              <w:t>IDHS</w:t>
            </w:r>
          </w:p>
        </w:tc>
        <w:tc>
          <w:tcPr>
            <w:tcW w:w="6761" w:type="dxa"/>
          </w:tcPr>
          <w:p w14:paraId="52E83CE6" w14:textId="77777777" w:rsidR="008D0006" w:rsidRPr="009D07E3" w:rsidRDefault="008D0006" w:rsidP="008D0006">
            <w:pPr>
              <w:pStyle w:val="ListParagraph"/>
              <w:spacing w:after="60"/>
              <w:ind w:left="0"/>
              <w:contextualSpacing w:val="0"/>
              <w:rPr>
                <w:rFonts w:cs="Arial"/>
                <w:lang w:val="en-CA"/>
              </w:rPr>
            </w:pPr>
            <w:r w:rsidRPr="009D07E3">
              <w:rPr>
                <w:rFonts w:cs="Arial"/>
                <w:lang w:val="en-CA"/>
              </w:rPr>
              <w:t>Indonesia Demographic Health Survey</w:t>
            </w:r>
          </w:p>
        </w:tc>
      </w:tr>
      <w:tr w:rsidR="008D0006" w:rsidRPr="009D07E3" w14:paraId="6078570D" w14:textId="77777777" w:rsidTr="008D0006">
        <w:tc>
          <w:tcPr>
            <w:tcW w:w="2268" w:type="dxa"/>
          </w:tcPr>
          <w:p w14:paraId="5587943D" w14:textId="47AC1927" w:rsidR="008D0006" w:rsidRPr="009D07E3" w:rsidRDefault="008D0006" w:rsidP="00DD3D96">
            <w:pPr>
              <w:pStyle w:val="ListParagraph"/>
              <w:spacing w:after="60"/>
              <w:ind w:left="0"/>
              <w:contextualSpacing w:val="0"/>
              <w:rPr>
                <w:rFonts w:cs="Arial"/>
                <w:lang w:val="en-CA"/>
              </w:rPr>
            </w:pPr>
            <w:r w:rsidRPr="009D07E3">
              <w:rPr>
                <w:rFonts w:cs="Arial"/>
                <w:lang w:val="en-CA"/>
              </w:rPr>
              <w:t>ILO</w:t>
            </w:r>
          </w:p>
        </w:tc>
        <w:tc>
          <w:tcPr>
            <w:tcW w:w="6761" w:type="dxa"/>
          </w:tcPr>
          <w:p w14:paraId="4D4EBB68" w14:textId="77777777" w:rsidR="008D0006" w:rsidRPr="009D07E3" w:rsidRDefault="008D0006" w:rsidP="008D0006">
            <w:pPr>
              <w:pStyle w:val="ListParagraph"/>
              <w:spacing w:after="60"/>
              <w:ind w:left="0"/>
              <w:contextualSpacing w:val="0"/>
              <w:rPr>
                <w:rFonts w:cs="Arial"/>
                <w:lang w:val="en-CA"/>
              </w:rPr>
            </w:pPr>
            <w:r w:rsidRPr="009D07E3">
              <w:rPr>
                <w:rFonts w:cs="Arial"/>
                <w:lang w:val="en-CA"/>
              </w:rPr>
              <w:t>International Labour Organization</w:t>
            </w:r>
          </w:p>
        </w:tc>
      </w:tr>
      <w:tr w:rsidR="008D0006" w:rsidRPr="009D07E3" w14:paraId="6664A839" w14:textId="77777777" w:rsidTr="008D0006">
        <w:tc>
          <w:tcPr>
            <w:tcW w:w="2268" w:type="dxa"/>
          </w:tcPr>
          <w:p w14:paraId="03B07880" w14:textId="304DC9EE" w:rsidR="008D0006" w:rsidRPr="009D07E3" w:rsidRDefault="008D0006" w:rsidP="00DD3D96">
            <w:pPr>
              <w:pStyle w:val="ListParagraph"/>
              <w:spacing w:after="60"/>
              <w:ind w:left="0"/>
              <w:contextualSpacing w:val="0"/>
              <w:rPr>
                <w:rFonts w:cs="Arial"/>
                <w:lang w:val="en-CA"/>
              </w:rPr>
            </w:pPr>
            <w:r w:rsidRPr="009D07E3">
              <w:rPr>
                <w:rFonts w:cs="Arial"/>
                <w:lang w:val="en-CA"/>
              </w:rPr>
              <w:t>IOM</w:t>
            </w:r>
          </w:p>
        </w:tc>
        <w:tc>
          <w:tcPr>
            <w:tcW w:w="6761" w:type="dxa"/>
          </w:tcPr>
          <w:p w14:paraId="240B73C2" w14:textId="77777777" w:rsidR="008D0006" w:rsidRPr="009D07E3" w:rsidRDefault="008D0006" w:rsidP="008D0006">
            <w:pPr>
              <w:pStyle w:val="ListParagraph"/>
              <w:spacing w:after="60"/>
              <w:ind w:left="0"/>
              <w:contextualSpacing w:val="0"/>
              <w:rPr>
                <w:rFonts w:cs="Arial"/>
                <w:lang w:val="en-CA"/>
              </w:rPr>
            </w:pPr>
            <w:r w:rsidRPr="009D07E3">
              <w:rPr>
                <w:rFonts w:cs="Arial"/>
                <w:lang w:val="en-CA"/>
              </w:rPr>
              <w:t>International Organization for Migration</w:t>
            </w:r>
          </w:p>
        </w:tc>
      </w:tr>
      <w:tr w:rsidR="008D0006" w:rsidRPr="009D07E3" w14:paraId="31E0A62D" w14:textId="77777777" w:rsidTr="008D0006">
        <w:tc>
          <w:tcPr>
            <w:tcW w:w="2268" w:type="dxa"/>
          </w:tcPr>
          <w:p w14:paraId="3E968F3D" w14:textId="3348845B" w:rsidR="008D0006" w:rsidRPr="009D07E3" w:rsidRDefault="008D0006" w:rsidP="00DD3D96">
            <w:pPr>
              <w:pStyle w:val="ListParagraph"/>
              <w:spacing w:after="60"/>
              <w:ind w:left="0"/>
              <w:contextualSpacing w:val="0"/>
              <w:rPr>
                <w:rFonts w:cs="Arial"/>
                <w:lang w:val="en-CA"/>
              </w:rPr>
            </w:pPr>
            <w:r w:rsidRPr="009D07E3">
              <w:rPr>
                <w:rFonts w:cs="Arial"/>
                <w:lang w:val="en-CA"/>
              </w:rPr>
              <w:t>IMF</w:t>
            </w:r>
          </w:p>
        </w:tc>
        <w:tc>
          <w:tcPr>
            <w:tcW w:w="6761" w:type="dxa"/>
          </w:tcPr>
          <w:p w14:paraId="3101ECA8" w14:textId="77777777" w:rsidR="008D0006" w:rsidRPr="009D07E3" w:rsidRDefault="008D0006" w:rsidP="008D0006">
            <w:pPr>
              <w:pStyle w:val="ListParagraph"/>
              <w:spacing w:after="60"/>
              <w:ind w:left="0"/>
              <w:contextualSpacing w:val="0"/>
              <w:rPr>
                <w:rFonts w:cs="Arial"/>
                <w:lang w:val="en-CA"/>
              </w:rPr>
            </w:pPr>
            <w:r w:rsidRPr="009D07E3">
              <w:rPr>
                <w:rFonts w:cs="Arial"/>
                <w:lang w:val="en-CA"/>
              </w:rPr>
              <w:t>International Monetary Fund</w:t>
            </w:r>
          </w:p>
        </w:tc>
      </w:tr>
      <w:tr w:rsidR="008D0006" w:rsidRPr="009D07E3" w14:paraId="7D450384" w14:textId="77777777" w:rsidTr="008D0006">
        <w:tc>
          <w:tcPr>
            <w:tcW w:w="2268" w:type="dxa"/>
          </w:tcPr>
          <w:p w14:paraId="02036058" w14:textId="77777777" w:rsidR="008D0006" w:rsidRPr="009D07E3" w:rsidRDefault="008D0006" w:rsidP="008D0006">
            <w:pPr>
              <w:pStyle w:val="ListParagraph"/>
              <w:spacing w:after="60"/>
              <w:ind w:left="0"/>
              <w:contextualSpacing w:val="0"/>
              <w:rPr>
                <w:rFonts w:cs="Arial"/>
                <w:lang w:val="en-CA"/>
              </w:rPr>
            </w:pPr>
          </w:p>
        </w:tc>
        <w:tc>
          <w:tcPr>
            <w:tcW w:w="6761" w:type="dxa"/>
          </w:tcPr>
          <w:p w14:paraId="5693C04C" w14:textId="77777777" w:rsidR="008D0006" w:rsidRPr="009D07E3" w:rsidRDefault="008D0006" w:rsidP="008D0006">
            <w:pPr>
              <w:pStyle w:val="ListParagraph"/>
              <w:spacing w:after="60"/>
              <w:ind w:left="0"/>
              <w:contextualSpacing w:val="0"/>
              <w:rPr>
                <w:rFonts w:cs="Arial"/>
                <w:lang w:val="en-CA"/>
              </w:rPr>
            </w:pPr>
          </w:p>
        </w:tc>
      </w:tr>
      <w:tr w:rsidR="008D0006" w:rsidRPr="009D07E3" w14:paraId="0A70444D" w14:textId="77777777" w:rsidTr="008D0006">
        <w:tc>
          <w:tcPr>
            <w:tcW w:w="2268" w:type="dxa"/>
          </w:tcPr>
          <w:p w14:paraId="1253C838" w14:textId="000A692F" w:rsidR="008D0006" w:rsidRPr="009D07E3" w:rsidRDefault="008D0006" w:rsidP="00DD3D96">
            <w:pPr>
              <w:pStyle w:val="ListParagraph"/>
              <w:spacing w:after="60"/>
              <w:ind w:left="0"/>
              <w:contextualSpacing w:val="0"/>
              <w:rPr>
                <w:rFonts w:cs="Arial"/>
                <w:lang w:val="en-CA"/>
              </w:rPr>
            </w:pPr>
            <w:r w:rsidRPr="009D07E3">
              <w:rPr>
                <w:rFonts w:cs="Arial"/>
                <w:lang w:val="en-CA"/>
              </w:rPr>
              <w:t>JAMKESMAS</w:t>
            </w:r>
          </w:p>
        </w:tc>
        <w:tc>
          <w:tcPr>
            <w:tcW w:w="6761" w:type="dxa"/>
          </w:tcPr>
          <w:p w14:paraId="3334C4D7" w14:textId="77777777" w:rsidR="008D0006" w:rsidRPr="009D07E3" w:rsidRDefault="008D0006" w:rsidP="008D0006">
            <w:pPr>
              <w:pStyle w:val="ListParagraph"/>
              <w:spacing w:after="60"/>
              <w:ind w:left="0"/>
              <w:contextualSpacing w:val="0"/>
              <w:rPr>
                <w:rFonts w:cs="Arial"/>
                <w:lang w:val="en-CA"/>
              </w:rPr>
            </w:pPr>
            <w:proofErr w:type="spellStart"/>
            <w:r w:rsidRPr="009D07E3">
              <w:rPr>
                <w:rFonts w:cs="Arial"/>
                <w:lang w:val="en-CA"/>
              </w:rPr>
              <w:t>Jaminan</w:t>
            </w:r>
            <w:proofErr w:type="spellEnd"/>
            <w:r w:rsidRPr="009D07E3">
              <w:rPr>
                <w:rFonts w:cs="Arial"/>
                <w:lang w:val="en-CA"/>
              </w:rPr>
              <w:t xml:space="preserve"> </w:t>
            </w:r>
            <w:proofErr w:type="spellStart"/>
            <w:r w:rsidRPr="009D07E3">
              <w:rPr>
                <w:rFonts w:cs="Arial"/>
                <w:lang w:val="en-CA"/>
              </w:rPr>
              <w:t>Kesehatan</w:t>
            </w:r>
            <w:proofErr w:type="spellEnd"/>
            <w:r w:rsidRPr="009D07E3">
              <w:rPr>
                <w:rFonts w:cs="Arial"/>
                <w:lang w:val="en-CA"/>
              </w:rPr>
              <w:t xml:space="preserve"> </w:t>
            </w:r>
            <w:proofErr w:type="spellStart"/>
            <w:r w:rsidRPr="009D07E3">
              <w:rPr>
                <w:rFonts w:cs="Arial"/>
                <w:lang w:val="en-CA"/>
              </w:rPr>
              <w:t>Masyarakat</w:t>
            </w:r>
            <w:proofErr w:type="spellEnd"/>
          </w:p>
        </w:tc>
      </w:tr>
      <w:tr w:rsidR="008D0006" w:rsidRPr="009D07E3" w14:paraId="76EAC4DD" w14:textId="77777777" w:rsidTr="008D0006">
        <w:tc>
          <w:tcPr>
            <w:tcW w:w="2268" w:type="dxa"/>
          </w:tcPr>
          <w:p w14:paraId="0FF8E96F" w14:textId="2A71E68C" w:rsidR="008D0006" w:rsidRPr="009D07E3" w:rsidRDefault="008D0006" w:rsidP="00DD3D96">
            <w:pPr>
              <w:pStyle w:val="ListParagraph"/>
              <w:spacing w:after="60"/>
              <w:ind w:left="0"/>
              <w:contextualSpacing w:val="0"/>
              <w:rPr>
                <w:rFonts w:cs="Arial"/>
                <w:lang w:val="en-CA"/>
              </w:rPr>
            </w:pPr>
            <w:r w:rsidRPr="009D07E3">
              <w:rPr>
                <w:rFonts w:cs="Arial"/>
                <w:lang w:val="en-CA"/>
              </w:rPr>
              <w:t>JKN</w:t>
            </w:r>
          </w:p>
        </w:tc>
        <w:tc>
          <w:tcPr>
            <w:tcW w:w="6761" w:type="dxa"/>
          </w:tcPr>
          <w:p w14:paraId="5B200849" w14:textId="77777777" w:rsidR="008D0006" w:rsidRPr="009D07E3" w:rsidRDefault="008D0006" w:rsidP="008D0006">
            <w:pPr>
              <w:pStyle w:val="ListParagraph"/>
              <w:spacing w:after="60"/>
              <w:ind w:left="0"/>
              <w:contextualSpacing w:val="0"/>
              <w:rPr>
                <w:rFonts w:cs="Arial"/>
                <w:lang w:val="en-CA"/>
              </w:rPr>
            </w:pPr>
            <w:proofErr w:type="spellStart"/>
            <w:r w:rsidRPr="009D07E3">
              <w:rPr>
                <w:rFonts w:cs="Arial"/>
                <w:lang w:val="en-CA"/>
              </w:rPr>
              <w:t>Jaminan</w:t>
            </w:r>
            <w:proofErr w:type="spellEnd"/>
            <w:r w:rsidRPr="009D07E3">
              <w:rPr>
                <w:rFonts w:cs="Arial"/>
                <w:lang w:val="en-CA"/>
              </w:rPr>
              <w:t xml:space="preserve"> </w:t>
            </w:r>
            <w:proofErr w:type="spellStart"/>
            <w:r w:rsidRPr="009D07E3">
              <w:rPr>
                <w:rFonts w:cs="Arial"/>
                <w:lang w:val="en-CA"/>
              </w:rPr>
              <w:t>Kesehatan</w:t>
            </w:r>
            <w:proofErr w:type="spellEnd"/>
            <w:r w:rsidRPr="009D07E3">
              <w:rPr>
                <w:rFonts w:cs="Arial"/>
                <w:lang w:val="en-CA"/>
              </w:rPr>
              <w:t xml:space="preserve"> </w:t>
            </w:r>
            <w:proofErr w:type="spellStart"/>
            <w:r w:rsidRPr="009D07E3">
              <w:rPr>
                <w:rFonts w:cs="Arial"/>
                <w:lang w:val="en-CA"/>
              </w:rPr>
              <w:t>Nasional</w:t>
            </w:r>
            <w:proofErr w:type="spellEnd"/>
          </w:p>
        </w:tc>
      </w:tr>
      <w:tr w:rsidR="008D0006" w:rsidRPr="009D07E3" w14:paraId="0492D95B" w14:textId="77777777" w:rsidTr="008D0006">
        <w:tc>
          <w:tcPr>
            <w:tcW w:w="2268" w:type="dxa"/>
          </w:tcPr>
          <w:p w14:paraId="278F4527" w14:textId="6EA664B8" w:rsidR="008D0006" w:rsidRPr="009D07E3" w:rsidRDefault="008D0006" w:rsidP="00DD3D96">
            <w:pPr>
              <w:pStyle w:val="ListParagraph"/>
              <w:spacing w:after="60"/>
              <w:ind w:left="0"/>
              <w:contextualSpacing w:val="0"/>
              <w:rPr>
                <w:rFonts w:cs="Arial"/>
                <w:lang w:val="en-CA"/>
              </w:rPr>
            </w:pPr>
            <w:r w:rsidRPr="009D07E3">
              <w:rPr>
                <w:rFonts w:cs="Arial"/>
                <w:lang w:val="en-CA"/>
              </w:rPr>
              <w:t>JPAL</w:t>
            </w:r>
          </w:p>
        </w:tc>
        <w:tc>
          <w:tcPr>
            <w:tcW w:w="6761" w:type="dxa"/>
          </w:tcPr>
          <w:p w14:paraId="3E5CAE2D" w14:textId="77777777" w:rsidR="008D0006" w:rsidRPr="009D07E3" w:rsidRDefault="008D0006" w:rsidP="008D0006">
            <w:pPr>
              <w:pStyle w:val="ListParagraph"/>
              <w:spacing w:after="60"/>
              <w:ind w:left="0"/>
              <w:contextualSpacing w:val="0"/>
              <w:rPr>
                <w:rFonts w:cs="Arial"/>
                <w:lang w:val="en-CA"/>
              </w:rPr>
            </w:pPr>
            <w:r w:rsidRPr="009D07E3">
              <w:rPr>
                <w:rFonts w:cs="Arial"/>
                <w:lang w:val="en-CA"/>
              </w:rPr>
              <w:t xml:space="preserve">The Abdul Latif </w:t>
            </w:r>
            <w:proofErr w:type="spellStart"/>
            <w:r w:rsidRPr="009D07E3">
              <w:rPr>
                <w:rFonts w:cs="Arial"/>
                <w:lang w:val="en-CA"/>
              </w:rPr>
              <w:t>Jameel</w:t>
            </w:r>
            <w:proofErr w:type="spellEnd"/>
            <w:r w:rsidRPr="009D07E3">
              <w:rPr>
                <w:rFonts w:cs="Arial"/>
                <w:lang w:val="en-CA"/>
              </w:rPr>
              <w:t xml:space="preserve"> Poverty Action Lab</w:t>
            </w:r>
          </w:p>
        </w:tc>
      </w:tr>
      <w:tr w:rsidR="008D0006" w:rsidRPr="009D07E3" w14:paraId="52C27E2C" w14:textId="77777777" w:rsidTr="008D0006">
        <w:tc>
          <w:tcPr>
            <w:tcW w:w="2268" w:type="dxa"/>
          </w:tcPr>
          <w:p w14:paraId="41E763B4" w14:textId="77777777" w:rsidR="008D0006" w:rsidRPr="009D07E3" w:rsidRDefault="008D0006" w:rsidP="008D0006">
            <w:pPr>
              <w:pStyle w:val="ListParagraph"/>
              <w:spacing w:after="60"/>
              <w:ind w:left="0"/>
              <w:contextualSpacing w:val="0"/>
              <w:rPr>
                <w:rFonts w:cs="Arial"/>
                <w:lang w:val="en-CA"/>
              </w:rPr>
            </w:pPr>
          </w:p>
        </w:tc>
        <w:tc>
          <w:tcPr>
            <w:tcW w:w="6761" w:type="dxa"/>
          </w:tcPr>
          <w:p w14:paraId="64E8D1B8" w14:textId="77777777" w:rsidR="008D0006" w:rsidRPr="009D07E3" w:rsidRDefault="008D0006" w:rsidP="008D0006">
            <w:pPr>
              <w:pStyle w:val="ListParagraph"/>
              <w:spacing w:after="60"/>
              <w:ind w:left="0"/>
              <w:contextualSpacing w:val="0"/>
              <w:rPr>
                <w:rFonts w:cs="Arial"/>
                <w:lang w:val="en-CA"/>
              </w:rPr>
            </w:pPr>
          </w:p>
        </w:tc>
      </w:tr>
      <w:tr w:rsidR="008D0006" w:rsidRPr="009D07E3" w14:paraId="3B1B70C0" w14:textId="77777777" w:rsidTr="008D0006">
        <w:tc>
          <w:tcPr>
            <w:tcW w:w="2268" w:type="dxa"/>
          </w:tcPr>
          <w:p w14:paraId="10A925D8" w14:textId="0072E8D9" w:rsidR="008D0006" w:rsidRPr="009D07E3" w:rsidRDefault="008D0006" w:rsidP="00DD3D96">
            <w:pPr>
              <w:pStyle w:val="ListParagraph"/>
              <w:spacing w:after="60"/>
              <w:ind w:left="0"/>
              <w:contextualSpacing w:val="0"/>
              <w:rPr>
                <w:rFonts w:cs="Arial"/>
                <w:lang w:val="en-CA"/>
              </w:rPr>
            </w:pPr>
            <w:r w:rsidRPr="009D07E3">
              <w:rPr>
                <w:rFonts w:cs="Arial"/>
                <w:lang w:val="en-CA"/>
              </w:rPr>
              <w:t xml:space="preserve">KAPAL </w:t>
            </w:r>
            <w:proofErr w:type="spellStart"/>
            <w:r w:rsidRPr="009D07E3">
              <w:rPr>
                <w:rFonts w:cs="Arial"/>
                <w:lang w:val="en-CA"/>
              </w:rPr>
              <w:t>Perempuan</w:t>
            </w:r>
            <w:proofErr w:type="spellEnd"/>
          </w:p>
        </w:tc>
        <w:tc>
          <w:tcPr>
            <w:tcW w:w="6761" w:type="dxa"/>
          </w:tcPr>
          <w:p w14:paraId="441D8245" w14:textId="77777777" w:rsidR="008D0006" w:rsidRPr="009D07E3" w:rsidRDefault="008D0006" w:rsidP="008D0006">
            <w:pPr>
              <w:pStyle w:val="ListParagraph"/>
              <w:spacing w:after="60"/>
              <w:ind w:left="0"/>
              <w:contextualSpacing w:val="0"/>
              <w:rPr>
                <w:rFonts w:cs="Arial"/>
                <w:lang w:val="en-CA"/>
              </w:rPr>
            </w:pPr>
            <w:proofErr w:type="spellStart"/>
            <w:r w:rsidRPr="009D07E3">
              <w:rPr>
                <w:rFonts w:cs="Arial"/>
                <w:lang w:val="en-CA"/>
              </w:rPr>
              <w:t>Lingkaran</w:t>
            </w:r>
            <w:proofErr w:type="spellEnd"/>
            <w:r w:rsidRPr="009D07E3">
              <w:rPr>
                <w:rFonts w:cs="Arial"/>
                <w:lang w:val="en-CA"/>
              </w:rPr>
              <w:t xml:space="preserve"> </w:t>
            </w:r>
            <w:proofErr w:type="spellStart"/>
            <w:r w:rsidRPr="009D07E3">
              <w:rPr>
                <w:rFonts w:cs="Arial"/>
                <w:lang w:val="en-CA"/>
              </w:rPr>
              <w:t>Pendidikan</w:t>
            </w:r>
            <w:proofErr w:type="spellEnd"/>
            <w:r w:rsidRPr="009D07E3">
              <w:rPr>
                <w:rFonts w:cs="Arial"/>
                <w:lang w:val="en-CA"/>
              </w:rPr>
              <w:t xml:space="preserve"> </w:t>
            </w:r>
            <w:proofErr w:type="spellStart"/>
            <w:r w:rsidRPr="009D07E3">
              <w:rPr>
                <w:rFonts w:cs="Arial"/>
                <w:lang w:val="en-CA"/>
              </w:rPr>
              <w:t>Alternatif</w:t>
            </w:r>
            <w:proofErr w:type="spellEnd"/>
            <w:r w:rsidRPr="009D07E3">
              <w:rPr>
                <w:rFonts w:cs="Arial"/>
                <w:lang w:val="en-CA"/>
              </w:rPr>
              <w:t xml:space="preserve"> </w:t>
            </w:r>
            <w:proofErr w:type="spellStart"/>
            <w:r w:rsidRPr="009D07E3">
              <w:rPr>
                <w:rFonts w:cs="Arial"/>
                <w:lang w:val="en-CA"/>
              </w:rPr>
              <w:t>Perempuan</w:t>
            </w:r>
            <w:proofErr w:type="spellEnd"/>
          </w:p>
        </w:tc>
      </w:tr>
      <w:tr w:rsidR="008D0006" w:rsidRPr="009D07E3" w14:paraId="67B401F2" w14:textId="77777777" w:rsidTr="008D0006">
        <w:tc>
          <w:tcPr>
            <w:tcW w:w="2268" w:type="dxa"/>
          </w:tcPr>
          <w:p w14:paraId="26C14DDE" w14:textId="535B8600" w:rsidR="008D0006" w:rsidRPr="009D07E3" w:rsidRDefault="008D0006" w:rsidP="00DD3D96">
            <w:pPr>
              <w:pStyle w:val="ListParagraph"/>
              <w:spacing w:after="60"/>
              <w:ind w:left="0"/>
              <w:contextualSpacing w:val="0"/>
              <w:rPr>
                <w:rFonts w:cs="Arial"/>
                <w:lang w:val="en-CA"/>
              </w:rPr>
            </w:pPr>
            <w:r w:rsidRPr="009D07E3">
              <w:rPr>
                <w:rFonts w:cs="Arial"/>
                <w:lang w:val="en-CA"/>
              </w:rPr>
              <w:t xml:space="preserve">KOMNAS </w:t>
            </w:r>
            <w:proofErr w:type="spellStart"/>
            <w:r w:rsidRPr="009D07E3">
              <w:rPr>
                <w:rFonts w:cs="Arial"/>
                <w:lang w:val="en-CA"/>
              </w:rPr>
              <w:t>Perempuan</w:t>
            </w:r>
            <w:proofErr w:type="spellEnd"/>
          </w:p>
        </w:tc>
        <w:tc>
          <w:tcPr>
            <w:tcW w:w="6761" w:type="dxa"/>
          </w:tcPr>
          <w:p w14:paraId="60D50880" w14:textId="77777777" w:rsidR="008D0006" w:rsidRPr="009D07E3" w:rsidRDefault="008D0006" w:rsidP="008D0006">
            <w:pPr>
              <w:pStyle w:val="ListParagraph"/>
              <w:spacing w:after="60"/>
              <w:ind w:left="0"/>
              <w:contextualSpacing w:val="0"/>
              <w:rPr>
                <w:rFonts w:cs="Arial"/>
                <w:lang w:val="en-CA"/>
              </w:rPr>
            </w:pPr>
            <w:proofErr w:type="spellStart"/>
            <w:r w:rsidRPr="009D07E3">
              <w:rPr>
                <w:rFonts w:cs="Arial"/>
                <w:lang w:val="en-CA"/>
              </w:rPr>
              <w:t>Komisi</w:t>
            </w:r>
            <w:proofErr w:type="spellEnd"/>
            <w:r w:rsidRPr="009D07E3">
              <w:rPr>
                <w:rFonts w:cs="Arial"/>
                <w:lang w:val="en-CA"/>
              </w:rPr>
              <w:t xml:space="preserve"> </w:t>
            </w:r>
            <w:proofErr w:type="spellStart"/>
            <w:r w:rsidRPr="009D07E3">
              <w:rPr>
                <w:rFonts w:cs="Arial"/>
                <w:lang w:val="en-CA"/>
              </w:rPr>
              <w:t>Nasional</w:t>
            </w:r>
            <w:proofErr w:type="spellEnd"/>
            <w:r w:rsidRPr="009D07E3">
              <w:rPr>
                <w:rFonts w:cs="Arial"/>
                <w:lang w:val="en-CA"/>
              </w:rPr>
              <w:t xml:space="preserve"> </w:t>
            </w:r>
            <w:proofErr w:type="spellStart"/>
            <w:r w:rsidRPr="009D07E3">
              <w:rPr>
                <w:rFonts w:cs="Arial"/>
                <w:lang w:val="en-CA"/>
              </w:rPr>
              <w:t>Perempuan</w:t>
            </w:r>
            <w:proofErr w:type="spellEnd"/>
          </w:p>
        </w:tc>
      </w:tr>
      <w:tr w:rsidR="008D0006" w:rsidRPr="009D07E3" w14:paraId="233784F4" w14:textId="77777777" w:rsidTr="008D0006">
        <w:tc>
          <w:tcPr>
            <w:tcW w:w="2268" w:type="dxa"/>
          </w:tcPr>
          <w:p w14:paraId="7FBB8CE2" w14:textId="79309E8A" w:rsidR="008D0006" w:rsidRPr="009D07E3" w:rsidRDefault="008D0006" w:rsidP="00DD3D96">
            <w:pPr>
              <w:pStyle w:val="ListParagraph"/>
              <w:spacing w:after="60"/>
              <w:ind w:left="0"/>
              <w:contextualSpacing w:val="0"/>
              <w:rPr>
                <w:rFonts w:cs="Arial"/>
                <w:lang w:val="en-CA"/>
              </w:rPr>
            </w:pPr>
            <w:r w:rsidRPr="009D07E3">
              <w:rPr>
                <w:rFonts w:cs="Arial"/>
                <w:lang w:val="en-CA"/>
              </w:rPr>
              <w:t>KOMPAK</w:t>
            </w:r>
          </w:p>
        </w:tc>
        <w:tc>
          <w:tcPr>
            <w:tcW w:w="6761" w:type="dxa"/>
          </w:tcPr>
          <w:p w14:paraId="5918B07D" w14:textId="77777777" w:rsidR="008D0006" w:rsidRPr="009D07E3" w:rsidRDefault="008D0006" w:rsidP="008D0006">
            <w:pPr>
              <w:pStyle w:val="ListParagraph"/>
              <w:spacing w:after="60"/>
              <w:ind w:left="0"/>
              <w:contextualSpacing w:val="0"/>
              <w:rPr>
                <w:rFonts w:cs="Arial"/>
                <w:lang w:val="en-CA"/>
              </w:rPr>
            </w:pPr>
            <w:proofErr w:type="spellStart"/>
            <w:r w:rsidRPr="009D07E3">
              <w:rPr>
                <w:rFonts w:cs="Arial"/>
                <w:lang w:val="en-CA"/>
              </w:rPr>
              <w:t>Kolaborasi</w:t>
            </w:r>
            <w:proofErr w:type="spellEnd"/>
            <w:r w:rsidRPr="009D07E3">
              <w:rPr>
                <w:rFonts w:cs="Arial"/>
                <w:lang w:val="en-CA"/>
              </w:rPr>
              <w:t xml:space="preserve"> </w:t>
            </w:r>
            <w:proofErr w:type="spellStart"/>
            <w:r w:rsidRPr="009D07E3">
              <w:rPr>
                <w:rFonts w:cs="Arial"/>
                <w:lang w:val="en-CA"/>
              </w:rPr>
              <w:t>Masyarakat</w:t>
            </w:r>
            <w:proofErr w:type="spellEnd"/>
            <w:r w:rsidRPr="009D07E3">
              <w:rPr>
                <w:rFonts w:cs="Arial"/>
                <w:lang w:val="en-CA"/>
              </w:rPr>
              <w:t xml:space="preserve"> </w:t>
            </w:r>
            <w:proofErr w:type="spellStart"/>
            <w:r w:rsidRPr="009D07E3">
              <w:rPr>
                <w:rFonts w:cs="Arial"/>
                <w:lang w:val="en-CA"/>
              </w:rPr>
              <w:t>dan</w:t>
            </w:r>
            <w:proofErr w:type="spellEnd"/>
            <w:r w:rsidRPr="009D07E3">
              <w:rPr>
                <w:rFonts w:cs="Arial"/>
                <w:lang w:val="en-CA"/>
              </w:rPr>
              <w:t xml:space="preserve"> </w:t>
            </w:r>
            <w:proofErr w:type="spellStart"/>
            <w:r w:rsidRPr="009D07E3">
              <w:rPr>
                <w:rFonts w:cs="Arial"/>
                <w:lang w:val="en-CA"/>
              </w:rPr>
              <w:t>Pelayanan</w:t>
            </w:r>
            <w:proofErr w:type="spellEnd"/>
            <w:r w:rsidRPr="009D07E3">
              <w:rPr>
                <w:rFonts w:cs="Arial"/>
                <w:lang w:val="en-CA"/>
              </w:rPr>
              <w:t xml:space="preserve"> </w:t>
            </w:r>
            <w:proofErr w:type="spellStart"/>
            <w:r w:rsidRPr="009D07E3">
              <w:rPr>
                <w:rFonts w:cs="Arial"/>
                <w:lang w:val="en-CA"/>
              </w:rPr>
              <w:t>untuk</w:t>
            </w:r>
            <w:proofErr w:type="spellEnd"/>
            <w:r w:rsidRPr="009D07E3">
              <w:rPr>
                <w:rFonts w:cs="Arial"/>
                <w:lang w:val="en-CA"/>
              </w:rPr>
              <w:t xml:space="preserve"> </w:t>
            </w:r>
            <w:proofErr w:type="spellStart"/>
            <w:r w:rsidRPr="009D07E3">
              <w:rPr>
                <w:rFonts w:cs="Arial"/>
                <w:lang w:val="en-CA"/>
              </w:rPr>
              <w:t>Kesejahteraan</w:t>
            </w:r>
            <w:proofErr w:type="spellEnd"/>
          </w:p>
        </w:tc>
      </w:tr>
      <w:tr w:rsidR="008D0006" w:rsidRPr="009D07E3" w14:paraId="2CEB950A" w14:textId="77777777" w:rsidTr="008D0006">
        <w:tc>
          <w:tcPr>
            <w:tcW w:w="2268" w:type="dxa"/>
          </w:tcPr>
          <w:p w14:paraId="23F43A71" w14:textId="593F190E" w:rsidR="008D0006" w:rsidRPr="009D07E3" w:rsidRDefault="008D0006" w:rsidP="00DD3D96">
            <w:pPr>
              <w:pStyle w:val="ListParagraph"/>
              <w:spacing w:after="60"/>
              <w:ind w:left="0"/>
              <w:contextualSpacing w:val="0"/>
              <w:rPr>
                <w:rFonts w:cs="Arial"/>
                <w:lang w:val="en-CA"/>
              </w:rPr>
            </w:pPr>
            <w:r w:rsidRPr="009D07E3">
              <w:rPr>
                <w:rFonts w:cs="Arial"/>
                <w:lang w:val="en-CA"/>
              </w:rPr>
              <w:t>KPI</w:t>
            </w:r>
          </w:p>
        </w:tc>
        <w:tc>
          <w:tcPr>
            <w:tcW w:w="6761" w:type="dxa"/>
          </w:tcPr>
          <w:p w14:paraId="6B72C48F" w14:textId="77777777" w:rsidR="008D0006" w:rsidRPr="009D07E3" w:rsidRDefault="008D0006" w:rsidP="008D0006">
            <w:pPr>
              <w:pStyle w:val="ListParagraph"/>
              <w:spacing w:after="60"/>
              <w:ind w:left="0"/>
              <w:contextualSpacing w:val="0"/>
              <w:rPr>
                <w:rFonts w:cs="Arial"/>
                <w:lang w:val="en-CA"/>
              </w:rPr>
            </w:pPr>
            <w:proofErr w:type="spellStart"/>
            <w:r w:rsidRPr="009D07E3">
              <w:rPr>
                <w:rFonts w:cs="Arial"/>
                <w:lang w:val="en-CA"/>
              </w:rPr>
              <w:t>Koalisi</w:t>
            </w:r>
            <w:proofErr w:type="spellEnd"/>
            <w:r w:rsidRPr="009D07E3">
              <w:rPr>
                <w:rFonts w:cs="Arial"/>
                <w:lang w:val="en-CA"/>
              </w:rPr>
              <w:t xml:space="preserve"> </w:t>
            </w:r>
            <w:proofErr w:type="spellStart"/>
            <w:r w:rsidRPr="009D07E3">
              <w:rPr>
                <w:rFonts w:cs="Arial"/>
                <w:lang w:val="en-CA"/>
              </w:rPr>
              <w:t>Perempuan</w:t>
            </w:r>
            <w:proofErr w:type="spellEnd"/>
            <w:r w:rsidRPr="009D07E3">
              <w:rPr>
                <w:rFonts w:cs="Arial"/>
                <w:lang w:val="en-CA"/>
              </w:rPr>
              <w:t xml:space="preserve"> Indonesia</w:t>
            </w:r>
          </w:p>
        </w:tc>
      </w:tr>
      <w:tr w:rsidR="008D0006" w:rsidRPr="009D07E3" w14:paraId="06700AE2" w14:textId="77777777" w:rsidTr="008D0006">
        <w:tc>
          <w:tcPr>
            <w:tcW w:w="2268" w:type="dxa"/>
          </w:tcPr>
          <w:p w14:paraId="64C17A78" w14:textId="64B110C4" w:rsidR="008D0006" w:rsidRPr="009D07E3" w:rsidRDefault="008D0006" w:rsidP="00DD3D96">
            <w:pPr>
              <w:pStyle w:val="ListParagraph"/>
              <w:spacing w:after="60"/>
              <w:ind w:left="0"/>
              <w:contextualSpacing w:val="0"/>
              <w:rPr>
                <w:rFonts w:cs="Arial"/>
                <w:lang w:val="en-CA"/>
              </w:rPr>
            </w:pPr>
            <w:r w:rsidRPr="009D07E3">
              <w:rPr>
                <w:rFonts w:cs="Arial"/>
                <w:lang w:val="en-CA"/>
              </w:rPr>
              <w:t>KSI</w:t>
            </w:r>
          </w:p>
        </w:tc>
        <w:tc>
          <w:tcPr>
            <w:tcW w:w="6761" w:type="dxa"/>
          </w:tcPr>
          <w:p w14:paraId="6D8445A0" w14:textId="77777777" w:rsidR="008D0006" w:rsidRPr="009D07E3" w:rsidRDefault="008D0006" w:rsidP="008D0006">
            <w:pPr>
              <w:pStyle w:val="ListParagraph"/>
              <w:spacing w:after="60"/>
              <w:ind w:left="0"/>
              <w:contextualSpacing w:val="0"/>
              <w:rPr>
                <w:rFonts w:cs="Arial"/>
                <w:lang w:val="en-CA"/>
              </w:rPr>
            </w:pPr>
            <w:r w:rsidRPr="009D07E3">
              <w:rPr>
                <w:rFonts w:cs="Arial"/>
                <w:lang w:val="en-CA"/>
              </w:rPr>
              <w:t>Knowledge Sector Indonesia</w:t>
            </w:r>
          </w:p>
        </w:tc>
      </w:tr>
      <w:tr w:rsidR="008D0006" w:rsidRPr="009D07E3" w14:paraId="53A0C774" w14:textId="77777777" w:rsidTr="008D0006">
        <w:tc>
          <w:tcPr>
            <w:tcW w:w="2268" w:type="dxa"/>
          </w:tcPr>
          <w:p w14:paraId="2F7346C4" w14:textId="77777777" w:rsidR="008D0006" w:rsidRPr="009D07E3" w:rsidRDefault="008D0006" w:rsidP="008D0006">
            <w:pPr>
              <w:pStyle w:val="ListParagraph"/>
              <w:spacing w:after="60"/>
              <w:ind w:left="0"/>
              <w:contextualSpacing w:val="0"/>
              <w:rPr>
                <w:rFonts w:cs="Arial"/>
                <w:lang w:val="en-CA"/>
              </w:rPr>
            </w:pPr>
          </w:p>
        </w:tc>
        <w:tc>
          <w:tcPr>
            <w:tcW w:w="6761" w:type="dxa"/>
          </w:tcPr>
          <w:p w14:paraId="746EA444" w14:textId="77777777" w:rsidR="008D0006" w:rsidRPr="009D07E3" w:rsidRDefault="008D0006" w:rsidP="008D0006">
            <w:pPr>
              <w:pStyle w:val="ListParagraph"/>
              <w:spacing w:after="60"/>
              <w:ind w:left="0"/>
              <w:contextualSpacing w:val="0"/>
              <w:rPr>
                <w:rFonts w:cs="Arial"/>
                <w:lang w:val="en-CA"/>
              </w:rPr>
            </w:pPr>
          </w:p>
        </w:tc>
      </w:tr>
      <w:tr w:rsidR="008D0006" w:rsidRPr="009D07E3" w14:paraId="1FEF9CEB" w14:textId="77777777" w:rsidTr="008D0006">
        <w:tc>
          <w:tcPr>
            <w:tcW w:w="2268" w:type="dxa"/>
          </w:tcPr>
          <w:p w14:paraId="135E280B" w14:textId="77DD1182" w:rsidR="008D0006" w:rsidRPr="009D07E3" w:rsidRDefault="008D0006" w:rsidP="00DD3D96">
            <w:pPr>
              <w:pStyle w:val="ListParagraph"/>
              <w:spacing w:after="60"/>
              <w:ind w:left="0"/>
              <w:contextualSpacing w:val="0"/>
              <w:rPr>
                <w:rFonts w:cs="Arial"/>
                <w:lang w:val="en-CA"/>
              </w:rPr>
            </w:pPr>
            <w:r w:rsidRPr="009D07E3">
              <w:rPr>
                <w:rFonts w:cs="Arial"/>
                <w:lang w:val="en-CA"/>
              </w:rPr>
              <w:t>MAMPU</w:t>
            </w:r>
          </w:p>
        </w:tc>
        <w:tc>
          <w:tcPr>
            <w:tcW w:w="6761" w:type="dxa"/>
          </w:tcPr>
          <w:p w14:paraId="1E32DA5B" w14:textId="77777777" w:rsidR="008D0006" w:rsidRPr="009D07E3" w:rsidRDefault="008D0006" w:rsidP="008D0006">
            <w:pPr>
              <w:pStyle w:val="ListParagraph"/>
              <w:spacing w:after="60"/>
              <w:ind w:left="0"/>
              <w:contextualSpacing w:val="0"/>
              <w:rPr>
                <w:rFonts w:cs="Arial"/>
                <w:lang w:val="en-CA"/>
              </w:rPr>
            </w:pPr>
            <w:proofErr w:type="spellStart"/>
            <w:r w:rsidRPr="009D07E3">
              <w:rPr>
                <w:rFonts w:cs="Arial"/>
                <w:lang w:val="en-CA"/>
              </w:rPr>
              <w:t>Maju</w:t>
            </w:r>
            <w:proofErr w:type="spellEnd"/>
            <w:r w:rsidRPr="009D07E3">
              <w:rPr>
                <w:rFonts w:cs="Arial"/>
                <w:lang w:val="en-CA"/>
              </w:rPr>
              <w:t xml:space="preserve"> </w:t>
            </w:r>
            <w:proofErr w:type="spellStart"/>
            <w:r w:rsidRPr="009D07E3">
              <w:rPr>
                <w:rFonts w:cs="Arial"/>
                <w:lang w:val="en-CA"/>
              </w:rPr>
              <w:t>Perempuan</w:t>
            </w:r>
            <w:proofErr w:type="spellEnd"/>
            <w:r w:rsidRPr="009D07E3">
              <w:rPr>
                <w:rFonts w:cs="Arial"/>
                <w:lang w:val="en-CA"/>
              </w:rPr>
              <w:t xml:space="preserve"> Indonesia </w:t>
            </w:r>
            <w:proofErr w:type="spellStart"/>
            <w:r w:rsidRPr="009D07E3">
              <w:rPr>
                <w:rFonts w:cs="Arial"/>
                <w:lang w:val="en-CA"/>
              </w:rPr>
              <w:t>untuk</w:t>
            </w:r>
            <w:proofErr w:type="spellEnd"/>
            <w:r w:rsidRPr="009D07E3">
              <w:rPr>
                <w:rFonts w:cs="Arial"/>
                <w:lang w:val="en-CA"/>
              </w:rPr>
              <w:t xml:space="preserve"> </w:t>
            </w:r>
            <w:proofErr w:type="spellStart"/>
            <w:r w:rsidRPr="009D07E3">
              <w:rPr>
                <w:rFonts w:cs="Arial"/>
                <w:lang w:val="en-CA"/>
              </w:rPr>
              <w:t>Penanggulangan</w:t>
            </w:r>
            <w:proofErr w:type="spellEnd"/>
            <w:r w:rsidRPr="009D07E3">
              <w:rPr>
                <w:rFonts w:cs="Arial"/>
                <w:lang w:val="en-CA"/>
              </w:rPr>
              <w:t xml:space="preserve"> </w:t>
            </w:r>
            <w:proofErr w:type="spellStart"/>
            <w:r w:rsidRPr="009D07E3">
              <w:rPr>
                <w:rFonts w:cs="Arial"/>
                <w:lang w:val="en-CA"/>
              </w:rPr>
              <w:t>Kemiskinan</w:t>
            </w:r>
            <w:proofErr w:type="spellEnd"/>
          </w:p>
        </w:tc>
      </w:tr>
      <w:tr w:rsidR="008D0006" w:rsidRPr="009D07E3" w14:paraId="0E86256F" w14:textId="77777777" w:rsidTr="008D0006">
        <w:tc>
          <w:tcPr>
            <w:tcW w:w="2268" w:type="dxa"/>
          </w:tcPr>
          <w:p w14:paraId="46639E44" w14:textId="76F58E0D" w:rsidR="008D0006" w:rsidRPr="009D07E3" w:rsidRDefault="008D0006" w:rsidP="00DD3D96">
            <w:pPr>
              <w:pStyle w:val="ListParagraph"/>
              <w:spacing w:after="60"/>
              <w:ind w:left="0"/>
              <w:contextualSpacing w:val="0"/>
              <w:rPr>
                <w:rFonts w:cs="Arial"/>
                <w:lang w:val="en-CA"/>
              </w:rPr>
            </w:pPr>
            <w:r w:rsidRPr="009D07E3">
              <w:rPr>
                <w:rFonts w:cs="Arial"/>
                <w:lang w:val="en-CA"/>
              </w:rPr>
              <w:t>MC</w:t>
            </w:r>
          </w:p>
        </w:tc>
        <w:tc>
          <w:tcPr>
            <w:tcW w:w="6761" w:type="dxa"/>
          </w:tcPr>
          <w:p w14:paraId="76BB67B3" w14:textId="77777777" w:rsidR="008D0006" w:rsidRPr="009D07E3" w:rsidRDefault="008D0006" w:rsidP="008D0006">
            <w:pPr>
              <w:pStyle w:val="ListParagraph"/>
              <w:spacing w:after="60"/>
              <w:ind w:left="0"/>
              <w:contextualSpacing w:val="0"/>
              <w:rPr>
                <w:rFonts w:cs="Arial"/>
                <w:lang w:val="en-CA"/>
              </w:rPr>
            </w:pPr>
            <w:r w:rsidRPr="009D07E3">
              <w:rPr>
                <w:rFonts w:cs="Arial"/>
                <w:lang w:val="en-CA"/>
              </w:rPr>
              <w:t>Managing Contractor</w:t>
            </w:r>
          </w:p>
        </w:tc>
      </w:tr>
      <w:tr w:rsidR="008D0006" w:rsidRPr="009D07E3" w14:paraId="4A5FD7A3" w14:textId="77777777" w:rsidTr="008D0006">
        <w:tc>
          <w:tcPr>
            <w:tcW w:w="2268" w:type="dxa"/>
          </w:tcPr>
          <w:p w14:paraId="4B56B9E9" w14:textId="4557833B" w:rsidR="008D0006" w:rsidRPr="009D07E3" w:rsidRDefault="008D0006" w:rsidP="00DD3D96">
            <w:pPr>
              <w:pStyle w:val="ListParagraph"/>
              <w:spacing w:after="60"/>
              <w:ind w:left="0"/>
              <w:contextualSpacing w:val="0"/>
              <w:rPr>
                <w:rFonts w:cs="Arial"/>
                <w:lang w:val="en-CA"/>
              </w:rPr>
            </w:pPr>
            <w:r w:rsidRPr="009D07E3">
              <w:rPr>
                <w:rFonts w:cs="Arial"/>
                <w:lang w:val="en-CA"/>
              </w:rPr>
              <w:t>MDG</w:t>
            </w:r>
          </w:p>
        </w:tc>
        <w:tc>
          <w:tcPr>
            <w:tcW w:w="6761" w:type="dxa"/>
          </w:tcPr>
          <w:p w14:paraId="59270E63" w14:textId="77777777" w:rsidR="008D0006" w:rsidRPr="009D07E3" w:rsidRDefault="008D0006" w:rsidP="008D0006">
            <w:pPr>
              <w:pStyle w:val="ListParagraph"/>
              <w:spacing w:after="60"/>
              <w:ind w:left="0"/>
              <w:contextualSpacing w:val="0"/>
              <w:rPr>
                <w:rFonts w:cs="Arial"/>
                <w:lang w:val="en-CA"/>
              </w:rPr>
            </w:pPr>
            <w:r w:rsidRPr="009D07E3">
              <w:rPr>
                <w:rFonts w:cs="Arial"/>
                <w:lang w:val="en-CA"/>
              </w:rPr>
              <w:t>Millennium Development Goal</w:t>
            </w:r>
          </w:p>
        </w:tc>
      </w:tr>
      <w:tr w:rsidR="008D0006" w:rsidRPr="009D07E3" w14:paraId="5E5198E1" w14:textId="77777777" w:rsidTr="008D0006">
        <w:tc>
          <w:tcPr>
            <w:tcW w:w="2268" w:type="dxa"/>
          </w:tcPr>
          <w:p w14:paraId="59E062BA" w14:textId="495247AC" w:rsidR="008D0006" w:rsidRPr="009D07E3" w:rsidRDefault="008D0006" w:rsidP="00DD3D96">
            <w:pPr>
              <w:pStyle w:val="ListParagraph"/>
              <w:spacing w:after="60"/>
              <w:ind w:left="0"/>
              <w:contextualSpacing w:val="0"/>
              <w:rPr>
                <w:rFonts w:cs="Arial"/>
                <w:lang w:val="en-CA"/>
              </w:rPr>
            </w:pPr>
            <w:r w:rsidRPr="009D07E3">
              <w:rPr>
                <w:rFonts w:cs="Arial"/>
                <w:lang w:val="en-CA"/>
              </w:rPr>
              <w:t>M&amp;E</w:t>
            </w:r>
          </w:p>
        </w:tc>
        <w:tc>
          <w:tcPr>
            <w:tcW w:w="6761" w:type="dxa"/>
          </w:tcPr>
          <w:p w14:paraId="10386399" w14:textId="77777777" w:rsidR="008D0006" w:rsidRPr="009D07E3" w:rsidRDefault="008D0006" w:rsidP="008D0006">
            <w:pPr>
              <w:pStyle w:val="ListParagraph"/>
              <w:spacing w:after="60"/>
              <w:ind w:left="0"/>
              <w:contextualSpacing w:val="0"/>
              <w:rPr>
                <w:rFonts w:cs="Arial"/>
                <w:lang w:val="en-CA"/>
              </w:rPr>
            </w:pPr>
            <w:r w:rsidRPr="009D07E3">
              <w:rPr>
                <w:rFonts w:cs="Arial"/>
                <w:lang w:val="en-CA"/>
              </w:rPr>
              <w:t>Monitoring and Evaluation</w:t>
            </w:r>
          </w:p>
        </w:tc>
      </w:tr>
      <w:tr w:rsidR="008D0006" w:rsidRPr="009D07E3" w14:paraId="19355E20" w14:textId="77777777" w:rsidTr="008D0006">
        <w:tc>
          <w:tcPr>
            <w:tcW w:w="2268" w:type="dxa"/>
          </w:tcPr>
          <w:p w14:paraId="7B62E7B2" w14:textId="74947822" w:rsidR="008D0006" w:rsidRPr="009D07E3" w:rsidRDefault="008D0006" w:rsidP="00DD3D96">
            <w:pPr>
              <w:pStyle w:val="ListParagraph"/>
              <w:spacing w:after="60"/>
              <w:ind w:left="0"/>
              <w:contextualSpacing w:val="0"/>
              <w:rPr>
                <w:rFonts w:cs="Arial"/>
                <w:lang w:val="en-CA"/>
              </w:rPr>
            </w:pPr>
            <w:r w:rsidRPr="009D07E3">
              <w:rPr>
                <w:rFonts w:cs="Arial"/>
                <w:lang w:val="en-CA"/>
              </w:rPr>
              <w:t>MK</w:t>
            </w:r>
          </w:p>
        </w:tc>
        <w:tc>
          <w:tcPr>
            <w:tcW w:w="6761" w:type="dxa"/>
          </w:tcPr>
          <w:p w14:paraId="1C5F9073" w14:textId="77777777" w:rsidR="008D0006" w:rsidRPr="009D07E3" w:rsidRDefault="008D0006" w:rsidP="008D0006">
            <w:pPr>
              <w:pStyle w:val="ListParagraph"/>
              <w:spacing w:after="60"/>
              <w:ind w:left="0"/>
              <w:contextualSpacing w:val="0"/>
              <w:rPr>
                <w:rFonts w:cs="Arial"/>
                <w:lang w:val="en-CA"/>
              </w:rPr>
            </w:pPr>
            <w:proofErr w:type="spellStart"/>
            <w:r w:rsidRPr="009D07E3">
              <w:rPr>
                <w:rFonts w:cs="Arial"/>
                <w:lang w:val="en-CA"/>
              </w:rPr>
              <w:t>Mahkamah</w:t>
            </w:r>
            <w:proofErr w:type="spellEnd"/>
            <w:r w:rsidRPr="009D07E3">
              <w:rPr>
                <w:rFonts w:cs="Arial"/>
                <w:lang w:val="en-CA"/>
              </w:rPr>
              <w:t xml:space="preserve"> </w:t>
            </w:r>
            <w:proofErr w:type="spellStart"/>
            <w:r w:rsidRPr="009D07E3">
              <w:rPr>
                <w:rFonts w:cs="Arial"/>
                <w:lang w:val="en-CA"/>
              </w:rPr>
              <w:t>Konstitusi</w:t>
            </w:r>
            <w:proofErr w:type="spellEnd"/>
            <w:r w:rsidRPr="009D07E3">
              <w:rPr>
                <w:rFonts w:cs="Arial"/>
                <w:lang w:val="en-CA"/>
              </w:rPr>
              <w:t xml:space="preserve"> </w:t>
            </w:r>
          </w:p>
        </w:tc>
      </w:tr>
      <w:tr w:rsidR="008D0006" w:rsidRPr="009D07E3" w14:paraId="6B065368" w14:textId="77777777" w:rsidTr="008D0006">
        <w:tc>
          <w:tcPr>
            <w:tcW w:w="2268" w:type="dxa"/>
          </w:tcPr>
          <w:p w14:paraId="2F68BD01" w14:textId="7ED1AAB5" w:rsidR="008D0006" w:rsidRPr="009D07E3" w:rsidRDefault="008D0006" w:rsidP="00DD3D96">
            <w:pPr>
              <w:pStyle w:val="ListParagraph"/>
              <w:spacing w:after="60"/>
              <w:ind w:left="0"/>
              <w:contextualSpacing w:val="0"/>
              <w:rPr>
                <w:rFonts w:cs="Arial"/>
                <w:lang w:val="en-CA"/>
              </w:rPr>
            </w:pPr>
            <w:r w:rsidRPr="009D07E3">
              <w:rPr>
                <w:rFonts w:cs="Arial"/>
                <w:lang w:val="en-CA"/>
              </w:rPr>
              <w:t>MMR</w:t>
            </w:r>
          </w:p>
        </w:tc>
        <w:tc>
          <w:tcPr>
            <w:tcW w:w="6761" w:type="dxa"/>
          </w:tcPr>
          <w:p w14:paraId="60279EDC" w14:textId="77777777" w:rsidR="008D0006" w:rsidRPr="009D07E3" w:rsidRDefault="008D0006" w:rsidP="008D0006">
            <w:pPr>
              <w:pStyle w:val="ListParagraph"/>
              <w:spacing w:after="60"/>
              <w:ind w:left="0"/>
              <w:contextualSpacing w:val="0"/>
              <w:rPr>
                <w:rFonts w:cs="Arial"/>
                <w:lang w:val="en-CA"/>
              </w:rPr>
            </w:pPr>
            <w:r w:rsidRPr="009D07E3">
              <w:rPr>
                <w:rFonts w:cs="Arial"/>
                <w:lang w:val="en-CA"/>
              </w:rPr>
              <w:t>Maternal Mortality Ratio</w:t>
            </w:r>
          </w:p>
        </w:tc>
      </w:tr>
      <w:tr w:rsidR="008D0006" w:rsidRPr="009D07E3" w14:paraId="2398252D" w14:textId="77777777" w:rsidTr="008D0006">
        <w:tc>
          <w:tcPr>
            <w:tcW w:w="2268" w:type="dxa"/>
          </w:tcPr>
          <w:p w14:paraId="6CBAB5CA" w14:textId="4C8ED36B" w:rsidR="008D0006" w:rsidRPr="009D07E3" w:rsidRDefault="008D0006" w:rsidP="00DD3D96">
            <w:pPr>
              <w:pStyle w:val="ListParagraph"/>
              <w:spacing w:after="60"/>
              <w:ind w:left="0"/>
              <w:contextualSpacing w:val="0"/>
              <w:rPr>
                <w:rFonts w:cs="Arial"/>
                <w:lang w:val="en-CA"/>
              </w:rPr>
            </w:pPr>
            <w:r w:rsidRPr="009D07E3">
              <w:rPr>
                <w:rFonts w:cs="Arial"/>
                <w:lang w:val="en-CA"/>
              </w:rPr>
              <w:t>MUI</w:t>
            </w:r>
          </w:p>
        </w:tc>
        <w:tc>
          <w:tcPr>
            <w:tcW w:w="6761" w:type="dxa"/>
          </w:tcPr>
          <w:p w14:paraId="51DCEDB5" w14:textId="77777777" w:rsidR="008D0006" w:rsidRPr="009D07E3" w:rsidRDefault="008D0006" w:rsidP="008D0006">
            <w:pPr>
              <w:pStyle w:val="ListParagraph"/>
              <w:spacing w:after="60"/>
              <w:ind w:left="0"/>
              <w:contextualSpacing w:val="0"/>
              <w:rPr>
                <w:rFonts w:cs="Arial"/>
                <w:lang w:val="en-CA"/>
              </w:rPr>
            </w:pPr>
            <w:proofErr w:type="spellStart"/>
            <w:r w:rsidRPr="009D07E3">
              <w:rPr>
                <w:rFonts w:cs="Arial"/>
                <w:lang w:val="en-CA"/>
              </w:rPr>
              <w:t>Majelis</w:t>
            </w:r>
            <w:proofErr w:type="spellEnd"/>
            <w:r w:rsidRPr="009D07E3">
              <w:rPr>
                <w:rFonts w:cs="Arial"/>
                <w:lang w:val="en-CA"/>
              </w:rPr>
              <w:t xml:space="preserve"> </w:t>
            </w:r>
            <w:proofErr w:type="spellStart"/>
            <w:r w:rsidRPr="009D07E3">
              <w:rPr>
                <w:rFonts w:cs="Arial"/>
                <w:lang w:val="en-CA"/>
              </w:rPr>
              <w:t>Ulama</w:t>
            </w:r>
            <w:proofErr w:type="spellEnd"/>
            <w:r w:rsidRPr="009D07E3">
              <w:rPr>
                <w:rFonts w:cs="Arial"/>
                <w:lang w:val="en-CA"/>
              </w:rPr>
              <w:t xml:space="preserve"> Indonesia</w:t>
            </w:r>
          </w:p>
        </w:tc>
      </w:tr>
      <w:tr w:rsidR="008D0006" w:rsidRPr="009D07E3" w14:paraId="3BB259F9" w14:textId="77777777" w:rsidTr="008D0006">
        <w:tc>
          <w:tcPr>
            <w:tcW w:w="2268" w:type="dxa"/>
          </w:tcPr>
          <w:p w14:paraId="1BC764EB" w14:textId="77777777" w:rsidR="008D0006" w:rsidRPr="009D07E3" w:rsidRDefault="008D0006" w:rsidP="008D0006">
            <w:pPr>
              <w:pStyle w:val="ListParagraph"/>
              <w:spacing w:after="60"/>
              <w:ind w:left="0"/>
              <w:contextualSpacing w:val="0"/>
              <w:rPr>
                <w:rFonts w:cs="Arial"/>
                <w:lang w:val="en-CA"/>
              </w:rPr>
            </w:pPr>
          </w:p>
        </w:tc>
        <w:tc>
          <w:tcPr>
            <w:tcW w:w="6761" w:type="dxa"/>
          </w:tcPr>
          <w:p w14:paraId="4B7752DA" w14:textId="77777777" w:rsidR="008D0006" w:rsidRPr="009D07E3" w:rsidRDefault="008D0006" w:rsidP="008D0006">
            <w:pPr>
              <w:pStyle w:val="ListParagraph"/>
              <w:spacing w:after="60"/>
              <w:ind w:left="0"/>
              <w:contextualSpacing w:val="0"/>
              <w:rPr>
                <w:rFonts w:cs="Arial"/>
                <w:lang w:val="en-CA"/>
              </w:rPr>
            </w:pPr>
          </w:p>
        </w:tc>
      </w:tr>
      <w:tr w:rsidR="008D0006" w:rsidRPr="009D07E3" w14:paraId="7BE20ADA" w14:textId="77777777" w:rsidTr="008D0006">
        <w:tc>
          <w:tcPr>
            <w:tcW w:w="2268" w:type="dxa"/>
          </w:tcPr>
          <w:p w14:paraId="1ED702D2" w14:textId="1E519ED8" w:rsidR="008D0006" w:rsidRPr="009D07E3" w:rsidRDefault="008D0006" w:rsidP="00DD3D96">
            <w:pPr>
              <w:pStyle w:val="ListParagraph"/>
              <w:spacing w:after="60"/>
              <w:ind w:left="0"/>
              <w:contextualSpacing w:val="0"/>
              <w:rPr>
                <w:rFonts w:cs="Arial"/>
                <w:lang w:val="en-CA"/>
              </w:rPr>
            </w:pPr>
            <w:r w:rsidRPr="009D07E3">
              <w:rPr>
                <w:rFonts w:cs="Arial"/>
                <w:lang w:val="en-CA"/>
              </w:rPr>
              <w:t>NGO</w:t>
            </w:r>
          </w:p>
        </w:tc>
        <w:tc>
          <w:tcPr>
            <w:tcW w:w="6761" w:type="dxa"/>
          </w:tcPr>
          <w:p w14:paraId="3993F31A" w14:textId="77777777" w:rsidR="008D0006" w:rsidRPr="009D07E3" w:rsidRDefault="008D0006" w:rsidP="008D0006">
            <w:pPr>
              <w:pStyle w:val="ListParagraph"/>
              <w:spacing w:after="60"/>
              <w:ind w:left="0"/>
              <w:contextualSpacing w:val="0"/>
              <w:rPr>
                <w:rFonts w:cs="Arial"/>
                <w:lang w:val="en-CA"/>
              </w:rPr>
            </w:pPr>
            <w:r w:rsidRPr="009D07E3">
              <w:rPr>
                <w:rFonts w:cs="Arial"/>
                <w:lang w:val="en-CA"/>
              </w:rPr>
              <w:t>Non-Government Organization</w:t>
            </w:r>
          </w:p>
        </w:tc>
      </w:tr>
      <w:tr w:rsidR="008D0006" w:rsidRPr="009D07E3" w14:paraId="39DD5F44" w14:textId="77777777" w:rsidTr="008D0006">
        <w:tc>
          <w:tcPr>
            <w:tcW w:w="2268" w:type="dxa"/>
          </w:tcPr>
          <w:p w14:paraId="29C7484E" w14:textId="3C477852" w:rsidR="008D0006" w:rsidRPr="009D07E3" w:rsidRDefault="008D0006" w:rsidP="00DD3D96">
            <w:pPr>
              <w:pStyle w:val="ListParagraph"/>
              <w:spacing w:after="60"/>
              <w:ind w:left="0"/>
              <w:contextualSpacing w:val="0"/>
              <w:rPr>
                <w:rFonts w:cs="Arial"/>
                <w:lang w:val="en-CA"/>
              </w:rPr>
            </w:pPr>
            <w:r w:rsidRPr="009D07E3">
              <w:rPr>
                <w:rFonts w:cs="Arial"/>
                <w:lang w:val="en-CA"/>
              </w:rPr>
              <w:t>NU</w:t>
            </w:r>
          </w:p>
        </w:tc>
        <w:tc>
          <w:tcPr>
            <w:tcW w:w="6761" w:type="dxa"/>
          </w:tcPr>
          <w:p w14:paraId="5D2D9C98" w14:textId="77777777" w:rsidR="008D0006" w:rsidRPr="009D07E3" w:rsidRDefault="008D0006" w:rsidP="008D0006">
            <w:pPr>
              <w:pStyle w:val="ListParagraph"/>
              <w:spacing w:after="60"/>
              <w:ind w:left="0"/>
              <w:contextualSpacing w:val="0"/>
              <w:rPr>
                <w:rFonts w:cs="Arial"/>
                <w:lang w:val="en-CA"/>
              </w:rPr>
            </w:pPr>
            <w:proofErr w:type="spellStart"/>
            <w:r w:rsidRPr="009D07E3">
              <w:rPr>
                <w:rFonts w:cs="Arial"/>
                <w:lang w:val="en-CA"/>
              </w:rPr>
              <w:t>Nadhlatul</w:t>
            </w:r>
            <w:proofErr w:type="spellEnd"/>
            <w:r w:rsidRPr="009D07E3">
              <w:rPr>
                <w:rFonts w:cs="Arial"/>
                <w:lang w:val="en-CA"/>
              </w:rPr>
              <w:t xml:space="preserve"> </w:t>
            </w:r>
            <w:proofErr w:type="spellStart"/>
            <w:r w:rsidRPr="009D07E3">
              <w:rPr>
                <w:rFonts w:cs="Arial"/>
                <w:lang w:val="en-CA"/>
              </w:rPr>
              <w:t>Ulama</w:t>
            </w:r>
            <w:proofErr w:type="spellEnd"/>
          </w:p>
        </w:tc>
      </w:tr>
      <w:tr w:rsidR="008D0006" w:rsidRPr="009D07E3" w14:paraId="5EE9E4AD" w14:textId="77777777" w:rsidTr="008D0006">
        <w:tc>
          <w:tcPr>
            <w:tcW w:w="2268" w:type="dxa"/>
          </w:tcPr>
          <w:p w14:paraId="40588C61" w14:textId="77777777" w:rsidR="008D0006" w:rsidRPr="009D07E3" w:rsidRDefault="008D0006" w:rsidP="008D0006">
            <w:pPr>
              <w:pStyle w:val="ListParagraph"/>
              <w:spacing w:after="60"/>
              <w:ind w:left="0"/>
              <w:contextualSpacing w:val="0"/>
              <w:rPr>
                <w:rFonts w:cs="Arial"/>
                <w:lang w:val="en-CA"/>
              </w:rPr>
            </w:pPr>
          </w:p>
        </w:tc>
        <w:tc>
          <w:tcPr>
            <w:tcW w:w="6761" w:type="dxa"/>
          </w:tcPr>
          <w:p w14:paraId="200E47EC" w14:textId="77777777" w:rsidR="008D0006" w:rsidRPr="009D07E3" w:rsidRDefault="008D0006" w:rsidP="008D0006">
            <w:pPr>
              <w:pStyle w:val="ListParagraph"/>
              <w:spacing w:after="60"/>
              <w:ind w:left="0"/>
              <w:contextualSpacing w:val="0"/>
              <w:rPr>
                <w:rFonts w:cs="Arial"/>
                <w:lang w:val="en-CA"/>
              </w:rPr>
            </w:pPr>
          </w:p>
        </w:tc>
      </w:tr>
      <w:tr w:rsidR="008D0006" w:rsidRPr="009D07E3" w14:paraId="3480962B" w14:textId="77777777" w:rsidTr="008D0006">
        <w:tc>
          <w:tcPr>
            <w:tcW w:w="2268" w:type="dxa"/>
          </w:tcPr>
          <w:p w14:paraId="7C9C8AB1" w14:textId="1CDFAFF1" w:rsidR="008D0006" w:rsidRPr="009D07E3" w:rsidRDefault="008D0006" w:rsidP="00DD3D96">
            <w:pPr>
              <w:pStyle w:val="ListParagraph"/>
              <w:spacing w:after="60"/>
              <w:ind w:left="0"/>
              <w:contextualSpacing w:val="0"/>
              <w:rPr>
                <w:rFonts w:cs="Arial"/>
                <w:lang w:val="en-CA"/>
              </w:rPr>
            </w:pPr>
            <w:r w:rsidRPr="009D07E3">
              <w:rPr>
                <w:rFonts w:cs="Arial"/>
                <w:lang w:val="en-CA"/>
              </w:rPr>
              <w:t>OCPAT</w:t>
            </w:r>
          </w:p>
        </w:tc>
        <w:tc>
          <w:tcPr>
            <w:tcW w:w="6761" w:type="dxa"/>
          </w:tcPr>
          <w:p w14:paraId="1C81A416" w14:textId="77777777" w:rsidR="008D0006" w:rsidRPr="009D07E3" w:rsidRDefault="008D0006" w:rsidP="008D0006">
            <w:pPr>
              <w:pStyle w:val="ListParagraph"/>
              <w:spacing w:after="60"/>
              <w:ind w:left="0"/>
              <w:contextualSpacing w:val="0"/>
              <w:rPr>
                <w:rFonts w:cs="Arial"/>
                <w:lang w:val="en-CA"/>
              </w:rPr>
            </w:pPr>
            <w:r w:rsidRPr="009D07E3">
              <w:rPr>
                <w:rFonts w:cs="Arial"/>
                <w:lang w:val="en-CA"/>
              </w:rPr>
              <w:t>Organizational Capacity and Performance Assessment Tools</w:t>
            </w:r>
          </w:p>
        </w:tc>
      </w:tr>
      <w:tr w:rsidR="008D0006" w:rsidRPr="009D07E3" w14:paraId="7289243E" w14:textId="77777777" w:rsidTr="008D0006">
        <w:tc>
          <w:tcPr>
            <w:tcW w:w="2268" w:type="dxa"/>
          </w:tcPr>
          <w:p w14:paraId="440DAF9C" w14:textId="4C6D7556" w:rsidR="008D0006" w:rsidRPr="009D07E3" w:rsidRDefault="008D0006" w:rsidP="00DD3D96">
            <w:pPr>
              <w:pStyle w:val="ListParagraph"/>
              <w:spacing w:after="60"/>
              <w:ind w:left="0"/>
              <w:contextualSpacing w:val="0"/>
              <w:rPr>
                <w:rFonts w:cs="Arial"/>
                <w:lang w:val="en-CA"/>
              </w:rPr>
            </w:pPr>
            <w:r w:rsidRPr="009D07E3">
              <w:rPr>
                <w:rFonts w:cs="Arial"/>
                <w:lang w:val="en-CA"/>
              </w:rPr>
              <w:t>ODI</w:t>
            </w:r>
          </w:p>
        </w:tc>
        <w:tc>
          <w:tcPr>
            <w:tcW w:w="6761" w:type="dxa"/>
          </w:tcPr>
          <w:p w14:paraId="5C16D228" w14:textId="77777777" w:rsidR="008D0006" w:rsidRPr="009D07E3" w:rsidRDefault="008D0006" w:rsidP="008D0006">
            <w:pPr>
              <w:pStyle w:val="ListParagraph"/>
              <w:spacing w:after="60"/>
              <w:ind w:left="0"/>
              <w:contextualSpacing w:val="0"/>
              <w:rPr>
                <w:rFonts w:cs="Arial"/>
                <w:lang w:val="en-CA"/>
              </w:rPr>
            </w:pPr>
            <w:r w:rsidRPr="009D07E3">
              <w:rPr>
                <w:rFonts w:cs="Arial"/>
                <w:lang w:val="en-CA"/>
              </w:rPr>
              <w:t>Overseas Development Institute</w:t>
            </w:r>
          </w:p>
        </w:tc>
      </w:tr>
      <w:tr w:rsidR="008D0006" w:rsidRPr="009D07E3" w14:paraId="516C036D" w14:textId="77777777" w:rsidTr="008D0006">
        <w:tc>
          <w:tcPr>
            <w:tcW w:w="2268" w:type="dxa"/>
          </w:tcPr>
          <w:p w14:paraId="61FA1F91" w14:textId="77777777" w:rsidR="008D0006" w:rsidRPr="009D07E3" w:rsidRDefault="008D0006" w:rsidP="008D0006">
            <w:pPr>
              <w:pStyle w:val="ListParagraph"/>
              <w:spacing w:after="60"/>
              <w:ind w:left="0"/>
              <w:contextualSpacing w:val="0"/>
              <w:rPr>
                <w:rFonts w:cs="Arial"/>
                <w:lang w:val="en-CA"/>
              </w:rPr>
            </w:pPr>
          </w:p>
        </w:tc>
        <w:tc>
          <w:tcPr>
            <w:tcW w:w="6761" w:type="dxa"/>
          </w:tcPr>
          <w:p w14:paraId="5399E17B" w14:textId="77777777" w:rsidR="008D0006" w:rsidRPr="009D07E3" w:rsidRDefault="008D0006" w:rsidP="008D0006">
            <w:pPr>
              <w:pStyle w:val="ListParagraph"/>
              <w:spacing w:after="60"/>
              <w:ind w:left="0"/>
              <w:contextualSpacing w:val="0"/>
              <w:rPr>
                <w:rFonts w:cs="Arial"/>
                <w:lang w:val="en-CA"/>
              </w:rPr>
            </w:pPr>
          </w:p>
        </w:tc>
      </w:tr>
      <w:tr w:rsidR="008D0006" w:rsidRPr="009D07E3" w14:paraId="5078D465" w14:textId="77777777" w:rsidTr="008D0006">
        <w:tc>
          <w:tcPr>
            <w:tcW w:w="2268" w:type="dxa"/>
          </w:tcPr>
          <w:p w14:paraId="124044F4" w14:textId="1E3B3458" w:rsidR="008D0006" w:rsidRPr="009D07E3" w:rsidRDefault="008D0006" w:rsidP="00DD3D96">
            <w:pPr>
              <w:pStyle w:val="ListParagraph"/>
              <w:spacing w:after="60"/>
              <w:ind w:left="0"/>
              <w:contextualSpacing w:val="0"/>
              <w:rPr>
                <w:rFonts w:cs="Arial"/>
                <w:lang w:val="en-CA"/>
              </w:rPr>
            </w:pPr>
            <w:r w:rsidRPr="009D07E3">
              <w:rPr>
                <w:rFonts w:cs="Arial"/>
                <w:lang w:val="en-CA"/>
              </w:rPr>
              <w:t>PEKKA</w:t>
            </w:r>
          </w:p>
        </w:tc>
        <w:tc>
          <w:tcPr>
            <w:tcW w:w="6761" w:type="dxa"/>
          </w:tcPr>
          <w:p w14:paraId="46A203CE" w14:textId="77777777" w:rsidR="008D0006" w:rsidRPr="009D07E3" w:rsidRDefault="008D0006" w:rsidP="008D0006">
            <w:pPr>
              <w:pStyle w:val="ListParagraph"/>
              <w:spacing w:after="60"/>
              <w:ind w:left="0"/>
              <w:contextualSpacing w:val="0"/>
              <w:rPr>
                <w:rFonts w:cs="Arial"/>
                <w:lang w:val="en-CA"/>
              </w:rPr>
            </w:pPr>
            <w:proofErr w:type="spellStart"/>
            <w:r w:rsidRPr="009D07E3">
              <w:rPr>
                <w:rFonts w:cs="Arial"/>
                <w:lang w:val="en-CA"/>
              </w:rPr>
              <w:t>Perempuan</w:t>
            </w:r>
            <w:proofErr w:type="spellEnd"/>
            <w:r w:rsidRPr="009D07E3">
              <w:rPr>
                <w:rFonts w:cs="Arial"/>
                <w:lang w:val="en-CA"/>
              </w:rPr>
              <w:t xml:space="preserve"> </w:t>
            </w:r>
            <w:proofErr w:type="spellStart"/>
            <w:r w:rsidRPr="009D07E3">
              <w:rPr>
                <w:rFonts w:cs="Arial"/>
                <w:lang w:val="en-CA"/>
              </w:rPr>
              <w:t>Kepala</w:t>
            </w:r>
            <w:proofErr w:type="spellEnd"/>
            <w:r w:rsidRPr="009D07E3">
              <w:rPr>
                <w:rFonts w:cs="Arial"/>
                <w:lang w:val="en-CA"/>
              </w:rPr>
              <w:t xml:space="preserve"> </w:t>
            </w:r>
            <w:proofErr w:type="spellStart"/>
            <w:r w:rsidRPr="009D07E3">
              <w:rPr>
                <w:rFonts w:cs="Arial"/>
                <w:lang w:val="en-CA"/>
              </w:rPr>
              <w:t>Keluarga</w:t>
            </w:r>
            <w:proofErr w:type="spellEnd"/>
          </w:p>
        </w:tc>
      </w:tr>
      <w:tr w:rsidR="008D0006" w:rsidRPr="009D07E3" w14:paraId="62272EC0" w14:textId="77777777" w:rsidTr="008D0006">
        <w:tc>
          <w:tcPr>
            <w:tcW w:w="2268" w:type="dxa"/>
          </w:tcPr>
          <w:p w14:paraId="4679095F" w14:textId="6053CE1D" w:rsidR="008D0006" w:rsidRPr="009D07E3" w:rsidRDefault="008D0006" w:rsidP="00DD3D96">
            <w:pPr>
              <w:pStyle w:val="ListParagraph"/>
              <w:spacing w:after="60"/>
              <w:ind w:left="0"/>
              <w:contextualSpacing w:val="0"/>
              <w:rPr>
                <w:rFonts w:cs="Arial"/>
                <w:lang w:val="en-CA"/>
              </w:rPr>
            </w:pPr>
            <w:r w:rsidRPr="009D07E3">
              <w:rPr>
                <w:rFonts w:cs="Arial"/>
                <w:lang w:val="en-CA"/>
              </w:rPr>
              <w:t>PKK</w:t>
            </w:r>
          </w:p>
        </w:tc>
        <w:tc>
          <w:tcPr>
            <w:tcW w:w="6761" w:type="dxa"/>
          </w:tcPr>
          <w:p w14:paraId="2C6963D2" w14:textId="77777777" w:rsidR="008D0006" w:rsidRPr="009D07E3" w:rsidRDefault="008D0006" w:rsidP="008D0006">
            <w:pPr>
              <w:pStyle w:val="ListParagraph"/>
              <w:spacing w:after="60"/>
              <w:ind w:left="0"/>
              <w:contextualSpacing w:val="0"/>
              <w:rPr>
                <w:rFonts w:cs="Arial"/>
                <w:lang w:val="en-CA"/>
              </w:rPr>
            </w:pPr>
            <w:proofErr w:type="spellStart"/>
            <w:r w:rsidRPr="009D07E3">
              <w:rPr>
                <w:rFonts w:cs="Arial"/>
                <w:lang w:val="en-CA"/>
              </w:rPr>
              <w:t>Pembinaan</w:t>
            </w:r>
            <w:proofErr w:type="spellEnd"/>
            <w:r w:rsidRPr="009D07E3">
              <w:rPr>
                <w:rFonts w:cs="Arial"/>
                <w:lang w:val="en-CA"/>
              </w:rPr>
              <w:t xml:space="preserve"> </w:t>
            </w:r>
            <w:proofErr w:type="spellStart"/>
            <w:r w:rsidRPr="009D07E3">
              <w:rPr>
                <w:rFonts w:cs="Arial"/>
                <w:lang w:val="en-CA"/>
              </w:rPr>
              <w:t>Kesejahteraan</w:t>
            </w:r>
            <w:proofErr w:type="spellEnd"/>
            <w:r w:rsidRPr="009D07E3">
              <w:rPr>
                <w:rFonts w:cs="Arial"/>
                <w:lang w:val="en-CA"/>
              </w:rPr>
              <w:t xml:space="preserve"> </w:t>
            </w:r>
            <w:proofErr w:type="spellStart"/>
            <w:r w:rsidRPr="009D07E3">
              <w:rPr>
                <w:rFonts w:cs="Arial"/>
                <w:lang w:val="en-CA"/>
              </w:rPr>
              <w:t>Keluarga</w:t>
            </w:r>
            <w:proofErr w:type="spellEnd"/>
          </w:p>
        </w:tc>
      </w:tr>
      <w:tr w:rsidR="008D0006" w:rsidRPr="009D07E3" w14:paraId="3B5829DF" w14:textId="77777777" w:rsidTr="008D0006">
        <w:tc>
          <w:tcPr>
            <w:tcW w:w="2268" w:type="dxa"/>
          </w:tcPr>
          <w:p w14:paraId="14397630" w14:textId="0A170694" w:rsidR="008D0006" w:rsidRPr="009D07E3" w:rsidRDefault="008D0006" w:rsidP="00DD3D96">
            <w:pPr>
              <w:pStyle w:val="ListParagraph"/>
              <w:spacing w:after="60"/>
              <w:ind w:left="0"/>
              <w:contextualSpacing w:val="0"/>
              <w:rPr>
                <w:rFonts w:cs="Arial"/>
                <w:lang w:val="en-CA"/>
              </w:rPr>
            </w:pPr>
            <w:r w:rsidRPr="009D07E3">
              <w:rPr>
                <w:rFonts w:cs="Arial"/>
                <w:lang w:val="en-CA"/>
              </w:rPr>
              <w:t>PNPM</w:t>
            </w:r>
          </w:p>
        </w:tc>
        <w:tc>
          <w:tcPr>
            <w:tcW w:w="6761" w:type="dxa"/>
          </w:tcPr>
          <w:p w14:paraId="7B77BB44" w14:textId="77777777" w:rsidR="008D0006" w:rsidRPr="009D07E3" w:rsidRDefault="008D0006" w:rsidP="008D0006">
            <w:pPr>
              <w:pStyle w:val="ListParagraph"/>
              <w:spacing w:after="60"/>
              <w:ind w:left="0"/>
              <w:contextualSpacing w:val="0"/>
              <w:rPr>
                <w:rFonts w:cs="Arial"/>
                <w:lang w:val="en-CA"/>
              </w:rPr>
            </w:pPr>
            <w:r w:rsidRPr="009D07E3">
              <w:rPr>
                <w:rFonts w:cs="Arial"/>
                <w:lang w:val="en-CA"/>
              </w:rPr>
              <w:t xml:space="preserve">Program </w:t>
            </w:r>
            <w:proofErr w:type="spellStart"/>
            <w:r w:rsidRPr="009D07E3">
              <w:rPr>
                <w:rFonts w:cs="Arial"/>
                <w:lang w:val="en-CA"/>
              </w:rPr>
              <w:t>Nasional</w:t>
            </w:r>
            <w:proofErr w:type="spellEnd"/>
            <w:r w:rsidRPr="009D07E3">
              <w:rPr>
                <w:rFonts w:cs="Arial"/>
                <w:lang w:val="en-CA"/>
              </w:rPr>
              <w:t xml:space="preserve"> </w:t>
            </w:r>
            <w:proofErr w:type="spellStart"/>
            <w:r w:rsidRPr="009D07E3">
              <w:rPr>
                <w:rFonts w:cs="Arial"/>
                <w:lang w:val="en-CA"/>
              </w:rPr>
              <w:t>Pemberdayaan</w:t>
            </w:r>
            <w:proofErr w:type="spellEnd"/>
            <w:r w:rsidRPr="009D07E3">
              <w:rPr>
                <w:rFonts w:cs="Arial"/>
                <w:lang w:val="en-CA"/>
              </w:rPr>
              <w:t xml:space="preserve"> </w:t>
            </w:r>
            <w:proofErr w:type="spellStart"/>
            <w:r w:rsidRPr="009D07E3">
              <w:rPr>
                <w:rFonts w:cs="Arial"/>
                <w:lang w:val="en-CA"/>
              </w:rPr>
              <w:t>Masyarakat</w:t>
            </w:r>
            <w:proofErr w:type="spellEnd"/>
          </w:p>
        </w:tc>
      </w:tr>
      <w:tr w:rsidR="008D0006" w:rsidRPr="009D07E3" w14:paraId="3AB0C61A" w14:textId="77777777" w:rsidTr="008D0006">
        <w:tc>
          <w:tcPr>
            <w:tcW w:w="2268" w:type="dxa"/>
          </w:tcPr>
          <w:p w14:paraId="404B27C1" w14:textId="30641FA7" w:rsidR="008D0006" w:rsidRPr="009D07E3" w:rsidRDefault="008D0006" w:rsidP="00DD3D96">
            <w:pPr>
              <w:pStyle w:val="ListParagraph"/>
              <w:spacing w:after="60"/>
              <w:ind w:left="0"/>
              <w:contextualSpacing w:val="0"/>
              <w:rPr>
                <w:rFonts w:cs="Arial"/>
                <w:lang w:val="en-CA"/>
              </w:rPr>
            </w:pPr>
            <w:r w:rsidRPr="009D07E3">
              <w:rPr>
                <w:rFonts w:cs="Arial"/>
                <w:lang w:val="en-CA"/>
              </w:rPr>
              <w:t>PPA</w:t>
            </w:r>
          </w:p>
        </w:tc>
        <w:tc>
          <w:tcPr>
            <w:tcW w:w="6761" w:type="dxa"/>
          </w:tcPr>
          <w:p w14:paraId="1E40E57E" w14:textId="062D1901" w:rsidR="008D0006" w:rsidRPr="009D07E3" w:rsidRDefault="008D0006" w:rsidP="008D0006">
            <w:pPr>
              <w:pStyle w:val="ListParagraph"/>
              <w:spacing w:after="60"/>
              <w:ind w:left="0"/>
              <w:contextualSpacing w:val="0"/>
              <w:rPr>
                <w:rFonts w:cs="Arial"/>
                <w:lang w:val="en-CA"/>
              </w:rPr>
            </w:pPr>
            <w:r w:rsidRPr="009D07E3">
              <w:rPr>
                <w:rFonts w:cs="Arial"/>
                <w:lang w:val="en-CA"/>
              </w:rPr>
              <w:t xml:space="preserve">Partner Performance </w:t>
            </w:r>
            <w:r w:rsidR="00BF6BA3" w:rsidRPr="009D07E3">
              <w:rPr>
                <w:rFonts w:cs="Arial"/>
                <w:lang w:val="en-CA"/>
              </w:rPr>
              <w:t>Assessment</w:t>
            </w:r>
          </w:p>
        </w:tc>
      </w:tr>
      <w:tr w:rsidR="008D0006" w:rsidRPr="009D07E3" w14:paraId="76AA7A71" w14:textId="77777777" w:rsidTr="008D0006">
        <w:tc>
          <w:tcPr>
            <w:tcW w:w="2268" w:type="dxa"/>
          </w:tcPr>
          <w:p w14:paraId="2AAC972F" w14:textId="0C1F12E0" w:rsidR="008D0006" w:rsidRPr="009D07E3" w:rsidRDefault="008D0006" w:rsidP="00DD3D96">
            <w:pPr>
              <w:pStyle w:val="ListParagraph"/>
              <w:spacing w:after="60"/>
              <w:ind w:left="0"/>
              <w:contextualSpacing w:val="0"/>
              <w:rPr>
                <w:rFonts w:cs="Arial"/>
                <w:lang w:val="en-CA"/>
              </w:rPr>
            </w:pPr>
            <w:r w:rsidRPr="009D07E3">
              <w:rPr>
                <w:rFonts w:cs="Arial"/>
                <w:lang w:val="en-CA"/>
              </w:rPr>
              <w:t>PSCF</w:t>
            </w:r>
          </w:p>
        </w:tc>
        <w:tc>
          <w:tcPr>
            <w:tcW w:w="6761" w:type="dxa"/>
          </w:tcPr>
          <w:p w14:paraId="3A30A158" w14:textId="77777777" w:rsidR="008D0006" w:rsidRPr="009D07E3" w:rsidRDefault="008D0006" w:rsidP="008D0006">
            <w:pPr>
              <w:pStyle w:val="ListParagraph"/>
              <w:spacing w:after="60"/>
              <w:ind w:left="0"/>
              <w:contextualSpacing w:val="0"/>
              <w:rPr>
                <w:rFonts w:cs="Arial"/>
                <w:lang w:val="en-CA"/>
              </w:rPr>
            </w:pPr>
            <w:r w:rsidRPr="009D07E3">
              <w:rPr>
                <w:rFonts w:cs="Arial"/>
                <w:lang w:val="en-CA"/>
              </w:rPr>
              <w:t>Partner Strategic Consultative Forum</w:t>
            </w:r>
          </w:p>
        </w:tc>
      </w:tr>
      <w:tr w:rsidR="008D0006" w:rsidRPr="009D07E3" w14:paraId="6E5028AD" w14:textId="77777777" w:rsidTr="008D0006">
        <w:tc>
          <w:tcPr>
            <w:tcW w:w="2268" w:type="dxa"/>
          </w:tcPr>
          <w:p w14:paraId="4AB3418A" w14:textId="77777777" w:rsidR="008D0006" w:rsidRPr="009D07E3" w:rsidRDefault="008D0006" w:rsidP="008D0006">
            <w:pPr>
              <w:pStyle w:val="ListParagraph"/>
              <w:spacing w:after="60"/>
              <w:ind w:left="0"/>
              <w:contextualSpacing w:val="0"/>
              <w:rPr>
                <w:rFonts w:cs="Arial"/>
                <w:lang w:val="en-CA"/>
              </w:rPr>
            </w:pPr>
          </w:p>
        </w:tc>
        <w:tc>
          <w:tcPr>
            <w:tcW w:w="6761" w:type="dxa"/>
          </w:tcPr>
          <w:p w14:paraId="59E62CC3" w14:textId="77777777" w:rsidR="008D0006" w:rsidRPr="009D07E3" w:rsidRDefault="008D0006" w:rsidP="008D0006">
            <w:pPr>
              <w:pStyle w:val="ListParagraph"/>
              <w:spacing w:after="60"/>
              <w:ind w:left="0"/>
              <w:contextualSpacing w:val="0"/>
              <w:rPr>
                <w:rFonts w:cs="Arial"/>
                <w:lang w:val="en-CA"/>
              </w:rPr>
            </w:pPr>
          </w:p>
        </w:tc>
      </w:tr>
      <w:tr w:rsidR="008D0006" w:rsidRPr="009D07E3" w14:paraId="1143C40F" w14:textId="77777777" w:rsidTr="008D0006">
        <w:tc>
          <w:tcPr>
            <w:tcW w:w="2268" w:type="dxa"/>
          </w:tcPr>
          <w:p w14:paraId="05283A37" w14:textId="1F23E09C" w:rsidR="008D0006" w:rsidRPr="009D07E3" w:rsidRDefault="008D0006" w:rsidP="00DD3D96">
            <w:pPr>
              <w:pStyle w:val="ListParagraph"/>
              <w:spacing w:after="60"/>
              <w:ind w:left="0"/>
              <w:contextualSpacing w:val="0"/>
              <w:rPr>
                <w:rFonts w:cs="Arial"/>
                <w:lang w:val="en-CA"/>
              </w:rPr>
            </w:pPr>
            <w:r w:rsidRPr="009D07E3">
              <w:rPr>
                <w:rFonts w:cs="Arial"/>
                <w:lang w:val="en-CA"/>
              </w:rPr>
              <w:t>RASKIN</w:t>
            </w:r>
          </w:p>
        </w:tc>
        <w:tc>
          <w:tcPr>
            <w:tcW w:w="6761" w:type="dxa"/>
          </w:tcPr>
          <w:p w14:paraId="734DF884" w14:textId="77777777" w:rsidR="008D0006" w:rsidRPr="009D07E3" w:rsidRDefault="008D0006" w:rsidP="008D0006">
            <w:pPr>
              <w:pStyle w:val="ListParagraph"/>
              <w:spacing w:after="60"/>
              <w:ind w:left="0"/>
              <w:contextualSpacing w:val="0"/>
              <w:rPr>
                <w:rFonts w:cs="Arial"/>
                <w:lang w:val="en-CA"/>
              </w:rPr>
            </w:pPr>
            <w:proofErr w:type="spellStart"/>
            <w:r w:rsidRPr="009D07E3">
              <w:rPr>
                <w:rFonts w:cs="Arial"/>
                <w:lang w:val="en-CA"/>
              </w:rPr>
              <w:t>Beras</w:t>
            </w:r>
            <w:proofErr w:type="spellEnd"/>
            <w:r w:rsidRPr="009D07E3">
              <w:rPr>
                <w:rFonts w:cs="Arial"/>
                <w:lang w:val="en-CA"/>
              </w:rPr>
              <w:t xml:space="preserve"> </w:t>
            </w:r>
            <w:proofErr w:type="spellStart"/>
            <w:r w:rsidRPr="009D07E3">
              <w:rPr>
                <w:rFonts w:cs="Arial"/>
                <w:lang w:val="en-CA"/>
              </w:rPr>
              <w:t>Miskin</w:t>
            </w:r>
            <w:proofErr w:type="spellEnd"/>
          </w:p>
        </w:tc>
      </w:tr>
      <w:tr w:rsidR="008D0006" w:rsidRPr="009D07E3" w14:paraId="7FCE6057" w14:textId="77777777" w:rsidTr="008D0006">
        <w:tc>
          <w:tcPr>
            <w:tcW w:w="2268" w:type="dxa"/>
          </w:tcPr>
          <w:p w14:paraId="6FC540B3" w14:textId="3E6C9438" w:rsidR="008D0006" w:rsidRPr="009D07E3" w:rsidRDefault="008D0006" w:rsidP="00DD3D96">
            <w:pPr>
              <w:pStyle w:val="ListParagraph"/>
              <w:spacing w:after="60"/>
              <w:ind w:left="0"/>
              <w:contextualSpacing w:val="0"/>
              <w:rPr>
                <w:rFonts w:cs="Arial"/>
                <w:lang w:val="en-CA"/>
              </w:rPr>
            </w:pPr>
            <w:r w:rsidRPr="009D07E3">
              <w:rPr>
                <w:rFonts w:cs="Arial"/>
                <w:lang w:val="en-CA"/>
              </w:rPr>
              <w:t>RPJMN</w:t>
            </w:r>
          </w:p>
        </w:tc>
        <w:tc>
          <w:tcPr>
            <w:tcW w:w="6761" w:type="dxa"/>
          </w:tcPr>
          <w:p w14:paraId="7D4FF747" w14:textId="77777777" w:rsidR="008D0006" w:rsidRPr="009D07E3" w:rsidRDefault="008D0006" w:rsidP="008D0006">
            <w:pPr>
              <w:pStyle w:val="ListParagraph"/>
              <w:spacing w:after="60"/>
              <w:ind w:left="0"/>
              <w:contextualSpacing w:val="0"/>
              <w:rPr>
                <w:rFonts w:cs="Arial"/>
                <w:lang w:val="en-CA"/>
              </w:rPr>
            </w:pPr>
            <w:proofErr w:type="spellStart"/>
            <w:r w:rsidRPr="009D07E3">
              <w:rPr>
                <w:rFonts w:cs="Arial"/>
                <w:lang w:val="en-CA"/>
              </w:rPr>
              <w:t>Rencana</w:t>
            </w:r>
            <w:proofErr w:type="spellEnd"/>
            <w:r w:rsidRPr="009D07E3">
              <w:rPr>
                <w:rFonts w:cs="Arial"/>
                <w:lang w:val="en-CA"/>
              </w:rPr>
              <w:t xml:space="preserve"> Pembangunan </w:t>
            </w:r>
            <w:proofErr w:type="spellStart"/>
            <w:r w:rsidRPr="009D07E3">
              <w:rPr>
                <w:rFonts w:cs="Arial"/>
                <w:lang w:val="en-CA"/>
              </w:rPr>
              <w:t>Jangka</w:t>
            </w:r>
            <w:proofErr w:type="spellEnd"/>
            <w:r w:rsidRPr="009D07E3">
              <w:rPr>
                <w:rFonts w:cs="Arial"/>
                <w:lang w:val="en-CA"/>
              </w:rPr>
              <w:t xml:space="preserve"> </w:t>
            </w:r>
            <w:proofErr w:type="spellStart"/>
            <w:r w:rsidRPr="009D07E3">
              <w:rPr>
                <w:rFonts w:cs="Arial"/>
                <w:lang w:val="en-CA"/>
              </w:rPr>
              <w:t>Menengah</w:t>
            </w:r>
            <w:proofErr w:type="spellEnd"/>
            <w:r w:rsidRPr="009D07E3">
              <w:rPr>
                <w:rFonts w:cs="Arial"/>
                <w:lang w:val="en-CA"/>
              </w:rPr>
              <w:t xml:space="preserve"> </w:t>
            </w:r>
            <w:proofErr w:type="spellStart"/>
            <w:r w:rsidRPr="009D07E3">
              <w:rPr>
                <w:rFonts w:cs="Arial"/>
                <w:lang w:val="en-CA"/>
              </w:rPr>
              <w:t>Nasional</w:t>
            </w:r>
            <w:proofErr w:type="spellEnd"/>
          </w:p>
        </w:tc>
      </w:tr>
      <w:tr w:rsidR="008D0006" w:rsidRPr="009D07E3" w14:paraId="79403BFD" w14:textId="77777777" w:rsidTr="008D0006">
        <w:tc>
          <w:tcPr>
            <w:tcW w:w="2268" w:type="dxa"/>
          </w:tcPr>
          <w:p w14:paraId="2B52EC0F" w14:textId="667EF01F" w:rsidR="008D0006" w:rsidRPr="009D07E3" w:rsidRDefault="008D0006" w:rsidP="00DD3D96">
            <w:pPr>
              <w:pStyle w:val="ListParagraph"/>
              <w:spacing w:after="60"/>
              <w:ind w:left="0"/>
              <w:contextualSpacing w:val="0"/>
              <w:rPr>
                <w:rFonts w:cs="Arial"/>
                <w:lang w:val="en-CA"/>
              </w:rPr>
            </w:pPr>
            <w:r w:rsidRPr="009D07E3">
              <w:rPr>
                <w:rFonts w:cs="Arial"/>
                <w:lang w:val="en-CA"/>
              </w:rPr>
              <w:t>RUU KKG</w:t>
            </w:r>
          </w:p>
        </w:tc>
        <w:tc>
          <w:tcPr>
            <w:tcW w:w="6761" w:type="dxa"/>
          </w:tcPr>
          <w:p w14:paraId="2736B811" w14:textId="77777777" w:rsidR="008D0006" w:rsidRPr="009D07E3" w:rsidRDefault="008D0006" w:rsidP="008D0006">
            <w:pPr>
              <w:pStyle w:val="ListParagraph"/>
              <w:spacing w:after="60"/>
              <w:ind w:left="0"/>
              <w:contextualSpacing w:val="0"/>
              <w:rPr>
                <w:rFonts w:cs="Arial"/>
                <w:lang w:val="en-CA"/>
              </w:rPr>
            </w:pPr>
            <w:proofErr w:type="spellStart"/>
            <w:r w:rsidRPr="009D07E3">
              <w:rPr>
                <w:rFonts w:cs="Arial"/>
                <w:lang w:val="en-CA"/>
              </w:rPr>
              <w:t>Rancangan</w:t>
            </w:r>
            <w:proofErr w:type="spellEnd"/>
            <w:r w:rsidRPr="009D07E3">
              <w:rPr>
                <w:rFonts w:cs="Arial"/>
                <w:lang w:val="en-CA"/>
              </w:rPr>
              <w:t xml:space="preserve"> </w:t>
            </w:r>
            <w:proofErr w:type="spellStart"/>
            <w:r w:rsidRPr="009D07E3">
              <w:rPr>
                <w:rFonts w:cs="Arial"/>
                <w:lang w:val="en-CA"/>
              </w:rPr>
              <w:t>Undang-Undang</w:t>
            </w:r>
            <w:proofErr w:type="spellEnd"/>
            <w:r w:rsidRPr="009D07E3">
              <w:rPr>
                <w:rFonts w:cs="Arial"/>
                <w:lang w:val="en-CA"/>
              </w:rPr>
              <w:t xml:space="preserve"> </w:t>
            </w:r>
            <w:proofErr w:type="spellStart"/>
            <w:r w:rsidRPr="009D07E3">
              <w:rPr>
                <w:rFonts w:cs="Arial"/>
                <w:lang w:val="en-CA"/>
              </w:rPr>
              <w:t>Kesetaraan</w:t>
            </w:r>
            <w:proofErr w:type="spellEnd"/>
            <w:r w:rsidRPr="009D07E3">
              <w:rPr>
                <w:rFonts w:cs="Arial"/>
                <w:lang w:val="en-CA"/>
              </w:rPr>
              <w:t xml:space="preserve"> </w:t>
            </w:r>
            <w:proofErr w:type="spellStart"/>
            <w:r w:rsidRPr="009D07E3">
              <w:rPr>
                <w:rFonts w:cs="Arial"/>
                <w:lang w:val="en-CA"/>
              </w:rPr>
              <w:t>dan</w:t>
            </w:r>
            <w:proofErr w:type="spellEnd"/>
            <w:r w:rsidRPr="009D07E3">
              <w:rPr>
                <w:rFonts w:cs="Arial"/>
                <w:lang w:val="en-CA"/>
              </w:rPr>
              <w:t xml:space="preserve"> </w:t>
            </w:r>
            <w:proofErr w:type="spellStart"/>
            <w:r w:rsidRPr="009D07E3">
              <w:rPr>
                <w:rFonts w:cs="Arial"/>
                <w:lang w:val="en-CA"/>
              </w:rPr>
              <w:t>Keadilan</w:t>
            </w:r>
            <w:proofErr w:type="spellEnd"/>
            <w:r w:rsidRPr="009D07E3">
              <w:rPr>
                <w:rFonts w:cs="Arial"/>
                <w:lang w:val="en-CA"/>
              </w:rPr>
              <w:t xml:space="preserve"> Gender</w:t>
            </w:r>
          </w:p>
        </w:tc>
      </w:tr>
      <w:tr w:rsidR="008D0006" w:rsidRPr="009D07E3" w14:paraId="166E54D5" w14:textId="77777777" w:rsidTr="008D0006">
        <w:tc>
          <w:tcPr>
            <w:tcW w:w="2268" w:type="dxa"/>
          </w:tcPr>
          <w:p w14:paraId="43130B3B" w14:textId="77777777" w:rsidR="008D0006" w:rsidRPr="009D07E3" w:rsidRDefault="008D0006" w:rsidP="008D0006">
            <w:pPr>
              <w:pStyle w:val="ListParagraph"/>
              <w:spacing w:after="60"/>
              <w:ind w:left="0"/>
              <w:contextualSpacing w:val="0"/>
              <w:rPr>
                <w:rFonts w:cs="Arial"/>
                <w:lang w:val="en-CA"/>
              </w:rPr>
            </w:pPr>
          </w:p>
        </w:tc>
        <w:tc>
          <w:tcPr>
            <w:tcW w:w="6761" w:type="dxa"/>
          </w:tcPr>
          <w:p w14:paraId="4CA2A3AF" w14:textId="77777777" w:rsidR="008D0006" w:rsidRPr="009D07E3" w:rsidRDefault="008D0006" w:rsidP="008D0006">
            <w:pPr>
              <w:pStyle w:val="ListParagraph"/>
              <w:spacing w:after="60"/>
              <w:ind w:left="0"/>
              <w:contextualSpacing w:val="0"/>
              <w:rPr>
                <w:rFonts w:cs="Arial"/>
                <w:lang w:val="en-CA"/>
              </w:rPr>
            </w:pPr>
          </w:p>
        </w:tc>
      </w:tr>
      <w:tr w:rsidR="008D0006" w:rsidRPr="009D07E3" w14:paraId="5923FC13" w14:textId="77777777" w:rsidTr="008D0006">
        <w:tc>
          <w:tcPr>
            <w:tcW w:w="2268" w:type="dxa"/>
          </w:tcPr>
          <w:p w14:paraId="304A549E" w14:textId="2ECED5EA" w:rsidR="008D0006" w:rsidRPr="009D07E3" w:rsidRDefault="008D0006" w:rsidP="00DD3D96">
            <w:pPr>
              <w:pStyle w:val="ListParagraph"/>
              <w:spacing w:after="60"/>
              <w:ind w:left="0"/>
              <w:contextualSpacing w:val="0"/>
              <w:rPr>
                <w:rFonts w:cs="Arial"/>
                <w:lang w:val="en-CA"/>
              </w:rPr>
            </w:pPr>
            <w:r w:rsidRPr="009D07E3">
              <w:rPr>
                <w:rFonts w:cs="Arial"/>
                <w:lang w:val="en-CA"/>
              </w:rPr>
              <w:t>SC</w:t>
            </w:r>
          </w:p>
        </w:tc>
        <w:tc>
          <w:tcPr>
            <w:tcW w:w="6761" w:type="dxa"/>
          </w:tcPr>
          <w:p w14:paraId="2E9D070B" w14:textId="77777777" w:rsidR="008D0006" w:rsidRPr="009D07E3" w:rsidRDefault="008D0006" w:rsidP="008D0006">
            <w:pPr>
              <w:pStyle w:val="ListParagraph"/>
              <w:spacing w:after="60"/>
              <w:ind w:left="0"/>
              <w:contextualSpacing w:val="0"/>
              <w:rPr>
                <w:rFonts w:cs="Arial"/>
                <w:lang w:val="en-CA"/>
              </w:rPr>
            </w:pPr>
            <w:r w:rsidRPr="009D07E3">
              <w:rPr>
                <w:rFonts w:cs="Arial"/>
                <w:lang w:val="en-CA"/>
              </w:rPr>
              <w:t>Steering Committee</w:t>
            </w:r>
          </w:p>
        </w:tc>
      </w:tr>
      <w:tr w:rsidR="008D0006" w:rsidRPr="009D07E3" w14:paraId="2900E9D6" w14:textId="77777777" w:rsidTr="008D0006">
        <w:tc>
          <w:tcPr>
            <w:tcW w:w="2268" w:type="dxa"/>
          </w:tcPr>
          <w:p w14:paraId="548A3EE4" w14:textId="4FF14720" w:rsidR="008D0006" w:rsidRPr="009D07E3" w:rsidRDefault="008D0006" w:rsidP="00DD3D96">
            <w:pPr>
              <w:pStyle w:val="ListParagraph"/>
              <w:spacing w:after="60"/>
              <w:ind w:left="0"/>
              <w:contextualSpacing w:val="0"/>
              <w:rPr>
                <w:rFonts w:cs="Arial"/>
                <w:lang w:val="en-CA"/>
              </w:rPr>
            </w:pPr>
            <w:r w:rsidRPr="009D07E3">
              <w:rPr>
                <w:rFonts w:cs="Arial"/>
                <w:lang w:val="en-CA"/>
              </w:rPr>
              <w:t>SDGs</w:t>
            </w:r>
          </w:p>
        </w:tc>
        <w:tc>
          <w:tcPr>
            <w:tcW w:w="6761" w:type="dxa"/>
          </w:tcPr>
          <w:p w14:paraId="569B9070" w14:textId="77777777" w:rsidR="008D0006" w:rsidRPr="009D07E3" w:rsidRDefault="008D0006" w:rsidP="008D0006">
            <w:pPr>
              <w:pStyle w:val="ListParagraph"/>
              <w:spacing w:after="60"/>
              <w:ind w:left="0"/>
              <w:contextualSpacing w:val="0"/>
              <w:rPr>
                <w:rFonts w:cs="Arial"/>
                <w:lang w:val="en-CA"/>
              </w:rPr>
            </w:pPr>
            <w:r w:rsidRPr="009D07E3">
              <w:rPr>
                <w:rFonts w:cs="Arial"/>
                <w:lang w:val="en-CA"/>
              </w:rPr>
              <w:t>Sustainable Development Goals</w:t>
            </w:r>
          </w:p>
        </w:tc>
      </w:tr>
      <w:tr w:rsidR="008D0006" w:rsidRPr="009D07E3" w14:paraId="1B5C18B8" w14:textId="77777777" w:rsidTr="008D0006">
        <w:tc>
          <w:tcPr>
            <w:tcW w:w="2268" w:type="dxa"/>
          </w:tcPr>
          <w:p w14:paraId="231785B8" w14:textId="76427DA6" w:rsidR="008D0006" w:rsidRPr="009D07E3" w:rsidRDefault="008D0006" w:rsidP="00DD3D96">
            <w:pPr>
              <w:pStyle w:val="ListParagraph"/>
              <w:spacing w:after="60"/>
              <w:ind w:left="0"/>
              <w:contextualSpacing w:val="0"/>
              <w:rPr>
                <w:rFonts w:cs="Arial"/>
                <w:lang w:val="en-CA"/>
              </w:rPr>
            </w:pPr>
            <w:r w:rsidRPr="009D07E3">
              <w:rPr>
                <w:rFonts w:cs="Arial"/>
                <w:lang w:val="en-CA"/>
              </w:rPr>
              <w:t>SMERU</w:t>
            </w:r>
          </w:p>
        </w:tc>
        <w:tc>
          <w:tcPr>
            <w:tcW w:w="6761" w:type="dxa"/>
          </w:tcPr>
          <w:p w14:paraId="5871A88D" w14:textId="77777777" w:rsidR="008D0006" w:rsidRPr="009D07E3" w:rsidRDefault="008D0006" w:rsidP="008D0006">
            <w:pPr>
              <w:pStyle w:val="ListParagraph"/>
              <w:spacing w:after="60"/>
              <w:ind w:left="0"/>
              <w:contextualSpacing w:val="0"/>
              <w:rPr>
                <w:rFonts w:cs="Arial"/>
                <w:lang w:val="en-CA"/>
              </w:rPr>
            </w:pPr>
            <w:r w:rsidRPr="009D07E3">
              <w:rPr>
                <w:rFonts w:cs="Arial"/>
                <w:lang w:val="en-CA"/>
              </w:rPr>
              <w:t>Social Monitoring and Early Response Unit</w:t>
            </w:r>
          </w:p>
        </w:tc>
      </w:tr>
      <w:tr w:rsidR="008D0006" w:rsidRPr="009D07E3" w14:paraId="40B45583" w14:textId="77777777" w:rsidTr="008D0006">
        <w:tc>
          <w:tcPr>
            <w:tcW w:w="2268" w:type="dxa"/>
          </w:tcPr>
          <w:p w14:paraId="372D091C" w14:textId="6FDB4023" w:rsidR="008D0006" w:rsidRPr="009D07E3" w:rsidRDefault="008D0006" w:rsidP="00DD3D96">
            <w:pPr>
              <w:pStyle w:val="ListParagraph"/>
              <w:spacing w:after="60"/>
              <w:ind w:left="0"/>
              <w:contextualSpacing w:val="0"/>
              <w:rPr>
                <w:rFonts w:cs="Arial"/>
                <w:lang w:val="en-CA"/>
              </w:rPr>
            </w:pPr>
            <w:r w:rsidRPr="009D07E3">
              <w:rPr>
                <w:rFonts w:cs="Arial"/>
                <w:lang w:val="en-CA"/>
              </w:rPr>
              <w:t>SPKBK</w:t>
            </w:r>
          </w:p>
        </w:tc>
        <w:tc>
          <w:tcPr>
            <w:tcW w:w="6761" w:type="dxa"/>
          </w:tcPr>
          <w:p w14:paraId="55C34ED6" w14:textId="77777777" w:rsidR="008D0006" w:rsidRPr="009D07E3" w:rsidRDefault="008D0006" w:rsidP="008D0006">
            <w:pPr>
              <w:pStyle w:val="ListParagraph"/>
              <w:spacing w:after="60"/>
              <w:ind w:left="0"/>
              <w:contextualSpacing w:val="0"/>
              <w:rPr>
                <w:rFonts w:cs="Arial"/>
                <w:lang w:val="en-CA"/>
              </w:rPr>
            </w:pPr>
            <w:proofErr w:type="spellStart"/>
            <w:r w:rsidRPr="009D07E3">
              <w:rPr>
                <w:rFonts w:cs="Arial"/>
                <w:lang w:val="en-CA"/>
              </w:rPr>
              <w:t>Sistem</w:t>
            </w:r>
            <w:proofErr w:type="spellEnd"/>
            <w:r w:rsidRPr="009D07E3">
              <w:rPr>
                <w:rFonts w:cs="Arial"/>
                <w:lang w:val="en-CA"/>
              </w:rPr>
              <w:t xml:space="preserve"> </w:t>
            </w:r>
            <w:proofErr w:type="spellStart"/>
            <w:r w:rsidRPr="009D07E3">
              <w:rPr>
                <w:rFonts w:cs="Arial"/>
                <w:lang w:val="en-CA"/>
              </w:rPr>
              <w:t>Pemantauan</w:t>
            </w:r>
            <w:proofErr w:type="spellEnd"/>
            <w:r w:rsidRPr="009D07E3">
              <w:rPr>
                <w:rFonts w:cs="Arial"/>
                <w:lang w:val="en-CA"/>
              </w:rPr>
              <w:t xml:space="preserve"> </w:t>
            </w:r>
            <w:proofErr w:type="spellStart"/>
            <w:r w:rsidRPr="009D07E3">
              <w:rPr>
                <w:rFonts w:cs="Arial"/>
                <w:lang w:val="en-CA"/>
              </w:rPr>
              <w:t>Kesejahteraan</w:t>
            </w:r>
            <w:proofErr w:type="spellEnd"/>
            <w:r w:rsidRPr="009D07E3">
              <w:rPr>
                <w:rFonts w:cs="Arial"/>
                <w:lang w:val="en-CA"/>
              </w:rPr>
              <w:t xml:space="preserve"> </w:t>
            </w:r>
            <w:proofErr w:type="spellStart"/>
            <w:r w:rsidRPr="009D07E3">
              <w:rPr>
                <w:rFonts w:cs="Arial"/>
                <w:lang w:val="en-CA"/>
              </w:rPr>
              <w:t>Berbasis</w:t>
            </w:r>
            <w:proofErr w:type="spellEnd"/>
            <w:r w:rsidRPr="009D07E3">
              <w:rPr>
                <w:rFonts w:cs="Arial"/>
                <w:lang w:val="en-CA"/>
              </w:rPr>
              <w:t xml:space="preserve"> </w:t>
            </w:r>
            <w:proofErr w:type="spellStart"/>
            <w:r w:rsidRPr="009D07E3">
              <w:rPr>
                <w:rFonts w:cs="Arial"/>
                <w:lang w:val="en-CA"/>
              </w:rPr>
              <w:t>Komunitas</w:t>
            </w:r>
            <w:proofErr w:type="spellEnd"/>
          </w:p>
        </w:tc>
      </w:tr>
      <w:tr w:rsidR="008D0006" w:rsidRPr="009D07E3" w14:paraId="6DAF0521" w14:textId="77777777" w:rsidTr="008D0006">
        <w:tc>
          <w:tcPr>
            <w:tcW w:w="2268" w:type="dxa"/>
          </w:tcPr>
          <w:p w14:paraId="08450BDC" w14:textId="77777777" w:rsidR="008D0006" w:rsidRPr="009D07E3" w:rsidRDefault="008D0006" w:rsidP="008D0006">
            <w:pPr>
              <w:pStyle w:val="ListParagraph"/>
              <w:spacing w:after="60"/>
              <w:ind w:left="0"/>
              <w:contextualSpacing w:val="0"/>
              <w:rPr>
                <w:rFonts w:cs="Arial"/>
                <w:lang w:val="en-CA"/>
              </w:rPr>
            </w:pPr>
          </w:p>
        </w:tc>
        <w:tc>
          <w:tcPr>
            <w:tcW w:w="6761" w:type="dxa"/>
          </w:tcPr>
          <w:p w14:paraId="5BE4A587" w14:textId="77777777" w:rsidR="008D0006" w:rsidRPr="009D07E3" w:rsidRDefault="008D0006" w:rsidP="008D0006">
            <w:pPr>
              <w:pStyle w:val="ListParagraph"/>
              <w:spacing w:after="60"/>
              <w:ind w:left="0"/>
              <w:contextualSpacing w:val="0"/>
              <w:rPr>
                <w:rFonts w:cs="Arial"/>
                <w:lang w:val="en-CA"/>
              </w:rPr>
            </w:pPr>
          </w:p>
        </w:tc>
      </w:tr>
      <w:tr w:rsidR="008D0006" w:rsidRPr="009D07E3" w14:paraId="64094172" w14:textId="77777777" w:rsidTr="008D0006">
        <w:tc>
          <w:tcPr>
            <w:tcW w:w="2268" w:type="dxa"/>
          </w:tcPr>
          <w:p w14:paraId="61416066" w14:textId="49388210" w:rsidR="008D0006" w:rsidRPr="009D07E3" w:rsidRDefault="008D0006" w:rsidP="00DD3D96">
            <w:pPr>
              <w:pStyle w:val="ListParagraph"/>
              <w:spacing w:after="60"/>
              <w:ind w:left="0"/>
              <w:contextualSpacing w:val="0"/>
              <w:rPr>
                <w:rFonts w:cs="Arial"/>
                <w:lang w:val="en-CA"/>
              </w:rPr>
            </w:pPr>
            <w:r w:rsidRPr="009D07E3">
              <w:rPr>
                <w:rFonts w:cs="Arial"/>
                <w:lang w:val="en-CA"/>
              </w:rPr>
              <w:t>TNP2K</w:t>
            </w:r>
          </w:p>
        </w:tc>
        <w:tc>
          <w:tcPr>
            <w:tcW w:w="6761" w:type="dxa"/>
          </w:tcPr>
          <w:p w14:paraId="241C12C8" w14:textId="77777777" w:rsidR="008D0006" w:rsidRPr="009D07E3" w:rsidRDefault="008D0006" w:rsidP="008D0006">
            <w:pPr>
              <w:pStyle w:val="ListParagraph"/>
              <w:spacing w:after="60"/>
              <w:ind w:left="0"/>
              <w:contextualSpacing w:val="0"/>
              <w:rPr>
                <w:rFonts w:cs="Arial"/>
                <w:lang w:val="en-CA"/>
              </w:rPr>
            </w:pPr>
            <w:r w:rsidRPr="009D07E3">
              <w:rPr>
                <w:rFonts w:cs="Arial"/>
                <w:lang w:val="en-CA"/>
              </w:rPr>
              <w:t xml:space="preserve">Tim </w:t>
            </w:r>
            <w:proofErr w:type="spellStart"/>
            <w:r w:rsidRPr="009D07E3">
              <w:rPr>
                <w:rFonts w:cs="Arial"/>
                <w:lang w:val="en-CA"/>
              </w:rPr>
              <w:t>Nasional</w:t>
            </w:r>
            <w:proofErr w:type="spellEnd"/>
            <w:r w:rsidRPr="009D07E3">
              <w:rPr>
                <w:rFonts w:cs="Arial"/>
                <w:lang w:val="en-CA"/>
              </w:rPr>
              <w:t xml:space="preserve"> </w:t>
            </w:r>
            <w:proofErr w:type="spellStart"/>
            <w:r w:rsidRPr="009D07E3">
              <w:rPr>
                <w:rFonts w:cs="Arial"/>
                <w:lang w:val="en-CA"/>
              </w:rPr>
              <w:t>Percepatan</w:t>
            </w:r>
            <w:proofErr w:type="spellEnd"/>
            <w:r w:rsidRPr="009D07E3">
              <w:rPr>
                <w:rFonts w:cs="Arial"/>
                <w:lang w:val="en-CA"/>
              </w:rPr>
              <w:t xml:space="preserve"> </w:t>
            </w:r>
            <w:proofErr w:type="spellStart"/>
            <w:r w:rsidRPr="009D07E3">
              <w:rPr>
                <w:rFonts w:cs="Arial"/>
                <w:lang w:val="en-CA"/>
              </w:rPr>
              <w:t>Penanggulangan</w:t>
            </w:r>
            <w:proofErr w:type="spellEnd"/>
            <w:r w:rsidRPr="009D07E3">
              <w:rPr>
                <w:rFonts w:cs="Arial"/>
                <w:lang w:val="en-CA"/>
              </w:rPr>
              <w:t xml:space="preserve"> </w:t>
            </w:r>
            <w:proofErr w:type="spellStart"/>
            <w:r w:rsidRPr="009D07E3">
              <w:rPr>
                <w:rFonts w:cs="Arial"/>
                <w:lang w:val="en-CA"/>
              </w:rPr>
              <w:t>Kemiskinan</w:t>
            </w:r>
            <w:proofErr w:type="spellEnd"/>
            <w:r w:rsidRPr="009D07E3">
              <w:rPr>
                <w:rFonts w:cs="Arial"/>
                <w:lang w:val="en-CA"/>
              </w:rPr>
              <w:t xml:space="preserve"> </w:t>
            </w:r>
          </w:p>
        </w:tc>
      </w:tr>
      <w:tr w:rsidR="008D0006" w:rsidRPr="009D07E3" w14:paraId="24AF28E2" w14:textId="77777777" w:rsidTr="008D0006">
        <w:tc>
          <w:tcPr>
            <w:tcW w:w="2268" w:type="dxa"/>
          </w:tcPr>
          <w:p w14:paraId="5220947F" w14:textId="17E289B0" w:rsidR="008D0006" w:rsidRPr="009D07E3" w:rsidRDefault="008D0006" w:rsidP="00DD3D96">
            <w:pPr>
              <w:pStyle w:val="ListParagraph"/>
              <w:spacing w:after="60"/>
              <w:ind w:left="0"/>
              <w:contextualSpacing w:val="0"/>
              <w:rPr>
                <w:rFonts w:cs="Arial"/>
                <w:lang w:val="en-CA"/>
              </w:rPr>
            </w:pPr>
            <w:r w:rsidRPr="009D07E3">
              <w:rPr>
                <w:rFonts w:cs="Arial"/>
                <w:lang w:val="en-CA"/>
              </w:rPr>
              <w:t>TWG</w:t>
            </w:r>
          </w:p>
        </w:tc>
        <w:tc>
          <w:tcPr>
            <w:tcW w:w="6761" w:type="dxa"/>
          </w:tcPr>
          <w:p w14:paraId="46ED9D0F" w14:textId="77777777" w:rsidR="008D0006" w:rsidRPr="009D07E3" w:rsidRDefault="008D0006" w:rsidP="008D0006">
            <w:pPr>
              <w:pStyle w:val="ListParagraph"/>
              <w:spacing w:after="60"/>
              <w:ind w:left="0"/>
              <w:contextualSpacing w:val="0"/>
              <w:rPr>
                <w:rFonts w:cs="Arial"/>
                <w:lang w:val="en-CA"/>
              </w:rPr>
            </w:pPr>
            <w:r w:rsidRPr="009D07E3">
              <w:rPr>
                <w:rFonts w:cs="Arial"/>
                <w:lang w:val="en-CA"/>
              </w:rPr>
              <w:t>Technical Working Group</w:t>
            </w:r>
          </w:p>
        </w:tc>
      </w:tr>
      <w:tr w:rsidR="008D0006" w:rsidRPr="009D07E3" w14:paraId="6C9A2C0E" w14:textId="77777777" w:rsidTr="008D0006">
        <w:tc>
          <w:tcPr>
            <w:tcW w:w="2268" w:type="dxa"/>
          </w:tcPr>
          <w:p w14:paraId="077BC711" w14:textId="77777777" w:rsidR="008D0006" w:rsidRPr="009D07E3" w:rsidRDefault="008D0006" w:rsidP="008D0006">
            <w:pPr>
              <w:pStyle w:val="ListParagraph"/>
              <w:spacing w:after="60"/>
              <w:ind w:left="0"/>
              <w:contextualSpacing w:val="0"/>
              <w:rPr>
                <w:rFonts w:cs="Arial"/>
                <w:lang w:val="en-CA"/>
              </w:rPr>
            </w:pPr>
          </w:p>
        </w:tc>
        <w:tc>
          <w:tcPr>
            <w:tcW w:w="6761" w:type="dxa"/>
          </w:tcPr>
          <w:p w14:paraId="32908063" w14:textId="77777777" w:rsidR="008D0006" w:rsidRPr="009D07E3" w:rsidRDefault="008D0006" w:rsidP="008D0006">
            <w:pPr>
              <w:pStyle w:val="ListParagraph"/>
              <w:spacing w:after="60"/>
              <w:ind w:left="0"/>
              <w:contextualSpacing w:val="0"/>
              <w:rPr>
                <w:rFonts w:cs="Arial"/>
                <w:lang w:val="en-CA"/>
              </w:rPr>
            </w:pPr>
          </w:p>
        </w:tc>
      </w:tr>
      <w:tr w:rsidR="008D0006" w:rsidRPr="009D07E3" w14:paraId="3D9C48F7" w14:textId="77777777" w:rsidTr="008D0006">
        <w:tc>
          <w:tcPr>
            <w:tcW w:w="2268" w:type="dxa"/>
          </w:tcPr>
          <w:p w14:paraId="6EC0372C" w14:textId="68C8F1A9" w:rsidR="008D0006" w:rsidRPr="009D07E3" w:rsidRDefault="008D0006" w:rsidP="00DD3D96">
            <w:pPr>
              <w:pStyle w:val="ListParagraph"/>
              <w:spacing w:after="60"/>
              <w:ind w:left="0"/>
              <w:contextualSpacing w:val="0"/>
              <w:rPr>
                <w:rFonts w:cs="Arial"/>
                <w:lang w:val="en-CA"/>
              </w:rPr>
            </w:pPr>
            <w:r w:rsidRPr="009D07E3">
              <w:rPr>
                <w:rFonts w:cs="Arial"/>
                <w:lang w:val="en-CA"/>
              </w:rPr>
              <w:t>UN WOMEN</w:t>
            </w:r>
          </w:p>
        </w:tc>
        <w:tc>
          <w:tcPr>
            <w:tcW w:w="6761" w:type="dxa"/>
          </w:tcPr>
          <w:p w14:paraId="5F11815A" w14:textId="77777777" w:rsidR="008D0006" w:rsidRPr="009D07E3" w:rsidRDefault="008D0006" w:rsidP="008D0006">
            <w:pPr>
              <w:pStyle w:val="ListParagraph"/>
              <w:spacing w:after="60"/>
              <w:ind w:left="0"/>
              <w:contextualSpacing w:val="0"/>
              <w:jc w:val="left"/>
              <w:rPr>
                <w:rFonts w:cs="Arial"/>
                <w:lang w:val="en-CA"/>
              </w:rPr>
            </w:pPr>
            <w:r w:rsidRPr="009D07E3">
              <w:rPr>
                <w:rFonts w:cs="Arial"/>
                <w:lang w:val="en-CA"/>
              </w:rPr>
              <w:t>United Nations Entity for Gender Equality and the Empowerment of Women</w:t>
            </w:r>
          </w:p>
        </w:tc>
      </w:tr>
      <w:tr w:rsidR="008D0006" w:rsidRPr="009D07E3" w14:paraId="27A9DF45" w14:textId="77777777" w:rsidTr="008D0006">
        <w:tc>
          <w:tcPr>
            <w:tcW w:w="2268" w:type="dxa"/>
          </w:tcPr>
          <w:p w14:paraId="2FA7FB75" w14:textId="7FEBE098" w:rsidR="008D0006" w:rsidRPr="009D07E3" w:rsidRDefault="008D0006" w:rsidP="00DD3D96">
            <w:pPr>
              <w:pStyle w:val="ListParagraph"/>
              <w:spacing w:after="60"/>
              <w:ind w:left="0"/>
              <w:contextualSpacing w:val="0"/>
              <w:rPr>
                <w:rFonts w:cs="Arial"/>
                <w:lang w:val="en-CA"/>
              </w:rPr>
            </w:pPr>
            <w:r w:rsidRPr="009D07E3">
              <w:rPr>
                <w:rFonts w:cs="Arial"/>
                <w:lang w:val="en-CA"/>
              </w:rPr>
              <w:t xml:space="preserve">UU </w:t>
            </w:r>
            <w:proofErr w:type="spellStart"/>
            <w:r w:rsidRPr="009D07E3">
              <w:rPr>
                <w:rFonts w:cs="Arial"/>
                <w:lang w:val="en-CA"/>
              </w:rPr>
              <w:t>Desa</w:t>
            </w:r>
            <w:proofErr w:type="spellEnd"/>
          </w:p>
        </w:tc>
        <w:tc>
          <w:tcPr>
            <w:tcW w:w="6761" w:type="dxa"/>
          </w:tcPr>
          <w:p w14:paraId="5A66752B" w14:textId="77777777" w:rsidR="008D0006" w:rsidRPr="009D07E3" w:rsidRDefault="008D0006" w:rsidP="008D0006">
            <w:pPr>
              <w:pStyle w:val="ListParagraph"/>
              <w:spacing w:after="60"/>
              <w:ind w:left="0"/>
              <w:contextualSpacing w:val="0"/>
              <w:rPr>
                <w:rFonts w:cs="Arial"/>
                <w:lang w:val="en-CA"/>
              </w:rPr>
            </w:pPr>
            <w:proofErr w:type="spellStart"/>
            <w:r w:rsidRPr="009D07E3">
              <w:rPr>
                <w:rFonts w:cs="Arial"/>
                <w:lang w:val="en-CA"/>
              </w:rPr>
              <w:t>Undang</w:t>
            </w:r>
            <w:proofErr w:type="spellEnd"/>
            <w:r w:rsidRPr="009D07E3">
              <w:rPr>
                <w:rFonts w:cs="Arial"/>
                <w:lang w:val="en-CA"/>
              </w:rPr>
              <w:t xml:space="preserve"> – </w:t>
            </w:r>
            <w:proofErr w:type="spellStart"/>
            <w:r w:rsidRPr="009D07E3">
              <w:rPr>
                <w:rFonts w:cs="Arial"/>
                <w:lang w:val="en-CA"/>
              </w:rPr>
              <w:t>Undang</w:t>
            </w:r>
            <w:proofErr w:type="spellEnd"/>
            <w:r w:rsidRPr="009D07E3">
              <w:rPr>
                <w:rFonts w:cs="Arial"/>
                <w:lang w:val="en-CA"/>
              </w:rPr>
              <w:t xml:space="preserve"> </w:t>
            </w:r>
            <w:proofErr w:type="spellStart"/>
            <w:r w:rsidRPr="009D07E3">
              <w:rPr>
                <w:rFonts w:cs="Arial"/>
                <w:lang w:val="en-CA"/>
              </w:rPr>
              <w:t>Desa</w:t>
            </w:r>
            <w:proofErr w:type="spellEnd"/>
          </w:p>
        </w:tc>
      </w:tr>
      <w:tr w:rsidR="008D0006" w:rsidRPr="009D07E3" w14:paraId="0D4F0CCD" w14:textId="77777777" w:rsidTr="008D0006">
        <w:tc>
          <w:tcPr>
            <w:tcW w:w="2268" w:type="dxa"/>
          </w:tcPr>
          <w:p w14:paraId="3AE71C14" w14:textId="17141F42" w:rsidR="008D0006" w:rsidRPr="009D07E3" w:rsidRDefault="008D0006" w:rsidP="00DD3D96">
            <w:pPr>
              <w:pStyle w:val="ListParagraph"/>
              <w:spacing w:after="60"/>
              <w:ind w:left="0"/>
              <w:contextualSpacing w:val="0"/>
              <w:rPr>
                <w:rFonts w:cs="Arial"/>
                <w:lang w:val="en-CA"/>
              </w:rPr>
            </w:pPr>
            <w:r w:rsidRPr="009D07E3">
              <w:rPr>
                <w:rFonts w:cs="Arial"/>
                <w:lang w:val="en-CA"/>
              </w:rPr>
              <w:t>UNFPA</w:t>
            </w:r>
          </w:p>
        </w:tc>
        <w:tc>
          <w:tcPr>
            <w:tcW w:w="6761" w:type="dxa"/>
          </w:tcPr>
          <w:p w14:paraId="4F2D0614" w14:textId="77777777" w:rsidR="008D0006" w:rsidRPr="009D07E3" w:rsidRDefault="008D0006" w:rsidP="008D0006">
            <w:pPr>
              <w:pStyle w:val="ListParagraph"/>
              <w:spacing w:after="60"/>
              <w:ind w:left="0"/>
              <w:contextualSpacing w:val="0"/>
              <w:rPr>
                <w:rFonts w:cs="Arial"/>
                <w:lang w:val="en-CA"/>
              </w:rPr>
            </w:pPr>
            <w:r w:rsidRPr="009D07E3">
              <w:rPr>
                <w:rFonts w:cs="Arial"/>
                <w:lang w:val="en-CA"/>
              </w:rPr>
              <w:t>United Nations Population Fund</w:t>
            </w:r>
          </w:p>
        </w:tc>
      </w:tr>
      <w:tr w:rsidR="008D0006" w:rsidRPr="009D07E3" w14:paraId="3986D749" w14:textId="77777777" w:rsidTr="008D0006">
        <w:tc>
          <w:tcPr>
            <w:tcW w:w="2268" w:type="dxa"/>
          </w:tcPr>
          <w:p w14:paraId="546B708F" w14:textId="77777777" w:rsidR="008D0006" w:rsidRPr="009D07E3" w:rsidRDefault="008D0006" w:rsidP="008D0006">
            <w:pPr>
              <w:pStyle w:val="ListParagraph"/>
              <w:spacing w:after="60"/>
              <w:ind w:left="0"/>
              <w:contextualSpacing w:val="0"/>
              <w:rPr>
                <w:rFonts w:cs="Arial"/>
                <w:lang w:val="en-CA"/>
              </w:rPr>
            </w:pPr>
          </w:p>
        </w:tc>
        <w:tc>
          <w:tcPr>
            <w:tcW w:w="6761" w:type="dxa"/>
          </w:tcPr>
          <w:p w14:paraId="38CA074D" w14:textId="77777777" w:rsidR="008D0006" w:rsidRPr="009D07E3" w:rsidRDefault="008D0006" w:rsidP="008D0006">
            <w:pPr>
              <w:pStyle w:val="ListParagraph"/>
              <w:spacing w:after="60"/>
              <w:ind w:left="0"/>
              <w:contextualSpacing w:val="0"/>
              <w:rPr>
                <w:rFonts w:cs="Arial"/>
                <w:lang w:val="en-CA"/>
              </w:rPr>
            </w:pPr>
          </w:p>
        </w:tc>
      </w:tr>
      <w:tr w:rsidR="008D0006" w:rsidRPr="009D07E3" w14:paraId="702E4689" w14:textId="77777777" w:rsidTr="008D0006">
        <w:tc>
          <w:tcPr>
            <w:tcW w:w="2268" w:type="dxa"/>
          </w:tcPr>
          <w:p w14:paraId="2CAADEA7" w14:textId="79FFDA00" w:rsidR="008D0006" w:rsidRPr="009D07E3" w:rsidRDefault="008D0006" w:rsidP="00DD3D96">
            <w:pPr>
              <w:pStyle w:val="ListParagraph"/>
              <w:spacing w:after="60"/>
              <w:ind w:left="0"/>
              <w:contextualSpacing w:val="0"/>
              <w:rPr>
                <w:rFonts w:cs="Arial"/>
                <w:lang w:val="en-CA"/>
              </w:rPr>
            </w:pPr>
            <w:r w:rsidRPr="009D07E3">
              <w:rPr>
                <w:rFonts w:cs="Arial"/>
                <w:lang w:val="en-CA"/>
              </w:rPr>
              <w:t>WEIGO</w:t>
            </w:r>
          </w:p>
        </w:tc>
        <w:tc>
          <w:tcPr>
            <w:tcW w:w="6761" w:type="dxa"/>
          </w:tcPr>
          <w:p w14:paraId="322C7FC4" w14:textId="77777777" w:rsidR="008D0006" w:rsidRPr="009D07E3" w:rsidRDefault="008D0006" w:rsidP="008D0006">
            <w:pPr>
              <w:pStyle w:val="ListParagraph"/>
              <w:spacing w:after="60"/>
              <w:ind w:left="0"/>
              <w:contextualSpacing w:val="0"/>
              <w:rPr>
                <w:rFonts w:cs="Arial"/>
                <w:lang w:val="en-CA"/>
              </w:rPr>
            </w:pPr>
            <w:r w:rsidRPr="009D07E3">
              <w:rPr>
                <w:rFonts w:cs="Arial"/>
                <w:lang w:val="en-CA"/>
              </w:rPr>
              <w:t>Women in Informal Employment Globalizing and Organizing</w:t>
            </w:r>
          </w:p>
        </w:tc>
      </w:tr>
    </w:tbl>
    <w:p w14:paraId="574701C2" w14:textId="77777777" w:rsidR="004C26E2" w:rsidRPr="009D07E3" w:rsidRDefault="004C26E2">
      <w:pPr>
        <w:rPr>
          <w:rFonts w:cs="Arial"/>
          <w:lang w:val="en-CA"/>
        </w:rPr>
      </w:pPr>
    </w:p>
    <w:p w14:paraId="2BF8C2E2" w14:textId="77777777" w:rsidR="004C26E2" w:rsidRPr="009D07E3" w:rsidRDefault="004C26E2" w:rsidP="006E3E51">
      <w:pPr>
        <w:pStyle w:val="Heading1"/>
        <w:rPr>
          <w:lang w:val="en-CA"/>
        </w:rPr>
        <w:sectPr w:rsidR="004C26E2" w:rsidRPr="009D07E3" w:rsidSect="00614064">
          <w:type w:val="nextColumn"/>
          <w:pgSz w:w="11909" w:h="16834" w:code="9"/>
          <w:pgMar w:top="1440" w:right="1440" w:bottom="1440" w:left="1440" w:header="720" w:footer="720" w:gutter="0"/>
          <w:pgNumType w:fmt="lowerRoman"/>
          <w:cols w:space="708"/>
          <w:docGrid w:linePitch="360"/>
        </w:sectPr>
      </w:pPr>
    </w:p>
    <w:p w14:paraId="400E56D1" w14:textId="662707D0" w:rsidR="00981F10" w:rsidRPr="009D07E3" w:rsidRDefault="00AD7377" w:rsidP="006E3E51">
      <w:pPr>
        <w:pStyle w:val="Heading1"/>
        <w:rPr>
          <w:lang w:val="en-CA"/>
        </w:rPr>
      </w:pPr>
      <w:bookmarkStart w:id="1" w:name="_Toc423438689"/>
      <w:r w:rsidRPr="009D07E3">
        <w:rPr>
          <w:lang w:val="en-CA"/>
        </w:rPr>
        <w:t>Situational An</w:t>
      </w:r>
      <w:r w:rsidR="00153A50" w:rsidRPr="009D07E3">
        <w:rPr>
          <w:lang w:val="en-CA"/>
        </w:rPr>
        <w:t>alysis</w:t>
      </w:r>
      <w:bookmarkEnd w:id="1"/>
    </w:p>
    <w:p w14:paraId="380C92C0" w14:textId="6B9F3DE9" w:rsidR="001851B8" w:rsidRPr="009D07E3" w:rsidRDefault="001851B8" w:rsidP="000A333F">
      <w:pPr>
        <w:rPr>
          <w:rFonts w:cs="Arial"/>
          <w:lang w:val="en-CA"/>
        </w:rPr>
      </w:pPr>
      <w:r w:rsidRPr="009D07E3">
        <w:rPr>
          <w:rFonts w:cs="Arial"/>
          <w:lang w:val="en-CA"/>
        </w:rPr>
        <w:t xml:space="preserve">The </w:t>
      </w:r>
      <w:r w:rsidR="003953E7" w:rsidRPr="009D07E3">
        <w:rPr>
          <w:rFonts w:cs="Arial"/>
          <w:lang w:val="en-CA"/>
        </w:rPr>
        <w:t xml:space="preserve">following </w:t>
      </w:r>
      <w:r w:rsidRPr="009D07E3">
        <w:rPr>
          <w:rFonts w:cs="Arial"/>
          <w:lang w:val="en-CA"/>
        </w:rPr>
        <w:t xml:space="preserve">situational analysis summarises changes </w:t>
      </w:r>
      <w:r w:rsidR="00426C88" w:rsidRPr="009D07E3">
        <w:rPr>
          <w:rFonts w:cs="Arial"/>
          <w:lang w:val="en-CA"/>
        </w:rPr>
        <w:t xml:space="preserve">in progress, trends and forecasts </w:t>
      </w:r>
      <w:r w:rsidR="00796886" w:rsidRPr="009D07E3">
        <w:rPr>
          <w:rFonts w:cs="Arial"/>
          <w:lang w:val="en-CA"/>
        </w:rPr>
        <w:t xml:space="preserve">since the start of the program that are </w:t>
      </w:r>
      <w:r w:rsidR="00426C88" w:rsidRPr="009D07E3">
        <w:rPr>
          <w:rFonts w:cs="Arial"/>
          <w:lang w:val="en-CA"/>
        </w:rPr>
        <w:t xml:space="preserve">relevant to the overall rationale for MAMPU and to </w:t>
      </w:r>
      <w:r w:rsidR="00796886" w:rsidRPr="009D07E3">
        <w:rPr>
          <w:rFonts w:cs="Arial"/>
          <w:lang w:val="en-CA"/>
        </w:rPr>
        <w:t xml:space="preserve">each of </w:t>
      </w:r>
      <w:r w:rsidR="00426C88" w:rsidRPr="009D07E3">
        <w:rPr>
          <w:rFonts w:cs="Arial"/>
          <w:lang w:val="en-CA"/>
        </w:rPr>
        <w:t xml:space="preserve">the thematic areas. </w:t>
      </w:r>
    </w:p>
    <w:p w14:paraId="2F2BF745" w14:textId="77777777" w:rsidR="006403C7" w:rsidRPr="009D07E3" w:rsidRDefault="006403C7" w:rsidP="000A333F">
      <w:pPr>
        <w:rPr>
          <w:rFonts w:cs="Arial"/>
          <w:lang w:val="en-CA"/>
        </w:rPr>
      </w:pPr>
    </w:p>
    <w:p w14:paraId="5D6FFD7D" w14:textId="77777777" w:rsidR="00630535" w:rsidRPr="009D07E3" w:rsidRDefault="00630535" w:rsidP="00630535">
      <w:pPr>
        <w:rPr>
          <w:rFonts w:cs="Arial"/>
          <w:lang w:val="en-CA"/>
        </w:rPr>
      </w:pPr>
    </w:p>
    <w:p w14:paraId="2C5C8A8A" w14:textId="77777777" w:rsidR="00630535" w:rsidRPr="009D07E3" w:rsidRDefault="00630535" w:rsidP="00630535">
      <w:pPr>
        <w:pStyle w:val="Heading2"/>
        <w:rPr>
          <w:lang w:val="en-CA"/>
        </w:rPr>
      </w:pPr>
      <w:bookmarkStart w:id="2" w:name="_Toc423438690"/>
      <w:r w:rsidRPr="009D07E3">
        <w:rPr>
          <w:lang w:val="en-CA"/>
        </w:rPr>
        <w:t>Political Context</w:t>
      </w:r>
      <w:bookmarkEnd w:id="2"/>
    </w:p>
    <w:p w14:paraId="753B99B6" w14:textId="77777777" w:rsidR="00630535" w:rsidRPr="009D07E3" w:rsidRDefault="00630535" w:rsidP="00630535">
      <w:pPr>
        <w:rPr>
          <w:lang w:val="en-CA"/>
        </w:rPr>
      </w:pPr>
    </w:p>
    <w:p w14:paraId="0A84C332" w14:textId="40D76D51" w:rsidR="00630535" w:rsidRPr="009D07E3" w:rsidRDefault="00630535" w:rsidP="00630535">
      <w:pPr>
        <w:rPr>
          <w:rFonts w:cs="Arial"/>
          <w:lang w:val="en-CA"/>
        </w:rPr>
      </w:pPr>
      <w:r w:rsidRPr="009D07E3">
        <w:rPr>
          <w:rFonts w:cs="Arial"/>
          <w:lang w:val="en-CA"/>
        </w:rPr>
        <w:t>The underlying aim of MAMPU is to enable engagement between individuals and groups</w:t>
      </w:r>
      <w:r w:rsidR="008C242A">
        <w:rPr>
          <w:rFonts w:cs="Arial"/>
          <w:lang w:val="en-CA"/>
        </w:rPr>
        <w:t>,</w:t>
      </w:r>
      <w:r w:rsidRPr="009D07E3">
        <w:rPr>
          <w:rFonts w:cs="Arial"/>
          <w:lang w:val="en-CA"/>
        </w:rPr>
        <w:t xml:space="preserve"> promoting gender e</w:t>
      </w:r>
      <w:r w:rsidR="008C242A">
        <w:rPr>
          <w:rFonts w:cs="Arial"/>
          <w:lang w:val="en-CA"/>
        </w:rPr>
        <w:t>quality and women’s rights, and</w:t>
      </w:r>
      <w:r w:rsidRPr="009D07E3">
        <w:rPr>
          <w:rFonts w:cs="Arial"/>
          <w:lang w:val="en-CA"/>
        </w:rPr>
        <w:t xml:space="preserve"> decision makers engaged in policy formulation, resources allocation and implementation of programs. This would influence change that would improve poor women’s access to services and livelihoods.  Several changes since the start of the program have altered the political context within which MAMPU, and MAMPU partners are operating. </w:t>
      </w:r>
    </w:p>
    <w:p w14:paraId="2241142E" w14:textId="77777777" w:rsidR="00630535" w:rsidRPr="009D07E3" w:rsidRDefault="00630535" w:rsidP="00630535">
      <w:pPr>
        <w:rPr>
          <w:rFonts w:cs="Arial"/>
          <w:lang w:val="en-CA"/>
        </w:rPr>
      </w:pPr>
    </w:p>
    <w:p w14:paraId="35AFF956" w14:textId="77777777" w:rsidR="00630535" w:rsidRPr="009D07E3" w:rsidRDefault="00630535" w:rsidP="00630535">
      <w:pPr>
        <w:rPr>
          <w:rFonts w:cs="Arial"/>
          <w:lang w:val="en-CA"/>
        </w:rPr>
      </w:pPr>
      <w:r w:rsidRPr="009D07E3">
        <w:rPr>
          <w:rFonts w:cs="Arial"/>
          <w:lang w:val="en-CA"/>
        </w:rPr>
        <w:t>Amongst these are the changes following the elections in 2014.  Following the euphoria of the President’s election in 2014, there were encouraging signs that Jokowi was consulting widely with civil society through the ‘transition team’ process, leading to the ‘</w:t>
      </w:r>
      <w:proofErr w:type="spellStart"/>
      <w:r w:rsidRPr="009D07E3">
        <w:rPr>
          <w:rFonts w:cs="Arial"/>
          <w:lang w:val="en-CA"/>
        </w:rPr>
        <w:t>Visi</w:t>
      </w:r>
      <w:proofErr w:type="spellEnd"/>
      <w:r w:rsidRPr="009D07E3">
        <w:rPr>
          <w:rFonts w:cs="Arial"/>
          <w:lang w:val="en-CA"/>
        </w:rPr>
        <w:t xml:space="preserve"> Jokowi-JK’ document that set out policy ideas and proposed reforms across every aspect of government. However, in recent months, disquiet has grown amongst supporters after a raft of policies and announcements appeared to send mixed messages regarding the President’s continued commitment to the many principles and values that had defined his political platform. It is too early to tell to what extent this is merely a necessary phase of the inevitable power struggles being played out between Jokowi and longstanding political and economic elites, which may be expected to settle down over the coming months.</w:t>
      </w:r>
    </w:p>
    <w:p w14:paraId="3AFD1CCD" w14:textId="77777777" w:rsidR="00630535" w:rsidRPr="009D07E3" w:rsidRDefault="00630535" w:rsidP="00630535">
      <w:pPr>
        <w:rPr>
          <w:rFonts w:cs="Arial"/>
          <w:lang w:val="en-CA"/>
        </w:rPr>
      </w:pPr>
    </w:p>
    <w:p w14:paraId="1B46C608" w14:textId="20E479FC" w:rsidR="00630535" w:rsidRPr="009D07E3" w:rsidRDefault="00630535" w:rsidP="00630535">
      <w:pPr>
        <w:tabs>
          <w:tab w:val="left" w:pos="284"/>
        </w:tabs>
        <w:rPr>
          <w:rFonts w:cs="Arial"/>
          <w:lang w:val="en-CA"/>
        </w:rPr>
      </w:pPr>
      <w:r w:rsidRPr="009D07E3">
        <w:rPr>
          <w:rFonts w:cs="Arial"/>
          <w:lang w:val="en-CA"/>
        </w:rPr>
        <w:t>The proportion of women elected to national parliament in 2014 fell slightly over the previous period from 18% to 17.3%, with 97 women elected compared to 99 in the previou</w:t>
      </w:r>
      <w:r w:rsidR="008C242A">
        <w:rPr>
          <w:rFonts w:cs="Arial"/>
          <w:lang w:val="en-CA"/>
        </w:rPr>
        <w:t xml:space="preserve">s parliament.  Percentages </w:t>
      </w:r>
      <w:r w:rsidRPr="009D07E3">
        <w:rPr>
          <w:rFonts w:cs="Arial"/>
          <w:lang w:val="en-CA"/>
        </w:rPr>
        <w:t>also declined in the regional representative council (DPD) at 26.51%.  Eight women have been appointed to ministerial positions – the highest number in Indonesia</w:t>
      </w:r>
      <w:r w:rsidR="002F440D">
        <w:rPr>
          <w:rFonts w:cs="Arial"/>
          <w:lang w:val="en-CA"/>
        </w:rPr>
        <w:t>n</w:t>
      </w:r>
      <w:r w:rsidRPr="009D07E3">
        <w:rPr>
          <w:rFonts w:cs="Arial"/>
          <w:lang w:val="en-CA"/>
        </w:rPr>
        <w:t xml:space="preserve"> history.  Women have been appointed to several key ministerial positions including the first female ministers for Foreign Affairs, Forestry and Environment, and Maritime Affairs and Fisheries. Other ministerial appointments have been well received by civil society such as the appointment of an academic (rather than a party apparatchik) to head the Ministry for National Planning and Development (BAPPENAS), demonstrating the President’s desire to break with tradition. MAMPU Partners have indicated that some of the changes have created more space for dialogue with new government colleagues. The government is still new and those m</w:t>
      </w:r>
      <w:r w:rsidR="008C242A">
        <w:rPr>
          <w:rFonts w:cs="Arial"/>
          <w:lang w:val="en-CA"/>
        </w:rPr>
        <w:t>inisters with less experience in</w:t>
      </w:r>
      <w:r w:rsidRPr="009D07E3">
        <w:rPr>
          <w:rFonts w:cs="Arial"/>
          <w:lang w:val="en-CA"/>
        </w:rPr>
        <w:t xml:space="preserve"> managing the bureaucracy will need more time to understand the issues facing the country and its people. </w:t>
      </w:r>
    </w:p>
    <w:p w14:paraId="0527E76B" w14:textId="77777777" w:rsidR="00630535" w:rsidRPr="009D07E3" w:rsidRDefault="00630535" w:rsidP="00630535">
      <w:pPr>
        <w:tabs>
          <w:tab w:val="left" w:pos="284"/>
        </w:tabs>
        <w:rPr>
          <w:rFonts w:cs="Arial"/>
          <w:lang w:val="en-CA"/>
        </w:rPr>
      </w:pPr>
    </w:p>
    <w:p w14:paraId="66E5A46C" w14:textId="00FC059F" w:rsidR="00630535" w:rsidRPr="009D07E3" w:rsidRDefault="00630535" w:rsidP="00630535">
      <w:pPr>
        <w:rPr>
          <w:rFonts w:cs="Arial"/>
          <w:lang w:val="en-CA"/>
        </w:rPr>
      </w:pPr>
      <w:r w:rsidRPr="009D07E3">
        <w:rPr>
          <w:rFonts w:cs="Arial"/>
          <w:lang w:val="en-CA"/>
        </w:rPr>
        <w:t>The percenta</w:t>
      </w:r>
      <w:r w:rsidR="00B12A3F">
        <w:rPr>
          <w:rFonts w:cs="Arial"/>
          <w:lang w:val="en-CA"/>
        </w:rPr>
        <w:t>ge of women</w:t>
      </w:r>
      <w:r w:rsidR="008C242A">
        <w:rPr>
          <w:rFonts w:cs="Arial"/>
          <w:lang w:val="en-CA"/>
        </w:rPr>
        <w:t>’s representation</w:t>
      </w:r>
      <w:r w:rsidR="00B12A3F">
        <w:rPr>
          <w:rFonts w:cs="Arial"/>
          <w:lang w:val="en-CA"/>
        </w:rPr>
        <w:t xml:space="preserve"> decreased</w:t>
      </w:r>
      <w:r w:rsidRPr="009D07E3">
        <w:rPr>
          <w:rFonts w:cs="Arial"/>
          <w:lang w:val="en-CA"/>
        </w:rPr>
        <w:t xml:space="preserve"> a</w:t>
      </w:r>
      <w:r w:rsidR="00B12A3F">
        <w:rPr>
          <w:rFonts w:cs="Arial"/>
          <w:lang w:val="en-CA"/>
        </w:rPr>
        <w:t>t</w:t>
      </w:r>
      <w:r w:rsidRPr="009D07E3">
        <w:rPr>
          <w:rFonts w:cs="Arial"/>
          <w:lang w:val="en-CA"/>
        </w:rPr>
        <w:t xml:space="preserve"> sub-national levels and is only 16.41% in the provincial legislative bodies (DPRD </w:t>
      </w:r>
      <w:proofErr w:type="spellStart"/>
      <w:r w:rsidRPr="009D07E3">
        <w:rPr>
          <w:rFonts w:cs="Arial"/>
          <w:lang w:val="en-CA"/>
        </w:rPr>
        <w:t>Propinsi</w:t>
      </w:r>
      <w:proofErr w:type="spellEnd"/>
      <w:r w:rsidRPr="009D07E3">
        <w:rPr>
          <w:rFonts w:cs="Arial"/>
          <w:lang w:val="en-CA"/>
        </w:rPr>
        <w:t>) and is lowest in the district level legislative bodies where the percentage of women members is only</w:t>
      </w:r>
      <w:r w:rsidR="00B12A3F">
        <w:rPr>
          <w:rFonts w:cs="Arial"/>
          <w:lang w:val="en-CA"/>
        </w:rPr>
        <w:t xml:space="preserve"> 14%.  On the bright side, this</w:t>
      </w:r>
      <w:r w:rsidRPr="009D07E3">
        <w:rPr>
          <w:rFonts w:cs="Arial"/>
          <w:lang w:val="en-CA"/>
        </w:rPr>
        <w:t xml:space="preserve"> has been a 2% increase over previous years at this level. The district level remains a key </w:t>
      </w:r>
      <w:proofErr w:type="gramStart"/>
      <w:r w:rsidRPr="009D07E3">
        <w:rPr>
          <w:rFonts w:cs="Arial"/>
          <w:lang w:val="en-CA"/>
        </w:rPr>
        <w:t>level at which there are</w:t>
      </w:r>
      <w:proofErr w:type="gramEnd"/>
      <w:r w:rsidRPr="009D07E3">
        <w:rPr>
          <w:rFonts w:cs="Arial"/>
          <w:lang w:val="en-CA"/>
        </w:rPr>
        <w:t xml:space="preserve"> opportunities for women to influence local regulation and the delivery of services.  It is also the level at which networks and collaboration with women parliamentarians can be most effectively built.</w:t>
      </w:r>
    </w:p>
    <w:p w14:paraId="12E1B80D" w14:textId="77777777" w:rsidR="00630535" w:rsidRPr="009D07E3" w:rsidRDefault="00630535" w:rsidP="00630535">
      <w:pPr>
        <w:rPr>
          <w:rFonts w:cs="Arial"/>
          <w:lang w:val="en-CA"/>
        </w:rPr>
      </w:pPr>
    </w:p>
    <w:p w14:paraId="16C9ECEC" w14:textId="419A5DF2" w:rsidR="00630535" w:rsidRPr="009D07E3" w:rsidRDefault="00630535" w:rsidP="00630535">
      <w:pPr>
        <w:tabs>
          <w:tab w:val="left" w:pos="284"/>
        </w:tabs>
        <w:rPr>
          <w:rFonts w:cs="Arial"/>
          <w:lang w:val="en-CA"/>
        </w:rPr>
      </w:pPr>
      <w:r w:rsidRPr="009D07E3">
        <w:rPr>
          <w:rFonts w:cs="Arial"/>
          <w:lang w:val="en-CA"/>
        </w:rPr>
        <w:t>Another risk is that the new tide of nationalism is much more entwined with political Islam than it was previously. Former President Suharto used nationalism to neutralise Islamism, but now Islamism has a nationalist tint. This is exemplified by the ongoing programme by MUI to challenge certain laws – many of them related to the economy – in the constitutional court (MK).  Their recent victories co</w:t>
      </w:r>
      <w:r w:rsidR="00935CCE">
        <w:rPr>
          <w:rFonts w:cs="Arial"/>
          <w:lang w:val="en-CA"/>
        </w:rPr>
        <w:t xml:space="preserve">upled with an increase in </w:t>
      </w:r>
      <w:proofErr w:type="spellStart"/>
      <w:r w:rsidR="00935CCE">
        <w:rPr>
          <w:rFonts w:cs="Arial"/>
          <w:lang w:val="en-CA"/>
        </w:rPr>
        <w:t>Syariah</w:t>
      </w:r>
      <w:proofErr w:type="spellEnd"/>
      <w:r w:rsidRPr="009D07E3">
        <w:rPr>
          <w:rFonts w:cs="Arial"/>
          <w:lang w:val="en-CA"/>
        </w:rPr>
        <w:t xml:space="preserve">-based </w:t>
      </w:r>
      <w:r w:rsidR="00935CCE">
        <w:rPr>
          <w:rFonts w:cs="Arial"/>
          <w:lang w:val="en-CA"/>
        </w:rPr>
        <w:t xml:space="preserve">local regulations (e.g. in </w:t>
      </w:r>
      <w:proofErr w:type="spellStart"/>
      <w:r w:rsidR="00935CCE">
        <w:rPr>
          <w:rFonts w:cs="Arial"/>
          <w:lang w:val="en-CA"/>
        </w:rPr>
        <w:t>Banten</w:t>
      </w:r>
      <w:proofErr w:type="spellEnd"/>
      <w:r w:rsidRPr="009D07E3">
        <w:rPr>
          <w:rFonts w:cs="Arial"/>
          <w:lang w:val="en-CA"/>
        </w:rPr>
        <w:t xml:space="preserve">, Banda Aceh and </w:t>
      </w:r>
      <w:proofErr w:type="spellStart"/>
      <w:r w:rsidRPr="009D07E3">
        <w:rPr>
          <w:rFonts w:cs="Arial"/>
          <w:lang w:val="en-CA"/>
        </w:rPr>
        <w:t>Kendari</w:t>
      </w:r>
      <w:proofErr w:type="spellEnd"/>
      <w:r w:rsidRPr="009D07E3">
        <w:rPr>
          <w:rFonts w:cs="Arial"/>
          <w:lang w:val="en-CA"/>
        </w:rPr>
        <w:t>) that impose various restrictions on women, such as Islamic dress codes for female civil servants and curfews for women</w:t>
      </w:r>
      <w:r w:rsidR="003F6D29">
        <w:rPr>
          <w:rFonts w:cs="Arial"/>
          <w:lang w:val="en-CA"/>
        </w:rPr>
        <w:t>,</w:t>
      </w:r>
      <w:r w:rsidRPr="009D07E3">
        <w:rPr>
          <w:rFonts w:cs="Arial"/>
          <w:lang w:val="en-CA"/>
        </w:rPr>
        <w:t xml:space="preserve"> gives concern that religion is being integrated into Indonesian laws.  There is growing recognition of how the combination of state and religion poses a particular challenge for women’s organizations.  A rece</w:t>
      </w:r>
      <w:r w:rsidR="003F6D29">
        <w:rPr>
          <w:rFonts w:cs="Arial"/>
          <w:lang w:val="en-CA"/>
        </w:rPr>
        <w:t>nt UN Women report highlights: “</w:t>
      </w:r>
      <w:r w:rsidRPr="009D07E3">
        <w:rPr>
          <w:rFonts w:cs="Arial"/>
          <w:i/>
          <w:lang w:val="en-CA"/>
        </w:rPr>
        <w:t>In countries where the state plays an active role in upholding religious practices, doctrines and institutions, family law tends to discriminate against women.</w:t>
      </w:r>
      <w:r w:rsidRPr="009D07E3">
        <w:rPr>
          <w:rFonts w:cs="Arial"/>
          <w:lang w:val="en-CA"/>
        </w:rPr>
        <w:t xml:space="preserve">” </w:t>
      </w:r>
      <w:r w:rsidRPr="009D07E3">
        <w:rPr>
          <w:rStyle w:val="FootnoteReference"/>
          <w:rFonts w:cs="Arial"/>
          <w:lang w:val="en-CA"/>
        </w:rPr>
        <w:footnoteReference w:id="1"/>
      </w:r>
    </w:p>
    <w:p w14:paraId="5B92D3CD" w14:textId="0CE87DE4" w:rsidR="00630535" w:rsidRPr="009D07E3" w:rsidRDefault="00630535" w:rsidP="00630535">
      <w:pPr>
        <w:tabs>
          <w:tab w:val="left" w:pos="284"/>
        </w:tabs>
        <w:rPr>
          <w:rFonts w:cs="Arial"/>
          <w:lang w:val="en-CA"/>
        </w:rPr>
      </w:pPr>
      <w:r w:rsidRPr="009D07E3">
        <w:rPr>
          <w:rFonts w:cs="Arial"/>
          <w:lang w:val="en-CA"/>
        </w:rPr>
        <w:t xml:space="preserve">At the local level, the most significant change has been the introduction of the village law (UU </w:t>
      </w:r>
      <w:proofErr w:type="spellStart"/>
      <w:r w:rsidRPr="009D07E3">
        <w:rPr>
          <w:rFonts w:cs="Arial"/>
          <w:lang w:val="en-CA"/>
        </w:rPr>
        <w:t>Desa</w:t>
      </w:r>
      <w:proofErr w:type="spellEnd"/>
      <w:r w:rsidRPr="009D07E3">
        <w:rPr>
          <w:rFonts w:cs="Arial"/>
          <w:lang w:val="en-CA"/>
        </w:rPr>
        <w:t xml:space="preserve"> No 6/2014).  Under this law, the amount of money that will pass directly to the villages will increase considerably, and villages will have a greater role in either</w:t>
      </w:r>
      <w:r w:rsidR="002A5DC4">
        <w:rPr>
          <w:rFonts w:cs="Arial"/>
          <w:lang w:val="en-CA"/>
        </w:rPr>
        <w:t xml:space="preserve"> directly</w:t>
      </w:r>
      <w:r w:rsidRPr="009D07E3">
        <w:rPr>
          <w:rFonts w:cs="Arial"/>
          <w:lang w:val="en-CA"/>
        </w:rPr>
        <w:t xml:space="preserve"> providing, or enabling access to, services.   The voice of women at the village level either comes through their active participation in village decision-making forums or their formal representation in village government (BPD).  Few women, if any, are elected to the BPD for various reasons including the need to meet certain criteria.   Despite many years of project rules mandating participation of women in planning, decision-making, project implementation, and monitoring under the previous village grants program, PNPM, the active participation of women has been a continuing challenge.  In some parts of Indonesia, the women’s mass organization, the PKK, has seen a resurgence helped by </w:t>
      </w:r>
      <w:r w:rsidR="0008421C">
        <w:rPr>
          <w:rFonts w:cs="Arial"/>
          <w:lang w:val="en-CA"/>
        </w:rPr>
        <w:t>an</w:t>
      </w:r>
      <w:r w:rsidR="00907E61">
        <w:rPr>
          <w:rFonts w:cs="Arial"/>
          <w:lang w:val="en-CA"/>
        </w:rPr>
        <w:t xml:space="preserve"> </w:t>
      </w:r>
      <w:r w:rsidRPr="009D07E3">
        <w:rPr>
          <w:rFonts w:cs="Arial"/>
          <w:lang w:val="en-CA"/>
        </w:rPr>
        <w:t>increa</w:t>
      </w:r>
      <w:r w:rsidR="00E9213B">
        <w:rPr>
          <w:rFonts w:cs="Arial"/>
          <w:lang w:val="en-CA"/>
        </w:rPr>
        <w:t>se in the government budget it</w:t>
      </w:r>
      <w:r w:rsidRPr="009D07E3">
        <w:rPr>
          <w:rFonts w:cs="Arial"/>
          <w:lang w:val="en-CA"/>
        </w:rPr>
        <w:t xml:space="preserve"> receive</w:t>
      </w:r>
      <w:r w:rsidR="00E9213B">
        <w:rPr>
          <w:rFonts w:cs="Arial"/>
          <w:lang w:val="en-CA"/>
        </w:rPr>
        <w:t>s</w:t>
      </w:r>
      <w:r w:rsidRPr="009D07E3">
        <w:rPr>
          <w:rFonts w:cs="Arial"/>
          <w:lang w:val="en-CA"/>
        </w:rPr>
        <w:t>.  Where it is strong, the PKK acts as the gatekeeper – becoming the formal representative of women in village decision-making on one hand, and</w:t>
      </w:r>
      <w:r w:rsidR="001F5B05">
        <w:rPr>
          <w:rFonts w:cs="Arial"/>
          <w:lang w:val="en-CA"/>
        </w:rPr>
        <w:t>,</w:t>
      </w:r>
      <w:r w:rsidRPr="009D07E3">
        <w:rPr>
          <w:rFonts w:cs="Arial"/>
          <w:lang w:val="en-CA"/>
        </w:rPr>
        <w:t xml:space="preserve"> on the other, reinforcing gender norms and the role of women as homemakers in the community.  There is an increased urgency to empower poor women at the village level so they also have a voice in how these resources are allocated.    </w:t>
      </w:r>
    </w:p>
    <w:p w14:paraId="2AD456E9" w14:textId="77777777" w:rsidR="00630535" w:rsidRPr="009D07E3" w:rsidRDefault="00630535" w:rsidP="00630535">
      <w:pPr>
        <w:tabs>
          <w:tab w:val="left" w:pos="284"/>
        </w:tabs>
        <w:rPr>
          <w:rFonts w:cs="Arial"/>
          <w:lang w:val="en-CA"/>
        </w:rPr>
      </w:pPr>
    </w:p>
    <w:p w14:paraId="2F16F0A7" w14:textId="53FBC322" w:rsidR="00630535" w:rsidRDefault="00630535" w:rsidP="00630535">
      <w:pPr>
        <w:tabs>
          <w:tab w:val="left" w:pos="284"/>
        </w:tabs>
        <w:rPr>
          <w:rFonts w:cs="Arial"/>
          <w:lang w:val="en-CA"/>
        </w:rPr>
      </w:pPr>
      <w:r w:rsidRPr="009D07E3">
        <w:rPr>
          <w:rFonts w:cs="Arial"/>
          <w:lang w:val="en-CA"/>
        </w:rPr>
        <w:t xml:space="preserve">The implementation of the village law is shared between the Ministry for Village Affairs and the Ministry for Home Affairs and the roles and responsibilities of each agency are still being clarified. Moreover, the Ministry of Village Affairs is newly established and </w:t>
      </w:r>
      <w:proofErr w:type="gramStart"/>
      <w:r w:rsidRPr="009D07E3">
        <w:rPr>
          <w:rFonts w:cs="Arial"/>
          <w:lang w:val="en-CA"/>
        </w:rPr>
        <w:t>staff are</w:t>
      </w:r>
      <w:proofErr w:type="gramEnd"/>
      <w:r w:rsidRPr="009D07E3">
        <w:rPr>
          <w:rFonts w:cs="Arial"/>
          <w:lang w:val="en-CA"/>
        </w:rPr>
        <w:t xml:space="preserve"> still being recruited. It may be some time before this agency is functioning properly to ensure efficient implementa</w:t>
      </w:r>
      <w:r w:rsidR="001F5B05">
        <w:rPr>
          <w:rFonts w:cs="Arial"/>
          <w:lang w:val="en-CA"/>
        </w:rPr>
        <w:t>tion of the law and that it is</w:t>
      </w:r>
      <w:r w:rsidRPr="009D07E3">
        <w:rPr>
          <w:rFonts w:cs="Arial"/>
          <w:lang w:val="en-CA"/>
        </w:rPr>
        <w:t xml:space="preserve"> able or willing to focus on women’s participation rather than the nuts and bolts of efficient disbursement of the grants.   </w:t>
      </w:r>
    </w:p>
    <w:p w14:paraId="06D297C4" w14:textId="77777777" w:rsidR="00630535" w:rsidRPr="009D07E3" w:rsidRDefault="00630535" w:rsidP="00630535">
      <w:pPr>
        <w:tabs>
          <w:tab w:val="left" w:pos="284"/>
        </w:tabs>
        <w:rPr>
          <w:rFonts w:cs="Arial"/>
          <w:lang w:val="en-CA"/>
        </w:rPr>
      </w:pPr>
    </w:p>
    <w:p w14:paraId="0A1D71ED" w14:textId="43296BE1" w:rsidR="00C95876" w:rsidRPr="009D07E3" w:rsidRDefault="001851B8" w:rsidP="008F281B">
      <w:pPr>
        <w:pStyle w:val="Heading2"/>
        <w:rPr>
          <w:lang w:val="en-CA"/>
        </w:rPr>
      </w:pPr>
      <w:bookmarkStart w:id="3" w:name="_Toc423438691"/>
      <w:r w:rsidRPr="009D07E3">
        <w:rPr>
          <w:lang w:val="en-CA"/>
        </w:rPr>
        <w:t>Economy</w:t>
      </w:r>
      <w:bookmarkEnd w:id="3"/>
    </w:p>
    <w:p w14:paraId="6F53C0AB" w14:textId="77777777" w:rsidR="006403C7" w:rsidRPr="009D07E3" w:rsidRDefault="006403C7" w:rsidP="006403C7">
      <w:pPr>
        <w:rPr>
          <w:lang w:val="en-CA"/>
        </w:rPr>
      </w:pPr>
    </w:p>
    <w:p w14:paraId="5DFF2D94" w14:textId="4EDFBB45" w:rsidR="00162C6A" w:rsidRPr="009D07E3" w:rsidRDefault="001851B8" w:rsidP="000A333F">
      <w:pPr>
        <w:rPr>
          <w:rFonts w:cs="Arial"/>
          <w:position w:val="13"/>
          <w:lang w:val="en-CA"/>
        </w:rPr>
      </w:pPr>
      <w:r w:rsidRPr="009D07E3">
        <w:rPr>
          <w:rFonts w:cs="Arial"/>
          <w:lang w:val="en-CA"/>
        </w:rPr>
        <w:t>Indonesia’s economy is forecast to continue growing</w:t>
      </w:r>
      <w:r w:rsidR="00426C88" w:rsidRPr="009D07E3">
        <w:rPr>
          <w:rFonts w:cs="Arial"/>
          <w:lang w:val="en-CA"/>
        </w:rPr>
        <w:t>,</w:t>
      </w:r>
      <w:r w:rsidRPr="009D07E3">
        <w:rPr>
          <w:rFonts w:cs="Arial"/>
          <w:lang w:val="en-CA"/>
        </w:rPr>
        <w:t xml:space="preserve"> albeit at a reduced rate compared to previous years.  </w:t>
      </w:r>
      <w:r w:rsidR="00426C88" w:rsidRPr="009D07E3">
        <w:rPr>
          <w:rFonts w:cs="Arial"/>
          <w:lang w:val="en-CA"/>
        </w:rPr>
        <w:t xml:space="preserve">The recent </w:t>
      </w:r>
      <w:r w:rsidR="00C82515" w:rsidRPr="009D07E3">
        <w:rPr>
          <w:rFonts w:cs="Arial"/>
          <w:lang w:val="en-CA"/>
        </w:rPr>
        <w:t>fall in commodity</w:t>
      </w:r>
      <w:r w:rsidR="003D073D" w:rsidRPr="009D07E3">
        <w:rPr>
          <w:rFonts w:cs="Arial"/>
          <w:lang w:val="en-CA"/>
        </w:rPr>
        <w:t xml:space="preserve"> prices has contributed to the </w:t>
      </w:r>
      <w:r w:rsidR="00CF5F1E" w:rsidRPr="009D07E3">
        <w:rPr>
          <w:rFonts w:cs="Arial"/>
          <w:lang w:val="en-CA"/>
        </w:rPr>
        <w:t>slowdown</w:t>
      </w:r>
      <w:r w:rsidR="00C82515" w:rsidRPr="009D07E3">
        <w:rPr>
          <w:rFonts w:cs="Arial"/>
          <w:lang w:val="en-CA"/>
        </w:rPr>
        <w:t>.</w:t>
      </w:r>
      <w:r w:rsidR="00426C88" w:rsidRPr="009D07E3">
        <w:rPr>
          <w:rFonts w:cs="Arial"/>
          <w:lang w:val="en-CA"/>
        </w:rPr>
        <w:t xml:space="preserve">  </w:t>
      </w:r>
      <w:r w:rsidR="00162C6A" w:rsidRPr="009D07E3">
        <w:rPr>
          <w:rFonts w:cs="Arial"/>
          <w:lang w:val="en-CA"/>
        </w:rPr>
        <w:t>In the first quarter of 2015, G</w:t>
      </w:r>
      <w:r w:rsidR="00796886" w:rsidRPr="009D07E3">
        <w:rPr>
          <w:rFonts w:cs="Arial"/>
          <w:lang w:val="en-CA"/>
        </w:rPr>
        <w:t>DP grew by 4.7% (year on year)</w:t>
      </w:r>
      <w:r w:rsidR="00796886" w:rsidRPr="0005229C">
        <w:rPr>
          <w:rStyle w:val="FootnoteReference"/>
          <w:rFonts w:cs="Arial"/>
          <w:lang w:val="en-CA"/>
        </w:rPr>
        <w:footnoteReference w:id="2"/>
      </w:r>
      <w:r w:rsidR="00796886" w:rsidRPr="0005229C">
        <w:rPr>
          <w:rFonts w:cs="Arial"/>
          <w:lang w:val="en-CA"/>
        </w:rPr>
        <w:t>.</w:t>
      </w:r>
      <w:r w:rsidR="00796886" w:rsidRPr="009D07E3">
        <w:rPr>
          <w:rFonts w:cs="Arial"/>
          <w:lang w:val="en-CA"/>
        </w:rPr>
        <w:t xml:space="preserve"> The figures for 2014 and 2013 respectively were 5.02% and 5.52%</w:t>
      </w:r>
      <w:r w:rsidR="00796886" w:rsidRPr="009D07E3">
        <w:rPr>
          <w:rStyle w:val="FootnoteReference"/>
          <w:rFonts w:cs="Arial"/>
          <w:lang w:val="en-CA"/>
        </w:rPr>
        <w:footnoteReference w:id="3"/>
      </w:r>
      <w:r w:rsidR="00796886" w:rsidRPr="009D07E3">
        <w:rPr>
          <w:rFonts w:cs="Arial"/>
          <w:lang w:val="en-CA"/>
        </w:rPr>
        <w:t xml:space="preserve">.  </w:t>
      </w:r>
      <w:r w:rsidR="00162C6A" w:rsidRPr="009D07E3">
        <w:rPr>
          <w:rFonts w:cs="Arial"/>
          <w:lang w:val="en-CA"/>
        </w:rPr>
        <w:t xml:space="preserve">Even if the growth rate recovers to 7%, Indonesia cannot meet its aspiration of </w:t>
      </w:r>
      <w:r w:rsidR="00331651" w:rsidRPr="009D07E3">
        <w:rPr>
          <w:rFonts w:cs="Arial"/>
          <w:lang w:val="en-CA"/>
        </w:rPr>
        <w:t xml:space="preserve">becoming </w:t>
      </w:r>
      <w:r w:rsidR="00162C6A" w:rsidRPr="009D07E3">
        <w:rPr>
          <w:rFonts w:cs="Arial"/>
          <w:lang w:val="en-CA"/>
        </w:rPr>
        <w:t>a higher income country until 2030 at the earliest (the government’s target was to achieve this by 2025).</w:t>
      </w:r>
    </w:p>
    <w:p w14:paraId="21846374" w14:textId="77777777" w:rsidR="00162C6A" w:rsidRPr="009D07E3" w:rsidRDefault="00162C6A" w:rsidP="000A333F">
      <w:pPr>
        <w:rPr>
          <w:rFonts w:cs="Arial"/>
          <w:position w:val="13"/>
          <w:lang w:val="en-CA"/>
        </w:rPr>
      </w:pPr>
    </w:p>
    <w:p w14:paraId="6EE82710" w14:textId="54023473" w:rsidR="00F863A2" w:rsidRPr="009D07E3" w:rsidRDefault="00955AB7" w:rsidP="000A333F">
      <w:pPr>
        <w:rPr>
          <w:rFonts w:cs="Arial"/>
          <w:lang w:val="en-CA"/>
        </w:rPr>
      </w:pPr>
      <w:r>
        <w:rPr>
          <w:rFonts w:cs="Arial"/>
          <w:lang w:val="en-CA"/>
        </w:rPr>
        <w:t xml:space="preserve">Other factors </w:t>
      </w:r>
      <w:r w:rsidR="009C4BEF" w:rsidRPr="009D07E3">
        <w:rPr>
          <w:rFonts w:cs="Arial"/>
          <w:lang w:val="en-CA"/>
        </w:rPr>
        <w:t>also contributed to the stagnation of f</w:t>
      </w:r>
      <w:r w:rsidR="00426C88" w:rsidRPr="009D07E3">
        <w:rPr>
          <w:rFonts w:cs="Arial"/>
          <w:lang w:val="en-CA"/>
        </w:rPr>
        <w:t>oreign direct investment</w:t>
      </w:r>
      <w:r w:rsidR="00743C6E" w:rsidRPr="009D07E3">
        <w:rPr>
          <w:rFonts w:cs="Arial"/>
          <w:lang w:val="en-CA"/>
        </w:rPr>
        <w:t xml:space="preserve">. </w:t>
      </w:r>
      <w:r w:rsidR="00C82515" w:rsidRPr="009D07E3">
        <w:rPr>
          <w:rFonts w:cs="Arial"/>
          <w:lang w:val="en-CA"/>
        </w:rPr>
        <w:t xml:space="preserve"> </w:t>
      </w:r>
      <w:r w:rsidR="00162C6A" w:rsidRPr="009D07E3">
        <w:rPr>
          <w:rFonts w:cs="Arial"/>
          <w:lang w:val="en-CA"/>
        </w:rPr>
        <w:t>I</w:t>
      </w:r>
      <w:r w:rsidR="00F863A2" w:rsidRPr="009D07E3">
        <w:rPr>
          <w:rFonts w:cs="Arial"/>
          <w:lang w:val="en-CA"/>
        </w:rPr>
        <w:t>nstead of working harder to increase economic capacity and attract foreign capital, the government is issuing capricious regulations, adding more sectors to the ‘negative-investment list</w:t>
      </w:r>
      <w:r w:rsidR="00331651" w:rsidRPr="009D07E3">
        <w:rPr>
          <w:rFonts w:cs="Arial"/>
          <w:lang w:val="en-CA"/>
        </w:rPr>
        <w:t>,</w:t>
      </w:r>
      <w:r w:rsidR="00F863A2" w:rsidRPr="009D07E3">
        <w:rPr>
          <w:rFonts w:cs="Arial"/>
          <w:lang w:val="en-CA"/>
        </w:rPr>
        <w:t xml:space="preserve">’ from which foreign investors are excluded. The Economist remarked </w:t>
      </w:r>
      <w:proofErr w:type="gramStart"/>
      <w:r w:rsidR="00F863A2" w:rsidRPr="009D07E3">
        <w:rPr>
          <w:rFonts w:cs="Arial"/>
          <w:lang w:val="en-CA"/>
        </w:rPr>
        <w:t xml:space="preserve">that </w:t>
      </w:r>
      <w:r w:rsidR="00331651" w:rsidRPr="009D07E3">
        <w:rPr>
          <w:rFonts w:cs="Arial"/>
          <w:i/>
          <w:lang w:val="en-CA"/>
        </w:rPr>
        <w:t>”</w:t>
      </w:r>
      <w:proofErr w:type="gramEnd"/>
      <w:r w:rsidR="00F863A2" w:rsidRPr="009D07E3">
        <w:rPr>
          <w:rFonts w:cs="Arial"/>
          <w:i/>
          <w:lang w:val="en-CA"/>
        </w:rPr>
        <w:t>Indonesia’s bureaucracy is impenetrable and its infrastructure, much neglected since Suharto’s day, woeful. Companies spend 50% more on logistics than those in Thailand and twice as much as those in Malaysia. No wonder that foreign investment has stagnated in recent years</w:t>
      </w:r>
      <w:r w:rsidR="00F863A2" w:rsidRPr="009D07E3">
        <w:rPr>
          <w:rFonts w:cs="Arial"/>
          <w:lang w:val="en-CA"/>
        </w:rPr>
        <w:t>.</w:t>
      </w:r>
      <w:r w:rsidR="00331651" w:rsidRPr="009D07E3">
        <w:rPr>
          <w:rFonts w:cs="Arial"/>
          <w:lang w:val="en-CA"/>
        </w:rPr>
        <w:t>”</w:t>
      </w:r>
    </w:p>
    <w:p w14:paraId="25086223" w14:textId="77777777" w:rsidR="003714EA" w:rsidRPr="009D07E3" w:rsidRDefault="003714EA" w:rsidP="000A333F">
      <w:pPr>
        <w:rPr>
          <w:rFonts w:cs="Arial"/>
          <w:lang w:val="en-CA"/>
        </w:rPr>
      </w:pPr>
    </w:p>
    <w:p w14:paraId="0AD20DAA" w14:textId="4C5F898B" w:rsidR="009C4BEF" w:rsidRPr="009D07E3" w:rsidRDefault="003714EA" w:rsidP="000A333F">
      <w:pPr>
        <w:rPr>
          <w:rFonts w:cs="Arial"/>
          <w:lang w:val="en-CA"/>
        </w:rPr>
      </w:pPr>
      <w:r w:rsidRPr="009D07E3">
        <w:rPr>
          <w:rFonts w:cs="Arial"/>
          <w:lang w:val="en-CA"/>
        </w:rPr>
        <w:t>The original design of MAMPU anticipated a continuing period of significant growth</w:t>
      </w:r>
      <w:r w:rsidR="00331651" w:rsidRPr="009D07E3">
        <w:rPr>
          <w:rFonts w:cs="Arial"/>
          <w:lang w:val="en-CA"/>
        </w:rPr>
        <w:t>,</w:t>
      </w:r>
      <w:r w:rsidRPr="009D07E3">
        <w:rPr>
          <w:rFonts w:cs="Arial"/>
          <w:lang w:val="en-CA"/>
        </w:rPr>
        <w:t xml:space="preserve"> as was forecast at the time. Under this scenario, the formal sector was expected to expand new job opportunities</w:t>
      </w:r>
      <w:r w:rsidR="00443360" w:rsidRPr="009D07E3">
        <w:rPr>
          <w:rFonts w:cs="Arial"/>
          <w:lang w:val="en-CA"/>
        </w:rPr>
        <w:t>,</w:t>
      </w:r>
      <w:r w:rsidR="00743C6E" w:rsidRPr="009D07E3">
        <w:rPr>
          <w:rFonts w:cs="Arial"/>
          <w:lang w:val="en-CA"/>
        </w:rPr>
        <w:t xml:space="preserve"> and government budgets were expected to</w:t>
      </w:r>
      <w:r w:rsidRPr="009D07E3">
        <w:rPr>
          <w:rFonts w:cs="Arial"/>
          <w:lang w:val="en-CA"/>
        </w:rPr>
        <w:t xml:space="preserve"> increase to fund improved services and social protection programs. </w:t>
      </w:r>
      <w:r w:rsidR="00603A06" w:rsidRPr="009D07E3">
        <w:rPr>
          <w:rFonts w:cs="Arial"/>
          <w:lang w:val="en-CA"/>
        </w:rPr>
        <w:t xml:space="preserve">The key MAMPU </w:t>
      </w:r>
      <w:r w:rsidR="009C4BEF" w:rsidRPr="009D07E3">
        <w:rPr>
          <w:rFonts w:cs="Arial"/>
          <w:lang w:val="en-CA"/>
        </w:rPr>
        <w:t xml:space="preserve">focus was to ensure that women had access to these jobs and services and </w:t>
      </w:r>
      <w:proofErr w:type="gramStart"/>
      <w:r w:rsidR="009C4BEF" w:rsidRPr="009D07E3">
        <w:rPr>
          <w:rFonts w:cs="Arial"/>
          <w:lang w:val="en-CA"/>
        </w:rPr>
        <w:t>that</w:t>
      </w:r>
      <w:proofErr w:type="gramEnd"/>
      <w:r w:rsidR="009C4BEF" w:rsidRPr="009D07E3">
        <w:rPr>
          <w:rFonts w:cs="Arial"/>
          <w:lang w:val="en-CA"/>
        </w:rPr>
        <w:t xml:space="preserve"> they were delivered in a way that met their needs. </w:t>
      </w:r>
      <w:r w:rsidR="004A5867" w:rsidRPr="009D07E3">
        <w:rPr>
          <w:rFonts w:cs="Arial"/>
          <w:lang w:val="en-CA"/>
        </w:rPr>
        <w:t xml:space="preserve"> This current </w:t>
      </w:r>
      <w:r w:rsidRPr="009D07E3">
        <w:rPr>
          <w:rFonts w:cs="Arial"/>
          <w:lang w:val="en-CA"/>
        </w:rPr>
        <w:t xml:space="preserve">slower growth scenario </w:t>
      </w:r>
      <w:r w:rsidR="00796886" w:rsidRPr="009D07E3">
        <w:rPr>
          <w:rFonts w:cs="Arial"/>
          <w:lang w:val="en-CA"/>
        </w:rPr>
        <w:t>will necessitate a focus on helping working age men and women into the workforce and improving their productivity,</w:t>
      </w:r>
      <w:r w:rsidRPr="009D07E3">
        <w:rPr>
          <w:rFonts w:cs="Arial"/>
          <w:lang w:val="en-CA"/>
        </w:rPr>
        <w:t xml:space="preserve"> </w:t>
      </w:r>
      <w:r w:rsidR="004A5867" w:rsidRPr="009D07E3">
        <w:rPr>
          <w:rFonts w:cs="Arial"/>
          <w:lang w:val="en-CA"/>
        </w:rPr>
        <w:t xml:space="preserve">and </w:t>
      </w:r>
      <w:r w:rsidR="00796886" w:rsidRPr="009D07E3">
        <w:rPr>
          <w:rFonts w:cs="Arial"/>
          <w:lang w:val="en-CA"/>
        </w:rPr>
        <w:t>improving the</w:t>
      </w:r>
      <w:r w:rsidRPr="009D07E3">
        <w:rPr>
          <w:rFonts w:cs="Arial"/>
          <w:lang w:val="en-CA"/>
        </w:rPr>
        <w:t xml:space="preserve"> effectiveness and efficiency </w:t>
      </w:r>
      <w:r w:rsidR="009C4BEF" w:rsidRPr="009D07E3">
        <w:rPr>
          <w:rFonts w:cs="Arial"/>
          <w:lang w:val="en-CA"/>
        </w:rPr>
        <w:t>in allocation of resources and delivery of services</w:t>
      </w:r>
      <w:r w:rsidR="004A5867" w:rsidRPr="009D07E3">
        <w:rPr>
          <w:rFonts w:cs="Arial"/>
          <w:lang w:val="en-CA"/>
        </w:rPr>
        <w:t xml:space="preserve">, as a vital contribution to continuing poverty reduction, development, and economic growth. </w:t>
      </w:r>
      <w:r w:rsidR="00796886" w:rsidRPr="009D07E3">
        <w:rPr>
          <w:rFonts w:cs="Arial"/>
          <w:lang w:val="en-CA"/>
        </w:rPr>
        <w:t xml:space="preserve">Helping women reach their full economic </w:t>
      </w:r>
      <w:proofErr w:type="gramStart"/>
      <w:r w:rsidR="00796886" w:rsidRPr="009D07E3">
        <w:rPr>
          <w:rFonts w:cs="Arial"/>
          <w:lang w:val="en-CA"/>
        </w:rPr>
        <w:t>potential,</w:t>
      </w:r>
      <w:proofErr w:type="gramEnd"/>
      <w:r w:rsidR="00796886" w:rsidRPr="009D07E3">
        <w:rPr>
          <w:rFonts w:cs="Arial"/>
          <w:lang w:val="en-CA"/>
        </w:rPr>
        <w:t xml:space="preserve"> and increasing their voice in helping allocate resources effecti</w:t>
      </w:r>
      <w:r w:rsidR="004A5867" w:rsidRPr="009D07E3">
        <w:rPr>
          <w:rFonts w:cs="Arial"/>
          <w:lang w:val="en-CA"/>
        </w:rPr>
        <w:t>vely takes on an extra dimension of urgency</w:t>
      </w:r>
      <w:r w:rsidR="00796886" w:rsidRPr="009D07E3">
        <w:rPr>
          <w:rFonts w:cs="Arial"/>
          <w:lang w:val="en-CA"/>
        </w:rPr>
        <w:t>.</w:t>
      </w:r>
    </w:p>
    <w:p w14:paraId="679D63AD" w14:textId="77777777" w:rsidR="009C4BEF" w:rsidRDefault="009C4BEF" w:rsidP="000A333F">
      <w:pPr>
        <w:rPr>
          <w:rFonts w:cs="Arial"/>
          <w:lang w:val="en-CA"/>
        </w:rPr>
      </w:pPr>
    </w:p>
    <w:p w14:paraId="3F107191" w14:textId="77777777" w:rsidR="00153A50" w:rsidRPr="009D07E3" w:rsidRDefault="00153A50" w:rsidP="008F281B">
      <w:pPr>
        <w:pStyle w:val="Heading2"/>
        <w:rPr>
          <w:lang w:val="en-CA"/>
        </w:rPr>
      </w:pPr>
      <w:bookmarkStart w:id="4" w:name="_Toc423438692"/>
      <w:r w:rsidRPr="009D07E3">
        <w:rPr>
          <w:lang w:val="en-CA"/>
        </w:rPr>
        <w:t>Gender and Poverty</w:t>
      </w:r>
      <w:bookmarkEnd w:id="4"/>
    </w:p>
    <w:p w14:paraId="7B13626B" w14:textId="77777777" w:rsidR="006403C7" w:rsidRPr="009D07E3" w:rsidRDefault="006403C7" w:rsidP="006403C7">
      <w:pPr>
        <w:rPr>
          <w:lang w:val="en-CA"/>
        </w:rPr>
      </w:pPr>
    </w:p>
    <w:p w14:paraId="74E1AD33" w14:textId="73902910" w:rsidR="00153A50" w:rsidRPr="009D07E3" w:rsidRDefault="00E916E2" w:rsidP="000A333F">
      <w:pPr>
        <w:rPr>
          <w:rFonts w:cs="Arial"/>
          <w:lang w:val="en-CA"/>
        </w:rPr>
      </w:pPr>
      <w:r w:rsidRPr="009D07E3">
        <w:rPr>
          <w:rFonts w:cs="Arial"/>
          <w:lang w:val="en-CA"/>
        </w:rPr>
        <w:t>While poverty rates continue to fall</w:t>
      </w:r>
      <w:r w:rsidR="004A5867" w:rsidRPr="009D07E3">
        <w:rPr>
          <w:rFonts w:cs="Arial"/>
          <w:lang w:val="en-CA"/>
        </w:rPr>
        <w:t xml:space="preserve"> </w:t>
      </w:r>
      <w:r w:rsidR="00D96773" w:rsidRPr="009D07E3">
        <w:rPr>
          <w:rFonts w:cs="Arial"/>
          <w:lang w:val="en-CA"/>
        </w:rPr>
        <w:t>(</w:t>
      </w:r>
      <w:r w:rsidR="004A5867" w:rsidRPr="009D07E3">
        <w:rPr>
          <w:rFonts w:cs="Arial"/>
          <w:lang w:val="en-CA"/>
        </w:rPr>
        <w:t xml:space="preserve">from </w:t>
      </w:r>
      <w:r w:rsidR="00D96773" w:rsidRPr="009D07E3">
        <w:rPr>
          <w:rFonts w:cs="Arial"/>
          <w:lang w:val="en-CA"/>
        </w:rPr>
        <w:t>13.3%, 12.0% to 11.3% in 2010, 2012, and 2014 respectively</w:t>
      </w:r>
      <w:r w:rsidR="00F6266F" w:rsidRPr="009D07E3">
        <w:rPr>
          <w:rFonts w:cs="Arial"/>
          <w:lang w:val="en-CA"/>
        </w:rPr>
        <w:t>)</w:t>
      </w:r>
      <w:r w:rsidR="00D96773" w:rsidRPr="009D07E3">
        <w:rPr>
          <w:rStyle w:val="FootnoteReference"/>
          <w:rFonts w:cs="Arial"/>
          <w:lang w:val="en-CA"/>
        </w:rPr>
        <w:footnoteReference w:id="4"/>
      </w:r>
      <w:r w:rsidRPr="009D07E3">
        <w:rPr>
          <w:rFonts w:cs="Arial"/>
          <w:lang w:val="en-CA"/>
        </w:rPr>
        <w:t>, inequality is rising</w:t>
      </w:r>
      <w:r w:rsidR="007223B7" w:rsidRPr="009D07E3">
        <w:rPr>
          <w:rFonts w:cs="Arial"/>
          <w:lang w:val="en-CA"/>
        </w:rPr>
        <w:t xml:space="preserve"> and many households remain vulnerable</w:t>
      </w:r>
      <w:r w:rsidRPr="009D07E3">
        <w:rPr>
          <w:rFonts w:cs="Arial"/>
          <w:lang w:val="en-CA"/>
        </w:rPr>
        <w:t xml:space="preserve">. </w:t>
      </w:r>
      <w:r w:rsidR="0006449C" w:rsidRPr="009D07E3">
        <w:rPr>
          <w:rFonts w:cs="Arial"/>
          <w:lang w:val="en-CA"/>
        </w:rPr>
        <w:t xml:space="preserve"> </w:t>
      </w:r>
      <w:r w:rsidR="00D96773" w:rsidRPr="009D07E3">
        <w:rPr>
          <w:rFonts w:cs="Arial"/>
          <w:lang w:val="en-CA"/>
        </w:rPr>
        <w:t xml:space="preserve">The Gini coefficient increased from 0.38 in 2011 to 0.41 in </w:t>
      </w:r>
      <w:proofErr w:type="gramStart"/>
      <w:r w:rsidR="00D96773" w:rsidRPr="009D07E3">
        <w:rPr>
          <w:rFonts w:cs="Arial"/>
          <w:lang w:val="en-CA"/>
        </w:rPr>
        <w:t>2012  (</w:t>
      </w:r>
      <w:proofErr w:type="gramEnd"/>
      <w:r w:rsidR="00D96773" w:rsidRPr="009D07E3">
        <w:rPr>
          <w:rFonts w:cs="Arial"/>
          <w:lang w:val="en-CA"/>
        </w:rPr>
        <w:t>latest available figures)</w:t>
      </w:r>
      <w:r w:rsidR="00D96773" w:rsidRPr="009D07E3">
        <w:rPr>
          <w:rStyle w:val="FootnoteReference"/>
          <w:rFonts w:cs="Arial"/>
          <w:lang w:val="en-CA"/>
        </w:rPr>
        <w:footnoteReference w:id="5"/>
      </w:r>
      <w:r w:rsidR="00D96773" w:rsidRPr="009D07E3">
        <w:rPr>
          <w:rFonts w:cs="Arial"/>
          <w:lang w:val="en-CA"/>
        </w:rPr>
        <w:t xml:space="preserve">.  The highest inequalities are found in Papua Barat, Papua, Gorontalo, and Sulawesi provinces.  </w:t>
      </w:r>
    </w:p>
    <w:p w14:paraId="2D9CC61E" w14:textId="77777777" w:rsidR="00B54EA7" w:rsidRPr="009D07E3" w:rsidRDefault="00B54EA7" w:rsidP="000A333F">
      <w:pPr>
        <w:tabs>
          <w:tab w:val="left" w:pos="284"/>
        </w:tabs>
        <w:rPr>
          <w:rFonts w:cs="Arial"/>
          <w:lang w:val="en-CA"/>
        </w:rPr>
      </w:pPr>
    </w:p>
    <w:p w14:paraId="10BE8274" w14:textId="61971A0C" w:rsidR="00803EE5" w:rsidRPr="009D07E3" w:rsidRDefault="003714EA" w:rsidP="000A333F">
      <w:pPr>
        <w:tabs>
          <w:tab w:val="left" w:pos="284"/>
        </w:tabs>
        <w:rPr>
          <w:rFonts w:cs="Arial"/>
          <w:lang w:val="en-CA"/>
        </w:rPr>
      </w:pPr>
      <w:r w:rsidRPr="009D07E3">
        <w:rPr>
          <w:rFonts w:cs="Arial"/>
          <w:lang w:val="en-CA"/>
        </w:rPr>
        <w:t>Indonesia’s 2014 </w:t>
      </w:r>
      <w:r w:rsidR="00803EE5" w:rsidRPr="009D07E3">
        <w:rPr>
          <w:rFonts w:cs="Arial"/>
          <w:lang w:val="en-CA"/>
        </w:rPr>
        <w:t xml:space="preserve">Gender </w:t>
      </w:r>
      <w:r w:rsidRPr="009D07E3">
        <w:rPr>
          <w:rFonts w:cs="Arial"/>
          <w:lang w:val="en-CA"/>
        </w:rPr>
        <w:t>Inequality Index performance rank of 103 out of 149 </w:t>
      </w:r>
      <w:proofErr w:type="gramStart"/>
      <w:r w:rsidRPr="009D07E3">
        <w:rPr>
          <w:rFonts w:cs="Arial"/>
          <w:lang w:val="en-CA"/>
        </w:rPr>
        <w:t>countries</w:t>
      </w:r>
      <w:r w:rsidR="00803EE5" w:rsidRPr="009D07E3">
        <w:rPr>
          <w:rFonts w:cs="Arial"/>
          <w:lang w:val="en-CA"/>
        </w:rPr>
        <w:t>,</w:t>
      </w:r>
      <w:proofErr w:type="gramEnd"/>
      <w:r w:rsidR="00803EE5" w:rsidRPr="009D07E3">
        <w:rPr>
          <w:rFonts w:cs="Arial"/>
          <w:lang w:val="en-CA"/>
        </w:rPr>
        <w:t xml:space="preserve"> is a slight drop from the 2011 rank of 100</w:t>
      </w:r>
      <w:r w:rsidR="00E00CFA" w:rsidRPr="009D07E3">
        <w:rPr>
          <w:rFonts w:cs="Arial"/>
          <w:lang w:val="en-CA"/>
        </w:rPr>
        <w:t xml:space="preserve">. There was </w:t>
      </w:r>
      <w:r w:rsidR="00803EE5" w:rsidRPr="009D07E3">
        <w:rPr>
          <w:rFonts w:cs="Arial"/>
          <w:lang w:val="en-CA"/>
        </w:rPr>
        <w:t>almost no change in the rating (to 0.500 from 0.505)</w:t>
      </w:r>
      <w:r w:rsidR="002930EB" w:rsidRPr="009D07E3">
        <w:rPr>
          <w:rStyle w:val="FootnoteReference"/>
          <w:rFonts w:cs="Arial"/>
          <w:lang w:val="en-CA"/>
        </w:rPr>
        <w:footnoteReference w:id="6"/>
      </w:r>
      <w:r w:rsidR="002930EB" w:rsidRPr="009D07E3">
        <w:rPr>
          <w:rFonts w:cs="Arial"/>
          <w:lang w:val="en-CA"/>
        </w:rPr>
        <w:t xml:space="preserve">.  </w:t>
      </w:r>
      <w:r w:rsidRPr="009D07E3">
        <w:rPr>
          <w:rFonts w:cs="Arial"/>
          <w:lang w:val="en-CA"/>
        </w:rPr>
        <w:t>This ra</w:t>
      </w:r>
      <w:r w:rsidR="00E00CFA" w:rsidRPr="009D07E3">
        <w:rPr>
          <w:rFonts w:cs="Arial"/>
          <w:lang w:val="en-CA"/>
        </w:rPr>
        <w:t>t</w:t>
      </w:r>
      <w:r w:rsidRPr="009D07E3">
        <w:rPr>
          <w:rFonts w:cs="Arial"/>
          <w:lang w:val="en-CA"/>
        </w:rPr>
        <w:t>ing reflects a combination of lower literacy rate</w:t>
      </w:r>
      <w:r w:rsidR="00F6266F" w:rsidRPr="009D07E3">
        <w:rPr>
          <w:rFonts w:cs="Arial"/>
          <w:lang w:val="en-CA"/>
        </w:rPr>
        <w:t>s</w:t>
      </w:r>
      <w:r w:rsidRPr="009D07E3">
        <w:rPr>
          <w:rFonts w:cs="Arial"/>
          <w:lang w:val="en-CA"/>
        </w:rPr>
        <w:t xml:space="preserve"> for women and fewer years of schooling, a smaller share of earned income, one of the highest maternal mortality rates in the region, and political under-representation. </w:t>
      </w:r>
      <w:r w:rsidR="00443360" w:rsidRPr="009D07E3">
        <w:rPr>
          <w:rFonts w:cs="Arial"/>
          <w:lang w:val="en-CA"/>
        </w:rPr>
        <w:t xml:space="preserve"> </w:t>
      </w:r>
      <w:r w:rsidR="00380D60" w:rsidRPr="009D07E3">
        <w:rPr>
          <w:rFonts w:cs="Arial"/>
          <w:lang w:val="en-CA"/>
        </w:rPr>
        <w:t xml:space="preserve"> </w:t>
      </w:r>
    </w:p>
    <w:p w14:paraId="0D9558F6" w14:textId="77777777" w:rsidR="00153A50" w:rsidRPr="009D07E3" w:rsidRDefault="00153A50" w:rsidP="000A333F">
      <w:pPr>
        <w:pStyle w:val="ListParagraph"/>
        <w:rPr>
          <w:rFonts w:cs="Arial"/>
          <w:lang w:val="en-CA"/>
        </w:rPr>
      </w:pPr>
    </w:p>
    <w:p w14:paraId="5F38CBC0" w14:textId="77777777" w:rsidR="00ED7EE4" w:rsidRPr="009D07E3" w:rsidRDefault="00ED7EE4" w:rsidP="00ED7EE4">
      <w:pPr>
        <w:rPr>
          <w:rFonts w:cs="Arial"/>
          <w:color w:val="000000"/>
          <w:shd w:val="clear" w:color="auto" w:fill="FFFFFF"/>
          <w:lang w:val="en-CA"/>
        </w:rPr>
      </w:pPr>
      <w:proofErr w:type="gramStart"/>
      <w:r w:rsidRPr="009D07E3">
        <w:rPr>
          <w:rFonts w:cs="Arial"/>
          <w:color w:val="000000"/>
          <w:shd w:val="clear" w:color="auto" w:fill="FFFFFF"/>
          <w:lang w:val="en-CA"/>
        </w:rPr>
        <w:t>A study by Cameron (2013) shows that women face different risks due to the difference of biological features and social norms.</w:t>
      </w:r>
      <w:proofErr w:type="gramEnd"/>
      <w:r w:rsidRPr="009D07E3">
        <w:rPr>
          <w:rFonts w:cs="Arial"/>
          <w:color w:val="000000"/>
          <w:shd w:val="clear" w:color="auto" w:fill="FFFFFF"/>
          <w:lang w:val="en-CA"/>
        </w:rPr>
        <w:t xml:space="preserve"> Although social protection programs are designed to protect the poor from social and economic risks, women have less access compared to men, thus social programs often fail to reach poor women. </w:t>
      </w:r>
    </w:p>
    <w:p w14:paraId="2CCE39B1" w14:textId="77777777" w:rsidR="002930EB" w:rsidRPr="009D07E3" w:rsidRDefault="002930EB" w:rsidP="000A333F">
      <w:pPr>
        <w:tabs>
          <w:tab w:val="left" w:pos="284"/>
        </w:tabs>
        <w:rPr>
          <w:rFonts w:cs="Arial"/>
          <w:lang w:val="en-CA"/>
        </w:rPr>
      </w:pPr>
    </w:p>
    <w:p w14:paraId="358291C3" w14:textId="2686B514" w:rsidR="004F7C21" w:rsidRPr="009D07E3" w:rsidRDefault="002930EB" w:rsidP="000A333F">
      <w:pPr>
        <w:tabs>
          <w:tab w:val="left" w:pos="284"/>
        </w:tabs>
        <w:rPr>
          <w:rFonts w:cs="Arial"/>
          <w:lang w:val="en-CA"/>
        </w:rPr>
      </w:pPr>
      <w:r w:rsidRPr="009D07E3">
        <w:rPr>
          <w:rFonts w:cs="Arial"/>
          <w:shd w:val="clear" w:color="auto" w:fill="FFFFFF"/>
          <w:lang w:val="en-CA"/>
        </w:rPr>
        <w:t>SPKBK</w:t>
      </w:r>
      <w:r w:rsidR="00C50E99" w:rsidRPr="009D07E3">
        <w:rPr>
          <w:rFonts w:cs="Arial"/>
          <w:shd w:val="clear" w:color="auto" w:fill="FFFFFF"/>
          <w:lang w:val="en-CA"/>
        </w:rPr>
        <w:t xml:space="preserve"> </w:t>
      </w:r>
      <w:r w:rsidRPr="009D07E3">
        <w:rPr>
          <w:rFonts w:cs="Arial"/>
          <w:shd w:val="clear" w:color="auto" w:fill="FFFFFF"/>
          <w:lang w:val="en-CA"/>
        </w:rPr>
        <w:t>(Community-based Welfare Monitoring System Survey)</w:t>
      </w:r>
      <w:r w:rsidR="00A95F2A">
        <w:rPr>
          <w:rFonts w:cs="Arial"/>
          <w:shd w:val="clear" w:color="auto" w:fill="FFFFFF"/>
          <w:lang w:val="en-CA"/>
        </w:rPr>
        <w:t>,</w:t>
      </w:r>
      <w:r w:rsidRPr="009D07E3">
        <w:rPr>
          <w:rFonts w:cs="Arial"/>
          <w:shd w:val="clear" w:color="auto" w:fill="FFFFFF"/>
          <w:lang w:val="en-CA"/>
        </w:rPr>
        <w:t xml:space="preserve"> conducted by PEKKA National Secretariat in 111 villages across 17 targeted provinces</w:t>
      </w:r>
      <w:r w:rsidR="00F6266F" w:rsidRPr="009D07E3">
        <w:rPr>
          <w:rFonts w:cs="Arial"/>
          <w:shd w:val="clear" w:color="auto" w:fill="FFFFFF"/>
          <w:lang w:val="en-CA"/>
        </w:rPr>
        <w:t>,</w:t>
      </w:r>
      <w:r w:rsidRPr="009D07E3">
        <w:rPr>
          <w:rFonts w:cs="Arial"/>
          <w:shd w:val="clear" w:color="auto" w:fill="FFFFFF"/>
          <w:lang w:val="en-CA"/>
        </w:rPr>
        <w:t xml:space="preserve"> found that in 2012, one in every four households is headed by a woman. The survey also shows that nearly half (49%) of families at the lowest welfare level, are headed by women. Women </w:t>
      </w:r>
      <w:r w:rsidR="00F6266F" w:rsidRPr="009D07E3">
        <w:rPr>
          <w:rFonts w:cs="Arial"/>
          <w:shd w:val="clear" w:color="auto" w:fill="FFFFFF"/>
          <w:lang w:val="en-CA"/>
        </w:rPr>
        <w:t xml:space="preserve">heads of </w:t>
      </w:r>
      <w:r w:rsidRPr="009D07E3">
        <w:rPr>
          <w:rFonts w:cs="Arial"/>
          <w:shd w:val="clear" w:color="auto" w:fill="FFFFFF"/>
          <w:lang w:val="en-CA"/>
        </w:rPr>
        <w:t xml:space="preserve">household are typically aged 18-65 supporting 1-6 dependents. They earn a livelihood in the informal sector, either as farmhands, sellers and craftswomen, bringing in an average daily income of only </w:t>
      </w:r>
      <w:proofErr w:type="spellStart"/>
      <w:r w:rsidRPr="009D07E3">
        <w:rPr>
          <w:rFonts w:cs="Arial"/>
          <w:shd w:val="clear" w:color="auto" w:fill="FFFFFF"/>
          <w:lang w:val="en-CA"/>
        </w:rPr>
        <w:t>Rp</w:t>
      </w:r>
      <w:proofErr w:type="spellEnd"/>
      <w:r w:rsidRPr="009D07E3">
        <w:rPr>
          <w:rFonts w:cs="Arial"/>
          <w:shd w:val="clear" w:color="auto" w:fill="FFFFFF"/>
          <w:lang w:val="en-CA"/>
        </w:rPr>
        <w:t xml:space="preserve"> 10,000. These women are poorly educated and more than half (57%) are illiterate. </w:t>
      </w:r>
    </w:p>
    <w:p w14:paraId="0B2922F9" w14:textId="77777777" w:rsidR="00E00CFA" w:rsidRPr="009D07E3" w:rsidRDefault="00E00CFA" w:rsidP="00E00CFA">
      <w:pPr>
        <w:tabs>
          <w:tab w:val="left" w:pos="284"/>
        </w:tabs>
        <w:rPr>
          <w:rFonts w:cs="Arial"/>
          <w:lang w:val="en-CA"/>
        </w:rPr>
      </w:pPr>
    </w:p>
    <w:p w14:paraId="6F903AB5" w14:textId="77777777" w:rsidR="00E00CFA" w:rsidRPr="009D07E3" w:rsidRDefault="00E00CFA" w:rsidP="00E00CFA">
      <w:pPr>
        <w:tabs>
          <w:tab w:val="left" w:pos="284"/>
        </w:tabs>
        <w:rPr>
          <w:rFonts w:cs="Arial"/>
          <w:lang w:val="en-CA"/>
        </w:rPr>
      </w:pPr>
      <w:r w:rsidRPr="009D07E3">
        <w:rPr>
          <w:rFonts w:cs="Arial"/>
          <w:lang w:val="en-CA"/>
        </w:rPr>
        <w:t xml:space="preserve">Deeply ingrained social norms reinforced by both formal and informal institutions affect the choices of girls and women in several ways.  At school, gender roles are reinforced through curriculum, and lead to segregation in subject choices and choices for study at university.  Social and gender norms also mean that the burden of housework and care of family members including children, the elderly, and the disabled, is carried out by women, while men are deemed to be the “breadwinners”.  This significantly reduces the time available for women to engage in economic activity.  </w:t>
      </w:r>
    </w:p>
    <w:p w14:paraId="0DF19FE3" w14:textId="77777777" w:rsidR="006403C7" w:rsidRPr="009D07E3" w:rsidRDefault="006403C7" w:rsidP="000A333F">
      <w:pPr>
        <w:tabs>
          <w:tab w:val="left" w:pos="284"/>
        </w:tabs>
        <w:rPr>
          <w:rFonts w:cs="Arial"/>
          <w:lang w:val="en-CA"/>
        </w:rPr>
      </w:pPr>
    </w:p>
    <w:p w14:paraId="365FE97A" w14:textId="6552DE21" w:rsidR="00153A50" w:rsidRPr="009D07E3" w:rsidRDefault="009A4DE8" w:rsidP="008F281B">
      <w:pPr>
        <w:pStyle w:val="Heading2"/>
        <w:rPr>
          <w:lang w:val="en-CA"/>
        </w:rPr>
      </w:pPr>
      <w:bookmarkStart w:id="5" w:name="_Toc423438693"/>
      <w:r w:rsidRPr="009D07E3">
        <w:rPr>
          <w:lang w:val="en-CA"/>
        </w:rPr>
        <w:t>Developments in the t</w:t>
      </w:r>
      <w:r w:rsidR="00153A50" w:rsidRPr="009D07E3">
        <w:rPr>
          <w:lang w:val="en-CA"/>
        </w:rPr>
        <w:t>hematic areas</w:t>
      </w:r>
      <w:bookmarkEnd w:id="5"/>
    </w:p>
    <w:p w14:paraId="2A829B36" w14:textId="77777777" w:rsidR="006E3E51" w:rsidRPr="009D07E3" w:rsidRDefault="006E3E51" w:rsidP="006E3E51">
      <w:pPr>
        <w:keepNext/>
        <w:rPr>
          <w:lang w:val="en-CA"/>
        </w:rPr>
      </w:pPr>
    </w:p>
    <w:p w14:paraId="188CCE21" w14:textId="75677B0E" w:rsidR="00153A50" w:rsidRPr="009D07E3" w:rsidRDefault="009E6FFD" w:rsidP="006E3E51">
      <w:pPr>
        <w:pStyle w:val="Heading3"/>
        <w:rPr>
          <w:lang w:val="en-CA"/>
        </w:rPr>
      </w:pPr>
      <w:bookmarkStart w:id="6" w:name="_Toc423438694"/>
      <w:r w:rsidRPr="009D07E3">
        <w:rPr>
          <w:lang w:val="en-CA"/>
        </w:rPr>
        <w:t xml:space="preserve">Violence </w:t>
      </w:r>
      <w:proofErr w:type="gramStart"/>
      <w:r w:rsidRPr="009D07E3">
        <w:rPr>
          <w:lang w:val="en-CA"/>
        </w:rPr>
        <w:t>Against</w:t>
      </w:r>
      <w:proofErr w:type="gramEnd"/>
      <w:r w:rsidRPr="009D07E3">
        <w:rPr>
          <w:lang w:val="en-CA"/>
        </w:rPr>
        <w:t xml:space="preserve"> Women (VAW)</w:t>
      </w:r>
      <w:bookmarkEnd w:id="6"/>
    </w:p>
    <w:p w14:paraId="4FE68B19" w14:textId="77777777" w:rsidR="006E3E51" w:rsidRPr="009D07E3" w:rsidRDefault="006E3E51" w:rsidP="006E3E51">
      <w:pPr>
        <w:rPr>
          <w:lang w:val="en-CA"/>
        </w:rPr>
      </w:pPr>
    </w:p>
    <w:p w14:paraId="4301CEAB" w14:textId="072EBDD7" w:rsidR="009A4DE8" w:rsidRPr="009D07E3" w:rsidRDefault="009A4DE8" w:rsidP="000A333F">
      <w:pPr>
        <w:rPr>
          <w:rFonts w:cs="Arial"/>
          <w:lang w:val="en-CA"/>
        </w:rPr>
      </w:pPr>
      <w:r w:rsidRPr="009D07E3">
        <w:rPr>
          <w:rFonts w:cs="Arial"/>
          <w:lang w:val="en-CA"/>
        </w:rPr>
        <w:t xml:space="preserve">The necessary legal and policy frameworks for providing services to survivors of violence were already in place at the start of the program.  An effective collaboration between the Ministry for </w:t>
      </w:r>
      <w:r w:rsidR="009E6FFD" w:rsidRPr="009D07E3">
        <w:rPr>
          <w:rFonts w:cs="Arial"/>
          <w:lang w:val="en-CA"/>
        </w:rPr>
        <w:t>E</w:t>
      </w:r>
      <w:r w:rsidRPr="009D07E3">
        <w:rPr>
          <w:rFonts w:cs="Arial"/>
          <w:lang w:val="en-CA"/>
        </w:rPr>
        <w:t xml:space="preserve">mpowerment and </w:t>
      </w:r>
      <w:r w:rsidR="009E6FFD" w:rsidRPr="009D07E3">
        <w:rPr>
          <w:rFonts w:cs="Arial"/>
          <w:lang w:val="en-CA"/>
        </w:rPr>
        <w:t>P</w:t>
      </w:r>
      <w:r w:rsidRPr="009D07E3">
        <w:rPr>
          <w:rFonts w:cs="Arial"/>
          <w:lang w:val="en-CA"/>
        </w:rPr>
        <w:t xml:space="preserve">rotection of </w:t>
      </w:r>
      <w:r w:rsidR="009E6FFD" w:rsidRPr="009D07E3">
        <w:rPr>
          <w:rFonts w:cs="Arial"/>
          <w:lang w:val="en-CA"/>
        </w:rPr>
        <w:t>W</w:t>
      </w:r>
      <w:r w:rsidRPr="009D07E3">
        <w:rPr>
          <w:rFonts w:cs="Arial"/>
          <w:lang w:val="en-CA"/>
        </w:rPr>
        <w:t xml:space="preserve">omen and </w:t>
      </w:r>
      <w:r w:rsidR="009E6FFD" w:rsidRPr="009D07E3">
        <w:rPr>
          <w:rFonts w:cs="Arial"/>
          <w:lang w:val="en-CA"/>
        </w:rPr>
        <w:t>C</w:t>
      </w:r>
      <w:r w:rsidRPr="009D07E3">
        <w:rPr>
          <w:rFonts w:cs="Arial"/>
          <w:lang w:val="en-CA"/>
        </w:rPr>
        <w:t>hildren, the National Commi</w:t>
      </w:r>
      <w:r w:rsidR="00707947" w:rsidRPr="009D07E3">
        <w:rPr>
          <w:rFonts w:cs="Arial"/>
          <w:lang w:val="en-CA"/>
        </w:rPr>
        <w:t>ssion on Ending V</w:t>
      </w:r>
      <w:r w:rsidRPr="009D07E3">
        <w:rPr>
          <w:rFonts w:cs="Arial"/>
          <w:lang w:val="en-CA"/>
        </w:rPr>
        <w:t xml:space="preserve">iolence </w:t>
      </w:r>
      <w:proofErr w:type="gramStart"/>
      <w:r w:rsidRPr="009D07E3">
        <w:rPr>
          <w:rFonts w:cs="Arial"/>
          <w:lang w:val="en-CA"/>
        </w:rPr>
        <w:t>Against</w:t>
      </w:r>
      <w:proofErr w:type="gramEnd"/>
      <w:r w:rsidRPr="009D07E3">
        <w:rPr>
          <w:rFonts w:cs="Arial"/>
          <w:lang w:val="en-CA"/>
        </w:rPr>
        <w:t xml:space="preserve"> Women, and the </w:t>
      </w:r>
      <w:r w:rsidR="009E6FFD" w:rsidRPr="009D07E3">
        <w:rPr>
          <w:rFonts w:cs="Arial"/>
          <w:lang w:val="en-CA"/>
        </w:rPr>
        <w:t>W</w:t>
      </w:r>
      <w:r w:rsidRPr="009D07E3">
        <w:rPr>
          <w:rFonts w:cs="Arial"/>
          <w:lang w:val="en-CA"/>
        </w:rPr>
        <w:t xml:space="preserve">omen’s </w:t>
      </w:r>
      <w:r w:rsidR="009E6FFD" w:rsidRPr="009D07E3">
        <w:rPr>
          <w:rFonts w:cs="Arial"/>
          <w:lang w:val="en-CA"/>
        </w:rPr>
        <w:t>M</w:t>
      </w:r>
      <w:r w:rsidRPr="009D07E3">
        <w:rPr>
          <w:rFonts w:cs="Arial"/>
          <w:lang w:val="en-CA"/>
        </w:rPr>
        <w:t xml:space="preserve">ovement </w:t>
      </w:r>
      <w:r w:rsidR="009E6FFD" w:rsidRPr="009D07E3">
        <w:rPr>
          <w:rFonts w:cs="Arial"/>
          <w:lang w:val="en-CA"/>
        </w:rPr>
        <w:t>was</w:t>
      </w:r>
      <w:r w:rsidRPr="009D07E3">
        <w:rPr>
          <w:rFonts w:cs="Arial"/>
          <w:lang w:val="en-CA"/>
        </w:rPr>
        <w:t xml:space="preserve"> instrumental in getting this in</w:t>
      </w:r>
      <w:r w:rsidR="00707947" w:rsidRPr="009D07E3">
        <w:rPr>
          <w:rFonts w:cs="Arial"/>
          <w:lang w:val="en-CA"/>
        </w:rPr>
        <w:t xml:space="preserve"> </w:t>
      </w:r>
      <w:r w:rsidRPr="009D07E3">
        <w:rPr>
          <w:rFonts w:cs="Arial"/>
          <w:lang w:val="en-CA"/>
        </w:rPr>
        <w:t>place, often supported by donor funding.  Lessons from this experience contributed significantly t</w:t>
      </w:r>
      <w:r w:rsidR="009E6FFD" w:rsidRPr="009D07E3">
        <w:rPr>
          <w:rFonts w:cs="Arial"/>
          <w:lang w:val="en-CA"/>
        </w:rPr>
        <w:t>o</w:t>
      </w:r>
      <w:r w:rsidRPr="009D07E3">
        <w:rPr>
          <w:rFonts w:cs="Arial"/>
          <w:lang w:val="en-CA"/>
        </w:rPr>
        <w:t xml:space="preserve"> the design of MAMPU.  The challenge that partners needed to address</w:t>
      </w:r>
      <w:r w:rsidR="00A95F2A">
        <w:rPr>
          <w:rFonts w:cs="Arial"/>
          <w:lang w:val="en-CA"/>
        </w:rPr>
        <w:t>,</w:t>
      </w:r>
      <w:r w:rsidRPr="009D07E3">
        <w:rPr>
          <w:rFonts w:cs="Arial"/>
          <w:lang w:val="en-CA"/>
        </w:rPr>
        <w:t xml:space="preserve"> with MAMPU support</w:t>
      </w:r>
      <w:r w:rsidR="00A95F2A">
        <w:rPr>
          <w:rFonts w:cs="Arial"/>
          <w:lang w:val="en-CA"/>
        </w:rPr>
        <w:t>,</w:t>
      </w:r>
      <w:r w:rsidRPr="009D07E3">
        <w:rPr>
          <w:rFonts w:cs="Arial"/>
          <w:lang w:val="en-CA"/>
        </w:rPr>
        <w:t xml:space="preserve"> was to improve the implementation of the policies.  </w:t>
      </w:r>
    </w:p>
    <w:p w14:paraId="5320B0D6" w14:textId="77777777" w:rsidR="009A4DE8" w:rsidRPr="009D07E3" w:rsidRDefault="009A4DE8" w:rsidP="000A333F">
      <w:pPr>
        <w:rPr>
          <w:rFonts w:cs="Arial"/>
          <w:lang w:val="en-CA"/>
        </w:rPr>
      </w:pPr>
    </w:p>
    <w:p w14:paraId="741DB355" w14:textId="4CB8B471" w:rsidR="00707947" w:rsidRPr="009D07E3" w:rsidRDefault="009E6FFD" w:rsidP="000A333F">
      <w:pPr>
        <w:rPr>
          <w:rFonts w:cs="Arial"/>
          <w:lang w:val="en-CA"/>
        </w:rPr>
      </w:pPr>
      <w:r w:rsidRPr="009D07E3">
        <w:rPr>
          <w:rFonts w:cs="Arial"/>
          <w:lang w:val="en-CA"/>
        </w:rPr>
        <w:t>During</w:t>
      </w:r>
      <w:r w:rsidR="00812E97" w:rsidRPr="009D07E3">
        <w:rPr>
          <w:rFonts w:cs="Arial"/>
          <w:lang w:val="en-CA"/>
        </w:rPr>
        <w:t xml:space="preserve"> </w:t>
      </w:r>
      <w:r w:rsidRPr="009D07E3">
        <w:rPr>
          <w:rFonts w:cs="Arial"/>
          <w:lang w:val="en-CA"/>
        </w:rPr>
        <w:t>P</w:t>
      </w:r>
      <w:r w:rsidR="00812E97" w:rsidRPr="009D07E3">
        <w:rPr>
          <w:rFonts w:cs="Arial"/>
          <w:lang w:val="en-CA"/>
        </w:rPr>
        <w:t>hase 1</w:t>
      </w:r>
      <w:r w:rsidRPr="009D07E3">
        <w:rPr>
          <w:rFonts w:cs="Arial"/>
          <w:lang w:val="en-CA"/>
        </w:rPr>
        <w:t xml:space="preserve">, organisational changes took place within the main partner, </w:t>
      </w:r>
      <w:proofErr w:type="spellStart"/>
      <w:r w:rsidR="00812E97" w:rsidRPr="009D07E3">
        <w:rPr>
          <w:rFonts w:cs="Arial"/>
          <w:lang w:val="en-CA"/>
        </w:rPr>
        <w:t>Komnas</w:t>
      </w:r>
      <w:proofErr w:type="spellEnd"/>
      <w:r w:rsidR="00812E97" w:rsidRPr="009D07E3">
        <w:rPr>
          <w:rFonts w:cs="Arial"/>
          <w:lang w:val="en-CA"/>
        </w:rPr>
        <w:t xml:space="preserve"> </w:t>
      </w:r>
      <w:proofErr w:type="spellStart"/>
      <w:r w:rsidR="00812E97" w:rsidRPr="009D07E3">
        <w:rPr>
          <w:rFonts w:cs="Arial"/>
          <w:lang w:val="en-CA"/>
        </w:rPr>
        <w:t>Perempuan</w:t>
      </w:r>
      <w:proofErr w:type="spellEnd"/>
      <w:r w:rsidRPr="009D07E3">
        <w:rPr>
          <w:rFonts w:cs="Arial"/>
          <w:lang w:val="en-CA"/>
        </w:rPr>
        <w:t>, which included</w:t>
      </w:r>
      <w:r w:rsidR="00812E97" w:rsidRPr="009D07E3">
        <w:rPr>
          <w:rFonts w:cs="Arial"/>
          <w:lang w:val="en-CA"/>
        </w:rPr>
        <w:t xml:space="preserve"> a new set of commissioners and a new head of the organisation.  The organisation is still in a state of transition.  </w:t>
      </w:r>
      <w:proofErr w:type="spellStart"/>
      <w:r w:rsidR="00A95F2A">
        <w:rPr>
          <w:rFonts w:cs="Arial"/>
          <w:lang w:val="en-CA"/>
        </w:rPr>
        <w:t>Komnas</w:t>
      </w:r>
      <w:proofErr w:type="spellEnd"/>
      <w:r w:rsidR="00A95F2A">
        <w:rPr>
          <w:rFonts w:cs="Arial"/>
          <w:lang w:val="en-CA"/>
        </w:rPr>
        <w:t xml:space="preserve"> </w:t>
      </w:r>
      <w:proofErr w:type="spellStart"/>
      <w:r w:rsidR="00A95F2A">
        <w:rPr>
          <w:rFonts w:cs="Arial"/>
          <w:lang w:val="en-CA"/>
        </w:rPr>
        <w:t>Perempuan</w:t>
      </w:r>
      <w:proofErr w:type="spellEnd"/>
      <w:r w:rsidR="00A95F2A">
        <w:rPr>
          <w:rFonts w:cs="Arial"/>
          <w:lang w:val="en-CA"/>
        </w:rPr>
        <w:t xml:space="preserve"> and its</w:t>
      </w:r>
      <w:r w:rsidR="009A4DE8" w:rsidRPr="009D07E3">
        <w:rPr>
          <w:rFonts w:cs="Arial"/>
          <w:lang w:val="en-CA"/>
        </w:rPr>
        <w:t xml:space="preserve"> network of local partners in the Forum </w:t>
      </w:r>
      <w:proofErr w:type="spellStart"/>
      <w:r w:rsidR="009A4DE8" w:rsidRPr="009D07E3">
        <w:rPr>
          <w:rFonts w:cs="Arial"/>
          <w:lang w:val="en-CA"/>
        </w:rPr>
        <w:t>Belajar</w:t>
      </w:r>
      <w:proofErr w:type="spellEnd"/>
      <w:r w:rsidR="009A4DE8" w:rsidRPr="009D07E3">
        <w:rPr>
          <w:rFonts w:cs="Arial"/>
          <w:lang w:val="en-CA"/>
        </w:rPr>
        <w:t xml:space="preserve"> have</w:t>
      </w:r>
      <w:r w:rsidR="00A95F2A">
        <w:rPr>
          <w:rFonts w:cs="Arial"/>
          <w:lang w:val="en-CA"/>
        </w:rPr>
        <w:t>,</w:t>
      </w:r>
      <w:r w:rsidR="009A4DE8" w:rsidRPr="009D07E3">
        <w:rPr>
          <w:rFonts w:cs="Arial"/>
          <w:lang w:val="en-CA"/>
        </w:rPr>
        <w:t xml:space="preserve"> however, continued to collect and compile statistics on the incidence of violence against women</w:t>
      </w:r>
      <w:r w:rsidRPr="009D07E3">
        <w:rPr>
          <w:rFonts w:cs="Arial"/>
          <w:lang w:val="en-CA"/>
        </w:rPr>
        <w:t>,</w:t>
      </w:r>
      <w:r w:rsidR="009A4DE8" w:rsidRPr="009D07E3">
        <w:rPr>
          <w:rFonts w:cs="Arial"/>
          <w:lang w:val="en-CA"/>
        </w:rPr>
        <w:t xml:space="preserve"> which have shown incremental year on year increases</w:t>
      </w:r>
      <w:r w:rsidR="00A95F2A">
        <w:rPr>
          <w:rFonts w:cs="Arial"/>
          <w:lang w:val="en-CA"/>
        </w:rPr>
        <w:t>,</w:t>
      </w:r>
      <w:r w:rsidR="009A4DE8" w:rsidRPr="009D07E3">
        <w:rPr>
          <w:rFonts w:cs="Arial"/>
          <w:lang w:val="en-CA"/>
        </w:rPr>
        <w:t xml:space="preserve"> in part, due to the increased awareness </w:t>
      </w:r>
      <w:r w:rsidR="00DE05E0" w:rsidRPr="009D07E3">
        <w:rPr>
          <w:rFonts w:cs="Arial"/>
          <w:lang w:val="en-CA"/>
        </w:rPr>
        <w:t xml:space="preserve">of the issue and where people can go to report it. </w:t>
      </w:r>
      <w:r w:rsidR="00707947" w:rsidRPr="009D07E3">
        <w:rPr>
          <w:rFonts w:cs="Arial"/>
          <w:lang w:val="en-CA"/>
        </w:rPr>
        <w:t xml:space="preserve">  </w:t>
      </w:r>
    </w:p>
    <w:p w14:paraId="69B6D98B" w14:textId="77777777" w:rsidR="00707947" w:rsidRPr="009D07E3" w:rsidRDefault="00707947" w:rsidP="000A333F">
      <w:pPr>
        <w:rPr>
          <w:rFonts w:cs="Arial"/>
          <w:lang w:val="en-CA"/>
        </w:rPr>
      </w:pPr>
    </w:p>
    <w:p w14:paraId="4319A3E9" w14:textId="653BF173" w:rsidR="001E5D0C" w:rsidRPr="009D07E3" w:rsidRDefault="00846C37" w:rsidP="000A333F">
      <w:pPr>
        <w:rPr>
          <w:rFonts w:cs="Arial"/>
          <w:lang w:val="en-CA"/>
        </w:rPr>
      </w:pPr>
      <w:r w:rsidRPr="009D07E3">
        <w:rPr>
          <w:rFonts w:cs="Arial"/>
          <w:lang w:val="en-CA"/>
        </w:rPr>
        <w:t>According to the National Commission on Violence against Women (</w:t>
      </w:r>
      <w:proofErr w:type="spellStart"/>
      <w:r w:rsidRPr="009D07E3">
        <w:rPr>
          <w:rFonts w:cs="Arial"/>
          <w:lang w:val="en-CA"/>
        </w:rPr>
        <w:t>Komnas</w:t>
      </w:r>
      <w:proofErr w:type="spellEnd"/>
      <w:r w:rsidRPr="009D07E3">
        <w:rPr>
          <w:rFonts w:cs="Arial"/>
          <w:lang w:val="en-CA"/>
        </w:rPr>
        <w:t xml:space="preserve"> </w:t>
      </w:r>
      <w:proofErr w:type="spellStart"/>
      <w:r w:rsidRPr="009D07E3">
        <w:rPr>
          <w:rFonts w:cs="Arial"/>
          <w:lang w:val="en-CA"/>
        </w:rPr>
        <w:t>Perempuan</w:t>
      </w:r>
      <w:proofErr w:type="spellEnd"/>
      <w:r w:rsidRPr="009D07E3">
        <w:rPr>
          <w:rFonts w:cs="Arial"/>
          <w:lang w:val="en-CA"/>
        </w:rPr>
        <w:t xml:space="preserve">), 293,220 cases of violence against women were reported to the Religious Court and women crisis centers in 2014. 96% of the reports are </w:t>
      </w:r>
      <w:r w:rsidR="009E6FFD" w:rsidRPr="009D07E3">
        <w:rPr>
          <w:rFonts w:cs="Arial"/>
          <w:lang w:val="en-CA"/>
        </w:rPr>
        <w:t xml:space="preserve">related to </w:t>
      </w:r>
      <w:r w:rsidRPr="009D07E3">
        <w:rPr>
          <w:rFonts w:cs="Arial"/>
          <w:lang w:val="en-CA"/>
        </w:rPr>
        <w:t>domestic violence (</w:t>
      </w:r>
      <w:proofErr w:type="spellStart"/>
      <w:r w:rsidRPr="009D07E3">
        <w:rPr>
          <w:rFonts w:cs="Arial"/>
          <w:lang w:val="en-CA"/>
        </w:rPr>
        <w:t>Komnas</w:t>
      </w:r>
      <w:proofErr w:type="spellEnd"/>
      <w:r w:rsidRPr="009D07E3">
        <w:rPr>
          <w:rFonts w:cs="Arial"/>
          <w:lang w:val="en-CA"/>
        </w:rPr>
        <w:t xml:space="preserve"> </w:t>
      </w:r>
      <w:proofErr w:type="spellStart"/>
      <w:r w:rsidRPr="009D07E3">
        <w:rPr>
          <w:rFonts w:cs="Arial"/>
          <w:lang w:val="en-CA"/>
        </w:rPr>
        <w:t>Perempuan</w:t>
      </w:r>
      <w:proofErr w:type="spellEnd"/>
      <w:r w:rsidRPr="009D07E3">
        <w:rPr>
          <w:rFonts w:cs="Arial"/>
          <w:lang w:val="en-CA"/>
        </w:rPr>
        <w:t xml:space="preserve"> 2015 Annual Report). </w:t>
      </w:r>
      <w:r w:rsidR="00707947" w:rsidRPr="009D07E3">
        <w:rPr>
          <w:rFonts w:cs="Arial"/>
          <w:lang w:val="en-CA"/>
        </w:rPr>
        <w:t xml:space="preserve"> This is </w:t>
      </w:r>
      <w:r w:rsidRPr="009D07E3">
        <w:rPr>
          <w:rFonts w:cs="Arial"/>
          <w:lang w:val="en-CA"/>
        </w:rPr>
        <w:t>a 5% increase from reported cases in 2013 and a 35.8% increase from those re</w:t>
      </w:r>
      <w:r w:rsidR="00707947" w:rsidRPr="009D07E3">
        <w:rPr>
          <w:rFonts w:cs="Arial"/>
          <w:lang w:val="en-CA"/>
        </w:rPr>
        <w:t>ported in 2010 (105,103 cases).</w:t>
      </w:r>
      <w:r w:rsidR="00C03C95" w:rsidRPr="009D07E3">
        <w:rPr>
          <w:rFonts w:cs="Arial"/>
          <w:lang w:val="en-CA"/>
        </w:rPr>
        <w:t xml:space="preserve"> In the absence of a national survey on the prevalence of violence against women, </w:t>
      </w:r>
      <w:proofErr w:type="spellStart"/>
      <w:r w:rsidR="00C03C95" w:rsidRPr="009D07E3">
        <w:rPr>
          <w:rFonts w:cs="Arial"/>
          <w:lang w:val="en-CA"/>
        </w:rPr>
        <w:t>Komnas</w:t>
      </w:r>
      <w:proofErr w:type="spellEnd"/>
      <w:r w:rsidR="00C03C95" w:rsidRPr="009D07E3">
        <w:rPr>
          <w:rFonts w:cs="Arial"/>
          <w:lang w:val="en-CA"/>
        </w:rPr>
        <w:t xml:space="preserve"> </w:t>
      </w:r>
      <w:proofErr w:type="spellStart"/>
      <w:r w:rsidR="00C03C95" w:rsidRPr="009D07E3">
        <w:rPr>
          <w:rFonts w:cs="Arial"/>
          <w:lang w:val="en-CA"/>
        </w:rPr>
        <w:t>Perempuan’s</w:t>
      </w:r>
      <w:proofErr w:type="spellEnd"/>
      <w:r w:rsidR="00C03C95" w:rsidRPr="009D07E3">
        <w:rPr>
          <w:rFonts w:cs="Arial"/>
          <w:lang w:val="en-CA"/>
        </w:rPr>
        <w:t xml:space="preserve"> annual report is the only source of data on the matter.</w:t>
      </w:r>
    </w:p>
    <w:p w14:paraId="47AAB87F" w14:textId="77777777" w:rsidR="00C03C95" w:rsidRPr="009D07E3" w:rsidRDefault="00C03C95" w:rsidP="000A333F">
      <w:pPr>
        <w:rPr>
          <w:rFonts w:cs="Arial"/>
          <w:lang w:val="en-CA"/>
        </w:rPr>
      </w:pPr>
    </w:p>
    <w:p w14:paraId="65FED4A0" w14:textId="48BAE483" w:rsidR="00C03C95" w:rsidRPr="009D07E3" w:rsidRDefault="00C03C95" w:rsidP="00C03C95">
      <w:pPr>
        <w:rPr>
          <w:rFonts w:cs="Arial"/>
          <w:lang w:val="en-CA"/>
        </w:rPr>
      </w:pPr>
      <w:r w:rsidRPr="009D07E3">
        <w:rPr>
          <w:rFonts w:cs="Arial"/>
          <w:lang w:val="en-CA"/>
        </w:rPr>
        <w:t xml:space="preserve">At the national level, </w:t>
      </w:r>
      <w:proofErr w:type="spellStart"/>
      <w:r w:rsidRPr="009D07E3">
        <w:rPr>
          <w:rFonts w:cs="Arial"/>
          <w:lang w:val="en-CA"/>
        </w:rPr>
        <w:t>Komnas</w:t>
      </w:r>
      <w:proofErr w:type="spellEnd"/>
      <w:r w:rsidRPr="009D07E3">
        <w:rPr>
          <w:rFonts w:cs="Arial"/>
          <w:lang w:val="en-CA"/>
        </w:rPr>
        <w:t xml:space="preserve"> </w:t>
      </w:r>
      <w:proofErr w:type="spellStart"/>
      <w:r w:rsidRPr="009D07E3">
        <w:rPr>
          <w:rFonts w:cs="Arial"/>
          <w:lang w:val="en-CA"/>
        </w:rPr>
        <w:t>Perempuan</w:t>
      </w:r>
      <w:proofErr w:type="spellEnd"/>
      <w:r w:rsidRPr="009D07E3">
        <w:rPr>
          <w:rFonts w:cs="Arial"/>
          <w:lang w:val="en-CA"/>
        </w:rPr>
        <w:t xml:space="preserve"> also conducts research and advocacy for the passing of the Sexual Violence Bill, amendment of the Indonesian Criminal Code on the persecution of perpetrators of violence against women, and monitoring the implementation of government services for women victims of violence. The latter is achieved through </w:t>
      </w:r>
      <w:proofErr w:type="spellStart"/>
      <w:r w:rsidRPr="009D07E3">
        <w:rPr>
          <w:rFonts w:cs="Arial"/>
          <w:lang w:val="en-CA"/>
        </w:rPr>
        <w:t>Komnas</w:t>
      </w:r>
      <w:proofErr w:type="spellEnd"/>
      <w:r w:rsidRPr="009D07E3">
        <w:rPr>
          <w:rFonts w:cs="Arial"/>
          <w:lang w:val="en-CA"/>
        </w:rPr>
        <w:t xml:space="preserve"> </w:t>
      </w:r>
      <w:proofErr w:type="spellStart"/>
      <w:r w:rsidRPr="009D07E3">
        <w:rPr>
          <w:rFonts w:cs="Arial"/>
          <w:lang w:val="en-CA"/>
        </w:rPr>
        <w:t>Perempuan</w:t>
      </w:r>
      <w:proofErr w:type="spellEnd"/>
      <w:r w:rsidRPr="009D07E3">
        <w:rPr>
          <w:rFonts w:cs="Arial"/>
          <w:lang w:val="en-CA"/>
        </w:rPr>
        <w:t xml:space="preserve"> support to the Learning Forum, a network of 33 women crisis centers in 18 provinces, which consist</w:t>
      </w:r>
      <w:r w:rsidR="00A71B95">
        <w:rPr>
          <w:rFonts w:cs="Arial"/>
          <w:lang w:val="en-CA"/>
        </w:rPr>
        <w:t>s</w:t>
      </w:r>
      <w:r w:rsidRPr="009D07E3">
        <w:rPr>
          <w:rFonts w:cs="Arial"/>
          <w:lang w:val="en-CA"/>
        </w:rPr>
        <w:t xml:space="preserve"> of assistance in developing instruments to document sexual violence case</w:t>
      </w:r>
      <w:r w:rsidR="005665DF">
        <w:rPr>
          <w:rFonts w:cs="Arial"/>
          <w:lang w:val="en-CA"/>
        </w:rPr>
        <w:t>s</w:t>
      </w:r>
      <w:r w:rsidRPr="009D07E3">
        <w:rPr>
          <w:rFonts w:cs="Arial"/>
          <w:lang w:val="en-CA"/>
        </w:rPr>
        <w:t xml:space="preserve"> and minimum service standard</w:t>
      </w:r>
      <w:r w:rsidR="005665DF">
        <w:rPr>
          <w:rFonts w:cs="Arial"/>
          <w:lang w:val="en-CA"/>
        </w:rPr>
        <w:t>s</w:t>
      </w:r>
      <w:r w:rsidRPr="009D07E3">
        <w:rPr>
          <w:rFonts w:cs="Arial"/>
          <w:lang w:val="en-CA"/>
        </w:rPr>
        <w:t xml:space="preserve"> in handling cases of violence.  </w:t>
      </w:r>
    </w:p>
    <w:p w14:paraId="7B74B34E" w14:textId="77777777" w:rsidR="00C03C95" w:rsidRPr="009D07E3" w:rsidRDefault="00C03C95" w:rsidP="000A333F">
      <w:pPr>
        <w:rPr>
          <w:rFonts w:cs="Arial"/>
          <w:lang w:val="en-CA"/>
        </w:rPr>
      </w:pPr>
    </w:p>
    <w:p w14:paraId="49B1FB8F" w14:textId="2DC0F574" w:rsidR="00153A50" w:rsidRPr="009D07E3" w:rsidRDefault="00153A50" w:rsidP="006E3E51">
      <w:pPr>
        <w:pStyle w:val="Heading3"/>
        <w:rPr>
          <w:lang w:val="en-CA"/>
        </w:rPr>
      </w:pPr>
      <w:bookmarkStart w:id="7" w:name="_Toc423438695"/>
      <w:r w:rsidRPr="009D07E3">
        <w:rPr>
          <w:lang w:val="en-CA"/>
        </w:rPr>
        <w:t xml:space="preserve">Social </w:t>
      </w:r>
      <w:r w:rsidR="009E6FFD" w:rsidRPr="009D07E3">
        <w:rPr>
          <w:lang w:val="en-CA"/>
        </w:rPr>
        <w:t>P</w:t>
      </w:r>
      <w:r w:rsidRPr="009D07E3">
        <w:rPr>
          <w:lang w:val="en-CA"/>
        </w:rPr>
        <w:t>rotection</w:t>
      </w:r>
      <w:bookmarkEnd w:id="7"/>
    </w:p>
    <w:p w14:paraId="5A730EEE" w14:textId="77777777" w:rsidR="006E3E51" w:rsidRPr="009D07E3" w:rsidRDefault="006E3E51" w:rsidP="006E3E51">
      <w:pPr>
        <w:rPr>
          <w:lang w:val="en-CA"/>
        </w:rPr>
      </w:pPr>
    </w:p>
    <w:p w14:paraId="0273AA13" w14:textId="1C0E9B45" w:rsidR="00707947" w:rsidRPr="009D07E3" w:rsidRDefault="00707947" w:rsidP="000A333F">
      <w:pPr>
        <w:rPr>
          <w:rFonts w:cs="Arial"/>
          <w:b/>
          <w:lang w:val="en-CA"/>
        </w:rPr>
      </w:pPr>
      <w:r w:rsidRPr="009D07E3">
        <w:rPr>
          <w:rFonts w:cs="Arial"/>
          <w:lang w:val="en-CA"/>
        </w:rPr>
        <w:t xml:space="preserve">High-income countries spend 20-25% of their GDP on social protection, while the average in Asia is approximately 5% of GDP. </w:t>
      </w:r>
      <w:r w:rsidR="009E6FFD" w:rsidRPr="009D07E3">
        <w:rPr>
          <w:rFonts w:cs="Arial"/>
          <w:lang w:val="en-CA"/>
        </w:rPr>
        <w:t>In</w:t>
      </w:r>
      <w:r w:rsidRPr="009D07E3">
        <w:rPr>
          <w:rFonts w:cs="Arial"/>
          <w:lang w:val="en-CA"/>
        </w:rPr>
        <w:t xml:space="preserve"> Indonesia</w:t>
      </w:r>
      <w:r w:rsidR="009E6FFD" w:rsidRPr="009D07E3">
        <w:rPr>
          <w:rFonts w:cs="Arial"/>
          <w:lang w:val="en-CA"/>
        </w:rPr>
        <w:t>,</w:t>
      </w:r>
      <w:r w:rsidRPr="009D07E3">
        <w:rPr>
          <w:rFonts w:cs="Arial"/>
          <w:lang w:val="en-CA"/>
        </w:rPr>
        <w:t xml:space="preserve"> only 1.9% of GDP is spent on social protection</w:t>
      </w:r>
      <w:r w:rsidR="009E6FFD" w:rsidRPr="009D07E3">
        <w:rPr>
          <w:rFonts w:cs="Arial"/>
          <w:lang w:val="en-CA"/>
        </w:rPr>
        <w:t xml:space="preserve"> </w:t>
      </w:r>
      <w:r w:rsidRPr="009D07E3">
        <w:rPr>
          <w:rFonts w:cs="Arial"/>
          <w:lang w:val="en-CA"/>
        </w:rPr>
        <w:t>(Cameron, 2013)</w:t>
      </w:r>
      <w:r w:rsidR="009E6FFD" w:rsidRPr="009D07E3">
        <w:rPr>
          <w:rFonts w:cs="Arial"/>
          <w:lang w:val="en-CA"/>
        </w:rPr>
        <w:t>.</w:t>
      </w:r>
    </w:p>
    <w:p w14:paraId="2A50440A" w14:textId="77777777" w:rsidR="00707947" w:rsidRPr="009D07E3" w:rsidRDefault="00707947" w:rsidP="000A333F">
      <w:pPr>
        <w:rPr>
          <w:rFonts w:cs="Arial"/>
          <w:lang w:val="en-CA"/>
        </w:rPr>
      </w:pPr>
    </w:p>
    <w:p w14:paraId="215591AF" w14:textId="77675FFC" w:rsidR="00707947" w:rsidRPr="009D07E3" w:rsidRDefault="00707947" w:rsidP="000A333F">
      <w:pPr>
        <w:rPr>
          <w:rFonts w:cs="Arial"/>
          <w:color w:val="000000"/>
          <w:shd w:val="clear" w:color="auto" w:fill="FFFFFF"/>
          <w:lang w:val="en-CA"/>
        </w:rPr>
      </w:pPr>
      <w:r w:rsidRPr="009D07E3">
        <w:rPr>
          <w:rFonts w:cs="Arial"/>
          <w:color w:val="000000"/>
          <w:shd w:val="clear" w:color="auto" w:fill="FFFFFF"/>
          <w:lang w:val="en-CA"/>
        </w:rPr>
        <w:t>The Indonesian unified database</w:t>
      </w:r>
      <w:r w:rsidRPr="009D07E3">
        <w:rPr>
          <w:rStyle w:val="FootnoteReference"/>
          <w:rFonts w:cs="Arial"/>
          <w:color w:val="000000"/>
          <w:shd w:val="clear" w:color="auto" w:fill="FFFFFF"/>
          <w:lang w:val="en-CA"/>
        </w:rPr>
        <w:footnoteReference w:id="7"/>
      </w:r>
      <w:r w:rsidRPr="009D07E3">
        <w:rPr>
          <w:rFonts w:cs="Arial"/>
          <w:color w:val="000000"/>
          <w:shd w:val="clear" w:color="auto" w:fill="FFFFFF"/>
          <w:lang w:val="en-CA"/>
        </w:rPr>
        <w:t xml:space="preserve"> included 2,864,364 female-headed households that are categorized in the 30% lowest welfare status. This </w:t>
      </w:r>
      <w:r w:rsidR="00DE1FC7" w:rsidRPr="009D07E3">
        <w:rPr>
          <w:rFonts w:cs="Arial"/>
          <w:color w:val="000000"/>
          <w:shd w:val="clear" w:color="auto" w:fill="FFFFFF"/>
          <w:lang w:val="en-CA"/>
        </w:rPr>
        <w:t>figure is</w:t>
      </w:r>
      <w:r w:rsidRPr="009D07E3">
        <w:rPr>
          <w:rFonts w:cs="Arial"/>
          <w:color w:val="000000"/>
          <w:shd w:val="clear" w:color="auto" w:fill="FFFFFF"/>
          <w:lang w:val="en-CA"/>
        </w:rPr>
        <w:t xml:space="preserve"> used as the basis for the Indonesian social protection program. </w:t>
      </w:r>
    </w:p>
    <w:p w14:paraId="511BB157" w14:textId="77777777" w:rsidR="00707947" w:rsidRPr="00ED7EE4" w:rsidRDefault="00707947" w:rsidP="00ED7EE4">
      <w:pPr>
        <w:rPr>
          <w:rFonts w:cs="Arial"/>
          <w:color w:val="000000"/>
          <w:shd w:val="clear" w:color="auto" w:fill="FFFFFF"/>
          <w:lang w:val="en-CA"/>
        </w:rPr>
      </w:pPr>
    </w:p>
    <w:p w14:paraId="2E6F2DC0" w14:textId="5A4CCE3C" w:rsidR="00707947" w:rsidRPr="00891888" w:rsidRDefault="00CB432A" w:rsidP="00891888">
      <w:pPr>
        <w:tabs>
          <w:tab w:val="left" w:pos="284"/>
        </w:tabs>
        <w:rPr>
          <w:rFonts w:cs="Arial"/>
          <w:lang w:val="en-CA"/>
        </w:rPr>
      </w:pPr>
      <w:r w:rsidRPr="009D07E3">
        <w:rPr>
          <w:rFonts w:cs="Arial"/>
          <w:lang w:val="en-CA"/>
        </w:rPr>
        <w:t>An analysis of the characteristics of poor households indicates that countries where women are at greater risk of poverty also tend to have an over-representation of ‘female-only’ households (i.e., those with no male adults) among the bottom 20 per cent. This suggests a greater risk of poverty among separated women, widows and single mothers, including heads of households without a male partner. </w:t>
      </w:r>
      <w:r w:rsidR="00707947" w:rsidRPr="009D07E3">
        <w:rPr>
          <w:rFonts w:cs="Arial"/>
          <w:color w:val="000000"/>
          <w:shd w:val="clear" w:color="auto" w:fill="FFFFFF"/>
          <w:lang w:val="en-CA"/>
        </w:rPr>
        <w:t>A survey done by PEKKA and SMERU (2011</w:t>
      </w:r>
      <w:proofErr w:type="gramStart"/>
      <w:r w:rsidR="00707947" w:rsidRPr="009D07E3">
        <w:rPr>
          <w:rFonts w:cs="Arial"/>
          <w:color w:val="000000"/>
          <w:shd w:val="clear" w:color="auto" w:fill="FFFFFF"/>
          <w:lang w:val="en-CA"/>
        </w:rPr>
        <w:t>)</w:t>
      </w:r>
      <w:r w:rsidR="00DE1FC7" w:rsidRPr="009D07E3">
        <w:rPr>
          <w:rFonts w:cs="Arial"/>
          <w:color w:val="000000"/>
          <w:shd w:val="clear" w:color="auto" w:fill="FFFFFF"/>
          <w:lang w:val="en-CA"/>
        </w:rPr>
        <w:t>,</w:t>
      </w:r>
      <w:proofErr w:type="gramEnd"/>
      <w:r w:rsidR="00707947" w:rsidRPr="009D07E3">
        <w:rPr>
          <w:rStyle w:val="FootnoteReference"/>
          <w:rFonts w:cs="Arial"/>
          <w:color w:val="000000"/>
          <w:shd w:val="clear" w:color="auto" w:fill="FFFFFF"/>
          <w:lang w:val="en-CA"/>
        </w:rPr>
        <w:footnoteReference w:id="8"/>
      </w:r>
      <w:r w:rsidR="00707947" w:rsidRPr="009D07E3">
        <w:rPr>
          <w:rFonts w:cs="Arial"/>
          <w:color w:val="000000"/>
          <w:shd w:val="clear" w:color="auto" w:fill="FFFFFF"/>
          <w:lang w:val="en-CA"/>
        </w:rPr>
        <w:t xml:space="preserve"> shows that despite being categorized as poor, female-headed poor households often did not have access to the government’s social protection program</w:t>
      </w:r>
      <w:r w:rsidR="00E462FA">
        <w:rPr>
          <w:rFonts w:cs="Arial"/>
          <w:color w:val="000000"/>
          <w:shd w:val="clear" w:color="auto" w:fill="FFFFFF"/>
          <w:lang w:val="en-CA"/>
        </w:rPr>
        <w:t>s</w:t>
      </w:r>
      <w:r w:rsidR="00707947" w:rsidRPr="009D07E3">
        <w:rPr>
          <w:rFonts w:cs="Arial"/>
          <w:color w:val="000000"/>
          <w:shd w:val="clear" w:color="auto" w:fill="FFFFFF"/>
          <w:lang w:val="en-CA"/>
        </w:rPr>
        <w:t xml:space="preserve">. Around 33% of the female-headed poor households failed to access </w:t>
      </w:r>
      <w:r w:rsidR="00DE1FC7" w:rsidRPr="009D07E3">
        <w:rPr>
          <w:rFonts w:cs="Arial"/>
          <w:color w:val="000000"/>
          <w:shd w:val="clear" w:color="auto" w:fill="FFFFFF"/>
          <w:lang w:val="en-CA"/>
        </w:rPr>
        <w:t xml:space="preserve">the </w:t>
      </w:r>
      <w:r w:rsidR="00707947" w:rsidRPr="009D07E3">
        <w:rPr>
          <w:rFonts w:cs="Arial"/>
          <w:color w:val="000000"/>
          <w:shd w:val="clear" w:color="auto" w:fill="FFFFFF"/>
          <w:lang w:val="en-CA"/>
        </w:rPr>
        <w:t>direct cash transfer (</w:t>
      </w:r>
      <w:proofErr w:type="spellStart"/>
      <w:r w:rsidR="00707947" w:rsidRPr="009D07E3">
        <w:rPr>
          <w:rFonts w:cs="Arial"/>
          <w:color w:val="000000"/>
          <w:shd w:val="clear" w:color="auto" w:fill="FFFFFF"/>
          <w:lang w:val="en-CA"/>
        </w:rPr>
        <w:t>Bantuan</w:t>
      </w:r>
      <w:proofErr w:type="spellEnd"/>
      <w:r w:rsidR="00707947" w:rsidRPr="009D07E3">
        <w:rPr>
          <w:rFonts w:cs="Arial"/>
          <w:color w:val="000000"/>
          <w:shd w:val="clear" w:color="auto" w:fill="FFFFFF"/>
          <w:lang w:val="en-CA"/>
        </w:rPr>
        <w:t xml:space="preserve"> </w:t>
      </w:r>
      <w:proofErr w:type="spellStart"/>
      <w:r w:rsidR="00707947" w:rsidRPr="009D07E3">
        <w:rPr>
          <w:rFonts w:cs="Arial"/>
          <w:color w:val="000000"/>
          <w:shd w:val="clear" w:color="auto" w:fill="FFFFFF"/>
          <w:lang w:val="en-CA"/>
        </w:rPr>
        <w:t>Langsung</w:t>
      </w:r>
      <w:proofErr w:type="spellEnd"/>
      <w:r w:rsidR="00707947" w:rsidRPr="009D07E3">
        <w:rPr>
          <w:rFonts w:cs="Arial"/>
          <w:color w:val="000000"/>
          <w:shd w:val="clear" w:color="auto" w:fill="FFFFFF"/>
          <w:lang w:val="en-CA"/>
        </w:rPr>
        <w:t xml:space="preserve"> </w:t>
      </w:r>
      <w:proofErr w:type="spellStart"/>
      <w:r w:rsidR="00707947" w:rsidRPr="009D07E3">
        <w:rPr>
          <w:rFonts w:cs="Arial"/>
          <w:color w:val="000000"/>
          <w:shd w:val="clear" w:color="auto" w:fill="FFFFFF"/>
          <w:lang w:val="en-CA"/>
        </w:rPr>
        <w:t>Tunai</w:t>
      </w:r>
      <w:proofErr w:type="spellEnd"/>
      <w:r w:rsidR="00707947" w:rsidRPr="009D07E3">
        <w:rPr>
          <w:rFonts w:cs="Arial"/>
          <w:color w:val="000000"/>
          <w:shd w:val="clear" w:color="auto" w:fill="FFFFFF"/>
          <w:lang w:val="en-CA"/>
        </w:rPr>
        <w:t>) program, 34% did not have access to the health insurance for the poor (</w:t>
      </w:r>
      <w:proofErr w:type="spellStart"/>
      <w:r w:rsidR="00707947" w:rsidRPr="009D07E3">
        <w:rPr>
          <w:rFonts w:cs="Arial"/>
          <w:color w:val="000000"/>
          <w:shd w:val="clear" w:color="auto" w:fill="FFFFFF"/>
          <w:lang w:val="en-CA"/>
        </w:rPr>
        <w:t>Jamkesmas</w:t>
      </w:r>
      <w:proofErr w:type="spellEnd"/>
      <w:r w:rsidR="00707947" w:rsidRPr="009D07E3">
        <w:rPr>
          <w:rFonts w:cs="Arial"/>
          <w:color w:val="000000"/>
          <w:shd w:val="clear" w:color="auto" w:fill="FFFFFF"/>
          <w:lang w:val="en-CA"/>
        </w:rPr>
        <w:t xml:space="preserve">), while 6% did not </w:t>
      </w:r>
      <w:r w:rsidR="00DE1FC7" w:rsidRPr="009D07E3">
        <w:rPr>
          <w:rFonts w:cs="Arial"/>
          <w:color w:val="000000"/>
          <w:shd w:val="clear" w:color="auto" w:fill="FFFFFF"/>
          <w:lang w:val="en-CA"/>
        </w:rPr>
        <w:t xml:space="preserve">have access to </w:t>
      </w:r>
      <w:r w:rsidR="00707947" w:rsidRPr="009D07E3">
        <w:rPr>
          <w:rFonts w:cs="Arial"/>
          <w:color w:val="000000"/>
          <w:shd w:val="clear" w:color="auto" w:fill="FFFFFF"/>
          <w:lang w:val="en-CA"/>
        </w:rPr>
        <w:t>the rice for the poor (</w:t>
      </w:r>
      <w:proofErr w:type="spellStart"/>
      <w:r w:rsidR="00707947" w:rsidRPr="009D07E3">
        <w:rPr>
          <w:rFonts w:cs="Arial"/>
          <w:color w:val="000000"/>
          <w:shd w:val="clear" w:color="auto" w:fill="FFFFFF"/>
          <w:lang w:val="en-CA"/>
        </w:rPr>
        <w:t>Raskin</w:t>
      </w:r>
      <w:proofErr w:type="spellEnd"/>
      <w:r w:rsidR="00707947" w:rsidRPr="009D07E3">
        <w:rPr>
          <w:rFonts w:cs="Arial"/>
          <w:color w:val="000000"/>
          <w:shd w:val="clear" w:color="auto" w:fill="FFFFFF"/>
          <w:lang w:val="en-CA"/>
        </w:rPr>
        <w:t xml:space="preserve">) program. </w:t>
      </w:r>
      <w:r w:rsidR="00BF25CA">
        <w:rPr>
          <w:rFonts w:cs="Arial"/>
          <w:color w:val="000000"/>
          <w:shd w:val="clear" w:color="auto" w:fill="FFFFFF"/>
          <w:lang w:val="en-CA"/>
        </w:rPr>
        <w:t xml:space="preserve">The trend of women-headed households having less access to social protection schemes remains in 2014, as validated by </w:t>
      </w:r>
      <w:r w:rsidR="00E462FA">
        <w:rPr>
          <w:rFonts w:cs="Arial"/>
          <w:color w:val="000000"/>
          <w:shd w:val="clear" w:color="auto" w:fill="FFFFFF"/>
          <w:lang w:val="en-CA"/>
        </w:rPr>
        <w:t>SMERU through its</w:t>
      </w:r>
      <w:r w:rsidR="00BF25CA">
        <w:rPr>
          <w:rFonts w:cs="Arial"/>
          <w:color w:val="000000"/>
          <w:shd w:val="clear" w:color="auto" w:fill="FFFFFF"/>
          <w:lang w:val="en-CA"/>
        </w:rPr>
        <w:t xml:space="preserve"> survey with poor households across Indonesia</w:t>
      </w:r>
      <w:r w:rsidR="00BF25CA" w:rsidRPr="009D07E3">
        <w:rPr>
          <w:rStyle w:val="FootnoteReference"/>
          <w:rFonts w:cs="Arial"/>
          <w:lang w:val="en-CA"/>
        </w:rPr>
        <w:footnoteReference w:id="9"/>
      </w:r>
      <w:r w:rsidR="00BF25CA">
        <w:rPr>
          <w:rFonts w:cs="Arial"/>
          <w:color w:val="000000"/>
          <w:shd w:val="clear" w:color="auto" w:fill="FFFFFF"/>
          <w:lang w:val="en-CA"/>
        </w:rPr>
        <w:t>.</w:t>
      </w:r>
      <w:r w:rsidR="00BF25CA" w:rsidRPr="009D07E3">
        <w:rPr>
          <w:rFonts w:cs="Arial"/>
          <w:lang w:val="en-CA"/>
        </w:rPr>
        <w:t xml:space="preserve"> </w:t>
      </w:r>
    </w:p>
    <w:p w14:paraId="18CA431E" w14:textId="77777777" w:rsidR="00707947" w:rsidRPr="009D07E3" w:rsidRDefault="00707947" w:rsidP="000A333F">
      <w:pPr>
        <w:tabs>
          <w:tab w:val="left" w:pos="284"/>
        </w:tabs>
        <w:rPr>
          <w:rFonts w:cs="Arial"/>
          <w:lang w:val="en-CA"/>
        </w:rPr>
      </w:pPr>
    </w:p>
    <w:p w14:paraId="1B5EC913" w14:textId="5C11B4F9" w:rsidR="00C03C95" w:rsidRPr="009D07E3" w:rsidRDefault="0086763E" w:rsidP="000A333F">
      <w:pPr>
        <w:tabs>
          <w:tab w:val="left" w:pos="284"/>
        </w:tabs>
        <w:rPr>
          <w:rFonts w:cs="Arial"/>
          <w:lang w:val="en-CA"/>
        </w:rPr>
      </w:pPr>
      <w:r w:rsidRPr="009D07E3">
        <w:rPr>
          <w:rFonts w:cs="Arial"/>
          <w:lang w:val="en-CA"/>
        </w:rPr>
        <w:t xml:space="preserve">While PEKKA focuses on highlighting the visibility of women-headed households in the social protection targeting system, other MAMPU partners, Indonesian Women Coalition (KPI) and KAPAL </w:t>
      </w:r>
      <w:proofErr w:type="spellStart"/>
      <w:r w:rsidRPr="009D07E3">
        <w:rPr>
          <w:rFonts w:cs="Arial"/>
          <w:lang w:val="en-CA"/>
        </w:rPr>
        <w:t>Perempuan</w:t>
      </w:r>
      <w:proofErr w:type="spellEnd"/>
      <w:r w:rsidR="00860931">
        <w:rPr>
          <w:rFonts w:cs="Arial"/>
          <w:lang w:val="en-CA"/>
        </w:rPr>
        <w:t>,</w:t>
      </w:r>
      <w:r w:rsidRPr="009D07E3">
        <w:rPr>
          <w:rFonts w:cs="Arial"/>
          <w:lang w:val="en-CA"/>
        </w:rPr>
        <w:t xml:space="preserve"> aim to improve the leadership and participation of poor women in monitoring the implementation of government social protection schemes. KAPAL </w:t>
      </w:r>
      <w:proofErr w:type="spellStart"/>
      <w:r w:rsidRPr="009D07E3">
        <w:rPr>
          <w:rFonts w:cs="Arial"/>
          <w:lang w:val="en-CA"/>
        </w:rPr>
        <w:t>Perempuan</w:t>
      </w:r>
      <w:proofErr w:type="spellEnd"/>
      <w:r w:rsidRPr="009D07E3">
        <w:rPr>
          <w:rFonts w:cs="Arial"/>
          <w:lang w:val="en-CA"/>
        </w:rPr>
        <w:t xml:space="preserve"> established 25 Women’s Schools in 9 districts, while KPI’s </w:t>
      </w:r>
      <w:proofErr w:type="spellStart"/>
      <w:r w:rsidRPr="009D07E3">
        <w:rPr>
          <w:rFonts w:cs="Arial"/>
          <w:lang w:val="en-CA"/>
        </w:rPr>
        <w:t>Balai</w:t>
      </w:r>
      <w:proofErr w:type="spellEnd"/>
      <w:r w:rsidRPr="009D07E3">
        <w:rPr>
          <w:rFonts w:cs="Arial"/>
          <w:lang w:val="en-CA"/>
        </w:rPr>
        <w:t xml:space="preserve"> </w:t>
      </w:r>
      <w:proofErr w:type="spellStart"/>
      <w:r w:rsidRPr="009D07E3">
        <w:rPr>
          <w:rFonts w:cs="Arial"/>
          <w:lang w:val="en-CA"/>
        </w:rPr>
        <w:t>Perempuan</w:t>
      </w:r>
      <w:proofErr w:type="spellEnd"/>
      <w:r w:rsidRPr="009D07E3">
        <w:rPr>
          <w:rFonts w:cs="Arial"/>
          <w:lang w:val="en-CA"/>
        </w:rPr>
        <w:t xml:space="preserve"> </w:t>
      </w:r>
      <w:proofErr w:type="gramStart"/>
      <w:r w:rsidRPr="009D07E3">
        <w:rPr>
          <w:rFonts w:cs="Arial"/>
          <w:lang w:val="en-CA"/>
        </w:rPr>
        <w:t>exist</w:t>
      </w:r>
      <w:proofErr w:type="gramEnd"/>
      <w:r w:rsidRPr="009D07E3">
        <w:rPr>
          <w:rFonts w:cs="Arial"/>
          <w:lang w:val="en-CA"/>
        </w:rPr>
        <w:t xml:space="preserve"> in 80 districts across 9 provinces as a way to raise awareness and organize women at the community level. At the national level, all three organisations continuously initiate policy dialogue with government agencies relevant to the implementation of social protection programs, such as BAPPENAS and TNP2K (National Team for the Acceleration of Poverty Reduction). </w:t>
      </w:r>
    </w:p>
    <w:p w14:paraId="1E549042" w14:textId="77777777" w:rsidR="00C03C95" w:rsidRPr="009D07E3" w:rsidRDefault="00C03C95" w:rsidP="000A333F">
      <w:pPr>
        <w:tabs>
          <w:tab w:val="left" w:pos="284"/>
        </w:tabs>
        <w:rPr>
          <w:rFonts w:cs="Arial"/>
          <w:lang w:val="en-CA"/>
        </w:rPr>
      </w:pPr>
    </w:p>
    <w:p w14:paraId="6DA05539" w14:textId="22CDDC61" w:rsidR="00153A50" w:rsidRPr="009D07E3" w:rsidRDefault="00153A50" w:rsidP="006E3E51">
      <w:pPr>
        <w:pStyle w:val="Heading3"/>
        <w:rPr>
          <w:lang w:val="en-CA"/>
        </w:rPr>
      </w:pPr>
      <w:bookmarkStart w:id="8" w:name="_Toc423438696"/>
      <w:r w:rsidRPr="009D07E3">
        <w:rPr>
          <w:lang w:val="en-CA"/>
        </w:rPr>
        <w:t xml:space="preserve">Migrant </w:t>
      </w:r>
      <w:r w:rsidR="009C619F" w:rsidRPr="009D07E3">
        <w:rPr>
          <w:lang w:val="en-CA"/>
        </w:rPr>
        <w:t>W</w:t>
      </w:r>
      <w:r w:rsidRPr="009D07E3">
        <w:rPr>
          <w:lang w:val="en-CA"/>
        </w:rPr>
        <w:t>orkers</w:t>
      </w:r>
      <w:bookmarkEnd w:id="8"/>
    </w:p>
    <w:p w14:paraId="0B1099EE" w14:textId="77777777" w:rsidR="006E3E51" w:rsidRPr="009D07E3" w:rsidRDefault="006E3E51" w:rsidP="006E3E51">
      <w:pPr>
        <w:rPr>
          <w:lang w:val="en-CA"/>
        </w:rPr>
      </w:pPr>
    </w:p>
    <w:p w14:paraId="41C57095" w14:textId="3CC1B8EE" w:rsidR="00A802F8" w:rsidRDefault="00A802F8" w:rsidP="000A333F">
      <w:pPr>
        <w:rPr>
          <w:rFonts w:cs="Arial"/>
          <w:lang w:val="en-CA"/>
        </w:rPr>
      </w:pPr>
      <w:r w:rsidRPr="009D07E3">
        <w:rPr>
          <w:rFonts w:cs="Arial"/>
          <w:lang w:val="en-CA"/>
        </w:rPr>
        <w:t>Data from BNP2TKI shows yearly statistics on the number of migrant worker</w:t>
      </w:r>
      <w:r w:rsidR="00C95FFE" w:rsidRPr="009D07E3">
        <w:rPr>
          <w:rFonts w:cs="Arial"/>
          <w:lang w:val="en-CA"/>
        </w:rPr>
        <w:t>s</w:t>
      </w:r>
      <w:r w:rsidRPr="009D07E3">
        <w:rPr>
          <w:rFonts w:cs="Arial"/>
          <w:lang w:val="en-CA"/>
        </w:rPr>
        <w:t xml:space="preserve"> leaving on contracts to work abroad. According to BNP2TKI, 429,872 Indonesian migrant workers left the country in 2014</w:t>
      </w:r>
      <w:r w:rsidR="0036115E" w:rsidRPr="009D07E3">
        <w:rPr>
          <w:rFonts w:cs="Arial"/>
          <w:lang w:val="en-CA"/>
        </w:rPr>
        <w:t xml:space="preserve">, </w:t>
      </w:r>
      <w:r w:rsidRPr="009D07E3">
        <w:rPr>
          <w:rFonts w:cs="Arial"/>
          <w:lang w:val="en-CA"/>
        </w:rPr>
        <w:t xml:space="preserve">57% of </w:t>
      </w:r>
      <w:r w:rsidR="000B65AC">
        <w:rPr>
          <w:rFonts w:cs="Arial"/>
          <w:lang w:val="en-CA"/>
        </w:rPr>
        <w:t>whom</w:t>
      </w:r>
      <w:r w:rsidR="0036115E" w:rsidRPr="009D07E3">
        <w:rPr>
          <w:rFonts w:cs="Arial"/>
          <w:lang w:val="en-CA"/>
        </w:rPr>
        <w:t xml:space="preserve"> </w:t>
      </w:r>
      <w:r w:rsidR="00C95FFE" w:rsidRPr="009D07E3">
        <w:rPr>
          <w:rFonts w:cs="Arial"/>
          <w:lang w:val="en-CA"/>
        </w:rPr>
        <w:t>wer</w:t>
      </w:r>
      <w:r w:rsidRPr="009D07E3">
        <w:rPr>
          <w:rFonts w:cs="Arial"/>
          <w:lang w:val="en-CA"/>
        </w:rPr>
        <w:t>e women.</w:t>
      </w:r>
      <w:r w:rsidR="00DF77EA" w:rsidRPr="009D07E3">
        <w:rPr>
          <w:rFonts w:cs="Arial"/>
          <w:lang w:val="en-CA"/>
        </w:rPr>
        <w:t xml:space="preserve"> A survey by IOM revealed that in 2009 Indonesia received remittances worth USD 6 billion</w:t>
      </w:r>
      <w:r w:rsidR="00DF77EA" w:rsidRPr="009D07E3">
        <w:rPr>
          <w:rStyle w:val="FootnoteReference"/>
          <w:rFonts w:cs="Arial"/>
          <w:lang w:val="en-CA"/>
        </w:rPr>
        <w:footnoteReference w:id="10"/>
      </w:r>
      <w:r w:rsidR="00DF77EA" w:rsidRPr="009D07E3">
        <w:rPr>
          <w:rFonts w:cs="Arial"/>
          <w:lang w:val="en-CA"/>
        </w:rPr>
        <w:t xml:space="preserve"> with the figure rising to USD 7.35 billion in 2013 according to the head of BNP2TKI</w:t>
      </w:r>
      <w:r w:rsidR="0065781E">
        <w:rPr>
          <w:rFonts w:cs="Arial"/>
          <w:lang w:val="en-CA"/>
        </w:rPr>
        <w:t>.</w:t>
      </w:r>
      <w:r w:rsidR="00DF77EA" w:rsidRPr="009D07E3">
        <w:rPr>
          <w:rFonts w:cs="Arial"/>
          <w:lang w:val="en-CA"/>
        </w:rPr>
        <w:t xml:space="preserve"> </w:t>
      </w:r>
      <w:r w:rsidR="00DF77EA" w:rsidRPr="009D07E3">
        <w:rPr>
          <w:rStyle w:val="FootnoteReference"/>
          <w:rFonts w:cs="Arial"/>
          <w:lang w:val="en-CA"/>
        </w:rPr>
        <w:footnoteReference w:id="11"/>
      </w:r>
    </w:p>
    <w:p w14:paraId="07528895" w14:textId="77777777" w:rsidR="00154346" w:rsidRPr="009D07E3" w:rsidRDefault="00154346" w:rsidP="000A333F">
      <w:pPr>
        <w:rPr>
          <w:rFonts w:cs="Arial"/>
          <w:b/>
          <w:lang w:val="en-CA"/>
        </w:rPr>
      </w:pPr>
    </w:p>
    <w:p w14:paraId="34B37623" w14:textId="0A1978E5" w:rsidR="00C14AAE" w:rsidRPr="009D07E3" w:rsidRDefault="004F7C21" w:rsidP="000A333F">
      <w:pPr>
        <w:tabs>
          <w:tab w:val="left" w:pos="284"/>
        </w:tabs>
        <w:rPr>
          <w:rFonts w:cs="Arial"/>
          <w:lang w:val="en-CA"/>
        </w:rPr>
      </w:pPr>
      <w:r w:rsidRPr="009D07E3">
        <w:rPr>
          <w:rFonts w:cs="Arial"/>
          <w:lang w:val="en-CA"/>
        </w:rPr>
        <w:t xml:space="preserve">The number of female migrant workers leaving on contracts each year </w:t>
      </w:r>
      <w:r w:rsidR="0036115E" w:rsidRPr="009D07E3">
        <w:rPr>
          <w:rFonts w:cs="Arial"/>
          <w:lang w:val="en-CA"/>
        </w:rPr>
        <w:t xml:space="preserve">is </w:t>
      </w:r>
      <w:r w:rsidR="00A802F8" w:rsidRPr="009D07E3">
        <w:rPr>
          <w:rFonts w:cs="Arial"/>
          <w:lang w:val="en-CA"/>
        </w:rPr>
        <w:t xml:space="preserve">consistently </w:t>
      </w:r>
      <w:r w:rsidRPr="009D07E3">
        <w:rPr>
          <w:rFonts w:cs="Arial"/>
          <w:lang w:val="en-CA"/>
        </w:rPr>
        <w:t>exceed</w:t>
      </w:r>
      <w:r w:rsidR="0036115E" w:rsidRPr="009D07E3">
        <w:rPr>
          <w:rFonts w:cs="Arial"/>
          <w:lang w:val="en-CA"/>
        </w:rPr>
        <w:t>ing</w:t>
      </w:r>
      <w:r w:rsidRPr="009D07E3">
        <w:rPr>
          <w:rFonts w:cs="Arial"/>
          <w:lang w:val="en-CA"/>
        </w:rPr>
        <w:t xml:space="preserve"> that of men</w:t>
      </w:r>
      <w:r w:rsidR="0036115E" w:rsidRPr="009D07E3">
        <w:rPr>
          <w:rFonts w:cs="Arial"/>
          <w:lang w:val="en-CA"/>
        </w:rPr>
        <w:t>,</w:t>
      </w:r>
      <w:r w:rsidRPr="009D07E3">
        <w:rPr>
          <w:rFonts w:cs="Arial"/>
          <w:lang w:val="en-CA"/>
        </w:rPr>
        <w:t xml:space="preserve"> although by less than it did a decade ago</w:t>
      </w:r>
      <w:r w:rsidR="00E04613" w:rsidRPr="009D07E3">
        <w:rPr>
          <w:rFonts w:cs="Arial"/>
          <w:lang w:val="en-CA"/>
        </w:rPr>
        <w:t>,</w:t>
      </w:r>
      <w:r w:rsidR="00A802F8" w:rsidRPr="009D07E3">
        <w:rPr>
          <w:rFonts w:cs="Arial"/>
          <w:lang w:val="en-CA"/>
        </w:rPr>
        <w:t xml:space="preserve"> when around 80% of formal migrant workers were women.  This is mainly a result of the </w:t>
      </w:r>
      <w:r w:rsidRPr="009D07E3">
        <w:rPr>
          <w:rFonts w:cs="Arial"/>
          <w:lang w:val="en-CA"/>
        </w:rPr>
        <w:t xml:space="preserve">government’s </w:t>
      </w:r>
      <w:r w:rsidR="00A802F8" w:rsidRPr="009D07E3">
        <w:rPr>
          <w:rFonts w:cs="Arial"/>
          <w:lang w:val="en-CA"/>
        </w:rPr>
        <w:t>moratorium on sending migrant workers to several countries in the</w:t>
      </w:r>
      <w:r w:rsidRPr="009D07E3">
        <w:rPr>
          <w:rFonts w:cs="Arial"/>
          <w:lang w:val="en-CA"/>
        </w:rPr>
        <w:t xml:space="preserve"> Middle East.  </w:t>
      </w:r>
    </w:p>
    <w:p w14:paraId="0A054EDB" w14:textId="77777777" w:rsidR="00C14AAE" w:rsidRPr="009D07E3" w:rsidRDefault="00C14AAE" w:rsidP="000A333F">
      <w:pPr>
        <w:tabs>
          <w:tab w:val="left" w:pos="284"/>
        </w:tabs>
        <w:rPr>
          <w:rFonts w:cs="Arial"/>
          <w:lang w:val="en-CA"/>
        </w:rPr>
      </w:pPr>
    </w:p>
    <w:p w14:paraId="3AF25A4D" w14:textId="0F7ECF61" w:rsidR="00576710" w:rsidRPr="009D07E3" w:rsidRDefault="00DE05E0" w:rsidP="000A333F">
      <w:pPr>
        <w:tabs>
          <w:tab w:val="left" w:pos="284"/>
        </w:tabs>
        <w:rPr>
          <w:rFonts w:cs="Arial"/>
          <w:lang w:val="en-CA"/>
        </w:rPr>
      </w:pPr>
      <w:r w:rsidRPr="009D07E3">
        <w:rPr>
          <w:rFonts w:cs="Arial"/>
          <w:lang w:val="en-CA"/>
        </w:rPr>
        <w:t>More recently, t</w:t>
      </w:r>
      <w:r w:rsidR="003D11A3">
        <w:rPr>
          <w:rFonts w:cs="Arial"/>
          <w:lang w:val="en-CA"/>
        </w:rPr>
        <w:t xml:space="preserve">here </w:t>
      </w:r>
      <w:r w:rsidR="00472FF2">
        <w:rPr>
          <w:rFonts w:cs="Arial"/>
          <w:lang w:val="en-CA"/>
        </w:rPr>
        <w:t>has been</w:t>
      </w:r>
      <w:r w:rsidR="00576710" w:rsidRPr="009D07E3">
        <w:rPr>
          <w:rFonts w:cs="Arial"/>
          <w:lang w:val="en-CA"/>
        </w:rPr>
        <w:t xml:space="preserve"> increasingly nationalist rhetoric</w:t>
      </w:r>
      <w:r w:rsidR="00C95FFE" w:rsidRPr="009D07E3">
        <w:rPr>
          <w:rFonts w:cs="Arial"/>
          <w:lang w:val="en-CA"/>
        </w:rPr>
        <w:t xml:space="preserve"> surrounding this issue. F</w:t>
      </w:r>
      <w:r w:rsidR="00576710" w:rsidRPr="009D07E3">
        <w:rPr>
          <w:rFonts w:cs="Arial"/>
          <w:lang w:val="en-CA"/>
        </w:rPr>
        <w:t>or example</w:t>
      </w:r>
      <w:r w:rsidR="00C95FFE" w:rsidRPr="009D07E3">
        <w:rPr>
          <w:rFonts w:cs="Arial"/>
          <w:lang w:val="en-CA"/>
        </w:rPr>
        <w:t>,</w:t>
      </w:r>
      <w:r w:rsidR="00576710" w:rsidRPr="009D07E3">
        <w:rPr>
          <w:rFonts w:cs="Arial"/>
          <w:lang w:val="en-CA"/>
        </w:rPr>
        <w:t xml:space="preserve"> the Vice President, Jusuf </w:t>
      </w:r>
      <w:proofErr w:type="spellStart"/>
      <w:r w:rsidR="00576710" w:rsidRPr="009D07E3">
        <w:rPr>
          <w:rFonts w:cs="Arial"/>
          <w:lang w:val="en-CA"/>
        </w:rPr>
        <w:t>Kalla</w:t>
      </w:r>
      <w:proofErr w:type="spellEnd"/>
      <w:r w:rsidR="00C95FFE" w:rsidRPr="009D07E3">
        <w:rPr>
          <w:rFonts w:cs="Arial"/>
          <w:lang w:val="en-CA"/>
        </w:rPr>
        <w:t>, made a public statement that</w:t>
      </w:r>
      <w:r w:rsidR="00576710" w:rsidRPr="009D07E3">
        <w:rPr>
          <w:rFonts w:cs="Arial"/>
          <w:lang w:val="en-CA"/>
        </w:rPr>
        <w:t xml:space="preserve"> Indonesia’s overseas domestic workers ‘diminish the dignity of the country’. This suggests that instead of supporting migrant workers by implementing worker protection policies, one of MAMPU’s thematic areas, the government may limit freedom to find work abroad. </w:t>
      </w:r>
    </w:p>
    <w:p w14:paraId="4910D748" w14:textId="77777777" w:rsidR="00A802F8" w:rsidRPr="009D07E3" w:rsidRDefault="00A802F8" w:rsidP="000A333F">
      <w:pPr>
        <w:rPr>
          <w:rFonts w:cs="Arial"/>
          <w:b/>
          <w:lang w:val="en-CA"/>
        </w:rPr>
      </w:pPr>
    </w:p>
    <w:p w14:paraId="25A88606" w14:textId="26BB1635" w:rsidR="00A802F8" w:rsidRPr="009D07E3" w:rsidRDefault="00A802F8" w:rsidP="000A333F">
      <w:pPr>
        <w:rPr>
          <w:rFonts w:cs="Arial"/>
          <w:b/>
          <w:lang w:val="en-CA"/>
        </w:rPr>
      </w:pPr>
      <w:r w:rsidRPr="009D07E3">
        <w:rPr>
          <w:rFonts w:cs="Arial"/>
          <w:lang w:val="en-CA"/>
        </w:rPr>
        <w:t>Based on BNP2TKI data</w:t>
      </w:r>
      <w:r w:rsidR="00E04613" w:rsidRPr="009D07E3">
        <w:rPr>
          <w:rFonts w:cs="Arial"/>
          <w:lang w:val="en-CA"/>
        </w:rPr>
        <w:t xml:space="preserve"> (2014)</w:t>
      </w:r>
      <w:r w:rsidRPr="009D07E3">
        <w:rPr>
          <w:rStyle w:val="FootnoteReference"/>
          <w:rFonts w:cs="Arial"/>
          <w:lang w:val="en-CA"/>
        </w:rPr>
        <w:footnoteReference w:id="12"/>
      </w:r>
      <w:r w:rsidRPr="009D07E3">
        <w:rPr>
          <w:rFonts w:cs="Arial"/>
          <w:lang w:val="en-CA"/>
        </w:rPr>
        <w:t xml:space="preserve"> collected in three major airports across the major migrant-sending island of Java</w:t>
      </w:r>
      <w:r w:rsidR="000B7256">
        <w:rPr>
          <w:rFonts w:cs="Arial"/>
          <w:lang w:val="en-CA"/>
        </w:rPr>
        <w:t xml:space="preserve"> </w:t>
      </w:r>
      <w:r w:rsidRPr="009D07E3">
        <w:rPr>
          <w:rFonts w:cs="Arial"/>
          <w:lang w:val="en-CA"/>
        </w:rPr>
        <w:t>—</w:t>
      </w:r>
      <w:r w:rsidR="000B7256">
        <w:rPr>
          <w:rFonts w:cs="Arial"/>
          <w:lang w:val="en-CA"/>
        </w:rPr>
        <w:t xml:space="preserve"> </w:t>
      </w:r>
      <w:proofErr w:type="spellStart"/>
      <w:r w:rsidRPr="009D07E3">
        <w:rPr>
          <w:rFonts w:cs="Arial"/>
          <w:lang w:val="en-CA"/>
        </w:rPr>
        <w:t>Selapajang</w:t>
      </w:r>
      <w:proofErr w:type="spellEnd"/>
      <w:r w:rsidRPr="009D07E3">
        <w:rPr>
          <w:rFonts w:cs="Arial"/>
          <w:lang w:val="en-CA"/>
        </w:rPr>
        <w:t xml:space="preserve"> Tangerang, </w:t>
      </w:r>
      <w:proofErr w:type="spellStart"/>
      <w:r w:rsidRPr="009D07E3">
        <w:rPr>
          <w:rFonts w:cs="Arial"/>
          <w:lang w:val="en-CA"/>
        </w:rPr>
        <w:t>Adi</w:t>
      </w:r>
      <w:proofErr w:type="spellEnd"/>
      <w:r w:rsidRPr="009D07E3">
        <w:rPr>
          <w:rFonts w:cs="Arial"/>
          <w:lang w:val="en-CA"/>
        </w:rPr>
        <w:t xml:space="preserve"> </w:t>
      </w:r>
      <w:proofErr w:type="spellStart"/>
      <w:r w:rsidRPr="009D07E3">
        <w:rPr>
          <w:rFonts w:cs="Arial"/>
          <w:lang w:val="en-CA"/>
        </w:rPr>
        <w:t>Soemarmo</w:t>
      </w:r>
      <w:proofErr w:type="spellEnd"/>
      <w:r w:rsidRPr="009D07E3">
        <w:rPr>
          <w:rFonts w:cs="Arial"/>
          <w:lang w:val="en-CA"/>
        </w:rPr>
        <w:t xml:space="preserve"> Solo, and </w:t>
      </w:r>
      <w:proofErr w:type="spellStart"/>
      <w:r w:rsidRPr="009D07E3">
        <w:rPr>
          <w:rFonts w:cs="Arial"/>
          <w:lang w:val="en-CA"/>
        </w:rPr>
        <w:t>Adi</w:t>
      </w:r>
      <w:proofErr w:type="spellEnd"/>
      <w:r w:rsidRPr="009D07E3">
        <w:rPr>
          <w:rFonts w:cs="Arial"/>
          <w:lang w:val="en-CA"/>
        </w:rPr>
        <w:t xml:space="preserve"> </w:t>
      </w:r>
      <w:proofErr w:type="spellStart"/>
      <w:r w:rsidRPr="009D07E3">
        <w:rPr>
          <w:rFonts w:cs="Arial"/>
          <w:lang w:val="en-CA"/>
        </w:rPr>
        <w:t>Soetjipto</w:t>
      </w:r>
      <w:proofErr w:type="spellEnd"/>
      <w:r w:rsidRPr="009D07E3">
        <w:rPr>
          <w:rFonts w:cs="Arial"/>
          <w:lang w:val="en-CA"/>
        </w:rPr>
        <w:t xml:space="preserve"> Yogyakarta</w:t>
      </w:r>
      <w:r w:rsidR="000B7256">
        <w:rPr>
          <w:rFonts w:cs="Arial"/>
          <w:lang w:val="en-CA"/>
        </w:rPr>
        <w:t xml:space="preserve"> </w:t>
      </w:r>
      <w:r w:rsidRPr="009D07E3">
        <w:rPr>
          <w:rFonts w:cs="Arial"/>
          <w:lang w:val="en-CA"/>
        </w:rPr>
        <w:t>—</w:t>
      </w:r>
      <w:r w:rsidR="000B7256">
        <w:rPr>
          <w:rFonts w:cs="Arial"/>
          <w:lang w:val="en-CA"/>
        </w:rPr>
        <w:t xml:space="preserve"> </w:t>
      </w:r>
      <w:r w:rsidRPr="009D07E3">
        <w:rPr>
          <w:rFonts w:cs="Arial"/>
          <w:lang w:val="en-CA"/>
        </w:rPr>
        <w:t xml:space="preserve">in 2013, 13.6% of TKIs experienced problems abroad.  Countries in the Middle East tend to be the biggest offenders, including Syria, Saudi Arabia, and the United Arab Emirates (in descending order for the year 2013). </w:t>
      </w:r>
      <w:r w:rsidR="00C14AAE" w:rsidRPr="009D07E3">
        <w:rPr>
          <w:rFonts w:cs="Arial"/>
          <w:b/>
          <w:lang w:val="en-CA"/>
        </w:rPr>
        <w:t xml:space="preserve"> </w:t>
      </w:r>
      <w:r w:rsidRPr="009D07E3">
        <w:rPr>
          <w:rFonts w:cs="Arial"/>
          <w:lang w:val="en-CA"/>
        </w:rPr>
        <w:t>The problems listed include: job termination, problems with employer</w:t>
      </w:r>
      <w:r w:rsidR="00E04613" w:rsidRPr="009D07E3">
        <w:rPr>
          <w:rFonts w:cs="Arial"/>
          <w:lang w:val="en-CA"/>
        </w:rPr>
        <w:t>s</w:t>
      </w:r>
      <w:r w:rsidRPr="009D07E3">
        <w:rPr>
          <w:rFonts w:cs="Arial"/>
          <w:lang w:val="en-CA"/>
        </w:rPr>
        <w:t>, work-related illnesses, salar</w:t>
      </w:r>
      <w:r w:rsidR="00E04613" w:rsidRPr="009D07E3">
        <w:rPr>
          <w:rFonts w:cs="Arial"/>
          <w:lang w:val="en-CA"/>
        </w:rPr>
        <w:t>ies</w:t>
      </w:r>
      <w:r w:rsidRPr="009D07E3">
        <w:rPr>
          <w:rFonts w:cs="Arial"/>
          <w:lang w:val="en-CA"/>
        </w:rPr>
        <w:t xml:space="preserve"> retained without consent, harassment, sexual abuse, job</w:t>
      </w:r>
      <w:r w:rsidR="00E04613" w:rsidRPr="009D07E3">
        <w:rPr>
          <w:rFonts w:cs="Arial"/>
          <w:lang w:val="en-CA"/>
        </w:rPr>
        <w:t>s</w:t>
      </w:r>
      <w:r w:rsidRPr="009D07E3">
        <w:rPr>
          <w:rFonts w:cs="Arial"/>
          <w:lang w:val="en-CA"/>
        </w:rPr>
        <w:t xml:space="preserve"> not in accordance with contract, incomplete documents, congenital illnesses, employer</w:t>
      </w:r>
      <w:r w:rsidR="00E04613" w:rsidRPr="009D07E3">
        <w:rPr>
          <w:rFonts w:cs="Arial"/>
          <w:lang w:val="en-CA"/>
        </w:rPr>
        <w:t>s</w:t>
      </w:r>
      <w:r w:rsidRPr="009D07E3">
        <w:rPr>
          <w:rFonts w:cs="Arial"/>
          <w:lang w:val="en-CA"/>
        </w:rPr>
        <w:t xml:space="preserve"> pass</w:t>
      </w:r>
      <w:r w:rsidR="00E04613" w:rsidRPr="009D07E3">
        <w:rPr>
          <w:rFonts w:cs="Arial"/>
          <w:lang w:val="en-CA"/>
        </w:rPr>
        <w:t>ing</w:t>
      </w:r>
      <w:r w:rsidRPr="009D07E3">
        <w:rPr>
          <w:rFonts w:cs="Arial"/>
          <w:lang w:val="en-CA"/>
        </w:rPr>
        <w:t xml:space="preserve"> away, work-related accidents, pregnancy, </w:t>
      </w:r>
      <w:r w:rsidR="00E04613" w:rsidRPr="009D07E3">
        <w:rPr>
          <w:rFonts w:cs="Arial"/>
          <w:lang w:val="en-CA"/>
        </w:rPr>
        <w:t xml:space="preserve">inabilities </w:t>
      </w:r>
      <w:r w:rsidRPr="009D07E3">
        <w:rPr>
          <w:rFonts w:cs="Arial"/>
          <w:lang w:val="en-CA"/>
        </w:rPr>
        <w:t xml:space="preserve">to work, poor communication, etc. </w:t>
      </w:r>
    </w:p>
    <w:p w14:paraId="4D2A5657" w14:textId="77777777" w:rsidR="00A802F8" w:rsidRPr="009D07E3" w:rsidRDefault="00A802F8" w:rsidP="000A333F">
      <w:pPr>
        <w:pStyle w:val="ListParagraph"/>
        <w:rPr>
          <w:rFonts w:cs="Arial"/>
          <w:lang w:val="en-CA"/>
        </w:rPr>
      </w:pPr>
    </w:p>
    <w:p w14:paraId="6C3F305A" w14:textId="4D842E7D" w:rsidR="00A802F8" w:rsidRPr="009D07E3" w:rsidRDefault="00A802F8" w:rsidP="000A333F">
      <w:pPr>
        <w:rPr>
          <w:rFonts w:cs="Arial"/>
          <w:lang w:val="en-CA"/>
        </w:rPr>
      </w:pPr>
      <w:r w:rsidRPr="009D07E3">
        <w:rPr>
          <w:rFonts w:cs="Arial"/>
          <w:lang w:val="en-CA"/>
        </w:rPr>
        <w:t xml:space="preserve">In comparison to previous years, the number of TKIs experiencing problems abroad has declined in absolute terms, from 45,749 in 2011 to 14,487 in 2013. The decline is more likely due to the significant decline in the number of TKIs working abroad, given the moratorium to Saudi Arabia that was put in place in 2011. The number of TKIs </w:t>
      </w:r>
      <w:r w:rsidR="00DC14BA">
        <w:rPr>
          <w:rFonts w:cs="Arial"/>
          <w:lang w:val="en-CA"/>
        </w:rPr>
        <w:t xml:space="preserve">returning to Indonesia has </w:t>
      </w:r>
      <w:r w:rsidRPr="009D07E3">
        <w:rPr>
          <w:rFonts w:cs="Arial"/>
          <w:lang w:val="en-CA"/>
        </w:rPr>
        <w:t>declined by about one third between 2011 and 2013. Thus the percentage of TKIs experiencing problems in the destination country has overall remained quite steady</w:t>
      </w:r>
      <w:r w:rsidR="000752A5" w:rsidRPr="009D07E3">
        <w:rPr>
          <w:rFonts w:cs="Arial"/>
          <w:lang w:val="en-CA"/>
        </w:rPr>
        <w:t xml:space="preserve"> although this does not necessarily mean that problems experienced by women migrant workers also decrease</w:t>
      </w:r>
      <w:r w:rsidR="00611A21">
        <w:rPr>
          <w:rFonts w:cs="Arial"/>
          <w:lang w:val="en-CA"/>
        </w:rPr>
        <w:t>d</w:t>
      </w:r>
      <w:r w:rsidR="000752A5" w:rsidRPr="009D07E3">
        <w:rPr>
          <w:rFonts w:cs="Arial"/>
          <w:lang w:val="en-CA"/>
        </w:rPr>
        <w:t>, since the data is not sex-disaggregated</w:t>
      </w:r>
      <w:r w:rsidRPr="009D07E3">
        <w:rPr>
          <w:rFonts w:cs="Arial"/>
          <w:lang w:val="en-CA"/>
        </w:rPr>
        <w:t xml:space="preserve"> (</w:t>
      </w:r>
      <w:proofErr w:type="spellStart"/>
      <w:r w:rsidRPr="009D07E3">
        <w:rPr>
          <w:rFonts w:cs="Arial"/>
          <w:lang w:val="en-CA"/>
        </w:rPr>
        <w:t>Bazzi</w:t>
      </w:r>
      <w:proofErr w:type="spellEnd"/>
      <w:r w:rsidRPr="009D07E3">
        <w:rPr>
          <w:rFonts w:cs="Arial"/>
          <w:lang w:val="en-CA"/>
        </w:rPr>
        <w:t xml:space="preserve"> &amp; </w:t>
      </w:r>
      <w:proofErr w:type="spellStart"/>
      <w:r w:rsidRPr="009D07E3">
        <w:rPr>
          <w:rFonts w:cs="Arial"/>
          <w:lang w:val="en-CA"/>
        </w:rPr>
        <w:t>Bintoro</w:t>
      </w:r>
      <w:proofErr w:type="spellEnd"/>
      <w:r w:rsidRPr="009D07E3">
        <w:rPr>
          <w:rFonts w:cs="Arial"/>
          <w:lang w:val="en-CA"/>
        </w:rPr>
        <w:t>, 2015)</w:t>
      </w:r>
      <w:r w:rsidR="00E04613" w:rsidRPr="009D07E3">
        <w:rPr>
          <w:rFonts w:cs="Arial"/>
          <w:lang w:val="en-CA"/>
        </w:rPr>
        <w:t>.</w:t>
      </w:r>
      <w:r w:rsidRPr="009D07E3">
        <w:rPr>
          <w:rStyle w:val="FootnoteReference"/>
          <w:rFonts w:cs="Arial"/>
          <w:lang w:val="en-CA"/>
        </w:rPr>
        <w:footnoteReference w:id="13"/>
      </w:r>
    </w:p>
    <w:p w14:paraId="3E963F41" w14:textId="77777777" w:rsidR="00D84DAA" w:rsidRPr="009D07E3" w:rsidRDefault="00D84DAA" w:rsidP="000A333F">
      <w:pPr>
        <w:rPr>
          <w:rFonts w:cs="Arial"/>
          <w:lang w:val="en-CA"/>
        </w:rPr>
      </w:pPr>
    </w:p>
    <w:p w14:paraId="5C79F9DB" w14:textId="09D3A3C9" w:rsidR="00D84DAA" w:rsidRPr="009D07E3" w:rsidRDefault="00D84DAA" w:rsidP="00D84DAA">
      <w:pPr>
        <w:rPr>
          <w:rFonts w:cs="Arial"/>
          <w:b/>
          <w:lang w:val="en-CA"/>
        </w:rPr>
      </w:pPr>
      <w:r w:rsidRPr="009D07E3">
        <w:rPr>
          <w:rFonts w:cs="Arial"/>
          <w:lang w:val="en-CA"/>
        </w:rPr>
        <w:t xml:space="preserve">Migrant Care responds to these issues by advocating for the amendment to Law No. 39/2004 on the Placement and Protection of Indonesian Migrant Workers Overseas into a more comprehensive Migrant Worker Protection Bill, which is </w:t>
      </w:r>
      <w:proofErr w:type="gramStart"/>
      <w:r w:rsidRPr="009D07E3">
        <w:rPr>
          <w:rFonts w:cs="Arial"/>
          <w:lang w:val="en-CA"/>
        </w:rPr>
        <w:t>now</w:t>
      </w:r>
      <w:proofErr w:type="gramEnd"/>
      <w:r w:rsidRPr="009D07E3">
        <w:rPr>
          <w:rFonts w:cs="Arial"/>
          <w:lang w:val="en-CA"/>
        </w:rPr>
        <w:t xml:space="preserve"> included as one of the priority legislations by the National Parliament (DPR RI). Migr</w:t>
      </w:r>
      <w:r w:rsidR="00FA11D9">
        <w:rPr>
          <w:rFonts w:cs="Arial"/>
          <w:lang w:val="en-CA"/>
        </w:rPr>
        <w:t xml:space="preserve">ant Care also works with six civil </w:t>
      </w:r>
      <w:r w:rsidRPr="009D07E3">
        <w:rPr>
          <w:rFonts w:cs="Arial"/>
          <w:lang w:val="en-CA"/>
        </w:rPr>
        <w:t>s</w:t>
      </w:r>
      <w:r w:rsidR="00FA11D9">
        <w:rPr>
          <w:rFonts w:cs="Arial"/>
          <w:lang w:val="en-CA"/>
        </w:rPr>
        <w:t>ociety organisations</w:t>
      </w:r>
      <w:r w:rsidRPr="009D07E3">
        <w:rPr>
          <w:rFonts w:cs="Arial"/>
          <w:lang w:val="en-CA"/>
        </w:rPr>
        <w:t xml:space="preserve"> in West Nusa Tenggara, East Java, and Central Java to develop </w:t>
      </w:r>
      <w:proofErr w:type="spellStart"/>
      <w:r w:rsidRPr="009D07E3">
        <w:rPr>
          <w:rFonts w:cs="Arial"/>
          <w:lang w:val="en-CA"/>
        </w:rPr>
        <w:t>Desbumi</w:t>
      </w:r>
      <w:proofErr w:type="spellEnd"/>
      <w:r w:rsidRPr="009D07E3">
        <w:rPr>
          <w:rFonts w:cs="Arial"/>
          <w:lang w:val="en-CA"/>
        </w:rPr>
        <w:t xml:space="preserve"> (</w:t>
      </w:r>
      <w:proofErr w:type="spellStart"/>
      <w:r w:rsidRPr="009D07E3">
        <w:rPr>
          <w:rFonts w:cs="Arial"/>
          <w:i/>
          <w:lang w:val="en-CA"/>
        </w:rPr>
        <w:t>Desa</w:t>
      </w:r>
      <w:proofErr w:type="spellEnd"/>
      <w:r w:rsidRPr="009D07E3">
        <w:rPr>
          <w:rFonts w:cs="Arial"/>
          <w:i/>
          <w:lang w:val="en-CA"/>
        </w:rPr>
        <w:t xml:space="preserve"> </w:t>
      </w:r>
      <w:proofErr w:type="spellStart"/>
      <w:r w:rsidRPr="009D07E3">
        <w:rPr>
          <w:rFonts w:cs="Arial"/>
          <w:i/>
          <w:lang w:val="en-CA"/>
        </w:rPr>
        <w:t>Peduli</w:t>
      </w:r>
      <w:proofErr w:type="spellEnd"/>
      <w:r w:rsidRPr="009D07E3">
        <w:rPr>
          <w:rFonts w:cs="Arial"/>
          <w:i/>
          <w:lang w:val="en-CA"/>
        </w:rPr>
        <w:t xml:space="preserve"> </w:t>
      </w:r>
      <w:proofErr w:type="spellStart"/>
      <w:r w:rsidRPr="009D07E3">
        <w:rPr>
          <w:rFonts w:cs="Arial"/>
          <w:i/>
          <w:lang w:val="en-CA"/>
        </w:rPr>
        <w:t>Buruh</w:t>
      </w:r>
      <w:proofErr w:type="spellEnd"/>
      <w:r w:rsidRPr="009D07E3">
        <w:rPr>
          <w:rFonts w:cs="Arial"/>
          <w:i/>
          <w:lang w:val="en-CA"/>
        </w:rPr>
        <w:t xml:space="preserve"> </w:t>
      </w:r>
      <w:proofErr w:type="spellStart"/>
      <w:r w:rsidRPr="009D07E3">
        <w:rPr>
          <w:rFonts w:cs="Arial"/>
          <w:i/>
          <w:lang w:val="en-CA"/>
        </w:rPr>
        <w:t>MIgran</w:t>
      </w:r>
      <w:proofErr w:type="spellEnd"/>
      <w:r w:rsidRPr="009D07E3">
        <w:rPr>
          <w:rFonts w:cs="Arial"/>
          <w:i/>
          <w:lang w:val="en-CA"/>
        </w:rPr>
        <w:t>),</w:t>
      </w:r>
      <w:r w:rsidRPr="009D07E3">
        <w:rPr>
          <w:rFonts w:cs="Arial"/>
          <w:lang w:val="en-CA"/>
        </w:rPr>
        <w:t xml:space="preserve"> village-level mechanisms to provide potential women migrant workers with information on their rights and improve documentation and handling of cases on the violation of their rights.  </w:t>
      </w:r>
    </w:p>
    <w:p w14:paraId="25056ED7" w14:textId="77777777" w:rsidR="00D84DAA" w:rsidRPr="009D07E3" w:rsidRDefault="00D84DAA" w:rsidP="000A333F">
      <w:pPr>
        <w:rPr>
          <w:rFonts w:cs="Arial"/>
          <w:b/>
          <w:lang w:val="en-CA"/>
        </w:rPr>
      </w:pPr>
    </w:p>
    <w:p w14:paraId="6D0A1782" w14:textId="43942E13" w:rsidR="00153A50" w:rsidRPr="009D07E3" w:rsidRDefault="001E5D0C" w:rsidP="006E3E51">
      <w:pPr>
        <w:pStyle w:val="Heading3"/>
        <w:rPr>
          <w:lang w:val="en-CA"/>
        </w:rPr>
      </w:pPr>
      <w:bookmarkStart w:id="9" w:name="_Toc423438697"/>
      <w:r w:rsidRPr="009D07E3">
        <w:rPr>
          <w:lang w:val="en-CA"/>
        </w:rPr>
        <w:t xml:space="preserve">Increasing </w:t>
      </w:r>
      <w:r w:rsidR="00E04613" w:rsidRPr="009D07E3">
        <w:rPr>
          <w:lang w:val="en-CA"/>
        </w:rPr>
        <w:t>W</w:t>
      </w:r>
      <w:r w:rsidRPr="009D07E3">
        <w:rPr>
          <w:lang w:val="en-CA"/>
        </w:rPr>
        <w:t xml:space="preserve">omen’s </w:t>
      </w:r>
      <w:r w:rsidR="00E04613" w:rsidRPr="009D07E3">
        <w:rPr>
          <w:lang w:val="en-CA"/>
        </w:rPr>
        <w:t>A</w:t>
      </w:r>
      <w:r w:rsidRPr="009D07E3">
        <w:rPr>
          <w:lang w:val="en-CA"/>
        </w:rPr>
        <w:t xml:space="preserve">ccess to </w:t>
      </w:r>
      <w:r w:rsidR="00E04613" w:rsidRPr="009D07E3">
        <w:rPr>
          <w:lang w:val="en-CA"/>
        </w:rPr>
        <w:t>J</w:t>
      </w:r>
      <w:r w:rsidRPr="009D07E3">
        <w:rPr>
          <w:lang w:val="en-CA"/>
        </w:rPr>
        <w:t xml:space="preserve">obs and </w:t>
      </w:r>
      <w:r w:rsidR="00E04613" w:rsidRPr="009D07E3">
        <w:rPr>
          <w:lang w:val="en-CA"/>
        </w:rPr>
        <w:t>R</w:t>
      </w:r>
      <w:r w:rsidRPr="009D07E3">
        <w:rPr>
          <w:lang w:val="en-CA"/>
        </w:rPr>
        <w:t xml:space="preserve">emoving </w:t>
      </w:r>
      <w:r w:rsidR="00E04613" w:rsidRPr="009D07E3">
        <w:rPr>
          <w:lang w:val="en-CA"/>
        </w:rPr>
        <w:t>W</w:t>
      </w:r>
      <w:r w:rsidRPr="009D07E3">
        <w:rPr>
          <w:lang w:val="en-CA"/>
        </w:rPr>
        <w:t xml:space="preserve">orkplace </w:t>
      </w:r>
      <w:r w:rsidR="00E04613" w:rsidRPr="009D07E3">
        <w:rPr>
          <w:lang w:val="en-CA"/>
        </w:rPr>
        <w:t>D</w:t>
      </w:r>
      <w:r w:rsidRPr="009D07E3">
        <w:rPr>
          <w:lang w:val="en-CA"/>
        </w:rPr>
        <w:t>iscrimination</w:t>
      </w:r>
      <w:bookmarkEnd w:id="9"/>
      <w:r w:rsidRPr="009D07E3">
        <w:rPr>
          <w:lang w:val="en-CA"/>
        </w:rPr>
        <w:t xml:space="preserve"> </w:t>
      </w:r>
    </w:p>
    <w:p w14:paraId="50620BC2" w14:textId="77777777" w:rsidR="006E3E51" w:rsidRPr="009D07E3" w:rsidRDefault="006E3E51" w:rsidP="006E3E51">
      <w:pPr>
        <w:rPr>
          <w:lang w:val="en-CA"/>
        </w:rPr>
      </w:pPr>
    </w:p>
    <w:p w14:paraId="142D894A" w14:textId="688D9F39" w:rsidR="008672C5" w:rsidRPr="009D07E3" w:rsidRDefault="00954EB3" w:rsidP="000A333F">
      <w:pPr>
        <w:rPr>
          <w:rFonts w:cs="Arial"/>
          <w:lang w:val="en-CA"/>
        </w:rPr>
      </w:pPr>
      <w:r w:rsidRPr="009D07E3">
        <w:rPr>
          <w:rFonts w:cs="Arial"/>
          <w:lang w:val="en-CA"/>
        </w:rPr>
        <w:t>T</w:t>
      </w:r>
      <w:r w:rsidR="00380D60" w:rsidRPr="009D07E3">
        <w:rPr>
          <w:rFonts w:cs="Arial"/>
          <w:lang w:val="en-CA"/>
        </w:rPr>
        <w:t>he female labour forc</w:t>
      </w:r>
      <w:r w:rsidRPr="009D07E3">
        <w:rPr>
          <w:rFonts w:cs="Arial"/>
          <w:lang w:val="en-CA"/>
        </w:rPr>
        <w:t>e participation (FLFP) rate increased faster for women than for men between 2000 and 2012 (from 45% to 50% for women and from 81% to 85% for men)</w:t>
      </w:r>
      <w:r w:rsidR="00E04613" w:rsidRPr="009D07E3">
        <w:rPr>
          <w:rFonts w:cs="Arial"/>
          <w:lang w:val="en-CA"/>
        </w:rPr>
        <w:t>.</w:t>
      </w:r>
      <w:r w:rsidRPr="009D07E3">
        <w:rPr>
          <w:rStyle w:val="FootnoteReference"/>
          <w:rFonts w:cs="Arial"/>
          <w:lang w:val="en-CA"/>
        </w:rPr>
        <w:footnoteReference w:id="14"/>
      </w:r>
      <w:r w:rsidRPr="009D07E3">
        <w:rPr>
          <w:rFonts w:cs="Arial"/>
          <w:lang w:val="en-CA"/>
        </w:rPr>
        <w:t xml:space="preserve">  Despite this, it </w:t>
      </w:r>
      <w:r w:rsidR="00E04613" w:rsidRPr="009D07E3">
        <w:rPr>
          <w:rFonts w:cs="Arial"/>
          <w:lang w:val="en-CA"/>
        </w:rPr>
        <w:t>remains</w:t>
      </w:r>
      <w:r w:rsidR="00380D60" w:rsidRPr="009D07E3">
        <w:rPr>
          <w:rFonts w:cs="Arial"/>
          <w:lang w:val="en-CA"/>
        </w:rPr>
        <w:t xml:space="preserve"> one of the lowest</w:t>
      </w:r>
      <w:r w:rsidR="00E04613" w:rsidRPr="009D07E3">
        <w:rPr>
          <w:rFonts w:cs="Arial"/>
          <w:lang w:val="en-CA"/>
        </w:rPr>
        <w:t xml:space="preserve"> rates</w:t>
      </w:r>
      <w:r w:rsidR="00380D60" w:rsidRPr="009D07E3">
        <w:rPr>
          <w:rFonts w:cs="Arial"/>
          <w:lang w:val="en-CA"/>
        </w:rPr>
        <w:t xml:space="preserve"> in </w:t>
      </w:r>
      <w:r w:rsidR="008672C5" w:rsidRPr="009D07E3">
        <w:rPr>
          <w:rFonts w:cs="Arial"/>
          <w:lang w:val="en-CA"/>
        </w:rPr>
        <w:t xml:space="preserve">the South </w:t>
      </w:r>
      <w:r w:rsidR="00E04613" w:rsidRPr="009D07E3">
        <w:rPr>
          <w:rFonts w:cs="Arial"/>
          <w:lang w:val="en-CA"/>
        </w:rPr>
        <w:t>E</w:t>
      </w:r>
      <w:r w:rsidR="008672C5" w:rsidRPr="009D07E3">
        <w:rPr>
          <w:rFonts w:cs="Arial"/>
          <w:lang w:val="en-CA"/>
        </w:rPr>
        <w:t>ast Asia region.</w:t>
      </w:r>
      <w:r w:rsidR="00380D60" w:rsidRPr="009D07E3">
        <w:rPr>
          <w:rFonts w:cs="Arial"/>
          <w:lang w:val="en-CA"/>
        </w:rPr>
        <w:t xml:space="preserve">  Moreover a greater percentage of the female labour force is in</w:t>
      </w:r>
      <w:r w:rsidR="00E04613" w:rsidRPr="009D07E3">
        <w:rPr>
          <w:rFonts w:cs="Arial"/>
          <w:lang w:val="en-CA"/>
        </w:rPr>
        <w:t xml:space="preserve"> the</w:t>
      </w:r>
      <w:r w:rsidR="00380D60" w:rsidRPr="009D07E3">
        <w:rPr>
          <w:rFonts w:cs="Arial"/>
          <w:lang w:val="en-CA"/>
        </w:rPr>
        <w:t xml:space="preserve"> vulnerable work</w:t>
      </w:r>
      <w:r w:rsidR="00E04613" w:rsidRPr="009D07E3">
        <w:rPr>
          <w:rFonts w:cs="Arial"/>
          <w:lang w:val="en-CA"/>
        </w:rPr>
        <w:t xml:space="preserve"> category</w:t>
      </w:r>
      <w:r w:rsidR="00380D60" w:rsidRPr="009D07E3">
        <w:rPr>
          <w:rFonts w:cs="Arial"/>
          <w:lang w:val="en-CA"/>
        </w:rPr>
        <w:t xml:space="preserve"> (48%) compared to 24% for men</w:t>
      </w:r>
      <w:r w:rsidR="00E04613" w:rsidRPr="009D07E3">
        <w:rPr>
          <w:rFonts w:cs="Arial"/>
          <w:lang w:val="en-CA"/>
        </w:rPr>
        <w:t>.</w:t>
      </w:r>
      <w:r w:rsidR="00380D60" w:rsidRPr="009D07E3">
        <w:rPr>
          <w:rStyle w:val="FootnoteReference"/>
          <w:rFonts w:cs="Arial"/>
          <w:lang w:val="en-CA"/>
        </w:rPr>
        <w:footnoteReference w:id="15"/>
      </w:r>
      <w:r w:rsidR="00380D60" w:rsidRPr="009D07E3">
        <w:rPr>
          <w:rFonts w:cs="Arial"/>
          <w:lang w:val="en-CA"/>
        </w:rPr>
        <w:t xml:space="preserve"> </w:t>
      </w:r>
      <w:r w:rsidR="00080788" w:rsidRPr="009D07E3">
        <w:rPr>
          <w:rFonts w:cs="Arial"/>
          <w:lang w:val="en-CA"/>
        </w:rPr>
        <w:t xml:space="preserve">  A much higher percentage of women than men </w:t>
      </w:r>
      <w:r w:rsidR="00E04613" w:rsidRPr="009D07E3">
        <w:rPr>
          <w:rFonts w:cs="Arial"/>
          <w:lang w:val="en-CA"/>
        </w:rPr>
        <w:t>represent</w:t>
      </w:r>
      <w:r w:rsidR="00080788" w:rsidRPr="009D07E3">
        <w:rPr>
          <w:rFonts w:cs="Arial"/>
          <w:lang w:val="en-CA"/>
        </w:rPr>
        <w:t xml:space="preserve"> unpaid workers (27% of women and 6% of men), and poor women are much more likely to be unpaid family workers and in the informal sectors than either richer women or men. </w:t>
      </w:r>
    </w:p>
    <w:p w14:paraId="2B6382C5" w14:textId="77777777" w:rsidR="008672C5" w:rsidRPr="009D07E3" w:rsidRDefault="008672C5" w:rsidP="000A333F">
      <w:pPr>
        <w:rPr>
          <w:rFonts w:cs="Arial"/>
          <w:lang w:val="en-CA"/>
        </w:rPr>
      </w:pPr>
    </w:p>
    <w:p w14:paraId="5EE86B70" w14:textId="5B30D25D" w:rsidR="008672C5" w:rsidRDefault="008672C5" w:rsidP="000A333F">
      <w:pPr>
        <w:rPr>
          <w:rFonts w:cs="Arial"/>
          <w:lang w:val="en-CA"/>
        </w:rPr>
      </w:pPr>
      <w:r w:rsidRPr="009D07E3">
        <w:rPr>
          <w:rFonts w:cs="Arial"/>
          <w:lang w:val="en-CA"/>
        </w:rPr>
        <w:t>More than half of all workers</w:t>
      </w:r>
      <w:r w:rsidR="00E04613" w:rsidRPr="009D07E3">
        <w:rPr>
          <w:rFonts w:cs="Arial"/>
          <w:lang w:val="en-CA"/>
        </w:rPr>
        <w:t xml:space="preserve"> (</w:t>
      </w:r>
      <w:r w:rsidRPr="009D07E3">
        <w:rPr>
          <w:rFonts w:cs="Arial"/>
          <w:lang w:val="en-CA"/>
        </w:rPr>
        <w:t>53.6</w:t>
      </w:r>
      <w:r w:rsidR="00BF25CA">
        <w:rPr>
          <w:rFonts w:cs="Arial"/>
          <w:lang w:val="en-CA"/>
        </w:rPr>
        <w:t>%</w:t>
      </w:r>
      <w:r w:rsidR="00E04613" w:rsidRPr="009D07E3">
        <w:rPr>
          <w:rFonts w:cs="Arial"/>
          <w:lang w:val="en-CA"/>
        </w:rPr>
        <w:t xml:space="preserve">) engage </w:t>
      </w:r>
      <w:r w:rsidRPr="009D07E3">
        <w:rPr>
          <w:rFonts w:cs="Arial"/>
          <w:lang w:val="en-CA"/>
        </w:rPr>
        <w:t xml:space="preserve">in informal employment, </w:t>
      </w:r>
      <w:r w:rsidR="00E04613" w:rsidRPr="009D07E3">
        <w:rPr>
          <w:rFonts w:cs="Arial"/>
          <w:lang w:val="en-CA"/>
        </w:rPr>
        <w:t>with the other</w:t>
      </w:r>
      <w:r w:rsidRPr="009D07E3">
        <w:rPr>
          <w:rFonts w:cs="Arial"/>
          <w:lang w:val="en-CA"/>
        </w:rPr>
        <w:t xml:space="preserve"> 46.4</w:t>
      </w:r>
      <w:r w:rsidR="00BF25CA">
        <w:rPr>
          <w:rFonts w:cs="Arial"/>
          <w:lang w:val="en-CA"/>
        </w:rPr>
        <w:t>%</w:t>
      </w:r>
      <w:r w:rsidRPr="009D07E3">
        <w:rPr>
          <w:rFonts w:cs="Arial"/>
          <w:lang w:val="en-CA"/>
        </w:rPr>
        <w:t xml:space="preserve"> in formal employment. Among the workers in formal employment, ILO found that women represented only 35.4 per cent</w:t>
      </w:r>
      <w:r w:rsidR="00AE1140" w:rsidRPr="009D07E3">
        <w:rPr>
          <w:rFonts w:cs="Arial"/>
          <w:lang w:val="en-CA"/>
        </w:rPr>
        <w:t>,</w:t>
      </w:r>
      <w:r w:rsidRPr="009D07E3">
        <w:rPr>
          <w:rFonts w:cs="Arial"/>
          <w:lang w:val="en-CA"/>
        </w:rPr>
        <w:t xml:space="preserve"> while men represented 64.6</w:t>
      </w:r>
      <w:r w:rsidR="00BF25CA">
        <w:rPr>
          <w:rFonts w:cs="Arial"/>
          <w:lang w:val="en-CA"/>
        </w:rPr>
        <w:t>%</w:t>
      </w:r>
      <w:r w:rsidRPr="009D07E3">
        <w:rPr>
          <w:rFonts w:cs="Arial"/>
          <w:lang w:val="en-CA"/>
        </w:rPr>
        <w:t xml:space="preserve"> in May 2013, indicating less access to formal employment by women workers. </w:t>
      </w:r>
    </w:p>
    <w:p w14:paraId="1DD071CB" w14:textId="77777777" w:rsidR="00A50027" w:rsidRPr="009D07E3" w:rsidRDefault="00A50027" w:rsidP="000A333F">
      <w:pPr>
        <w:rPr>
          <w:rFonts w:cs="Arial"/>
          <w:lang w:val="en-CA"/>
        </w:rPr>
      </w:pPr>
    </w:p>
    <w:p w14:paraId="7DE6F42C" w14:textId="60EA4F42" w:rsidR="00080788" w:rsidRPr="009D07E3" w:rsidRDefault="00080788" w:rsidP="000A333F">
      <w:pPr>
        <w:tabs>
          <w:tab w:val="left" w:pos="284"/>
        </w:tabs>
        <w:rPr>
          <w:rFonts w:cs="Arial"/>
          <w:lang w:val="en-CA"/>
        </w:rPr>
      </w:pPr>
      <w:r w:rsidRPr="009D07E3">
        <w:rPr>
          <w:rFonts w:cs="Arial"/>
          <w:lang w:val="en-CA"/>
        </w:rPr>
        <w:t>While women have been able to access formal sector employment in large numbers, the</w:t>
      </w:r>
      <w:r w:rsidR="00AE1140" w:rsidRPr="009D07E3">
        <w:rPr>
          <w:rFonts w:cs="Arial"/>
          <w:lang w:val="en-CA"/>
        </w:rPr>
        <w:t>ir</w:t>
      </w:r>
      <w:r w:rsidRPr="009D07E3">
        <w:rPr>
          <w:rFonts w:cs="Arial"/>
          <w:lang w:val="en-CA"/>
        </w:rPr>
        <w:t xml:space="preserve"> opportunit</w:t>
      </w:r>
      <w:r w:rsidR="00AE1140" w:rsidRPr="009D07E3">
        <w:rPr>
          <w:rFonts w:cs="Arial"/>
          <w:lang w:val="en-CA"/>
        </w:rPr>
        <w:t>ies</w:t>
      </w:r>
      <w:r w:rsidRPr="009D07E3">
        <w:rPr>
          <w:rFonts w:cs="Arial"/>
          <w:lang w:val="en-CA"/>
        </w:rPr>
        <w:t xml:space="preserve"> </w:t>
      </w:r>
      <w:r w:rsidR="00AE1140" w:rsidRPr="009D07E3">
        <w:rPr>
          <w:rFonts w:cs="Arial"/>
          <w:lang w:val="en-CA"/>
        </w:rPr>
        <w:t>are</w:t>
      </w:r>
      <w:r w:rsidR="009F43B8" w:rsidRPr="009D07E3">
        <w:rPr>
          <w:rFonts w:cs="Arial"/>
          <w:lang w:val="en-CA"/>
        </w:rPr>
        <w:t xml:space="preserve"> limited </w:t>
      </w:r>
      <w:r w:rsidR="00AE1140" w:rsidRPr="009D07E3">
        <w:rPr>
          <w:rFonts w:cs="Arial"/>
          <w:lang w:val="en-CA"/>
        </w:rPr>
        <w:t>due to</w:t>
      </w:r>
      <w:r w:rsidR="009F43B8" w:rsidRPr="009D07E3">
        <w:rPr>
          <w:rFonts w:cs="Arial"/>
          <w:lang w:val="en-CA"/>
        </w:rPr>
        <w:t xml:space="preserve"> the challenge</w:t>
      </w:r>
      <w:r w:rsidR="00AE1140" w:rsidRPr="009D07E3">
        <w:rPr>
          <w:rFonts w:cs="Arial"/>
          <w:lang w:val="en-CA"/>
        </w:rPr>
        <w:t xml:space="preserve">s associated with combining care and work roles. Frequently, once women start to have children, they leave the formal sector and enter the lower paid informal sector. </w:t>
      </w:r>
      <w:r w:rsidRPr="009D07E3">
        <w:rPr>
          <w:rFonts w:cs="Arial"/>
          <w:lang w:val="en-CA"/>
        </w:rPr>
        <w:t>Many of these informal sector opportunities are for home based work that is a result of the “putting out” system that removes costs and responsibilities from formal sector employers.</w:t>
      </w:r>
      <w:r w:rsidR="009F43B8" w:rsidRPr="009D07E3">
        <w:rPr>
          <w:rFonts w:cs="Arial"/>
          <w:lang w:val="en-CA"/>
        </w:rPr>
        <w:t xml:space="preserve"> </w:t>
      </w:r>
    </w:p>
    <w:p w14:paraId="7DA93305" w14:textId="77777777" w:rsidR="00C86CBD" w:rsidRPr="009D07E3" w:rsidRDefault="00C86CBD" w:rsidP="000A333F">
      <w:pPr>
        <w:tabs>
          <w:tab w:val="left" w:pos="284"/>
        </w:tabs>
        <w:rPr>
          <w:rFonts w:cs="Arial"/>
          <w:lang w:val="en-CA"/>
        </w:rPr>
      </w:pPr>
    </w:p>
    <w:p w14:paraId="5F174059" w14:textId="4DFC97E8" w:rsidR="00C86CBD" w:rsidRPr="009D07E3" w:rsidRDefault="00C86CBD" w:rsidP="000A333F">
      <w:pPr>
        <w:rPr>
          <w:rFonts w:cs="Arial"/>
          <w:b/>
          <w:lang w:val="en-CA"/>
        </w:rPr>
      </w:pPr>
      <w:r w:rsidRPr="009D07E3">
        <w:rPr>
          <w:rFonts w:cs="Arial"/>
          <w:b/>
          <w:lang w:val="en-CA"/>
        </w:rPr>
        <w:t>Table 1</w:t>
      </w:r>
      <w:r w:rsidR="00AB5F71">
        <w:rPr>
          <w:rFonts w:cs="Arial"/>
          <w:b/>
          <w:lang w:val="en-CA"/>
        </w:rPr>
        <w:t>:</w:t>
      </w:r>
      <w:r w:rsidRPr="009D07E3">
        <w:rPr>
          <w:rFonts w:cs="Arial"/>
          <w:b/>
          <w:lang w:val="en-CA"/>
        </w:rPr>
        <w:t xml:space="preserve">  Employment status by gender and area (2012)</w:t>
      </w:r>
    </w:p>
    <w:p w14:paraId="1A0C8827" w14:textId="77777777" w:rsidR="00C86CBD" w:rsidRPr="009D07E3" w:rsidRDefault="00C86CBD" w:rsidP="000A333F">
      <w:pPr>
        <w:rPr>
          <w:rFonts w:cs="Arial"/>
          <w:b/>
          <w:lang w:val="en-CA"/>
        </w:rPr>
      </w:pPr>
    </w:p>
    <w:tbl>
      <w:tblPr>
        <w:tblStyle w:val="LightShading-Accent1"/>
        <w:tblW w:w="9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1409"/>
        <w:gridCol w:w="1350"/>
        <w:gridCol w:w="1260"/>
        <w:gridCol w:w="1440"/>
        <w:gridCol w:w="1260"/>
      </w:tblGrid>
      <w:tr w:rsidR="00C86CBD" w:rsidRPr="009D07E3" w14:paraId="754229B0" w14:textId="77777777" w:rsidTr="00A50027">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303" w:type="dxa"/>
            <w:vMerge w:val="restart"/>
            <w:tcBorders>
              <w:top w:val="none" w:sz="0" w:space="0" w:color="auto"/>
              <w:left w:val="none" w:sz="0" w:space="0" w:color="auto"/>
              <w:bottom w:val="none" w:sz="0" w:space="0" w:color="auto"/>
              <w:right w:val="none" w:sz="0" w:space="0" w:color="auto"/>
            </w:tcBorders>
            <w:shd w:val="clear" w:color="auto" w:fill="006CB6"/>
            <w:vAlign w:val="center"/>
          </w:tcPr>
          <w:p w14:paraId="6DCFF045" w14:textId="6E5FD7C2" w:rsidR="00C86CBD" w:rsidRPr="00A50027" w:rsidRDefault="00C86CBD" w:rsidP="00AB5F71">
            <w:pPr>
              <w:jc w:val="center"/>
              <w:rPr>
                <w:rFonts w:cs="Arial"/>
                <w:color w:val="FFFFFF" w:themeColor="background1"/>
                <w:lang w:val="en-CA"/>
              </w:rPr>
            </w:pPr>
            <w:r w:rsidRPr="00A50027">
              <w:rPr>
                <w:rFonts w:cs="Arial"/>
                <w:color w:val="FFFFFF" w:themeColor="background1"/>
                <w:lang w:val="en-CA"/>
              </w:rPr>
              <w:t xml:space="preserve">Employment </w:t>
            </w:r>
            <w:r w:rsidR="00AB5F71">
              <w:rPr>
                <w:rFonts w:cs="Arial"/>
                <w:color w:val="FFFFFF" w:themeColor="background1"/>
                <w:lang w:val="en-CA"/>
              </w:rPr>
              <w:t>S</w:t>
            </w:r>
            <w:r w:rsidRPr="00A50027">
              <w:rPr>
                <w:rFonts w:cs="Arial"/>
                <w:color w:val="FFFFFF" w:themeColor="background1"/>
                <w:lang w:val="en-CA"/>
              </w:rPr>
              <w:t>tatus</w:t>
            </w:r>
          </w:p>
        </w:tc>
        <w:tc>
          <w:tcPr>
            <w:tcW w:w="1409" w:type="dxa"/>
            <w:vMerge w:val="restart"/>
            <w:tcBorders>
              <w:top w:val="none" w:sz="0" w:space="0" w:color="auto"/>
              <w:left w:val="none" w:sz="0" w:space="0" w:color="auto"/>
              <w:bottom w:val="none" w:sz="0" w:space="0" w:color="auto"/>
              <w:right w:val="none" w:sz="0" w:space="0" w:color="auto"/>
            </w:tcBorders>
            <w:shd w:val="clear" w:color="auto" w:fill="006CB6"/>
            <w:vAlign w:val="center"/>
          </w:tcPr>
          <w:p w14:paraId="5D41786E" w14:textId="77777777" w:rsidR="00C86CBD" w:rsidRPr="00A50027" w:rsidRDefault="00C86CBD" w:rsidP="00AB5F7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en-CA"/>
              </w:rPr>
            </w:pPr>
            <w:r w:rsidRPr="00A50027">
              <w:rPr>
                <w:rFonts w:cs="Arial"/>
                <w:color w:val="FFFFFF" w:themeColor="background1"/>
                <w:lang w:val="en-CA"/>
              </w:rPr>
              <w:t>Total</w:t>
            </w:r>
          </w:p>
        </w:tc>
        <w:tc>
          <w:tcPr>
            <w:tcW w:w="2610" w:type="dxa"/>
            <w:gridSpan w:val="2"/>
            <w:tcBorders>
              <w:top w:val="none" w:sz="0" w:space="0" w:color="auto"/>
              <w:left w:val="none" w:sz="0" w:space="0" w:color="auto"/>
              <w:bottom w:val="none" w:sz="0" w:space="0" w:color="auto"/>
              <w:right w:val="none" w:sz="0" w:space="0" w:color="auto"/>
            </w:tcBorders>
            <w:shd w:val="clear" w:color="auto" w:fill="006CB6"/>
            <w:vAlign w:val="center"/>
          </w:tcPr>
          <w:p w14:paraId="33B60D6C" w14:textId="77777777" w:rsidR="00C86CBD" w:rsidRPr="00A50027" w:rsidRDefault="00C86CBD" w:rsidP="00A50027">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en-CA"/>
              </w:rPr>
            </w:pPr>
            <w:r w:rsidRPr="00A50027">
              <w:rPr>
                <w:rFonts w:cs="Arial"/>
                <w:color w:val="FFFFFF" w:themeColor="background1"/>
                <w:lang w:val="en-CA"/>
              </w:rPr>
              <w:t>Gender</w:t>
            </w:r>
          </w:p>
        </w:tc>
        <w:tc>
          <w:tcPr>
            <w:tcW w:w="2700" w:type="dxa"/>
            <w:gridSpan w:val="2"/>
            <w:tcBorders>
              <w:top w:val="none" w:sz="0" w:space="0" w:color="auto"/>
              <w:left w:val="none" w:sz="0" w:space="0" w:color="auto"/>
              <w:bottom w:val="none" w:sz="0" w:space="0" w:color="auto"/>
              <w:right w:val="none" w:sz="0" w:space="0" w:color="auto"/>
            </w:tcBorders>
            <w:shd w:val="clear" w:color="auto" w:fill="006CB6"/>
            <w:vAlign w:val="center"/>
          </w:tcPr>
          <w:p w14:paraId="6A2DAC91" w14:textId="77777777" w:rsidR="00C86CBD" w:rsidRPr="00A50027" w:rsidRDefault="00C86CBD" w:rsidP="00A50027">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en-CA"/>
              </w:rPr>
            </w:pPr>
            <w:r w:rsidRPr="00A50027">
              <w:rPr>
                <w:rFonts w:cs="Arial"/>
                <w:color w:val="FFFFFF" w:themeColor="background1"/>
                <w:lang w:val="en-CA"/>
              </w:rPr>
              <w:t>Area</w:t>
            </w:r>
          </w:p>
        </w:tc>
      </w:tr>
      <w:tr w:rsidR="00A50027" w:rsidRPr="009D07E3" w14:paraId="56D3C035" w14:textId="77777777" w:rsidTr="00312CE8">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303" w:type="dxa"/>
            <w:vMerge/>
            <w:tcBorders>
              <w:left w:val="none" w:sz="0" w:space="0" w:color="auto"/>
              <w:right w:val="none" w:sz="0" w:space="0" w:color="auto"/>
            </w:tcBorders>
            <w:shd w:val="clear" w:color="auto" w:fill="auto"/>
          </w:tcPr>
          <w:p w14:paraId="06463E2D" w14:textId="77777777" w:rsidR="00C86CBD" w:rsidRPr="009D07E3" w:rsidRDefault="00C86CBD" w:rsidP="000A333F">
            <w:pPr>
              <w:rPr>
                <w:rFonts w:cs="Arial"/>
                <w:color w:val="auto"/>
                <w:lang w:val="en-CA"/>
              </w:rPr>
            </w:pPr>
          </w:p>
        </w:tc>
        <w:tc>
          <w:tcPr>
            <w:tcW w:w="1409" w:type="dxa"/>
            <w:vMerge/>
            <w:tcBorders>
              <w:left w:val="none" w:sz="0" w:space="0" w:color="auto"/>
              <w:right w:val="none" w:sz="0" w:space="0" w:color="auto"/>
            </w:tcBorders>
            <w:shd w:val="clear" w:color="auto" w:fill="auto"/>
          </w:tcPr>
          <w:p w14:paraId="4FCBF3ED" w14:textId="77777777" w:rsidR="00C86CBD" w:rsidRPr="009D07E3" w:rsidRDefault="00C86CBD" w:rsidP="000A333F">
            <w:pPr>
              <w:cnfStyle w:val="000000100000" w:firstRow="0" w:lastRow="0" w:firstColumn="0" w:lastColumn="0" w:oddVBand="0" w:evenVBand="0" w:oddHBand="1" w:evenHBand="0" w:firstRowFirstColumn="0" w:firstRowLastColumn="0" w:lastRowFirstColumn="0" w:lastRowLastColumn="0"/>
              <w:rPr>
                <w:rFonts w:cs="Arial"/>
                <w:color w:val="auto"/>
                <w:lang w:val="en-CA"/>
              </w:rPr>
            </w:pPr>
          </w:p>
        </w:tc>
        <w:tc>
          <w:tcPr>
            <w:tcW w:w="1350" w:type="dxa"/>
            <w:tcBorders>
              <w:left w:val="none" w:sz="0" w:space="0" w:color="auto"/>
              <w:right w:val="none" w:sz="0" w:space="0" w:color="auto"/>
            </w:tcBorders>
            <w:shd w:val="clear" w:color="auto" w:fill="B9B8B9"/>
            <w:vAlign w:val="center"/>
          </w:tcPr>
          <w:p w14:paraId="5E59B20C" w14:textId="77777777" w:rsidR="00C86CBD" w:rsidRPr="00A50027" w:rsidRDefault="00C86CBD" w:rsidP="00A50027">
            <w:pPr>
              <w:jc w:val="center"/>
              <w:cnfStyle w:val="000000100000" w:firstRow="0" w:lastRow="0" w:firstColumn="0" w:lastColumn="0" w:oddVBand="0" w:evenVBand="0" w:oddHBand="1" w:evenHBand="0" w:firstRowFirstColumn="0" w:firstRowLastColumn="0" w:lastRowFirstColumn="0" w:lastRowLastColumn="0"/>
              <w:rPr>
                <w:rFonts w:cs="Arial"/>
                <w:b/>
                <w:color w:val="auto"/>
                <w:lang w:val="en-CA"/>
              </w:rPr>
            </w:pPr>
            <w:r w:rsidRPr="00A50027">
              <w:rPr>
                <w:rFonts w:cs="Arial"/>
                <w:b/>
                <w:color w:val="auto"/>
                <w:lang w:val="en-CA"/>
              </w:rPr>
              <w:t>Male</w:t>
            </w:r>
          </w:p>
        </w:tc>
        <w:tc>
          <w:tcPr>
            <w:tcW w:w="1260" w:type="dxa"/>
            <w:tcBorders>
              <w:left w:val="none" w:sz="0" w:space="0" w:color="auto"/>
              <w:right w:val="none" w:sz="0" w:space="0" w:color="auto"/>
            </w:tcBorders>
            <w:shd w:val="clear" w:color="auto" w:fill="B9B8B9"/>
            <w:vAlign w:val="center"/>
          </w:tcPr>
          <w:p w14:paraId="3210663A" w14:textId="77777777" w:rsidR="00C86CBD" w:rsidRPr="00A50027" w:rsidRDefault="00C86CBD" w:rsidP="00A50027">
            <w:pPr>
              <w:jc w:val="center"/>
              <w:cnfStyle w:val="000000100000" w:firstRow="0" w:lastRow="0" w:firstColumn="0" w:lastColumn="0" w:oddVBand="0" w:evenVBand="0" w:oddHBand="1" w:evenHBand="0" w:firstRowFirstColumn="0" w:firstRowLastColumn="0" w:lastRowFirstColumn="0" w:lastRowLastColumn="0"/>
              <w:rPr>
                <w:rFonts w:cs="Arial"/>
                <w:b/>
                <w:color w:val="auto"/>
                <w:lang w:val="en-CA"/>
              </w:rPr>
            </w:pPr>
            <w:r w:rsidRPr="00A50027">
              <w:rPr>
                <w:rFonts w:cs="Arial"/>
                <w:b/>
                <w:color w:val="auto"/>
                <w:lang w:val="en-CA"/>
              </w:rPr>
              <w:t>Female</w:t>
            </w:r>
          </w:p>
        </w:tc>
        <w:tc>
          <w:tcPr>
            <w:tcW w:w="1440" w:type="dxa"/>
            <w:tcBorders>
              <w:left w:val="none" w:sz="0" w:space="0" w:color="auto"/>
              <w:right w:val="none" w:sz="0" w:space="0" w:color="auto"/>
            </w:tcBorders>
            <w:shd w:val="clear" w:color="auto" w:fill="B9B8B9"/>
            <w:vAlign w:val="center"/>
          </w:tcPr>
          <w:p w14:paraId="3A2EA02E" w14:textId="77777777" w:rsidR="00C86CBD" w:rsidRPr="00A50027" w:rsidRDefault="00C86CBD" w:rsidP="00A50027">
            <w:pPr>
              <w:jc w:val="center"/>
              <w:cnfStyle w:val="000000100000" w:firstRow="0" w:lastRow="0" w:firstColumn="0" w:lastColumn="0" w:oddVBand="0" w:evenVBand="0" w:oddHBand="1" w:evenHBand="0" w:firstRowFirstColumn="0" w:firstRowLastColumn="0" w:lastRowFirstColumn="0" w:lastRowLastColumn="0"/>
              <w:rPr>
                <w:rFonts w:cs="Arial"/>
                <w:b/>
                <w:color w:val="auto"/>
                <w:lang w:val="en-CA"/>
              </w:rPr>
            </w:pPr>
            <w:r w:rsidRPr="00A50027">
              <w:rPr>
                <w:rFonts w:cs="Arial"/>
                <w:b/>
                <w:color w:val="auto"/>
                <w:lang w:val="en-CA"/>
              </w:rPr>
              <w:t>Urban</w:t>
            </w:r>
          </w:p>
        </w:tc>
        <w:tc>
          <w:tcPr>
            <w:tcW w:w="1260" w:type="dxa"/>
            <w:tcBorders>
              <w:left w:val="none" w:sz="0" w:space="0" w:color="auto"/>
              <w:right w:val="none" w:sz="0" w:space="0" w:color="auto"/>
            </w:tcBorders>
            <w:shd w:val="clear" w:color="auto" w:fill="B9B8B9"/>
            <w:vAlign w:val="center"/>
          </w:tcPr>
          <w:p w14:paraId="29C3C7C6" w14:textId="77777777" w:rsidR="00C86CBD" w:rsidRPr="00A50027" w:rsidRDefault="00C86CBD" w:rsidP="00A50027">
            <w:pPr>
              <w:jc w:val="center"/>
              <w:cnfStyle w:val="000000100000" w:firstRow="0" w:lastRow="0" w:firstColumn="0" w:lastColumn="0" w:oddVBand="0" w:evenVBand="0" w:oddHBand="1" w:evenHBand="0" w:firstRowFirstColumn="0" w:firstRowLastColumn="0" w:lastRowFirstColumn="0" w:lastRowLastColumn="0"/>
              <w:rPr>
                <w:rFonts w:cs="Arial"/>
                <w:b/>
                <w:color w:val="auto"/>
                <w:lang w:val="en-CA"/>
              </w:rPr>
            </w:pPr>
            <w:r w:rsidRPr="00A50027">
              <w:rPr>
                <w:rFonts w:cs="Arial"/>
                <w:b/>
                <w:color w:val="auto"/>
                <w:lang w:val="en-CA"/>
              </w:rPr>
              <w:t>Rural</w:t>
            </w:r>
          </w:p>
        </w:tc>
      </w:tr>
      <w:tr w:rsidR="00A50027" w:rsidRPr="009D07E3" w14:paraId="56448436" w14:textId="77777777" w:rsidTr="00312CE8">
        <w:tc>
          <w:tcPr>
            <w:cnfStyle w:val="001000000000" w:firstRow="0" w:lastRow="0" w:firstColumn="1" w:lastColumn="0" w:oddVBand="0" w:evenVBand="0" w:oddHBand="0" w:evenHBand="0" w:firstRowFirstColumn="0" w:firstRowLastColumn="0" w:lastRowFirstColumn="0" w:lastRowLastColumn="0"/>
            <w:tcW w:w="2303" w:type="dxa"/>
            <w:shd w:val="clear" w:color="auto" w:fill="auto"/>
          </w:tcPr>
          <w:p w14:paraId="1481A3D2" w14:textId="77777777" w:rsidR="00C86CBD" w:rsidRPr="009D07E3" w:rsidRDefault="00C86CBD" w:rsidP="00A50027">
            <w:pPr>
              <w:spacing w:before="20" w:after="20"/>
              <w:rPr>
                <w:rFonts w:cs="Arial"/>
                <w:color w:val="auto"/>
                <w:lang w:val="en-CA"/>
              </w:rPr>
            </w:pPr>
            <w:r w:rsidRPr="009D07E3">
              <w:rPr>
                <w:rFonts w:cs="Arial"/>
                <w:color w:val="auto"/>
                <w:lang w:val="en-CA"/>
              </w:rPr>
              <w:t>Self employed</w:t>
            </w:r>
          </w:p>
        </w:tc>
        <w:tc>
          <w:tcPr>
            <w:tcW w:w="1409" w:type="dxa"/>
            <w:shd w:val="clear" w:color="auto" w:fill="auto"/>
          </w:tcPr>
          <w:p w14:paraId="4C767EB6" w14:textId="77777777" w:rsidR="00C86CBD" w:rsidRPr="009D07E3" w:rsidRDefault="00C86CBD" w:rsidP="00A50027">
            <w:pPr>
              <w:spacing w:before="20" w:after="20"/>
              <w:jc w:val="center"/>
              <w:cnfStyle w:val="000000000000" w:firstRow="0" w:lastRow="0" w:firstColumn="0" w:lastColumn="0" w:oddVBand="0" w:evenVBand="0" w:oddHBand="0" w:evenHBand="0" w:firstRowFirstColumn="0" w:firstRowLastColumn="0" w:lastRowFirstColumn="0" w:lastRowLastColumn="0"/>
              <w:rPr>
                <w:rFonts w:cs="Arial"/>
                <w:color w:val="auto"/>
                <w:lang w:val="en-CA"/>
              </w:rPr>
            </w:pPr>
            <w:r w:rsidRPr="009D07E3">
              <w:rPr>
                <w:rFonts w:cs="Arial"/>
                <w:color w:val="auto"/>
                <w:lang w:val="en-CA"/>
              </w:rPr>
              <w:t>36.29</w:t>
            </w:r>
          </w:p>
        </w:tc>
        <w:tc>
          <w:tcPr>
            <w:tcW w:w="1350" w:type="dxa"/>
            <w:shd w:val="clear" w:color="auto" w:fill="auto"/>
          </w:tcPr>
          <w:p w14:paraId="78E7FAA2" w14:textId="77777777" w:rsidR="00C86CBD" w:rsidRPr="009D07E3" w:rsidRDefault="00C86CBD" w:rsidP="00A50027">
            <w:pPr>
              <w:spacing w:before="20" w:after="20"/>
              <w:jc w:val="center"/>
              <w:cnfStyle w:val="000000000000" w:firstRow="0" w:lastRow="0" w:firstColumn="0" w:lastColumn="0" w:oddVBand="0" w:evenVBand="0" w:oddHBand="0" w:evenHBand="0" w:firstRowFirstColumn="0" w:firstRowLastColumn="0" w:lastRowFirstColumn="0" w:lastRowLastColumn="0"/>
              <w:rPr>
                <w:rFonts w:cs="Arial"/>
                <w:color w:val="auto"/>
                <w:lang w:val="en-CA"/>
              </w:rPr>
            </w:pPr>
            <w:r w:rsidRPr="009D07E3">
              <w:rPr>
                <w:rFonts w:cs="Arial"/>
                <w:color w:val="auto"/>
                <w:lang w:val="en-CA"/>
              </w:rPr>
              <w:t>39.94</w:t>
            </w:r>
          </w:p>
        </w:tc>
        <w:tc>
          <w:tcPr>
            <w:tcW w:w="1260" w:type="dxa"/>
            <w:shd w:val="clear" w:color="auto" w:fill="auto"/>
          </w:tcPr>
          <w:p w14:paraId="768715FB" w14:textId="77777777" w:rsidR="00C86CBD" w:rsidRPr="009D07E3" w:rsidRDefault="00C86CBD" w:rsidP="00A50027">
            <w:pPr>
              <w:spacing w:before="20" w:after="20"/>
              <w:jc w:val="center"/>
              <w:cnfStyle w:val="000000000000" w:firstRow="0" w:lastRow="0" w:firstColumn="0" w:lastColumn="0" w:oddVBand="0" w:evenVBand="0" w:oddHBand="0" w:evenHBand="0" w:firstRowFirstColumn="0" w:firstRowLastColumn="0" w:lastRowFirstColumn="0" w:lastRowLastColumn="0"/>
              <w:rPr>
                <w:rFonts w:cs="Arial"/>
                <w:color w:val="auto"/>
                <w:lang w:val="en-CA"/>
              </w:rPr>
            </w:pPr>
            <w:r w:rsidRPr="009D07E3">
              <w:rPr>
                <w:rFonts w:cs="Arial"/>
                <w:color w:val="auto"/>
                <w:lang w:val="en-CA"/>
              </w:rPr>
              <w:t>30.19</w:t>
            </w:r>
          </w:p>
        </w:tc>
        <w:tc>
          <w:tcPr>
            <w:tcW w:w="1440" w:type="dxa"/>
            <w:shd w:val="clear" w:color="auto" w:fill="auto"/>
          </w:tcPr>
          <w:p w14:paraId="37632536" w14:textId="77777777" w:rsidR="00C86CBD" w:rsidRPr="009D07E3" w:rsidRDefault="00C86CBD" w:rsidP="00A50027">
            <w:pPr>
              <w:spacing w:before="20" w:after="20"/>
              <w:jc w:val="center"/>
              <w:cnfStyle w:val="000000000000" w:firstRow="0" w:lastRow="0" w:firstColumn="0" w:lastColumn="0" w:oddVBand="0" w:evenVBand="0" w:oddHBand="0" w:evenHBand="0" w:firstRowFirstColumn="0" w:firstRowLastColumn="0" w:lastRowFirstColumn="0" w:lastRowLastColumn="0"/>
              <w:rPr>
                <w:rFonts w:cs="Arial"/>
                <w:color w:val="auto"/>
                <w:lang w:val="en-CA"/>
              </w:rPr>
            </w:pPr>
            <w:r w:rsidRPr="009D07E3">
              <w:rPr>
                <w:rFonts w:cs="Arial"/>
                <w:color w:val="auto"/>
                <w:lang w:val="en-CA"/>
              </w:rPr>
              <w:t>30.82</w:t>
            </w:r>
          </w:p>
        </w:tc>
        <w:tc>
          <w:tcPr>
            <w:tcW w:w="1260" w:type="dxa"/>
            <w:shd w:val="clear" w:color="auto" w:fill="auto"/>
          </w:tcPr>
          <w:p w14:paraId="7197592A" w14:textId="77777777" w:rsidR="00C86CBD" w:rsidRPr="009D07E3" w:rsidRDefault="00C86CBD" w:rsidP="00A50027">
            <w:pPr>
              <w:spacing w:before="20" w:after="20"/>
              <w:jc w:val="center"/>
              <w:cnfStyle w:val="000000000000" w:firstRow="0" w:lastRow="0" w:firstColumn="0" w:lastColumn="0" w:oddVBand="0" w:evenVBand="0" w:oddHBand="0" w:evenHBand="0" w:firstRowFirstColumn="0" w:firstRowLastColumn="0" w:lastRowFirstColumn="0" w:lastRowLastColumn="0"/>
              <w:rPr>
                <w:rFonts w:cs="Arial"/>
                <w:color w:val="auto"/>
                <w:lang w:val="en-CA"/>
              </w:rPr>
            </w:pPr>
            <w:r w:rsidRPr="009D07E3">
              <w:rPr>
                <w:rFonts w:cs="Arial"/>
                <w:color w:val="auto"/>
                <w:lang w:val="en-CA"/>
              </w:rPr>
              <w:t>41.37</w:t>
            </w:r>
          </w:p>
        </w:tc>
      </w:tr>
      <w:tr w:rsidR="00A50027" w:rsidRPr="009D07E3" w14:paraId="28299963" w14:textId="77777777" w:rsidTr="00312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Borders>
              <w:left w:val="none" w:sz="0" w:space="0" w:color="auto"/>
              <w:right w:val="none" w:sz="0" w:space="0" w:color="auto"/>
            </w:tcBorders>
            <w:shd w:val="clear" w:color="auto" w:fill="auto"/>
          </w:tcPr>
          <w:p w14:paraId="1D90F172" w14:textId="77777777" w:rsidR="00C86CBD" w:rsidRPr="009D07E3" w:rsidRDefault="00C86CBD" w:rsidP="00A50027">
            <w:pPr>
              <w:spacing w:before="20" w:after="20"/>
              <w:rPr>
                <w:rFonts w:cs="Arial"/>
                <w:color w:val="auto"/>
                <w:lang w:val="en-CA"/>
              </w:rPr>
            </w:pPr>
            <w:r w:rsidRPr="009D07E3">
              <w:rPr>
                <w:rFonts w:cs="Arial"/>
                <w:color w:val="auto"/>
                <w:lang w:val="en-CA"/>
              </w:rPr>
              <w:t>Salaried workers</w:t>
            </w:r>
          </w:p>
        </w:tc>
        <w:tc>
          <w:tcPr>
            <w:tcW w:w="1409" w:type="dxa"/>
            <w:tcBorders>
              <w:left w:val="none" w:sz="0" w:space="0" w:color="auto"/>
              <w:right w:val="none" w:sz="0" w:space="0" w:color="auto"/>
            </w:tcBorders>
            <w:shd w:val="clear" w:color="auto" w:fill="auto"/>
          </w:tcPr>
          <w:p w14:paraId="5C8B767B" w14:textId="77777777" w:rsidR="00C86CBD" w:rsidRPr="009D07E3" w:rsidRDefault="00C86CBD" w:rsidP="00A50027">
            <w:pPr>
              <w:spacing w:before="20" w:after="20"/>
              <w:jc w:val="center"/>
              <w:cnfStyle w:val="000000100000" w:firstRow="0" w:lastRow="0" w:firstColumn="0" w:lastColumn="0" w:oddVBand="0" w:evenVBand="0" w:oddHBand="1" w:evenHBand="0" w:firstRowFirstColumn="0" w:firstRowLastColumn="0" w:lastRowFirstColumn="0" w:lastRowLastColumn="0"/>
              <w:rPr>
                <w:rFonts w:cs="Arial"/>
                <w:color w:val="auto"/>
                <w:lang w:val="en-CA"/>
              </w:rPr>
            </w:pPr>
            <w:r w:rsidRPr="009D07E3">
              <w:rPr>
                <w:rFonts w:cs="Arial"/>
                <w:color w:val="auto"/>
                <w:lang w:val="en-CA"/>
              </w:rPr>
              <w:t>37.75</w:t>
            </w:r>
          </w:p>
        </w:tc>
        <w:tc>
          <w:tcPr>
            <w:tcW w:w="1350" w:type="dxa"/>
            <w:tcBorders>
              <w:left w:val="none" w:sz="0" w:space="0" w:color="auto"/>
              <w:right w:val="none" w:sz="0" w:space="0" w:color="auto"/>
            </w:tcBorders>
            <w:shd w:val="clear" w:color="auto" w:fill="auto"/>
          </w:tcPr>
          <w:p w14:paraId="6D4D453E" w14:textId="77777777" w:rsidR="00C86CBD" w:rsidRPr="009D07E3" w:rsidRDefault="00C86CBD" w:rsidP="00A50027">
            <w:pPr>
              <w:spacing w:before="20" w:after="20"/>
              <w:jc w:val="center"/>
              <w:cnfStyle w:val="000000100000" w:firstRow="0" w:lastRow="0" w:firstColumn="0" w:lastColumn="0" w:oddVBand="0" w:evenVBand="0" w:oddHBand="1" w:evenHBand="0" w:firstRowFirstColumn="0" w:firstRowLastColumn="0" w:lastRowFirstColumn="0" w:lastRowLastColumn="0"/>
              <w:rPr>
                <w:rFonts w:cs="Arial"/>
                <w:color w:val="auto"/>
                <w:lang w:val="en-CA"/>
              </w:rPr>
            </w:pPr>
            <w:r w:rsidRPr="009D07E3">
              <w:rPr>
                <w:rFonts w:cs="Arial"/>
                <w:color w:val="auto"/>
                <w:lang w:val="en-CA"/>
              </w:rPr>
              <w:t>39.99</w:t>
            </w:r>
          </w:p>
        </w:tc>
        <w:tc>
          <w:tcPr>
            <w:tcW w:w="1260" w:type="dxa"/>
            <w:tcBorders>
              <w:left w:val="none" w:sz="0" w:space="0" w:color="auto"/>
              <w:right w:val="none" w:sz="0" w:space="0" w:color="auto"/>
            </w:tcBorders>
            <w:shd w:val="clear" w:color="auto" w:fill="auto"/>
          </w:tcPr>
          <w:p w14:paraId="48663F54" w14:textId="77777777" w:rsidR="00C86CBD" w:rsidRPr="009D07E3" w:rsidRDefault="00C86CBD" w:rsidP="00A50027">
            <w:pPr>
              <w:spacing w:before="20" w:after="20"/>
              <w:jc w:val="center"/>
              <w:cnfStyle w:val="000000100000" w:firstRow="0" w:lastRow="0" w:firstColumn="0" w:lastColumn="0" w:oddVBand="0" w:evenVBand="0" w:oddHBand="1" w:evenHBand="0" w:firstRowFirstColumn="0" w:firstRowLastColumn="0" w:lastRowFirstColumn="0" w:lastRowLastColumn="0"/>
              <w:rPr>
                <w:rFonts w:cs="Arial"/>
                <w:color w:val="auto"/>
                <w:lang w:val="en-CA"/>
              </w:rPr>
            </w:pPr>
            <w:r w:rsidRPr="009D07E3">
              <w:rPr>
                <w:rFonts w:cs="Arial"/>
                <w:color w:val="auto"/>
                <w:lang w:val="en-CA"/>
              </w:rPr>
              <w:t>33.99</w:t>
            </w:r>
          </w:p>
        </w:tc>
        <w:tc>
          <w:tcPr>
            <w:tcW w:w="1440" w:type="dxa"/>
            <w:tcBorders>
              <w:left w:val="none" w:sz="0" w:space="0" w:color="auto"/>
              <w:right w:val="none" w:sz="0" w:space="0" w:color="auto"/>
            </w:tcBorders>
            <w:shd w:val="clear" w:color="auto" w:fill="auto"/>
          </w:tcPr>
          <w:p w14:paraId="15985142" w14:textId="77777777" w:rsidR="00C86CBD" w:rsidRPr="009D07E3" w:rsidRDefault="00C86CBD" w:rsidP="00A50027">
            <w:pPr>
              <w:spacing w:before="20" w:after="20"/>
              <w:jc w:val="center"/>
              <w:cnfStyle w:val="000000100000" w:firstRow="0" w:lastRow="0" w:firstColumn="0" w:lastColumn="0" w:oddVBand="0" w:evenVBand="0" w:oddHBand="1" w:evenHBand="0" w:firstRowFirstColumn="0" w:firstRowLastColumn="0" w:lastRowFirstColumn="0" w:lastRowLastColumn="0"/>
              <w:rPr>
                <w:rFonts w:cs="Arial"/>
                <w:color w:val="auto"/>
                <w:lang w:val="en-CA"/>
              </w:rPr>
            </w:pPr>
            <w:r w:rsidRPr="009D07E3">
              <w:rPr>
                <w:rFonts w:cs="Arial"/>
                <w:color w:val="auto"/>
                <w:lang w:val="en-CA"/>
              </w:rPr>
              <w:t>53.51</w:t>
            </w:r>
          </w:p>
        </w:tc>
        <w:tc>
          <w:tcPr>
            <w:tcW w:w="1260" w:type="dxa"/>
            <w:tcBorders>
              <w:left w:val="none" w:sz="0" w:space="0" w:color="auto"/>
              <w:right w:val="none" w:sz="0" w:space="0" w:color="auto"/>
            </w:tcBorders>
            <w:shd w:val="clear" w:color="auto" w:fill="auto"/>
          </w:tcPr>
          <w:p w14:paraId="0F721F5B" w14:textId="77777777" w:rsidR="00C86CBD" w:rsidRPr="009D07E3" w:rsidRDefault="00C86CBD" w:rsidP="00A50027">
            <w:pPr>
              <w:spacing w:before="20" w:after="20"/>
              <w:jc w:val="center"/>
              <w:cnfStyle w:val="000000100000" w:firstRow="0" w:lastRow="0" w:firstColumn="0" w:lastColumn="0" w:oddVBand="0" w:evenVBand="0" w:oddHBand="1" w:evenHBand="0" w:firstRowFirstColumn="0" w:firstRowLastColumn="0" w:lastRowFirstColumn="0" w:lastRowLastColumn="0"/>
              <w:rPr>
                <w:rFonts w:cs="Arial"/>
                <w:color w:val="auto"/>
                <w:lang w:val="en-CA"/>
              </w:rPr>
            </w:pPr>
            <w:r w:rsidRPr="009D07E3">
              <w:rPr>
                <w:rFonts w:cs="Arial"/>
                <w:color w:val="auto"/>
                <w:lang w:val="en-CA"/>
              </w:rPr>
              <w:t>23.15</w:t>
            </w:r>
          </w:p>
        </w:tc>
      </w:tr>
      <w:tr w:rsidR="00A50027" w:rsidRPr="009D07E3" w14:paraId="21B45335" w14:textId="77777777" w:rsidTr="00312CE8">
        <w:tc>
          <w:tcPr>
            <w:cnfStyle w:val="001000000000" w:firstRow="0" w:lastRow="0" w:firstColumn="1" w:lastColumn="0" w:oddVBand="0" w:evenVBand="0" w:oddHBand="0" w:evenHBand="0" w:firstRowFirstColumn="0" w:firstRowLastColumn="0" w:lastRowFirstColumn="0" w:lastRowLastColumn="0"/>
            <w:tcW w:w="2303" w:type="dxa"/>
            <w:shd w:val="clear" w:color="auto" w:fill="auto"/>
          </w:tcPr>
          <w:p w14:paraId="5EEE2EB3" w14:textId="77777777" w:rsidR="00C86CBD" w:rsidRPr="009D07E3" w:rsidRDefault="00C86CBD" w:rsidP="00A50027">
            <w:pPr>
              <w:spacing w:before="20" w:after="20"/>
              <w:rPr>
                <w:rFonts w:cs="Arial"/>
                <w:color w:val="auto"/>
                <w:lang w:val="en-CA"/>
              </w:rPr>
            </w:pPr>
            <w:r w:rsidRPr="009D07E3">
              <w:rPr>
                <w:rFonts w:cs="Arial"/>
                <w:color w:val="auto"/>
                <w:lang w:val="en-CA"/>
              </w:rPr>
              <w:t>Casual workers</w:t>
            </w:r>
          </w:p>
        </w:tc>
        <w:tc>
          <w:tcPr>
            <w:tcW w:w="1409" w:type="dxa"/>
            <w:shd w:val="clear" w:color="auto" w:fill="auto"/>
          </w:tcPr>
          <w:p w14:paraId="72826AA8" w14:textId="77777777" w:rsidR="00C86CBD" w:rsidRPr="009D07E3" w:rsidRDefault="00C86CBD" w:rsidP="00A50027">
            <w:pPr>
              <w:spacing w:before="20" w:after="20"/>
              <w:jc w:val="center"/>
              <w:cnfStyle w:val="000000000000" w:firstRow="0" w:lastRow="0" w:firstColumn="0" w:lastColumn="0" w:oddVBand="0" w:evenVBand="0" w:oddHBand="0" w:evenHBand="0" w:firstRowFirstColumn="0" w:firstRowLastColumn="0" w:lastRowFirstColumn="0" w:lastRowLastColumn="0"/>
              <w:rPr>
                <w:rFonts w:cs="Arial"/>
                <w:color w:val="auto"/>
                <w:lang w:val="en-CA"/>
              </w:rPr>
            </w:pPr>
            <w:r w:rsidRPr="009D07E3">
              <w:rPr>
                <w:rFonts w:cs="Arial"/>
                <w:color w:val="auto"/>
                <w:lang w:val="en-CA"/>
              </w:rPr>
              <w:t>12.20</w:t>
            </w:r>
          </w:p>
        </w:tc>
        <w:tc>
          <w:tcPr>
            <w:tcW w:w="1350" w:type="dxa"/>
            <w:shd w:val="clear" w:color="auto" w:fill="auto"/>
          </w:tcPr>
          <w:p w14:paraId="1042A2E0" w14:textId="77777777" w:rsidR="00C86CBD" w:rsidRPr="009D07E3" w:rsidRDefault="00C86CBD" w:rsidP="00A50027">
            <w:pPr>
              <w:spacing w:before="20" w:after="20"/>
              <w:jc w:val="center"/>
              <w:cnfStyle w:val="000000000000" w:firstRow="0" w:lastRow="0" w:firstColumn="0" w:lastColumn="0" w:oddVBand="0" w:evenVBand="0" w:oddHBand="0" w:evenHBand="0" w:firstRowFirstColumn="0" w:firstRowLastColumn="0" w:lastRowFirstColumn="0" w:lastRowLastColumn="0"/>
              <w:rPr>
                <w:rFonts w:cs="Arial"/>
                <w:color w:val="auto"/>
                <w:lang w:val="en-CA"/>
              </w:rPr>
            </w:pPr>
            <w:r w:rsidRPr="009D07E3">
              <w:rPr>
                <w:rFonts w:cs="Arial"/>
                <w:color w:val="auto"/>
                <w:lang w:val="en-CA"/>
              </w:rPr>
              <w:t>14.23</w:t>
            </w:r>
          </w:p>
        </w:tc>
        <w:tc>
          <w:tcPr>
            <w:tcW w:w="1260" w:type="dxa"/>
            <w:shd w:val="clear" w:color="auto" w:fill="auto"/>
          </w:tcPr>
          <w:p w14:paraId="676F17F5" w14:textId="77777777" w:rsidR="00C86CBD" w:rsidRPr="009D07E3" w:rsidRDefault="00C86CBD" w:rsidP="00A50027">
            <w:pPr>
              <w:spacing w:before="20" w:after="20"/>
              <w:jc w:val="center"/>
              <w:cnfStyle w:val="000000000000" w:firstRow="0" w:lastRow="0" w:firstColumn="0" w:lastColumn="0" w:oddVBand="0" w:evenVBand="0" w:oddHBand="0" w:evenHBand="0" w:firstRowFirstColumn="0" w:firstRowLastColumn="0" w:lastRowFirstColumn="0" w:lastRowLastColumn="0"/>
              <w:rPr>
                <w:rFonts w:cs="Arial"/>
                <w:color w:val="auto"/>
                <w:lang w:val="en-CA"/>
              </w:rPr>
            </w:pPr>
            <w:r w:rsidRPr="009D07E3">
              <w:rPr>
                <w:rFonts w:cs="Arial"/>
                <w:color w:val="auto"/>
                <w:lang w:val="en-CA"/>
              </w:rPr>
              <w:t>8.80</w:t>
            </w:r>
          </w:p>
        </w:tc>
        <w:tc>
          <w:tcPr>
            <w:tcW w:w="1440" w:type="dxa"/>
            <w:shd w:val="clear" w:color="auto" w:fill="auto"/>
          </w:tcPr>
          <w:p w14:paraId="2BF6EEC4" w14:textId="77777777" w:rsidR="00C86CBD" w:rsidRPr="009D07E3" w:rsidRDefault="00C86CBD" w:rsidP="00A50027">
            <w:pPr>
              <w:spacing w:before="20" w:after="20"/>
              <w:jc w:val="center"/>
              <w:cnfStyle w:val="000000000000" w:firstRow="0" w:lastRow="0" w:firstColumn="0" w:lastColumn="0" w:oddVBand="0" w:evenVBand="0" w:oddHBand="0" w:evenHBand="0" w:firstRowFirstColumn="0" w:firstRowLastColumn="0" w:lastRowFirstColumn="0" w:lastRowLastColumn="0"/>
              <w:rPr>
                <w:rFonts w:cs="Arial"/>
                <w:color w:val="auto"/>
                <w:lang w:val="en-CA"/>
              </w:rPr>
            </w:pPr>
            <w:r w:rsidRPr="009D07E3">
              <w:rPr>
                <w:rFonts w:cs="Arial"/>
                <w:color w:val="auto"/>
                <w:lang w:val="en-CA"/>
              </w:rPr>
              <w:t>9.55</w:t>
            </w:r>
          </w:p>
        </w:tc>
        <w:tc>
          <w:tcPr>
            <w:tcW w:w="1260" w:type="dxa"/>
            <w:shd w:val="clear" w:color="auto" w:fill="auto"/>
          </w:tcPr>
          <w:p w14:paraId="3B32AA19" w14:textId="77777777" w:rsidR="00C86CBD" w:rsidRPr="009D07E3" w:rsidRDefault="00C86CBD" w:rsidP="00A50027">
            <w:pPr>
              <w:spacing w:before="20" w:after="20"/>
              <w:jc w:val="center"/>
              <w:cnfStyle w:val="000000000000" w:firstRow="0" w:lastRow="0" w:firstColumn="0" w:lastColumn="0" w:oddVBand="0" w:evenVBand="0" w:oddHBand="0" w:evenHBand="0" w:firstRowFirstColumn="0" w:firstRowLastColumn="0" w:lastRowFirstColumn="0" w:lastRowLastColumn="0"/>
              <w:rPr>
                <w:rFonts w:cs="Arial"/>
                <w:color w:val="auto"/>
                <w:lang w:val="en-CA"/>
              </w:rPr>
            </w:pPr>
            <w:r w:rsidRPr="009D07E3">
              <w:rPr>
                <w:rFonts w:cs="Arial"/>
                <w:color w:val="auto"/>
                <w:lang w:val="en-CA"/>
              </w:rPr>
              <w:t>14.66</w:t>
            </w:r>
          </w:p>
        </w:tc>
      </w:tr>
      <w:tr w:rsidR="00A50027" w:rsidRPr="009D07E3" w14:paraId="547EC38E" w14:textId="77777777" w:rsidTr="00312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Borders>
              <w:left w:val="none" w:sz="0" w:space="0" w:color="auto"/>
              <w:right w:val="none" w:sz="0" w:space="0" w:color="auto"/>
            </w:tcBorders>
            <w:shd w:val="clear" w:color="auto" w:fill="auto"/>
          </w:tcPr>
          <w:p w14:paraId="1DE8CEBB" w14:textId="77777777" w:rsidR="00C86CBD" w:rsidRPr="009D07E3" w:rsidRDefault="00C86CBD" w:rsidP="00A50027">
            <w:pPr>
              <w:spacing w:before="20" w:after="20"/>
              <w:rPr>
                <w:rFonts w:cs="Arial"/>
                <w:color w:val="auto"/>
                <w:lang w:val="en-CA"/>
              </w:rPr>
            </w:pPr>
            <w:r w:rsidRPr="009D07E3">
              <w:rPr>
                <w:rFonts w:cs="Arial"/>
                <w:color w:val="auto"/>
                <w:lang w:val="en-CA"/>
              </w:rPr>
              <w:t>Unpaid</w:t>
            </w:r>
          </w:p>
        </w:tc>
        <w:tc>
          <w:tcPr>
            <w:tcW w:w="1409" w:type="dxa"/>
            <w:tcBorders>
              <w:left w:val="none" w:sz="0" w:space="0" w:color="auto"/>
              <w:right w:val="none" w:sz="0" w:space="0" w:color="auto"/>
            </w:tcBorders>
            <w:shd w:val="clear" w:color="auto" w:fill="auto"/>
          </w:tcPr>
          <w:p w14:paraId="074F9170" w14:textId="77777777" w:rsidR="00C86CBD" w:rsidRPr="009D07E3" w:rsidRDefault="00C86CBD" w:rsidP="00A50027">
            <w:pPr>
              <w:spacing w:before="20" w:after="20"/>
              <w:jc w:val="center"/>
              <w:cnfStyle w:val="000000100000" w:firstRow="0" w:lastRow="0" w:firstColumn="0" w:lastColumn="0" w:oddVBand="0" w:evenVBand="0" w:oddHBand="1" w:evenHBand="0" w:firstRowFirstColumn="0" w:firstRowLastColumn="0" w:lastRowFirstColumn="0" w:lastRowLastColumn="0"/>
              <w:rPr>
                <w:rFonts w:cs="Arial"/>
                <w:color w:val="auto"/>
                <w:lang w:val="en-CA"/>
              </w:rPr>
            </w:pPr>
            <w:r w:rsidRPr="009D07E3">
              <w:rPr>
                <w:rFonts w:cs="Arial"/>
                <w:color w:val="auto"/>
                <w:lang w:val="en-CA"/>
              </w:rPr>
              <w:t>13.76</w:t>
            </w:r>
          </w:p>
        </w:tc>
        <w:tc>
          <w:tcPr>
            <w:tcW w:w="1350" w:type="dxa"/>
            <w:tcBorders>
              <w:left w:val="none" w:sz="0" w:space="0" w:color="auto"/>
              <w:right w:val="none" w:sz="0" w:space="0" w:color="auto"/>
            </w:tcBorders>
            <w:shd w:val="clear" w:color="auto" w:fill="auto"/>
          </w:tcPr>
          <w:p w14:paraId="128B1D54" w14:textId="77777777" w:rsidR="00C86CBD" w:rsidRPr="009D07E3" w:rsidRDefault="00C86CBD" w:rsidP="00A50027">
            <w:pPr>
              <w:spacing w:before="20" w:after="20"/>
              <w:jc w:val="center"/>
              <w:cnfStyle w:val="000000100000" w:firstRow="0" w:lastRow="0" w:firstColumn="0" w:lastColumn="0" w:oddVBand="0" w:evenVBand="0" w:oddHBand="1" w:evenHBand="0" w:firstRowFirstColumn="0" w:firstRowLastColumn="0" w:lastRowFirstColumn="0" w:lastRowLastColumn="0"/>
              <w:rPr>
                <w:rFonts w:cs="Arial"/>
                <w:color w:val="auto"/>
                <w:lang w:val="en-CA"/>
              </w:rPr>
            </w:pPr>
            <w:r w:rsidRPr="009D07E3">
              <w:rPr>
                <w:rFonts w:cs="Arial"/>
                <w:color w:val="auto"/>
                <w:lang w:val="en-CA"/>
              </w:rPr>
              <w:t>5.84</w:t>
            </w:r>
          </w:p>
        </w:tc>
        <w:tc>
          <w:tcPr>
            <w:tcW w:w="1260" w:type="dxa"/>
            <w:tcBorders>
              <w:left w:val="none" w:sz="0" w:space="0" w:color="auto"/>
              <w:right w:val="none" w:sz="0" w:space="0" w:color="auto"/>
            </w:tcBorders>
            <w:shd w:val="clear" w:color="auto" w:fill="auto"/>
          </w:tcPr>
          <w:p w14:paraId="7DF0D65C" w14:textId="77777777" w:rsidR="00C86CBD" w:rsidRPr="009D07E3" w:rsidRDefault="00C86CBD" w:rsidP="00A50027">
            <w:pPr>
              <w:spacing w:before="20" w:after="20"/>
              <w:jc w:val="center"/>
              <w:cnfStyle w:val="000000100000" w:firstRow="0" w:lastRow="0" w:firstColumn="0" w:lastColumn="0" w:oddVBand="0" w:evenVBand="0" w:oddHBand="1" w:evenHBand="0" w:firstRowFirstColumn="0" w:firstRowLastColumn="0" w:lastRowFirstColumn="0" w:lastRowLastColumn="0"/>
              <w:rPr>
                <w:rFonts w:cs="Arial"/>
                <w:color w:val="auto"/>
                <w:lang w:val="en-CA"/>
              </w:rPr>
            </w:pPr>
            <w:r w:rsidRPr="009D07E3">
              <w:rPr>
                <w:rFonts w:cs="Arial"/>
                <w:color w:val="auto"/>
                <w:lang w:val="en-CA"/>
              </w:rPr>
              <w:t>27.02</w:t>
            </w:r>
          </w:p>
        </w:tc>
        <w:tc>
          <w:tcPr>
            <w:tcW w:w="1440" w:type="dxa"/>
            <w:tcBorders>
              <w:left w:val="none" w:sz="0" w:space="0" w:color="auto"/>
              <w:right w:val="none" w:sz="0" w:space="0" w:color="auto"/>
            </w:tcBorders>
            <w:shd w:val="clear" w:color="auto" w:fill="auto"/>
          </w:tcPr>
          <w:p w14:paraId="1B5C8621" w14:textId="77777777" w:rsidR="00C86CBD" w:rsidRPr="009D07E3" w:rsidRDefault="00C86CBD" w:rsidP="00A50027">
            <w:pPr>
              <w:spacing w:before="20" w:after="20"/>
              <w:jc w:val="center"/>
              <w:cnfStyle w:val="000000100000" w:firstRow="0" w:lastRow="0" w:firstColumn="0" w:lastColumn="0" w:oddVBand="0" w:evenVBand="0" w:oddHBand="1" w:evenHBand="0" w:firstRowFirstColumn="0" w:firstRowLastColumn="0" w:lastRowFirstColumn="0" w:lastRowLastColumn="0"/>
              <w:rPr>
                <w:rFonts w:cs="Arial"/>
                <w:color w:val="auto"/>
                <w:lang w:val="en-CA"/>
              </w:rPr>
            </w:pPr>
            <w:r w:rsidRPr="009D07E3">
              <w:rPr>
                <w:rFonts w:cs="Arial"/>
                <w:color w:val="auto"/>
                <w:lang w:val="en-CA"/>
              </w:rPr>
              <w:t>6.13</w:t>
            </w:r>
          </w:p>
        </w:tc>
        <w:tc>
          <w:tcPr>
            <w:tcW w:w="1260" w:type="dxa"/>
            <w:tcBorders>
              <w:left w:val="none" w:sz="0" w:space="0" w:color="auto"/>
              <w:right w:val="none" w:sz="0" w:space="0" w:color="auto"/>
            </w:tcBorders>
            <w:shd w:val="clear" w:color="auto" w:fill="auto"/>
          </w:tcPr>
          <w:p w14:paraId="47925975" w14:textId="77777777" w:rsidR="00C86CBD" w:rsidRPr="009D07E3" w:rsidRDefault="00C86CBD" w:rsidP="00A50027">
            <w:pPr>
              <w:spacing w:before="20" w:after="20"/>
              <w:jc w:val="center"/>
              <w:cnfStyle w:val="000000100000" w:firstRow="0" w:lastRow="0" w:firstColumn="0" w:lastColumn="0" w:oddVBand="0" w:evenVBand="0" w:oddHBand="1" w:evenHBand="0" w:firstRowFirstColumn="0" w:firstRowLastColumn="0" w:lastRowFirstColumn="0" w:lastRowLastColumn="0"/>
              <w:rPr>
                <w:rFonts w:cs="Arial"/>
                <w:color w:val="auto"/>
                <w:lang w:val="en-CA"/>
              </w:rPr>
            </w:pPr>
            <w:r w:rsidRPr="009D07E3">
              <w:rPr>
                <w:rFonts w:cs="Arial"/>
                <w:color w:val="auto"/>
                <w:lang w:val="en-CA"/>
              </w:rPr>
              <w:t>20.82</w:t>
            </w:r>
          </w:p>
        </w:tc>
      </w:tr>
    </w:tbl>
    <w:p w14:paraId="6BCD7B2E" w14:textId="1DD6335A" w:rsidR="00C86CBD" w:rsidRPr="0065781E" w:rsidRDefault="00C86CBD" w:rsidP="000A333F">
      <w:pPr>
        <w:rPr>
          <w:rFonts w:cs="Arial"/>
          <w:sz w:val="16"/>
          <w:szCs w:val="16"/>
          <w:lang w:val="en-CA"/>
        </w:rPr>
      </w:pPr>
      <w:r w:rsidRPr="0065781E">
        <w:rPr>
          <w:rFonts w:cs="Arial"/>
          <w:sz w:val="16"/>
          <w:szCs w:val="16"/>
          <w:lang w:val="en-CA"/>
        </w:rPr>
        <w:t xml:space="preserve">Source: 2014. TNP2K Poverty and the Labor Market in Indonesia: Employment Trends </w:t>
      </w:r>
      <w:proofErr w:type="gramStart"/>
      <w:r w:rsidR="00CD2846" w:rsidRPr="0065781E">
        <w:rPr>
          <w:rFonts w:cs="Arial"/>
          <w:sz w:val="16"/>
          <w:szCs w:val="16"/>
          <w:lang w:val="en-CA"/>
        </w:rPr>
        <w:t>Across</w:t>
      </w:r>
      <w:proofErr w:type="gramEnd"/>
      <w:r w:rsidRPr="0065781E">
        <w:rPr>
          <w:rFonts w:cs="Arial"/>
          <w:sz w:val="16"/>
          <w:szCs w:val="16"/>
          <w:lang w:val="en-CA"/>
        </w:rPr>
        <w:t xml:space="preserve"> Wealth Distribution</w:t>
      </w:r>
    </w:p>
    <w:p w14:paraId="2E5A160E" w14:textId="6E257DD8" w:rsidR="00A50027" w:rsidRDefault="00A50027">
      <w:pPr>
        <w:jc w:val="left"/>
        <w:rPr>
          <w:rFonts w:cs="Arial"/>
          <w:lang w:val="en-CA"/>
        </w:rPr>
      </w:pPr>
    </w:p>
    <w:p w14:paraId="497E5A8C" w14:textId="60DF66D2" w:rsidR="00C14AAE" w:rsidRPr="009D07E3" w:rsidRDefault="00C14AAE" w:rsidP="000A333F">
      <w:pPr>
        <w:rPr>
          <w:rFonts w:cs="Arial"/>
          <w:b/>
          <w:lang w:val="en-CA"/>
        </w:rPr>
      </w:pPr>
      <w:r w:rsidRPr="009D07E3">
        <w:rPr>
          <w:rFonts w:cs="Arial"/>
          <w:lang w:val="en-CA"/>
        </w:rPr>
        <w:t>In addition, there is persistent occupational segregation with women</w:t>
      </w:r>
      <w:r w:rsidR="00C92664" w:rsidRPr="009D07E3">
        <w:rPr>
          <w:rFonts w:cs="Arial"/>
          <w:lang w:val="en-CA"/>
        </w:rPr>
        <w:t xml:space="preserve"> being</w:t>
      </w:r>
      <w:r w:rsidRPr="009D07E3">
        <w:rPr>
          <w:rFonts w:cs="Arial"/>
          <w:lang w:val="en-CA"/>
        </w:rPr>
        <w:t xml:space="preserve"> under-represented in higher paying jobs and senior management positions. Women generally earn less than men and the gender wage gap is particularly high among employees with low level</w:t>
      </w:r>
      <w:r w:rsidR="00C92664" w:rsidRPr="009D07E3">
        <w:rPr>
          <w:rFonts w:cs="Arial"/>
          <w:lang w:val="en-CA"/>
        </w:rPr>
        <w:t>s</w:t>
      </w:r>
      <w:r w:rsidRPr="009D07E3">
        <w:rPr>
          <w:rFonts w:cs="Arial"/>
          <w:lang w:val="en-CA"/>
        </w:rPr>
        <w:t xml:space="preserve"> of education, amounting to 35.54</w:t>
      </w:r>
      <w:r w:rsidR="00BF25CA">
        <w:rPr>
          <w:rFonts w:cs="Arial"/>
          <w:lang w:val="en-CA"/>
        </w:rPr>
        <w:t>%</w:t>
      </w:r>
      <w:r w:rsidRPr="009D07E3">
        <w:rPr>
          <w:rFonts w:cs="Arial"/>
          <w:lang w:val="en-CA"/>
        </w:rPr>
        <w:t xml:space="preserve"> for those not completing primary school and 36.42</w:t>
      </w:r>
      <w:r w:rsidR="00BF25CA">
        <w:rPr>
          <w:rFonts w:cs="Arial"/>
          <w:lang w:val="en-CA"/>
        </w:rPr>
        <w:t>%</w:t>
      </w:r>
      <w:r w:rsidRPr="009D07E3">
        <w:rPr>
          <w:rFonts w:cs="Arial"/>
          <w:lang w:val="en-CA"/>
        </w:rPr>
        <w:t xml:space="preserve"> for those completing primary school. </w:t>
      </w:r>
    </w:p>
    <w:p w14:paraId="0F648BA6" w14:textId="77777777" w:rsidR="00C14AAE" w:rsidRPr="009D07E3" w:rsidRDefault="00C14AAE" w:rsidP="000A333F">
      <w:pPr>
        <w:pStyle w:val="ListParagraph"/>
        <w:ind w:left="360"/>
        <w:rPr>
          <w:rFonts w:cs="Arial"/>
          <w:lang w:val="en-CA"/>
        </w:rPr>
      </w:pPr>
    </w:p>
    <w:p w14:paraId="1F4E0A2A" w14:textId="29DB17D2" w:rsidR="00C14AAE" w:rsidRPr="009D07E3" w:rsidRDefault="00C14AAE" w:rsidP="000A333F">
      <w:pPr>
        <w:rPr>
          <w:rFonts w:cs="Arial"/>
          <w:b/>
          <w:lang w:val="en-CA"/>
        </w:rPr>
      </w:pPr>
      <w:r w:rsidRPr="009D07E3">
        <w:rPr>
          <w:rFonts w:cs="Arial"/>
          <w:lang w:val="en-CA"/>
        </w:rPr>
        <w:t>The proportion of workers in vulnerable employment was higher for women at 65</w:t>
      </w:r>
      <w:r w:rsidR="00BF25CA">
        <w:rPr>
          <w:rFonts w:cs="Arial"/>
          <w:lang w:val="en-CA"/>
        </w:rPr>
        <w:t>%</w:t>
      </w:r>
      <w:r w:rsidRPr="009D07E3">
        <w:rPr>
          <w:rFonts w:cs="Arial"/>
          <w:lang w:val="en-CA"/>
        </w:rPr>
        <w:t xml:space="preserve"> compared to 57</w:t>
      </w:r>
      <w:r w:rsidR="00BF25CA">
        <w:rPr>
          <w:rFonts w:cs="Arial"/>
          <w:lang w:val="en-CA"/>
        </w:rPr>
        <w:t>%</w:t>
      </w:r>
      <w:r w:rsidRPr="009D07E3">
        <w:rPr>
          <w:rFonts w:cs="Arial"/>
          <w:lang w:val="en-CA"/>
        </w:rPr>
        <w:t xml:space="preserve"> for men. This indicates that the majority of women work without sufficient pay and access to decent work which negatively impacts </w:t>
      </w:r>
      <w:r w:rsidR="00C92664" w:rsidRPr="009D07E3">
        <w:rPr>
          <w:rFonts w:cs="Arial"/>
          <w:lang w:val="en-CA"/>
        </w:rPr>
        <w:t>their</w:t>
      </w:r>
      <w:r w:rsidRPr="009D07E3">
        <w:rPr>
          <w:rFonts w:cs="Arial"/>
          <w:lang w:val="en-CA"/>
        </w:rPr>
        <w:t xml:space="preserve"> welfare, despite their active contribution</w:t>
      </w:r>
      <w:r w:rsidR="00C92664" w:rsidRPr="009D07E3">
        <w:rPr>
          <w:rFonts w:cs="Arial"/>
          <w:lang w:val="en-CA"/>
        </w:rPr>
        <w:t>s</w:t>
      </w:r>
      <w:r w:rsidRPr="009D07E3">
        <w:rPr>
          <w:rFonts w:cs="Arial"/>
          <w:lang w:val="en-CA"/>
        </w:rPr>
        <w:t xml:space="preserve"> to the national and household economy in Indonesia.</w:t>
      </w:r>
    </w:p>
    <w:p w14:paraId="0FE8C334" w14:textId="77777777" w:rsidR="00C14AAE" w:rsidRPr="009D07E3" w:rsidRDefault="00C14AAE" w:rsidP="000A333F">
      <w:pPr>
        <w:pStyle w:val="ListParagraph"/>
        <w:ind w:left="360"/>
        <w:rPr>
          <w:rFonts w:cs="Arial"/>
          <w:lang w:val="en-CA"/>
        </w:rPr>
      </w:pPr>
    </w:p>
    <w:p w14:paraId="6F95627A" w14:textId="0FB44C30" w:rsidR="00C14AAE" w:rsidRPr="009D07E3" w:rsidRDefault="00C92664" w:rsidP="000A333F">
      <w:pPr>
        <w:rPr>
          <w:rFonts w:cs="Arial"/>
          <w:lang w:val="en-CA"/>
        </w:rPr>
      </w:pPr>
      <w:r w:rsidRPr="009D07E3">
        <w:rPr>
          <w:rFonts w:cs="Arial"/>
          <w:lang w:val="en-CA"/>
        </w:rPr>
        <w:t>Homeworkers are one example of a category of worker</w:t>
      </w:r>
      <w:r w:rsidR="006431A5" w:rsidRPr="009D07E3">
        <w:rPr>
          <w:rFonts w:cs="Arial"/>
          <w:lang w:val="en-CA"/>
        </w:rPr>
        <w:t xml:space="preserve"> in Indonesia</w:t>
      </w:r>
      <w:r w:rsidRPr="009D07E3">
        <w:rPr>
          <w:rFonts w:cs="Arial"/>
          <w:lang w:val="en-CA"/>
        </w:rPr>
        <w:t xml:space="preserve"> without sufficient pay or access to decent work. </w:t>
      </w:r>
      <w:r w:rsidR="006431A5" w:rsidRPr="009D07E3">
        <w:rPr>
          <w:rFonts w:cs="Arial"/>
          <w:lang w:val="en-CA"/>
        </w:rPr>
        <w:t>O</w:t>
      </w:r>
      <w:r w:rsidR="00C14AAE" w:rsidRPr="009D07E3">
        <w:rPr>
          <w:rFonts w:cs="Arial"/>
          <w:lang w:val="en-CA"/>
        </w:rPr>
        <w:t xml:space="preserve">ften referred </w:t>
      </w:r>
      <w:r w:rsidR="006431A5" w:rsidRPr="009D07E3">
        <w:rPr>
          <w:rFonts w:cs="Arial"/>
          <w:lang w:val="en-CA"/>
        </w:rPr>
        <w:t xml:space="preserve">to </w:t>
      </w:r>
      <w:r w:rsidR="00C14AAE" w:rsidRPr="009D07E3">
        <w:rPr>
          <w:rFonts w:cs="Arial"/>
          <w:lang w:val="en-CA"/>
        </w:rPr>
        <w:t xml:space="preserve">as the workers in the “putting-out system” in Indonesia, </w:t>
      </w:r>
      <w:r w:rsidR="006431A5" w:rsidRPr="009D07E3">
        <w:rPr>
          <w:rFonts w:cs="Arial"/>
          <w:lang w:val="en-CA"/>
        </w:rPr>
        <w:t xml:space="preserve">homeworkers </w:t>
      </w:r>
      <w:r w:rsidR="00C14AAE" w:rsidRPr="009D07E3">
        <w:rPr>
          <w:rFonts w:cs="Arial"/>
          <w:lang w:val="en-CA"/>
        </w:rPr>
        <w:t xml:space="preserve">are workers who work at home for remuneration by making products as specified by the </w:t>
      </w:r>
      <w:proofErr w:type="gramStart"/>
      <w:r w:rsidR="00C14AAE" w:rsidRPr="009D07E3">
        <w:rPr>
          <w:rFonts w:cs="Arial"/>
          <w:lang w:val="en-CA"/>
        </w:rPr>
        <w:t>employer.</w:t>
      </w:r>
      <w:proofErr w:type="gramEnd"/>
      <w:r w:rsidR="00C14AAE" w:rsidRPr="009D07E3">
        <w:rPr>
          <w:rFonts w:cs="Arial"/>
          <w:lang w:val="en-CA"/>
        </w:rPr>
        <w:t xml:space="preserve"> While there is no official data on the prevalence of homeworkers and their working conditions in Indonesia, assessments conducted by ILO in East Java and North Sumatra in 2013 indicate that the majority of homeworkers are women. The same assessments highlighted key challenges faced by homeworkers, such as low pay, half or incomplete payments for finished work, withholding of payments by employers, and lack of access to social security. </w:t>
      </w:r>
      <w:r w:rsidR="00D84DAA" w:rsidRPr="009D07E3">
        <w:rPr>
          <w:rFonts w:cs="Arial"/>
          <w:lang w:val="en-CA"/>
        </w:rPr>
        <w:t xml:space="preserve">BITRA, </w:t>
      </w:r>
      <w:proofErr w:type="spellStart"/>
      <w:r w:rsidR="00D84DAA" w:rsidRPr="009D07E3">
        <w:rPr>
          <w:rFonts w:cs="Arial"/>
          <w:lang w:val="en-CA"/>
        </w:rPr>
        <w:t>Yasanti</w:t>
      </w:r>
      <w:proofErr w:type="spellEnd"/>
      <w:r w:rsidR="00D84DAA" w:rsidRPr="009D07E3">
        <w:rPr>
          <w:rFonts w:cs="Arial"/>
          <w:lang w:val="en-CA"/>
        </w:rPr>
        <w:t>, and MWPRI – local CS</w:t>
      </w:r>
      <w:r w:rsidR="002B0A42">
        <w:rPr>
          <w:rFonts w:cs="Arial"/>
          <w:lang w:val="en-CA"/>
        </w:rPr>
        <w:t xml:space="preserve">Os that worked with ILO on its assessments – </w:t>
      </w:r>
      <w:r w:rsidR="00D84DAA" w:rsidRPr="009D07E3">
        <w:rPr>
          <w:rFonts w:cs="Arial"/>
          <w:lang w:val="en-CA"/>
        </w:rPr>
        <w:t xml:space="preserve">identify specific industries in which to focus, such as garment and footwear, and develop various models to test small scale approaches to supporting homeworkers working within value chains that bridge the formal and informal sectors.   </w:t>
      </w:r>
    </w:p>
    <w:p w14:paraId="63A149DC" w14:textId="77777777" w:rsidR="006E3E51" w:rsidRPr="009D07E3" w:rsidRDefault="006E3E51" w:rsidP="000A333F">
      <w:pPr>
        <w:rPr>
          <w:rFonts w:cs="Arial"/>
          <w:lang w:val="en-CA"/>
        </w:rPr>
      </w:pPr>
    </w:p>
    <w:p w14:paraId="37B64C16" w14:textId="02FE05F5" w:rsidR="00153A50" w:rsidRPr="009D07E3" w:rsidRDefault="00153A50" w:rsidP="006E3E51">
      <w:pPr>
        <w:pStyle w:val="Heading3"/>
        <w:rPr>
          <w:lang w:val="en-CA"/>
        </w:rPr>
      </w:pPr>
      <w:bookmarkStart w:id="10" w:name="_Toc423438698"/>
      <w:r w:rsidRPr="009D07E3">
        <w:rPr>
          <w:lang w:val="en-CA"/>
        </w:rPr>
        <w:t xml:space="preserve">Reproductive </w:t>
      </w:r>
      <w:r w:rsidR="006431A5" w:rsidRPr="009D07E3">
        <w:rPr>
          <w:lang w:val="en-CA"/>
        </w:rPr>
        <w:t>H</w:t>
      </w:r>
      <w:r w:rsidRPr="009D07E3">
        <w:rPr>
          <w:lang w:val="en-CA"/>
        </w:rPr>
        <w:t>ealth</w:t>
      </w:r>
      <w:bookmarkEnd w:id="10"/>
    </w:p>
    <w:p w14:paraId="3D9B65E6" w14:textId="77777777" w:rsidR="006E3E51" w:rsidRPr="009D07E3" w:rsidRDefault="006E3E51" w:rsidP="000A333F">
      <w:pPr>
        <w:rPr>
          <w:rFonts w:cs="Arial"/>
          <w:lang w:val="en-CA"/>
        </w:rPr>
      </w:pPr>
    </w:p>
    <w:p w14:paraId="33679B46" w14:textId="2021E21C" w:rsidR="008672C5" w:rsidRPr="009D07E3" w:rsidRDefault="008672C5" w:rsidP="000A333F">
      <w:pPr>
        <w:rPr>
          <w:rFonts w:cs="Arial"/>
          <w:lang w:val="en-CA"/>
        </w:rPr>
      </w:pPr>
      <w:r w:rsidRPr="009D07E3">
        <w:rPr>
          <w:rFonts w:cs="Arial"/>
          <w:lang w:val="en-CA"/>
        </w:rPr>
        <w:t xml:space="preserve">The 2007 IDHS (Indonesia Demographic Health Survey) found that Indonesia’s maternal mortality ratio (MMR) </w:t>
      </w:r>
      <w:r w:rsidR="00C51EC7" w:rsidRPr="009D07E3">
        <w:rPr>
          <w:rFonts w:cs="Arial"/>
          <w:lang w:val="en-CA"/>
        </w:rPr>
        <w:t>was amongst the highest in the region, with</w:t>
      </w:r>
      <w:r w:rsidRPr="009D07E3">
        <w:rPr>
          <w:rFonts w:cs="Arial"/>
          <w:lang w:val="en-CA"/>
        </w:rPr>
        <w:t xml:space="preserve"> 228 </w:t>
      </w:r>
      <w:r w:rsidR="00C51EC7" w:rsidRPr="009D07E3">
        <w:rPr>
          <w:rFonts w:cs="Arial"/>
          <w:lang w:val="en-CA"/>
        </w:rPr>
        <w:t xml:space="preserve">deaths </w:t>
      </w:r>
      <w:r w:rsidRPr="009D07E3">
        <w:rPr>
          <w:rFonts w:cs="Arial"/>
          <w:lang w:val="en-CA"/>
        </w:rPr>
        <w:t>per 100,000</w:t>
      </w:r>
      <w:r w:rsidR="00C51EC7" w:rsidRPr="009D07E3">
        <w:rPr>
          <w:rFonts w:cs="Arial"/>
          <w:lang w:val="en-CA"/>
        </w:rPr>
        <w:t xml:space="preserve"> births.</w:t>
      </w:r>
      <w:r w:rsidRPr="009D07E3">
        <w:rPr>
          <w:rFonts w:cs="Arial"/>
          <w:lang w:val="en-CA"/>
        </w:rPr>
        <w:t xml:space="preserve"> Despite substantial government effort</w:t>
      </w:r>
      <w:r w:rsidR="00386DA7" w:rsidRPr="009D07E3">
        <w:rPr>
          <w:rFonts w:cs="Arial"/>
          <w:lang w:val="en-CA"/>
        </w:rPr>
        <w:t>s</w:t>
      </w:r>
      <w:r w:rsidRPr="009D07E3">
        <w:rPr>
          <w:rFonts w:cs="Arial"/>
          <w:lang w:val="en-CA"/>
        </w:rPr>
        <w:t xml:space="preserve">, the rate </w:t>
      </w:r>
      <w:r w:rsidR="00386DA7" w:rsidRPr="009D07E3">
        <w:rPr>
          <w:rFonts w:cs="Arial"/>
          <w:lang w:val="en-CA"/>
        </w:rPr>
        <w:t xml:space="preserve">subsequently </w:t>
      </w:r>
      <w:r w:rsidRPr="009D07E3">
        <w:rPr>
          <w:rFonts w:cs="Arial"/>
          <w:lang w:val="en-CA"/>
        </w:rPr>
        <w:t>increased to 359</w:t>
      </w:r>
      <w:r w:rsidR="00386DA7" w:rsidRPr="009D07E3">
        <w:rPr>
          <w:rFonts w:cs="Arial"/>
          <w:lang w:val="en-CA"/>
        </w:rPr>
        <w:t>/1</w:t>
      </w:r>
      <w:r w:rsidR="00F14563">
        <w:rPr>
          <w:rFonts w:cs="Arial"/>
          <w:lang w:val="en-CA"/>
        </w:rPr>
        <w:t>0</w:t>
      </w:r>
      <w:r w:rsidR="00386DA7" w:rsidRPr="009D07E3">
        <w:rPr>
          <w:rFonts w:cs="Arial"/>
          <w:lang w:val="en-CA"/>
        </w:rPr>
        <w:t>0,000</w:t>
      </w:r>
      <w:r w:rsidRPr="009D07E3">
        <w:rPr>
          <w:rFonts w:cs="Arial"/>
          <w:lang w:val="en-CA"/>
        </w:rPr>
        <w:t xml:space="preserve"> in 2012. The main cause</w:t>
      </w:r>
      <w:r w:rsidR="00386DA7" w:rsidRPr="009D07E3">
        <w:rPr>
          <w:rFonts w:cs="Arial"/>
          <w:lang w:val="en-CA"/>
        </w:rPr>
        <w:t>s</w:t>
      </w:r>
      <w:r w:rsidRPr="009D07E3">
        <w:rPr>
          <w:rFonts w:cs="Arial"/>
          <w:lang w:val="en-CA"/>
        </w:rPr>
        <w:t xml:space="preserve"> of maternal deaths are eclampsia and haemorrhage</w:t>
      </w:r>
      <w:r w:rsidR="00EA48BF" w:rsidRPr="009D07E3">
        <w:rPr>
          <w:rFonts w:cs="Arial"/>
          <w:lang w:val="en-CA"/>
        </w:rPr>
        <w:t>.</w:t>
      </w:r>
      <w:r w:rsidR="00502204" w:rsidRPr="009D07E3">
        <w:rPr>
          <w:rFonts w:cs="Arial"/>
          <w:lang w:val="en-CA"/>
        </w:rPr>
        <w:t xml:space="preserve"> Indonesia will not meet the target for the MDG on maternal mortality.  </w:t>
      </w:r>
    </w:p>
    <w:p w14:paraId="4C4AD317" w14:textId="77777777" w:rsidR="008672C5" w:rsidRPr="009D07E3" w:rsidRDefault="008672C5" w:rsidP="000A333F">
      <w:pPr>
        <w:rPr>
          <w:rFonts w:cs="Arial"/>
          <w:lang w:val="en-CA"/>
        </w:rPr>
      </w:pPr>
    </w:p>
    <w:p w14:paraId="712D2648" w14:textId="77777777" w:rsidR="00F70699" w:rsidRPr="009D07E3" w:rsidRDefault="00F70699" w:rsidP="00F70699">
      <w:pPr>
        <w:shd w:val="clear" w:color="auto" w:fill="FFFFFF"/>
        <w:rPr>
          <w:rFonts w:cs="Arial"/>
          <w:lang w:val="en-CA"/>
        </w:rPr>
      </w:pPr>
      <w:r w:rsidRPr="009D07E3">
        <w:rPr>
          <w:rFonts w:cs="Arial"/>
          <w:lang w:val="en-CA"/>
        </w:rPr>
        <w:t>According to the 2012 Indonesia Demographic Health Survey, the prevalence rate of contraceptive use among women is 61.90%; however, a survey conducted by SMERU among poor women in 15 villages in Indonesia show that only around 48% of poor women are using contraceptives in 2014</w:t>
      </w:r>
      <w:r w:rsidRPr="009D07E3">
        <w:rPr>
          <w:rStyle w:val="FootnoteReference"/>
          <w:rFonts w:cs="Arial"/>
          <w:lang w:val="en-CA"/>
        </w:rPr>
        <w:footnoteReference w:id="16"/>
      </w:r>
      <w:r w:rsidRPr="009D07E3">
        <w:rPr>
          <w:rFonts w:cs="Arial"/>
          <w:lang w:val="en-CA"/>
        </w:rPr>
        <w:t>. This finding is echoed in PERMAMPU’s qualitative research on the different cases of unwanted pregnancies in 8 provinces in Sumatra. The research highlights the fact that, contrary to public belief, many cases of unwanted pregnancies are experienced by married women who are not using contraceptives either due to low awareness or disapproving husbands</w:t>
      </w:r>
      <w:r w:rsidRPr="009D07E3">
        <w:rPr>
          <w:rStyle w:val="FootnoteReference"/>
          <w:rFonts w:cs="Arial"/>
          <w:lang w:val="en-CA"/>
        </w:rPr>
        <w:footnoteReference w:id="17"/>
      </w:r>
      <w:r w:rsidRPr="009D07E3">
        <w:rPr>
          <w:rFonts w:cs="Arial"/>
          <w:lang w:val="en-CA"/>
        </w:rPr>
        <w:t xml:space="preserve">. </w:t>
      </w:r>
    </w:p>
    <w:p w14:paraId="65F35161" w14:textId="77777777" w:rsidR="008672C5" w:rsidRPr="009D07E3" w:rsidRDefault="008672C5" w:rsidP="000A333F">
      <w:pPr>
        <w:rPr>
          <w:rFonts w:cs="Arial"/>
          <w:lang w:val="en-CA"/>
        </w:rPr>
      </w:pPr>
    </w:p>
    <w:p w14:paraId="6791C653" w14:textId="3F6D0DCB" w:rsidR="00153A50" w:rsidRPr="009D07E3" w:rsidRDefault="00685D4E" w:rsidP="000A333F">
      <w:pPr>
        <w:rPr>
          <w:rFonts w:cs="Arial"/>
          <w:lang w:val="en-CA"/>
        </w:rPr>
      </w:pPr>
      <w:r w:rsidRPr="009D07E3">
        <w:rPr>
          <w:rFonts w:cs="Arial"/>
          <w:lang w:val="en-CA"/>
        </w:rPr>
        <w:t>The a</w:t>
      </w:r>
      <w:r w:rsidR="00502204" w:rsidRPr="009D07E3">
        <w:rPr>
          <w:rFonts w:cs="Arial"/>
          <w:lang w:val="en-CA"/>
        </w:rPr>
        <w:t xml:space="preserve">dolescent fertility rate </w:t>
      </w:r>
      <w:r w:rsidRPr="009D07E3">
        <w:rPr>
          <w:rFonts w:cs="Arial"/>
          <w:lang w:val="en-CA"/>
        </w:rPr>
        <w:t>of</w:t>
      </w:r>
      <w:r w:rsidR="00502204" w:rsidRPr="009D07E3">
        <w:rPr>
          <w:rFonts w:cs="Arial"/>
          <w:lang w:val="en-CA"/>
        </w:rPr>
        <w:t xml:space="preserve"> 47.8 per </w:t>
      </w:r>
      <w:r w:rsidR="00E40DA0">
        <w:rPr>
          <w:rFonts w:cs="Arial"/>
          <w:lang w:val="en-CA"/>
        </w:rPr>
        <w:t>1,000 women aged 15 – 19 is</w:t>
      </w:r>
      <w:r w:rsidR="00502204" w:rsidRPr="009D07E3">
        <w:rPr>
          <w:rFonts w:cs="Arial"/>
          <w:lang w:val="en-CA"/>
        </w:rPr>
        <w:t xml:space="preserve"> the third highest in the region.   While the introduction of the national health insurance scheme has </w:t>
      </w:r>
      <w:r w:rsidRPr="009D07E3">
        <w:rPr>
          <w:rFonts w:cs="Arial"/>
          <w:lang w:val="en-CA"/>
        </w:rPr>
        <w:t xml:space="preserve">the </w:t>
      </w:r>
      <w:r w:rsidR="00502204" w:rsidRPr="009D07E3">
        <w:rPr>
          <w:rFonts w:cs="Arial"/>
          <w:lang w:val="en-CA"/>
        </w:rPr>
        <w:t>potential to help ensure that women have access to reproductive health services</w:t>
      </w:r>
      <w:r w:rsidRPr="009D07E3">
        <w:rPr>
          <w:rFonts w:cs="Arial"/>
          <w:lang w:val="en-CA"/>
        </w:rPr>
        <w:t>,</w:t>
      </w:r>
      <w:r w:rsidR="00502204" w:rsidRPr="009D07E3">
        <w:rPr>
          <w:rFonts w:cs="Arial"/>
          <w:lang w:val="en-CA"/>
        </w:rPr>
        <w:t xml:space="preserve"> its success will depend on the amount of information women receive </w:t>
      </w:r>
      <w:r w:rsidRPr="009D07E3">
        <w:rPr>
          <w:rFonts w:cs="Arial"/>
          <w:lang w:val="en-CA"/>
        </w:rPr>
        <w:t>concerning coverage under the scheme</w:t>
      </w:r>
      <w:r w:rsidR="00502204" w:rsidRPr="009D07E3">
        <w:rPr>
          <w:rFonts w:cs="Arial"/>
          <w:lang w:val="en-CA"/>
        </w:rPr>
        <w:t xml:space="preserve">, and the consistency with which it is implemented. </w:t>
      </w:r>
    </w:p>
    <w:p w14:paraId="3464E42A" w14:textId="77777777" w:rsidR="00436711" w:rsidRPr="009D07E3" w:rsidRDefault="00436711" w:rsidP="000A333F">
      <w:pPr>
        <w:rPr>
          <w:rFonts w:cs="Arial"/>
          <w:lang w:val="en-CA"/>
        </w:rPr>
      </w:pPr>
    </w:p>
    <w:p w14:paraId="7768A2BB" w14:textId="126FFAAF" w:rsidR="00C14AAE" w:rsidRPr="009D07E3" w:rsidRDefault="00F33F1C" w:rsidP="000A333F">
      <w:pPr>
        <w:rPr>
          <w:rFonts w:cs="Arial"/>
          <w:lang w:val="en-CA"/>
        </w:rPr>
      </w:pPr>
      <w:r w:rsidRPr="009D07E3">
        <w:rPr>
          <w:rFonts w:cs="Arial"/>
          <w:lang w:val="en-CA"/>
        </w:rPr>
        <w:t xml:space="preserve">The recent rejection by the Supreme Court </w:t>
      </w:r>
      <w:r w:rsidR="00DA1280" w:rsidRPr="009D07E3">
        <w:rPr>
          <w:rFonts w:cs="Arial"/>
          <w:lang w:val="en-CA"/>
        </w:rPr>
        <w:t xml:space="preserve">of the request </w:t>
      </w:r>
      <w:r w:rsidR="00711676" w:rsidRPr="009D07E3">
        <w:rPr>
          <w:rFonts w:cs="Arial"/>
          <w:lang w:val="en-CA"/>
        </w:rPr>
        <w:t xml:space="preserve">to change the </w:t>
      </w:r>
      <w:r w:rsidRPr="009D07E3">
        <w:rPr>
          <w:rFonts w:cs="Arial"/>
          <w:lang w:val="en-CA"/>
        </w:rPr>
        <w:t xml:space="preserve">Marriage </w:t>
      </w:r>
      <w:r w:rsidR="00E40DA0" w:rsidRPr="009D07E3">
        <w:rPr>
          <w:rFonts w:cs="Arial"/>
          <w:lang w:val="en-CA"/>
        </w:rPr>
        <w:t>Law</w:t>
      </w:r>
      <w:r w:rsidR="00E40DA0">
        <w:rPr>
          <w:rFonts w:cs="Arial"/>
          <w:lang w:val="en-CA"/>
        </w:rPr>
        <w:t xml:space="preserve"> </w:t>
      </w:r>
      <w:r w:rsidR="00E40DA0" w:rsidRPr="009D07E3">
        <w:rPr>
          <w:rFonts w:cs="Arial"/>
          <w:lang w:val="en-CA"/>
        </w:rPr>
        <w:t>that</w:t>
      </w:r>
      <w:r w:rsidRPr="009D07E3">
        <w:rPr>
          <w:rFonts w:cs="Arial"/>
          <w:lang w:val="en-CA"/>
        </w:rPr>
        <w:t>, among other things</w:t>
      </w:r>
      <w:r w:rsidR="00B1185B">
        <w:rPr>
          <w:rFonts w:cs="Arial"/>
          <w:lang w:val="en-CA"/>
        </w:rPr>
        <w:t>,</w:t>
      </w:r>
      <w:r w:rsidRPr="009D07E3">
        <w:rPr>
          <w:rFonts w:cs="Arial"/>
          <w:lang w:val="en-CA"/>
        </w:rPr>
        <w:t xml:space="preserve"> would </w:t>
      </w:r>
      <w:proofErr w:type="gramStart"/>
      <w:r w:rsidRPr="009D07E3">
        <w:rPr>
          <w:rFonts w:cs="Arial"/>
          <w:lang w:val="en-CA"/>
        </w:rPr>
        <w:t>raise</w:t>
      </w:r>
      <w:proofErr w:type="gramEnd"/>
      <w:r w:rsidRPr="009D07E3">
        <w:rPr>
          <w:rFonts w:cs="Arial"/>
          <w:lang w:val="en-CA"/>
        </w:rPr>
        <w:t xml:space="preserve"> the age of marriage from 16 to 18</w:t>
      </w:r>
      <w:r w:rsidR="00711676" w:rsidRPr="009D07E3">
        <w:rPr>
          <w:rFonts w:cs="Arial"/>
          <w:lang w:val="en-CA"/>
        </w:rPr>
        <w:t>,</w:t>
      </w:r>
      <w:r w:rsidRPr="009D07E3">
        <w:rPr>
          <w:rFonts w:cs="Arial"/>
          <w:lang w:val="en-CA"/>
        </w:rPr>
        <w:t xml:space="preserve"> exemplifies some of the challenges faced by those advocating for the rights of women and girls.  </w:t>
      </w:r>
      <w:r w:rsidR="00436711" w:rsidRPr="009D07E3">
        <w:rPr>
          <w:rFonts w:cs="Arial"/>
          <w:lang w:val="en-CA"/>
        </w:rPr>
        <w:t xml:space="preserve">Amongst other things, women’s rights </w:t>
      </w:r>
      <w:r w:rsidR="00DA1280" w:rsidRPr="009D07E3">
        <w:rPr>
          <w:rFonts w:cs="Arial"/>
          <w:lang w:val="en-CA"/>
        </w:rPr>
        <w:t>activists</w:t>
      </w:r>
      <w:r w:rsidR="00436711" w:rsidRPr="009D07E3">
        <w:rPr>
          <w:rFonts w:cs="Arial"/>
          <w:lang w:val="en-CA"/>
        </w:rPr>
        <w:t xml:space="preserve"> had argued that early marriage constituted state sanctioning of teenage pregnancy </w:t>
      </w:r>
      <w:r w:rsidR="00DA1280" w:rsidRPr="009D07E3">
        <w:rPr>
          <w:rFonts w:cs="Arial"/>
          <w:lang w:val="en-CA"/>
        </w:rPr>
        <w:t>due to</w:t>
      </w:r>
      <w:r w:rsidR="00436711" w:rsidRPr="009D07E3">
        <w:rPr>
          <w:rFonts w:cs="Arial"/>
          <w:lang w:val="en-CA"/>
        </w:rPr>
        <w:t xml:space="preserve"> the</w:t>
      </w:r>
      <w:r w:rsidR="00DA1280" w:rsidRPr="009D07E3">
        <w:rPr>
          <w:rFonts w:cs="Arial"/>
          <w:lang w:val="en-CA"/>
        </w:rPr>
        <w:t xml:space="preserve"> associated</w:t>
      </w:r>
      <w:r w:rsidR="00436711" w:rsidRPr="009D07E3">
        <w:rPr>
          <w:rFonts w:cs="Arial"/>
          <w:lang w:val="en-CA"/>
        </w:rPr>
        <w:t xml:space="preserve"> health risks that this entails.  </w:t>
      </w:r>
      <w:r w:rsidRPr="009D07E3">
        <w:rPr>
          <w:rFonts w:cs="Arial"/>
          <w:lang w:val="en-CA"/>
        </w:rPr>
        <w:t xml:space="preserve">Among the opponents to the change was one of the largest Islamic organizations, </w:t>
      </w:r>
      <w:proofErr w:type="spellStart"/>
      <w:r w:rsidRPr="009D07E3">
        <w:rPr>
          <w:rFonts w:cs="Arial"/>
          <w:lang w:val="en-CA"/>
        </w:rPr>
        <w:t>Muhammadiyah</w:t>
      </w:r>
      <w:proofErr w:type="spellEnd"/>
      <w:r w:rsidRPr="009D07E3">
        <w:rPr>
          <w:rFonts w:cs="Arial"/>
          <w:lang w:val="en-CA"/>
        </w:rPr>
        <w:t xml:space="preserve">. </w:t>
      </w:r>
    </w:p>
    <w:p w14:paraId="5F29B734" w14:textId="77777777" w:rsidR="00C14AAE" w:rsidRPr="009D07E3" w:rsidRDefault="00C14AAE" w:rsidP="000A333F">
      <w:pPr>
        <w:pStyle w:val="ListParagraph"/>
        <w:ind w:left="360"/>
        <w:rPr>
          <w:rFonts w:cs="Arial"/>
          <w:bCs/>
          <w:iCs/>
          <w:color w:val="000000"/>
          <w:lang w:val="en-CA"/>
        </w:rPr>
      </w:pPr>
    </w:p>
    <w:p w14:paraId="7AF5AAEF" w14:textId="77777777" w:rsidR="00D14543" w:rsidRPr="009D07E3" w:rsidRDefault="00C14AAE" w:rsidP="000A333F">
      <w:pPr>
        <w:rPr>
          <w:rFonts w:cs="Arial"/>
          <w:color w:val="000000"/>
          <w:lang w:val="en-CA"/>
        </w:rPr>
      </w:pPr>
      <w:r w:rsidRPr="009D07E3">
        <w:rPr>
          <w:rFonts w:cs="Arial"/>
          <w:bCs/>
          <w:iCs/>
          <w:color w:val="000000"/>
          <w:lang w:val="en-CA"/>
        </w:rPr>
        <w:t xml:space="preserve">As noted in the </w:t>
      </w:r>
      <w:proofErr w:type="spellStart"/>
      <w:r w:rsidRPr="009D07E3">
        <w:rPr>
          <w:rFonts w:cs="Arial"/>
          <w:bCs/>
          <w:iCs/>
          <w:color w:val="000000"/>
          <w:lang w:val="en-CA"/>
        </w:rPr>
        <w:t>GoI</w:t>
      </w:r>
      <w:proofErr w:type="spellEnd"/>
      <w:r w:rsidRPr="009D07E3">
        <w:rPr>
          <w:rFonts w:cs="Arial"/>
          <w:bCs/>
          <w:iCs/>
          <w:color w:val="000000"/>
          <w:lang w:val="en-CA"/>
        </w:rPr>
        <w:t xml:space="preserve"> 2014 Health Sector Review, the incidence and prevalence of abortion in Indonesia is unclear given the lack of reliable data, and estimates are based on assumptions with a wide range of uncertainty. Most reports and documents refer back to a now dated survey conducted by Budi Utomo </w:t>
      </w:r>
      <w:proofErr w:type="gramStart"/>
      <w:r w:rsidRPr="009D07E3">
        <w:rPr>
          <w:rFonts w:cs="Arial"/>
          <w:bCs/>
          <w:iCs/>
          <w:color w:val="000000"/>
          <w:lang w:val="en-CA"/>
        </w:rPr>
        <w:t>et</w:t>
      </w:r>
      <w:proofErr w:type="gramEnd"/>
      <w:r w:rsidR="00DA1280" w:rsidRPr="009D07E3">
        <w:rPr>
          <w:rFonts w:cs="Arial"/>
          <w:bCs/>
          <w:iCs/>
          <w:color w:val="000000"/>
          <w:lang w:val="en-CA"/>
        </w:rPr>
        <w:t>.</w:t>
      </w:r>
      <w:r w:rsidRPr="009D07E3">
        <w:rPr>
          <w:rFonts w:cs="Arial"/>
          <w:bCs/>
          <w:iCs/>
          <w:color w:val="000000"/>
          <w:lang w:val="en-CA"/>
        </w:rPr>
        <w:t xml:space="preserve"> </w:t>
      </w:r>
      <w:proofErr w:type="gramStart"/>
      <w:r w:rsidRPr="009D07E3">
        <w:rPr>
          <w:rFonts w:cs="Arial"/>
          <w:bCs/>
          <w:iCs/>
          <w:color w:val="000000"/>
          <w:lang w:val="en-CA"/>
        </w:rPr>
        <w:t>al</w:t>
      </w:r>
      <w:proofErr w:type="gramEnd"/>
      <w:r w:rsidRPr="009D07E3">
        <w:rPr>
          <w:rFonts w:cs="Arial"/>
          <w:bCs/>
          <w:iCs/>
          <w:color w:val="000000"/>
          <w:lang w:val="en-CA"/>
        </w:rPr>
        <w:t xml:space="preserve"> (2001) </w:t>
      </w:r>
      <w:r w:rsidR="00DA1280" w:rsidRPr="009D07E3">
        <w:rPr>
          <w:rFonts w:cs="Arial"/>
          <w:bCs/>
          <w:iCs/>
          <w:color w:val="000000"/>
          <w:lang w:val="en-CA"/>
        </w:rPr>
        <w:t>en</w:t>
      </w:r>
      <w:r w:rsidRPr="009D07E3">
        <w:rPr>
          <w:rFonts w:cs="Arial"/>
          <w:bCs/>
          <w:iCs/>
          <w:color w:val="000000"/>
          <w:lang w:val="en-CA"/>
        </w:rPr>
        <w:t xml:space="preserve">titled, </w:t>
      </w:r>
      <w:r w:rsidRPr="009D07E3">
        <w:rPr>
          <w:rFonts w:cs="Arial"/>
          <w:lang w:val="en-CA"/>
        </w:rPr>
        <w:t>“</w:t>
      </w:r>
      <w:r w:rsidRPr="009D07E3">
        <w:rPr>
          <w:rFonts w:cs="Arial"/>
          <w:iCs/>
          <w:lang w:val="en-CA"/>
        </w:rPr>
        <w:t>Incidence and Social-Psychological Aspects of Abortion in Indonesia: A Community-Based Survey in 10 Major Cities and 6 Districts, Year 2000”</w:t>
      </w:r>
      <w:r w:rsidRPr="009D07E3">
        <w:rPr>
          <w:rFonts w:cs="Arial"/>
          <w:lang w:val="en-CA"/>
        </w:rPr>
        <w:t>.</w:t>
      </w:r>
      <w:r w:rsidRPr="009D07E3">
        <w:rPr>
          <w:rFonts w:cs="Arial"/>
          <w:bCs/>
          <w:iCs/>
          <w:color w:val="000000"/>
          <w:lang w:val="en-CA"/>
        </w:rPr>
        <w:t xml:space="preserve"> This study e</w:t>
      </w:r>
      <w:r w:rsidRPr="009D07E3">
        <w:rPr>
          <w:rFonts w:cs="Arial"/>
          <w:color w:val="000000"/>
          <w:lang w:val="en-CA"/>
        </w:rPr>
        <w:t>stimated that 2 million abortions occurred</w:t>
      </w:r>
      <w:r w:rsidR="00DA1280" w:rsidRPr="009D07E3">
        <w:rPr>
          <w:rFonts w:cs="Arial"/>
          <w:color w:val="000000"/>
          <w:lang w:val="en-CA"/>
        </w:rPr>
        <w:t xml:space="preserve"> each year</w:t>
      </w:r>
      <w:r w:rsidRPr="009D07E3">
        <w:rPr>
          <w:rFonts w:cs="Arial"/>
          <w:color w:val="000000"/>
          <w:lang w:val="en-CA"/>
        </w:rPr>
        <w:t xml:space="preserve"> in Indonesia. Women who had an abortion were aged 20 or older (92%) and </w:t>
      </w:r>
      <w:r w:rsidR="00DA1280" w:rsidRPr="009D07E3">
        <w:rPr>
          <w:rFonts w:cs="Arial"/>
          <w:color w:val="000000"/>
          <w:lang w:val="en-CA"/>
        </w:rPr>
        <w:t xml:space="preserve">the incidence of </w:t>
      </w:r>
      <w:r w:rsidRPr="009D07E3">
        <w:rPr>
          <w:rFonts w:cs="Arial"/>
          <w:color w:val="000000"/>
          <w:lang w:val="en-CA"/>
        </w:rPr>
        <w:t xml:space="preserve">abortion was higher at the district level (60%) than in the city (30%). Of the respondents, one-third </w:t>
      </w:r>
      <w:r w:rsidR="00DA1280" w:rsidRPr="009D07E3">
        <w:rPr>
          <w:rFonts w:cs="Arial"/>
          <w:color w:val="000000"/>
          <w:lang w:val="en-CA"/>
        </w:rPr>
        <w:t xml:space="preserve">of women living </w:t>
      </w:r>
      <w:r w:rsidRPr="009D07E3">
        <w:rPr>
          <w:rFonts w:cs="Arial"/>
          <w:color w:val="000000"/>
          <w:lang w:val="en-CA"/>
        </w:rPr>
        <w:t>in cities and half in the districts who had had an abortion did so during their first pregnancy; of these, the majority were still single. Of patients admitted to hospitals in Yogyakarta City due to abortion related problems, 4.6% were single or only in a religious marriage relationship with her husband (</w:t>
      </w:r>
      <w:proofErr w:type="spellStart"/>
      <w:r w:rsidRPr="009D07E3">
        <w:rPr>
          <w:rFonts w:cs="Arial"/>
          <w:i/>
          <w:iCs/>
          <w:color w:val="000000"/>
          <w:lang w:val="en-CA"/>
        </w:rPr>
        <w:t>nikah</w:t>
      </w:r>
      <w:proofErr w:type="spellEnd"/>
      <w:r w:rsidRPr="009D07E3">
        <w:rPr>
          <w:rFonts w:cs="Arial"/>
          <w:i/>
          <w:iCs/>
          <w:color w:val="000000"/>
          <w:lang w:val="en-CA"/>
        </w:rPr>
        <w:t xml:space="preserve"> </w:t>
      </w:r>
      <w:proofErr w:type="spellStart"/>
      <w:r w:rsidRPr="009D07E3">
        <w:rPr>
          <w:rFonts w:cs="Arial"/>
          <w:i/>
          <w:iCs/>
          <w:color w:val="000000"/>
          <w:lang w:val="en-CA"/>
        </w:rPr>
        <w:t>siri</w:t>
      </w:r>
      <w:proofErr w:type="spellEnd"/>
      <w:r w:rsidRPr="009D07E3">
        <w:rPr>
          <w:rFonts w:cs="Arial"/>
          <w:color w:val="000000"/>
          <w:lang w:val="en-CA"/>
        </w:rPr>
        <w:t>).</w:t>
      </w:r>
    </w:p>
    <w:p w14:paraId="78E293AD" w14:textId="77777777" w:rsidR="00D14543" w:rsidRPr="009D07E3" w:rsidRDefault="00D14543" w:rsidP="00D14543">
      <w:pPr>
        <w:shd w:val="clear" w:color="auto" w:fill="FFFFFF"/>
        <w:rPr>
          <w:rFonts w:cs="Arial"/>
          <w:lang w:val="en-CA"/>
        </w:rPr>
      </w:pPr>
    </w:p>
    <w:p w14:paraId="1CBABD7A" w14:textId="3E5D4F13" w:rsidR="00D14543" w:rsidRPr="009D07E3" w:rsidRDefault="00D14543" w:rsidP="00D14543">
      <w:pPr>
        <w:shd w:val="clear" w:color="auto" w:fill="FFFFFF"/>
        <w:rPr>
          <w:rFonts w:cs="Arial"/>
          <w:lang w:val="en-CA"/>
        </w:rPr>
      </w:pPr>
      <w:r w:rsidRPr="009D07E3">
        <w:rPr>
          <w:rFonts w:cs="Arial"/>
          <w:lang w:val="en-CA"/>
        </w:rPr>
        <w:t>Increasing women’s access to reproductive health services is hence a priority for the three MAMPU partners working on this t</w:t>
      </w:r>
      <w:r w:rsidR="00B1185B">
        <w:rPr>
          <w:rFonts w:cs="Arial"/>
          <w:lang w:val="en-CA"/>
        </w:rPr>
        <w:t>hematic area. After concluding its</w:t>
      </w:r>
      <w:r w:rsidRPr="009D07E3">
        <w:rPr>
          <w:rFonts w:cs="Arial"/>
          <w:lang w:val="en-CA"/>
        </w:rPr>
        <w:t xml:space="preserve"> research, PERMAMPU conducts multi-stakeholder forums involving religious and traditional leaders to advocate for local-level budget allocation for reproductive health services for women. </w:t>
      </w:r>
      <w:proofErr w:type="spellStart"/>
      <w:r w:rsidRPr="009D07E3">
        <w:rPr>
          <w:rFonts w:cs="Arial"/>
          <w:lang w:val="en-CA"/>
        </w:rPr>
        <w:t>Aisyiyah</w:t>
      </w:r>
      <w:proofErr w:type="spellEnd"/>
      <w:r w:rsidRPr="009D07E3">
        <w:rPr>
          <w:rFonts w:cs="Arial"/>
          <w:lang w:val="en-CA"/>
        </w:rPr>
        <w:t xml:space="preserve"> develops behaviour change communication campaigns on family planning, </w:t>
      </w:r>
      <w:proofErr w:type="gramStart"/>
      <w:r w:rsidRPr="009D07E3">
        <w:rPr>
          <w:rFonts w:cs="Arial"/>
          <w:lang w:val="en-CA"/>
        </w:rPr>
        <w:t>pap</w:t>
      </w:r>
      <w:proofErr w:type="gramEnd"/>
      <w:r w:rsidRPr="009D07E3">
        <w:rPr>
          <w:rFonts w:cs="Arial"/>
          <w:lang w:val="en-CA"/>
        </w:rPr>
        <w:t xml:space="preserve"> smear, breastfeeding, and cervical testing, as well as work with local health service centers to provide services related to the four aforementioned areas to poor women. At the national level, </w:t>
      </w:r>
      <w:proofErr w:type="spellStart"/>
      <w:r w:rsidRPr="009D07E3">
        <w:rPr>
          <w:rFonts w:cs="Arial"/>
          <w:lang w:val="en-CA"/>
        </w:rPr>
        <w:t>Yayasan</w:t>
      </w:r>
      <w:proofErr w:type="spellEnd"/>
      <w:r w:rsidRPr="009D07E3">
        <w:rPr>
          <w:rFonts w:cs="Arial"/>
          <w:lang w:val="en-CA"/>
        </w:rPr>
        <w:t xml:space="preserve"> </w:t>
      </w:r>
      <w:proofErr w:type="spellStart"/>
      <w:r w:rsidRPr="009D07E3">
        <w:rPr>
          <w:rFonts w:cs="Arial"/>
          <w:lang w:val="en-CA"/>
        </w:rPr>
        <w:t>Kese</w:t>
      </w:r>
      <w:r w:rsidR="00B1185B">
        <w:rPr>
          <w:rFonts w:cs="Arial"/>
          <w:lang w:val="en-CA"/>
        </w:rPr>
        <w:t>hatan</w:t>
      </w:r>
      <w:proofErr w:type="spellEnd"/>
      <w:r w:rsidR="00B1185B">
        <w:rPr>
          <w:rFonts w:cs="Arial"/>
          <w:lang w:val="en-CA"/>
        </w:rPr>
        <w:t xml:space="preserve"> </w:t>
      </w:r>
      <w:proofErr w:type="spellStart"/>
      <w:r w:rsidR="00B1185B">
        <w:rPr>
          <w:rFonts w:cs="Arial"/>
          <w:lang w:val="en-CA"/>
        </w:rPr>
        <w:t>Perempuan</w:t>
      </w:r>
      <w:proofErr w:type="spellEnd"/>
      <w:r w:rsidR="00B1185B">
        <w:rPr>
          <w:rFonts w:cs="Arial"/>
          <w:lang w:val="en-CA"/>
        </w:rPr>
        <w:t xml:space="preserve"> is conducting </w:t>
      </w:r>
      <w:r w:rsidRPr="009D07E3">
        <w:rPr>
          <w:rFonts w:cs="Arial"/>
          <w:lang w:val="en-CA"/>
        </w:rPr>
        <w:t xml:space="preserve">research to identify barriers for women to access reproductive health services through the recently launched National Health Insurance System (JKN). </w:t>
      </w:r>
    </w:p>
    <w:p w14:paraId="7E22BABB" w14:textId="161D46A3" w:rsidR="000F4F97" w:rsidRPr="009D07E3" w:rsidRDefault="000F4F97" w:rsidP="000A333F">
      <w:pPr>
        <w:rPr>
          <w:rFonts w:cs="Arial"/>
          <w:lang w:val="en-CA"/>
        </w:rPr>
      </w:pPr>
    </w:p>
    <w:p w14:paraId="4C473747" w14:textId="77777777" w:rsidR="006E3E51" w:rsidRPr="009D07E3" w:rsidRDefault="006E3E51" w:rsidP="006E3E51">
      <w:pPr>
        <w:pStyle w:val="Heading1"/>
        <w:rPr>
          <w:lang w:val="en-CA"/>
        </w:rPr>
        <w:sectPr w:rsidR="006E3E51" w:rsidRPr="009D07E3" w:rsidSect="00614064">
          <w:type w:val="nextColumn"/>
          <w:pgSz w:w="11909" w:h="16834" w:code="9"/>
          <w:pgMar w:top="1440" w:right="1440" w:bottom="1440" w:left="1440" w:header="720" w:footer="720" w:gutter="0"/>
          <w:pgNumType w:start="1" w:chapStyle="1"/>
          <w:cols w:space="708"/>
          <w:docGrid w:linePitch="360"/>
        </w:sectPr>
      </w:pPr>
    </w:p>
    <w:p w14:paraId="15628196" w14:textId="6716D787" w:rsidR="000F4F97" w:rsidRPr="009D07E3" w:rsidRDefault="000F4F97" w:rsidP="006E3E51">
      <w:pPr>
        <w:pStyle w:val="Heading1"/>
        <w:rPr>
          <w:lang w:val="en-CA"/>
        </w:rPr>
      </w:pPr>
      <w:bookmarkStart w:id="11" w:name="_Toc423438699"/>
      <w:r w:rsidRPr="009D07E3">
        <w:rPr>
          <w:lang w:val="en-CA"/>
        </w:rPr>
        <w:t>Rationale</w:t>
      </w:r>
      <w:bookmarkEnd w:id="11"/>
    </w:p>
    <w:p w14:paraId="78FAD005" w14:textId="05E55542" w:rsidR="00A71E22" w:rsidRPr="009D07E3" w:rsidRDefault="002D21B8" w:rsidP="008F281B">
      <w:pPr>
        <w:pStyle w:val="Heading2"/>
        <w:rPr>
          <w:lang w:val="en-CA"/>
        </w:rPr>
      </w:pPr>
      <w:bookmarkStart w:id="12" w:name="_Toc423438700"/>
      <w:r w:rsidRPr="009D07E3">
        <w:rPr>
          <w:lang w:val="en-CA"/>
        </w:rPr>
        <w:t xml:space="preserve">New </w:t>
      </w:r>
      <w:r w:rsidR="00AB5F71">
        <w:rPr>
          <w:lang w:val="en-CA"/>
        </w:rPr>
        <w:t>E</w:t>
      </w:r>
      <w:r w:rsidRPr="009D07E3">
        <w:rPr>
          <w:lang w:val="en-CA"/>
        </w:rPr>
        <w:t xml:space="preserve">vidence in </w:t>
      </w:r>
      <w:r w:rsidR="00AB5F71">
        <w:rPr>
          <w:lang w:val="en-CA"/>
        </w:rPr>
        <w:t>S</w:t>
      </w:r>
      <w:r w:rsidRPr="009D07E3">
        <w:rPr>
          <w:lang w:val="en-CA"/>
        </w:rPr>
        <w:t xml:space="preserve">upport of </w:t>
      </w:r>
      <w:r w:rsidR="00AB5F71">
        <w:rPr>
          <w:lang w:val="en-CA"/>
        </w:rPr>
        <w:t>E</w:t>
      </w:r>
      <w:r w:rsidR="00A71E22" w:rsidRPr="009D07E3">
        <w:rPr>
          <w:lang w:val="en-CA"/>
        </w:rPr>
        <w:t xml:space="preserve">mpowering </w:t>
      </w:r>
      <w:r w:rsidR="00AB5F71">
        <w:rPr>
          <w:lang w:val="en-CA"/>
        </w:rPr>
        <w:t>W</w:t>
      </w:r>
      <w:r w:rsidR="00A71E22" w:rsidRPr="009D07E3">
        <w:rPr>
          <w:lang w:val="en-CA"/>
        </w:rPr>
        <w:t xml:space="preserve">omen for </w:t>
      </w:r>
      <w:r w:rsidR="00AB5F71">
        <w:rPr>
          <w:lang w:val="en-CA"/>
        </w:rPr>
        <w:t>P</w:t>
      </w:r>
      <w:r w:rsidR="00A71E22" w:rsidRPr="009D07E3">
        <w:rPr>
          <w:lang w:val="en-CA"/>
        </w:rPr>
        <w:t xml:space="preserve">overty </w:t>
      </w:r>
      <w:r w:rsidR="00AB5F71">
        <w:rPr>
          <w:lang w:val="en-CA"/>
        </w:rPr>
        <w:t>R</w:t>
      </w:r>
      <w:r w:rsidR="00A71E22" w:rsidRPr="009D07E3">
        <w:rPr>
          <w:lang w:val="en-CA"/>
        </w:rPr>
        <w:t>eduction</w:t>
      </w:r>
      <w:bookmarkEnd w:id="12"/>
    </w:p>
    <w:p w14:paraId="6E055F44" w14:textId="77777777" w:rsidR="006E3E51" w:rsidRPr="009D07E3" w:rsidRDefault="006E3E51" w:rsidP="006E3E51">
      <w:pPr>
        <w:rPr>
          <w:lang w:val="en-CA"/>
        </w:rPr>
      </w:pPr>
    </w:p>
    <w:p w14:paraId="0FB1F170" w14:textId="1A0F14D3" w:rsidR="00174F51" w:rsidRPr="009D07E3" w:rsidRDefault="00D721E4" w:rsidP="000A333F">
      <w:pPr>
        <w:rPr>
          <w:rFonts w:cs="Arial"/>
          <w:lang w:val="en-CA"/>
        </w:rPr>
      </w:pPr>
      <w:r w:rsidRPr="009D07E3">
        <w:rPr>
          <w:rFonts w:cs="Arial"/>
          <w:lang w:val="en-CA"/>
        </w:rPr>
        <w:t xml:space="preserve">The underlying rationale for the </w:t>
      </w:r>
      <w:r w:rsidR="00353235">
        <w:rPr>
          <w:rFonts w:cs="Arial"/>
          <w:lang w:val="en-CA"/>
        </w:rPr>
        <w:t xml:space="preserve">MAMPU </w:t>
      </w:r>
      <w:r w:rsidRPr="009D07E3">
        <w:rPr>
          <w:rFonts w:cs="Arial"/>
          <w:lang w:val="en-CA"/>
        </w:rPr>
        <w:t>program is that empowering women and reducing gender inequalities leads to positive outcomes for women themselves, for their families, their communities, and the country as a whole.  Evidence on which the design rationale was based was drawn, among other sources</w:t>
      </w:r>
      <w:r w:rsidR="00CB26C4">
        <w:rPr>
          <w:rFonts w:cs="Arial"/>
          <w:lang w:val="en-CA"/>
        </w:rPr>
        <w:t>,</w:t>
      </w:r>
      <w:r w:rsidRPr="009D07E3">
        <w:rPr>
          <w:rFonts w:cs="Arial"/>
          <w:lang w:val="en-CA"/>
        </w:rPr>
        <w:t xml:space="preserve"> from the 2012 World Development Report on Gender Equality and Developme</w:t>
      </w:r>
      <w:r w:rsidR="00174F51" w:rsidRPr="009D07E3">
        <w:rPr>
          <w:rFonts w:cs="Arial"/>
          <w:lang w:val="en-CA"/>
        </w:rPr>
        <w:t>nt</w:t>
      </w:r>
      <w:r w:rsidR="00411799">
        <w:rPr>
          <w:rFonts w:cs="Arial"/>
          <w:lang w:val="en-CA"/>
        </w:rPr>
        <w:t>,</w:t>
      </w:r>
      <w:r w:rsidR="00174F51" w:rsidRPr="009D07E3">
        <w:rPr>
          <w:rFonts w:cs="Arial"/>
          <w:lang w:val="en-CA"/>
        </w:rPr>
        <w:t xml:space="preserve"> which argued that</w:t>
      </w:r>
      <w:r w:rsidR="00CB26C4">
        <w:rPr>
          <w:rFonts w:cs="Arial"/>
          <w:lang w:val="en-CA"/>
        </w:rPr>
        <w:t>,</w:t>
      </w:r>
      <w:r w:rsidR="00174F51" w:rsidRPr="009D07E3">
        <w:rPr>
          <w:rFonts w:cs="Arial"/>
          <w:lang w:val="en-CA"/>
        </w:rPr>
        <w:t xml:space="preserve"> as well as being a development objective in its own right, gender equality was important to enhance productivity, improve development outcomes for the next generation, and make institutions more effective.</w:t>
      </w:r>
    </w:p>
    <w:p w14:paraId="5464727C" w14:textId="77777777" w:rsidR="00174F51" w:rsidRPr="009D07E3" w:rsidRDefault="00174F51" w:rsidP="000A333F">
      <w:pPr>
        <w:rPr>
          <w:rFonts w:cs="Arial"/>
          <w:lang w:val="en-CA"/>
        </w:rPr>
      </w:pPr>
    </w:p>
    <w:p w14:paraId="490B4C1F" w14:textId="21BDF939" w:rsidR="00A71E22" w:rsidRPr="009D07E3" w:rsidRDefault="00D721E4" w:rsidP="000A333F">
      <w:pPr>
        <w:rPr>
          <w:rFonts w:cs="Arial"/>
          <w:lang w:val="en-CA"/>
        </w:rPr>
      </w:pPr>
      <w:r w:rsidRPr="009D07E3">
        <w:rPr>
          <w:rFonts w:cs="Arial"/>
          <w:lang w:val="en-CA"/>
        </w:rPr>
        <w:t>More recently, a comprehensive review of the literature on the relationship between gender equality and economic growth</w:t>
      </w:r>
      <w:r w:rsidR="00402B63" w:rsidRPr="009D07E3">
        <w:rPr>
          <w:rFonts w:cs="Arial"/>
          <w:lang w:val="en-CA"/>
        </w:rPr>
        <w:t xml:space="preserve"> </w:t>
      </w:r>
      <w:r w:rsidR="00A66E35" w:rsidRPr="009D07E3">
        <w:rPr>
          <w:rFonts w:cs="Arial"/>
          <w:lang w:val="en-CA"/>
        </w:rPr>
        <w:t xml:space="preserve">has </w:t>
      </w:r>
      <w:r w:rsidR="00CB26C4">
        <w:rPr>
          <w:rFonts w:cs="Arial"/>
          <w:lang w:val="en-CA"/>
        </w:rPr>
        <w:t xml:space="preserve">provided further insights. </w:t>
      </w:r>
      <w:r w:rsidR="00402B63" w:rsidRPr="009D07E3">
        <w:rPr>
          <w:rFonts w:cs="Arial"/>
          <w:lang w:val="en-CA"/>
        </w:rPr>
        <w:t>The review</w:t>
      </w:r>
      <w:r w:rsidRPr="009D07E3">
        <w:rPr>
          <w:rFonts w:cs="Arial"/>
          <w:lang w:val="en-CA"/>
        </w:rPr>
        <w:t xml:space="preserve"> found that </w:t>
      </w:r>
      <w:r w:rsidR="00402B63" w:rsidRPr="009D07E3">
        <w:rPr>
          <w:rFonts w:cs="Arial"/>
          <w:lang w:val="en-CA"/>
        </w:rPr>
        <w:t xml:space="preserve">the evidence </w:t>
      </w:r>
      <w:r w:rsidR="00A66E35" w:rsidRPr="009D07E3">
        <w:rPr>
          <w:rFonts w:cs="Arial"/>
          <w:lang w:val="en-CA"/>
        </w:rPr>
        <w:t xml:space="preserve">demonstrating </w:t>
      </w:r>
      <w:r w:rsidR="00402B63" w:rsidRPr="009D07E3">
        <w:rPr>
          <w:rFonts w:cs="Arial"/>
          <w:lang w:val="en-CA"/>
        </w:rPr>
        <w:t xml:space="preserve">that </w:t>
      </w:r>
      <w:r w:rsidR="00174F51" w:rsidRPr="009D07E3">
        <w:rPr>
          <w:rFonts w:cs="Arial"/>
          <w:lang w:val="en-CA"/>
        </w:rPr>
        <w:t>gender equality – especially in educat</w:t>
      </w:r>
      <w:r w:rsidR="00CB26C4">
        <w:rPr>
          <w:rFonts w:cs="Arial"/>
          <w:lang w:val="en-CA"/>
        </w:rPr>
        <w:t>ion and employment - contributes</w:t>
      </w:r>
      <w:r w:rsidR="00174F51" w:rsidRPr="009D07E3">
        <w:rPr>
          <w:rFonts w:cs="Arial"/>
          <w:lang w:val="en-CA"/>
        </w:rPr>
        <w:t xml:space="preserve"> to economic growth is increasingly robust as more research is undertaken. However, the evidence that economic growth contributes to gender equality in terms of health, well</w:t>
      </w:r>
      <w:r w:rsidR="00A66E35" w:rsidRPr="009D07E3">
        <w:rPr>
          <w:rFonts w:cs="Arial"/>
          <w:lang w:val="en-CA"/>
        </w:rPr>
        <w:t>-</w:t>
      </w:r>
      <w:r w:rsidR="00174F51" w:rsidRPr="009D07E3">
        <w:rPr>
          <w:rFonts w:cs="Arial"/>
          <w:lang w:val="en-CA"/>
        </w:rPr>
        <w:t xml:space="preserve">being and rights is less consistent.  Since growth alone is insufficient to promote gender equality, </w:t>
      </w:r>
      <w:r w:rsidR="00174F51" w:rsidRPr="009D07E3">
        <w:rPr>
          <w:rFonts w:cs="Arial"/>
          <w:i/>
          <w:lang w:val="en-CA"/>
        </w:rPr>
        <w:t>specific measures need to be put in place to ensure that men and women benefit equally from development</w:t>
      </w:r>
      <w:r w:rsidR="00A66E35" w:rsidRPr="009D07E3">
        <w:rPr>
          <w:rFonts w:cs="Arial"/>
          <w:i/>
          <w:lang w:val="en-CA"/>
        </w:rPr>
        <w:t>.</w:t>
      </w:r>
      <w:r w:rsidR="00174F51" w:rsidRPr="009D07E3">
        <w:rPr>
          <w:rStyle w:val="FootnoteReference"/>
          <w:rFonts w:cs="Arial"/>
          <w:lang w:val="en-CA"/>
        </w:rPr>
        <w:footnoteReference w:id="18"/>
      </w:r>
      <w:r w:rsidR="00A66E35" w:rsidRPr="009D07E3">
        <w:rPr>
          <w:rFonts w:cs="Arial"/>
          <w:lang w:val="en-CA"/>
        </w:rPr>
        <w:t xml:space="preserve"> </w:t>
      </w:r>
      <w:r w:rsidR="00656FAA" w:rsidRPr="009D07E3">
        <w:rPr>
          <w:rFonts w:cs="Arial"/>
          <w:lang w:val="en-CA"/>
        </w:rPr>
        <w:t xml:space="preserve">An increasing number of </w:t>
      </w:r>
      <w:r w:rsidR="00402B63" w:rsidRPr="009D07E3">
        <w:rPr>
          <w:rFonts w:cs="Arial"/>
          <w:lang w:val="en-CA"/>
        </w:rPr>
        <w:t xml:space="preserve">recent </w:t>
      </w:r>
      <w:r w:rsidR="00656FAA" w:rsidRPr="009D07E3">
        <w:rPr>
          <w:rFonts w:cs="Arial"/>
          <w:lang w:val="en-CA"/>
        </w:rPr>
        <w:t>reports from agencies</w:t>
      </w:r>
      <w:r w:rsidR="00CB26C4">
        <w:rPr>
          <w:rFonts w:cs="Arial"/>
          <w:lang w:val="en-CA"/>
        </w:rPr>
        <w:t>,</w:t>
      </w:r>
      <w:r w:rsidR="00656FAA" w:rsidRPr="009D07E3">
        <w:rPr>
          <w:rFonts w:cs="Arial"/>
          <w:lang w:val="en-CA"/>
        </w:rPr>
        <w:t xml:space="preserve"> including the International Monetary Fund </w:t>
      </w:r>
      <w:r w:rsidR="00402B63" w:rsidRPr="009D07E3">
        <w:rPr>
          <w:rFonts w:cs="Arial"/>
          <w:lang w:val="en-CA"/>
        </w:rPr>
        <w:t xml:space="preserve">and </w:t>
      </w:r>
      <w:r w:rsidR="00656FAA" w:rsidRPr="009D07E3">
        <w:rPr>
          <w:rFonts w:cs="Arial"/>
          <w:lang w:val="en-CA"/>
        </w:rPr>
        <w:t>the World Economic Forum</w:t>
      </w:r>
      <w:r w:rsidR="00CB26C4">
        <w:rPr>
          <w:rFonts w:cs="Arial"/>
          <w:lang w:val="en-CA"/>
        </w:rPr>
        <w:t>,</w:t>
      </w:r>
      <w:r w:rsidR="00656FAA" w:rsidRPr="009D07E3">
        <w:rPr>
          <w:rFonts w:cs="Arial"/>
          <w:lang w:val="en-CA"/>
        </w:rPr>
        <w:t xml:space="preserve"> support these findings</w:t>
      </w:r>
      <w:r w:rsidR="00A66E35" w:rsidRPr="009D07E3">
        <w:rPr>
          <w:rFonts w:cs="Arial"/>
          <w:lang w:val="en-CA"/>
        </w:rPr>
        <w:t>.</w:t>
      </w:r>
      <w:r w:rsidR="00656FAA" w:rsidRPr="009D07E3">
        <w:rPr>
          <w:rStyle w:val="FootnoteReference"/>
          <w:rFonts w:cs="Arial"/>
          <w:lang w:val="en-CA"/>
        </w:rPr>
        <w:footnoteReference w:id="19"/>
      </w:r>
    </w:p>
    <w:p w14:paraId="05602B52" w14:textId="77777777" w:rsidR="006E2415" w:rsidRPr="009D07E3" w:rsidRDefault="006E2415" w:rsidP="000A333F">
      <w:pPr>
        <w:rPr>
          <w:rFonts w:cs="Arial"/>
          <w:lang w:val="en-CA"/>
        </w:rPr>
      </w:pPr>
    </w:p>
    <w:p w14:paraId="2E6E24DA" w14:textId="7F3ADB1A" w:rsidR="00D670E3" w:rsidRDefault="00402B63" w:rsidP="00AB5F71">
      <w:pPr>
        <w:widowControl w:val="0"/>
        <w:autoSpaceDE w:val="0"/>
        <w:autoSpaceDN w:val="0"/>
        <w:adjustRightInd w:val="0"/>
        <w:rPr>
          <w:rFonts w:cs="Arial"/>
          <w:lang w:val="en-CA"/>
        </w:rPr>
      </w:pPr>
      <w:r w:rsidRPr="009D07E3">
        <w:rPr>
          <w:rFonts w:cs="Arial"/>
          <w:lang w:val="en-CA"/>
        </w:rPr>
        <w:t>This</w:t>
      </w:r>
      <w:r w:rsidR="006E2415" w:rsidRPr="009D07E3">
        <w:rPr>
          <w:rFonts w:cs="Arial"/>
          <w:lang w:val="en-CA"/>
        </w:rPr>
        <w:t xml:space="preserve"> body of evidence further strengthens the underlying rationale </w:t>
      </w:r>
      <w:r w:rsidRPr="009D07E3">
        <w:rPr>
          <w:rFonts w:cs="Arial"/>
          <w:lang w:val="en-CA"/>
        </w:rPr>
        <w:t>for a separate program that supports women</w:t>
      </w:r>
      <w:r w:rsidR="006E2415" w:rsidRPr="009D07E3">
        <w:rPr>
          <w:rFonts w:cs="Arial"/>
          <w:lang w:val="en-CA"/>
        </w:rPr>
        <w:t xml:space="preserve"> to influence policies </w:t>
      </w:r>
      <w:r w:rsidRPr="009D07E3">
        <w:rPr>
          <w:rFonts w:cs="Arial"/>
          <w:lang w:val="en-CA"/>
        </w:rPr>
        <w:t xml:space="preserve">so that they are </w:t>
      </w:r>
      <w:r w:rsidR="006E2415" w:rsidRPr="009D07E3">
        <w:rPr>
          <w:rFonts w:cs="Arial"/>
          <w:lang w:val="en-CA"/>
        </w:rPr>
        <w:t>more responsive to the needs of wom</w:t>
      </w:r>
      <w:r w:rsidR="001241B3" w:rsidRPr="009D07E3">
        <w:rPr>
          <w:rFonts w:cs="Arial"/>
          <w:lang w:val="en-CA"/>
        </w:rPr>
        <w:t xml:space="preserve">en and </w:t>
      </w:r>
      <w:r w:rsidR="001041B8" w:rsidRPr="009D07E3">
        <w:rPr>
          <w:rFonts w:cs="Arial"/>
          <w:lang w:val="en-CA"/>
        </w:rPr>
        <w:t xml:space="preserve">that can </w:t>
      </w:r>
      <w:r w:rsidR="001241B3" w:rsidRPr="009D07E3">
        <w:rPr>
          <w:rFonts w:cs="Arial"/>
          <w:lang w:val="en-CA"/>
        </w:rPr>
        <w:t xml:space="preserve">help close gender gaps. </w:t>
      </w:r>
      <w:r w:rsidR="006E2415" w:rsidRPr="009D07E3">
        <w:rPr>
          <w:rFonts w:cs="Arial"/>
          <w:lang w:val="en-CA"/>
        </w:rPr>
        <w:t>Other recent research</w:t>
      </w:r>
      <w:r w:rsidR="00D670E3" w:rsidRPr="009D07E3">
        <w:rPr>
          <w:rFonts w:cs="Arial"/>
          <w:lang w:val="en-CA"/>
        </w:rPr>
        <w:t xml:space="preserve"> </w:t>
      </w:r>
      <w:r w:rsidR="006E2415" w:rsidRPr="009D07E3">
        <w:rPr>
          <w:rFonts w:cs="Arial"/>
          <w:lang w:val="en-CA"/>
        </w:rPr>
        <w:t xml:space="preserve">adds evidence to the premise that when women’s agency is increased and their voice is heard – especially when they act collectively – they can be effective change agents to improve the situation of women and gender equality. </w:t>
      </w:r>
      <w:r w:rsidR="00D670E3" w:rsidRPr="009D07E3">
        <w:rPr>
          <w:rFonts w:cs="Arial"/>
          <w:lang w:val="en-CA"/>
        </w:rPr>
        <w:t>Importantly, the following are three of the findings from an extensive review of the literature and research</w:t>
      </w:r>
      <w:r w:rsidR="001041B8" w:rsidRPr="009D07E3">
        <w:rPr>
          <w:rFonts w:cs="Arial"/>
          <w:lang w:val="en-CA"/>
        </w:rPr>
        <w:t>:</w:t>
      </w:r>
      <w:r w:rsidR="00D670E3" w:rsidRPr="009D07E3">
        <w:rPr>
          <w:rStyle w:val="FootnoteReference"/>
          <w:rFonts w:cs="Arial"/>
          <w:lang w:val="en-CA"/>
        </w:rPr>
        <w:footnoteReference w:id="20"/>
      </w:r>
      <w:r w:rsidR="00D670E3" w:rsidRPr="009D07E3">
        <w:rPr>
          <w:rFonts w:cs="Arial"/>
          <w:lang w:val="en-CA"/>
        </w:rPr>
        <w:t xml:space="preserve"> </w:t>
      </w:r>
    </w:p>
    <w:p w14:paraId="6F9891A9" w14:textId="77777777" w:rsidR="00AB5F71" w:rsidRPr="009D07E3" w:rsidRDefault="00AB5F71" w:rsidP="00AB5F71">
      <w:pPr>
        <w:widowControl w:val="0"/>
        <w:autoSpaceDE w:val="0"/>
        <w:autoSpaceDN w:val="0"/>
        <w:adjustRightInd w:val="0"/>
        <w:rPr>
          <w:rFonts w:cs="Arial"/>
          <w:lang w:val="en-CA"/>
        </w:rPr>
      </w:pPr>
    </w:p>
    <w:p w14:paraId="429EB979" w14:textId="77777777" w:rsidR="00D670E3" w:rsidRPr="00AB5F71" w:rsidRDefault="00D670E3" w:rsidP="005D33B8">
      <w:pPr>
        <w:pStyle w:val="ListParagraph"/>
        <w:numPr>
          <w:ilvl w:val="0"/>
          <w:numId w:val="18"/>
        </w:numPr>
        <w:spacing w:after="60"/>
        <w:contextualSpacing w:val="0"/>
        <w:rPr>
          <w:lang w:val="en-CA"/>
        </w:rPr>
      </w:pPr>
      <w:r w:rsidRPr="00AB5F71">
        <w:rPr>
          <w:lang w:val="en-CA"/>
        </w:rPr>
        <w:t xml:space="preserve">Women’s collective voice, when strategically oriented and perceived to be broad-based, is instrumental to their ability to negotiate transformative change. </w:t>
      </w:r>
    </w:p>
    <w:p w14:paraId="1042320C" w14:textId="77777777" w:rsidR="00D670E3" w:rsidRPr="00AB5F71" w:rsidRDefault="00D670E3" w:rsidP="005D33B8">
      <w:pPr>
        <w:pStyle w:val="ListParagraph"/>
        <w:numPr>
          <w:ilvl w:val="0"/>
          <w:numId w:val="18"/>
        </w:numPr>
        <w:spacing w:after="60"/>
        <w:contextualSpacing w:val="0"/>
        <w:rPr>
          <w:lang w:val="en-CA"/>
        </w:rPr>
      </w:pPr>
      <w:r w:rsidRPr="00AB5F71">
        <w:rPr>
          <w:lang w:val="en-CA"/>
        </w:rPr>
        <w:t xml:space="preserve">There is substantial evidence of how women’s political voice has resulted in gender-responsive legal and policy reform. </w:t>
      </w:r>
    </w:p>
    <w:p w14:paraId="00B49A6E" w14:textId="35071C1E" w:rsidR="00402B63" w:rsidRDefault="00D670E3" w:rsidP="005D33B8">
      <w:pPr>
        <w:pStyle w:val="ListParagraph"/>
        <w:numPr>
          <w:ilvl w:val="0"/>
          <w:numId w:val="18"/>
        </w:numPr>
        <w:rPr>
          <w:lang w:val="en-CA"/>
        </w:rPr>
      </w:pPr>
      <w:r w:rsidRPr="00AB5F71">
        <w:rPr>
          <w:lang w:val="en-CA"/>
        </w:rPr>
        <w:t>Women’s social and ec</w:t>
      </w:r>
      <w:r w:rsidR="00CB26C4">
        <w:rPr>
          <w:lang w:val="en-CA"/>
        </w:rPr>
        <w:t>onomic activism can improve women’s</w:t>
      </w:r>
      <w:r w:rsidRPr="00AB5F71">
        <w:rPr>
          <w:lang w:val="en-CA"/>
        </w:rPr>
        <w:t xml:space="preserve"> access to public goods and services.</w:t>
      </w:r>
    </w:p>
    <w:p w14:paraId="33E43E6F" w14:textId="77777777" w:rsidR="00AB5F71" w:rsidRPr="00AB5F71" w:rsidRDefault="00AB5F71" w:rsidP="00AB5F71">
      <w:pPr>
        <w:rPr>
          <w:lang w:val="en-CA"/>
        </w:rPr>
      </w:pPr>
    </w:p>
    <w:p w14:paraId="738DF1F9" w14:textId="5A00EB39" w:rsidR="00D721E4" w:rsidRPr="009D07E3" w:rsidRDefault="00402B63" w:rsidP="000A333F">
      <w:pPr>
        <w:rPr>
          <w:rFonts w:cs="Arial"/>
          <w:lang w:val="en-CA"/>
        </w:rPr>
      </w:pPr>
      <w:r w:rsidRPr="009D07E3">
        <w:rPr>
          <w:rFonts w:cs="Arial"/>
          <w:lang w:val="en-CA"/>
        </w:rPr>
        <w:t>The situation with regard to gender and poverty in Indonesia presented in the previous section demonstrates the need</w:t>
      </w:r>
      <w:r w:rsidR="008967C3" w:rsidRPr="009D07E3">
        <w:rPr>
          <w:rFonts w:cs="Arial"/>
          <w:lang w:val="en-CA"/>
        </w:rPr>
        <w:t xml:space="preserve"> for</w:t>
      </w:r>
      <w:r w:rsidRPr="009D07E3">
        <w:rPr>
          <w:rFonts w:cs="Arial"/>
          <w:lang w:val="en-CA"/>
        </w:rPr>
        <w:t xml:space="preserve"> this kind of program in Indonesia, and </w:t>
      </w:r>
      <w:r w:rsidR="008967C3" w:rsidRPr="009D07E3">
        <w:rPr>
          <w:rFonts w:cs="Arial"/>
          <w:lang w:val="en-CA"/>
        </w:rPr>
        <w:t xml:space="preserve">MAMPU’s </w:t>
      </w:r>
      <w:r w:rsidRPr="009D07E3">
        <w:rPr>
          <w:rFonts w:cs="Arial"/>
          <w:lang w:val="en-CA"/>
        </w:rPr>
        <w:t xml:space="preserve">Performance Story report and recent progress report provide early evidence that this approach leads to positive results. </w:t>
      </w:r>
      <w:r w:rsidR="001241B3" w:rsidRPr="009D07E3">
        <w:rPr>
          <w:rFonts w:cs="Arial"/>
          <w:lang w:val="en-CA"/>
        </w:rPr>
        <w:t xml:space="preserve"> Moreover, the recent dampening of economic growth rates </w:t>
      </w:r>
      <w:r w:rsidR="00186856" w:rsidRPr="009D07E3">
        <w:rPr>
          <w:rFonts w:cs="Arial"/>
          <w:lang w:val="en-CA"/>
        </w:rPr>
        <w:t xml:space="preserve">and </w:t>
      </w:r>
      <w:r w:rsidR="00A21D2A" w:rsidRPr="009D07E3">
        <w:rPr>
          <w:rFonts w:cs="Arial"/>
          <w:lang w:val="en-CA"/>
        </w:rPr>
        <w:t xml:space="preserve">the </w:t>
      </w:r>
      <w:r w:rsidR="00186856" w:rsidRPr="009D07E3">
        <w:rPr>
          <w:rFonts w:cs="Arial"/>
          <w:lang w:val="en-CA"/>
        </w:rPr>
        <w:t>need to look beyond natural resource led growth, adds weight to an approach that promotes gender equality and reduction of gender gaps in labour force and productivity as</w:t>
      </w:r>
      <w:r w:rsidR="00A21D2A" w:rsidRPr="009D07E3">
        <w:rPr>
          <w:rFonts w:cs="Arial"/>
          <w:lang w:val="en-CA"/>
        </w:rPr>
        <w:t xml:space="preserve"> a</w:t>
      </w:r>
      <w:r w:rsidR="00186856" w:rsidRPr="009D07E3">
        <w:rPr>
          <w:rFonts w:cs="Arial"/>
          <w:lang w:val="en-CA"/>
        </w:rPr>
        <w:t xml:space="preserve"> means to contribute to economic growth</w:t>
      </w:r>
      <w:r w:rsidR="00FF5097" w:rsidRPr="009D07E3">
        <w:rPr>
          <w:rFonts w:cs="Arial"/>
          <w:lang w:val="en-CA"/>
        </w:rPr>
        <w:t xml:space="preserve"> and poverty reduction</w:t>
      </w:r>
      <w:r w:rsidR="00186856" w:rsidRPr="009D07E3">
        <w:rPr>
          <w:rFonts w:cs="Arial"/>
          <w:lang w:val="en-CA"/>
        </w:rPr>
        <w:t xml:space="preserve">. </w:t>
      </w:r>
    </w:p>
    <w:p w14:paraId="5F249A94" w14:textId="77777777" w:rsidR="006E3E51" w:rsidRPr="009D07E3" w:rsidRDefault="006E3E51" w:rsidP="000A333F">
      <w:pPr>
        <w:rPr>
          <w:rFonts w:cs="Arial"/>
          <w:lang w:val="en-CA"/>
        </w:rPr>
      </w:pPr>
    </w:p>
    <w:p w14:paraId="69CDD14B" w14:textId="1DE3BD2B" w:rsidR="00A71E22" w:rsidRPr="009D07E3" w:rsidRDefault="00A71E22" w:rsidP="008F281B">
      <w:pPr>
        <w:pStyle w:val="Heading2"/>
        <w:rPr>
          <w:lang w:val="en-CA"/>
        </w:rPr>
      </w:pPr>
      <w:bookmarkStart w:id="13" w:name="_Toc423438701"/>
      <w:r w:rsidRPr="009D07E3">
        <w:rPr>
          <w:lang w:val="en-CA"/>
        </w:rPr>
        <w:t xml:space="preserve">The </w:t>
      </w:r>
      <w:r w:rsidR="00AB5F71">
        <w:rPr>
          <w:lang w:val="en-CA"/>
        </w:rPr>
        <w:t>A</w:t>
      </w:r>
      <w:r w:rsidRPr="009D07E3">
        <w:rPr>
          <w:lang w:val="en-CA"/>
        </w:rPr>
        <w:t xml:space="preserve">lignment of MAMPU with </w:t>
      </w:r>
      <w:r w:rsidR="00AB5F71">
        <w:rPr>
          <w:lang w:val="en-CA"/>
        </w:rPr>
        <w:t>N</w:t>
      </w:r>
      <w:r w:rsidR="002D21B8" w:rsidRPr="009D07E3">
        <w:rPr>
          <w:lang w:val="en-CA"/>
        </w:rPr>
        <w:t xml:space="preserve">ew </w:t>
      </w:r>
      <w:r w:rsidRPr="009D07E3">
        <w:rPr>
          <w:lang w:val="en-CA"/>
        </w:rPr>
        <w:t xml:space="preserve">Australian Government </w:t>
      </w:r>
      <w:r w:rsidR="00AB5F71">
        <w:rPr>
          <w:lang w:val="en-CA"/>
        </w:rPr>
        <w:t>P</w:t>
      </w:r>
      <w:r w:rsidRPr="009D07E3">
        <w:rPr>
          <w:lang w:val="en-CA"/>
        </w:rPr>
        <w:t>riorities</w:t>
      </w:r>
      <w:bookmarkEnd w:id="13"/>
    </w:p>
    <w:p w14:paraId="17E31C11" w14:textId="77777777" w:rsidR="00A71E22" w:rsidRPr="009D07E3" w:rsidRDefault="00A71E22" w:rsidP="000A333F">
      <w:pPr>
        <w:rPr>
          <w:rFonts w:cs="Arial"/>
          <w:lang w:val="en-CA"/>
        </w:rPr>
      </w:pPr>
    </w:p>
    <w:p w14:paraId="03855D2A" w14:textId="1D82A1F8" w:rsidR="00A71E22" w:rsidRPr="009D07E3" w:rsidRDefault="00A71E22" w:rsidP="000A333F">
      <w:pPr>
        <w:rPr>
          <w:rFonts w:cs="Arial"/>
          <w:lang w:val="en-CA"/>
        </w:rPr>
      </w:pPr>
      <w:r w:rsidRPr="009D07E3">
        <w:rPr>
          <w:rFonts w:cs="Arial"/>
          <w:lang w:val="en-CA"/>
        </w:rPr>
        <w:t xml:space="preserve">MAMPU is well aligned to the Australian Government’s strong </w:t>
      </w:r>
      <w:r w:rsidRPr="009D07E3">
        <w:rPr>
          <w:rFonts w:cs="Arial"/>
          <w:b/>
          <w:i/>
          <w:lang w:val="en-CA"/>
        </w:rPr>
        <w:t>commitment to empowering women and girls to promote gender equality</w:t>
      </w:r>
      <w:r w:rsidRPr="009D07E3">
        <w:rPr>
          <w:rFonts w:cs="Arial"/>
          <w:lang w:val="en-CA"/>
        </w:rPr>
        <w:t xml:space="preserve"> in the region. Australia’s new development policy, </w:t>
      </w:r>
      <w:r w:rsidRPr="009D07E3">
        <w:rPr>
          <w:rFonts w:cs="Arial"/>
          <w:i/>
          <w:iCs/>
          <w:lang w:val="en-CA"/>
        </w:rPr>
        <w:t>Australian Aid: Promoting Prosperity, Reducing Poverty, Enhancing Stability</w:t>
      </w:r>
      <w:r w:rsidR="009D397F">
        <w:rPr>
          <w:rFonts w:cs="Arial"/>
          <w:i/>
          <w:iCs/>
          <w:lang w:val="en-CA"/>
        </w:rPr>
        <w:t>,</w:t>
      </w:r>
      <w:r w:rsidRPr="009D07E3">
        <w:rPr>
          <w:rFonts w:cs="Arial"/>
          <w:i/>
          <w:iCs/>
          <w:lang w:val="en-CA"/>
        </w:rPr>
        <w:t xml:space="preserve"> </w:t>
      </w:r>
      <w:r w:rsidRPr="009D07E3">
        <w:rPr>
          <w:rFonts w:cs="Arial"/>
          <w:lang w:val="en-CA"/>
        </w:rPr>
        <w:t xml:space="preserve">identifies </w:t>
      </w:r>
      <w:r w:rsidR="00E13A65" w:rsidRPr="009D07E3">
        <w:rPr>
          <w:rFonts w:cs="Arial"/>
          <w:lang w:val="en-CA"/>
        </w:rPr>
        <w:t>three</w:t>
      </w:r>
      <w:r w:rsidRPr="009D07E3">
        <w:rPr>
          <w:rFonts w:cs="Arial"/>
          <w:lang w:val="en-CA"/>
        </w:rPr>
        <w:t xml:space="preserve"> overall priorities to achieve gender equality within its policy framework: women’s voice in decision-making, leadership and </w:t>
      </w:r>
      <w:r w:rsidR="00B53F65">
        <w:rPr>
          <w:rFonts w:cs="Arial"/>
          <w:lang w:val="en-CA"/>
        </w:rPr>
        <w:t>peace-</w:t>
      </w:r>
      <w:r w:rsidRPr="009D07E3">
        <w:rPr>
          <w:rFonts w:cs="Arial"/>
          <w:lang w:val="en-CA"/>
        </w:rPr>
        <w:t>building; women’s economic empowerment; and ending violence against women and girls.</w:t>
      </w:r>
      <w:r w:rsidR="00402B63" w:rsidRPr="009D07E3">
        <w:rPr>
          <w:rFonts w:cs="Arial"/>
          <w:lang w:val="en-CA"/>
        </w:rPr>
        <w:t xml:space="preserve"> </w:t>
      </w:r>
      <w:r w:rsidR="009D397F">
        <w:rPr>
          <w:rFonts w:cs="Arial"/>
          <w:lang w:val="en-CA"/>
        </w:rPr>
        <w:t xml:space="preserve">Policy priorities </w:t>
      </w:r>
      <w:r w:rsidRPr="009D07E3">
        <w:rPr>
          <w:rFonts w:cs="Arial"/>
          <w:lang w:val="en-CA"/>
        </w:rPr>
        <w:t>also</w:t>
      </w:r>
      <w:r w:rsidR="009D397F">
        <w:rPr>
          <w:rFonts w:cs="Arial"/>
          <w:lang w:val="en-CA"/>
        </w:rPr>
        <w:t xml:space="preserve"> are</w:t>
      </w:r>
      <w:r w:rsidRPr="009D07E3">
        <w:rPr>
          <w:rFonts w:cs="Arial"/>
          <w:lang w:val="en-CA"/>
        </w:rPr>
        <w:t xml:space="preserve"> addressed across the whole program through a holistic approach to empowerment that includes economic empowerment, increased participation in decision-making, sexual and reproductive health, access to social protection, increased civic participation, and fostering a new generation of women leaders.</w:t>
      </w:r>
    </w:p>
    <w:p w14:paraId="13F4D8AA" w14:textId="77777777" w:rsidR="00FF60DB" w:rsidRPr="009D07E3" w:rsidRDefault="00FF60DB" w:rsidP="000A333F">
      <w:pPr>
        <w:rPr>
          <w:rFonts w:cs="Arial"/>
          <w:lang w:val="en-CA"/>
        </w:rPr>
      </w:pPr>
    </w:p>
    <w:p w14:paraId="33289E7E" w14:textId="4B31C046" w:rsidR="00FF60DB" w:rsidRDefault="00FF60DB" w:rsidP="000A333F">
      <w:pPr>
        <w:rPr>
          <w:rFonts w:cs="Arial"/>
          <w:lang w:val="en-CA"/>
        </w:rPr>
      </w:pPr>
      <w:r w:rsidRPr="009D07E3">
        <w:rPr>
          <w:rFonts w:cs="Arial"/>
          <w:lang w:val="en-CA"/>
        </w:rPr>
        <w:t xml:space="preserve">The program </w:t>
      </w:r>
      <w:r w:rsidRPr="009D07E3">
        <w:rPr>
          <w:rFonts w:cs="Arial"/>
          <w:b/>
          <w:i/>
          <w:lang w:val="en-CA"/>
        </w:rPr>
        <w:t xml:space="preserve">contributes </w:t>
      </w:r>
      <w:r w:rsidR="00186856" w:rsidRPr="009D07E3">
        <w:rPr>
          <w:rFonts w:cs="Arial"/>
          <w:b/>
          <w:i/>
          <w:lang w:val="en-CA"/>
        </w:rPr>
        <w:t xml:space="preserve">to </w:t>
      </w:r>
      <w:r w:rsidRPr="009D07E3">
        <w:rPr>
          <w:rFonts w:cs="Arial"/>
          <w:b/>
          <w:i/>
          <w:lang w:val="en-CA"/>
        </w:rPr>
        <w:t>and supports the economic diplomacy agenda</w:t>
      </w:r>
      <w:r w:rsidR="001241B3" w:rsidRPr="009D07E3">
        <w:rPr>
          <w:rFonts w:cs="Arial"/>
          <w:lang w:val="en-CA"/>
        </w:rPr>
        <w:t>,</w:t>
      </w:r>
      <w:r w:rsidRPr="009D07E3">
        <w:rPr>
          <w:rFonts w:cs="Arial"/>
          <w:lang w:val="en-CA"/>
        </w:rPr>
        <w:t xml:space="preserve"> for example by contributing to G20 outcomes (see Box).  The proposed increased emphasis </w:t>
      </w:r>
      <w:r w:rsidR="001241B3" w:rsidRPr="009D07E3">
        <w:rPr>
          <w:rFonts w:cs="Arial"/>
          <w:lang w:val="en-CA"/>
        </w:rPr>
        <w:t xml:space="preserve">on </w:t>
      </w:r>
      <w:r w:rsidRPr="009D07E3">
        <w:rPr>
          <w:rFonts w:cs="Arial"/>
          <w:lang w:val="en-CA"/>
        </w:rPr>
        <w:t xml:space="preserve">removing barriers to employment </w:t>
      </w:r>
      <w:r w:rsidR="00186856" w:rsidRPr="009D07E3">
        <w:rPr>
          <w:rFonts w:cs="Arial"/>
          <w:lang w:val="en-CA"/>
        </w:rPr>
        <w:t xml:space="preserve">in </w:t>
      </w:r>
      <w:r w:rsidR="00A35346" w:rsidRPr="009D07E3">
        <w:rPr>
          <w:rFonts w:cs="Arial"/>
          <w:lang w:val="en-CA"/>
        </w:rPr>
        <w:t>P</w:t>
      </w:r>
      <w:r w:rsidR="00186856" w:rsidRPr="009D07E3">
        <w:rPr>
          <w:rFonts w:cs="Arial"/>
          <w:lang w:val="en-CA"/>
        </w:rPr>
        <w:t xml:space="preserve">hase </w:t>
      </w:r>
      <w:r w:rsidR="00A35346" w:rsidRPr="009D07E3">
        <w:rPr>
          <w:rFonts w:cs="Arial"/>
          <w:lang w:val="en-CA"/>
        </w:rPr>
        <w:t>T</w:t>
      </w:r>
      <w:r w:rsidR="00186856" w:rsidRPr="009D07E3">
        <w:rPr>
          <w:rFonts w:cs="Arial"/>
          <w:lang w:val="en-CA"/>
        </w:rPr>
        <w:t xml:space="preserve">wo </w:t>
      </w:r>
      <w:r w:rsidRPr="009D07E3">
        <w:rPr>
          <w:rFonts w:cs="Arial"/>
          <w:lang w:val="en-CA"/>
        </w:rPr>
        <w:t xml:space="preserve">will contribute </w:t>
      </w:r>
      <w:r w:rsidR="00186856" w:rsidRPr="009D07E3">
        <w:rPr>
          <w:rFonts w:cs="Arial"/>
          <w:lang w:val="en-CA"/>
        </w:rPr>
        <w:t xml:space="preserve">to </w:t>
      </w:r>
      <w:r w:rsidRPr="009D07E3">
        <w:rPr>
          <w:rFonts w:cs="Arial"/>
          <w:lang w:val="en-CA"/>
        </w:rPr>
        <w:t xml:space="preserve">helping Indonesia meet this commitment. </w:t>
      </w:r>
    </w:p>
    <w:p w14:paraId="43264F6B" w14:textId="77777777" w:rsidR="007E3248" w:rsidRDefault="007E3248" w:rsidP="000A333F">
      <w:pPr>
        <w:rPr>
          <w:rFonts w:cs="Arial"/>
          <w:lang w:val="en-CA"/>
        </w:rPr>
      </w:pPr>
    </w:p>
    <w:tbl>
      <w:tblPr>
        <w:tblStyle w:val="TableGrid"/>
        <w:tblW w:w="0" w:type="auto"/>
        <w:tblLook w:val="04A0" w:firstRow="1" w:lastRow="0" w:firstColumn="1" w:lastColumn="0" w:noHBand="0" w:noVBand="1"/>
      </w:tblPr>
      <w:tblGrid>
        <w:gridCol w:w="9029"/>
      </w:tblGrid>
      <w:tr w:rsidR="007E3248" w14:paraId="1DE01443" w14:textId="77777777" w:rsidTr="007E3248">
        <w:tc>
          <w:tcPr>
            <w:tcW w:w="9029" w:type="dxa"/>
            <w:shd w:val="clear" w:color="auto" w:fill="D9D9D9" w:themeFill="background1" w:themeFillShade="D9"/>
          </w:tcPr>
          <w:p w14:paraId="5BE08B19" w14:textId="77777777" w:rsidR="007E3248" w:rsidRDefault="007E3248" w:rsidP="008E488C">
            <w:pPr>
              <w:spacing w:before="60" w:after="60"/>
              <w:jc w:val="center"/>
              <w:rPr>
                <w:b/>
              </w:rPr>
            </w:pPr>
            <w:r>
              <w:rPr>
                <w:b/>
              </w:rPr>
              <w:t>G20 commitment: 25 by 25</w:t>
            </w:r>
          </w:p>
          <w:p w14:paraId="504512AD" w14:textId="31036C47" w:rsidR="007E3248" w:rsidRPr="00387640" w:rsidRDefault="007E3248" w:rsidP="008E488C">
            <w:pPr>
              <w:spacing w:after="120"/>
              <w:rPr>
                <w:sz w:val="22"/>
                <w:szCs w:val="22"/>
              </w:rPr>
            </w:pPr>
            <w:r w:rsidRPr="00C86CBD">
              <w:t xml:space="preserve">Leaders of the G20 countries, including Indonesia, </w:t>
            </w:r>
            <w:r>
              <w:t xml:space="preserve">made a commitment at the G20 meetings in Australia in 2014 </w:t>
            </w:r>
            <w:r w:rsidRPr="00C86CBD">
              <w:t>to reducing the gender gap in labo</w:t>
            </w:r>
            <w:r>
              <w:t>u</w:t>
            </w:r>
            <w:r w:rsidRPr="00C86CBD">
              <w:t>r force participation by 25 per</w:t>
            </w:r>
            <w:r>
              <w:t xml:space="preserve"> </w:t>
            </w:r>
            <w:r w:rsidRPr="00C86CBD">
              <w:t>cent by 2025 in their countries. A rough calculation shows that to do this in Indonesia would mean increasing the ratio of women to men in the labo</w:t>
            </w:r>
            <w:r>
              <w:t>u</w:t>
            </w:r>
            <w:r w:rsidRPr="00C86CBD">
              <w:t>r force from approximately 0.6 to around 0.7</w:t>
            </w:r>
            <w:r>
              <w:t>,</w:t>
            </w:r>
            <w:r w:rsidRPr="00C86CBD">
              <w:t xml:space="preserve"> by adding somewhere in the region of 14 million women along with the 10 million men expected to join the workforce in the next 10 years.  By comparison, in the 12 years between 2000 and 2012, 12 million</w:t>
            </w:r>
            <w:r w:rsidRPr="00387640">
              <w:rPr>
                <w:sz w:val="22"/>
                <w:szCs w:val="22"/>
              </w:rPr>
              <w:t xml:space="preserve"> </w:t>
            </w:r>
            <w:r w:rsidRPr="00C86CBD">
              <w:t>women and 18 million men joined the labo</w:t>
            </w:r>
            <w:r>
              <w:t>u</w:t>
            </w:r>
            <w:r w:rsidRPr="00C86CBD">
              <w:t>r force.</w:t>
            </w:r>
            <w:r w:rsidRPr="00387640">
              <w:rPr>
                <w:sz w:val="22"/>
                <w:szCs w:val="22"/>
              </w:rPr>
              <w:t xml:space="preserve"> </w:t>
            </w:r>
          </w:p>
          <w:p w14:paraId="2A0F092F" w14:textId="2F4DE206" w:rsidR="007E3248" w:rsidRPr="00B53F65" w:rsidRDefault="00B53F65" w:rsidP="00B53F65">
            <w:pPr>
              <w:spacing w:after="60"/>
              <w:jc w:val="left"/>
              <w:rPr>
                <w:rFonts w:cs="Arial"/>
                <w:sz w:val="18"/>
                <w:szCs w:val="18"/>
                <w:lang w:val="en-CA"/>
              </w:rPr>
            </w:pPr>
            <w:r>
              <w:rPr>
                <w:i/>
                <w:sz w:val="18"/>
                <w:szCs w:val="18"/>
              </w:rPr>
              <w:t xml:space="preserve">Source: </w:t>
            </w:r>
            <w:r w:rsidR="007E3248" w:rsidRPr="00B53F65">
              <w:rPr>
                <w:i/>
                <w:sz w:val="18"/>
                <w:szCs w:val="18"/>
              </w:rPr>
              <w:t xml:space="preserve">http://www.oecd.org/g20/meetings/brisbane/g20-oecd-to-help-monitor-growth-and-gender-commitments.htm </w:t>
            </w:r>
          </w:p>
        </w:tc>
      </w:tr>
    </w:tbl>
    <w:p w14:paraId="68AA860C" w14:textId="77777777" w:rsidR="00493588" w:rsidRPr="009D07E3" w:rsidRDefault="00493588" w:rsidP="000A333F">
      <w:pPr>
        <w:rPr>
          <w:rFonts w:cs="Arial"/>
          <w:lang w:val="en-CA"/>
        </w:rPr>
      </w:pPr>
    </w:p>
    <w:p w14:paraId="350DCBFB" w14:textId="42A65423" w:rsidR="00186856" w:rsidRPr="009D07E3" w:rsidRDefault="00186856" w:rsidP="000A333F">
      <w:pPr>
        <w:rPr>
          <w:rFonts w:cs="Arial"/>
          <w:lang w:val="en-CA"/>
        </w:rPr>
      </w:pPr>
      <w:r w:rsidRPr="009D07E3">
        <w:rPr>
          <w:rFonts w:cs="Arial"/>
          <w:lang w:val="en-CA"/>
        </w:rPr>
        <w:t xml:space="preserve">MAMPU </w:t>
      </w:r>
      <w:r w:rsidR="00850C41">
        <w:rPr>
          <w:rFonts w:cs="Arial"/>
          <w:lang w:val="en-CA"/>
        </w:rPr>
        <w:t xml:space="preserve">also </w:t>
      </w:r>
      <w:r w:rsidRPr="009D07E3">
        <w:rPr>
          <w:rFonts w:cs="Arial"/>
          <w:lang w:val="en-CA"/>
        </w:rPr>
        <w:t xml:space="preserve">provides an excellent platform for </w:t>
      </w:r>
      <w:r w:rsidRPr="009D07E3">
        <w:rPr>
          <w:rFonts w:cs="Arial"/>
          <w:b/>
          <w:i/>
          <w:lang w:val="en-CA"/>
        </w:rPr>
        <w:t>c</w:t>
      </w:r>
      <w:r w:rsidR="00FF60DB" w:rsidRPr="009D07E3">
        <w:rPr>
          <w:rFonts w:cs="Arial"/>
          <w:b/>
          <w:i/>
          <w:lang w:val="en-CA"/>
        </w:rPr>
        <w:t>ross program collaboration</w:t>
      </w:r>
      <w:r w:rsidRPr="009D07E3">
        <w:rPr>
          <w:rFonts w:cs="Arial"/>
          <w:lang w:val="en-CA"/>
        </w:rPr>
        <w:t xml:space="preserve">. The </w:t>
      </w:r>
      <w:r w:rsidR="00E627AA" w:rsidRPr="009D07E3">
        <w:rPr>
          <w:rFonts w:cs="Arial"/>
          <w:lang w:val="en-CA"/>
        </w:rPr>
        <w:t>collaboration goes both ways since the extensive reach of MAMPU partners to the village level</w:t>
      </w:r>
      <w:r w:rsidR="008541F2" w:rsidRPr="009D07E3">
        <w:rPr>
          <w:rFonts w:cs="Arial"/>
          <w:lang w:val="en-CA"/>
        </w:rPr>
        <w:t xml:space="preserve">, and their collective action at the district and national levels, can </w:t>
      </w:r>
      <w:r w:rsidR="00E627AA" w:rsidRPr="009D07E3">
        <w:rPr>
          <w:rFonts w:cs="Arial"/>
          <w:lang w:val="en-CA"/>
        </w:rPr>
        <w:t>support and complement programs working at the</w:t>
      </w:r>
      <w:r w:rsidR="008541F2" w:rsidRPr="009D07E3">
        <w:rPr>
          <w:rFonts w:cs="Arial"/>
          <w:lang w:val="en-CA"/>
        </w:rPr>
        <w:t xml:space="preserve"> local level</w:t>
      </w:r>
      <w:r w:rsidR="00E627AA" w:rsidRPr="009D07E3">
        <w:rPr>
          <w:rFonts w:cs="Arial"/>
          <w:lang w:val="en-CA"/>
        </w:rPr>
        <w:t xml:space="preserve">. </w:t>
      </w:r>
      <w:r w:rsidR="008541F2" w:rsidRPr="009D07E3">
        <w:rPr>
          <w:rFonts w:cs="Arial"/>
          <w:lang w:val="en-CA"/>
        </w:rPr>
        <w:t xml:space="preserve"> Programs that support analytical work can be valuable in providing MAMPU partners with robust evidence to help them influence policies. </w:t>
      </w:r>
      <w:r w:rsidR="00850C41" w:rsidRPr="009D07E3">
        <w:rPr>
          <w:rFonts w:cs="Arial"/>
          <w:lang w:val="en-CA"/>
        </w:rPr>
        <w:t>Further details on the on-going and future possible collaborations are</w:t>
      </w:r>
      <w:r w:rsidR="00804719" w:rsidRPr="009D07E3">
        <w:rPr>
          <w:rFonts w:cs="Arial"/>
          <w:lang w:val="en-CA"/>
        </w:rPr>
        <w:t xml:space="preserve"> given in the following section.</w:t>
      </w:r>
    </w:p>
    <w:p w14:paraId="58EEB959" w14:textId="77777777" w:rsidR="009A355A" w:rsidRPr="009D07E3" w:rsidRDefault="009A355A" w:rsidP="000A333F">
      <w:pPr>
        <w:rPr>
          <w:rFonts w:cs="Arial"/>
          <w:lang w:val="en-CA"/>
        </w:rPr>
      </w:pPr>
    </w:p>
    <w:p w14:paraId="72D19717" w14:textId="77777777" w:rsidR="009A355A" w:rsidRPr="009D07E3" w:rsidRDefault="009A355A" w:rsidP="009A355A">
      <w:pPr>
        <w:rPr>
          <w:rFonts w:cs="Arial"/>
          <w:lang w:val="en-CA"/>
        </w:rPr>
      </w:pPr>
      <w:r w:rsidRPr="009D07E3">
        <w:rPr>
          <w:rFonts w:cs="Arial"/>
          <w:b/>
          <w:i/>
          <w:lang w:val="en-CA"/>
        </w:rPr>
        <w:t>Innovative development solutions</w:t>
      </w:r>
      <w:r w:rsidRPr="009D07E3">
        <w:rPr>
          <w:rFonts w:cs="Arial"/>
          <w:lang w:val="en-CA"/>
        </w:rPr>
        <w:t xml:space="preserve"> are encouraged through the program’s dedicated Innovation Fund, and by mainstreaming social innovation principles across other areas of the program. </w:t>
      </w:r>
    </w:p>
    <w:p w14:paraId="6D9E385A" w14:textId="77777777" w:rsidR="009A355A" w:rsidRPr="009D07E3" w:rsidRDefault="009A355A" w:rsidP="009A355A">
      <w:pPr>
        <w:rPr>
          <w:rFonts w:cs="Arial"/>
          <w:lang w:val="en-CA"/>
        </w:rPr>
      </w:pPr>
    </w:p>
    <w:p w14:paraId="69E4BD38" w14:textId="202AA592" w:rsidR="009A355A" w:rsidRPr="009D07E3" w:rsidRDefault="009D397F" w:rsidP="009A355A">
      <w:pPr>
        <w:rPr>
          <w:rFonts w:cs="Arial"/>
          <w:lang w:val="en-CA"/>
        </w:rPr>
      </w:pPr>
      <w:r>
        <w:rPr>
          <w:rFonts w:cs="Arial"/>
          <w:lang w:val="en-CA"/>
        </w:rPr>
        <w:t xml:space="preserve">MAMPU </w:t>
      </w:r>
      <w:r w:rsidR="009A355A" w:rsidRPr="009D07E3">
        <w:rPr>
          <w:rFonts w:cs="Arial"/>
          <w:lang w:val="en-CA"/>
        </w:rPr>
        <w:t>also</w:t>
      </w:r>
      <w:r>
        <w:rPr>
          <w:rFonts w:cs="Arial"/>
          <w:lang w:val="en-CA"/>
        </w:rPr>
        <w:t xml:space="preserve"> has</w:t>
      </w:r>
      <w:r w:rsidR="009A355A" w:rsidRPr="009D07E3">
        <w:rPr>
          <w:rFonts w:cs="Arial"/>
          <w:lang w:val="en-CA"/>
        </w:rPr>
        <w:t xml:space="preserve"> identified appropriate entry points for </w:t>
      </w:r>
      <w:r w:rsidR="009A355A" w:rsidRPr="009D07E3">
        <w:rPr>
          <w:rFonts w:cs="Arial"/>
          <w:b/>
          <w:i/>
          <w:lang w:val="en-CA"/>
        </w:rPr>
        <w:t>working with the private sector</w:t>
      </w:r>
      <w:r w:rsidR="009A355A" w:rsidRPr="009D07E3">
        <w:rPr>
          <w:rFonts w:cs="Arial"/>
          <w:lang w:val="en-CA"/>
        </w:rPr>
        <w:t xml:space="preserve">, such as the value chain research being conducted with IKEA. Other potential private sector partnerships are being explored for the next phase and include garment and footwear manufacturers. </w:t>
      </w:r>
    </w:p>
    <w:p w14:paraId="073BF62C" w14:textId="77777777" w:rsidR="009A355A" w:rsidRPr="009D07E3" w:rsidRDefault="009A355A" w:rsidP="009A355A">
      <w:pPr>
        <w:rPr>
          <w:rFonts w:cs="Arial"/>
          <w:lang w:val="en-CA"/>
        </w:rPr>
      </w:pPr>
    </w:p>
    <w:p w14:paraId="3FE0E799" w14:textId="0542B20E" w:rsidR="006E3E51" w:rsidRPr="009D07E3" w:rsidRDefault="006E3E51" w:rsidP="009A355A">
      <w:pPr>
        <w:rPr>
          <w:rFonts w:cs="Arial"/>
          <w:lang w:val="en-CA"/>
        </w:rPr>
      </w:pPr>
      <w:r w:rsidRPr="009D07E3">
        <w:rPr>
          <w:rFonts w:cs="Arial"/>
          <w:lang w:val="en-CA"/>
        </w:rPr>
        <w:t>Finally, MAMPU works at scale, working in over 2,300 villages where 8.5 million Indonesians live, includi</w:t>
      </w:r>
      <w:r w:rsidR="00BD0608">
        <w:rPr>
          <w:rFonts w:cs="Arial"/>
          <w:lang w:val="en-CA"/>
        </w:rPr>
        <w:t>ng 4.2 million women and girls.</w:t>
      </w:r>
    </w:p>
    <w:p w14:paraId="7CF4F6F9" w14:textId="77777777" w:rsidR="006E3E51" w:rsidRPr="009D07E3" w:rsidRDefault="006E3E51" w:rsidP="009A355A">
      <w:pPr>
        <w:rPr>
          <w:rFonts w:cs="Arial"/>
          <w:lang w:val="en-CA"/>
        </w:rPr>
      </w:pPr>
    </w:p>
    <w:p w14:paraId="5CB3AAE9" w14:textId="3D68CD08" w:rsidR="006E3E51" w:rsidRPr="009D07E3" w:rsidRDefault="006E3E51" w:rsidP="008F281B">
      <w:pPr>
        <w:pStyle w:val="Heading2"/>
        <w:rPr>
          <w:lang w:val="en-CA"/>
        </w:rPr>
      </w:pPr>
      <w:bookmarkStart w:id="14" w:name="_Toc423438702"/>
      <w:r w:rsidRPr="009D07E3">
        <w:rPr>
          <w:lang w:val="en-CA"/>
        </w:rPr>
        <w:t>The Alignment of MAMPU with Indonesian Government Priorities</w:t>
      </w:r>
      <w:r w:rsidR="009C6B18" w:rsidRPr="009D07E3">
        <w:rPr>
          <w:rStyle w:val="FootnoteReference"/>
          <w:lang w:val="en-CA"/>
        </w:rPr>
        <w:footnoteReference w:id="21"/>
      </w:r>
      <w:bookmarkEnd w:id="14"/>
    </w:p>
    <w:p w14:paraId="3221AB9B" w14:textId="77777777" w:rsidR="006E3E51" w:rsidRPr="009D07E3" w:rsidRDefault="006E3E51" w:rsidP="009A355A">
      <w:pPr>
        <w:rPr>
          <w:rFonts w:cs="Arial"/>
          <w:lang w:val="en-CA"/>
        </w:rPr>
      </w:pPr>
    </w:p>
    <w:p w14:paraId="09E7FD92" w14:textId="15066564" w:rsidR="004C565B" w:rsidRPr="009D07E3" w:rsidRDefault="004C565B" w:rsidP="006E3E51">
      <w:pPr>
        <w:rPr>
          <w:lang w:val="en-CA"/>
        </w:rPr>
      </w:pPr>
      <w:r w:rsidRPr="009D07E3">
        <w:rPr>
          <w:lang w:val="en-CA"/>
        </w:rPr>
        <w:t>MAMPU is well aligned with the Indonesian RPJMN (National Medium Term D</w:t>
      </w:r>
      <w:r w:rsidR="00850C41">
        <w:rPr>
          <w:lang w:val="en-CA"/>
        </w:rPr>
        <w:t>evelopment Plan) 2015-2019. The</w:t>
      </w:r>
      <w:r w:rsidRPr="009D07E3">
        <w:rPr>
          <w:lang w:val="en-CA"/>
        </w:rPr>
        <w:t xml:space="preserve"> RPJMN is an operational guideline of the vision and agenda of President Joko Widodo and Jusuf </w:t>
      </w:r>
      <w:proofErr w:type="spellStart"/>
      <w:r w:rsidRPr="009D07E3">
        <w:rPr>
          <w:lang w:val="en-CA"/>
        </w:rPr>
        <w:t>Kalla’s</w:t>
      </w:r>
      <w:proofErr w:type="spellEnd"/>
      <w:r w:rsidRPr="009D07E3">
        <w:rPr>
          <w:lang w:val="en-CA"/>
        </w:rPr>
        <w:t xml:space="preserve"> </w:t>
      </w:r>
      <w:proofErr w:type="spellStart"/>
      <w:r w:rsidRPr="009D07E3">
        <w:rPr>
          <w:lang w:val="en-CA"/>
        </w:rPr>
        <w:t>Nawacita</w:t>
      </w:r>
      <w:proofErr w:type="spellEnd"/>
      <w:r w:rsidRPr="009D07E3">
        <w:rPr>
          <w:lang w:val="en-CA"/>
        </w:rPr>
        <w:t xml:space="preserve"> (nine priority agenda points). In the RPJMN, the Indonesian government has committed to reduc</w:t>
      </w:r>
      <w:r w:rsidR="00BD0608">
        <w:rPr>
          <w:lang w:val="en-CA"/>
        </w:rPr>
        <w:t>e</w:t>
      </w:r>
      <w:r w:rsidRPr="009D07E3">
        <w:rPr>
          <w:lang w:val="en-CA"/>
        </w:rPr>
        <w:t xml:space="preserve"> the poverty rate to 7-8% by 2019, speed up development in Papua and West Papua, abolish discrimination against women, integrate a gender perspective in all stages of the development process, including planning and budgeting. </w:t>
      </w:r>
      <w:proofErr w:type="spellStart"/>
      <w:r w:rsidRPr="009D07E3">
        <w:rPr>
          <w:lang w:val="en-CA"/>
        </w:rPr>
        <w:t>GoI</w:t>
      </w:r>
      <w:proofErr w:type="spellEnd"/>
      <w:r w:rsidRPr="009D07E3">
        <w:rPr>
          <w:lang w:val="en-CA"/>
        </w:rPr>
        <w:t xml:space="preserve"> also recognises the important role of civil society to uphold democracy in Indonesia.  </w:t>
      </w:r>
    </w:p>
    <w:p w14:paraId="23F788C2" w14:textId="77777777" w:rsidR="004C565B" w:rsidRPr="009D07E3" w:rsidRDefault="004C565B" w:rsidP="006E3E51">
      <w:pPr>
        <w:rPr>
          <w:lang w:val="en-CA"/>
        </w:rPr>
      </w:pPr>
    </w:p>
    <w:p w14:paraId="6A462F39" w14:textId="391A97E5" w:rsidR="004C565B" w:rsidRPr="009D07E3" w:rsidRDefault="004C565B" w:rsidP="006E3E51">
      <w:pPr>
        <w:rPr>
          <w:lang w:val="en-CA"/>
        </w:rPr>
      </w:pPr>
      <w:r w:rsidRPr="009D07E3">
        <w:rPr>
          <w:lang w:val="en-CA"/>
        </w:rPr>
        <w:t xml:space="preserve">MAMPU’s focus on improving women’s leadership is also </w:t>
      </w:r>
      <w:r w:rsidR="003A24DB" w:rsidRPr="009D07E3">
        <w:rPr>
          <w:lang w:val="en-CA"/>
        </w:rPr>
        <w:t>in line</w:t>
      </w:r>
      <w:r w:rsidRPr="009D07E3">
        <w:rPr>
          <w:lang w:val="en-CA"/>
        </w:rPr>
        <w:t xml:space="preserve"> with </w:t>
      </w:r>
      <w:proofErr w:type="spellStart"/>
      <w:r w:rsidRPr="009D07E3">
        <w:rPr>
          <w:lang w:val="en-CA"/>
        </w:rPr>
        <w:t>GoI</w:t>
      </w:r>
      <w:proofErr w:type="spellEnd"/>
      <w:r w:rsidRPr="009D07E3">
        <w:rPr>
          <w:lang w:val="en-CA"/>
        </w:rPr>
        <w:t xml:space="preserve"> efforts to increase women’s participation in decision making bodies and implementation of development at the village level. To increase women’s participation, the Indonesian government prioritizes reviews on all regulations from the Constitution to local regulations in order to incorporate a gender perspective. </w:t>
      </w:r>
    </w:p>
    <w:p w14:paraId="23B8A093" w14:textId="77777777" w:rsidR="006E3E51" w:rsidRPr="009D07E3" w:rsidRDefault="006E3E51" w:rsidP="006E3E51">
      <w:pPr>
        <w:rPr>
          <w:lang w:val="en-CA"/>
        </w:rPr>
      </w:pPr>
    </w:p>
    <w:p w14:paraId="218E991E" w14:textId="3FAAD9C0" w:rsidR="004C565B" w:rsidRPr="009D07E3" w:rsidRDefault="00CA036D" w:rsidP="006E3E51">
      <w:pPr>
        <w:rPr>
          <w:lang w:val="en-CA"/>
        </w:rPr>
      </w:pPr>
      <w:r>
        <w:rPr>
          <w:lang w:val="en-CA"/>
        </w:rPr>
        <w:t xml:space="preserve">The MAMPU thematic areas </w:t>
      </w:r>
      <w:r w:rsidR="004C565B" w:rsidRPr="009D07E3">
        <w:rPr>
          <w:lang w:val="en-CA"/>
        </w:rPr>
        <w:t>also</w:t>
      </w:r>
      <w:r>
        <w:rPr>
          <w:lang w:val="en-CA"/>
        </w:rPr>
        <w:t xml:space="preserve"> are</w:t>
      </w:r>
      <w:r w:rsidR="004C565B" w:rsidRPr="009D07E3">
        <w:rPr>
          <w:lang w:val="en-CA"/>
        </w:rPr>
        <w:t xml:space="preserve"> well aligned with the RPJMN. For example, in the area of social protection the government is committed to increasing participation of national health insurance from 51</w:t>
      </w:r>
      <w:r>
        <w:rPr>
          <w:lang w:val="en-CA"/>
        </w:rPr>
        <w:t>.</w:t>
      </w:r>
      <w:r w:rsidR="004C565B" w:rsidRPr="009D07E3">
        <w:rPr>
          <w:lang w:val="en-CA"/>
        </w:rPr>
        <w:t xml:space="preserve">8 % in 2014 to a minimum 95% in 2019, improving access of poor people to public services, and including </w:t>
      </w:r>
      <w:r>
        <w:rPr>
          <w:lang w:val="en-CA"/>
        </w:rPr>
        <w:t xml:space="preserve">the </w:t>
      </w:r>
      <w:r w:rsidR="004C565B" w:rsidRPr="009D07E3">
        <w:rPr>
          <w:lang w:val="en-CA"/>
        </w:rPr>
        <w:t xml:space="preserve">informal sector in social services. Similarly in reproductive rights, the </w:t>
      </w:r>
      <w:proofErr w:type="spellStart"/>
      <w:r w:rsidR="004C565B" w:rsidRPr="009D07E3">
        <w:rPr>
          <w:lang w:val="en-CA"/>
        </w:rPr>
        <w:t>GoI</w:t>
      </w:r>
      <w:proofErr w:type="spellEnd"/>
      <w:r w:rsidR="004C565B" w:rsidRPr="009D07E3">
        <w:rPr>
          <w:lang w:val="en-CA"/>
        </w:rPr>
        <w:t xml:space="preserve"> has committed to increasing health services for women and children, reducing the maternal mortality rate to 306/100,000 by 2019, increasing access to contraception in health services, and implementing reproductive health education in schools. MAMPU contributes to the GOI agenda to improve mechanisms for protecting migrant workers, in particular the placement and recrui</w:t>
      </w:r>
      <w:r w:rsidR="00D03702">
        <w:rPr>
          <w:lang w:val="en-CA"/>
        </w:rPr>
        <w:t>tment of migrant workers. On</w:t>
      </w:r>
      <w:r w:rsidR="004C565B" w:rsidRPr="009D07E3">
        <w:rPr>
          <w:lang w:val="en-CA"/>
        </w:rPr>
        <w:t xml:space="preserve"> reducing violence agains</w:t>
      </w:r>
      <w:r w:rsidR="00D03702">
        <w:rPr>
          <w:lang w:val="en-CA"/>
        </w:rPr>
        <w:t xml:space="preserve">t women, MAMPU’s initiatives </w:t>
      </w:r>
      <w:r w:rsidR="004C565B" w:rsidRPr="009D07E3">
        <w:rPr>
          <w:lang w:val="en-CA"/>
        </w:rPr>
        <w:t>have an integral and holistic approach to addressing violence against women</w:t>
      </w:r>
      <w:r w:rsidR="00D03702">
        <w:rPr>
          <w:lang w:val="en-CA"/>
        </w:rPr>
        <w:t>,</w:t>
      </w:r>
      <w:r w:rsidR="004C565B" w:rsidRPr="009D07E3">
        <w:rPr>
          <w:lang w:val="en-CA"/>
        </w:rPr>
        <w:t xml:space="preserve"> </w:t>
      </w:r>
      <w:r w:rsidR="00D03702">
        <w:rPr>
          <w:lang w:val="en-CA"/>
        </w:rPr>
        <w:t xml:space="preserve">and </w:t>
      </w:r>
      <w:r w:rsidR="004C565B" w:rsidRPr="009D07E3">
        <w:rPr>
          <w:lang w:val="en-CA"/>
        </w:rPr>
        <w:t xml:space="preserve">align with </w:t>
      </w:r>
      <w:proofErr w:type="spellStart"/>
      <w:r w:rsidR="004C565B" w:rsidRPr="009D07E3">
        <w:rPr>
          <w:lang w:val="en-CA"/>
        </w:rPr>
        <w:t>GoI</w:t>
      </w:r>
      <w:proofErr w:type="spellEnd"/>
      <w:r w:rsidR="004C565B" w:rsidRPr="009D07E3">
        <w:rPr>
          <w:lang w:val="en-CA"/>
        </w:rPr>
        <w:t xml:space="preserve"> goals, including increasing coordination among law enforcement institutions and promoting a one-stop shop of support services for victims.</w:t>
      </w:r>
    </w:p>
    <w:p w14:paraId="312CD9B6" w14:textId="77777777" w:rsidR="004C565B" w:rsidRPr="009D07E3" w:rsidRDefault="004C565B" w:rsidP="006E3E51">
      <w:pPr>
        <w:rPr>
          <w:lang w:val="en-CA"/>
        </w:rPr>
      </w:pPr>
    </w:p>
    <w:p w14:paraId="0F8DD0AE" w14:textId="77777777" w:rsidR="003A24DB" w:rsidRPr="009D07E3" w:rsidRDefault="003A24DB" w:rsidP="000A333F">
      <w:pPr>
        <w:rPr>
          <w:rFonts w:cs="Arial"/>
          <w:b/>
          <w:color w:val="4F81BD" w:themeColor="accent1"/>
          <w:lang w:val="en-CA"/>
        </w:rPr>
        <w:sectPr w:rsidR="003A24DB" w:rsidRPr="009D07E3" w:rsidSect="00614064">
          <w:type w:val="nextColumn"/>
          <w:pgSz w:w="11909" w:h="16834" w:code="9"/>
          <w:pgMar w:top="1440" w:right="1440" w:bottom="1440" w:left="1440" w:header="720" w:footer="720" w:gutter="0"/>
          <w:pgNumType w:start="1" w:chapStyle="1"/>
          <w:cols w:space="708"/>
          <w:docGrid w:linePitch="360"/>
        </w:sectPr>
      </w:pPr>
    </w:p>
    <w:p w14:paraId="2B881B6C" w14:textId="572E07CE" w:rsidR="00493588" w:rsidRPr="009D07E3" w:rsidRDefault="00547C25" w:rsidP="003A24DB">
      <w:pPr>
        <w:pStyle w:val="Heading1"/>
        <w:rPr>
          <w:lang w:val="en-CA"/>
        </w:rPr>
      </w:pPr>
      <w:bookmarkStart w:id="15" w:name="_Toc423438703"/>
      <w:r w:rsidRPr="009D07E3">
        <w:rPr>
          <w:lang w:val="en-CA"/>
        </w:rPr>
        <w:t>Program goal, purpose and expected end of program outcomes</w:t>
      </w:r>
      <w:bookmarkEnd w:id="15"/>
    </w:p>
    <w:p w14:paraId="119EDBA6" w14:textId="1242C242" w:rsidR="007C58DA" w:rsidRPr="009D07E3" w:rsidRDefault="007C58DA" w:rsidP="000A333F">
      <w:pPr>
        <w:rPr>
          <w:rFonts w:cs="Arial"/>
          <w:lang w:val="en-CA"/>
        </w:rPr>
      </w:pPr>
    </w:p>
    <w:p w14:paraId="65B8E003" w14:textId="7A369CF4" w:rsidR="007C58DA" w:rsidRPr="009D07E3" w:rsidRDefault="007C58DA" w:rsidP="001126D8">
      <w:pPr>
        <w:spacing w:after="120"/>
        <w:jc w:val="center"/>
        <w:rPr>
          <w:rFonts w:cs="Arial"/>
          <w:b/>
          <w:lang w:val="en-CA"/>
        </w:rPr>
      </w:pPr>
      <w:r w:rsidRPr="009D07E3">
        <w:rPr>
          <w:rFonts w:cs="Arial"/>
          <w:b/>
          <w:lang w:val="en-CA"/>
        </w:rPr>
        <w:t>Program Goal</w:t>
      </w:r>
    </w:p>
    <w:tbl>
      <w:tblPr>
        <w:tblStyle w:val="TableGrid"/>
        <w:tblW w:w="0" w:type="auto"/>
        <w:shd w:val="clear" w:color="auto" w:fill="EAF1DD" w:themeFill="accent3" w:themeFillTint="33"/>
        <w:tblLook w:val="04A0" w:firstRow="1" w:lastRow="0" w:firstColumn="1" w:lastColumn="0" w:noHBand="0" w:noVBand="1"/>
      </w:tblPr>
      <w:tblGrid>
        <w:gridCol w:w="9018"/>
      </w:tblGrid>
      <w:tr w:rsidR="007C58DA" w:rsidRPr="001126D8" w14:paraId="1D87B7C5" w14:textId="77777777" w:rsidTr="001126D8">
        <w:tc>
          <w:tcPr>
            <w:tcW w:w="9018" w:type="dxa"/>
            <w:shd w:val="clear" w:color="auto" w:fill="EAF1DD" w:themeFill="accent3" w:themeFillTint="33"/>
          </w:tcPr>
          <w:p w14:paraId="337B5564" w14:textId="202CF135" w:rsidR="007C58DA" w:rsidRPr="001126D8" w:rsidRDefault="007C58DA" w:rsidP="001126D8">
            <w:pPr>
              <w:spacing w:before="60" w:after="60"/>
              <w:jc w:val="center"/>
              <w:rPr>
                <w:rFonts w:cs="Arial"/>
                <w:lang w:val="en-CA"/>
              </w:rPr>
            </w:pPr>
            <w:r w:rsidRPr="001126D8">
              <w:rPr>
                <w:rFonts w:cs="Arial"/>
                <w:lang w:val="en-CA"/>
              </w:rPr>
              <w:t>Improved access to services and livelihoods for poor women in Indonesia in selected geographic areas within the targeted themes.</w:t>
            </w:r>
          </w:p>
        </w:tc>
      </w:tr>
    </w:tbl>
    <w:p w14:paraId="6AB15866" w14:textId="77777777" w:rsidR="00547C25" w:rsidRPr="009D07E3" w:rsidRDefault="00547C25" w:rsidP="000A333F">
      <w:pPr>
        <w:rPr>
          <w:rFonts w:cs="Arial"/>
          <w:lang w:val="en-CA"/>
        </w:rPr>
      </w:pPr>
    </w:p>
    <w:p w14:paraId="01D9991E" w14:textId="0ABC04B4" w:rsidR="00547C25" w:rsidRPr="009D07E3" w:rsidRDefault="007C58DA" w:rsidP="000A333F">
      <w:pPr>
        <w:rPr>
          <w:rFonts w:cs="Arial"/>
          <w:lang w:val="en-CA"/>
        </w:rPr>
      </w:pPr>
      <w:r w:rsidRPr="009D07E3">
        <w:rPr>
          <w:rFonts w:cs="Arial"/>
          <w:lang w:val="en-CA"/>
        </w:rPr>
        <w:t>The program will contribute towards this goal through achieving the program’s purpose.</w:t>
      </w:r>
    </w:p>
    <w:p w14:paraId="4B43FFE0" w14:textId="77777777" w:rsidR="007C58DA" w:rsidRPr="009D07E3" w:rsidRDefault="007C58DA" w:rsidP="000A333F">
      <w:pPr>
        <w:rPr>
          <w:rFonts w:cs="Arial"/>
          <w:lang w:val="en-CA"/>
        </w:rPr>
      </w:pPr>
    </w:p>
    <w:p w14:paraId="1F6DB0ED" w14:textId="5C84B5E4" w:rsidR="007C58DA" w:rsidRPr="009D07E3" w:rsidRDefault="007C58DA" w:rsidP="001126D8">
      <w:pPr>
        <w:spacing w:after="120"/>
        <w:jc w:val="center"/>
        <w:rPr>
          <w:rFonts w:cs="Arial"/>
          <w:b/>
          <w:lang w:val="en-CA"/>
        </w:rPr>
      </w:pPr>
      <w:r w:rsidRPr="009D07E3">
        <w:rPr>
          <w:rFonts w:cs="Arial"/>
          <w:b/>
          <w:lang w:val="en-CA"/>
        </w:rPr>
        <w:t>Program Purpose</w:t>
      </w:r>
    </w:p>
    <w:tbl>
      <w:tblPr>
        <w:tblStyle w:val="TableGrid"/>
        <w:tblW w:w="0" w:type="auto"/>
        <w:shd w:val="clear" w:color="auto" w:fill="EAF1DD" w:themeFill="accent3" w:themeFillTint="33"/>
        <w:tblLook w:val="04A0" w:firstRow="1" w:lastRow="0" w:firstColumn="1" w:lastColumn="0" w:noHBand="0" w:noVBand="1"/>
      </w:tblPr>
      <w:tblGrid>
        <w:gridCol w:w="9018"/>
      </w:tblGrid>
      <w:tr w:rsidR="007C58DA" w:rsidRPr="001126D8" w14:paraId="2B04C801" w14:textId="77777777" w:rsidTr="001126D8">
        <w:tc>
          <w:tcPr>
            <w:tcW w:w="9018" w:type="dxa"/>
            <w:shd w:val="clear" w:color="auto" w:fill="EAF1DD" w:themeFill="accent3" w:themeFillTint="33"/>
          </w:tcPr>
          <w:p w14:paraId="1D8C50CF" w14:textId="1D11437A" w:rsidR="007C58DA" w:rsidRPr="001126D8" w:rsidRDefault="007C58DA" w:rsidP="001126D8">
            <w:pPr>
              <w:spacing w:before="60" w:after="60"/>
              <w:jc w:val="center"/>
              <w:rPr>
                <w:rFonts w:cs="Arial"/>
                <w:lang w:val="en-CA"/>
              </w:rPr>
            </w:pPr>
            <w:r w:rsidRPr="001126D8">
              <w:rPr>
                <w:rFonts w:cs="Arial"/>
                <w:lang w:val="en-CA"/>
              </w:rPr>
              <w:t>To build broad-based networks and inclusive coalitions led by strengthened women’s and gender</w:t>
            </w:r>
            <w:r w:rsidR="001126D8">
              <w:rPr>
                <w:rFonts w:cs="Arial"/>
                <w:lang w:val="en-CA"/>
              </w:rPr>
              <w:noBreakHyphen/>
            </w:r>
            <w:r w:rsidRPr="001126D8">
              <w:rPr>
                <w:rFonts w:cs="Arial"/>
                <w:lang w:val="en-CA"/>
              </w:rPr>
              <w:t>interested organisations, and parliamentarians in order to influence government policies, regulations and services, and in selected private sector arenas, to improve the access of poor women to services and livelihoods.</w:t>
            </w:r>
          </w:p>
        </w:tc>
      </w:tr>
    </w:tbl>
    <w:p w14:paraId="6A0D1613" w14:textId="1314C8F2" w:rsidR="007C58DA" w:rsidRPr="009D07E3" w:rsidRDefault="007C58DA" w:rsidP="000A333F">
      <w:pPr>
        <w:rPr>
          <w:rFonts w:cs="Arial"/>
          <w:lang w:val="en-CA"/>
        </w:rPr>
      </w:pPr>
    </w:p>
    <w:p w14:paraId="40A567C1" w14:textId="6EFEC7D3" w:rsidR="00547C25" w:rsidRPr="009D07E3" w:rsidRDefault="002D4463" w:rsidP="000A333F">
      <w:pPr>
        <w:rPr>
          <w:rFonts w:cs="Arial"/>
          <w:lang w:val="en-CA"/>
        </w:rPr>
      </w:pPr>
      <w:r w:rsidRPr="009D07E3">
        <w:rPr>
          <w:rFonts w:cs="Arial"/>
          <w:lang w:val="en-CA"/>
        </w:rPr>
        <w:t>The five thematic areas chosen to provide initial focus to the program continue to be priorities for GOI and GOA and it is recommended these remain in phase two</w:t>
      </w:r>
      <w:r w:rsidR="007F436C">
        <w:rPr>
          <w:rFonts w:cs="Arial"/>
          <w:lang w:val="en-CA"/>
        </w:rPr>
        <w:t>:</w:t>
      </w:r>
      <w:r w:rsidRPr="009D07E3">
        <w:rPr>
          <w:rFonts w:cs="Arial"/>
          <w:lang w:val="en-CA"/>
        </w:rPr>
        <w:t xml:space="preserve"> </w:t>
      </w:r>
    </w:p>
    <w:p w14:paraId="3EDB99FA" w14:textId="77777777" w:rsidR="002D4463" w:rsidRPr="009D07E3" w:rsidRDefault="002D4463" w:rsidP="000A333F">
      <w:pPr>
        <w:rPr>
          <w:rFonts w:cs="Arial"/>
          <w:lang w:val="en-CA"/>
        </w:rPr>
      </w:pPr>
    </w:p>
    <w:p w14:paraId="161A9128" w14:textId="34883E58" w:rsidR="002D4463" w:rsidRPr="009D07E3" w:rsidRDefault="001126D8" w:rsidP="005D33B8">
      <w:pPr>
        <w:pStyle w:val="ListParagraph"/>
        <w:numPr>
          <w:ilvl w:val="0"/>
          <w:numId w:val="19"/>
        </w:numPr>
        <w:spacing w:after="60"/>
        <w:contextualSpacing w:val="0"/>
        <w:rPr>
          <w:rFonts w:cs="Arial"/>
          <w:lang w:val="en-CA"/>
        </w:rPr>
      </w:pPr>
      <w:r>
        <w:rPr>
          <w:rFonts w:cs="Arial"/>
          <w:lang w:val="en-CA"/>
        </w:rPr>
        <w:t>i</w:t>
      </w:r>
      <w:r w:rsidR="002D4463" w:rsidRPr="009D07E3">
        <w:rPr>
          <w:rFonts w:cs="Arial"/>
          <w:lang w:val="en-CA"/>
        </w:rPr>
        <w:t>ncreasing women’s access to jobs and re</w:t>
      </w:r>
      <w:r>
        <w:rPr>
          <w:rFonts w:cs="Arial"/>
          <w:lang w:val="en-CA"/>
        </w:rPr>
        <w:t>moving workplace discrimination;</w:t>
      </w:r>
    </w:p>
    <w:p w14:paraId="4322DA21" w14:textId="6731F1A5" w:rsidR="002D4463" w:rsidRPr="009D07E3" w:rsidRDefault="001126D8" w:rsidP="005D33B8">
      <w:pPr>
        <w:pStyle w:val="ListParagraph"/>
        <w:numPr>
          <w:ilvl w:val="0"/>
          <w:numId w:val="19"/>
        </w:numPr>
        <w:spacing w:after="60"/>
        <w:contextualSpacing w:val="0"/>
        <w:rPr>
          <w:rFonts w:cs="Arial"/>
          <w:lang w:val="en-CA"/>
        </w:rPr>
      </w:pPr>
      <w:r>
        <w:rPr>
          <w:rFonts w:cs="Arial"/>
          <w:lang w:val="en-CA"/>
        </w:rPr>
        <w:t>i</w:t>
      </w:r>
      <w:r w:rsidR="002D4463" w:rsidRPr="009D07E3">
        <w:rPr>
          <w:rFonts w:cs="Arial"/>
          <w:lang w:val="en-CA"/>
        </w:rPr>
        <w:t>mproving women’s access to government programs for social protection</w:t>
      </w:r>
      <w:r>
        <w:rPr>
          <w:rFonts w:cs="Arial"/>
          <w:lang w:val="en-CA"/>
        </w:rPr>
        <w:t>;</w:t>
      </w:r>
    </w:p>
    <w:p w14:paraId="7922E60A" w14:textId="6920EDB2" w:rsidR="002D4463" w:rsidRPr="009D07E3" w:rsidRDefault="001126D8" w:rsidP="005D33B8">
      <w:pPr>
        <w:pStyle w:val="ListParagraph"/>
        <w:numPr>
          <w:ilvl w:val="0"/>
          <w:numId w:val="19"/>
        </w:numPr>
        <w:spacing w:after="60"/>
        <w:contextualSpacing w:val="0"/>
        <w:rPr>
          <w:rFonts w:cs="Arial"/>
          <w:lang w:val="en-CA"/>
        </w:rPr>
      </w:pPr>
      <w:r>
        <w:rPr>
          <w:rFonts w:cs="Arial"/>
          <w:lang w:val="en-CA"/>
        </w:rPr>
        <w:t>i</w:t>
      </w:r>
      <w:r w:rsidR="002D4463" w:rsidRPr="009D07E3">
        <w:rPr>
          <w:rFonts w:cs="Arial"/>
          <w:lang w:val="en-CA"/>
        </w:rPr>
        <w:t>mproving conditions for wo</w:t>
      </w:r>
      <w:r>
        <w:rPr>
          <w:rFonts w:cs="Arial"/>
          <w:lang w:val="en-CA"/>
        </w:rPr>
        <w:t>men’s overseas labour migration;</w:t>
      </w:r>
    </w:p>
    <w:p w14:paraId="115E61DE" w14:textId="75E3A13A" w:rsidR="002D4463" w:rsidRPr="009D07E3" w:rsidRDefault="001126D8" w:rsidP="005D33B8">
      <w:pPr>
        <w:pStyle w:val="ListParagraph"/>
        <w:numPr>
          <w:ilvl w:val="0"/>
          <w:numId w:val="19"/>
        </w:numPr>
        <w:spacing w:after="60"/>
        <w:contextualSpacing w:val="0"/>
        <w:rPr>
          <w:rFonts w:cs="Arial"/>
          <w:lang w:val="en-CA"/>
        </w:rPr>
      </w:pPr>
      <w:r>
        <w:rPr>
          <w:rFonts w:cs="Arial"/>
          <w:lang w:val="en-CA"/>
        </w:rPr>
        <w:t>s</w:t>
      </w:r>
      <w:r w:rsidR="002D4463" w:rsidRPr="009D07E3">
        <w:rPr>
          <w:rFonts w:cs="Arial"/>
          <w:lang w:val="en-CA"/>
        </w:rPr>
        <w:t>trengthening women’s leadership for better m</w:t>
      </w:r>
      <w:r>
        <w:rPr>
          <w:rFonts w:cs="Arial"/>
          <w:lang w:val="en-CA"/>
        </w:rPr>
        <w:t>aternal and reproductive health; and</w:t>
      </w:r>
    </w:p>
    <w:p w14:paraId="7FE21E41" w14:textId="6787488C" w:rsidR="002D4463" w:rsidRPr="009D07E3" w:rsidRDefault="001126D8" w:rsidP="005D33B8">
      <w:pPr>
        <w:pStyle w:val="ListParagraph"/>
        <w:numPr>
          <w:ilvl w:val="0"/>
          <w:numId w:val="19"/>
        </w:numPr>
        <w:rPr>
          <w:rFonts w:cs="Arial"/>
          <w:lang w:val="en-CA"/>
        </w:rPr>
      </w:pPr>
      <w:proofErr w:type="gramStart"/>
      <w:r>
        <w:rPr>
          <w:rFonts w:cs="Arial"/>
          <w:lang w:val="en-CA"/>
        </w:rPr>
        <w:t>s</w:t>
      </w:r>
      <w:r w:rsidR="002D4463" w:rsidRPr="009D07E3">
        <w:rPr>
          <w:rFonts w:cs="Arial"/>
          <w:lang w:val="en-CA"/>
        </w:rPr>
        <w:t>trengthening</w:t>
      </w:r>
      <w:proofErr w:type="gramEnd"/>
      <w:r w:rsidR="002D4463" w:rsidRPr="009D07E3">
        <w:rPr>
          <w:rFonts w:cs="Arial"/>
          <w:lang w:val="en-CA"/>
        </w:rPr>
        <w:t xml:space="preserve"> women’s leadership t</w:t>
      </w:r>
      <w:r>
        <w:rPr>
          <w:rFonts w:cs="Arial"/>
          <w:lang w:val="en-CA"/>
        </w:rPr>
        <w:t>o reduce violence against women.</w:t>
      </w:r>
    </w:p>
    <w:p w14:paraId="53D1405C" w14:textId="77777777" w:rsidR="002D4463" w:rsidRPr="009D07E3" w:rsidRDefault="002D4463" w:rsidP="002D4463">
      <w:pPr>
        <w:rPr>
          <w:rFonts w:cs="Arial"/>
          <w:lang w:val="en-CA"/>
        </w:rPr>
      </w:pPr>
    </w:p>
    <w:p w14:paraId="25BD29FB" w14:textId="41909C68" w:rsidR="000633FC" w:rsidRDefault="00850C41" w:rsidP="000A333F">
      <w:pPr>
        <w:rPr>
          <w:rFonts w:cs="Arial"/>
          <w:lang w:val="en-CA"/>
        </w:rPr>
      </w:pPr>
      <w:r>
        <w:rPr>
          <w:rFonts w:cs="Arial"/>
          <w:lang w:val="en-CA"/>
        </w:rPr>
        <w:t>More detailed e</w:t>
      </w:r>
      <w:r w:rsidR="000633FC" w:rsidRPr="009D07E3">
        <w:rPr>
          <w:rFonts w:cs="Arial"/>
          <w:lang w:val="en-CA"/>
        </w:rPr>
        <w:t xml:space="preserve">xamples of </w:t>
      </w:r>
      <w:r w:rsidR="009F77D8" w:rsidRPr="009D07E3">
        <w:rPr>
          <w:rFonts w:cs="Arial"/>
          <w:lang w:val="en-CA"/>
        </w:rPr>
        <w:t xml:space="preserve">early </w:t>
      </w:r>
      <w:r w:rsidR="000633FC" w:rsidRPr="009D07E3">
        <w:rPr>
          <w:rFonts w:cs="Arial"/>
          <w:lang w:val="en-CA"/>
        </w:rPr>
        <w:t xml:space="preserve">outcomes being seen after three years of implementation </w:t>
      </w:r>
      <w:r>
        <w:rPr>
          <w:rFonts w:cs="Arial"/>
          <w:lang w:val="en-CA"/>
        </w:rPr>
        <w:t>can be found in the MAMPU Performance Story</w:t>
      </w:r>
      <w:r>
        <w:rPr>
          <w:rStyle w:val="FootnoteReference"/>
          <w:rFonts w:cs="Arial"/>
          <w:lang w:val="en-CA"/>
        </w:rPr>
        <w:footnoteReference w:id="22"/>
      </w:r>
      <w:r>
        <w:rPr>
          <w:rFonts w:cs="Arial"/>
          <w:lang w:val="en-CA"/>
        </w:rPr>
        <w:t xml:space="preserve"> and </w:t>
      </w:r>
      <w:r w:rsidR="000633FC" w:rsidRPr="009D07E3">
        <w:rPr>
          <w:rFonts w:cs="Arial"/>
          <w:lang w:val="en-CA"/>
        </w:rPr>
        <w:t>include:</w:t>
      </w:r>
    </w:p>
    <w:p w14:paraId="51C4682D" w14:textId="77777777" w:rsidR="001126D8" w:rsidRPr="009D07E3" w:rsidRDefault="001126D8" w:rsidP="000A333F">
      <w:pPr>
        <w:rPr>
          <w:rFonts w:cs="Arial"/>
          <w:lang w:val="en-CA"/>
        </w:rPr>
      </w:pPr>
    </w:p>
    <w:p w14:paraId="65175667" w14:textId="346A5966" w:rsidR="000633FC" w:rsidRPr="009D07E3" w:rsidRDefault="001126D8" w:rsidP="005D33B8">
      <w:pPr>
        <w:pStyle w:val="ListParagraph"/>
        <w:numPr>
          <w:ilvl w:val="0"/>
          <w:numId w:val="20"/>
        </w:numPr>
        <w:spacing w:after="60"/>
        <w:contextualSpacing w:val="0"/>
        <w:rPr>
          <w:rFonts w:cs="Arial"/>
          <w:lang w:val="en-CA"/>
        </w:rPr>
      </w:pPr>
      <w:r>
        <w:rPr>
          <w:rFonts w:cs="Arial"/>
          <w:lang w:val="en-CA"/>
        </w:rPr>
        <w:t>e</w:t>
      </w:r>
      <w:r w:rsidR="000633FC" w:rsidRPr="009D07E3">
        <w:rPr>
          <w:rFonts w:cs="Arial"/>
          <w:lang w:val="en-CA"/>
        </w:rPr>
        <w:t>vidence that partner organisations have increased organizational capacity</w:t>
      </w:r>
      <w:r>
        <w:rPr>
          <w:rFonts w:cs="Arial"/>
          <w:lang w:val="en-CA"/>
        </w:rPr>
        <w:t>;</w:t>
      </w:r>
    </w:p>
    <w:p w14:paraId="113CA2B6" w14:textId="0667F273" w:rsidR="000633FC" w:rsidRPr="009D07E3" w:rsidRDefault="001126D8" w:rsidP="005D33B8">
      <w:pPr>
        <w:pStyle w:val="ListParagraph"/>
        <w:numPr>
          <w:ilvl w:val="0"/>
          <w:numId w:val="20"/>
        </w:numPr>
        <w:spacing w:after="60"/>
        <w:contextualSpacing w:val="0"/>
        <w:rPr>
          <w:rFonts w:cs="Arial"/>
          <w:lang w:val="en-CA"/>
        </w:rPr>
      </w:pPr>
      <w:r>
        <w:rPr>
          <w:rFonts w:cs="Arial"/>
          <w:lang w:val="en-CA"/>
        </w:rPr>
        <w:t>i</w:t>
      </w:r>
      <w:r w:rsidR="000633FC" w:rsidRPr="009D07E3">
        <w:rPr>
          <w:rFonts w:cs="Arial"/>
          <w:lang w:val="en-CA"/>
        </w:rPr>
        <w:t>ncreased contact between partners and policy relevant stakeholders</w:t>
      </w:r>
      <w:r>
        <w:rPr>
          <w:rFonts w:cs="Arial"/>
          <w:lang w:val="en-CA"/>
        </w:rPr>
        <w:t>;</w:t>
      </w:r>
    </w:p>
    <w:p w14:paraId="3F894C30" w14:textId="2627EF41" w:rsidR="000633FC" w:rsidRPr="009D07E3" w:rsidRDefault="001126D8" w:rsidP="005D33B8">
      <w:pPr>
        <w:pStyle w:val="ListParagraph"/>
        <w:numPr>
          <w:ilvl w:val="0"/>
          <w:numId w:val="20"/>
        </w:numPr>
        <w:spacing w:after="60"/>
        <w:contextualSpacing w:val="0"/>
        <w:rPr>
          <w:rFonts w:cs="Arial"/>
          <w:lang w:val="en-CA"/>
        </w:rPr>
      </w:pPr>
      <w:r>
        <w:rPr>
          <w:rFonts w:cs="Arial"/>
          <w:lang w:val="en-CA"/>
        </w:rPr>
        <w:t>i</w:t>
      </w:r>
      <w:r w:rsidR="000633FC" w:rsidRPr="009D07E3">
        <w:rPr>
          <w:rFonts w:cs="Arial"/>
          <w:lang w:val="en-CA"/>
        </w:rPr>
        <w:t xml:space="preserve">mprovements in the way poverty data </w:t>
      </w:r>
      <w:r w:rsidR="009F77D8" w:rsidRPr="009D07E3">
        <w:rPr>
          <w:rFonts w:cs="Arial"/>
          <w:lang w:val="en-CA"/>
        </w:rPr>
        <w:t>are collected nationally</w:t>
      </w:r>
      <w:r>
        <w:rPr>
          <w:rFonts w:cs="Arial"/>
          <w:lang w:val="en-CA"/>
        </w:rPr>
        <w:t>;</w:t>
      </w:r>
    </w:p>
    <w:p w14:paraId="6B78BED0" w14:textId="1153A3AA" w:rsidR="009F77D8" w:rsidRPr="009D07E3" w:rsidRDefault="001126D8" w:rsidP="005D33B8">
      <w:pPr>
        <w:pStyle w:val="ListParagraph"/>
        <w:numPr>
          <w:ilvl w:val="0"/>
          <w:numId w:val="20"/>
        </w:numPr>
        <w:spacing w:after="60"/>
        <w:contextualSpacing w:val="0"/>
        <w:rPr>
          <w:rFonts w:cs="Arial"/>
          <w:lang w:val="en-CA"/>
        </w:rPr>
      </w:pPr>
      <w:r>
        <w:rPr>
          <w:rFonts w:cs="Arial"/>
          <w:lang w:val="en-CA"/>
        </w:rPr>
        <w:t>i</w:t>
      </w:r>
      <w:r w:rsidR="009F77D8" w:rsidRPr="009D07E3">
        <w:rPr>
          <w:rFonts w:cs="Arial"/>
          <w:lang w:val="en-CA"/>
        </w:rPr>
        <w:t>ncreased opportunities for poor women to voice their priorities influence over decision-making at the village level</w:t>
      </w:r>
      <w:r>
        <w:rPr>
          <w:rFonts w:cs="Arial"/>
          <w:lang w:val="en-CA"/>
        </w:rPr>
        <w:t>; and</w:t>
      </w:r>
    </w:p>
    <w:p w14:paraId="70E032E4" w14:textId="04AD1340" w:rsidR="009F77D8" w:rsidRPr="009D07E3" w:rsidRDefault="001126D8" w:rsidP="005D33B8">
      <w:pPr>
        <w:pStyle w:val="ListParagraph"/>
        <w:numPr>
          <w:ilvl w:val="0"/>
          <w:numId w:val="20"/>
        </w:numPr>
        <w:rPr>
          <w:rFonts w:cs="Arial"/>
          <w:lang w:val="en-CA"/>
        </w:rPr>
      </w:pPr>
      <w:proofErr w:type="gramStart"/>
      <w:r>
        <w:rPr>
          <w:rFonts w:cs="Arial"/>
          <w:lang w:val="en-CA"/>
        </w:rPr>
        <w:t>a</w:t>
      </w:r>
      <w:r w:rsidR="009F77D8" w:rsidRPr="009D07E3">
        <w:rPr>
          <w:rFonts w:cs="Arial"/>
          <w:lang w:val="en-CA"/>
        </w:rPr>
        <w:t>reas</w:t>
      </w:r>
      <w:proofErr w:type="gramEnd"/>
      <w:r w:rsidR="009F77D8" w:rsidRPr="009D07E3">
        <w:rPr>
          <w:rFonts w:cs="Arial"/>
          <w:lang w:val="en-CA"/>
        </w:rPr>
        <w:t xml:space="preserve"> where </w:t>
      </w:r>
      <w:r w:rsidRPr="009D07E3">
        <w:rPr>
          <w:rFonts w:cs="Arial"/>
          <w:lang w:val="en-CA"/>
        </w:rPr>
        <w:t>increased</w:t>
      </w:r>
      <w:r w:rsidR="006A2C2A">
        <w:rPr>
          <w:rFonts w:cs="Arial"/>
          <w:lang w:val="en-CA"/>
        </w:rPr>
        <w:t xml:space="preserve"> numbers of</w:t>
      </w:r>
      <w:r w:rsidR="009F77D8" w:rsidRPr="009D07E3">
        <w:rPr>
          <w:rFonts w:cs="Arial"/>
          <w:lang w:val="en-CA"/>
        </w:rPr>
        <w:t xml:space="preserve"> women are accessing certain services</w:t>
      </w:r>
      <w:r>
        <w:rPr>
          <w:rFonts w:cs="Arial"/>
          <w:lang w:val="en-CA"/>
        </w:rPr>
        <w:t>.</w:t>
      </w:r>
    </w:p>
    <w:p w14:paraId="1624C5A9" w14:textId="77777777" w:rsidR="00673901" w:rsidRPr="009D07E3" w:rsidRDefault="00673901" w:rsidP="00673901">
      <w:pPr>
        <w:rPr>
          <w:rFonts w:cs="Arial"/>
          <w:lang w:val="en-CA"/>
        </w:rPr>
      </w:pPr>
    </w:p>
    <w:p w14:paraId="1BBFA6C9" w14:textId="226E1DF3" w:rsidR="00673901" w:rsidRDefault="00673901" w:rsidP="00673901">
      <w:pPr>
        <w:jc w:val="center"/>
        <w:rPr>
          <w:rFonts w:cs="Arial"/>
          <w:b/>
          <w:lang w:val="en-CA"/>
        </w:rPr>
      </w:pPr>
      <w:r w:rsidRPr="009D07E3">
        <w:rPr>
          <w:rFonts w:cs="Arial"/>
          <w:b/>
          <w:lang w:val="en-CA"/>
        </w:rPr>
        <w:t>Hierarchy of Program Outcomes</w:t>
      </w:r>
    </w:p>
    <w:p w14:paraId="06A161B2" w14:textId="77777777" w:rsidR="001126D8" w:rsidRPr="009D07E3" w:rsidRDefault="001126D8" w:rsidP="00673901">
      <w:pPr>
        <w:jc w:val="center"/>
        <w:rPr>
          <w:rFonts w:cs="Arial"/>
          <w:b/>
          <w:lang w:val="en-CA"/>
        </w:rPr>
      </w:pPr>
    </w:p>
    <w:tbl>
      <w:tblPr>
        <w:tblStyle w:val="TableGrid"/>
        <w:tblW w:w="0" w:type="auto"/>
        <w:tblLook w:val="04A0" w:firstRow="1" w:lastRow="0" w:firstColumn="1" w:lastColumn="0" w:noHBand="0" w:noVBand="1"/>
      </w:tblPr>
      <w:tblGrid>
        <w:gridCol w:w="9018"/>
      </w:tblGrid>
      <w:tr w:rsidR="00673901" w:rsidRPr="009D07E3" w14:paraId="58416F43" w14:textId="77777777" w:rsidTr="001126D8">
        <w:tc>
          <w:tcPr>
            <w:tcW w:w="9018" w:type="dxa"/>
            <w:shd w:val="clear" w:color="auto" w:fill="EAF1DD" w:themeFill="accent3" w:themeFillTint="33"/>
          </w:tcPr>
          <w:p w14:paraId="615634B4" w14:textId="5786B3A2" w:rsidR="00673901" w:rsidRPr="009D07E3" w:rsidRDefault="00673901" w:rsidP="001126D8">
            <w:pPr>
              <w:spacing w:before="60"/>
              <w:jc w:val="center"/>
              <w:rPr>
                <w:rFonts w:cs="Arial"/>
                <w:b/>
                <w:lang w:val="en-CA"/>
              </w:rPr>
            </w:pPr>
            <w:r w:rsidRPr="009D07E3">
              <w:rPr>
                <w:rFonts w:cs="Arial"/>
                <w:b/>
                <w:lang w:val="en-CA"/>
              </w:rPr>
              <w:t>Capacity and Readiness for Collective Action</w:t>
            </w:r>
          </w:p>
          <w:p w14:paraId="4E0BE8CF" w14:textId="77777777" w:rsidR="00673901" w:rsidRPr="009D07E3" w:rsidRDefault="00673901" w:rsidP="001126D8">
            <w:pPr>
              <w:spacing w:after="120"/>
              <w:jc w:val="center"/>
              <w:rPr>
                <w:rFonts w:cs="Arial"/>
                <w:b/>
                <w:lang w:val="en-CA"/>
              </w:rPr>
            </w:pPr>
            <w:r w:rsidRPr="009D07E3">
              <w:rPr>
                <w:rFonts w:cs="Arial"/>
                <w:b/>
                <w:lang w:val="en-CA"/>
              </w:rPr>
              <w:t>Short-term Outcomes (2-3 years)</w:t>
            </w:r>
          </w:p>
          <w:p w14:paraId="24C832AE" w14:textId="0398C272" w:rsidR="00673901" w:rsidRPr="001126D8" w:rsidRDefault="00673901" w:rsidP="005D33B8">
            <w:pPr>
              <w:pStyle w:val="ListParagraph"/>
              <w:numPr>
                <w:ilvl w:val="0"/>
                <w:numId w:val="22"/>
              </w:numPr>
              <w:spacing w:after="60"/>
              <w:contextualSpacing w:val="0"/>
              <w:rPr>
                <w:rFonts w:cs="Arial"/>
                <w:lang w:val="en-CA"/>
              </w:rPr>
            </w:pPr>
            <w:r w:rsidRPr="001126D8">
              <w:rPr>
                <w:rFonts w:cs="Arial"/>
                <w:lang w:val="en-CA"/>
              </w:rPr>
              <w:t>Thematic networks have increased participation and focus.</w:t>
            </w:r>
          </w:p>
          <w:p w14:paraId="4161F19B" w14:textId="77777777" w:rsidR="00673901" w:rsidRPr="009D07E3" w:rsidRDefault="00673901" w:rsidP="005D33B8">
            <w:pPr>
              <w:pStyle w:val="ListParagraph"/>
              <w:numPr>
                <w:ilvl w:val="0"/>
                <w:numId w:val="13"/>
              </w:numPr>
              <w:spacing w:after="60"/>
              <w:ind w:left="360"/>
              <w:contextualSpacing w:val="0"/>
              <w:rPr>
                <w:rFonts w:cs="Arial"/>
                <w:lang w:val="en-CA"/>
              </w:rPr>
            </w:pPr>
            <w:r w:rsidRPr="009D07E3">
              <w:rPr>
                <w:rFonts w:cs="Arial"/>
                <w:lang w:val="en-CA"/>
              </w:rPr>
              <w:t>National and local partners, and their networks are increasingly effective at:</w:t>
            </w:r>
          </w:p>
          <w:p w14:paraId="333F4241" w14:textId="6429550C" w:rsidR="00673901" w:rsidRPr="009D07E3" w:rsidRDefault="00673901" w:rsidP="005D33B8">
            <w:pPr>
              <w:pStyle w:val="ListParagraph"/>
              <w:numPr>
                <w:ilvl w:val="0"/>
                <w:numId w:val="21"/>
              </w:numPr>
              <w:spacing w:after="60"/>
              <w:ind w:left="720"/>
              <w:contextualSpacing w:val="0"/>
              <w:rPr>
                <w:rFonts w:cs="Arial"/>
                <w:lang w:val="en-CA"/>
              </w:rPr>
            </w:pPr>
            <w:r w:rsidRPr="009D07E3">
              <w:rPr>
                <w:rFonts w:cs="Arial"/>
                <w:lang w:val="en-CA"/>
              </w:rPr>
              <w:t>communication and collaboration between national and local members, branches and     partners</w:t>
            </w:r>
            <w:r w:rsidR="001126D8">
              <w:rPr>
                <w:rFonts w:cs="Arial"/>
                <w:lang w:val="en-CA"/>
              </w:rPr>
              <w:t>;</w:t>
            </w:r>
          </w:p>
          <w:p w14:paraId="46047FF6" w14:textId="7C754A57" w:rsidR="00673901" w:rsidRPr="009D07E3" w:rsidRDefault="00673901" w:rsidP="005D33B8">
            <w:pPr>
              <w:pStyle w:val="ListParagraph"/>
              <w:numPr>
                <w:ilvl w:val="0"/>
                <w:numId w:val="21"/>
              </w:numPr>
              <w:spacing w:after="60"/>
              <w:ind w:left="720"/>
              <w:contextualSpacing w:val="0"/>
              <w:rPr>
                <w:rFonts w:cs="Arial"/>
                <w:lang w:val="en-CA"/>
              </w:rPr>
            </w:pPr>
            <w:r w:rsidRPr="009D07E3">
              <w:rPr>
                <w:rFonts w:cs="Arial"/>
                <w:lang w:val="en-CA"/>
              </w:rPr>
              <w:t>advocacy, engagement and alliances with government (including female parliament</w:t>
            </w:r>
            <w:r w:rsidR="001126D8">
              <w:rPr>
                <w:rFonts w:cs="Arial"/>
                <w:lang w:val="en-CA"/>
              </w:rPr>
              <w:t xml:space="preserve">arians) </w:t>
            </w:r>
            <w:r w:rsidRPr="009D07E3">
              <w:rPr>
                <w:rFonts w:cs="Arial"/>
                <w:lang w:val="en-CA"/>
              </w:rPr>
              <w:t>and the private sector</w:t>
            </w:r>
            <w:r w:rsidR="001126D8">
              <w:rPr>
                <w:rFonts w:cs="Arial"/>
                <w:lang w:val="en-CA"/>
              </w:rPr>
              <w:t>;</w:t>
            </w:r>
          </w:p>
          <w:p w14:paraId="5E977761" w14:textId="3AB1E91C" w:rsidR="00673901" w:rsidRPr="009D07E3" w:rsidRDefault="00673901" w:rsidP="005D33B8">
            <w:pPr>
              <w:pStyle w:val="ListParagraph"/>
              <w:numPr>
                <w:ilvl w:val="0"/>
                <w:numId w:val="21"/>
              </w:numPr>
              <w:spacing w:after="60"/>
              <w:ind w:left="720"/>
              <w:contextualSpacing w:val="0"/>
              <w:rPr>
                <w:rFonts w:cs="Arial"/>
                <w:lang w:val="en-CA"/>
              </w:rPr>
            </w:pPr>
            <w:r w:rsidRPr="009D07E3">
              <w:rPr>
                <w:rFonts w:cs="Arial"/>
                <w:lang w:val="en-CA"/>
              </w:rPr>
              <w:t>working with media</w:t>
            </w:r>
            <w:r w:rsidR="001126D8">
              <w:rPr>
                <w:rFonts w:cs="Arial"/>
                <w:lang w:val="en-CA"/>
              </w:rPr>
              <w:t>;</w:t>
            </w:r>
          </w:p>
          <w:p w14:paraId="69368C00" w14:textId="5648BA9A" w:rsidR="00673901" w:rsidRPr="009D07E3" w:rsidRDefault="00673901" w:rsidP="005D33B8">
            <w:pPr>
              <w:pStyle w:val="ListParagraph"/>
              <w:numPr>
                <w:ilvl w:val="0"/>
                <w:numId w:val="21"/>
              </w:numPr>
              <w:spacing w:after="60"/>
              <w:ind w:left="720"/>
              <w:contextualSpacing w:val="0"/>
              <w:rPr>
                <w:rFonts w:cs="Arial"/>
                <w:lang w:val="en-CA"/>
              </w:rPr>
            </w:pPr>
            <w:r w:rsidRPr="009D07E3">
              <w:rPr>
                <w:rFonts w:cs="Arial"/>
                <w:lang w:val="en-CA"/>
              </w:rPr>
              <w:t>building networks, organizing constituencies within civil society and mobilizing and campaigning in order to generate “public” concern</w:t>
            </w:r>
            <w:r w:rsidR="001126D8">
              <w:rPr>
                <w:rFonts w:cs="Arial"/>
                <w:lang w:val="en-CA"/>
              </w:rPr>
              <w:t>;</w:t>
            </w:r>
          </w:p>
          <w:p w14:paraId="0B5AD8CA" w14:textId="54BD71DE" w:rsidR="00673901" w:rsidRPr="009D07E3" w:rsidRDefault="008D70D9" w:rsidP="005D33B8">
            <w:pPr>
              <w:pStyle w:val="ListParagraph"/>
              <w:numPr>
                <w:ilvl w:val="0"/>
                <w:numId w:val="21"/>
              </w:numPr>
              <w:spacing w:after="60"/>
              <w:ind w:left="720"/>
              <w:contextualSpacing w:val="0"/>
              <w:rPr>
                <w:rFonts w:cs="Arial"/>
                <w:lang w:val="en-CA"/>
              </w:rPr>
            </w:pPr>
            <w:r w:rsidRPr="009D07E3">
              <w:rPr>
                <w:rFonts w:cs="Arial"/>
                <w:lang w:val="en-CA"/>
              </w:rPr>
              <w:t>analyzing constraints and identifying and testi</w:t>
            </w:r>
            <w:r w:rsidR="005D33B8">
              <w:rPr>
                <w:rFonts w:cs="Arial"/>
                <w:lang w:val="en-CA"/>
              </w:rPr>
              <w:t>n</w:t>
            </w:r>
            <w:r w:rsidRPr="009D07E3">
              <w:rPr>
                <w:rFonts w:cs="Arial"/>
                <w:lang w:val="en-CA"/>
              </w:rPr>
              <w:t>g innovative multi-stakeholder solutions</w:t>
            </w:r>
            <w:r w:rsidR="001126D8">
              <w:rPr>
                <w:rFonts w:cs="Arial"/>
                <w:lang w:val="en-CA"/>
              </w:rPr>
              <w:t>; and</w:t>
            </w:r>
          </w:p>
          <w:p w14:paraId="40B0C34E" w14:textId="0308B13D" w:rsidR="008D70D9" w:rsidRPr="009D07E3" w:rsidRDefault="008D70D9" w:rsidP="005D33B8">
            <w:pPr>
              <w:pStyle w:val="ListParagraph"/>
              <w:numPr>
                <w:ilvl w:val="0"/>
                <w:numId w:val="21"/>
              </w:numPr>
              <w:spacing w:after="60"/>
              <w:ind w:left="720"/>
              <w:rPr>
                <w:rFonts w:cs="Arial"/>
                <w:lang w:val="en-CA"/>
              </w:rPr>
            </w:pPr>
            <w:proofErr w:type="gramStart"/>
            <w:r w:rsidRPr="009D07E3">
              <w:rPr>
                <w:rFonts w:cs="Arial"/>
                <w:lang w:val="en-CA"/>
              </w:rPr>
              <w:t>other</w:t>
            </w:r>
            <w:proofErr w:type="gramEnd"/>
            <w:r w:rsidRPr="009D07E3">
              <w:rPr>
                <w:rFonts w:cs="Arial"/>
                <w:lang w:val="en-CA"/>
              </w:rPr>
              <w:t xml:space="preserve"> significant functions identified by the partners</w:t>
            </w:r>
            <w:r w:rsidR="001126D8">
              <w:rPr>
                <w:rFonts w:cs="Arial"/>
                <w:lang w:val="en-CA"/>
              </w:rPr>
              <w:t>.</w:t>
            </w:r>
          </w:p>
        </w:tc>
      </w:tr>
    </w:tbl>
    <w:p w14:paraId="487DE7D7" w14:textId="77777777" w:rsidR="003A24DB" w:rsidRDefault="003A24DB" w:rsidP="003A24DB">
      <w:pPr>
        <w:rPr>
          <w:lang w:val="en-CA"/>
        </w:rPr>
      </w:pPr>
    </w:p>
    <w:tbl>
      <w:tblPr>
        <w:tblStyle w:val="TableGrid"/>
        <w:tblW w:w="0" w:type="auto"/>
        <w:shd w:val="clear" w:color="auto" w:fill="EAF1DD" w:themeFill="accent3" w:themeFillTint="33"/>
        <w:tblLook w:val="04A0" w:firstRow="1" w:lastRow="0" w:firstColumn="1" w:lastColumn="0" w:noHBand="0" w:noVBand="1"/>
      </w:tblPr>
      <w:tblGrid>
        <w:gridCol w:w="9029"/>
      </w:tblGrid>
      <w:tr w:rsidR="001126D8" w14:paraId="33FF9091" w14:textId="77777777" w:rsidTr="001126D8">
        <w:tc>
          <w:tcPr>
            <w:tcW w:w="9029" w:type="dxa"/>
            <w:shd w:val="clear" w:color="auto" w:fill="EAF1DD" w:themeFill="accent3" w:themeFillTint="33"/>
          </w:tcPr>
          <w:p w14:paraId="4BCA3D49" w14:textId="77777777" w:rsidR="001126D8" w:rsidRPr="009D07E3" w:rsidRDefault="001126D8" w:rsidP="001126D8">
            <w:pPr>
              <w:spacing w:before="60"/>
              <w:jc w:val="center"/>
              <w:rPr>
                <w:rFonts w:cs="Arial"/>
                <w:b/>
                <w:lang w:val="en-CA"/>
              </w:rPr>
            </w:pPr>
            <w:r w:rsidRPr="009D07E3">
              <w:rPr>
                <w:rFonts w:cs="Arial"/>
                <w:b/>
                <w:lang w:val="en-CA"/>
              </w:rPr>
              <w:t>Voice and Influence</w:t>
            </w:r>
          </w:p>
          <w:p w14:paraId="289DE56C" w14:textId="77777777" w:rsidR="001126D8" w:rsidRPr="009D07E3" w:rsidRDefault="001126D8" w:rsidP="001126D8">
            <w:pPr>
              <w:spacing w:after="120"/>
              <w:jc w:val="center"/>
              <w:rPr>
                <w:rFonts w:cs="Arial"/>
                <w:b/>
                <w:lang w:val="en-CA"/>
              </w:rPr>
            </w:pPr>
            <w:r w:rsidRPr="009D07E3">
              <w:rPr>
                <w:rFonts w:cs="Arial"/>
                <w:b/>
                <w:lang w:val="en-CA"/>
              </w:rPr>
              <w:t>Medium-Term Outcomes (3-5 years)</w:t>
            </w:r>
          </w:p>
          <w:p w14:paraId="14FE9C73" w14:textId="63ED059C" w:rsidR="001126D8" w:rsidRPr="005D33B8" w:rsidRDefault="001126D8" w:rsidP="005D33B8">
            <w:pPr>
              <w:spacing w:after="60"/>
              <w:rPr>
                <w:rFonts w:cs="Arial"/>
                <w:b/>
                <w:lang w:val="en-CA"/>
              </w:rPr>
            </w:pPr>
            <w:r w:rsidRPr="005D33B8">
              <w:rPr>
                <w:rFonts w:cs="Arial"/>
                <w:lang w:val="en-CA"/>
              </w:rPr>
              <w:t>National and local partners and their networks (and women parliamentarians) increasingly contribute to:</w:t>
            </w:r>
          </w:p>
          <w:p w14:paraId="06C496B0" w14:textId="59736B8B" w:rsidR="001126D8" w:rsidRPr="009D07E3" w:rsidRDefault="005D33B8" w:rsidP="005D33B8">
            <w:pPr>
              <w:pStyle w:val="ListParagraph"/>
              <w:numPr>
                <w:ilvl w:val="0"/>
                <w:numId w:val="24"/>
              </w:numPr>
              <w:spacing w:after="60"/>
              <w:ind w:left="360"/>
              <w:contextualSpacing w:val="0"/>
              <w:rPr>
                <w:rFonts w:cs="Arial"/>
                <w:lang w:val="en-CA"/>
              </w:rPr>
            </w:pPr>
            <w:r>
              <w:rPr>
                <w:rFonts w:cs="Arial"/>
                <w:lang w:val="en-CA"/>
              </w:rPr>
              <w:t>r</w:t>
            </w:r>
            <w:r w:rsidR="001126D8" w:rsidRPr="009D07E3">
              <w:rPr>
                <w:rFonts w:cs="Arial"/>
                <w:lang w:val="en-CA"/>
              </w:rPr>
              <w:t>aising the awareness and debate around an issue</w:t>
            </w:r>
            <w:r>
              <w:rPr>
                <w:rFonts w:cs="Arial"/>
                <w:lang w:val="en-CA"/>
              </w:rPr>
              <w:t>;</w:t>
            </w:r>
          </w:p>
          <w:p w14:paraId="3ED5862D" w14:textId="2AF81D99" w:rsidR="001126D8" w:rsidRPr="009D07E3" w:rsidRDefault="005D33B8" w:rsidP="005D33B8">
            <w:pPr>
              <w:pStyle w:val="ListParagraph"/>
              <w:numPr>
                <w:ilvl w:val="0"/>
                <w:numId w:val="24"/>
              </w:numPr>
              <w:spacing w:after="60"/>
              <w:ind w:left="360"/>
              <w:contextualSpacing w:val="0"/>
              <w:rPr>
                <w:rFonts w:cs="Arial"/>
                <w:lang w:val="en-CA"/>
              </w:rPr>
            </w:pPr>
            <w:r>
              <w:rPr>
                <w:rFonts w:cs="Arial"/>
                <w:lang w:val="en-CA"/>
              </w:rPr>
              <w:t>i</w:t>
            </w:r>
            <w:r w:rsidR="001126D8" w:rsidRPr="009D07E3">
              <w:rPr>
                <w:rFonts w:cs="Arial"/>
                <w:lang w:val="en-CA"/>
              </w:rPr>
              <w:t>nfluencing opinions and changing minds of decision-makers</w:t>
            </w:r>
            <w:r>
              <w:rPr>
                <w:rFonts w:cs="Arial"/>
                <w:lang w:val="en-CA"/>
              </w:rPr>
              <w:t>;</w:t>
            </w:r>
          </w:p>
          <w:p w14:paraId="20893495" w14:textId="156E7B47" w:rsidR="001126D8" w:rsidRPr="009D07E3" w:rsidRDefault="005D33B8" w:rsidP="005D33B8">
            <w:pPr>
              <w:pStyle w:val="ListParagraph"/>
              <w:numPr>
                <w:ilvl w:val="0"/>
                <w:numId w:val="24"/>
              </w:numPr>
              <w:spacing w:after="60"/>
              <w:ind w:left="360"/>
              <w:contextualSpacing w:val="0"/>
              <w:rPr>
                <w:rFonts w:cs="Arial"/>
                <w:lang w:val="en-CA"/>
              </w:rPr>
            </w:pPr>
            <w:r>
              <w:rPr>
                <w:rFonts w:cs="Arial"/>
                <w:lang w:val="en-CA"/>
              </w:rPr>
              <w:t>i</w:t>
            </w:r>
            <w:r w:rsidR="001126D8" w:rsidRPr="009D07E3">
              <w:rPr>
                <w:rFonts w:cs="Arial"/>
                <w:lang w:val="en-CA"/>
              </w:rPr>
              <w:t>nfluencing private sector practi</w:t>
            </w:r>
            <w:r w:rsidR="001126D8">
              <w:rPr>
                <w:rFonts w:cs="Arial"/>
                <w:lang w:val="en-CA"/>
              </w:rPr>
              <w:t>c</w:t>
            </w:r>
            <w:r w:rsidR="001126D8" w:rsidRPr="009D07E3">
              <w:rPr>
                <w:rFonts w:cs="Arial"/>
                <w:lang w:val="en-CA"/>
              </w:rPr>
              <w:t>es</w:t>
            </w:r>
            <w:r>
              <w:rPr>
                <w:rFonts w:cs="Arial"/>
                <w:lang w:val="en-CA"/>
              </w:rPr>
              <w:t>;</w:t>
            </w:r>
          </w:p>
          <w:p w14:paraId="4AB2EF80" w14:textId="44FD5AF0" w:rsidR="001126D8" w:rsidRPr="009D07E3" w:rsidRDefault="005D33B8" w:rsidP="005D33B8">
            <w:pPr>
              <w:pStyle w:val="ListParagraph"/>
              <w:numPr>
                <w:ilvl w:val="0"/>
                <w:numId w:val="24"/>
              </w:numPr>
              <w:spacing w:after="60"/>
              <w:ind w:left="360"/>
              <w:contextualSpacing w:val="0"/>
              <w:rPr>
                <w:rFonts w:cs="Arial"/>
                <w:lang w:val="en-CA"/>
              </w:rPr>
            </w:pPr>
            <w:r>
              <w:rPr>
                <w:rFonts w:cs="Arial"/>
                <w:lang w:val="en-CA"/>
              </w:rPr>
              <w:t>g</w:t>
            </w:r>
            <w:r w:rsidR="001126D8" w:rsidRPr="009D07E3">
              <w:rPr>
                <w:rFonts w:cs="Arial"/>
                <w:lang w:val="en-CA"/>
              </w:rPr>
              <w:t>etting issues onto the policy decision-making agenda</w:t>
            </w:r>
            <w:r>
              <w:rPr>
                <w:rFonts w:cs="Arial"/>
                <w:lang w:val="en-CA"/>
              </w:rPr>
              <w:t>;</w:t>
            </w:r>
          </w:p>
          <w:p w14:paraId="4D9AE441" w14:textId="72B06DE8" w:rsidR="001126D8" w:rsidRPr="009D07E3" w:rsidRDefault="005D33B8" w:rsidP="005D33B8">
            <w:pPr>
              <w:pStyle w:val="ListParagraph"/>
              <w:numPr>
                <w:ilvl w:val="0"/>
                <w:numId w:val="24"/>
              </w:numPr>
              <w:spacing w:after="60"/>
              <w:ind w:left="360"/>
              <w:contextualSpacing w:val="0"/>
              <w:rPr>
                <w:rFonts w:cs="Arial"/>
                <w:lang w:val="en-CA"/>
              </w:rPr>
            </w:pPr>
            <w:r>
              <w:rPr>
                <w:rFonts w:cs="Arial"/>
                <w:lang w:val="en-CA"/>
              </w:rPr>
              <w:t>c</w:t>
            </w:r>
            <w:r w:rsidR="001126D8" w:rsidRPr="009D07E3">
              <w:rPr>
                <w:rFonts w:cs="Arial"/>
                <w:lang w:val="en-CA"/>
              </w:rPr>
              <w:t>hanges to policies, regulations, or services in the thematic areas at the sub-national and or national level which protect women's rights and promote gender equality (e.g. removal of discriminatory regulation, improvement in the imple</w:t>
            </w:r>
            <w:r>
              <w:rPr>
                <w:rFonts w:cs="Arial"/>
                <w:lang w:val="en-CA"/>
              </w:rPr>
              <w:t>mentation of a national policy); and</w:t>
            </w:r>
          </w:p>
          <w:p w14:paraId="42D9AE46" w14:textId="494B6CF4" w:rsidR="001126D8" w:rsidRDefault="005D33B8" w:rsidP="005D33B8">
            <w:pPr>
              <w:pStyle w:val="ListParagraph"/>
              <w:numPr>
                <w:ilvl w:val="0"/>
                <w:numId w:val="24"/>
              </w:numPr>
              <w:spacing w:after="60"/>
              <w:ind w:left="360"/>
              <w:contextualSpacing w:val="0"/>
              <w:rPr>
                <w:lang w:val="en-CA"/>
              </w:rPr>
            </w:pPr>
            <w:proofErr w:type="gramStart"/>
            <w:r>
              <w:rPr>
                <w:rFonts w:cs="Arial"/>
                <w:lang w:val="en-CA"/>
              </w:rPr>
              <w:t>c</w:t>
            </w:r>
            <w:r w:rsidR="001126D8" w:rsidRPr="009D07E3">
              <w:rPr>
                <w:rFonts w:cs="Arial"/>
                <w:lang w:val="en-CA"/>
              </w:rPr>
              <w:t>hanges</w:t>
            </w:r>
            <w:proofErr w:type="gramEnd"/>
            <w:r w:rsidR="001126D8" w:rsidRPr="009D07E3">
              <w:rPr>
                <w:rFonts w:cs="Arial"/>
                <w:lang w:val="en-CA"/>
              </w:rPr>
              <w:t xml:space="preserve"> in formal or informal mechanisms or opportunities for poor women to influ</w:t>
            </w:r>
            <w:r>
              <w:rPr>
                <w:rFonts w:cs="Arial"/>
                <w:lang w:val="en-CA"/>
              </w:rPr>
              <w:t>ence government decision-making.</w:t>
            </w:r>
          </w:p>
        </w:tc>
      </w:tr>
    </w:tbl>
    <w:p w14:paraId="09D7EDCF" w14:textId="77777777" w:rsidR="001126D8" w:rsidRDefault="001126D8" w:rsidP="003A24DB">
      <w:pPr>
        <w:rPr>
          <w:lang w:val="en-CA"/>
        </w:rPr>
      </w:pPr>
    </w:p>
    <w:tbl>
      <w:tblPr>
        <w:tblStyle w:val="TableGrid"/>
        <w:tblW w:w="0" w:type="auto"/>
        <w:shd w:val="clear" w:color="auto" w:fill="EAF1DD" w:themeFill="accent3" w:themeFillTint="33"/>
        <w:tblLook w:val="04A0" w:firstRow="1" w:lastRow="0" w:firstColumn="1" w:lastColumn="0" w:noHBand="0" w:noVBand="1"/>
      </w:tblPr>
      <w:tblGrid>
        <w:gridCol w:w="9029"/>
      </w:tblGrid>
      <w:tr w:rsidR="001126D8" w14:paraId="1C6C3CF8" w14:textId="77777777" w:rsidTr="005D33B8">
        <w:tc>
          <w:tcPr>
            <w:tcW w:w="9029" w:type="dxa"/>
            <w:shd w:val="clear" w:color="auto" w:fill="EAF1DD" w:themeFill="accent3" w:themeFillTint="33"/>
          </w:tcPr>
          <w:p w14:paraId="5B81DD28" w14:textId="42FB414D" w:rsidR="001126D8" w:rsidRDefault="005D33B8" w:rsidP="005D33B8">
            <w:pPr>
              <w:spacing w:before="60" w:after="60"/>
              <w:jc w:val="center"/>
              <w:rPr>
                <w:b/>
                <w:lang w:val="en-CA"/>
              </w:rPr>
            </w:pPr>
            <w:r>
              <w:rPr>
                <w:b/>
                <w:lang w:val="en-CA"/>
              </w:rPr>
              <w:t>Access and Livelihoods</w:t>
            </w:r>
          </w:p>
          <w:p w14:paraId="7EF2CC27" w14:textId="77777777" w:rsidR="005D33B8" w:rsidRDefault="005D33B8" w:rsidP="005D33B8">
            <w:pPr>
              <w:spacing w:after="120"/>
              <w:jc w:val="center"/>
              <w:rPr>
                <w:lang w:val="en-CA"/>
              </w:rPr>
            </w:pPr>
            <w:r>
              <w:rPr>
                <w:b/>
                <w:lang w:val="en-CA"/>
              </w:rPr>
              <w:t>Long-Term Outcomes (5-8 years and beyond)</w:t>
            </w:r>
          </w:p>
          <w:p w14:paraId="0D5A0F3D" w14:textId="3238B039" w:rsidR="005D33B8" w:rsidRDefault="005D33B8" w:rsidP="00BB489B">
            <w:pPr>
              <w:pStyle w:val="ListParagraph"/>
              <w:numPr>
                <w:ilvl w:val="0"/>
                <w:numId w:val="23"/>
              </w:numPr>
              <w:spacing w:after="60"/>
              <w:contextualSpacing w:val="0"/>
              <w:rPr>
                <w:lang w:val="en-CA"/>
              </w:rPr>
            </w:pPr>
            <w:r>
              <w:rPr>
                <w:lang w:val="en-CA"/>
              </w:rPr>
              <w:t>Policy implementation which protect</w:t>
            </w:r>
            <w:r w:rsidR="00F35E91">
              <w:rPr>
                <w:lang w:val="en-CA"/>
              </w:rPr>
              <w:t>s</w:t>
            </w:r>
            <w:r>
              <w:rPr>
                <w:lang w:val="en-CA"/>
              </w:rPr>
              <w:t xml:space="preserve"> women’s rights and promote gender equality.</w:t>
            </w:r>
          </w:p>
          <w:p w14:paraId="5BE38892" w14:textId="77777777" w:rsidR="005D33B8" w:rsidRDefault="005D33B8" w:rsidP="00BB489B">
            <w:pPr>
              <w:pStyle w:val="ListParagraph"/>
              <w:numPr>
                <w:ilvl w:val="0"/>
                <w:numId w:val="23"/>
              </w:numPr>
              <w:spacing w:after="60"/>
              <w:contextualSpacing w:val="0"/>
              <w:rPr>
                <w:lang w:val="en-CA"/>
              </w:rPr>
            </w:pPr>
            <w:r>
              <w:rPr>
                <w:lang w:val="en-CA"/>
              </w:rPr>
              <w:t>Improved service delivery performance.</w:t>
            </w:r>
          </w:p>
          <w:p w14:paraId="6B3CF412" w14:textId="3C04EEE8" w:rsidR="005D33B8" w:rsidRPr="005D33B8" w:rsidRDefault="005D33B8" w:rsidP="00BB489B">
            <w:pPr>
              <w:pStyle w:val="ListParagraph"/>
              <w:numPr>
                <w:ilvl w:val="0"/>
                <w:numId w:val="23"/>
              </w:numPr>
              <w:spacing w:after="60"/>
              <w:contextualSpacing w:val="0"/>
              <w:rPr>
                <w:lang w:val="en-CA"/>
              </w:rPr>
            </w:pPr>
            <w:r>
              <w:rPr>
                <w:lang w:val="en-CA"/>
              </w:rPr>
              <w:t>Improved access for poor women to public services, and improved quality of life for poor women in targeted geographical areas.</w:t>
            </w:r>
          </w:p>
        </w:tc>
      </w:tr>
    </w:tbl>
    <w:p w14:paraId="1C5F017F" w14:textId="77777777" w:rsidR="001126D8" w:rsidRDefault="001126D8" w:rsidP="003A24DB">
      <w:pPr>
        <w:rPr>
          <w:lang w:val="en-CA"/>
        </w:rPr>
      </w:pPr>
    </w:p>
    <w:p w14:paraId="4567AD72" w14:textId="77777777" w:rsidR="001126D8" w:rsidRPr="009D07E3" w:rsidRDefault="001126D8" w:rsidP="003A24DB">
      <w:pPr>
        <w:rPr>
          <w:lang w:val="en-CA"/>
        </w:rPr>
      </w:pPr>
    </w:p>
    <w:p w14:paraId="36DC7C3F" w14:textId="77777777" w:rsidR="00C71C8A" w:rsidRDefault="00C71C8A" w:rsidP="008F281B">
      <w:pPr>
        <w:pStyle w:val="Heading2"/>
        <w:rPr>
          <w:lang w:val="en-CA"/>
        </w:rPr>
        <w:sectPr w:rsidR="00C71C8A" w:rsidSect="00614064">
          <w:type w:val="nextColumn"/>
          <w:pgSz w:w="11909" w:h="16834" w:code="9"/>
          <w:pgMar w:top="1440" w:right="1440" w:bottom="1440" w:left="1440" w:header="720" w:footer="720" w:gutter="0"/>
          <w:pgNumType w:start="1" w:chapStyle="1"/>
          <w:cols w:space="708"/>
          <w:docGrid w:linePitch="360"/>
        </w:sectPr>
      </w:pPr>
    </w:p>
    <w:p w14:paraId="02005A48" w14:textId="4B16703C" w:rsidR="002D21B8" w:rsidRPr="009D07E3" w:rsidRDefault="002D21B8" w:rsidP="00C71C8A">
      <w:pPr>
        <w:pStyle w:val="Heading1"/>
        <w:rPr>
          <w:lang w:val="en-CA"/>
        </w:rPr>
      </w:pPr>
      <w:bookmarkStart w:id="16" w:name="_Toc423438704"/>
      <w:r w:rsidRPr="009D07E3">
        <w:rPr>
          <w:lang w:val="en-CA"/>
        </w:rPr>
        <w:t xml:space="preserve">Revisiting the </w:t>
      </w:r>
      <w:r w:rsidR="00F968FE" w:rsidRPr="009D07E3">
        <w:rPr>
          <w:lang w:val="en-CA"/>
        </w:rPr>
        <w:t xml:space="preserve">Design </w:t>
      </w:r>
      <w:r w:rsidR="00D23B7C" w:rsidRPr="009D07E3">
        <w:rPr>
          <w:lang w:val="en-CA"/>
        </w:rPr>
        <w:t>and Theory of Change</w:t>
      </w:r>
      <w:bookmarkEnd w:id="16"/>
    </w:p>
    <w:p w14:paraId="0D48A99D" w14:textId="27600CB9" w:rsidR="002D21B8" w:rsidRPr="009D07E3" w:rsidRDefault="00FF5097" w:rsidP="000A333F">
      <w:pPr>
        <w:rPr>
          <w:rFonts w:cs="Arial"/>
          <w:lang w:val="en-CA"/>
        </w:rPr>
      </w:pPr>
      <w:r w:rsidRPr="009D07E3">
        <w:rPr>
          <w:rFonts w:cs="Arial"/>
          <w:lang w:val="en-CA"/>
        </w:rPr>
        <w:t xml:space="preserve">The situational analysis noted some of the changing context in which the program </w:t>
      </w:r>
      <w:r w:rsidR="00FE2325" w:rsidRPr="009D07E3">
        <w:rPr>
          <w:rFonts w:cs="Arial"/>
          <w:lang w:val="en-CA"/>
        </w:rPr>
        <w:t xml:space="preserve">currently </w:t>
      </w:r>
      <w:r w:rsidRPr="009D07E3">
        <w:rPr>
          <w:rFonts w:cs="Arial"/>
          <w:lang w:val="en-CA"/>
        </w:rPr>
        <w:t xml:space="preserve">operates. </w:t>
      </w:r>
      <w:r w:rsidR="002D21B8" w:rsidRPr="009D07E3">
        <w:rPr>
          <w:rFonts w:cs="Arial"/>
          <w:lang w:val="en-CA"/>
        </w:rPr>
        <w:t xml:space="preserve">  </w:t>
      </w:r>
      <w:r w:rsidR="00A01994" w:rsidRPr="009D07E3">
        <w:rPr>
          <w:rFonts w:cs="Arial"/>
          <w:lang w:val="en-CA"/>
        </w:rPr>
        <w:t xml:space="preserve">There are two aspects of the program logic that </w:t>
      </w:r>
      <w:r w:rsidR="001F182B" w:rsidRPr="009D07E3">
        <w:rPr>
          <w:rFonts w:cs="Arial"/>
          <w:lang w:val="en-CA"/>
        </w:rPr>
        <w:t xml:space="preserve">need to be revisited in light of </w:t>
      </w:r>
      <w:r w:rsidR="00FE2325" w:rsidRPr="009D07E3">
        <w:rPr>
          <w:rFonts w:cs="Arial"/>
          <w:lang w:val="en-CA"/>
        </w:rPr>
        <w:t xml:space="preserve">the </w:t>
      </w:r>
      <w:r w:rsidR="001F182B" w:rsidRPr="009D07E3">
        <w:rPr>
          <w:rFonts w:cs="Arial"/>
          <w:lang w:val="en-CA"/>
        </w:rPr>
        <w:t xml:space="preserve">changes in context and priorities over the last four years. The first is with regard to how important women’s engagement will be at the village level in </w:t>
      </w:r>
      <w:r w:rsidR="00FE2325" w:rsidRPr="009D07E3">
        <w:rPr>
          <w:rFonts w:cs="Arial"/>
          <w:lang w:val="en-CA"/>
        </w:rPr>
        <w:t xml:space="preserve">the </w:t>
      </w:r>
      <w:r w:rsidR="001F182B" w:rsidRPr="009D07E3">
        <w:rPr>
          <w:rFonts w:cs="Arial"/>
          <w:lang w:val="en-CA"/>
        </w:rPr>
        <w:t xml:space="preserve">future and how MAMPU positions </w:t>
      </w:r>
      <w:r w:rsidR="00FE2325" w:rsidRPr="009D07E3">
        <w:rPr>
          <w:rFonts w:cs="Arial"/>
          <w:lang w:val="en-CA"/>
        </w:rPr>
        <w:t xml:space="preserve">itself </w:t>
      </w:r>
      <w:r w:rsidR="001F182B" w:rsidRPr="009D07E3">
        <w:rPr>
          <w:rFonts w:cs="Arial"/>
          <w:lang w:val="en-CA"/>
        </w:rPr>
        <w:t>for this</w:t>
      </w:r>
      <w:r w:rsidR="00FE2325" w:rsidRPr="009D07E3">
        <w:rPr>
          <w:rFonts w:cs="Arial"/>
          <w:lang w:val="en-CA"/>
        </w:rPr>
        <w:t>; and the second, is to revisit the notion of “livelihoods” and to develop a clear strategy for achieving impact in this area, given the lack of clarity</w:t>
      </w:r>
      <w:r w:rsidR="00A83F37" w:rsidRPr="009D07E3">
        <w:rPr>
          <w:rFonts w:cs="Arial"/>
          <w:lang w:val="en-CA"/>
        </w:rPr>
        <w:t xml:space="preserve"> concerning this topic</w:t>
      </w:r>
      <w:r w:rsidR="00FE2325" w:rsidRPr="009D07E3">
        <w:rPr>
          <w:rFonts w:cs="Arial"/>
          <w:lang w:val="en-CA"/>
        </w:rPr>
        <w:t xml:space="preserve"> in the original design. </w:t>
      </w:r>
      <w:r w:rsidR="001F182B" w:rsidRPr="009D07E3">
        <w:rPr>
          <w:rFonts w:cs="Arial"/>
          <w:lang w:val="en-CA"/>
        </w:rPr>
        <w:t xml:space="preserve"> </w:t>
      </w:r>
      <w:r w:rsidR="002D21B8" w:rsidRPr="009D07E3">
        <w:rPr>
          <w:rFonts w:cs="Arial"/>
          <w:lang w:val="en-CA"/>
        </w:rPr>
        <w:t xml:space="preserve">  </w:t>
      </w:r>
      <w:r w:rsidR="00891888">
        <w:rPr>
          <w:rFonts w:cs="Arial"/>
          <w:lang w:val="en-CA"/>
        </w:rPr>
        <w:t>Both of these were identified and discussed at length at the recent MAMPU Partner’s Strategic Consultative Forum.</w:t>
      </w:r>
    </w:p>
    <w:p w14:paraId="21340078" w14:textId="77777777" w:rsidR="003A24DB" w:rsidRPr="009D07E3" w:rsidRDefault="003A24DB" w:rsidP="000A333F">
      <w:pPr>
        <w:rPr>
          <w:rFonts w:cs="Arial"/>
          <w:lang w:val="en-CA"/>
        </w:rPr>
      </w:pPr>
    </w:p>
    <w:p w14:paraId="0282C899" w14:textId="14D5567E" w:rsidR="00FF5097" w:rsidRPr="009D07E3" w:rsidRDefault="00FF5097" w:rsidP="008F281B">
      <w:pPr>
        <w:pStyle w:val="Heading2"/>
        <w:rPr>
          <w:lang w:val="en-CA"/>
        </w:rPr>
      </w:pPr>
      <w:bookmarkStart w:id="17" w:name="_Toc423438705"/>
      <w:r w:rsidRPr="009D07E3">
        <w:rPr>
          <w:lang w:val="en-CA"/>
        </w:rPr>
        <w:t>I</w:t>
      </w:r>
      <w:r w:rsidR="002D21B8" w:rsidRPr="009D07E3">
        <w:rPr>
          <w:lang w:val="en-CA"/>
        </w:rPr>
        <w:t>ncreas</w:t>
      </w:r>
      <w:r w:rsidRPr="009D07E3">
        <w:rPr>
          <w:lang w:val="en-CA"/>
        </w:rPr>
        <w:t>ing</w:t>
      </w:r>
      <w:r w:rsidR="002D21B8" w:rsidRPr="009D07E3">
        <w:rPr>
          <w:lang w:val="en-CA"/>
        </w:rPr>
        <w:t xml:space="preserve"> the </w:t>
      </w:r>
      <w:r w:rsidR="00BB489B">
        <w:rPr>
          <w:lang w:val="en-CA"/>
        </w:rPr>
        <w:t>V</w:t>
      </w:r>
      <w:r w:rsidR="002D21B8" w:rsidRPr="009D07E3">
        <w:rPr>
          <w:lang w:val="en-CA"/>
        </w:rPr>
        <w:t xml:space="preserve">oice and </w:t>
      </w:r>
      <w:r w:rsidR="00BB489B">
        <w:rPr>
          <w:lang w:val="en-CA"/>
        </w:rPr>
        <w:t>A</w:t>
      </w:r>
      <w:r w:rsidR="002D21B8" w:rsidRPr="009D07E3">
        <w:rPr>
          <w:lang w:val="en-CA"/>
        </w:rPr>
        <w:t xml:space="preserve">gency of </w:t>
      </w:r>
      <w:r w:rsidR="00BB489B">
        <w:rPr>
          <w:lang w:val="en-CA"/>
        </w:rPr>
        <w:t>W</w:t>
      </w:r>
      <w:r w:rsidR="002D21B8" w:rsidRPr="009D07E3">
        <w:rPr>
          <w:lang w:val="en-CA"/>
        </w:rPr>
        <w:t xml:space="preserve">omen at the </w:t>
      </w:r>
      <w:r w:rsidR="00BB489B">
        <w:rPr>
          <w:lang w:val="en-CA"/>
        </w:rPr>
        <w:t>V</w:t>
      </w:r>
      <w:r w:rsidR="002D21B8" w:rsidRPr="009D07E3">
        <w:rPr>
          <w:lang w:val="en-CA"/>
        </w:rPr>
        <w:t xml:space="preserve">illage </w:t>
      </w:r>
      <w:r w:rsidR="00BB489B">
        <w:rPr>
          <w:lang w:val="en-CA"/>
        </w:rPr>
        <w:t>L</w:t>
      </w:r>
      <w:r w:rsidR="002D21B8" w:rsidRPr="009D07E3">
        <w:rPr>
          <w:lang w:val="en-CA"/>
        </w:rPr>
        <w:t>evel</w:t>
      </w:r>
      <w:bookmarkEnd w:id="17"/>
    </w:p>
    <w:p w14:paraId="6302BB81" w14:textId="77777777" w:rsidR="003A24DB" w:rsidRPr="009D07E3" w:rsidRDefault="003A24DB" w:rsidP="000A333F">
      <w:pPr>
        <w:rPr>
          <w:rFonts w:cs="Arial"/>
          <w:lang w:val="en-CA"/>
        </w:rPr>
      </w:pPr>
    </w:p>
    <w:p w14:paraId="12065C46" w14:textId="6E823502" w:rsidR="00FF5097" w:rsidRPr="009D07E3" w:rsidRDefault="002D21B8" w:rsidP="000A333F">
      <w:pPr>
        <w:rPr>
          <w:rFonts w:cs="Arial"/>
          <w:lang w:val="en-CA"/>
        </w:rPr>
      </w:pPr>
      <w:r w:rsidRPr="009D07E3">
        <w:rPr>
          <w:rFonts w:cs="Arial"/>
          <w:lang w:val="en-CA"/>
        </w:rPr>
        <w:t>At the time that MAMPU was designed, the district level was arguably the most important level for focus since this was the level at which a number of local reg</w:t>
      </w:r>
      <w:r w:rsidR="00FF5097" w:rsidRPr="009D07E3">
        <w:rPr>
          <w:rFonts w:cs="Arial"/>
          <w:lang w:val="en-CA"/>
        </w:rPr>
        <w:t>u</w:t>
      </w:r>
      <w:r w:rsidRPr="009D07E3">
        <w:rPr>
          <w:rFonts w:cs="Arial"/>
          <w:lang w:val="en-CA"/>
        </w:rPr>
        <w:t xml:space="preserve">lations restricting gender equality and reducing women’s freedoms were being formulated.  It </w:t>
      </w:r>
      <w:r w:rsidR="00BB6B17" w:rsidRPr="009D07E3">
        <w:rPr>
          <w:rFonts w:cs="Arial"/>
          <w:lang w:val="en-CA"/>
        </w:rPr>
        <w:t>i</w:t>
      </w:r>
      <w:r w:rsidRPr="009D07E3">
        <w:rPr>
          <w:rFonts w:cs="Arial"/>
          <w:lang w:val="en-CA"/>
        </w:rPr>
        <w:t>s also the m</w:t>
      </w:r>
      <w:r w:rsidR="00FF5097" w:rsidRPr="009D07E3">
        <w:rPr>
          <w:rFonts w:cs="Arial"/>
          <w:lang w:val="en-CA"/>
        </w:rPr>
        <w:t xml:space="preserve">ain level at which government budget and spending decisions </w:t>
      </w:r>
      <w:r w:rsidRPr="009D07E3">
        <w:rPr>
          <w:rFonts w:cs="Arial"/>
          <w:lang w:val="en-CA"/>
        </w:rPr>
        <w:t>for essential services</w:t>
      </w:r>
      <w:r w:rsidR="00FF5097" w:rsidRPr="009D07E3">
        <w:rPr>
          <w:rFonts w:cs="Arial"/>
          <w:lang w:val="en-CA"/>
        </w:rPr>
        <w:t xml:space="preserve"> </w:t>
      </w:r>
      <w:r w:rsidR="00BB6B17" w:rsidRPr="009D07E3">
        <w:rPr>
          <w:rFonts w:cs="Arial"/>
          <w:lang w:val="en-CA"/>
        </w:rPr>
        <w:t>are</w:t>
      </w:r>
      <w:r w:rsidR="00FF5097" w:rsidRPr="009D07E3">
        <w:rPr>
          <w:rFonts w:cs="Arial"/>
          <w:lang w:val="en-CA"/>
        </w:rPr>
        <w:t xml:space="preserve"> made</w:t>
      </w:r>
      <w:r w:rsidRPr="009D07E3">
        <w:rPr>
          <w:rFonts w:cs="Arial"/>
          <w:lang w:val="en-CA"/>
        </w:rPr>
        <w:t xml:space="preserve">, and </w:t>
      </w:r>
      <w:r w:rsidR="00FF5097" w:rsidRPr="009D07E3">
        <w:rPr>
          <w:rFonts w:cs="Arial"/>
          <w:lang w:val="en-CA"/>
        </w:rPr>
        <w:t xml:space="preserve">where responsibility for delivering these services lies with the district government.  There is a realistic potential </w:t>
      </w:r>
      <w:r w:rsidRPr="009D07E3">
        <w:rPr>
          <w:rFonts w:cs="Arial"/>
          <w:lang w:val="en-CA"/>
        </w:rPr>
        <w:t>for wom</w:t>
      </w:r>
      <w:r w:rsidR="00FF5097" w:rsidRPr="009D07E3">
        <w:rPr>
          <w:rFonts w:cs="Arial"/>
          <w:lang w:val="en-CA"/>
        </w:rPr>
        <w:t>en to be able to influence policy formulation and implementation at this level</w:t>
      </w:r>
      <w:r w:rsidRPr="009D07E3">
        <w:rPr>
          <w:rFonts w:cs="Arial"/>
          <w:lang w:val="en-CA"/>
        </w:rPr>
        <w:t xml:space="preserve">.  </w:t>
      </w:r>
    </w:p>
    <w:p w14:paraId="7FC4B00B" w14:textId="77777777" w:rsidR="00FF5097" w:rsidRPr="009D07E3" w:rsidRDefault="00FF5097" w:rsidP="000A333F">
      <w:pPr>
        <w:rPr>
          <w:rFonts w:cs="Arial"/>
          <w:lang w:val="en-CA"/>
        </w:rPr>
      </w:pPr>
    </w:p>
    <w:p w14:paraId="379FA021" w14:textId="2DAC4358" w:rsidR="002D21B8" w:rsidRPr="009D07E3" w:rsidRDefault="00FF5097" w:rsidP="000A333F">
      <w:pPr>
        <w:rPr>
          <w:rFonts w:cs="Arial"/>
          <w:lang w:val="en-CA"/>
        </w:rPr>
      </w:pPr>
      <w:r w:rsidRPr="009D07E3">
        <w:rPr>
          <w:rFonts w:cs="Arial"/>
          <w:lang w:val="en-CA"/>
        </w:rPr>
        <w:t>While this still stands, t</w:t>
      </w:r>
      <w:r w:rsidR="002D21B8" w:rsidRPr="009D07E3">
        <w:rPr>
          <w:rFonts w:cs="Arial"/>
          <w:lang w:val="en-CA"/>
        </w:rPr>
        <w:t xml:space="preserve">he introduction of the UU </w:t>
      </w:r>
      <w:proofErr w:type="spellStart"/>
      <w:r w:rsidR="002D21B8" w:rsidRPr="009D07E3">
        <w:rPr>
          <w:rFonts w:cs="Arial"/>
          <w:lang w:val="en-CA"/>
        </w:rPr>
        <w:t>Desa</w:t>
      </w:r>
      <w:proofErr w:type="spellEnd"/>
      <w:r w:rsidR="001C690B" w:rsidRPr="009D07E3">
        <w:rPr>
          <w:rFonts w:cs="Arial"/>
          <w:lang w:val="en-CA"/>
        </w:rPr>
        <w:t xml:space="preserve"> and the associated increase in funding to the village level</w:t>
      </w:r>
      <w:r w:rsidR="001F182B" w:rsidRPr="009D07E3">
        <w:rPr>
          <w:rFonts w:cs="Arial"/>
          <w:lang w:val="en-CA"/>
        </w:rPr>
        <w:t xml:space="preserve"> </w:t>
      </w:r>
      <w:r w:rsidRPr="009D07E3">
        <w:rPr>
          <w:rFonts w:cs="Arial"/>
          <w:lang w:val="en-CA"/>
        </w:rPr>
        <w:t xml:space="preserve">means that decisions made at </w:t>
      </w:r>
      <w:r w:rsidR="001C690B" w:rsidRPr="009D07E3">
        <w:rPr>
          <w:rFonts w:cs="Arial"/>
          <w:lang w:val="en-CA"/>
        </w:rPr>
        <w:t xml:space="preserve">this level </w:t>
      </w:r>
      <w:r w:rsidR="001F182B" w:rsidRPr="009D07E3">
        <w:rPr>
          <w:rFonts w:cs="Arial"/>
          <w:lang w:val="en-CA"/>
        </w:rPr>
        <w:t xml:space="preserve">have the potential to </w:t>
      </w:r>
      <w:r w:rsidRPr="009D07E3">
        <w:rPr>
          <w:rFonts w:cs="Arial"/>
          <w:lang w:val="en-CA"/>
        </w:rPr>
        <w:t xml:space="preserve">have a greater impact on women’s lives in the future.  This </w:t>
      </w:r>
      <w:r w:rsidR="001C690B" w:rsidRPr="009D07E3">
        <w:rPr>
          <w:rFonts w:cs="Arial"/>
          <w:lang w:val="en-CA"/>
        </w:rPr>
        <w:t>represent</w:t>
      </w:r>
      <w:r w:rsidR="001F182B" w:rsidRPr="009D07E3">
        <w:rPr>
          <w:rFonts w:cs="Arial"/>
          <w:lang w:val="en-CA"/>
        </w:rPr>
        <w:t xml:space="preserve">s </w:t>
      </w:r>
      <w:r w:rsidR="002D21B8" w:rsidRPr="009D07E3">
        <w:rPr>
          <w:rFonts w:cs="Arial"/>
          <w:lang w:val="en-CA"/>
        </w:rPr>
        <w:t>a</w:t>
      </w:r>
      <w:r w:rsidR="001C690B" w:rsidRPr="009D07E3">
        <w:rPr>
          <w:rFonts w:cs="Arial"/>
          <w:lang w:val="en-CA"/>
        </w:rPr>
        <w:t xml:space="preserve"> significant</w:t>
      </w:r>
      <w:r w:rsidR="002D21B8" w:rsidRPr="009D07E3">
        <w:rPr>
          <w:rFonts w:cs="Arial"/>
          <w:lang w:val="en-CA"/>
        </w:rPr>
        <w:t xml:space="preserve"> opportunity, since it could become a way for women </w:t>
      </w:r>
      <w:r w:rsidR="00B1149E" w:rsidRPr="009D07E3">
        <w:rPr>
          <w:rFonts w:cs="Arial"/>
          <w:lang w:val="en-CA"/>
        </w:rPr>
        <w:t xml:space="preserve">to </w:t>
      </w:r>
      <w:r w:rsidRPr="009D07E3">
        <w:rPr>
          <w:rFonts w:cs="Arial"/>
          <w:lang w:val="en-CA"/>
        </w:rPr>
        <w:t>promote</w:t>
      </w:r>
      <w:r w:rsidR="002D21B8" w:rsidRPr="009D07E3">
        <w:rPr>
          <w:rFonts w:cs="Arial"/>
          <w:lang w:val="en-CA"/>
        </w:rPr>
        <w:t xml:space="preserve"> innovative solutions that help them overcome the barriers and constraints to access to services or to fulfilling their economic potential. </w:t>
      </w:r>
      <w:r w:rsidR="001F182B" w:rsidRPr="009D07E3">
        <w:rPr>
          <w:rFonts w:cs="Arial"/>
          <w:lang w:val="en-CA"/>
        </w:rPr>
        <w:t xml:space="preserve"> H</w:t>
      </w:r>
      <w:r w:rsidR="00A3332B" w:rsidRPr="009D07E3">
        <w:rPr>
          <w:rFonts w:cs="Arial"/>
          <w:lang w:val="en-CA"/>
        </w:rPr>
        <w:t>owever,</w:t>
      </w:r>
      <w:r w:rsidR="006A1F8A" w:rsidRPr="009D07E3">
        <w:rPr>
          <w:rFonts w:cs="Arial"/>
          <w:lang w:val="en-CA"/>
        </w:rPr>
        <w:t xml:space="preserve"> this is all dependent on women at this level having sufficient voice and agency, and being empowered. </w:t>
      </w:r>
    </w:p>
    <w:p w14:paraId="325860B5" w14:textId="77777777" w:rsidR="00A3332B" w:rsidRPr="009D07E3" w:rsidRDefault="00A3332B" w:rsidP="000A333F">
      <w:pPr>
        <w:rPr>
          <w:rFonts w:cs="Arial"/>
          <w:lang w:val="en-CA"/>
        </w:rPr>
      </w:pPr>
    </w:p>
    <w:p w14:paraId="4E41499F" w14:textId="55673120" w:rsidR="00A3332B" w:rsidRPr="009D07E3" w:rsidRDefault="00A3332B" w:rsidP="000A333F">
      <w:pPr>
        <w:rPr>
          <w:rFonts w:cs="Arial"/>
          <w:lang w:val="en-CA"/>
        </w:rPr>
      </w:pPr>
      <w:r w:rsidRPr="009D07E3">
        <w:rPr>
          <w:rFonts w:cs="Arial"/>
          <w:lang w:val="en-CA"/>
        </w:rPr>
        <w:t xml:space="preserve">During the </w:t>
      </w:r>
      <w:r w:rsidR="0041277E" w:rsidRPr="009D07E3">
        <w:rPr>
          <w:rFonts w:cs="Arial"/>
          <w:lang w:val="en-CA"/>
        </w:rPr>
        <w:t xml:space="preserve">program’s </w:t>
      </w:r>
      <w:r w:rsidRPr="009D07E3">
        <w:rPr>
          <w:rFonts w:cs="Arial"/>
          <w:lang w:val="en-CA"/>
        </w:rPr>
        <w:t xml:space="preserve">first phase, the focus has been </w:t>
      </w:r>
      <w:r w:rsidR="0041277E" w:rsidRPr="009D07E3">
        <w:rPr>
          <w:rFonts w:cs="Arial"/>
          <w:lang w:val="en-CA"/>
        </w:rPr>
        <w:t>predominantly on</w:t>
      </w:r>
      <w:r w:rsidRPr="009D07E3">
        <w:rPr>
          <w:rFonts w:cs="Arial"/>
          <w:lang w:val="en-CA"/>
        </w:rPr>
        <w:t xml:space="preserve"> strengthening MAMPU partners, and their local partners</w:t>
      </w:r>
      <w:r w:rsidR="00E53643" w:rsidRPr="009D07E3">
        <w:rPr>
          <w:rFonts w:cs="Arial"/>
          <w:lang w:val="en-CA"/>
        </w:rPr>
        <w:t>, who operate at the village level</w:t>
      </w:r>
      <w:r w:rsidRPr="009D07E3">
        <w:rPr>
          <w:rFonts w:cs="Arial"/>
          <w:lang w:val="en-CA"/>
        </w:rPr>
        <w:t xml:space="preserve">. </w:t>
      </w:r>
      <w:r w:rsidR="00E53643" w:rsidRPr="009D07E3">
        <w:rPr>
          <w:rFonts w:cs="Arial"/>
          <w:lang w:val="en-CA"/>
        </w:rPr>
        <w:t xml:space="preserve">It is assumed that women at the village level are the end beneficiaries </w:t>
      </w:r>
      <w:r w:rsidR="00645FE5" w:rsidRPr="009D07E3">
        <w:rPr>
          <w:rFonts w:cs="Arial"/>
          <w:lang w:val="en-CA"/>
        </w:rPr>
        <w:t>and</w:t>
      </w:r>
      <w:r w:rsidR="00E53643" w:rsidRPr="009D07E3">
        <w:rPr>
          <w:rFonts w:cs="Arial"/>
          <w:lang w:val="en-CA"/>
        </w:rPr>
        <w:t xml:space="preserve"> that their access to services and livelihoods will be improved. </w:t>
      </w:r>
      <w:r w:rsidR="00B1149E" w:rsidRPr="009D07E3">
        <w:rPr>
          <w:rFonts w:cs="Arial"/>
          <w:lang w:val="en-CA"/>
        </w:rPr>
        <w:t xml:space="preserve"> </w:t>
      </w:r>
      <w:r w:rsidRPr="009D07E3">
        <w:rPr>
          <w:rFonts w:cs="Arial"/>
          <w:lang w:val="en-CA"/>
        </w:rPr>
        <w:t xml:space="preserve">There has been no specific focus on </w:t>
      </w:r>
      <w:r w:rsidRPr="009D07E3">
        <w:rPr>
          <w:rFonts w:cs="Arial"/>
          <w:u w:val="single"/>
          <w:lang w:val="en-CA"/>
        </w:rPr>
        <w:t>empowerment</w:t>
      </w:r>
      <w:r w:rsidRPr="009D07E3">
        <w:rPr>
          <w:rFonts w:cs="Arial"/>
          <w:lang w:val="en-CA"/>
        </w:rPr>
        <w:t xml:space="preserve"> of women in the villages in order to increase their voice and agency at th</w:t>
      </w:r>
      <w:r w:rsidR="00A522D5" w:rsidRPr="009D07E3">
        <w:rPr>
          <w:rFonts w:cs="Arial"/>
          <w:lang w:val="en-CA"/>
        </w:rPr>
        <w:t>is</w:t>
      </w:r>
      <w:r w:rsidRPr="009D07E3">
        <w:rPr>
          <w:rFonts w:cs="Arial"/>
          <w:lang w:val="en-CA"/>
        </w:rPr>
        <w:t xml:space="preserve"> le</w:t>
      </w:r>
      <w:r w:rsidR="001F182B" w:rsidRPr="009D07E3">
        <w:rPr>
          <w:rFonts w:cs="Arial"/>
          <w:lang w:val="en-CA"/>
        </w:rPr>
        <w:t>vel.  This</w:t>
      </w:r>
      <w:r w:rsidR="00A522D5" w:rsidRPr="009D07E3">
        <w:rPr>
          <w:rFonts w:cs="Arial"/>
          <w:lang w:val="en-CA"/>
        </w:rPr>
        <w:t xml:space="preserve"> is something that now needs to be addressed</w:t>
      </w:r>
      <w:r w:rsidR="001F182B" w:rsidRPr="009D07E3">
        <w:rPr>
          <w:rFonts w:cs="Arial"/>
          <w:lang w:val="en-CA"/>
        </w:rPr>
        <w:t>, and the</w:t>
      </w:r>
      <w:r w:rsidR="00A522D5" w:rsidRPr="009D07E3">
        <w:rPr>
          <w:rFonts w:cs="Arial"/>
          <w:lang w:val="en-CA"/>
        </w:rPr>
        <w:t xml:space="preserve"> Phase Two</w:t>
      </w:r>
      <w:r w:rsidR="001F182B" w:rsidRPr="009D07E3">
        <w:rPr>
          <w:rFonts w:cs="Arial"/>
          <w:lang w:val="en-CA"/>
        </w:rPr>
        <w:t xml:space="preserve"> implementation plan </w:t>
      </w:r>
      <w:r w:rsidR="00A522D5" w:rsidRPr="009D07E3">
        <w:rPr>
          <w:rFonts w:cs="Arial"/>
          <w:lang w:val="en-CA"/>
        </w:rPr>
        <w:t xml:space="preserve">will </w:t>
      </w:r>
      <w:r w:rsidR="001F182B" w:rsidRPr="009D07E3">
        <w:rPr>
          <w:rFonts w:cs="Arial"/>
          <w:lang w:val="en-CA"/>
        </w:rPr>
        <w:t xml:space="preserve">include the </w:t>
      </w:r>
      <w:r w:rsidR="00A522D5" w:rsidRPr="009D07E3">
        <w:rPr>
          <w:rFonts w:cs="Arial"/>
          <w:lang w:val="en-CA"/>
        </w:rPr>
        <w:t xml:space="preserve">necessary </w:t>
      </w:r>
      <w:r w:rsidR="001F182B" w:rsidRPr="009D07E3">
        <w:rPr>
          <w:rFonts w:cs="Arial"/>
          <w:lang w:val="en-CA"/>
        </w:rPr>
        <w:t>steps</w:t>
      </w:r>
      <w:r w:rsidR="00A522D5" w:rsidRPr="009D07E3">
        <w:rPr>
          <w:rFonts w:cs="Arial"/>
          <w:lang w:val="en-CA"/>
        </w:rPr>
        <w:t xml:space="preserve"> needed to undertake this</w:t>
      </w:r>
      <w:r w:rsidR="001F182B" w:rsidRPr="009D07E3">
        <w:rPr>
          <w:rFonts w:cs="Arial"/>
          <w:lang w:val="en-CA"/>
        </w:rPr>
        <w:t>.</w:t>
      </w:r>
    </w:p>
    <w:p w14:paraId="7AE041BD" w14:textId="77777777" w:rsidR="003A24DB" w:rsidRPr="009D07E3" w:rsidRDefault="003A24DB" w:rsidP="000A333F">
      <w:pPr>
        <w:rPr>
          <w:rFonts w:cs="Arial"/>
          <w:lang w:val="en-CA"/>
        </w:rPr>
      </w:pPr>
    </w:p>
    <w:p w14:paraId="2A457F6B" w14:textId="2E6C503D" w:rsidR="00A3332B" w:rsidRPr="009D07E3" w:rsidRDefault="00325778" w:rsidP="008F281B">
      <w:pPr>
        <w:pStyle w:val="Heading2"/>
        <w:rPr>
          <w:lang w:val="en-CA"/>
        </w:rPr>
      </w:pPr>
      <w:bookmarkStart w:id="18" w:name="_Toc423438706"/>
      <w:r w:rsidRPr="009D07E3">
        <w:rPr>
          <w:lang w:val="en-CA"/>
        </w:rPr>
        <w:t xml:space="preserve">Redefining </w:t>
      </w:r>
      <w:r w:rsidR="00BB489B">
        <w:rPr>
          <w:lang w:val="en-CA"/>
        </w:rPr>
        <w:t>L</w:t>
      </w:r>
      <w:r w:rsidRPr="009D07E3">
        <w:rPr>
          <w:lang w:val="en-CA"/>
        </w:rPr>
        <w:t>ivelihoods</w:t>
      </w:r>
      <w:bookmarkEnd w:id="18"/>
      <w:r w:rsidRPr="009D07E3">
        <w:rPr>
          <w:lang w:val="en-CA"/>
        </w:rPr>
        <w:t xml:space="preserve"> </w:t>
      </w:r>
    </w:p>
    <w:p w14:paraId="0846F5DC" w14:textId="77777777" w:rsidR="003A24DB" w:rsidRPr="009D07E3" w:rsidRDefault="003A24DB" w:rsidP="000A333F">
      <w:pPr>
        <w:rPr>
          <w:rFonts w:cs="Arial"/>
          <w:lang w:val="en-CA"/>
        </w:rPr>
      </w:pPr>
    </w:p>
    <w:p w14:paraId="0A6BE86B" w14:textId="30FB1C4E" w:rsidR="004F2C92" w:rsidRPr="009D07E3" w:rsidRDefault="00325778" w:rsidP="000A333F">
      <w:pPr>
        <w:rPr>
          <w:rFonts w:cs="Arial"/>
          <w:lang w:val="en-CA"/>
        </w:rPr>
      </w:pPr>
      <w:r w:rsidRPr="009D07E3">
        <w:rPr>
          <w:rFonts w:cs="Arial"/>
          <w:lang w:val="en-CA"/>
        </w:rPr>
        <w:t xml:space="preserve">The original </w:t>
      </w:r>
      <w:r w:rsidR="00FF7074" w:rsidRPr="009D07E3">
        <w:rPr>
          <w:rFonts w:cs="Arial"/>
          <w:lang w:val="en-CA"/>
        </w:rPr>
        <w:t>design documents identified improved livelihoods as one of the end goals of MAMPU without clarifying</w:t>
      </w:r>
      <w:r w:rsidR="00C66CB8" w:rsidRPr="009D07E3">
        <w:rPr>
          <w:rFonts w:cs="Arial"/>
          <w:lang w:val="en-CA"/>
        </w:rPr>
        <w:t xml:space="preserve"> </w:t>
      </w:r>
      <w:r w:rsidR="00960FCF" w:rsidRPr="009D07E3">
        <w:rPr>
          <w:rFonts w:cs="Arial"/>
          <w:lang w:val="en-CA"/>
        </w:rPr>
        <w:t>the specific details surrounding the objective</w:t>
      </w:r>
      <w:r w:rsidR="00C66CB8" w:rsidRPr="009D07E3">
        <w:rPr>
          <w:rFonts w:cs="Arial"/>
          <w:lang w:val="en-CA"/>
        </w:rPr>
        <w:t>.  One</w:t>
      </w:r>
      <w:r w:rsidR="00FF7074" w:rsidRPr="009D07E3">
        <w:rPr>
          <w:rFonts w:cs="Arial"/>
          <w:lang w:val="en-CA"/>
        </w:rPr>
        <w:t xml:space="preserve"> of the thematic area</w:t>
      </w:r>
      <w:r w:rsidR="00C66CB8" w:rsidRPr="009D07E3">
        <w:rPr>
          <w:rFonts w:cs="Arial"/>
          <w:lang w:val="en-CA"/>
        </w:rPr>
        <w:t>s (access to jobs)</w:t>
      </w:r>
      <w:r w:rsidR="00FF7074" w:rsidRPr="009D07E3">
        <w:rPr>
          <w:rFonts w:cs="Arial"/>
          <w:lang w:val="en-CA"/>
        </w:rPr>
        <w:t xml:space="preserve"> </w:t>
      </w:r>
      <w:r w:rsidR="00C66CB8" w:rsidRPr="009D07E3">
        <w:rPr>
          <w:rFonts w:cs="Arial"/>
          <w:lang w:val="en-CA"/>
        </w:rPr>
        <w:t>specifically relates to economic activity</w:t>
      </w:r>
      <w:r w:rsidR="00960FCF" w:rsidRPr="009D07E3">
        <w:rPr>
          <w:rFonts w:cs="Arial"/>
          <w:lang w:val="en-CA"/>
        </w:rPr>
        <w:t>,</w:t>
      </w:r>
      <w:r w:rsidR="00C66CB8" w:rsidRPr="009D07E3">
        <w:rPr>
          <w:rFonts w:cs="Arial"/>
          <w:lang w:val="en-CA"/>
        </w:rPr>
        <w:t xml:space="preserve"> yet the operational focus of this is narrow (home</w:t>
      </w:r>
      <w:r w:rsidR="00960FCF" w:rsidRPr="009D07E3">
        <w:rPr>
          <w:rFonts w:cs="Arial"/>
          <w:lang w:val="en-CA"/>
        </w:rPr>
        <w:t>-</w:t>
      </w:r>
      <w:r w:rsidR="00C66CB8" w:rsidRPr="009D07E3">
        <w:rPr>
          <w:rFonts w:cs="Arial"/>
          <w:lang w:val="en-CA"/>
        </w:rPr>
        <w:t xml:space="preserve">based workers) and it </w:t>
      </w:r>
      <w:r w:rsidR="00AB71A2" w:rsidRPr="009D07E3">
        <w:rPr>
          <w:rFonts w:cs="Arial"/>
          <w:lang w:val="en-CA"/>
        </w:rPr>
        <w:t>remains</w:t>
      </w:r>
      <w:r w:rsidR="00C66CB8" w:rsidRPr="009D07E3">
        <w:rPr>
          <w:rFonts w:cs="Arial"/>
          <w:lang w:val="en-CA"/>
        </w:rPr>
        <w:t xml:space="preserve"> somewhat disconnected from the work of other partners.  There are three issues with the approach so far.  The first is</w:t>
      </w:r>
      <w:r w:rsidR="00ED00E3" w:rsidRPr="009D07E3">
        <w:rPr>
          <w:rFonts w:cs="Arial"/>
          <w:lang w:val="en-CA"/>
        </w:rPr>
        <w:t xml:space="preserve"> </w:t>
      </w:r>
      <w:r w:rsidR="00C66CB8" w:rsidRPr="009D07E3">
        <w:rPr>
          <w:rFonts w:cs="Arial"/>
          <w:lang w:val="en-CA"/>
        </w:rPr>
        <w:t xml:space="preserve">that </w:t>
      </w:r>
      <w:r w:rsidR="00F35E91">
        <w:rPr>
          <w:rFonts w:cs="Arial"/>
          <w:lang w:val="en-CA"/>
        </w:rPr>
        <w:t xml:space="preserve">although most </w:t>
      </w:r>
      <w:r w:rsidR="003F6113" w:rsidRPr="009D07E3">
        <w:rPr>
          <w:rFonts w:cs="Arial"/>
          <w:lang w:val="en-CA"/>
        </w:rPr>
        <w:t>MAMPU partners or their local partners actually do engage in economic activities with the women they work with at the village level, much of this is not captured</w:t>
      </w:r>
      <w:r w:rsidR="00ED00E3" w:rsidRPr="009D07E3">
        <w:rPr>
          <w:rFonts w:cs="Arial"/>
          <w:lang w:val="en-CA"/>
        </w:rPr>
        <w:t>,</w:t>
      </w:r>
      <w:r w:rsidR="003F6113" w:rsidRPr="009D07E3">
        <w:rPr>
          <w:rFonts w:cs="Arial"/>
          <w:lang w:val="en-CA"/>
        </w:rPr>
        <w:t xml:space="preserve"> since thematically</w:t>
      </w:r>
      <w:r w:rsidR="00B1149E" w:rsidRPr="009D07E3">
        <w:rPr>
          <w:rFonts w:cs="Arial"/>
          <w:lang w:val="en-CA"/>
        </w:rPr>
        <w:t>,</w:t>
      </w:r>
      <w:r w:rsidR="003F6113" w:rsidRPr="009D07E3">
        <w:rPr>
          <w:rFonts w:cs="Arial"/>
          <w:lang w:val="en-CA"/>
        </w:rPr>
        <w:t xml:space="preserve"> with respect to their MAMPU activities</w:t>
      </w:r>
      <w:r w:rsidR="00ED00E3" w:rsidRPr="009D07E3">
        <w:rPr>
          <w:rFonts w:cs="Arial"/>
          <w:lang w:val="en-CA"/>
        </w:rPr>
        <w:t>,</w:t>
      </w:r>
      <w:r w:rsidR="003F6113" w:rsidRPr="009D07E3">
        <w:rPr>
          <w:rFonts w:cs="Arial"/>
          <w:lang w:val="en-CA"/>
        </w:rPr>
        <w:t xml:space="preserve"> their focus in is other areas.  The second issue is that the specific policies that need to be influenced in order to make a difference have not</w:t>
      </w:r>
      <w:r w:rsidR="00BD0CDD" w:rsidRPr="009D07E3">
        <w:rPr>
          <w:rFonts w:cs="Arial"/>
          <w:lang w:val="en-CA"/>
        </w:rPr>
        <w:t xml:space="preserve"> yet</w:t>
      </w:r>
      <w:r w:rsidR="003F6113" w:rsidRPr="009D07E3">
        <w:rPr>
          <w:rFonts w:cs="Arial"/>
          <w:lang w:val="en-CA"/>
        </w:rPr>
        <w:t xml:space="preserve"> been identified</w:t>
      </w:r>
      <w:r w:rsidR="00413809" w:rsidRPr="009D07E3">
        <w:rPr>
          <w:rFonts w:cs="Arial"/>
          <w:lang w:val="en-CA"/>
        </w:rPr>
        <w:t>. Lastly,</w:t>
      </w:r>
      <w:r w:rsidR="003F6113" w:rsidRPr="009D07E3">
        <w:rPr>
          <w:rFonts w:cs="Arial"/>
          <w:lang w:val="en-CA"/>
        </w:rPr>
        <w:t xml:space="preserve"> once issues are identified, solutions </w:t>
      </w:r>
      <w:r w:rsidR="00ED00E3" w:rsidRPr="009D07E3">
        <w:rPr>
          <w:rFonts w:cs="Arial"/>
          <w:lang w:val="en-CA"/>
        </w:rPr>
        <w:t xml:space="preserve">may </w:t>
      </w:r>
      <w:r w:rsidR="003F6113" w:rsidRPr="009D07E3">
        <w:rPr>
          <w:rFonts w:cs="Arial"/>
          <w:lang w:val="en-CA"/>
        </w:rPr>
        <w:t>lie with a mixture of public policy, market, or private sector intervention</w:t>
      </w:r>
      <w:r w:rsidR="00D441DB" w:rsidRPr="009D07E3">
        <w:rPr>
          <w:rFonts w:cs="Arial"/>
          <w:lang w:val="en-CA"/>
        </w:rPr>
        <w:t>s</w:t>
      </w:r>
      <w:r w:rsidR="00B1149E" w:rsidRPr="009D07E3">
        <w:rPr>
          <w:rFonts w:cs="Arial"/>
          <w:lang w:val="en-CA"/>
        </w:rPr>
        <w:t xml:space="preserve"> </w:t>
      </w:r>
      <w:r w:rsidR="003F6113" w:rsidRPr="009D07E3">
        <w:rPr>
          <w:rFonts w:cs="Arial"/>
          <w:lang w:val="en-CA"/>
        </w:rPr>
        <w:t xml:space="preserve">which </w:t>
      </w:r>
      <w:r w:rsidR="00D441DB" w:rsidRPr="009D07E3">
        <w:rPr>
          <w:rFonts w:cs="Arial"/>
          <w:lang w:val="en-CA"/>
        </w:rPr>
        <w:t xml:space="preserve">may </w:t>
      </w:r>
      <w:r w:rsidR="003F6113" w:rsidRPr="009D07E3">
        <w:rPr>
          <w:rFonts w:cs="Arial"/>
          <w:lang w:val="en-CA"/>
        </w:rPr>
        <w:t>involve some different ways of working</w:t>
      </w:r>
      <w:r w:rsidR="004F2C92" w:rsidRPr="009D07E3">
        <w:rPr>
          <w:rFonts w:cs="Arial"/>
          <w:lang w:val="en-CA"/>
        </w:rPr>
        <w:t xml:space="preserve">. </w:t>
      </w:r>
    </w:p>
    <w:p w14:paraId="2A2B93BB" w14:textId="77777777" w:rsidR="004F2C92" w:rsidRPr="009D07E3" w:rsidRDefault="004F2C92" w:rsidP="000A333F">
      <w:pPr>
        <w:rPr>
          <w:rFonts w:cs="Arial"/>
          <w:lang w:val="en-CA"/>
        </w:rPr>
      </w:pPr>
    </w:p>
    <w:p w14:paraId="5E061592" w14:textId="22F8981B" w:rsidR="002D21B8" w:rsidRDefault="002D21B8" w:rsidP="000A333F">
      <w:pPr>
        <w:rPr>
          <w:rFonts w:cs="Arial"/>
          <w:lang w:val="en-CA"/>
        </w:rPr>
      </w:pPr>
      <w:r w:rsidRPr="009D07E3">
        <w:rPr>
          <w:rFonts w:cs="Arial"/>
          <w:lang w:val="en-CA"/>
        </w:rPr>
        <w:t xml:space="preserve">At the macro level, the dampened economic situation means that there are increasing returns to the state from </w:t>
      </w:r>
      <w:r w:rsidR="008B70E2" w:rsidRPr="009D07E3">
        <w:rPr>
          <w:rFonts w:cs="Arial"/>
          <w:lang w:val="en-CA"/>
        </w:rPr>
        <w:t xml:space="preserve">assisting </w:t>
      </w:r>
      <w:r w:rsidRPr="009D07E3">
        <w:rPr>
          <w:rFonts w:cs="Arial"/>
          <w:lang w:val="en-CA"/>
        </w:rPr>
        <w:t xml:space="preserve">women, especially poor women, </w:t>
      </w:r>
      <w:r w:rsidR="008B70E2" w:rsidRPr="009D07E3">
        <w:rPr>
          <w:rFonts w:cs="Arial"/>
          <w:lang w:val="en-CA"/>
        </w:rPr>
        <w:t xml:space="preserve">to </w:t>
      </w:r>
      <w:r w:rsidRPr="009D07E3">
        <w:rPr>
          <w:rFonts w:cs="Arial"/>
          <w:lang w:val="en-CA"/>
        </w:rPr>
        <w:t xml:space="preserve">meet their full economic potential.  There is significant scope to </w:t>
      </w:r>
      <w:r w:rsidRPr="009D07E3">
        <w:rPr>
          <w:rFonts w:cs="Arial"/>
          <w:i/>
          <w:lang w:val="en-CA"/>
        </w:rPr>
        <w:t>increase the size</w:t>
      </w:r>
      <w:r w:rsidRPr="009D07E3">
        <w:rPr>
          <w:rFonts w:cs="Arial"/>
          <w:lang w:val="en-CA"/>
        </w:rPr>
        <w:t xml:space="preserve"> of the labour force by bringing </w:t>
      </w:r>
      <w:r w:rsidR="008B70E2" w:rsidRPr="009D07E3">
        <w:rPr>
          <w:rFonts w:cs="Arial"/>
          <w:lang w:val="en-CA"/>
        </w:rPr>
        <w:t xml:space="preserve">in </w:t>
      </w:r>
      <w:r w:rsidRPr="009D07E3">
        <w:rPr>
          <w:rFonts w:cs="Arial"/>
          <w:lang w:val="en-CA"/>
        </w:rPr>
        <w:t xml:space="preserve">more women (see G20 box), although this would require policy support to identify and address the issues that have tempered progress over the last few decades.  There is also plenty of room to </w:t>
      </w:r>
      <w:r w:rsidRPr="009D07E3">
        <w:rPr>
          <w:rFonts w:cs="Arial"/>
          <w:i/>
          <w:lang w:val="en-CA"/>
        </w:rPr>
        <w:t>improve the skills</w:t>
      </w:r>
      <w:r w:rsidRPr="009D07E3">
        <w:rPr>
          <w:rFonts w:cs="Arial"/>
          <w:lang w:val="en-CA"/>
        </w:rPr>
        <w:t xml:space="preserve"> of the female labour force so that they can better contribute in higher skilled areas where returns to </w:t>
      </w:r>
      <w:r w:rsidR="00BB489B" w:rsidRPr="009D07E3">
        <w:rPr>
          <w:rFonts w:cs="Arial"/>
          <w:lang w:val="en-CA"/>
        </w:rPr>
        <w:t>them</w:t>
      </w:r>
      <w:r w:rsidRPr="009D07E3">
        <w:rPr>
          <w:rFonts w:cs="Arial"/>
          <w:lang w:val="en-CA"/>
        </w:rPr>
        <w:t>, and to the country</w:t>
      </w:r>
      <w:r w:rsidR="006061A8">
        <w:rPr>
          <w:rFonts w:cs="Arial"/>
          <w:lang w:val="en-CA"/>
        </w:rPr>
        <w:t>,</w:t>
      </w:r>
      <w:r w:rsidRPr="009D07E3">
        <w:rPr>
          <w:rFonts w:cs="Arial"/>
          <w:lang w:val="en-CA"/>
        </w:rPr>
        <w:t xml:space="preserve"> are greater.  Moreover, there are </w:t>
      </w:r>
      <w:r w:rsidRPr="009D07E3">
        <w:rPr>
          <w:rFonts w:cs="Arial"/>
          <w:i/>
          <w:lang w:val="en-CA"/>
        </w:rPr>
        <w:t>gaps in productivity</w:t>
      </w:r>
      <w:r w:rsidRPr="009D07E3">
        <w:rPr>
          <w:rFonts w:cs="Arial"/>
          <w:lang w:val="en-CA"/>
        </w:rPr>
        <w:t xml:space="preserve"> between men and women farmers, and between men and women entrepreneurs</w:t>
      </w:r>
      <w:r w:rsidR="008B70E2" w:rsidRPr="009D07E3">
        <w:rPr>
          <w:rFonts w:cs="Arial"/>
          <w:lang w:val="en-CA"/>
        </w:rPr>
        <w:t>,</w:t>
      </w:r>
      <w:r w:rsidRPr="009D07E3">
        <w:rPr>
          <w:rFonts w:cs="Arial"/>
          <w:lang w:val="en-CA"/>
        </w:rPr>
        <w:t xml:space="preserve"> that</w:t>
      </w:r>
      <w:r w:rsidR="006061A8">
        <w:rPr>
          <w:rFonts w:cs="Arial"/>
          <w:lang w:val="en-CA"/>
        </w:rPr>
        <w:t>,</w:t>
      </w:r>
      <w:r w:rsidRPr="009D07E3">
        <w:rPr>
          <w:rFonts w:cs="Arial"/>
          <w:lang w:val="en-CA"/>
        </w:rPr>
        <w:t xml:space="preserve"> if reduced, would again benefit individuals as well as improve the contribution to the economy. The latest analysis from the IMF</w:t>
      </w:r>
      <w:r w:rsidRPr="009D07E3">
        <w:rPr>
          <w:rStyle w:val="FootnoteReference"/>
          <w:rFonts w:cs="Arial"/>
          <w:lang w:val="en-CA"/>
        </w:rPr>
        <w:footnoteReference w:id="23"/>
      </w:r>
      <w:r w:rsidRPr="009D07E3">
        <w:rPr>
          <w:rFonts w:cs="Arial"/>
          <w:lang w:val="en-CA"/>
        </w:rPr>
        <w:t xml:space="preserve"> shows that raising the incomes of the lowest income </w:t>
      </w:r>
      <w:r w:rsidR="00115B28" w:rsidRPr="009D07E3">
        <w:rPr>
          <w:rFonts w:cs="Arial"/>
          <w:lang w:val="en-CA"/>
        </w:rPr>
        <w:t>groups</w:t>
      </w:r>
      <w:r w:rsidRPr="009D07E3">
        <w:rPr>
          <w:rFonts w:cs="Arial"/>
          <w:lang w:val="en-CA"/>
        </w:rPr>
        <w:t xml:space="preserve"> contributes significantly more </w:t>
      </w:r>
      <w:proofErr w:type="gramStart"/>
      <w:r w:rsidRPr="009D07E3">
        <w:rPr>
          <w:rFonts w:cs="Arial"/>
          <w:lang w:val="en-CA"/>
        </w:rPr>
        <w:t>to</w:t>
      </w:r>
      <w:proofErr w:type="gramEnd"/>
      <w:r w:rsidRPr="009D07E3">
        <w:rPr>
          <w:rFonts w:cs="Arial"/>
          <w:lang w:val="en-CA"/>
        </w:rPr>
        <w:t xml:space="preserve"> economic growth than raising the incomes of higher income earners.</w:t>
      </w:r>
      <w:r w:rsidR="00E4786B">
        <w:rPr>
          <w:rFonts w:cs="Arial"/>
          <w:lang w:val="en-CA"/>
        </w:rPr>
        <w:t xml:space="preserve"> </w:t>
      </w:r>
    </w:p>
    <w:p w14:paraId="470CBF5C" w14:textId="77777777" w:rsidR="00756355" w:rsidRPr="009D07E3" w:rsidRDefault="00756355" w:rsidP="000A333F">
      <w:pPr>
        <w:rPr>
          <w:rFonts w:cs="Arial"/>
          <w:lang w:val="en-CA"/>
        </w:rPr>
      </w:pPr>
    </w:p>
    <w:p w14:paraId="0CF953E3" w14:textId="41C065BB" w:rsidR="00363B9D" w:rsidRDefault="00246926" w:rsidP="000A333F">
      <w:pPr>
        <w:rPr>
          <w:rFonts w:cs="Arial"/>
          <w:lang w:val="en-CA"/>
        </w:rPr>
      </w:pPr>
      <w:proofErr w:type="gramStart"/>
      <w:r w:rsidRPr="009D07E3">
        <w:rPr>
          <w:rFonts w:cs="Arial"/>
          <w:lang w:val="en-CA"/>
        </w:rPr>
        <w:t>Taken together</w:t>
      </w:r>
      <w:r w:rsidR="00A612EF" w:rsidRPr="009D07E3">
        <w:rPr>
          <w:rFonts w:cs="Arial"/>
          <w:lang w:val="en-CA"/>
        </w:rPr>
        <w:t>,</w:t>
      </w:r>
      <w:r w:rsidRPr="009D07E3">
        <w:rPr>
          <w:rFonts w:cs="Arial"/>
          <w:lang w:val="en-CA"/>
        </w:rPr>
        <w:t xml:space="preserve"> these factors point to a need for a more comprehensive approach to livelihoods and economic</w:t>
      </w:r>
      <w:r w:rsidR="00A612EF" w:rsidRPr="009D07E3">
        <w:rPr>
          <w:rFonts w:cs="Arial"/>
          <w:lang w:val="en-CA"/>
        </w:rPr>
        <w:t>-related</w:t>
      </w:r>
      <w:r w:rsidRPr="009D07E3">
        <w:rPr>
          <w:rFonts w:cs="Arial"/>
          <w:lang w:val="en-CA"/>
        </w:rPr>
        <w:t xml:space="preserve"> outcomes.</w:t>
      </w:r>
      <w:proofErr w:type="gramEnd"/>
      <w:r w:rsidRPr="009D07E3">
        <w:rPr>
          <w:rFonts w:cs="Arial"/>
          <w:lang w:val="en-CA"/>
        </w:rPr>
        <w:t xml:space="preserve">  </w:t>
      </w:r>
      <w:r w:rsidR="00AB2BC1" w:rsidRPr="009D07E3">
        <w:rPr>
          <w:rFonts w:cs="Arial"/>
          <w:lang w:val="en-CA"/>
        </w:rPr>
        <w:t>Recent literature also points towards a need to encompass this within a broader framework for empowerment</w:t>
      </w:r>
      <w:r w:rsidR="008B4281" w:rsidRPr="009D07E3">
        <w:rPr>
          <w:rFonts w:cs="Arial"/>
          <w:lang w:val="en-CA"/>
        </w:rPr>
        <w:t xml:space="preserve"> (a more appropriate fit for MAMPU)</w:t>
      </w:r>
      <w:r w:rsidR="00AB2BC1" w:rsidRPr="009D07E3">
        <w:rPr>
          <w:rFonts w:cs="Arial"/>
          <w:lang w:val="en-CA"/>
        </w:rPr>
        <w:t xml:space="preserve"> since increasing incomes alone do</w:t>
      </w:r>
      <w:r w:rsidR="00A612EF" w:rsidRPr="009D07E3">
        <w:rPr>
          <w:rFonts w:cs="Arial"/>
          <w:lang w:val="en-CA"/>
        </w:rPr>
        <w:t>es</w:t>
      </w:r>
      <w:r w:rsidR="00AB2BC1" w:rsidRPr="009D07E3">
        <w:rPr>
          <w:rFonts w:cs="Arial"/>
          <w:lang w:val="en-CA"/>
        </w:rPr>
        <w:t xml:space="preserve"> not necessarily have a transformative effect on gender norms and roles</w:t>
      </w:r>
      <w:r w:rsidR="00A612EF" w:rsidRPr="009D07E3">
        <w:rPr>
          <w:rFonts w:cs="Arial"/>
          <w:lang w:val="en-CA"/>
        </w:rPr>
        <w:t>,</w:t>
      </w:r>
      <w:r w:rsidR="00AB2BC1" w:rsidRPr="009D07E3">
        <w:rPr>
          <w:rFonts w:cs="Arial"/>
          <w:lang w:val="en-CA"/>
        </w:rPr>
        <w:t xml:space="preserve"> unless combined with other </w:t>
      </w:r>
      <w:r w:rsidR="00D6072E" w:rsidRPr="009D07E3">
        <w:rPr>
          <w:rFonts w:cs="Arial"/>
          <w:lang w:val="en-CA"/>
        </w:rPr>
        <w:t>element</w:t>
      </w:r>
      <w:r w:rsidR="00AB2BC1" w:rsidRPr="009D07E3">
        <w:rPr>
          <w:rFonts w:cs="Arial"/>
          <w:lang w:val="en-CA"/>
        </w:rPr>
        <w:t xml:space="preserve">s that increase agency and empower women. </w:t>
      </w:r>
      <w:r w:rsidR="00363B9D" w:rsidRPr="009D07E3">
        <w:rPr>
          <w:rFonts w:cs="Arial"/>
          <w:lang w:val="en-CA"/>
        </w:rPr>
        <w:t>There is strong evidence that to make this change</w:t>
      </w:r>
      <w:r w:rsidR="00C4130B" w:rsidRPr="009D07E3">
        <w:rPr>
          <w:rFonts w:cs="Arial"/>
          <w:lang w:val="en-CA"/>
        </w:rPr>
        <w:t>,</w:t>
      </w:r>
      <w:r w:rsidR="00363B9D" w:rsidRPr="009D07E3">
        <w:rPr>
          <w:rFonts w:cs="Arial"/>
          <w:lang w:val="en-CA"/>
        </w:rPr>
        <w:t xml:space="preserve"> women </w:t>
      </w:r>
      <w:r w:rsidR="00837046">
        <w:rPr>
          <w:rFonts w:cs="Arial"/>
          <w:lang w:val="en-CA"/>
        </w:rPr>
        <w:t xml:space="preserve">also </w:t>
      </w:r>
      <w:r w:rsidR="00363B9D" w:rsidRPr="009D07E3">
        <w:rPr>
          <w:rFonts w:cs="Arial"/>
          <w:lang w:val="en-CA"/>
        </w:rPr>
        <w:t>need to have control of their incomes</w:t>
      </w:r>
      <w:sdt>
        <w:sdtPr>
          <w:rPr>
            <w:rFonts w:cs="Arial"/>
            <w:lang w:val="en-CA"/>
          </w:rPr>
          <w:id w:val="-810322754"/>
          <w:citation/>
        </w:sdtPr>
        <w:sdtEndPr/>
        <w:sdtContent>
          <w:r w:rsidR="00363B9D" w:rsidRPr="009D07E3">
            <w:rPr>
              <w:rFonts w:cs="Arial"/>
              <w:lang w:val="en-CA"/>
            </w:rPr>
            <w:fldChar w:fldCharType="begin"/>
          </w:r>
          <w:r w:rsidR="00363B9D" w:rsidRPr="009D07E3">
            <w:rPr>
              <w:rFonts w:cs="Arial"/>
              <w:lang w:val="en-CA"/>
            </w:rPr>
            <w:instrText xml:space="preserve"> CITATION Wor11 \l 1033 </w:instrText>
          </w:r>
          <w:r w:rsidR="00363B9D" w:rsidRPr="009D07E3">
            <w:rPr>
              <w:rFonts w:cs="Arial"/>
              <w:lang w:val="en-CA"/>
            </w:rPr>
            <w:fldChar w:fldCharType="separate"/>
          </w:r>
          <w:r w:rsidR="00363B9D" w:rsidRPr="009D07E3">
            <w:rPr>
              <w:rFonts w:cs="Arial"/>
              <w:lang w:val="en-CA"/>
            </w:rPr>
            <w:t xml:space="preserve"> (World Bank, 2011)</w:t>
          </w:r>
          <w:r w:rsidR="00363B9D" w:rsidRPr="009D07E3">
            <w:rPr>
              <w:rFonts w:cs="Arial"/>
              <w:lang w:val="en-CA"/>
            </w:rPr>
            <w:fldChar w:fldCharType="end"/>
          </w:r>
        </w:sdtContent>
      </w:sdt>
      <w:r w:rsidR="00D67B4B">
        <w:rPr>
          <w:rStyle w:val="FootnoteReference"/>
          <w:rFonts w:cs="Arial"/>
          <w:lang w:val="en-CA"/>
        </w:rPr>
        <w:footnoteReference w:id="24"/>
      </w:r>
      <w:r w:rsidR="00363B9D" w:rsidRPr="009D07E3">
        <w:rPr>
          <w:rFonts w:cs="Arial"/>
          <w:lang w:val="en-CA"/>
        </w:rPr>
        <w:t>.  Other studies have found that formal sector employment has the greatest prospect of making transformational change to gender roles and status of women, while agriculture and family business has the least impact</w:t>
      </w:r>
      <w:sdt>
        <w:sdtPr>
          <w:rPr>
            <w:rFonts w:cs="Arial"/>
            <w:lang w:val="en-CA"/>
          </w:rPr>
          <w:id w:val="-1388637722"/>
          <w:citation/>
        </w:sdtPr>
        <w:sdtEndPr/>
        <w:sdtContent>
          <w:r w:rsidR="00363B9D" w:rsidRPr="009D07E3">
            <w:rPr>
              <w:rFonts w:cs="Arial"/>
              <w:lang w:val="en-CA"/>
            </w:rPr>
            <w:fldChar w:fldCharType="begin"/>
          </w:r>
          <w:r w:rsidR="00363B9D" w:rsidRPr="009D07E3">
            <w:rPr>
              <w:rFonts w:cs="Arial"/>
              <w:lang w:val="en-CA"/>
            </w:rPr>
            <w:instrText xml:space="preserve"> CITATION Kab12 \l 1033 </w:instrText>
          </w:r>
          <w:r w:rsidR="00363B9D" w:rsidRPr="009D07E3">
            <w:rPr>
              <w:rFonts w:cs="Arial"/>
              <w:lang w:val="en-CA"/>
            </w:rPr>
            <w:fldChar w:fldCharType="separate"/>
          </w:r>
          <w:r w:rsidR="00363B9D" w:rsidRPr="009D07E3">
            <w:rPr>
              <w:rFonts w:cs="Arial"/>
              <w:lang w:val="en-CA"/>
            </w:rPr>
            <w:t xml:space="preserve"> (Kabeer, 2012)</w:t>
          </w:r>
          <w:r w:rsidR="00363B9D" w:rsidRPr="009D07E3">
            <w:rPr>
              <w:rFonts w:cs="Arial"/>
              <w:lang w:val="en-CA"/>
            </w:rPr>
            <w:fldChar w:fldCharType="end"/>
          </w:r>
        </w:sdtContent>
      </w:sdt>
      <w:r w:rsidR="008B4281" w:rsidRPr="009D07E3">
        <w:rPr>
          <w:rFonts w:cs="Arial"/>
          <w:lang w:val="en-CA"/>
        </w:rPr>
        <w:t>.</w:t>
      </w:r>
      <w:r w:rsidR="00B1324D">
        <w:rPr>
          <w:rStyle w:val="FootnoteReference"/>
          <w:rFonts w:cs="Arial"/>
          <w:lang w:val="en-CA"/>
        </w:rPr>
        <w:footnoteReference w:id="25"/>
      </w:r>
      <w:r w:rsidR="008B4281" w:rsidRPr="009D07E3">
        <w:rPr>
          <w:rFonts w:cs="Arial"/>
          <w:lang w:val="en-CA"/>
        </w:rPr>
        <w:t xml:space="preserve">  Importantly, t</w:t>
      </w:r>
      <w:r w:rsidR="00363B9D" w:rsidRPr="009D07E3">
        <w:rPr>
          <w:rFonts w:cs="Arial"/>
          <w:lang w:val="en-CA"/>
        </w:rPr>
        <w:t>he evidence indicates that increased livelihoods are necessary but not sufficient to empower p</w:t>
      </w:r>
      <w:r w:rsidR="00982CBF">
        <w:rPr>
          <w:rFonts w:cs="Arial"/>
          <w:lang w:val="en-CA"/>
        </w:rPr>
        <w:t xml:space="preserve">oor women.  Moreover, there </w:t>
      </w:r>
      <w:r w:rsidR="00363B9D" w:rsidRPr="009D07E3">
        <w:rPr>
          <w:rFonts w:cs="Arial"/>
          <w:lang w:val="en-CA"/>
        </w:rPr>
        <w:t>also</w:t>
      </w:r>
      <w:r w:rsidR="00982CBF">
        <w:rPr>
          <w:rFonts w:cs="Arial"/>
          <w:lang w:val="en-CA"/>
        </w:rPr>
        <w:t xml:space="preserve"> are</w:t>
      </w:r>
      <w:r w:rsidR="00363B9D" w:rsidRPr="009D07E3">
        <w:rPr>
          <w:rFonts w:cs="Arial"/>
          <w:lang w:val="en-CA"/>
        </w:rPr>
        <w:t xml:space="preserve"> concerns that empowerment is necessary for improved livelihoods to be sustainable</w:t>
      </w:r>
      <w:r w:rsidR="00C4130B" w:rsidRPr="009D07E3">
        <w:rPr>
          <w:rFonts w:cs="Arial"/>
          <w:lang w:val="en-CA"/>
        </w:rPr>
        <w:t>. A</w:t>
      </w:r>
      <w:r w:rsidR="00363B9D" w:rsidRPr="009D07E3">
        <w:rPr>
          <w:rFonts w:cs="Arial"/>
          <w:lang w:val="en-CA"/>
        </w:rPr>
        <w:t>fter many years of working with informal sector workers globally</w:t>
      </w:r>
      <w:r w:rsidR="00C4130B" w:rsidRPr="009D07E3">
        <w:rPr>
          <w:rFonts w:cs="Arial"/>
          <w:lang w:val="en-CA"/>
        </w:rPr>
        <w:t xml:space="preserve">, </w:t>
      </w:r>
      <w:r w:rsidR="00363B9D" w:rsidRPr="009D07E3">
        <w:rPr>
          <w:rFonts w:cs="Arial"/>
          <w:lang w:val="en-CA"/>
        </w:rPr>
        <w:t>WEIGO</w:t>
      </w:r>
      <w:r w:rsidR="00363B9D" w:rsidRPr="009D07E3">
        <w:rPr>
          <w:rFonts w:cs="Arial"/>
          <w:lang w:val="en-CA"/>
        </w:rPr>
        <w:footnoteReference w:id="26"/>
      </w:r>
      <w:proofErr w:type="gramStart"/>
      <w:r w:rsidR="00363B9D" w:rsidRPr="009D07E3">
        <w:rPr>
          <w:rFonts w:cs="Arial"/>
          <w:lang w:val="en-CA"/>
        </w:rPr>
        <w:t>,</w:t>
      </w:r>
      <w:proofErr w:type="gramEnd"/>
      <w:r w:rsidR="00363B9D" w:rsidRPr="009D07E3">
        <w:rPr>
          <w:rFonts w:cs="Arial"/>
          <w:lang w:val="en-CA"/>
        </w:rPr>
        <w:t xml:space="preserve"> concludes the following:</w:t>
      </w:r>
    </w:p>
    <w:p w14:paraId="635BF19E" w14:textId="77777777" w:rsidR="00BB489B" w:rsidRPr="009D07E3" w:rsidRDefault="00BB489B" w:rsidP="000A333F">
      <w:pPr>
        <w:rPr>
          <w:rFonts w:cs="Arial"/>
          <w:lang w:val="en-CA"/>
        </w:rPr>
      </w:pPr>
    </w:p>
    <w:p w14:paraId="5413E682" w14:textId="77777777" w:rsidR="00363B9D" w:rsidRPr="009D07E3" w:rsidRDefault="00363B9D" w:rsidP="00BB489B">
      <w:pPr>
        <w:ind w:left="720" w:right="720"/>
        <w:rPr>
          <w:rFonts w:cs="Arial"/>
          <w:i/>
          <w:lang w:val="en-CA"/>
        </w:rPr>
      </w:pPr>
      <w:r w:rsidRPr="009D07E3">
        <w:rPr>
          <w:rFonts w:cs="Arial"/>
          <w:i/>
          <w:lang w:val="en-CA"/>
        </w:rPr>
        <w:t xml:space="preserve">“….we </w:t>
      </w:r>
      <w:proofErr w:type="gramStart"/>
      <w:r w:rsidRPr="009D07E3">
        <w:rPr>
          <w:rFonts w:cs="Arial"/>
          <w:i/>
          <w:lang w:val="en-CA"/>
        </w:rPr>
        <w:t>have</w:t>
      </w:r>
      <w:proofErr w:type="gramEnd"/>
      <w:r w:rsidRPr="009D07E3">
        <w:rPr>
          <w:rFonts w:cs="Arial"/>
          <w:i/>
          <w:lang w:val="en-CA"/>
        </w:rPr>
        <w:t xml:space="preserve"> learned that increased access to resources without the ability to influence broader external factors will not necessarily translate into more secure and remunerative livelihoods.” </w:t>
      </w:r>
    </w:p>
    <w:p w14:paraId="7EEB16F4" w14:textId="77777777" w:rsidR="00BB489B" w:rsidRDefault="00BB489B" w:rsidP="000A333F">
      <w:pPr>
        <w:rPr>
          <w:rFonts w:cs="Arial"/>
          <w:lang w:val="en-CA"/>
        </w:rPr>
      </w:pPr>
    </w:p>
    <w:p w14:paraId="2552B8B0" w14:textId="1BF1499C" w:rsidR="003A24DB" w:rsidRDefault="00E129AD" w:rsidP="000A333F">
      <w:pPr>
        <w:rPr>
          <w:rFonts w:cs="Arial"/>
          <w:lang w:val="en-CA"/>
        </w:rPr>
      </w:pPr>
      <w:r>
        <w:rPr>
          <w:rFonts w:cs="Arial"/>
          <w:lang w:val="en-CA"/>
        </w:rPr>
        <w:t>ODI in its</w:t>
      </w:r>
      <w:r w:rsidR="00363B9D" w:rsidRPr="009D07E3">
        <w:rPr>
          <w:rFonts w:cs="Arial"/>
          <w:lang w:val="en-CA"/>
        </w:rPr>
        <w:t xml:space="preserve"> </w:t>
      </w:r>
      <w:r w:rsidR="008B4281" w:rsidRPr="009D07E3">
        <w:rPr>
          <w:rFonts w:cs="Arial"/>
          <w:lang w:val="en-CA"/>
        </w:rPr>
        <w:t xml:space="preserve">recent </w:t>
      </w:r>
      <w:r w:rsidR="00363B9D" w:rsidRPr="009D07E3">
        <w:rPr>
          <w:rFonts w:cs="Arial"/>
          <w:lang w:val="en-CA"/>
        </w:rPr>
        <w:t>review of evaluations o</w:t>
      </w:r>
      <w:r w:rsidR="00E83660" w:rsidRPr="009D07E3">
        <w:rPr>
          <w:rFonts w:cs="Arial"/>
          <w:lang w:val="en-CA"/>
        </w:rPr>
        <w:t>n</w:t>
      </w:r>
      <w:r w:rsidR="00363B9D" w:rsidRPr="009D07E3">
        <w:rPr>
          <w:rFonts w:cs="Arial"/>
          <w:lang w:val="en-CA"/>
        </w:rPr>
        <w:t xml:space="preserve"> women’s economic </w:t>
      </w:r>
      <w:proofErr w:type="gramStart"/>
      <w:r w:rsidR="00363B9D" w:rsidRPr="009D07E3">
        <w:rPr>
          <w:rFonts w:cs="Arial"/>
          <w:lang w:val="en-CA"/>
        </w:rPr>
        <w:t>empowerment</w:t>
      </w:r>
      <w:r w:rsidR="00E83660" w:rsidRPr="009D07E3">
        <w:rPr>
          <w:rFonts w:cs="Arial"/>
          <w:lang w:val="en-CA"/>
        </w:rPr>
        <w:t>,</w:t>
      </w:r>
      <w:proofErr w:type="gramEnd"/>
      <w:r w:rsidR="00363B9D" w:rsidRPr="009D07E3">
        <w:rPr>
          <w:rFonts w:cs="Arial"/>
          <w:lang w:val="en-CA"/>
        </w:rPr>
        <w:t xml:space="preserve"> found that most evaluations look too narrowly at changes in income and miss the opportunity to </w:t>
      </w:r>
      <w:r w:rsidR="00E83660" w:rsidRPr="009D07E3">
        <w:rPr>
          <w:rFonts w:cs="Arial"/>
          <w:lang w:val="en-CA"/>
        </w:rPr>
        <w:t>examine</w:t>
      </w:r>
      <w:r w:rsidR="00363B9D" w:rsidRPr="009D07E3">
        <w:rPr>
          <w:rFonts w:cs="Arial"/>
          <w:lang w:val="en-CA"/>
        </w:rPr>
        <w:t xml:space="preserve"> the extent </w:t>
      </w:r>
      <w:r w:rsidR="00D539CD">
        <w:rPr>
          <w:rFonts w:cs="Arial"/>
          <w:lang w:val="en-CA"/>
        </w:rPr>
        <w:t xml:space="preserve">to which </w:t>
      </w:r>
      <w:r w:rsidR="00363B9D" w:rsidRPr="009D07E3">
        <w:rPr>
          <w:rFonts w:cs="Arial"/>
          <w:lang w:val="en-CA"/>
        </w:rPr>
        <w:t xml:space="preserve">interventions have </w:t>
      </w:r>
      <w:r w:rsidR="00363B9D" w:rsidRPr="009D07E3">
        <w:rPr>
          <w:rFonts w:cs="Arial"/>
          <w:i/>
          <w:lang w:val="en-CA"/>
        </w:rPr>
        <w:t>empowered women</w:t>
      </w:r>
      <w:r w:rsidR="00363B9D" w:rsidRPr="009D07E3">
        <w:rPr>
          <w:rFonts w:cs="Arial"/>
          <w:lang w:val="en-CA"/>
        </w:rPr>
        <w:t xml:space="preserve"> in a more holistic way</w:t>
      </w:r>
      <w:sdt>
        <w:sdtPr>
          <w:rPr>
            <w:rFonts w:cs="Arial"/>
            <w:lang w:val="en-CA"/>
          </w:rPr>
          <w:id w:val="1727252301"/>
          <w:citation/>
        </w:sdtPr>
        <w:sdtEndPr/>
        <w:sdtContent>
          <w:r w:rsidR="00363B9D" w:rsidRPr="009D07E3">
            <w:rPr>
              <w:rFonts w:cs="Arial"/>
              <w:lang w:val="en-CA"/>
            </w:rPr>
            <w:fldChar w:fldCharType="begin"/>
          </w:r>
          <w:r w:rsidR="00363B9D" w:rsidRPr="009D07E3">
            <w:rPr>
              <w:rFonts w:cs="Arial"/>
              <w:lang w:val="en-CA"/>
            </w:rPr>
            <w:instrText xml:space="preserve"> CITATION Tay14 \l 1033 </w:instrText>
          </w:r>
          <w:r w:rsidR="00363B9D" w:rsidRPr="009D07E3">
            <w:rPr>
              <w:rFonts w:cs="Arial"/>
              <w:lang w:val="en-CA"/>
            </w:rPr>
            <w:fldChar w:fldCharType="separate"/>
          </w:r>
          <w:r w:rsidR="00363B9D" w:rsidRPr="009D07E3">
            <w:rPr>
              <w:rFonts w:cs="Arial"/>
              <w:noProof/>
              <w:lang w:val="en-CA"/>
            </w:rPr>
            <w:t xml:space="preserve"> (Taylor &amp; Pereznieto, 2014)</w:t>
          </w:r>
          <w:r w:rsidR="00363B9D" w:rsidRPr="009D07E3">
            <w:rPr>
              <w:rFonts w:cs="Arial"/>
              <w:lang w:val="en-CA"/>
            </w:rPr>
            <w:fldChar w:fldCharType="end"/>
          </w:r>
        </w:sdtContent>
      </w:sdt>
      <w:r w:rsidR="00B1324D">
        <w:rPr>
          <w:rStyle w:val="FootnoteReference"/>
          <w:rFonts w:cs="Arial"/>
          <w:lang w:val="en-CA"/>
        </w:rPr>
        <w:footnoteReference w:id="27"/>
      </w:r>
      <w:r w:rsidR="00E83660" w:rsidRPr="009D07E3">
        <w:rPr>
          <w:rFonts w:cs="Arial"/>
          <w:lang w:val="en-CA"/>
        </w:rPr>
        <w:t>.</w:t>
      </w:r>
    </w:p>
    <w:p w14:paraId="4F1617DE" w14:textId="77777777" w:rsidR="00756355" w:rsidRPr="009D07E3" w:rsidRDefault="00756355" w:rsidP="000A333F">
      <w:pPr>
        <w:rPr>
          <w:rFonts w:cs="Arial"/>
          <w:lang w:val="en-CA"/>
        </w:rPr>
      </w:pPr>
    </w:p>
    <w:p w14:paraId="1E6345E2" w14:textId="08A6681D" w:rsidR="00AB2BC1" w:rsidRPr="009D07E3" w:rsidRDefault="00AB2BC1" w:rsidP="008F281B">
      <w:pPr>
        <w:pStyle w:val="Heading2"/>
        <w:rPr>
          <w:lang w:val="en-CA"/>
        </w:rPr>
      </w:pPr>
      <w:bookmarkStart w:id="19" w:name="_Toc423438707"/>
      <w:r w:rsidRPr="009D07E3">
        <w:rPr>
          <w:lang w:val="en-CA"/>
        </w:rPr>
        <w:t xml:space="preserve">Taking a </w:t>
      </w:r>
      <w:r w:rsidR="00BB489B">
        <w:rPr>
          <w:lang w:val="en-CA"/>
        </w:rPr>
        <w:t>H</w:t>
      </w:r>
      <w:r w:rsidRPr="009D07E3">
        <w:rPr>
          <w:lang w:val="en-CA"/>
        </w:rPr>
        <w:t xml:space="preserve">olistic </w:t>
      </w:r>
      <w:r w:rsidR="00BB489B">
        <w:rPr>
          <w:lang w:val="en-CA"/>
        </w:rPr>
        <w:t>A</w:t>
      </w:r>
      <w:r w:rsidRPr="009D07E3">
        <w:rPr>
          <w:lang w:val="en-CA"/>
        </w:rPr>
        <w:t xml:space="preserve">pproach to </w:t>
      </w:r>
      <w:r w:rsidR="00BB489B">
        <w:rPr>
          <w:lang w:val="en-CA"/>
        </w:rPr>
        <w:t>E</w:t>
      </w:r>
      <w:r w:rsidRPr="009D07E3">
        <w:rPr>
          <w:lang w:val="en-CA"/>
        </w:rPr>
        <w:t>mpowerment</w:t>
      </w:r>
      <w:bookmarkEnd w:id="19"/>
    </w:p>
    <w:p w14:paraId="0CE16EBD" w14:textId="77777777" w:rsidR="00611C92" w:rsidRPr="009D07E3" w:rsidRDefault="00611C92" w:rsidP="00611C92">
      <w:pPr>
        <w:rPr>
          <w:lang w:val="en-CA"/>
        </w:rPr>
      </w:pPr>
    </w:p>
    <w:p w14:paraId="2A766D30" w14:textId="2A522B6D" w:rsidR="002D21B8" w:rsidRPr="009D07E3" w:rsidRDefault="00AB2BC1" w:rsidP="000A333F">
      <w:pPr>
        <w:rPr>
          <w:rFonts w:cs="Arial"/>
          <w:lang w:val="en-CA"/>
        </w:rPr>
      </w:pPr>
      <w:r w:rsidRPr="009D07E3">
        <w:rPr>
          <w:rFonts w:cs="Arial"/>
          <w:lang w:val="en-CA"/>
        </w:rPr>
        <w:t>While</w:t>
      </w:r>
      <w:r w:rsidR="006A113A" w:rsidRPr="009D07E3">
        <w:rPr>
          <w:rFonts w:cs="Arial"/>
          <w:lang w:val="en-CA"/>
        </w:rPr>
        <w:t xml:space="preserve"> the original</w:t>
      </w:r>
      <w:r w:rsidRPr="009D07E3">
        <w:rPr>
          <w:rFonts w:cs="Arial"/>
          <w:lang w:val="en-CA"/>
        </w:rPr>
        <w:t xml:space="preserve"> design documents may have been short in articulating </w:t>
      </w:r>
      <w:r w:rsidR="00A202CC" w:rsidRPr="009D07E3">
        <w:rPr>
          <w:rFonts w:cs="Arial"/>
          <w:lang w:val="en-CA"/>
        </w:rPr>
        <w:t xml:space="preserve">the goals of the program in terms of empowerment, the MAMPU partners have not.  There is </w:t>
      </w:r>
      <w:r w:rsidR="006A113A" w:rsidRPr="009D07E3">
        <w:rPr>
          <w:rFonts w:cs="Arial"/>
          <w:lang w:val="en-CA"/>
        </w:rPr>
        <w:t xml:space="preserve">a </w:t>
      </w:r>
      <w:r w:rsidR="00A202CC" w:rsidRPr="009D07E3">
        <w:rPr>
          <w:rFonts w:cs="Arial"/>
          <w:lang w:val="en-CA"/>
        </w:rPr>
        <w:t xml:space="preserve">general agreement among the partners that this is what they are trying to achieve when working with women </w:t>
      </w:r>
      <w:r w:rsidR="006A113A" w:rsidRPr="009D07E3">
        <w:rPr>
          <w:rFonts w:cs="Arial"/>
          <w:lang w:val="en-CA"/>
        </w:rPr>
        <w:t>at the village level,</w:t>
      </w:r>
      <w:r w:rsidR="00363B9D" w:rsidRPr="009D07E3">
        <w:rPr>
          <w:rFonts w:cs="Arial"/>
          <w:lang w:val="en-CA"/>
        </w:rPr>
        <w:t xml:space="preserve"> although the reporting back to MAMPU only covers certain aspects</w:t>
      </w:r>
      <w:r w:rsidR="00A202CC" w:rsidRPr="009D07E3">
        <w:rPr>
          <w:rFonts w:cs="Arial"/>
          <w:lang w:val="en-CA"/>
        </w:rPr>
        <w:t>.  There</w:t>
      </w:r>
      <w:r w:rsidR="00363B9D" w:rsidRPr="009D07E3">
        <w:rPr>
          <w:rFonts w:cs="Arial"/>
          <w:lang w:val="en-CA"/>
        </w:rPr>
        <w:t xml:space="preserve"> are varying views on what empowerment </w:t>
      </w:r>
      <w:r w:rsidR="00A202CC" w:rsidRPr="009D07E3">
        <w:rPr>
          <w:rFonts w:cs="Arial"/>
          <w:lang w:val="en-CA"/>
        </w:rPr>
        <w:t>means</w:t>
      </w:r>
      <w:r w:rsidR="00363B9D" w:rsidRPr="009D07E3">
        <w:rPr>
          <w:rFonts w:cs="Arial"/>
          <w:lang w:val="en-CA"/>
        </w:rPr>
        <w:t xml:space="preserve"> to each partner,</w:t>
      </w:r>
      <w:r w:rsidR="00A202CC" w:rsidRPr="009D07E3">
        <w:rPr>
          <w:rFonts w:cs="Arial"/>
          <w:lang w:val="en-CA"/>
        </w:rPr>
        <w:t xml:space="preserve"> and how each of them integrates empowerment in</w:t>
      </w:r>
      <w:r w:rsidR="006A113A" w:rsidRPr="009D07E3">
        <w:rPr>
          <w:rFonts w:cs="Arial"/>
          <w:lang w:val="en-CA"/>
        </w:rPr>
        <w:t>to</w:t>
      </w:r>
      <w:r w:rsidR="00A202CC" w:rsidRPr="009D07E3">
        <w:rPr>
          <w:rFonts w:cs="Arial"/>
          <w:lang w:val="en-CA"/>
        </w:rPr>
        <w:t xml:space="preserve"> their approaches. The partners suggest that MAMPU needs a conceptual framework of empowerment that reflects each of their approaches. They feel that opening a dialogue on this among themselves will help them each to reflect on their own approaches and </w:t>
      </w:r>
      <w:r w:rsidR="006A113A" w:rsidRPr="009D07E3">
        <w:rPr>
          <w:rFonts w:cs="Arial"/>
          <w:lang w:val="en-CA"/>
        </w:rPr>
        <w:t xml:space="preserve">to </w:t>
      </w:r>
      <w:r w:rsidR="00A202CC" w:rsidRPr="009D07E3">
        <w:rPr>
          <w:rFonts w:cs="Arial"/>
          <w:lang w:val="en-CA"/>
        </w:rPr>
        <w:t xml:space="preserve">identify each other’s strengths and weaknesses.  Hopefully this would also lead to agreement on </w:t>
      </w:r>
      <w:r w:rsidR="00363B9D" w:rsidRPr="009D07E3">
        <w:rPr>
          <w:rFonts w:cs="Arial"/>
          <w:lang w:val="en-CA"/>
        </w:rPr>
        <w:t xml:space="preserve">a conceptual framework for </w:t>
      </w:r>
      <w:r w:rsidR="00A202CC" w:rsidRPr="009D07E3">
        <w:rPr>
          <w:rFonts w:cs="Arial"/>
          <w:lang w:val="en-CA"/>
        </w:rPr>
        <w:t xml:space="preserve">the empowerment goals of </w:t>
      </w:r>
      <w:r w:rsidR="006A113A" w:rsidRPr="009D07E3">
        <w:rPr>
          <w:rFonts w:cs="Arial"/>
          <w:lang w:val="en-CA"/>
        </w:rPr>
        <w:t xml:space="preserve">the </w:t>
      </w:r>
      <w:r w:rsidR="00A202CC" w:rsidRPr="009D07E3">
        <w:rPr>
          <w:rFonts w:cs="Arial"/>
          <w:lang w:val="en-CA"/>
        </w:rPr>
        <w:t>MAMPU</w:t>
      </w:r>
      <w:r w:rsidR="00363B9D" w:rsidRPr="009D07E3">
        <w:rPr>
          <w:rFonts w:cs="Arial"/>
          <w:lang w:val="en-CA"/>
        </w:rPr>
        <w:t xml:space="preserve"> program that captures the more holistic approaches of each of the partners.  It could also potentially lead to requests from partners to help strengthen them in specific areas they feel they are weaker in as a result of having this discussion with others.  </w:t>
      </w:r>
      <w:r w:rsidR="008B4281" w:rsidRPr="009D07E3">
        <w:rPr>
          <w:rFonts w:cs="Arial"/>
          <w:lang w:val="en-CA"/>
        </w:rPr>
        <w:t>A conceptual framework for empowerment could also provide a means of connecting other DFAT programs, as there is no suggestion that MAMPU can address all of the fundamental building blocks necessary to empower poor women.</w:t>
      </w:r>
    </w:p>
    <w:p w14:paraId="63B899B2" w14:textId="77777777" w:rsidR="00363B9D" w:rsidRPr="009D07E3" w:rsidRDefault="00363B9D" w:rsidP="000A333F">
      <w:pPr>
        <w:rPr>
          <w:rFonts w:cs="Arial"/>
          <w:lang w:val="en-CA"/>
        </w:rPr>
      </w:pPr>
    </w:p>
    <w:p w14:paraId="1552D25D" w14:textId="7185B143" w:rsidR="00363B9D" w:rsidRDefault="00363B9D" w:rsidP="000A333F">
      <w:pPr>
        <w:rPr>
          <w:rFonts w:cs="Arial"/>
          <w:lang w:val="en-CA"/>
        </w:rPr>
      </w:pPr>
      <w:r w:rsidRPr="009D07E3">
        <w:rPr>
          <w:rFonts w:cs="Arial"/>
          <w:lang w:val="en-CA"/>
        </w:rPr>
        <w:t xml:space="preserve">The following framework is an indicative starting point on what a framework for empowerment might look like. </w:t>
      </w:r>
    </w:p>
    <w:p w14:paraId="7DF121C2" w14:textId="77777777" w:rsidR="00AB4C6C" w:rsidRDefault="00AB4C6C" w:rsidP="000A333F">
      <w:pPr>
        <w:rPr>
          <w:rFonts w:cs="Arial"/>
          <w:b/>
          <w:lang w:val="en-CA"/>
        </w:rPr>
      </w:pPr>
    </w:p>
    <w:p w14:paraId="4AE16FA3" w14:textId="6BD3EA54" w:rsidR="00363B9D" w:rsidRPr="009D07E3" w:rsidRDefault="00363B9D" w:rsidP="000A333F">
      <w:pPr>
        <w:rPr>
          <w:rFonts w:cs="Arial"/>
          <w:b/>
          <w:lang w:val="en-CA"/>
        </w:rPr>
      </w:pPr>
      <w:r w:rsidRPr="009D07E3">
        <w:rPr>
          <w:rFonts w:cs="Arial"/>
          <w:b/>
          <w:lang w:val="en-CA"/>
        </w:rPr>
        <w:t xml:space="preserve">Indicative Empowerment </w:t>
      </w:r>
      <w:r w:rsidR="00603D8D" w:rsidRPr="009D07E3">
        <w:rPr>
          <w:rFonts w:cs="Arial"/>
          <w:b/>
          <w:lang w:val="en-CA"/>
        </w:rPr>
        <w:t>Framework</w:t>
      </w:r>
    </w:p>
    <w:p w14:paraId="4584A598" w14:textId="77777777" w:rsidR="00363B9D" w:rsidRPr="009D07E3" w:rsidRDefault="00363B9D" w:rsidP="000A333F">
      <w:pPr>
        <w:rPr>
          <w:rFonts w:cs="Arial"/>
          <w:lang w:val="en-CA"/>
        </w:rPr>
      </w:pPr>
    </w:p>
    <w:tbl>
      <w:tblPr>
        <w:tblStyle w:val="TableGrid"/>
        <w:tblW w:w="0" w:type="auto"/>
        <w:tblLook w:val="04A0" w:firstRow="1" w:lastRow="0" w:firstColumn="1" w:lastColumn="0" w:noHBand="0" w:noVBand="1"/>
      </w:tblPr>
      <w:tblGrid>
        <w:gridCol w:w="4509"/>
        <w:gridCol w:w="4509"/>
      </w:tblGrid>
      <w:tr w:rsidR="00BB489B" w:rsidRPr="00BB489B" w14:paraId="67916D19" w14:textId="77777777" w:rsidTr="00E340C9">
        <w:tc>
          <w:tcPr>
            <w:tcW w:w="4509" w:type="dxa"/>
            <w:shd w:val="clear" w:color="auto" w:fill="006CB6"/>
            <w:vAlign w:val="center"/>
          </w:tcPr>
          <w:p w14:paraId="0CD188D8" w14:textId="6EDE2FDB" w:rsidR="00363B9D" w:rsidRPr="00BB489B" w:rsidRDefault="00363B9D" w:rsidP="00E340C9">
            <w:pPr>
              <w:spacing w:before="60" w:after="60"/>
              <w:jc w:val="center"/>
              <w:rPr>
                <w:rFonts w:cs="Arial"/>
                <w:b/>
                <w:color w:val="FFFFFF" w:themeColor="background1"/>
                <w:lang w:val="en-CA"/>
              </w:rPr>
            </w:pPr>
            <w:r w:rsidRPr="00BB489B">
              <w:rPr>
                <w:rFonts w:cs="Arial"/>
                <w:b/>
                <w:color w:val="FFFFFF" w:themeColor="background1"/>
                <w:lang w:val="en-CA"/>
              </w:rPr>
              <w:t xml:space="preserve">A. Human </w:t>
            </w:r>
            <w:r w:rsidR="00E340C9">
              <w:rPr>
                <w:rFonts w:cs="Arial"/>
                <w:b/>
                <w:color w:val="FFFFFF" w:themeColor="background1"/>
                <w:lang w:val="en-CA"/>
              </w:rPr>
              <w:t>A</w:t>
            </w:r>
            <w:r w:rsidRPr="00BB489B">
              <w:rPr>
                <w:rFonts w:cs="Arial"/>
                <w:b/>
                <w:color w:val="FFFFFF" w:themeColor="background1"/>
                <w:lang w:val="en-CA"/>
              </w:rPr>
              <w:t xml:space="preserve">ssets (Power </w:t>
            </w:r>
            <w:r w:rsidR="00E340C9">
              <w:rPr>
                <w:rFonts w:cs="Arial"/>
                <w:b/>
                <w:color w:val="FFFFFF" w:themeColor="background1"/>
                <w:lang w:val="en-CA"/>
              </w:rPr>
              <w:t>W</w:t>
            </w:r>
            <w:r w:rsidRPr="00BB489B">
              <w:rPr>
                <w:rFonts w:cs="Arial"/>
                <w:b/>
                <w:color w:val="FFFFFF" w:themeColor="background1"/>
                <w:lang w:val="en-CA"/>
              </w:rPr>
              <w:t>ithin)</w:t>
            </w:r>
          </w:p>
        </w:tc>
        <w:tc>
          <w:tcPr>
            <w:tcW w:w="4509" w:type="dxa"/>
            <w:shd w:val="clear" w:color="auto" w:fill="006CB6"/>
            <w:vAlign w:val="center"/>
          </w:tcPr>
          <w:p w14:paraId="5D7B8B07" w14:textId="091FE945" w:rsidR="00363B9D" w:rsidRPr="00BB489B" w:rsidRDefault="00E340C9" w:rsidP="00E340C9">
            <w:pPr>
              <w:spacing w:before="60" w:after="60"/>
              <w:jc w:val="center"/>
              <w:rPr>
                <w:rFonts w:cs="Arial"/>
                <w:b/>
                <w:color w:val="FFFFFF" w:themeColor="background1"/>
                <w:lang w:val="en-CA"/>
              </w:rPr>
            </w:pPr>
            <w:r>
              <w:rPr>
                <w:rFonts w:cs="Arial"/>
                <w:b/>
                <w:color w:val="FFFFFF" w:themeColor="background1"/>
                <w:lang w:val="en-CA"/>
              </w:rPr>
              <w:t>B. Financial and R</w:t>
            </w:r>
            <w:r w:rsidR="00363B9D" w:rsidRPr="00BB489B">
              <w:rPr>
                <w:rFonts w:cs="Arial"/>
                <w:b/>
                <w:color w:val="FFFFFF" w:themeColor="background1"/>
                <w:lang w:val="en-CA"/>
              </w:rPr>
              <w:t xml:space="preserve">esource </w:t>
            </w:r>
            <w:r>
              <w:rPr>
                <w:rFonts w:cs="Arial"/>
                <w:b/>
                <w:color w:val="FFFFFF" w:themeColor="background1"/>
                <w:lang w:val="en-CA"/>
              </w:rPr>
              <w:t>A</w:t>
            </w:r>
            <w:r w:rsidR="00363B9D" w:rsidRPr="00BB489B">
              <w:rPr>
                <w:rFonts w:cs="Arial"/>
                <w:b/>
                <w:color w:val="FFFFFF" w:themeColor="background1"/>
                <w:lang w:val="en-CA"/>
              </w:rPr>
              <w:t xml:space="preserve">ssets (Power </w:t>
            </w:r>
            <w:r>
              <w:rPr>
                <w:rFonts w:cs="Arial"/>
                <w:b/>
                <w:color w:val="FFFFFF" w:themeColor="background1"/>
                <w:lang w:val="en-CA"/>
              </w:rPr>
              <w:t>O</w:t>
            </w:r>
            <w:r w:rsidR="00363B9D" w:rsidRPr="00BB489B">
              <w:rPr>
                <w:rFonts w:cs="Arial"/>
                <w:b/>
                <w:color w:val="FFFFFF" w:themeColor="background1"/>
                <w:lang w:val="en-CA"/>
              </w:rPr>
              <w:t>ver)</w:t>
            </w:r>
          </w:p>
        </w:tc>
      </w:tr>
      <w:tr w:rsidR="00363B9D" w:rsidRPr="009D07E3" w14:paraId="3977371D" w14:textId="77777777" w:rsidTr="00E340C9">
        <w:tc>
          <w:tcPr>
            <w:tcW w:w="4509" w:type="dxa"/>
          </w:tcPr>
          <w:p w14:paraId="511344F4" w14:textId="77777777" w:rsidR="00363B9D" w:rsidRPr="009D07E3" w:rsidRDefault="00363B9D" w:rsidP="00E340C9">
            <w:pPr>
              <w:spacing w:before="60"/>
              <w:rPr>
                <w:rFonts w:cs="Arial"/>
                <w:lang w:val="en-CA"/>
              </w:rPr>
            </w:pPr>
            <w:r w:rsidRPr="009D07E3">
              <w:rPr>
                <w:rFonts w:cs="Arial"/>
                <w:lang w:val="en-CA"/>
              </w:rPr>
              <w:t>Health (access to healthcare and information)</w:t>
            </w:r>
          </w:p>
          <w:p w14:paraId="6B491B8E" w14:textId="77777777" w:rsidR="00363B9D" w:rsidRPr="009D07E3" w:rsidRDefault="00363B9D" w:rsidP="000A333F">
            <w:pPr>
              <w:rPr>
                <w:rFonts w:cs="Arial"/>
                <w:lang w:val="en-CA"/>
              </w:rPr>
            </w:pPr>
            <w:r w:rsidRPr="009D07E3">
              <w:rPr>
                <w:rFonts w:cs="Arial"/>
                <w:lang w:val="en-CA"/>
              </w:rPr>
              <w:t>Education</w:t>
            </w:r>
          </w:p>
          <w:p w14:paraId="6EB30B66" w14:textId="77777777" w:rsidR="00363B9D" w:rsidRPr="009D07E3" w:rsidRDefault="00363B9D" w:rsidP="000A333F">
            <w:pPr>
              <w:rPr>
                <w:rFonts w:cs="Arial"/>
                <w:lang w:val="en-CA"/>
              </w:rPr>
            </w:pPr>
            <w:r w:rsidRPr="009D07E3">
              <w:rPr>
                <w:rFonts w:cs="Arial"/>
                <w:lang w:val="en-CA"/>
              </w:rPr>
              <w:t>Literacy and numeracy</w:t>
            </w:r>
          </w:p>
          <w:p w14:paraId="65C928C9" w14:textId="77777777" w:rsidR="00363B9D" w:rsidRPr="009D07E3" w:rsidRDefault="00363B9D" w:rsidP="000A333F">
            <w:pPr>
              <w:rPr>
                <w:rFonts w:cs="Arial"/>
                <w:lang w:val="en-CA"/>
              </w:rPr>
            </w:pPr>
            <w:r w:rsidRPr="009D07E3">
              <w:rPr>
                <w:rFonts w:cs="Arial"/>
                <w:lang w:val="en-CA"/>
              </w:rPr>
              <w:t>Financial literacy</w:t>
            </w:r>
          </w:p>
          <w:p w14:paraId="712E940A" w14:textId="77777777" w:rsidR="00363B9D" w:rsidRPr="009D07E3" w:rsidRDefault="00363B9D" w:rsidP="000A333F">
            <w:pPr>
              <w:rPr>
                <w:rFonts w:cs="Arial"/>
                <w:lang w:val="en-CA"/>
              </w:rPr>
            </w:pPr>
            <w:r w:rsidRPr="009D07E3">
              <w:rPr>
                <w:rFonts w:cs="Arial"/>
                <w:lang w:val="en-CA"/>
              </w:rPr>
              <w:t>Knowledge of human and legal rights</w:t>
            </w:r>
          </w:p>
          <w:p w14:paraId="22F2287D" w14:textId="77777777" w:rsidR="00363B9D" w:rsidRPr="009D07E3" w:rsidRDefault="00363B9D" w:rsidP="000A333F">
            <w:pPr>
              <w:rPr>
                <w:rFonts w:cs="Arial"/>
                <w:lang w:val="en-CA"/>
              </w:rPr>
            </w:pPr>
            <w:r w:rsidRPr="009D07E3">
              <w:rPr>
                <w:rFonts w:cs="Arial"/>
                <w:lang w:val="en-CA"/>
              </w:rPr>
              <w:t>Skills useful for finding work</w:t>
            </w:r>
          </w:p>
          <w:p w14:paraId="3F0809C5" w14:textId="69B0CFFD" w:rsidR="00363B9D" w:rsidRPr="009D07E3" w:rsidRDefault="00E340C9" w:rsidP="000A333F">
            <w:pPr>
              <w:rPr>
                <w:rFonts w:cs="Arial"/>
                <w:lang w:val="en-CA"/>
              </w:rPr>
            </w:pPr>
            <w:r w:rsidRPr="009D07E3">
              <w:rPr>
                <w:rFonts w:cs="Arial"/>
                <w:lang w:val="en-CA"/>
              </w:rPr>
              <w:t>Self-esteem</w:t>
            </w:r>
            <w:r w:rsidR="00363B9D" w:rsidRPr="009D07E3">
              <w:rPr>
                <w:rFonts w:cs="Arial"/>
                <w:lang w:val="en-CA"/>
              </w:rPr>
              <w:t xml:space="preserve"> and self confidence</w:t>
            </w:r>
          </w:p>
          <w:p w14:paraId="326B938C" w14:textId="77777777" w:rsidR="00363B9D" w:rsidRPr="009D07E3" w:rsidRDefault="00363B9D" w:rsidP="000A333F">
            <w:pPr>
              <w:rPr>
                <w:rFonts w:cs="Arial"/>
                <w:lang w:val="en-CA"/>
              </w:rPr>
            </w:pPr>
          </w:p>
        </w:tc>
        <w:tc>
          <w:tcPr>
            <w:tcW w:w="4509" w:type="dxa"/>
          </w:tcPr>
          <w:p w14:paraId="6408388D" w14:textId="77777777" w:rsidR="00363B9D" w:rsidRPr="009D07E3" w:rsidRDefault="00363B9D" w:rsidP="00E340C9">
            <w:pPr>
              <w:spacing w:before="60"/>
              <w:rPr>
                <w:rFonts w:cs="Arial"/>
                <w:lang w:val="en-CA"/>
              </w:rPr>
            </w:pPr>
            <w:r w:rsidRPr="009D07E3">
              <w:rPr>
                <w:rFonts w:cs="Arial"/>
                <w:lang w:val="en-CA"/>
              </w:rPr>
              <w:t xml:space="preserve">Cash/income </w:t>
            </w:r>
          </w:p>
          <w:p w14:paraId="2A6E5922" w14:textId="77777777" w:rsidR="00363B9D" w:rsidRPr="009D07E3" w:rsidRDefault="00363B9D" w:rsidP="000A333F">
            <w:pPr>
              <w:rPr>
                <w:rFonts w:cs="Arial"/>
                <w:lang w:val="en-CA"/>
              </w:rPr>
            </w:pPr>
            <w:r w:rsidRPr="009D07E3">
              <w:rPr>
                <w:rFonts w:cs="Arial"/>
                <w:lang w:val="en-CA"/>
              </w:rPr>
              <w:t>Savings</w:t>
            </w:r>
          </w:p>
          <w:p w14:paraId="665E3402" w14:textId="77777777" w:rsidR="00363B9D" w:rsidRPr="009D07E3" w:rsidRDefault="00363B9D" w:rsidP="000A333F">
            <w:pPr>
              <w:rPr>
                <w:rFonts w:cs="Arial"/>
                <w:lang w:val="en-CA"/>
              </w:rPr>
            </w:pPr>
            <w:r w:rsidRPr="009D07E3">
              <w:rPr>
                <w:rFonts w:cs="Arial"/>
                <w:lang w:val="en-CA"/>
              </w:rPr>
              <w:t>Access to loans</w:t>
            </w:r>
          </w:p>
          <w:p w14:paraId="46FE1594" w14:textId="77777777" w:rsidR="00363B9D" w:rsidRPr="009D07E3" w:rsidRDefault="00363B9D" w:rsidP="000A333F">
            <w:pPr>
              <w:rPr>
                <w:rFonts w:cs="Arial"/>
                <w:lang w:val="en-CA"/>
              </w:rPr>
            </w:pPr>
            <w:r w:rsidRPr="009D07E3">
              <w:rPr>
                <w:rFonts w:cs="Arial"/>
                <w:lang w:val="en-CA"/>
              </w:rPr>
              <w:t>Vouchers</w:t>
            </w:r>
          </w:p>
          <w:p w14:paraId="1C8EBB57" w14:textId="77777777" w:rsidR="00363B9D" w:rsidRPr="009D07E3" w:rsidRDefault="00363B9D" w:rsidP="000A333F">
            <w:pPr>
              <w:rPr>
                <w:rFonts w:cs="Arial"/>
                <w:lang w:val="en-CA"/>
              </w:rPr>
            </w:pPr>
            <w:r w:rsidRPr="009D07E3">
              <w:rPr>
                <w:rFonts w:cs="Arial"/>
                <w:lang w:val="en-CA"/>
              </w:rPr>
              <w:t>Equipment</w:t>
            </w:r>
          </w:p>
          <w:p w14:paraId="2AB5B3A7" w14:textId="77777777" w:rsidR="00363B9D" w:rsidRPr="009D07E3" w:rsidRDefault="00363B9D" w:rsidP="000A333F">
            <w:pPr>
              <w:rPr>
                <w:rFonts w:cs="Arial"/>
                <w:lang w:val="en-CA"/>
              </w:rPr>
            </w:pPr>
            <w:r w:rsidRPr="009D07E3">
              <w:rPr>
                <w:rFonts w:cs="Arial"/>
                <w:lang w:val="en-CA"/>
              </w:rPr>
              <w:t>Input (seeds, fertilisers, raw materials)</w:t>
            </w:r>
          </w:p>
          <w:p w14:paraId="17B9C63E" w14:textId="77777777" w:rsidR="00363B9D" w:rsidRPr="009D07E3" w:rsidRDefault="00363B9D" w:rsidP="000A333F">
            <w:pPr>
              <w:rPr>
                <w:rFonts w:cs="Arial"/>
                <w:lang w:val="en-CA"/>
              </w:rPr>
            </w:pPr>
            <w:r w:rsidRPr="009D07E3">
              <w:rPr>
                <w:rFonts w:cs="Arial"/>
                <w:lang w:val="en-CA"/>
              </w:rPr>
              <w:t>Livestock</w:t>
            </w:r>
          </w:p>
          <w:p w14:paraId="4CF6F152" w14:textId="77777777" w:rsidR="00363B9D" w:rsidRPr="009D07E3" w:rsidRDefault="00363B9D" w:rsidP="000A333F">
            <w:pPr>
              <w:rPr>
                <w:rFonts w:cs="Arial"/>
                <w:lang w:val="en-CA"/>
              </w:rPr>
            </w:pPr>
            <w:r w:rsidRPr="009D07E3">
              <w:rPr>
                <w:rFonts w:cs="Arial"/>
                <w:lang w:val="en-CA"/>
              </w:rPr>
              <w:t>Stock (inventory)</w:t>
            </w:r>
          </w:p>
          <w:p w14:paraId="3894A47E" w14:textId="77777777" w:rsidR="00363B9D" w:rsidRPr="009D07E3" w:rsidRDefault="00363B9D" w:rsidP="00E340C9">
            <w:pPr>
              <w:spacing w:after="120"/>
              <w:rPr>
                <w:rFonts w:cs="Arial"/>
                <w:lang w:val="en-CA"/>
              </w:rPr>
            </w:pPr>
            <w:r w:rsidRPr="009D07E3">
              <w:rPr>
                <w:rFonts w:cs="Arial"/>
                <w:lang w:val="en-CA"/>
              </w:rPr>
              <w:t>Business and market information</w:t>
            </w:r>
          </w:p>
        </w:tc>
      </w:tr>
      <w:tr w:rsidR="00BB489B" w:rsidRPr="00BB489B" w14:paraId="6FA0FF5C" w14:textId="77777777" w:rsidTr="00E340C9">
        <w:tc>
          <w:tcPr>
            <w:tcW w:w="4509" w:type="dxa"/>
            <w:shd w:val="clear" w:color="auto" w:fill="006CB6"/>
            <w:vAlign w:val="center"/>
          </w:tcPr>
          <w:p w14:paraId="2D8A15FF" w14:textId="0547F2A5" w:rsidR="00363B9D" w:rsidRPr="00BB489B" w:rsidRDefault="00363B9D" w:rsidP="00E340C9">
            <w:pPr>
              <w:spacing w:before="60" w:after="60"/>
              <w:jc w:val="center"/>
              <w:rPr>
                <w:rFonts w:cs="Arial"/>
                <w:b/>
                <w:color w:val="FFFFFF" w:themeColor="background1"/>
                <w:lang w:val="en-CA"/>
              </w:rPr>
            </w:pPr>
            <w:r w:rsidRPr="00BB489B">
              <w:rPr>
                <w:rFonts w:cs="Arial"/>
                <w:b/>
                <w:color w:val="FFFFFF" w:themeColor="background1"/>
                <w:lang w:val="en-CA"/>
              </w:rPr>
              <w:t xml:space="preserve">C. Agency </w:t>
            </w:r>
            <w:r w:rsidR="00E340C9">
              <w:rPr>
                <w:rFonts w:cs="Arial"/>
                <w:b/>
                <w:color w:val="FFFFFF" w:themeColor="background1"/>
                <w:lang w:val="en-CA"/>
              </w:rPr>
              <w:t>A</w:t>
            </w:r>
            <w:r w:rsidRPr="00BB489B">
              <w:rPr>
                <w:rFonts w:cs="Arial"/>
                <w:b/>
                <w:color w:val="FFFFFF" w:themeColor="background1"/>
                <w:lang w:val="en-CA"/>
              </w:rPr>
              <w:t xml:space="preserve">ssets (Power </w:t>
            </w:r>
            <w:r w:rsidR="00E340C9">
              <w:rPr>
                <w:rFonts w:cs="Arial"/>
                <w:b/>
                <w:color w:val="FFFFFF" w:themeColor="background1"/>
                <w:lang w:val="en-CA"/>
              </w:rPr>
              <w:t>T</w:t>
            </w:r>
            <w:r w:rsidRPr="00BB489B">
              <w:rPr>
                <w:rFonts w:cs="Arial"/>
                <w:b/>
                <w:color w:val="FFFFFF" w:themeColor="background1"/>
                <w:lang w:val="en-CA"/>
              </w:rPr>
              <w:t>o)</w:t>
            </w:r>
          </w:p>
        </w:tc>
        <w:tc>
          <w:tcPr>
            <w:tcW w:w="4509" w:type="dxa"/>
            <w:shd w:val="clear" w:color="auto" w:fill="006CB6"/>
            <w:vAlign w:val="center"/>
          </w:tcPr>
          <w:p w14:paraId="257AB5E6" w14:textId="0F21E64E" w:rsidR="00363B9D" w:rsidRPr="00BB489B" w:rsidRDefault="00363B9D" w:rsidP="00E340C9">
            <w:pPr>
              <w:spacing w:before="60" w:after="60"/>
              <w:jc w:val="center"/>
              <w:rPr>
                <w:rFonts w:cs="Arial"/>
                <w:b/>
                <w:color w:val="FFFFFF" w:themeColor="background1"/>
                <w:lang w:val="en-CA"/>
              </w:rPr>
            </w:pPr>
            <w:r w:rsidRPr="00BB489B">
              <w:rPr>
                <w:rFonts w:cs="Arial"/>
                <w:b/>
                <w:color w:val="FFFFFF" w:themeColor="background1"/>
                <w:lang w:val="en-CA"/>
              </w:rPr>
              <w:t xml:space="preserve">D. Social </w:t>
            </w:r>
            <w:r w:rsidR="00E340C9">
              <w:rPr>
                <w:rFonts w:cs="Arial"/>
                <w:b/>
                <w:color w:val="FFFFFF" w:themeColor="background1"/>
                <w:lang w:val="en-CA"/>
              </w:rPr>
              <w:t>A</w:t>
            </w:r>
            <w:r w:rsidRPr="00BB489B">
              <w:rPr>
                <w:rFonts w:cs="Arial"/>
                <w:b/>
                <w:color w:val="FFFFFF" w:themeColor="background1"/>
                <w:lang w:val="en-CA"/>
              </w:rPr>
              <w:t>ssets (</w:t>
            </w:r>
            <w:r w:rsidR="00E340C9">
              <w:rPr>
                <w:rFonts w:cs="Arial"/>
                <w:b/>
                <w:color w:val="FFFFFF" w:themeColor="background1"/>
                <w:lang w:val="en-CA"/>
              </w:rPr>
              <w:t>P</w:t>
            </w:r>
            <w:r w:rsidRPr="00BB489B">
              <w:rPr>
                <w:rFonts w:cs="Arial"/>
                <w:b/>
                <w:color w:val="FFFFFF" w:themeColor="background1"/>
                <w:lang w:val="en-CA"/>
              </w:rPr>
              <w:t xml:space="preserve">ower </w:t>
            </w:r>
            <w:r w:rsidR="00E340C9">
              <w:rPr>
                <w:rFonts w:cs="Arial"/>
                <w:b/>
                <w:color w:val="FFFFFF" w:themeColor="background1"/>
                <w:lang w:val="en-CA"/>
              </w:rPr>
              <w:t>W</w:t>
            </w:r>
            <w:r w:rsidRPr="00BB489B">
              <w:rPr>
                <w:rFonts w:cs="Arial"/>
                <w:b/>
                <w:color w:val="FFFFFF" w:themeColor="background1"/>
                <w:lang w:val="en-CA"/>
              </w:rPr>
              <w:t>ith)</w:t>
            </w:r>
          </w:p>
        </w:tc>
      </w:tr>
      <w:tr w:rsidR="00363B9D" w:rsidRPr="009D07E3" w14:paraId="1909B2CF" w14:textId="77777777" w:rsidTr="00E340C9">
        <w:tc>
          <w:tcPr>
            <w:tcW w:w="4509" w:type="dxa"/>
          </w:tcPr>
          <w:p w14:paraId="0E715F37" w14:textId="77777777" w:rsidR="00363B9D" w:rsidRPr="009D07E3" w:rsidRDefault="00363B9D" w:rsidP="00E340C9">
            <w:pPr>
              <w:spacing w:before="60"/>
              <w:jc w:val="left"/>
              <w:rPr>
                <w:rFonts w:cs="Arial"/>
                <w:lang w:val="en-CA"/>
              </w:rPr>
            </w:pPr>
            <w:r w:rsidRPr="009D07E3">
              <w:rPr>
                <w:rFonts w:cs="Arial"/>
                <w:lang w:val="en-CA"/>
              </w:rPr>
              <w:t>Participate in economic decisions within the family</w:t>
            </w:r>
          </w:p>
          <w:p w14:paraId="2E5E7EF3" w14:textId="77777777" w:rsidR="00363B9D" w:rsidRPr="009D07E3" w:rsidRDefault="00363B9D" w:rsidP="000A333F">
            <w:pPr>
              <w:rPr>
                <w:rFonts w:cs="Arial"/>
                <w:lang w:val="en-CA"/>
              </w:rPr>
            </w:pPr>
            <w:r w:rsidRPr="009D07E3">
              <w:rPr>
                <w:rFonts w:cs="Arial"/>
                <w:lang w:val="en-CA"/>
              </w:rPr>
              <w:t>Engage in community decision-making</w:t>
            </w:r>
          </w:p>
          <w:p w14:paraId="7A38EC11" w14:textId="77777777" w:rsidR="00363B9D" w:rsidRPr="009D07E3" w:rsidRDefault="00363B9D" w:rsidP="000A333F">
            <w:pPr>
              <w:rPr>
                <w:rFonts w:cs="Arial"/>
                <w:lang w:val="en-CA"/>
              </w:rPr>
            </w:pPr>
            <w:r w:rsidRPr="009D07E3">
              <w:rPr>
                <w:rFonts w:cs="Arial"/>
                <w:lang w:val="en-CA"/>
              </w:rPr>
              <w:t>Access services and Social protection</w:t>
            </w:r>
          </w:p>
          <w:p w14:paraId="74C5466D" w14:textId="77777777" w:rsidR="00363B9D" w:rsidRPr="009D07E3" w:rsidRDefault="00363B9D" w:rsidP="000A333F">
            <w:pPr>
              <w:rPr>
                <w:rFonts w:cs="Arial"/>
                <w:lang w:val="en-CA"/>
              </w:rPr>
            </w:pPr>
            <w:r w:rsidRPr="009D07E3">
              <w:rPr>
                <w:rFonts w:cs="Arial"/>
                <w:lang w:val="en-CA"/>
              </w:rPr>
              <w:t>Access jobs and/or create income opportunities</w:t>
            </w:r>
          </w:p>
          <w:p w14:paraId="4F2BC659" w14:textId="77777777" w:rsidR="00363B9D" w:rsidRPr="009D07E3" w:rsidRDefault="00363B9D" w:rsidP="000A333F">
            <w:pPr>
              <w:rPr>
                <w:rFonts w:cs="Arial"/>
                <w:lang w:val="en-CA"/>
              </w:rPr>
            </w:pPr>
            <w:r w:rsidRPr="009D07E3">
              <w:rPr>
                <w:rFonts w:cs="Arial"/>
                <w:lang w:val="en-CA"/>
              </w:rPr>
              <w:t>Engage with markets including migrant worker placement agencies and employers</w:t>
            </w:r>
          </w:p>
        </w:tc>
        <w:tc>
          <w:tcPr>
            <w:tcW w:w="4509" w:type="dxa"/>
          </w:tcPr>
          <w:p w14:paraId="5D651CD2" w14:textId="77777777" w:rsidR="00363B9D" w:rsidRPr="009D07E3" w:rsidRDefault="00363B9D" w:rsidP="00E340C9">
            <w:pPr>
              <w:spacing w:before="60"/>
              <w:rPr>
                <w:rFonts w:cs="Arial"/>
                <w:lang w:val="en-CA"/>
              </w:rPr>
            </w:pPr>
            <w:r w:rsidRPr="009D07E3">
              <w:rPr>
                <w:rFonts w:cs="Arial"/>
                <w:lang w:val="en-CA"/>
              </w:rPr>
              <w:t>Friends</w:t>
            </w:r>
          </w:p>
          <w:p w14:paraId="0B0F91FD" w14:textId="77777777" w:rsidR="00363B9D" w:rsidRPr="009D07E3" w:rsidRDefault="00363B9D" w:rsidP="000A333F">
            <w:pPr>
              <w:rPr>
                <w:rFonts w:cs="Arial"/>
                <w:lang w:val="en-CA"/>
              </w:rPr>
            </w:pPr>
            <w:r w:rsidRPr="009D07E3">
              <w:rPr>
                <w:rFonts w:cs="Arial"/>
                <w:lang w:val="en-CA"/>
              </w:rPr>
              <w:t>Social networks</w:t>
            </w:r>
          </w:p>
          <w:p w14:paraId="6F604763" w14:textId="77777777" w:rsidR="00363B9D" w:rsidRPr="009D07E3" w:rsidRDefault="00363B9D" w:rsidP="000A333F">
            <w:pPr>
              <w:rPr>
                <w:rFonts w:cs="Arial"/>
                <w:lang w:val="en-CA"/>
              </w:rPr>
            </w:pPr>
            <w:r w:rsidRPr="009D07E3">
              <w:rPr>
                <w:rFonts w:cs="Arial"/>
                <w:lang w:val="en-CA"/>
              </w:rPr>
              <w:t>Mentors</w:t>
            </w:r>
          </w:p>
          <w:p w14:paraId="5B9F8ECF" w14:textId="77777777" w:rsidR="00363B9D" w:rsidRPr="009D07E3" w:rsidRDefault="00363B9D" w:rsidP="000A333F">
            <w:pPr>
              <w:rPr>
                <w:rFonts w:cs="Arial"/>
                <w:lang w:val="en-CA"/>
              </w:rPr>
            </w:pPr>
            <w:r w:rsidRPr="009D07E3">
              <w:rPr>
                <w:rFonts w:cs="Arial"/>
                <w:lang w:val="en-CA"/>
              </w:rPr>
              <w:t>Group membership</w:t>
            </w:r>
          </w:p>
          <w:p w14:paraId="13368021" w14:textId="77777777" w:rsidR="00363B9D" w:rsidRPr="009D07E3" w:rsidRDefault="00363B9D" w:rsidP="000A333F">
            <w:pPr>
              <w:rPr>
                <w:rFonts w:cs="Arial"/>
                <w:lang w:val="en-CA"/>
              </w:rPr>
            </w:pPr>
            <w:r w:rsidRPr="009D07E3">
              <w:rPr>
                <w:rFonts w:cs="Arial"/>
                <w:lang w:val="en-CA"/>
              </w:rPr>
              <w:t>Links to village governments</w:t>
            </w:r>
          </w:p>
          <w:p w14:paraId="2CDE3F2A" w14:textId="77777777" w:rsidR="00363B9D" w:rsidRPr="009D07E3" w:rsidRDefault="00363B9D" w:rsidP="00E340C9">
            <w:pPr>
              <w:jc w:val="left"/>
              <w:rPr>
                <w:rFonts w:cs="Arial"/>
                <w:lang w:val="en-CA"/>
              </w:rPr>
            </w:pPr>
            <w:r w:rsidRPr="009D07E3">
              <w:rPr>
                <w:rFonts w:cs="Arial"/>
                <w:lang w:val="en-CA"/>
              </w:rPr>
              <w:t>Links to district government and service providers</w:t>
            </w:r>
          </w:p>
          <w:p w14:paraId="652A0B8B" w14:textId="77777777" w:rsidR="00363B9D" w:rsidRPr="009D07E3" w:rsidRDefault="00363B9D" w:rsidP="00E340C9">
            <w:pPr>
              <w:spacing w:after="120"/>
              <w:rPr>
                <w:rFonts w:cs="Arial"/>
                <w:lang w:val="en-CA"/>
              </w:rPr>
            </w:pPr>
            <w:r w:rsidRPr="009D07E3">
              <w:rPr>
                <w:rFonts w:cs="Arial"/>
                <w:lang w:val="en-CA"/>
              </w:rPr>
              <w:t>Links with civil society and other groups</w:t>
            </w:r>
          </w:p>
        </w:tc>
      </w:tr>
      <w:tr w:rsidR="00BB489B" w:rsidRPr="00BB489B" w14:paraId="16A4556B" w14:textId="77777777" w:rsidTr="00E340C9">
        <w:tc>
          <w:tcPr>
            <w:tcW w:w="9018" w:type="dxa"/>
            <w:gridSpan w:val="2"/>
            <w:shd w:val="clear" w:color="auto" w:fill="006CB6"/>
            <w:vAlign w:val="center"/>
          </w:tcPr>
          <w:p w14:paraId="241D647A" w14:textId="14144B03" w:rsidR="00363B9D" w:rsidRPr="00BB489B" w:rsidRDefault="00363B9D" w:rsidP="00E340C9">
            <w:pPr>
              <w:spacing w:before="60" w:after="60"/>
              <w:jc w:val="center"/>
              <w:rPr>
                <w:rFonts w:cs="Arial"/>
                <w:b/>
                <w:color w:val="FFFFFF" w:themeColor="background1"/>
                <w:lang w:val="en-CA"/>
              </w:rPr>
            </w:pPr>
            <w:r w:rsidRPr="00BB489B">
              <w:rPr>
                <w:rFonts w:cs="Arial"/>
                <w:b/>
                <w:color w:val="FFFFFF" w:themeColor="background1"/>
                <w:lang w:val="en-CA"/>
              </w:rPr>
              <w:t xml:space="preserve">E. Enabling </w:t>
            </w:r>
            <w:r w:rsidR="00E340C9">
              <w:rPr>
                <w:rFonts w:cs="Arial"/>
                <w:b/>
                <w:color w:val="FFFFFF" w:themeColor="background1"/>
                <w:lang w:val="en-CA"/>
              </w:rPr>
              <w:t>A</w:t>
            </w:r>
            <w:r w:rsidRPr="00BB489B">
              <w:rPr>
                <w:rFonts w:cs="Arial"/>
                <w:b/>
                <w:color w:val="FFFFFF" w:themeColor="background1"/>
                <w:lang w:val="en-CA"/>
              </w:rPr>
              <w:t>ssets</w:t>
            </w:r>
          </w:p>
        </w:tc>
      </w:tr>
      <w:tr w:rsidR="00363B9D" w:rsidRPr="009D07E3" w14:paraId="76CA9E7D" w14:textId="77777777" w:rsidTr="00E340C9">
        <w:tc>
          <w:tcPr>
            <w:tcW w:w="9018" w:type="dxa"/>
            <w:gridSpan w:val="2"/>
          </w:tcPr>
          <w:p w14:paraId="396DAD15" w14:textId="77777777" w:rsidR="00363B9D" w:rsidRPr="009D07E3" w:rsidRDefault="00363B9D" w:rsidP="00630535">
            <w:pPr>
              <w:spacing w:before="120"/>
              <w:jc w:val="center"/>
              <w:rPr>
                <w:rFonts w:cs="Arial"/>
                <w:lang w:val="en-CA"/>
              </w:rPr>
            </w:pPr>
            <w:r w:rsidRPr="009D07E3">
              <w:rPr>
                <w:rFonts w:cs="Arial"/>
                <w:lang w:val="en-CA"/>
              </w:rPr>
              <w:t>Identify card</w:t>
            </w:r>
          </w:p>
          <w:p w14:paraId="3F95D5D9" w14:textId="77777777" w:rsidR="00363B9D" w:rsidRPr="009D07E3" w:rsidRDefault="00363B9D" w:rsidP="00630535">
            <w:pPr>
              <w:jc w:val="center"/>
              <w:rPr>
                <w:rFonts w:cs="Arial"/>
                <w:lang w:val="en-CA"/>
              </w:rPr>
            </w:pPr>
            <w:r w:rsidRPr="009D07E3">
              <w:rPr>
                <w:rFonts w:cs="Arial"/>
                <w:lang w:val="en-CA"/>
              </w:rPr>
              <w:t>Legal, policy, and rights frameworks</w:t>
            </w:r>
          </w:p>
          <w:p w14:paraId="7239A9CA" w14:textId="77777777" w:rsidR="00363B9D" w:rsidRPr="009D07E3" w:rsidRDefault="00363B9D" w:rsidP="00630535">
            <w:pPr>
              <w:jc w:val="center"/>
              <w:rPr>
                <w:rFonts w:cs="Arial"/>
                <w:lang w:val="en-CA"/>
              </w:rPr>
            </w:pPr>
            <w:r w:rsidRPr="009D07E3">
              <w:rPr>
                <w:rFonts w:cs="Arial"/>
                <w:lang w:val="en-CA"/>
              </w:rPr>
              <w:t>Transport</w:t>
            </w:r>
          </w:p>
          <w:p w14:paraId="2933A0EC" w14:textId="77777777" w:rsidR="00363B9D" w:rsidRPr="009D07E3" w:rsidRDefault="00363B9D" w:rsidP="00630535">
            <w:pPr>
              <w:jc w:val="center"/>
              <w:rPr>
                <w:rFonts w:cs="Arial"/>
                <w:lang w:val="en-CA"/>
              </w:rPr>
            </w:pPr>
            <w:r w:rsidRPr="009D07E3">
              <w:rPr>
                <w:rFonts w:cs="Arial"/>
                <w:lang w:val="en-CA"/>
              </w:rPr>
              <w:t>Time saving infrastructure etc.</w:t>
            </w:r>
          </w:p>
          <w:p w14:paraId="3CB13EFF" w14:textId="77777777" w:rsidR="00363B9D" w:rsidRPr="009D07E3" w:rsidRDefault="00363B9D" w:rsidP="00630535">
            <w:pPr>
              <w:spacing w:after="120"/>
              <w:jc w:val="center"/>
              <w:rPr>
                <w:rFonts w:cs="Arial"/>
                <w:lang w:val="en-CA"/>
              </w:rPr>
            </w:pPr>
            <w:r w:rsidRPr="009D07E3">
              <w:rPr>
                <w:rFonts w:cs="Arial"/>
                <w:lang w:val="en-CA"/>
              </w:rPr>
              <w:t>Child care</w:t>
            </w:r>
          </w:p>
        </w:tc>
      </w:tr>
    </w:tbl>
    <w:p w14:paraId="7CD1627D" w14:textId="77777777" w:rsidR="005C1111" w:rsidRPr="009D07E3" w:rsidRDefault="005C1111" w:rsidP="000A333F">
      <w:pPr>
        <w:rPr>
          <w:rFonts w:cs="Arial"/>
          <w:b/>
          <w:color w:val="4F81BD" w:themeColor="accent1"/>
          <w:lang w:val="en-CA"/>
        </w:rPr>
      </w:pPr>
    </w:p>
    <w:p w14:paraId="5383AE41" w14:textId="77777777" w:rsidR="003A24DB" w:rsidRPr="009D07E3" w:rsidRDefault="003A24DB" w:rsidP="000A333F">
      <w:pPr>
        <w:rPr>
          <w:rFonts w:cs="Arial"/>
          <w:b/>
          <w:color w:val="4F81BD" w:themeColor="accent1"/>
          <w:sz w:val="28"/>
          <w:szCs w:val="28"/>
          <w:lang w:val="en-CA"/>
        </w:rPr>
        <w:sectPr w:rsidR="003A24DB" w:rsidRPr="009D07E3" w:rsidSect="00614064">
          <w:type w:val="nextColumn"/>
          <w:pgSz w:w="11909" w:h="16834" w:code="9"/>
          <w:pgMar w:top="1440" w:right="1440" w:bottom="1440" w:left="1440" w:header="720" w:footer="720" w:gutter="0"/>
          <w:pgNumType w:start="1" w:chapStyle="1"/>
          <w:cols w:space="708"/>
          <w:docGrid w:linePitch="360"/>
        </w:sectPr>
      </w:pPr>
    </w:p>
    <w:p w14:paraId="1A77BBC3" w14:textId="0C452406" w:rsidR="00B11CB6" w:rsidRPr="009D07E3" w:rsidRDefault="00B11CB6" w:rsidP="003A24DB">
      <w:pPr>
        <w:pStyle w:val="Heading1"/>
        <w:rPr>
          <w:lang w:val="en-CA"/>
        </w:rPr>
      </w:pPr>
      <w:bookmarkStart w:id="20" w:name="_Toc423438708"/>
      <w:r w:rsidRPr="009D07E3">
        <w:rPr>
          <w:lang w:val="en-CA"/>
        </w:rPr>
        <w:t>Implementation</w:t>
      </w:r>
      <w:r w:rsidR="00804719" w:rsidRPr="009D07E3">
        <w:rPr>
          <w:lang w:val="en-CA"/>
        </w:rPr>
        <w:t>: Lessons from Phase 1</w:t>
      </w:r>
      <w:bookmarkEnd w:id="20"/>
    </w:p>
    <w:p w14:paraId="557F525F" w14:textId="77777777" w:rsidR="00890DB5" w:rsidRDefault="00890DB5" w:rsidP="000A333F">
      <w:pPr>
        <w:rPr>
          <w:rFonts w:cs="Arial"/>
          <w:lang w:val="en-CA"/>
        </w:rPr>
      </w:pPr>
    </w:p>
    <w:p w14:paraId="1506A5CC" w14:textId="769146A2" w:rsidR="00746589" w:rsidRDefault="00746589" w:rsidP="000A333F">
      <w:pPr>
        <w:rPr>
          <w:rFonts w:cs="Arial"/>
          <w:lang w:val="en-CA"/>
        </w:rPr>
      </w:pPr>
      <w:r>
        <w:rPr>
          <w:rFonts w:cs="Arial"/>
          <w:lang w:val="en-CA"/>
        </w:rPr>
        <w:t xml:space="preserve">The MAMPU Performance Story report shows </w:t>
      </w:r>
      <w:proofErr w:type="gramStart"/>
      <w:r>
        <w:rPr>
          <w:rFonts w:cs="Arial"/>
          <w:lang w:val="en-CA"/>
        </w:rPr>
        <w:t>that</w:t>
      </w:r>
      <w:proofErr w:type="gramEnd"/>
      <w:r>
        <w:rPr>
          <w:rFonts w:cs="Arial"/>
          <w:lang w:val="en-CA"/>
        </w:rPr>
        <w:t xml:space="preserve"> 3 years into its life, MAMPU is making strong progress against the outcomes expected in its original design. The network of gender-interested organisations that MAMPU convenes and funds has expanded. The 7 organisations selected in 2012 </w:t>
      </w:r>
      <w:proofErr w:type="gramStart"/>
      <w:r>
        <w:rPr>
          <w:rFonts w:cs="Arial"/>
          <w:lang w:val="en-CA"/>
        </w:rPr>
        <w:t>has</w:t>
      </w:r>
      <w:proofErr w:type="gramEnd"/>
      <w:r>
        <w:rPr>
          <w:rFonts w:cs="Arial"/>
          <w:lang w:val="en-CA"/>
        </w:rPr>
        <w:t xml:space="preserve"> now grown to 161, counting both local branches of mass organisations and civil society organisations. The organisations are collaborating in varying forms of network</w:t>
      </w:r>
      <w:r w:rsidR="00086D4D">
        <w:rPr>
          <w:rFonts w:cs="Arial"/>
          <w:lang w:val="en-CA"/>
        </w:rPr>
        <w:t>s</w:t>
      </w:r>
      <w:r>
        <w:rPr>
          <w:rFonts w:cs="Arial"/>
          <w:lang w:val="en-CA"/>
        </w:rPr>
        <w:t xml:space="preserve"> to implement their MAMPU-funded projects. MAMPU’s reach among poor women at the grassroots level has expanded. The number of villages where our partners work is now greater than 2,400 (across 27 provinces), and more than 800 local groups have been established with a total membership of more than 14,000 women.</w:t>
      </w:r>
    </w:p>
    <w:p w14:paraId="0A98AFE2" w14:textId="77777777" w:rsidR="00746589" w:rsidRPr="009D07E3" w:rsidRDefault="00746589" w:rsidP="000A333F">
      <w:pPr>
        <w:rPr>
          <w:rFonts w:cs="Arial"/>
          <w:lang w:val="en-CA"/>
        </w:rPr>
      </w:pPr>
    </w:p>
    <w:p w14:paraId="6CDDEC53" w14:textId="2D5FFCF8" w:rsidR="004A6CAE" w:rsidRPr="009D07E3" w:rsidRDefault="00890DB5" w:rsidP="00890DB5">
      <w:pPr>
        <w:spacing w:after="120"/>
        <w:rPr>
          <w:rFonts w:cs="Arial"/>
          <w:lang w:val="en-CA"/>
        </w:rPr>
      </w:pPr>
      <w:r w:rsidRPr="009D07E3">
        <w:rPr>
          <w:rFonts w:cs="Arial"/>
          <w:lang w:val="en-CA"/>
        </w:rPr>
        <w:t>There have been many lessons learned during the first three years of implementation and the program has adapted and introduced changes according to emerging needs. Below are some of the highlights.</w:t>
      </w:r>
    </w:p>
    <w:p w14:paraId="1AD45252" w14:textId="1204892F" w:rsidR="00890DB5" w:rsidRPr="005A0C8F" w:rsidRDefault="00621DF6" w:rsidP="005A0C8F">
      <w:pPr>
        <w:pStyle w:val="ListParagraph"/>
        <w:numPr>
          <w:ilvl w:val="0"/>
          <w:numId w:val="27"/>
        </w:numPr>
        <w:spacing w:after="120"/>
        <w:contextualSpacing w:val="0"/>
        <w:rPr>
          <w:rFonts w:cs="Arial"/>
          <w:lang w:val="en-CA"/>
        </w:rPr>
      </w:pPr>
      <w:r w:rsidRPr="005A0C8F">
        <w:rPr>
          <w:rFonts w:cs="Arial"/>
          <w:b/>
          <w:lang w:val="en-CA"/>
        </w:rPr>
        <w:t xml:space="preserve">Trust </w:t>
      </w:r>
      <w:r w:rsidRPr="005A0C8F">
        <w:rPr>
          <w:rFonts w:cs="Arial"/>
          <w:lang w:val="en-CA"/>
        </w:rPr>
        <w:t>and</w:t>
      </w:r>
      <w:r w:rsidRPr="005A0C8F">
        <w:rPr>
          <w:rFonts w:cs="Arial"/>
          <w:b/>
          <w:lang w:val="en-CA"/>
        </w:rPr>
        <w:t xml:space="preserve"> credibility </w:t>
      </w:r>
      <w:r w:rsidRPr="005A0C8F">
        <w:rPr>
          <w:rFonts w:cs="Arial"/>
          <w:lang w:val="en-CA"/>
        </w:rPr>
        <w:t>are vital to be able to convene partners and create</w:t>
      </w:r>
      <w:r w:rsidRPr="005A0C8F">
        <w:rPr>
          <w:rFonts w:cs="Arial"/>
          <w:b/>
          <w:lang w:val="en-CA"/>
        </w:rPr>
        <w:t xml:space="preserve"> safe space </w:t>
      </w:r>
      <w:r w:rsidRPr="005A0C8F">
        <w:rPr>
          <w:rFonts w:cs="Arial"/>
          <w:lang w:val="en-CA"/>
        </w:rPr>
        <w:t>for effective dialogue</w:t>
      </w:r>
      <w:r w:rsidR="005A0C8F">
        <w:rPr>
          <w:rFonts w:cs="Arial"/>
          <w:lang w:val="en-CA"/>
        </w:rPr>
        <w:t>.</w:t>
      </w:r>
    </w:p>
    <w:p w14:paraId="10C9DB6A" w14:textId="0ECCD844" w:rsidR="00E176DC" w:rsidRPr="009D07E3" w:rsidRDefault="00621DF6" w:rsidP="005A0C8F">
      <w:pPr>
        <w:pStyle w:val="ListParagraph"/>
        <w:numPr>
          <w:ilvl w:val="0"/>
          <w:numId w:val="27"/>
        </w:numPr>
        <w:spacing w:after="120"/>
        <w:contextualSpacing w:val="0"/>
        <w:rPr>
          <w:rFonts w:cs="Arial"/>
          <w:lang w:val="en-CA"/>
        </w:rPr>
      </w:pPr>
      <w:r w:rsidRPr="009D07E3">
        <w:rPr>
          <w:rFonts w:cs="Arial"/>
          <w:b/>
          <w:lang w:val="en-CA"/>
        </w:rPr>
        <w:t>Time</w:t>
      </w:r>
      <w:r w:rsidRPr="009D07E3">
        <w:rPr>
          <w:rFonts w:cs="Arial"/>
          <w:lang w:val="en-CA"/>
        </w:rPr>
        <w:t xml:space="preserve">, </w:t>
      </w:r>
      <w:r w:rsidRPr="009D07E3">
        <w:rPr>
          <w:rFonts w:cs="Arial"/>
          <w:b/>
          <w:lang w:val="en-CA"/>
        </w:rPr>
        <w:t>perseverance</w:t>
      </w:r>
      <w:r w:rsidRPr="009D07E3">
        <w:rPr>
          <w:rFonts w:cs="Arial"/>
          <w:lang w:val="en-CA"/>
        </w:rPr>
        <w:t xml:space="preserve"> and </w:t>
      </w:r>
      <w:r w:rsidRPr="009D07E3">
        <w:rPr>
          <w:rFonts w:cs="Arial"/>
          <w:b/>
          <w:lang w:val="en-CA"/>
        </w:rPr>
        <w:t>consistency</w:t>
      </w:r>
      <w:r w:rsidRPr="009D07E3">
        <w:rPr>
          <w:rFonts w:cs="Arial"/>
          <w:lang w:val="en-CA"/>
        </w:rPr>
        <w:t xml:space="preserve"> is required if networks are to be effective in allowing diverse groups and organisations to find common ground they perhaps didn’t know existed.</w:t>
      </w:r>
    </w:p>
    <w:p w14:paraId="1FA51336" w14:textId="1ADEBC83" w:rsidR="00621DF6" w:rsidRPr="009D07E3" w:rsidRDefault="00621DF6" w:rsidP="005A0C8F">
      <w:pPr>
        <w:pStyle w:val="ListParagraph"/>
        <w:numPr>
          <w:ilvl w:val="0"/>
          <w:numId w:val="27"/>
        </w:numPr>
        <w:spacing w:after="120"/>
        <w:contextualSpacing w:val="0"/>
        <w:rPr>
          <w:rFonts w:cs="Arial"/>
          <w:lang w:val="en-CA"/>
        </w:rPr>
      </w:pPr>
      <w:r w:rsidRPr="009D07E3">
        <w:rPr>
          <w:rFonts w:cs="Arial"/>
          <w:b/>
          <w:lang w:val="en-CA"/>
        </w:rPr>
        <w:t>Networks are non-linear</w:t>
      </w:r>
      <w:r w:rsidRPr="009D07E3">
        <w:rPr>
          <w:rFonts w:cs="Arial"/>
          <w:lang w:val="en-CA"/>
        </w:rPr>
        <w:t>. Active networks connect people to other people’s networks. As a network evolves and contains more relevant stakeholders, the value is greater than the sum of its parts.</w:t>
      </w:r>
    </w:p>
    <w:p w14:paraId="52204C95" w14:textId="3C26C938" w:rsidR="00621DF6" w:rsidRPr="009D07E3" w:rsidRDefault="00621DF6" w:rsidP="005A0C8F">
      <w:pPr>
        <w:pStyle w:val="ListParagraph"/>
        <w:numPr>
          <w:ilvl w:val="0"/>
          <w:numId w:val="27"/>
        </w:numPr>
        <w:spacing w:after="120"/>
        <w:contextualSpacing w:val="0"/>
        <w:rPr>
          <w:rFonts w:cs="Arial"/>
          <w:lang w:val="en-CA"/>
        </w:rPr>
      </w:pPr>
      <w:r w:rsidRPr="009D07E3">
        <w:rPr>
          <w:rFonts w:cs="Arial"/>
          <w:lang w:val="en-CA"/>
        </w:rPr>
        <w:t xml:space="preserve">It is not automatic that partners will know what their </w:t>
      </w:r>
      <w:r w:rsidRPr="009D07E3">
        <w:rPr>
          <w:rFonts w:cs="Arial"/>
          <w:b/>
          <w:lang w:val="en-CA"/>
        </w:rPr>
        <w:t>policy focus</w:t>
      </w:r>
      <w:r w:rsidRPr="009D07E3">
        <w:rPr>
          <w:rFonts w:cs="Arial"/>
          <w:lang w:val="en-CA"/>
        </w:rPr>
        <w:t xml:space="preserve"> is from the beginning of a program. Many will need to be guided through a process whereby they select their priorities based on more in depth knowledge of the issues faced by poor women.</w:t>
      </w:r>
    </w:p>
    <w:p w14:paraId="0FF990A1" w14:textId="4B814A48" w:rsidR="00621DF6" w:rsidRPr="009D07E3" w:rsidRDefault="00621DF6" w:rsidP="005A0C8F">
      <w:pPr>
        <w:pStyle w:val="ListParagraph"/>
        <w:numPr>
          <w:ilvl w:val="0"/>
          <w:numId w:val="27"/>
        </w:numPr>
        <w:spacing w:after="120"/>
        <w:contextualSpacing w:val="0"/>
        <w:rPr>
          <w:rFonts w:cs="Arial"/>
          <w:lang w:val="en-CA"/>
        </w:rPr>
      </w:pPr>
      <w:r w:rsidRPr="009D07E3">
        <w:rPr>
          <w:rFonts w:cs="Arial"/>
          <w:lang w:val="en-CA"/>
        </w:rPr>
        <w:t xml:space="preserve">The thematic focus within MAMPU provides an important entry point to </w:t>
      </w:r>
      <w:r w:rsidR="005A0C8F" w:rsidRPr="009D07E3">
        <w:rPr>
          <w:rFonts w:cs="Arial"/>
          <w:lang w:val="en-CA"/>
        </w:rPr>
        <w:t>government;</w:t>
      </w:r>
      <w:r w:rsidRPr="009D07E3">
        <w:rPr>
          <w:rFonts w:cs="Arial"/>
          <w:lang w:val="en-CA"/>
        </w:rPr>
        <w:t xml:space="preserve"> however</w:t>
      </w:r>
      <w:r w:rsidR="005A0C8F">
        <w:rPr>
          <w:rFonts w:cs="Arial"/>
          <w:lang w:val="en-CA"/>
        </w:rPr>
        <w:t>,</w:t>
      </w:r>
      <w:r w:rsidRPr="009D07E3">
        <w:rPr>
          <w:rFonts w:cs="Arial"/>
          <w:lang w:val="en-CA"/>
        </w:rPr>
        <w:t xml:space="preserve"> a broader more </w:t>
      </w:r>
      <w:r w:rsidRPr="009D07E3">
        <w:rPr>
          <w:rFonts w:cs="Arial"/>
          <w:b/>
          <w:lang w:val="en-CA"/>
        </w:rPr>
        <w:t>holistic approach</w:t>
      </w:r>
      <w:r w:rsidRPr="009D07E3">
        <w:rPr>
          <w:rFonts w:cs="Arial"/>
          <w:lang w:val="en-CA"/>
        </w:rPr>
        <w:t xml:space="preserve"> to empowering</w:t>
      </w:r>
      <w:r w:rsidR="00EB7B08">
        <w:rPr>
          <w:rFonts w:cs="Arial"/>
          <w:lang w:val="en-CA"/>
        </w:rPr>
        <w:t xml:space="preserve"> women is required at the grass</w:t>
      </w:r>
      <w:r w:rsidRPr="009D07E3">
        <w:rPr>
          <w:rFonts w:cs="Arial"/>
          <w:lang w:val="en-CA"/>
        </w:rPr>
        <w:t>roots.</w:t>
      </w:r>
    </w:p>
    <w:p w14:paraId="1782F712" w14:textId="43921887" w:rsidR="00B10C1F" w:rsidRDefault="00621DF6" w:rsidP="005A0C8F">
      <w:pPr>
        <w:pStyle w:val="ListParagraph"/>
        <w:numPr>
          <w:ilvl w:val="0"/>
          <w:numId w:val="27"/>
        </w:numPr>
        <w:spacing w:after="120"/>
        <w:contextualSpacing w:val="0"/>
        <w:rPr>
          <w:rFonts w:cs="Arial"/>
          <w:lang w:val="en-CA"/>
        </w:rPr>
      </w:pPr>
      <w:r w:rsidRPr="009D07E3">
        <w:rPr>
          <w:rFonts w:cs="Arial"/>
          <w:lang w:val="en-CA"/>
        </w:rPr>
        <w:t xml:space="preserve">Effective </w:t>
      </w:r>
      <w:r w:rsidRPr="009D07E3">
        <w:rPr>
          <w:rFonts w:cs="Arial"/>
          <w:b/>
          <w:lang w:val="en-CA"/>
        </w:rPr>
        <w:t>collective action</w:t>
      </w:r>
      <w:r w:rsidRPr="009D07E3">
        <w:rPr>
          <w:rFonts w:cs="Arial"/>
          <w:lang w:val="en-CA"/>
        </w:rPr>
        <w:t xml:space="preserve"> means pooling knowledge and resources and having a strategic plan for government engagement.</w:t>
      </w:r>
    </w:p>
    <w:p w14:paraId="23DA0596" w14:textId="6A98DFB8" w:rsidR="00B04563" w:rsidRPr="009D07E3" w:rsidRDefault="004A6CAE" w:rsidP="005A0C8F">
      <w:pPr>
        <w:pStyle w:val="ListParagraph"/>
        <w:numPr>
          <w:ilvl w:val="0"/>
          <w:numId w:val="27"/>
        </w:numPr>
        <w:spacing w:after="120"/>
        <w:contextualSpacing w:val="0"/>
        <w:rPr>
          <w:rFonts w:cs="Arial"/>
          <w:lang w:val="en-CA"/>
        </w:rPr>
      </w:pPr>
      <w:r>
        <w:rPr>
          <w:rFonts w:cs="Arial"/>
          <w:lang w:val="en-CA"/>
        </w:rPr>
        <w:t>U</w:t>
      </w:r>
      <w:r w:rsidR="00B04563">
        <w:rPr>
          <w:rFonts w:cs="Arial"/>
          <w:lang w:val="en-CA"/>
        </w:rPr>
        <w:t xml:space="preserve">nderstanding the </w:t>
      </w:r>
      <w:r w:rsidR="00B04563" w:rsidRPr="004A6CAE">
        <w:rPr>
          <w:rFonts w:cs="Arial"/>
          <w:b/>
          <w:lang w:val="en-CA"/>
        </w:rPr>
        <w:t>casual pathway</w:t>
      </w:r>
      <w:r w:rsidR="00B04563">
        <w:rPr>
          <w:rFonts w:cs="Arial"/>
          <w:lang w:val="en-CA"/>
        </w:rPr>
        <w:t xml:space="preserve"> of how change happens </w:t>
      </w:r>
      <w:r>
        <w:rPr>
          <w:rFonts w:cs="Arial"/>
          <w:lang w:val="en-CA"/>
        </w:rPr>
        <w:t>is vital for influencing sustainable change.</w:t>
      </w:r>
    </w:p>
    <w:p w14:paraId="16CE72CC" w14:textId="77777777" w:rsidR="0097779B" w:rsidRPr="009D07E3" w:rsidRDefault="0097779B" w:rsidP="003A24DB">
      <w:pPr>
        <w:rPr>
          <w:lang w:val="en-CA"/>
        </w:rPr>
      </w:pPr>
    </w:p>
    <w:p w14:paraId="3762BB76" w14:textId="77777777" w:rsidR="003A24DB" w:rsidRPr="009D07E3" w:rsidRDefault="003A24DB" w:rsidP="000A333F">
      <w:pPr>
        <w:rPr>
          <w:rFonts w:cs="Arial"/>
          <w:b/>
          <w:color w:val="4F81BD" w:themeColor="accent1"/>
          <w:sz w:val="28"/>
          <w:szCs w:val="28"/>
          <w:lang w:val="en-CA"/>
        </w:rPr>
        <w:sectPr w:rsidR="003A24DB" w:rsidRPr="009D07E3" w:rsidSect="00614064">
          <w:type w:val="nextColumn"/>
          <w:pgSz w:w="11909" w:h="16834" w:code="9"/>
          <w:pgMar w:top="1440" w:right="1440" w:bottom="1440" w:left="1440" w:header="720" w:footer="720" w:gutter="0"/>
          <w:pgNumType w:start="1" w:chapStyle="1"/>
          <w:cols w:space="708"/>
          <w:docGrid w:linePitch="360"/>
        </w:sectPr>
      </w:pPr>
    </w:p>
    <w:p w14:paraId="571C7C96" w14:textId="67EAD7B9" w:rsidR="00493588" w:rsidRPr="009D07E3" w:rsidRDefault="00154A71" w:rsidP="003A24DB">
      <w:pPr>
        <w:pStyle w:val="Heading1"/>
        <w:rPr>
          <w:lang w:val="en-CA"/>
        </w:rPr>
      </w:pPr>
      <w:bookmarkStart w:id="21" w:name="_Toc423438709"/>
      <w:r w:rsidRPr="009D07E3">
        <w:rPr>
          <w:lang w:val="en-CA"/>
        </w:rPr>
        <w:t xml:space="preserve">Implementation: </w:t>
      </w:r>
      <w:r w:rsidR="00A234A1" w:rsidRPr="009D07E3">
        <w:rPr>
          <w:lang w:val="en-CA"/>
        </w:rPr>
        <w:t>Proposed approach for Phase 2</w:t>
      </w:r>
      <w:bookmarkEnd w:id="21"/>
    </w:p>
    <w:p w14:paraId="638F2E0E" w14:textId="4D950B75" w:rsidR="00B11CB6" w:rsidRPr="009D07E3" w:rsidRDefault="00B11CB6" w:rsidP="000A333F">
      <w:pPr>
        <w:rPr>
          <w:rFonts w:cs="Arial"/>
          <w:lang w:val="en-CA"/>
        </w:rPr>
      </w:pPr>
      <w:r w:rsidRPr="009D07E3">
        <w:rPr>
          <w:rFonts w:cs="Arial"/>
          <w:lang w:val="en-CA"/>
        </w:rPr>
        <w:t xml:space="preserve">The second phase of MAMPU will run for four years, from July 2016 to June 2020. </w:t>
      </w:r>
      <w:r w:rsidR="00804719" w:rsidRPr="009D07E3">
        <w:rPr>
          <w:rFonts w:cs="Arial"/>
          <w:lang w:val="en-CA"/>
        </w:rPr>
        <w:t>T</w:t>
      </w:r>
      <w:r w:rsidR="009D26A8" w:rsidRPr="009D07E3">
        <w:rPr>
          <w:rFonts w:cs="Arial"/>
          <w:lang w:val="en-CA"/>
        </w:rPr>
        <w:t>he</w:t>
      </w:r>
      <w:r w:rsidRPr="009D07E3">
        <w:rPr>
          <w:rFonts w:cs="Arial"/>
          <w:lang w:val="en-CA"/>
        </w:rPr>
        <w:t xml:space="preserve"> program logic from the original </w:t>
      </w:r>
      <w:r w:rsidR="00EE0C47" w:rsidRPr="009D07E3">
        <w:rPr>
          <w:rFonts w:cs="Arial"/>
          <w:lang w:val="en-CA"/>
        </w:rPr>
        <w:t xml:space="preserve">MAMPU </w:t>
      </w:r>
      <w:r w:rsidRPr="009D07E3">
        <w:rPr>
          <w:rFonts w:cs="Arial"/>
          <w:lang w:val="en-CA"/>
        </w:rPr>
        <w:t>design</w:t>
      </w:r>
      <w:r w:rsidR="00EE0C47" w:rsidRPr="009D07E3">
        <w:rPr>
          <w:rFonts w:cs="Arial"/>
          <w:lang w:val="en-CA"/>
        </w:rPr>
        <w:t xml:space="preserve">, </w:t>
      </w:r>
      <w:r w:rsidR="00804719" w:rsidRPr="009D07E3">
        <w:rPr>
          <w:rFonts w:cs="Arial"/>
          <w:lang w:val="en-CA"/>
        </w:rPr>
        <w:t xml:space="preserve">refined according to the previous section, </w:t>
      </w:r>
      <w:r w:rsidR="00EE0C47" w:rsidRPr="009D07E3">
        <w:rPr>
          <w:rFonts w:cs="Arial"/>
          <w:lang w:val="en-CA"/>
        </w:rPr>
        <w:t xml:space="preserve">remains a valuable </w:t>
      </w:r>
      <w:r w:rsidRPr="009D07E3">
        <w:rPr>
          <w:rFonts w:cs="Arial"/>
          <w:lang w:val="en-CA"/>
        </w:rPr>
        <w:t xml:space="preserve">guide for implementing </w:t>
      </w:r>
      <w:r w:rsidR="009D26A8" w:rsidRPr="009D07E3">
        <w:rPr>
          <w:rFonts w:cs="Arial"/>
          <w:lang w:val="en-CA"/>
        </w:rPr>
        <w:t>P</w:t>
      </w:r>
      <w:r w:rsidRPr="009D07E3">
        <w:rPr>
          <w:rFonts w:cs="Arial"/>
          <w:lang w:val="en-CA"/>
        </w:rPr>
        <w:t xml:space="preserve">hase </w:t>
      </w:r>
      <w:r w:rsidR="009D26A8" w:rsidRPr="009D07E3">
        <w:rPr>
          <w:rFonts w:cs="Arial"/>
          <w:lang w:val="en-CA"/>
        </w:rPr>
        <w:t>T</w:t>
      </w:r>
      <w:r w:rsidRPr="009D07E3">
        <w:rPr>
          <w:rFonts w:cs="Arial"/>
          <w:lang w:val="en-CA"/>
        </w:rPr>
        <w:t xml:space="preserve">wo. </w:t>
      </w:r>
    </w:p>
    <w:p w14:paraId="10F2EB85" w14:textId="77777777" w:rsidR="00A234A1" w:rsidRPr="009D07E3" w:rsidRDefault="00A234A1" w:rsidP="000A333F">
      <w:pPr>
        <w:rPr>
          <w:rFonts w:cs="Arial"/>
          <w:lang w:val="en-CA"/>
        </w:rPr>
      </w:pPr>
    </w:p>
    <w:p w14:paraId="52420DAE" w14:textId="3A0B97E7" w:rsidR="00A234A1" w:rsidRPr="009D07E3" w:rsidRDefault="001159C8" w:rsidP="000A333F">
      <w:pPr>
        <w:rPr>
          <w:rFonts w:cs="Arial"/>
          <w:lang w:val="en-CA"/>
        </w:rPr>
      </w:pPr>
      <w:r>
        <w:rPr>
          <w:rFonts w:cs="Arial"/>
          <w:lang w:val="en-CA"/>
        </w:rPr>
        <w:t>Outlined below are</w:t>
      </w:r>
      <w:r w:rsidR="00A234A1" w:rsidRPr="009D07E3">
        <w:rPr>
          <w:rFonts w:cs="Arial"/>
          <w:lang w:val="en-CA"/>
        </w:rPr>
        <w:t xml:space="preserve"> recommended approach</w:t>
      </w:r>
      <w:r>
        <w:rPr>
          <w:rFonts w:cs="Arial"/>
          <w:lang w:val="en-CA"/>
        </w:rPr>
        <w:t>es</w:t>
      </w:r>
      <w:r w:rsidR="00A234A1" w:rsidRPr="009D07E3">
        <w:rPr>
          <w:rFonts w:cs="Arial"/>
          <w:lang w:val="en-CA"/>
        </w:rPr>
        <w:t xml:space="preserve"> for implemen</w:t>
      </w:r>
      <w:r w:rsidR="009D06DD">
        <w:rPr>
          <w:rFonts w:cs="Arial"/>
          <w:lang w:val="en-CA"/>
        </w:rPr>
        <w:t xml:space="preserve">tation of MAMPU in Phase 2. These are </w:t>
      </w:r>
      <w:r w:rsidR="00A234A1" w:rsidRPr="009D07E3">
        <w:rPr>
          <w:rFonts w:cs="Arial"/>
          <w:lang w:val="en-CA"/>
        </w:rPr>
        <w:t xml:space="preserve">the result of ongoing reflection regarding the progress of the program in addition to discussions with MAMPU partners, GOI, GOA and other relevant stakeholders. With one year of implementation </w:t>
      </w:r>
      <w:r w:rsidR="009D06DD">
        <w:rPr>
          <w:rFonts w:cs="Arial"/>
          <w:lang w:val="en-CA"/>
        </w:rPr>
        <w:t xml:space="preserve">left </w:t>
      </w:r>
      <w:r w:rsidR="00A234A1" w:rsidRPr="009D07E3">
        <w:rPr>
          <w:rFonts w:cs="Arial"/>
          <w:lang w:val="en-CA"/>
        </w:rPr>
        <w:t>before phase 2 commences</w:t>
      </w:r>
      <w:r w:rsidR="00EB7B08">
        <w:rPr>
          <w:rFonts w:cs="Arial"/>
          <w:lang w:val="en-CA"/>
        </w:rPr>
        <w:t>,</w:t>
      </w:r>
      <w:r w:rsidR="00A234A1" w:rsidRPr="009D07E3">
        <w:rPr>
          <w:rFonts w:cs="Arial"/>
          <w:lang w:val="en-CA"/>
        </w:rPr>
        <w:t xml:space="preserve"> it should </w:t>
      </w:r>
      <w:r w:rsidR="005A0C8F">
        <w:rPr>
          <w:rFonts w:cs="Arial"/>
          <w:lang w:val="en-CA"/>
        </w:rPr>
        <w:t xml:space="preserve">be </w:t>
      </w:r>
      <w:r w:rsidR="00A234A1" w:rsidRPr="009D07E3">
        <w:rPr>
          <w:rFonts w:cs="Arial"/>
          <w:lang w:val="en-CA"/>
        </w:rPr>
        <w:t>noted that discussion</w:t>
      </w:r>
      <w:r>
        <w:rPr>
          <w:rFonts w:cs="Arial"/>
          <w:lang w:val="en-CA"/>
        </w:rPr>
        <w:t>s</w:t>
      </w:r>
      <w:r w:rsidR="009D06DD">
        <w:rPr>
          <w:rFonts w:cs="Arial"/>
          <w:lang w:val="en-CA"/>
        </w:rPr>
        <w:t xml:space="preserve"> on each</w:t>
      </w:r>
      <w:r w:rsidR="00A234A1" w:rsidRPr="009D07E3">
        <w:rPr>
          <w:rFonts w:cs="Arial"/>
          <w:lang w:val="en-CA"/>
        </w:rPr>
        <w:t xml:space="preserve"> are ongoing and the section below should be regarded as a </w:t>
      </w:r>
      <w:r w:rsidR="009D06DD">
        <w:rPr>
          <w:rFonts w:cs="Arial"/>
          <w:lang w:val="en-CA"/>
        </w:rPr>
        <w:t>living document that will be adapted as opposed to a blueprint for implementation.</w:t>
      </w:r>
    </w:p>
    <w:p w14:paraId="320E622F" w14:textId="77777777" w:rsidR="006520E0" w:rsidRPr="009D07E3" w:rsidRDefault="006520E0" w:rsidP="000A333F">
      <w:pPr>
        <w:rPr>
          <w:rFonts w:cs="Arial"/>
          <w:lang w:val="en-CA"/>
        </w:rPr>
      </w:pPr>
    </w:p>
    <w:p w14:paraId="6372062D" w14:textId="3F440BC8" w:rsidR="00804719" w:rsidRPr="009D07E3" w:rsidRDefault="006520E0" w:rsidP="00EC2A05">
      <w:pPr>
        <w:rPr>
          <w:rFonts w:cs="Arial"/>
          <w:lang w:val="en-CA"/>
        </w:rPr>
      </w:pPr>
      <w:r w:rsidRPr="009D07E3">
        <w:rPr>
          <w:rFonts w:cs="Arial"/>
          <w:lang w:val="en-CA"/>
        </w:rPr>
        <w:t xml:space="preserve">This section </w:t>
      </w:r>
      <w:r w:rsidR="00EC2A05" w:rsidRPr="009D07E3">
        <w:rPr>
          <w:rFonts w:cs="Arial"/>
          <w:lang w:val="en-CA"/>
        </w:rPr>
        <w:t xml:space="preserve">includes ongoing </w:t>
      </w:r>
      <w:r w:rsidR="001159C8">
        <w:rPr>
          <w:rFonts w:cs="Arial"/>
          <w:lang w:val="en-CA"/>
        </w:rPr>
        <w:t xml:space="preserve">and </w:t>
      </w:r>
      <w:r w:rsidR="00EC2A05" w:rsidRPr="009D07E3">
        <w:rPr>
          <w:rFonts w:cs="Arial"/>
          <w:lang w:val="en-CA"/>
        </w:rPr>
        <w:t xml:space="preserve">enhancements to </w:t>
      </w:r>
      <w:r w:rsidR="001159C8">
        <w:rPr>
          <w:rFonts w:cs="Arial"/>
          <w:lang w:val="en-CA"/>
        </w:rPr>
        <w:t>activities started in Phase 1</w:t>
      </w:r>
      <w:r w:rsidR="009D06DD">
        <w:rPr>
          <w:rFonts w:cs="Arial"/>
          <w:lang w:val="en-CA"/>
        </w:rPr>
        <w:t>,</w:t>
      </w:r>
      <w:r w:rsidR="001159C8">
        <w:rPr>
          <w:rFonts w:cs="Arial"/>
          <w:lang w:val="en-CA"/>
        </w:rPr>
        <w:t xml:space="preserve"> in addition</w:t>
      </w:r>
      <w:r w:rsidR="009D06DD">
        <w:rPr>
          <w:rFonts w:cs="Arial"/>
          <w:lang w:val="en-CA"/>
        </w:rPr>
        <w:t xml:space="preserve"> to</w:t>
      </w:r>
      <w:r w:rsidR="00EC2A05" w:rsidRPr="009D07E3">
        <w:rPr>
          <w:rFonts w:cs="Arial"/>
          <w:lang w:val="en-CA"/>
        </w:rPr>
        <w:t xml:space="preserve"> some new proposed initiatives</w:t>
      </w:r>
      <w:r w:rsidR="009D06DD">
        <w:rPr>
          <w:rFonts w:cs="Arial"/>
          <w:lang w:val="en-CA"/>
        </w:rPr>
        <w:t xml:space="preserve"> where gaps were identified</w:t>
      </w:r>
      <w:r w:rsidR="00EC2A05" w:rsidRPr="009D07E3">
        <w:rPr>
          <w:rFonts w:cs="Arial"/>
          <w:lang w:val="en-CA"/>
        </w:rPr>
        <w:t xml:space="preserve">. </w:t>
      </w:r>
    </w:p>
    <w:p w14:paraId="5B6C8C70" w14:textId="77777777" w:rsidR="00B11CB6" w:rsidRPr="009D07E3" w:rsidRDefault="00B11CB6" w:rsidP="000A333F">
      <w:pPr>
        <w:rPr>
          <w:rFonts w:cs="Arial"/>
          <w:lang w:val="en-CA"/>
        </w:rPr>
      </w:pPr>
    </w:p>
    <w:p w14:paraId="6B618A65" w14:textId="1807450C" w:rsidR="00FD72E8" w:rsidRDefault="00694018" w:rsidP="00891888">
      <w:pPr>
        <w:pStyle w:val="Heading2"/>
        <w:rPr>
          <w:lang w:val="en-CA"/>
        </w:rPr>
      </w:pPr>
      <w:bookmarkStart w:id="22" w:name="_Toc423438710"/>
      <w:r w:rsidRPr="009D07E3">
        <w:rPr>
          <w:lang w:val="en-CA"/>
        </w:rPr>
        <w:t>Taking a holistic approach to empowerment</w:t>
      </w:r>
      <w:bookmarkEnd w:id="22"/>
      <w:r w:rsidRPr="009D07E3">
        <w:rPr>
          <w:lang w:val="en-CA"/>
        </w:rPr>
        <w:t xml:space="preserve"> </w:t>
      </w:r>
    </w:p>
    <w:p w14:paraId="74F831C5" w14:textId="77777777" w:rsidR="00891888" w:rsidRPr="00891888" w:rsidRDefault="00891888" w:rsidP="00891888"/>
    <w:p w14:paraId="0A96023C" w14:textId="09904B2B" w:rsidR="00FD72E8" w:rsidRPr="009D07E3" w:rsidRDefault="00FD72E8" w:rsidP="00FD72E8">
      <w:pPr>
        <w:spacing w:after="160" w:line="259" w:lineRule="auto"/>
        <w:rPr>
          <w:rFonts w:cs="Arial"/>
          <w:lang w:val="en-CA"/>
        </w:rPr>
      </w:pPr>
      <w:r w:rsidRPr="009D07E3">
        <w:rPr>
          <w:rFonts w:cs="Arial"/>
          <w:lang w:val="en-CA"/>
        </w:rPr>
        <w:t xml:space="preserve">At the most basic level, empowerment connects each stage of MAMPU’s theory of change. The program is built on the premise that empowering poor women will over time lead to increased access to services and livelihoods. However as stated in the previous chapter, without an agreed conceptual framework and approach for empowerment in MAMPU, it is not automatic that program efforts will achieve the long-term goal. </w:t>
      </w:r>
    </w:p>
    <w:p w14:paraId="69F096AD" w14:textId="2AC3A95D" w:rsidR="00FD72E8" w:rsidRPr="009D07E3" w:rsidRDefault="00FD72E8" w:rsidP="00FD72E8">
      <w:pPr>
        <w:rPr>
          <w:rFonts w:asciiTheme="majorHAnsi" w:hAnsiTheme="majorHAnsi" w:cs="Arial"/>
          <w:b/>
          <w:color w:val="4F81BD" w:themeColor="accent1"/>
          <w:lang w:val="en-CA"/>
        </w:rPr>
      </w:pPr>
      <w:r w:rsidRPr="009D07E3">
        <w:rPr>
          <w:rFonts w:asciiTheme="majorHAnsi" w:hAnsiTheme="majorHAnsi" w:cs="Arial"/>
          <w:b/>
          <w:color w:val="4F81BD" w:themeColor="accent1"/>
          <w:lang w:val="en-CA"/>
        </w:rPr>
        <w:t xml:space="preserve">MAMPU’s Theory of Change </w:t>
      </w:r>
    </w:p>
    <w:p w14:paraId="6B6C111F" w14:textId="56DDFF31" w:rsidR="00FD72E8" w:rsidRPr="009D07E3" w:rsidRDefault="001159C8" w:rsidP="00FD72E8">
      <w:pPr>
        <w:rPr>
          <w:rFonts w:cs="Arial"/>
          <w:lang w:val="en-CA"/>
        </w:rPr>
      </w:pPr>
      <w:r>
        <w:rPr>
          <w:rFonts w:cs="Arial"/>
          <w:noProof/>
          <w:lang w:eastAsia="en-AU"/>
        </w:rPr>
        <w:drawing>
          <wp:inline distT="0" distB="0" distL="0" distR="0" wp14:anchorId="6F3977CC" wp14:editId="19DB3DFF">
            <wp:extent cx="5596255" cy="24390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96255" cy="2439002"/>
                    </a:xfrm>
                    <a:prstGeom prst="rect">
                      <a:avLst/>
                    </a:prstGeom>
                    <a:noFill/>
                    <a:ln>
                      <a:noFill/>
                    </a:ln>
                  </pic:spPr>
                </pic:pic>
              </a:graphicData>
            </a:graphic>
          </wp:inline>
        </w:drawing>
      </w:r>
    </w:p>
    <w:p w14:paraId="2FA2E3EA" w14:textId="77777777" w:rsidR="00FD72E8" w:rsidRPr="009D07E3" w:rsidRDefault="00FD72E8" w:rsidP="00694018">
      <w:pPr>
        <w:rPr>
          <w:rFonts w:cs="Arial"/>
          <w:lang w:val="en-CA"/>
        </w:rPr>
      </w:pPr>
    </w:p>
    <w:p w14:paraId="5C3CD14F" w14:textId="2303CF53" w:rsidR="00446A2E" w:rsidRPr="009D07E3" w:rsidRDefault="00FD72E8" w:rsidP="00694018">
      <w:pPr>
        <w:rPr>
          <w:rFonts w:cs="Arial"/>
          <w:lang w:val="en-CA"/>
        </w:rPr>
      </w:pPr>
      <w:r w:rsidRPr="009D07E3">
        <w:rPr>
          <w:rFonts w:cs="Arial"/>
          <w:lang w:val="en-CA"/>
        </w:rPr>
        <w:t xml:space="preserve">Work has begun on defining empowerment within MAMPU </w:t>
      </w:r>
      <w:r w:rsidR="00446A2E" w:rsidRPr="009D07E3">
        <w:rPr>
          <w:rFonts w:cs="Arial"/>
          <w:lang w:val="en-CA"/>
        </w:rPr>
        <w:t>and by the start of phase two the framework and approach will be in place. By having an agreed approach to the fundamental building blocks of empowerment</w:t>
      </w:r>
      <w:r w:rsidRPr="009D07E3">
        <w:rPr>
          <w:rFonts w:cs="Arial"/>
          <w:lang w:val="en-CA"/>
        </w:rPr>
        <w:t xml:space="preserve">, </w:t>
      </w:r>
      <w:r w:rsidR="00446A2E" w:rsidRPr="009D07E3">
        <w:rPr>
          <w:rFonts w:cs="Arial"/>
          <w:lang w:val="en-CA"/>
        </w:rPr>
        <w:t>MAMPU can be more confident that the program’s approach</w:t>
      </w:r>
      <w:r w:rsidRPr="009D07E3">
        <w:rPr>
          <w:rFonts w:cs="Arial"/>
          <w:lang w:val="en-CA"/>
        </w:rPr>
        <w:t xml:space="preserve"> is sustainable as</w:t>
      </w:r>
      <w:r w:rsidR="00622B3B">
        <w:rPr>
          <w:rFonts w:cs="Arial"/>
          <w:lang w:val="en-CA"/>
        </w:rPr>
        <w:t>,</w:t>
      </w:r>
      <w:r w:rsidR="00446A2E" w:rsidRPr="009D07E3">
        <w:rPr>
          <w:rFonts w:cs="Arial"/>
          <w:lang w:val="en-CA"/>
        </w:rPr>
        <w:t xml:space="preserve"> </w:t>
      </w:r>
      <w:r w:rsidRPr="009D07E3">
        <w:rPr>
          <w:rFonts w:cs="Arial"/>
          <w:lang w:val="en-CA"/>
        </w:rPr>
        <w:t>i</w:t>
      </w:r>
      <w:r w:rsidR="00446A2E" w:rsidRPr="009D07E3">
        <w:rPr>
          <w:rFonts w:cs="Arial"/>
          <w:lang w:val="en-CA"/>
        </w:rPr>
        <w:t>rrespective of which thematic partner poor women receive support</w:t>
      </w:r>
      <w:r w:rsidRPr="009D07E3">
        <w:rPr>
          <w:rFonts w:cs="Arial"/>
          <w:lang w:val="en-CA"/>
        </w:rPr>
        <w:t xml:space="preserve"> from, </w:t>
      </w:r>
      <w:r w:rsidR="00446A2E" w:rsidRPr="009D07E3">
        <w:rPr>
          <w:rFonts w:cs="Arial"/>
          <w:lang w:val="en-CA"/>
        </w:rPr>
        <w:t>they will be equipped</w:t>
      </w:r>
      <w:r w:rsidR="00C36EB8">
        <w:rPr>
          <w:rFonts w:cs="Arial"/>
          <w:lang w:val="en-CA"/>
        </w:rPr>
        <w:t xml:space="preserve"> with</w:t>
      </w:r>
      <w:r w:rsidR="00446A2E" w:rsidRPr="009D07E3">
        <w:rPr>
          <w:rFonts w:cs="Arial"/>
          <w:lang w:val="en-CA"/>
        </w:rPr>
        <w:t xml:space="preserve"> </w:t>
      </w:r>
      <w:r w:rsidRPr="009D07E3">
        <w:rPr>
          <w:rFonts w:cs="Arial"/>
          <w:lang w:val="en-CA"/>
        </w:rPr>
        <w:t>a broad set of empowering assets</w:t>
      </w:r>
      <w:r w:rsidR="004F45BD" w:rsidRPr="009D07E3">
        <w:rPr>
          <w:rFonts w:cs="Arial"/>
          <w:lang w:val="en-CA"/>
        </w:rPr>
        <w:t>.</w:t>
      </w:r>
      <w:r w:rsidR="0021653C" w:rsidRPr="009D07E3">
        <w:rPr>
          <w:rFonts w:cs="Arial"/>
          <w:lang w:val="en-CA"/>
        </w:rPr>
        <w:t xml:space="preserve"> </w:t>
      </w:r>
      <w:r w:rsidR="00B12A3F" w:rsidRPr="009D07E3">
        <w:rPr>
          <w:rFonts w:cs="Arial"/>
          <w:lang w:val="en-CA"/>
        </w:rPr>
        <w:t xml:space="preserve">There is </w:t>
      </w:r>
      <w:r w:rsidR="00B12A3F">
        <w:rPr>
          <w:rFonts w:cs="Arial"/>
          <w:lang w:val="en-CA"/>
        </w:rPr>
        <w:t xml:space="preserve">also </w:t>
      </w:r>
      <w:r w:rsidR="00B12A3F" w:rsidRPr="009D07E3">
        <w:rPr>
          <w:rFonts w:cs="Arial"/>
          <w:lang w:val="en-CA"/>
        </w:rPr>
        <w:t>an increased urgency to empower poor women at the village level so they also have a v</w:t>
      </w:r>
      <w:r w:rsidR="00B12A3F">
        <w:rPr>
          <w:rFonts w:cs="Arial"/>
          <w:lang w:val="en-CA"/>
        </w:rPr>
        <w:t xml:space="preserve">oice in how village fund </w:t>
      </w:r>
      <w:r w:rsidR="00B12A3F" w:rsidRPr="009D07E3">
        <w:rPr>
          <w:rFonts w:cs="Arial"/>
          <w:lang w:val="en-CA"/>
        </w:rPr>
        <w:t xml:space="preserve">resources are allocated.    </w:t>
      </w:r>
    </w:p>
    <w:p w14:paraId="1EE9F120" w14:textId="77777777" w:rsidR="00B11CB6" w:rsidRPr="009D07E3" w:rsidRDefault="00B11CB6" w:rsidP="000A333F">
      <w:pPr>
        <w:rPr>
          <w:rFonts w:cs="Arial"/>
          <w:lang w:val="en-CA"/>
        </w:rPr>
      </w:pPr>
    </w:p>
    <w:p w14:paraId="0FD415EB" w14:textId="65E7976C" w:rsidR="00B11CB6" w:rsidRPr="009D07E3" w:rsidRDefault="00B11CB6" w:rsidP="008F281B">
      <w:pPr>
        <w:pStyle w:val="Heading2"/>
        <w:rPr>
          <w:lang w:val="en-CA"/>
        </w:rPr>
      </w:pPr>
      <w:bookmarkStart w:id="23" w:name="_Toc423438711"/>
      <w:r w:rsidRPr="009D07E3">
        <w:rPr>
          <w:lang w:val="en-CA"/>
        </w:rPr>
        <w:t xml:space="preserve">Strengthening </w:t>
      </w:r>
      <w:r w:rsidR="00AE5556" w:rsidRPr="009D07E3">
        <w:rPr>
          <w:lang w:val="en-CA"/>
        </w:rPr>
        <w:t xml:space="preserve">Vertical and Horizontal </w:t>
      </w:r>
      <w:r w:rsidR="005A0C8F">
        <w:rPr>
          <w:lang w:val="en-CA"/>
        </w:rPr>
        <w:t>N</w:t>
      </w:r>
      <w:r w:rsidRPr="009D07E3">
        <w:rPr>
          <w:lang w:val="en-CA"/>
        </w:rPr>
        <w:t xml:space="preserve">etworks and </w:t>
      </w:r>
      <w:r w:rsidR="005A0C8F">
        <w:rPr>
          <w:lang w:val="en-CA"/>
        </w:rPr>
        <w:t>C</w:t>
      </w:r>
      <w:r w:rsidRPr="009D07E3">
        <w:rPr>
          <w:lang w:val="en-CA"/>
        </w:rPr>
        <w:t>oalitions</w:t>
      </w:r>
      <w:bookmarkEnd w:id="23"/>
      <w:r w:rsidRPr="009D07E3">
        <w:rPr>
          <w:lang w:val="en-CA"/>
        </w:rPr>
        <w:t xml:space="preserve"> </w:t>
      </w:r>
    </w:p>
    <w:p w14:paraId="61BE5CE1" w14:textId="77777777" w:rsidR="003A24DB" w:rsidRPr="009D07E3" w:rsidRDefault="003A24DB" w:rsidP="000A333F">
      <w:pPr>
        <w:widowControl w:val="0"/>
        <w:autoSpaceDE w:val="0"/>
        <w:autoSpaceDN w:val="0"/>
        <w:adjustRightInd w:val="0"/>
        <w:rPr>
          <w:rFonts w:cs="Arial"/>
          <w:lang w:val="en-CA"/>
        </w:rPr>
      </w:pPr>
    </w:p>
    <w:p w14:paraId="409A7A95" w14:textId="77777777" w:rsidR="009D06DD" w:rsidRDefault="009D06DD" w:rsidP="009D06DD">
      <w:pPr>
        <w:rPr>
          <w:rFonts w:cs="Arial"/>
          <w:lang w:val="en-CA"/>
        </w:rPr>
      </w:pPr>
      <w:r w:rsidRPr="009D07E3">
        <w:rPr>
          <w:rFonts w:cs="Arial"/>
          <w:lang w:val="en-CA"/>
        </w:rPr>
        <w:t>MAMPU consists of inter-locking networks that perform vital functions in influencing change for poor women in Indonesia. These include the partner projects focused on particular themes, which bridge the gap between poor women and policy makers and influencers, as well as cross-thematic networks that form the link between themes and collective action networks that mobilise MAMPU and non-MAMPU actors around advocating for change.</w:t>
      </w:r>
    </w:p>
    <w:p w14:paraId="015D6AFE" w14:textId="77777777" w:rsidR="009D06DD" w:rsidRPr="009D07E3" w:rsidRDefault="009D06DD" w:rsidP="009D06DD">
      <w:pPr>
        <w:rPr>
          <w:rFonts w:cs="Arial"/>
          <w:lang w:val="en-CA"/>
        </w:rPr>
      </w:pPr>
    </w:p>
    <w:p w14:paraId="47AF6EF7" w14:textId="69CF5A66" w:rsidR="00B11CB6" w:rsidRPr="009D07E3" w:rsidRDefault="00B11CB6" w:rsidP="000A333F">
      <w:pPr>
        <w:widowControl w:val="0"/>
        <w:autoSpaceDE w:val="0"/>
        <w:autoSpaceDN w:val="0"/>
        <w:adjustRightInd w:val="0"/>
        <w:rPr>
          <w:rFonts w:cs="Arial"/>
          <w:lang w:val="en-CA"/>
        </w:rPr>
      </w:pPr>
      <w:r w:rsidRPr="009D07E3">
        <w:rPr>
          <w:rFonts w:cs="Arial"/>
          <w:lang w:val="en-CA"/>
        </w:rPr>
        <w:t>To be effective</w:t>
      </w:r>
      <w:r w:rsidR="00EB7B08">
        <w:rPr>
          <w:rFonts w:cs="Arial"/>
          <w:lang w:val="en-CA"/>
        </w:rPr>
        <w:t>,</w:t>
      </w:r>
      <w:r w:rsidRPr="009D07E3">
        <w:rPr>
          <w:rFonts w:cs="Arial"/>
          <w:lang w:val="en-CA"/>
        </w:rPr>
        <w:t xml:space="preserve"> MAMPU requires each network to be robust, have clarity of purpose and defined routes for influencing policy. Significant effort during the first phase focused on supporting the establishment and strengthening of these networks. Phase two will continue this process but with additional emphasis on how the different networks interact to ensure MAMPU is greater than the sum of its parts, whilst building the long term sustainability of the networks.</w:t>
      </w:r>
      <w:r w:rsidR="00B2370B" w:rsidRPr="009D07E3">
        <w:rPr>
          <w:rFonts w:cs="Arial"/>
          <w:lang w:val="en-CA"/>
        </w:rPr>
        <w:t xml:space="preserve"> Below is a brief e</w:t>
      </w:r>
      <w:r w:rsidR="009D06DD">
        <w:rPr>
          <w:rFonts w:cs="Arial"/>
          <w:lang w:val="en-CA"/>
        </w:rPr>
        <w:t>xplanation of each network type and priorities for phase 2.</w:t>
      </w:r>
    </w:p>
    <w:p w14:paraId="5EFE1AB9" w14:textId="77777777" w:rsidR="003A24DB" w:rsidRPr="009D07E3" w:rsidRDefault="003A24DB" w:rsidP="000A333F">
      <w:pPr>
        <w:widowControl w:val="0"/>
        <w:autoSpaceDE w:val="0"/>
        <w:autoSpaceDN w:val="0"/>
        <w:adjustRightInd w:val="0"/>
        <w:rPr>
          <w:rFonts w:cs="Arial"/>
          <w:lang w:val="en-CA"/>
        </w:rPr>
      </w:pPr>
    </w:p>
    <w:p w14:paraId="3040D2AC" w14:textId="6C5366C7" w:rsidR="00B11CB6" w:rsidRPr="009D07E3" w:rsidRDefault="00B11CB6" w:rsidP="003A24DB">
      <w:pPr>
        <w:pStyle w:val="Heading3"/>
        <w:rPr>
          <w:lang w:val="en-CA"/>
        </w:rPr>
      </w:pPr>
      <w:bookmarkStart w:id="24" w:name="_Toc423438712"/>
      <w:r w:rsidRPr="009D07E3">
        <w:rPr>
          <w:lang w:val="en-CA"/>
        </w:rPr>
        <w:t xml:space="preserve">Strengthening </w:t>
      </w:r>
      <w:r w:rsidR="00B2370B" w:rsidRPr="009D07E3">
        <w:rPr>
          <w:lang w:val="en-CA"/>
        </w:rPr>
        <w:t xml:space="preserve">the </w:t>
      </w:r>
      <w:r w:rsidR="005A0C8F">
        <w:rPr>
          <w:lang w:val="en-CA"/>
        </w:rPr>
        <w:t>p</w:t>
      </w:r>
      <w:r w:rsidR="00AE5556" w:rsidRPr="009D07E3">
        <w:rPr>
          <w:lang w:val="en-CA"/>
        </w:rPr>
        <w:t xml:space="preserve">artner and sub-partner </w:t>
      </w:r>
      <w:r w:rsidRPr="009D07E3">
        <w:rPr>
          <w:lang w:val="en-CA"/>
        </w:rPr>
        <w:t>network</w:t>
      </w:r>
      <w:bookmarkEnd w:id="24"/>
    </w:p>
    <w:p w14:paraId="53E154F5" w14:textId="77777777" w:rsidR="009D06DD" w:rsidRDefault="009D06DD" w:rsidP="003A24DB">
      <w:pPr>
        <w:keepNext/>
        <w:keepLines/>
        <w:autoSpaceDE w:val="0"/>
        <w:autoSpaceDN w:val="0"/>
        <w:adjustRightInd w:val="0"/>
        <w:rPr>
          <w:rFonts w:cs="Arial"/>
          <w:lang w:val="en-CA"/>
        </w:rPr>
      </w:pPr>
    </w:p>
    <w:p w14:paraId="4B85903A" w14:textId="55CAF60C" w:rsidR="00AB1F2A" w:rsidRPr="009D07E3" w:rsidRDefault="00B11CB6" w:rsidP="003A24DB">
      <w:pPr>
        <w:keepNext/>
        <w:keepLines/>
        <w:autoSpaceDE w:val="0"/>
        <w:autoSpaceDN w:val="0"/>
        <w:adjustRightInd w:val="0"/>
        <w:rPr>
          <w:rFonts w:cs="Arial"/>
          <w:lang w:val="en-CA"/>
        </w:rPr>
      </w:pPr>
      <w:r w:rsidRPr="009D07E3">
        <w:rPr>
          <w:rFonts w:cs="Arial"/>
          <w:lang w:val="en-CA"/>
        </w:rPr>
        <w:t xml:space="preserve">MAMPU </w:t>
      </w:r>
      <w:r w:rsidR="009D06DD">
        <w:rPr>
          <w:rFonts w:cs="Arial"/>
          <w:lang w:val="en-CA"/>
        </w:rPr>
        <w:t xml:space="preserve">will continue </w:t>
      </w:r>
      <w:r w:rsidRPr="009D07E3">
        <w:rPr>
          <w:rFonts w:cs="Arial"/>
          <w:lang w:val="en-CA"/>
        </w:rPr>
        <w:t>strengthening</w:t>
      </w:r>
      <w:r w:rsidR="00C36EB8">
        <w:rPr>
          <w:rFonts w:cs="Arial"/>
          <w:lang w:val="en-CA"/>
        </w:rPr>
        <w:t xml:space="preserve"> how each partner manages its</w:t>
      </w:r>
      <w:r w:rsidR="00AE5556" w:rsidRPr="009D07E3">
        <w:rPr>
          <w:rFonts w:cs="Arial"/>
          <w:lang w:val="en-CA"/>
        </w:rPr>
        <w:t xml:space="preserve"> </w:t>
      </w:r>
      <w:r w:rsidR="009D06DD">
        <w:rPr>
          <w:rFonts w:cs="Arial"/>
          <w:lang w:val="en-CA"/>
        </w:rPr>
        <w:t xml:space="preserve">sub-partners. </w:t>
      </w:r>
      <w:r w:rsidRPr="009D07E3">
        <w:rPr>
          <w:rFonts w:cs="Arial"/>
          <w:lang w:val="en-CA"/>
        </w:rPr>
        <w:t xml:space="preserve">  </w:t>
      </w:r>
      <w:r w:rsidR="009D06DD">
        <w:rPr>
          <w:rFonts w:cs="Arial"/>
          <w:lang w:val="en-CA"/>
        </w:rPr>
        <w:t>Pa</w:t>
      </w:r>
      <w:r w:rsidR="008377D3">
        <w:rPr>
          <w:rFonts w:cs="Arial"/>
          <w:lang w:val="en-CA"/>
        </w:rPr>
        <w:t xml:space="preserve">rtners will start phase 2 with </w:t>
      </w:r>
      <w:r w:rsidRPr="009D07E3">
        <w:rPr>
          <w:rFonts w:cs="Arial"/>
          <w:lang w:val="en-CA"/>
        </w:rPr>
        <w:t xml:space="preserve">refined </w:t>
      </w:r>
      <w:r w:rsidR="009D06DD">
        <w:rPr>
          <w:rFonts w:cs="Arial"/>
          <w:lang w:val="en-CA"/>
        </w:rPr>
        <w:t xml:space="preserve">work plan </w:t>
      </w:r>
      <w:r w:rsidR="005C3926" w:rsidRPr="009D07E3">
        <w:rPr>
          <w:rFonts w:cs="Arial"/>
          <w:lang w:val="en-CA"/>
        </w:rPr>
        <w:t xml:space="preserve">designs </w:t>
      </w:r>
      <w:r w:rsidR="005C3926">
        <w:rPr>
          <w:rFonts w:cs="Arial"/>
          <w:lang w:val="en-CA"/>
        </w:rPr>
        <w:t>that</w:t>
      </w:r>
      <w:r w:rsidR="00C36EB8">
        <w:rPr>
          <w:rFonts w:cs="Arial"/>
          <w:lang w:val="en-CA"/>
        </w:rPr>
        <w:t xml:space="preserve"> include</w:t>
      </w:r>
      <w:r w:rsidR="009D06DD">
        <w:rPr>
          <w:rFonts w:cs="Arial"/>
          <w:lang w:val="en-CA"/>
        </w:rPr>
        <w:t xml:space="preserve"> </w:t>
      </w:r>
      <w:r w:rsidRPr="009D07E3">
        <w:rPr>
          <w:rFonts w:cs="Arial"/>
          <w:lang w:val="en-CA"/>
        </w:rPr>
        <w:t>specific and testable approaches and clearly define</w:t>
      </w:r>
      <w:r w:rsidR="00AE5556" w:rsidRPr="009D07E3">
        <w:rPr>
          <w:rFonts w:cs="Arial"/>
          <w:lang w:val="en-CA"/>
        </w:rPr>
        <w:t>d routes for influencing policy on the particular theme</w:t>
      </w:r>
      <w:r w:rsidR="00C36EB8">
        <w:rPr>
          <w:rFonts w:cs="Arial"/>
          <w:lang w:val="en-CA"/>
        </w:rPr>
        <w:t xml:space="preserve"> of which</w:t>
      </w:r>
      <w:r w:rsidR="00AE5556" w:rsidRPr="009D07E3">
        <w:rPr>
          <w:rFonts w:cs="Arial"/>
          <w:lang w:val="en-CA"/>
        </w:rPr>
        <w:t xml:space="preserve"> they are focused.</w:t>
      </w:r>
    </w:p>
    <w:p w14:paraId="051507C9" w14:textId="77777777" w:rsidR="003A24DB" w:rsidRPr="009D07E3" w:rsidRDefault="003A24DB" w:rsidP="003A24DB">
      <w:pPr>
        <w:keepNext/>
        <w:keepLines/>
        <w:autoSpaceDE w:val="0"/>
        <w:autoSpaceDN w:val="0"/>
        <w:adjustRightInd w:val="0"/>
        <w:rPr>
          <w:rFonts w:cs="Arial"/>
          <w:lang w:val="en-CA"/>
        </w:rPr>
      </w:pPr>
    </w:p>
    <w:p w14:paraId="0B21331B" w14:textId="0A2B38BF" w:rsidR="00AE5556" w:rsidRPr="009D07E3" w:rsidRDefault="005E4640" w:rsidP="00601BCC">
      <w:pPr>
        <w:pStyle w:val="Heading3"/>
        <w:rPr>
          <w:lang w:val="en-CA"/>
        </w:rPr>
      </w:pPr>
      <w:bookmarkStart w:id="25" w:name="_Toc423438713"/>
      <w:r w:rsidRPr="009D07E3">
        <w:rPr>
          <w:lang w:val="en-CA"/>
        </w:rPr>
        <w:t xml:space="preserve">Collective </w:t>
      </w:r>
      <w:r w:rsidR="005A0C8F">
        <w:rPr>
          <w:lang w:val="en-CA"/>
        </w:rPr>
        <w:t>a</w:t>
      </w:r>
      <w:r w:rsidRPr="009D07E3">
        <w:rPr>
          <w:lang w:val="en-CA"/>
        </w:rPr>
        <w:t>ction with i</w:t>
      </w:r>
      <w:r w:rsidR="00B2370B" w:rsidRPr="009D07E3">
        <w:rPr>
          <w:lang w:val="en-CA"/>
        </w:rPr>
        <w:t>ncreased policy focus</w:t>
      </w:r>
      <w:bookmarkEnd w:id="25"/>
    </w:p>
    <w:p w14:paraId="12D869A3" w14:textId="77777777" w:rsidR="003A24DB" w:rsidRPr="009D07E3" w:rsidRDefault="003A24DB" w:rsidP="00AE5556">
      <w:pPr>
        <w:widowControl w:val="0"/>
        <w:autoSpaceDE w:val="0"/>
        <w:autoSpaceDN w:val="0"/>
        <w:adjustRightInd w:val="0"/>
        <w:rPr>
          <w:rFonts w:cs="Arial"/>
          <w:lang w:val="en-CA"/>
        </w:rPr>
      </w:pPr>
    </w:p>
    <w:p w14:paraId="1AFC098B" w14:textId="6B8AABA4" w:rsidR="00AE5556" w:rsidRPr="009D07E3" w:rsidRDefault="00B11CB6" w:rsidP="00AE5556">
      <w:pPr>
        <w:widowControl w:val="0"/>
        <w:autoSpaceDE w:val="0"/>
        <w:autoSpaceDN w:val="0"/>
        <w:adjustRightInd w:val="0"/>
        <w:rPr>
          <w:rFonts w:cs="Arial"/>
          <w:lang w:val="en-CA"/>
        </w:rPr>
      </w:pPr>
      <w:r w:rsidRPr="009D07E3">
        <w:rPr>
          <w:rFonts w:cs="Arial"/>
          <w:lang w:val="en-CA"/>
        </w:rPr>
        <w:t xml:space="preserve">MAMPU will support more strategic avenues to influence policy through collective action activities at the village, district, and national level. </w:t>
      </w:r>
      <w:proofErr w:type="gramStart"/>
      <w:r w:rsidR="00AE5556" w:rsidRPr="009D07E3">
        <w:rPr>
          <w:rFonts w:cs="Arial"/>
          <w:lang w:val="en-CA"/>
        </w:rPr>
        <w:t>An example</w:t>
      </w:r>
      <w:proofErr w:type="gramEnd"/>
      <w:r w:rsidR="00AE5556" w:rsidRPr="009D07E3">
        <w:rPr>
          <w:rFonts w:cs="Arial"/>
          <w:lang w:val="en-CA"/>
        </w:rPr>
        <w:t xml:space="preserve"> of laws that have galvanised local organisations into taking action under the umbrella of a MAMPU-supported coalition are the Social Protection law and Gender equality and </w:t>
      </w:r>
      <w:r w:rsidR="00E13D75">
        <w:rPr>
          <w:rFonts w:cs="Arial"/>
          <w:lang w:val="en-CA"/>
        </w:rPr>
        <w:t>J</w:t>
      </w:r>
      <w:r w:rsidR="004D6AFB">
        <w:rPr>
          <w:rFonts w:cs="Arial"/>
          <w:lang w:val="en-CA"/>
        </w:rPr>
        <w:t xml:space="preserve">ustice </w:t>
      </w:r>
      <w:r w:rsidR="00AE5556" w:rsidRPr="009D07E3">
        <w:rPr>
          <w:rFonts w:cs="Arial"/>
          <w:lang w:val="en-CA"/>
        </w:rPr>
        <w:t xml:space="preserve">law (RUU </w:t>
      </w:r>
      <w:proofErr w:type="spellStart"/>
      <w:r w:rsidR="00AE5556" w:rsidRPr="009D07E3">
        <w:rPr>
          <w:rFonts w:cs="Arial"/>
          <w:lang w:val="en-CA"/>
        </w:rPr>
        <w:t>Kesetaraan</w:t>
      </w:r>
      <w:proofErr w:type="spellEnd"/>
      <w:r w:rsidR="00AE5556" w:rsidRPr="009D07E3">
        <w:rPr>
          <w:rFonts w:cs="Arial"/>
          <w:lang w:val="en-CA"/>
        </w:rPr>
        <w:t xml:space="preserve"> </w:t>
      </w:r>
      <w:proofErr w:type="spellStart"/>
      <w:r w:rsidR="00AE5556" w:rsidRPr="009D07E3">
        <w:rPr>
          <w:rFonts w:cs="Arial"/>
          <w:lang w:val="en-CA"/>
        </w:rPr>
        <w:t>dan</w:t>
      </w:r>
      <w:proofErr w:type="spellEnd"/>
      <w:r w:rsidR="00AE5556" w:rsidRPr="009D07E3">
        <w:rPr>
          <w:rFonts w:cs="Arial"/>
          <w:lang w:val="en-CA"/>
        </w:rPr>
        <w:t xml:space="preserve"> </w:t>
      </w:r>
      <w:proofErr w:type="spellStart"/>
      <w:r w:rsidR="00AE5556" w:rsidRPr="009D07E3">
        <w:rPr>
          <w:rFonts w:cs="Arial"/>
          <w:lang w:val="en-CA"/>
        </w:rPr>
        <w:t>Keadilan</w:t>
      </w:r>
      <w:proofErr w:type="spellEnd"/>
      <w:r w:rsidR="00AE5556" w:rsidRPr="009D07E3">
        <w:rPr>
          <w:rFonts w:cs="Arial"/>
          <w:lang w:val="en-CA"/>
        </w:rPr>
        <w:t xml:space="preserve"> Gender/KKG).</w:t>
      </w:r>
    </w:p>
    <w:p w14:paraId="5206D404" w14:textId="77777777" w:rsidR="00AE5556" w:rsidRPr="009D07E3" w:rsidRDefault="00AE5556" w:rsidP="00AE5556">
      <w:pPr>
        <w:widowControl w:val="0"/>
        <w:autoSpaceDE w:val="0"/>
        <w:autoSpaceDN w:val="0"/>
        <w:adjustRightInd w:val="0"/>
        <w:rPr>
          <w:rFonts w:cs="Arial"/>
          <w:lang w:val="en-CA"/>
        </w:rPr>
      </w:pPr>
    </w:p>
    <w:p w14:paraId="6B0071F8" w14:textId="06D512C1" w:rsidR="00AE5556" w:rsidRPr="009D07E3" w:rsidRDefault="00E80DC1" w:rsidP="00AE5556">
      <w:pPr>
        <w:widowControl w:val="0"/>
        <w:autoSpaceDE w:val="0"/>
        <w:autoSpaceDN w:val="0"/>
        <w:adjustRightInd w:val="0"/>
        <w:rPr>
          <w:rFonts w:cs="Arial"/>
          <w:lang w:val="en-CA"/>
        </w:rPr>
      </w:pPr>
      <w:r w:rsidRPr="009D07E3">
        <w:rPr>
          <w:rFonts w:cs="Arial"/>
          <w:lang w:val="en-CA"/>
        </w:rPr>
        <w:t>Partners identi</w:t>
      </w:r>
      <w:r w:rsidR="00E13D75">
        <w:rPr>
          <w:rFonts w:cs="Arial"/>
          <w:lang w:val="en-CA"/>
        </w:rPr>
        <w:t>fied the Gender Equality and Justice</w:t>
      </w:r>
      <w:r w:rsidR="00AE5556" w:rsidRPr="009D07E3">
        <w:rPr>
          <w:rFonts w:cs="Arial"/>
          <w:lang w:val="en-CA"/>
        </w:rPr>
        <w:t xml:space="preserve"> </w:t>
      </w:r>
      <w:proofErr w:type="gramStart"/>
      <w:r w:rsidR="00AE5556" w:rsidRPr="009D07E3">
        <w:rPr>
          <w:rFonts w:cs="Arial"/>
          <w:lang w:val="en-CA"/>
        </w:rPr>
        <w:t>law</w:t>
      </w:r>
      <w:proofErr w:type="gramEnd"/>
      <w:r w:rsidR="00AE5556" w:rsidRPr="009D07E3">
        <w:rPr>
          <w:rFonts w:cs="Arial"/>
          <w:lang w:val="en-CA"/>
        </w:rPr>
        <w:t xml:space="preserve"> (RUU KKG) as a policy that should be advocated </w:t>
      </w:r>
      <w:r w:rsidR="00016E06">
        <w:rPr>
          <w:rFonts w:cs="Arial"/>
          <w:lang w:val="en-CA"/>
        </w:rPr>
        <w:t xml:space="preserve">for </w:t>
      </w:r>
      <w:r w:rsidR="00AE5556" w:rsidRPr="009D07E3">
        <w:rPr>
          <w:rFonts w:cs="Arial"/>
          <w:lang w:val="en-CA"/>
        </w:rPr>
        <w:t xml:space="preserve">collectively.  This law protects the rights of women including the right of sexual reproductive health, freedom from violence, etc. Moreover, this law </w:t>
      </w:r>
      <w:r w:rsidR="00494807">
        <w:rPr>
          <w:rFonts w:cs="Arial"/>
          <w:lang w:val="en-CA"/>
        </w:rPr>
        <w:t xml:space="preserve">also </w:t>
      </w:r>
      <w:r w:rsidR="00AE5556" w:rsidRPr="009D07E3">
        <w:rPr>
          <w:rFonts w:cs="Arial"/>
          <w:lang w:val="en-CA"/>
        </w:rPr>
        <w:t>should set up a mechanism for complaints and a system for monitoring the implementation of the law.  Coalition members have</w:t>
      </w:r>
      <w:r w:rsidR="00494807">
        <w:rPr>
          <w:rFonts w:cs="Arial"/>
          <w:lang w:val="en-CA"/>
        </w:rPr>
        <w:t>:</w:t>
      </w:r>
      <w:r w:rsidR="00AE5556" w:rsidRPr="009D07E3">
        <w:rPr>
          <w:rFonts w:cs="Arial"/>
          <w:lang w:val="en-CA"/>
        </w:rPr>
        <w:t xml:space="preserve"> explained the potential impact of RUU KKG to communities; approached customary leaders, religious leaders and scholars to find common ground; carried out advocacy at sub-national level; and approached parliamentarians through </w:t>
      </w:r>
      <w:proofErr w:type="spellStart"/>
      <w:r w:rsidR="00AE5556" w:rsidRPr="009D07E3">
        <w:rPr>
          <w:rFonts w:cs="Arial"/>
          <w:lang w:val="en-CA"/>
        </w:rPr>
        <w:t>Komisi</w:t>
      </w:r>
      <w:proofErr w:type="spellEnd"/>
      <w:r w:rsidR="00AE5556" w:rsidRPr="009D07E3">
        <w:rPr>
          <w:rFonts w:cs="Arial"/>
          <w:lang w:val="en-CA"/>
        </w:rPr>
        <w:t xml:space="preserve"> 8, </w:t>
      </w:r>
      <w:proofErr w:type="spellStart"/>
      <w:r w:rsidR="00AE5556" w:rsidRPr="009D07E3">
        <w:rPr>
          <w:rFonts w:cs="Arial"/>
          <w:lang w:val="en-CA"/>
        </w:rPr>
        <w:t>Kaukus</w:t>
      </w:r>
      <w:proofErr w:type="spellEnd"/>
      <w:r w:rsidR="00AE5556" w:rsidRPr="009D07E3">
        <w:rPr>
          <w:rFonts w:cs="Arial"/>
          <w:lang w:val="en-CA"/>
        </w:rPr>
        <w:t xml:space="preserve"> </w:t>
      </w:r>
      <w:proofErr w:type="spellStart"/>
      <w:r w:rsidR="00AE5556" w:rsidRPr="009D07E3">
        <w:rPr>
          <w:rFonts w:cs="Arial"/>
          <w:lang w:val="en-CA"/>
        </w:rPr>
        <w:t>p</w:t>
      </w:r>
      <w:r w:rsidR="00016E06">
        <w:rPr>
          <w:rFonts w:cs="Arial"/>
          <w:lang w:val="en-CA"/>
        </w:rPr>
        <w:t>erempuan</w:t>
      </w:r>
      <w:proofErr w:type="spellEnd"/>
      <w:r w:rsidR="00016E06">
        <w:rPr>
          <w:rFonts w:cs="Arial"/>
          <w:lang w:val="en-CA"/>
        </w:rPr>
        <w:t xml:space="preserve"> </w:t>
      </w:r>
      <w:proofErr w:type="spellStart"/>
      <w:r w:rsidR="00016E06">
        <w:rPr>
          <w:rFonts w:cs="Arial"/>
          <w:lang w:val="en-CA"/>
        </w:rPr>
        <w:t>parlemen</w:t>
      </w:r>
      <w:proofErr w:type="spellEnd"/>
      <w:r w:rsidR="00016E06">
        <w:rPr>
          <w:rFonts w:cs="Arial"/>
          <w:lang w:val="en-CA"/>
        </w:rPr>
        <w:t xml:space="preserve">, and </w:t>
      </w:r>
      <w:proofErr w:type="spellStart"/>
      <w:r w:rsidR="00016E06">
        <w:rPr>
          <w:rFonts w:cs="Arial"/>
          <w:lang w:val="en-CA"/>
        </w:rPr>
        <w:t>fraksi</w:t>
      </w:r>
      <w:proofErr w:type="spellEnd"/>
      <w:r w:rsidR="00016E06">
        <w:rPr>
          <w:rFonts w:cs="Arial"/>
          <w:lang w:val="en-CA"/>
        </w:rPr>
        <w:t>. Phase 2 will see a continuation of MAMPU</w:t>
      </w:r>
      <w:r w:rsidR="00760EBE">
        <w:rPr>
          <w:rFonts w:cs="Arial"/>
          <w:lang w:val="en-CA"/>
        </w:rPr>
        <w:t xml:space="preserve"> encouraging clearer policy focus in collective action initiatives.</w:t>
      </w:r>
    </w:p>
    <w:p w14:paraId="3F43E0F4" w14:textId="77777777" w:rsidR="00601BCC" w:rsidRPr="009D07E3" w:rsidRDefault="00601BCC" w:rsidP="00AE5556">
      <w:pPr>
        <w:widowControl w:val="0"/>
        <w:autoSpaceDE w:val="0"/>
        <w:autoSpaceDN w:val="0"/>
        <w:adjustRightInd w:val="0"/>
        <w:rPr>
          <w:rFonts w:cs="Arial"/>
          <w:lang w:val="en-CA"/>
        </w:rPr>
      </w:pPr>
    </w:p>
    <w:p w14:paraId="37D33EF9" w14:textId="4DCE3D3A" w:rsidR="00314660" w:rsidRPr="009D07E3" w:rsidRDefault="00601BCC" w:rsidP="00601BCC">
      <w:pPr>
        <w:pStyle w:val="Heading3"/>
        <w:rPr>
          <w:lang w:val="en-CA"/>
        </w:rPr>
      </w:pPr>
      <w:bookmarkStart w:id="26" w:name="_Toc423438714"/>
      <w:r w:rsidRPr="009D07E3">
        <w:rPr>
          <w:lang w:val="en-CA"/>
        </w:rPr>
        <w:t>S</w:t>
      </w:r>
      <w:r w:rsidR="00314660" w:rsidRPr="009D07E3">
        <w:rPr>
          <w:lang w:val="en-CA"/>
        </w:rPr>
        <w:t>upporting partners in global and regional dialogue</w:t>
      </w:r>
      <w:bookmarkEnd w:id="26"/>
    </w:p>
    <w:p w14:paraId="1D5BE15F" w14:textId="77777777" w:rsidR="00256F32" w:rsidRPr="009D07E3" w:rsidRDefault="00256F32" w:rsidP="000A333F">
      <w:pPr>
        <w:widowControl w:val="0"/>
        <w:autoSpaceDE w:val="0"/>
        <w:autoSpaceDN w:val="0"/>
        <w:adjustRightInd w:val="0"/>
        <w:rPr>
          <w:rFonts w:cs="Arial"/>
          <w:lang w:val="en-CA"/>
        </w:rPr>
      </w:pPr>
    </w:p>
    <w:p w14:paraId="2918E6C5" w14:textId="7281F20A" w:rsidR="00256F32" w:rsidRPr="009D07E3" w:rsidRDefault="0009135B" w:rsidP="000A333F">
      <w:pPr>
        <w:widowControl w:val="0"/>
        <w:autoSpaceDE w:val="0"/>
        <w:autoSpaceDN w:val="0"/>
        <w:adjustRightInd w:val="0"/>
        <w:rPr>
          <w:rFonts w:cs="Arial"/>
          <w:lang w:val="en-CA"/>
        </w:rPr>
      </w:pPr>
      <w:r w:rsidRPr="009D07E3">
        <w:rPr>
          <w:rFonts w:cs="Arial"/>
          <w:lang w:val="en-CA"/>
        </w:rPr>
        <w:t xml:space="preserve">MAMPU Partners </w:t>
      </w:r>
      <w:r w:rsidR="00621DF6" w:rsidRPr="009D07E3">
        <w:rPr>
          <w:rFonts w:cs="Arial"/>
          <w:lang w:val="en-CA"/>
        </w:rPr>
        <w:t xml:space="preserve">have the potential to build an international profile and thus be agents of change across the region.  By participating in </w:t>
      </w:r>
      <w:r w:rsidR="00256F32" w:rsidRPr="009D07E3">
        <w:rPr>
          <w:rFonts w:cs="Arial"/>
          <w:lang w:val="en-CA"/>
        </w:rPr>
        <w:t>UN</w:t>
      </w:r>
      <w:r w:rsidR="00621DF6" w:rsidRPr="009D07E3">
        <w:rPr>
          <w:rFonts w:cs="Arial"/>
          <w:lang w:val="en-CA"/>
        </w:rPr>
        <w:t xml:space="preserve"> Women meetings and ‘Beijing+20’, the partners are taking steps to broaden their networks. But there needs to be a more strategic approach to planning for international events and following them up with collaborative action, which MAMU will be supporting in Phase 2.</w:t>
      </w:r>
    </w:p>
    <w:p w14:paraId="335EBB00" w14:textId="77777777" w:rsidR="00256F32" w:rsidRPr="009D07E3" w:rsidRDefault="00256F32" w:rsidP="000A333F">
      <w:pPr>
        <w:widowControl w:val="0"/>
        <w:autoSpaceDE w:val="0"/>
        <w:autoSpaceDN w:val="0"/>
        <w:adjustRightInd w:val="0"/>
        <w:rPr>
          <w:rFonts w:cs="Arial"/>
          <w:lang w:val="en-CA"/>
        </w:rPr>
      </w:pPr>
    </w:p>
    <w:p w14:paraId="1D8E7DD2" w14:textId="3186E295" w:rsidR="00B11CB6" w:rsidRPr="009D07E3" w:rsidRDefault="00B11CB6" w:rsidP="000A333F">
      <w:pPr>
        <w:widowControl w:val="0"/>
        <w:autoSpaceDE w:val="0"/>
        <w:autoSpaceDN w:val="0"/>
        <w:adjustRightInd w:val="0"/>
        <w:rPr>
          <w:rFonts w:cs="Arial"/>
          <w:lang w:val="en-CA"/>
        </w:rPr>
      </w:pPr>
      <w:r w:rsidRPr="009D07E3">
        <w:rPr>
          <w:rFonts w:cs="Arial"/>
          <w:lang w:val="en-CA"/>
        </w:rPr>
        <w:t xml:space="preserve">Partners have agreed to consider using the Sustainable Development Goals (SDGs) as an international common reference point that complements the Indonesian Government’s National </w:t>
      </w:r>
      <w:r w:rsidR="00AB1F2A" w:rsidRPr="009D07E3">
        <w:rPr>
          <w:rFonts w:cs="Arial"/>
          <w:lang w:val="en-CA"/>
        </w:rPr>
        <w:t>D</w:t>
      </w:r>
      <w:r w:rsidRPr="009D07E3">
        <w:rPr>
          <w:rFonts w:cs="Arial"/>
          <w:lang w:val="en-CA"/>
        </w:rPr>
        <w:t>evel</w:t>
      </w:r>
      <w:r w:rsidR="0021653C" w:rsidRPr="009D07E3">
        <w:rPr>
          <w:rFonts w:cs="Arial"/>
          <w:lang w:val="en-CA"/>
        </w:rPr>
        <w:t>opment Plan</w:t>
      </w:r>
      <w:r w:rsidRPr="009D07E3">
        <w:rPr>
          <w:rFonts w:cs="Arial"/>
          <w:lang w:val="en-CA"/>
        </w:rPr>
        <w:t xml:space="preserve"> (RPJMN).  Using an international standard reference point for development goals should prevent some initiatives </w:t>
      </w:r>
      <w:r w:rsidR="00FC0AEC" w:rsidRPr="009D07E3">
        <w:rPr>
          <w:rFonts w:cs="Arial"/>
          <w:lang w:val="en-CA"/>
        </w:rPr>
        <w:t xml:space="preserve">from </w:t>
      </w:r>
      <w:r w:rsidRPr="009D07E3">
        <w:rPr>
          <w:rFonts w:cs="Arial"/>
          <w:lang w:val="en-CA"/>
        </w:rPr>
        <w:t xml:space="preserve">becoming sidelined, whilst also promoting alignment between MAMPU, </w:t>
      </w:r>
      <w:r w:rsidR="00603D28" w:rsidRPr="009D07E3">
        <w:rPr>
          <w:rFonts w:cs="Arial"/>
          <w:lang w:val="en-CA"/>
        </w:rPr>
        <w:t xml:space="preserve">and </w:t>
      </w:r>
      <w:r w:rsidRPr="009D07E3">
        <w:rPr>
          <w:rFonts w:cs="Arial"/>
          <w:lang w:val="en-CA"/>
        </w:rPr>
        <w:t>national and international gender equality priorities.</w:t>
      </w:r>
    </w:p>
    <w:p w14:paraId="1F2FE85E" w14:textId="77777777" w:rsidR="00B11CB6" w:rsidRPr="009D07E3" w:rsidRDefault="00B11CB6" w:rsidP="000A333F">
      <w:pPr>
        <w:widowControl w:val="0"/>
        <w:autoSpaceDE w:val="0"/>
        <w:autoSpaceDN w:val="0"/>
        <w:adjustRightInd w:val="0"/>
        <w:rPr>
          <w:rFonts w:cs="Arial"/>
          <w:lang w:val="en-CA"/>
        </w:rPr>
      </w:pPr>
    </w:p>
    <w:p w14:paraId="0BF22F86" w14:textId="410646DC" w:rsidR="00B11CB6" w:rsidRPr="009D07E3" w:rsidRDefault="00B11CB6" w:rsidP="008F281B">
      <w:pPr>
        <w:pStyle w:val="Heading2"/>
        <w:rPr>
          <w:lang w:val="en-CA"/>
        </w:rPr>
      </w:pPr>
      <w:bookmarkStart w:id="27" w:name="_Toc423438715"/>
      <w:r w:rsidRPr="009D07E3">
        <w:rPr>
          <w:lang w:val="en-CA"/>
        </w:rPr>
        <w:t>Political Networks</w:t>
      </w:r>
      <w:bookmarkEnd w:id="27"/>
      <w:r w:rsidRPr="009D07E3">
        <w:rPr>
          <w:lang w:val="en-CA"/>
        </w:rPr>
        <w:t xml:space="preserve"> </w:t>
      </w:r>
    </w:p>
    <w:p w14:paraId="13594DDC" w14:textId="77777777" w:rsidR="003A24DB" w:rsidRPr="009D07E3" w:rsidRDefault="003A24DB" w:rsidP="003A24DB">
      <w:pPr>
        <w:rPr>
          <w:lang w:val="en-CA"/>
        </w:rPr>
      </w:pPr>
    </w:p>
    <w:p w14:paraId="14068DE0" w14:textId="25AF5E8D" w:rsidR="00B11CB6" w:rsidRPr="009D07E3" w:rsidRDefault="00B11CB6" w:rsidP="00AE5556">
      <w:pPr>
        <w:widowControl w:val="0"/>
        <w:autoSpaceDE w:val="0"/>
        <w:autoSpaceDN w:val="0"/>
        <w:adjustRightInd w:val="0"/>
        <w:rPr>
          <w:rFonts w:cs="Arial"/>
          <w:lang w:val="en-CA"/>
        </w:rPr>
      </w:pPr>
      <w:r w:rsidRPr="009D07E3">
        <w:rPr>
          <w:rFonts w:cs="Arial"/>
          <w:lang w:val="en-CA"/>
        </w:rPr>
        <w:t xml:space="preserve">MAMPU will continue to build and strengthen broad horizontal and political networks, as well as inclusive coalitions, in order to influence government policies, regulations and </w:t>
      </w:r>
      <w:r w:rsidR="0021653C" w:rsidRPr="009D07E3">
        <w:rPr>
          <w:rFonts w:cs="Arial"/>
          <w:lang w:val="en-CA"/>
        </w:rPr>
        <w:t>service provision</w:t>
      </w:r>
      <w:r w:rsidRPr="009D07E3">
        <w:rPr>
          <w:rFonts w:cs="Arial"/>
          <w:lang w:val="en-CA"/>
        </w:rPr>
        <w:t xml:space="preserve"> that improve the access of poor women to important services. </w:t>
      </w:r>
    </w:p>
    <w:p w14:paraId="6B4D11BD" w14:textId="77777777" w:rsidR="00256F32" w:rsidRPr="009D07E3" w:rsidRDefault="00256F32" w:rsidP="00AE5556">
      <w:pPr>
        <w:widowControl w:val="0"/>
        <w:autoSpaceDE w:val="0"/>
        <w:autoSpaceDN w:val="0"/>
        <w:adjustRightInd w:val="0"/>
        <w:rPr>
          <w:rFonts w:cs="Arial"/>
          <w:lang w:val="en-CA"/>
        </w:rPr>
      </w:pPr>
    </w:p>
    <w:p w14:paraId="06AE78D3" w14:textId="31C74565" w:rsidR="00256F32" w:rsidRPr="009D07E3" w:rsidRDefault="00975C19" w:rsidP="00AE5556">
      <w:pPr>
        <w:widowControl w:val="0"/>
        <w:autoSpaceDE w:val="0"/>
        <w:autoSpaceDN w:val="0"/>
        <w:adjustRightInd w:val="0"/>
        <w:rPr>
          <w:rFonts w:cs="Arial"/>
          <w:lang w:val="en-CA"/>
        </w:rPr>
      </w:pPr>
      <w:r>
        <w:rPr>
          <w:rFonts w:cs="Arial"/>
          <w:lang w:val="en-CA"/>
        </w:rPr>
        <w:t>MAMPU</w:t>
      </w:r>
      <w:r w:rsidR="008F281B">
        <w:rPr>
          <w:rFonts w:cs="Arial"/>
          <w:lang w:val="en-CA"/>
        </w:rPr>
        <w:t xml:space="preserve"> will continue to support </w:t>
      </w:r>
      <w:r w:rsidR="008F281B" w:rsidRPr="009D07E3">
        <w:rPr>
          <w:rFonts w:cs="Arial"/>
          <w:lang w:val="en-CA"/>
        </w:rPr>
        <w:t xml:space="preserve">‘Indonesia </w:t>
      </w:r>
      <w:proofErr w:type="spellStart"/>
      <w:r w:rsidR="008F281B" w:rsidRPr="009D07E3">
        <w:rPr>
          <w:rFonts w:cs="Arial"/>
          <w:lang w:val="en-CA"/>
        </w:rPr>
        <w:t>Beragam</w:t>
      </w:r>
      <w:proofErr w:type="spellEnd"/>
      <w:r w:rsidR="008F281B" w:rsidRPr="009D07E3">
        <w:rPr>
          <w:rFonts w:cs="Arial"/>
          <w:lang w:val="en-CA"/>
        </w:rPr>
        <w:t>’</w:t>
      </w:r>
      <w:r w:rsidR="008F281B">
        <w:rPr>
          <w:rFonts w:cs="Arial"/>
          <w:lang w:val="en-CA"/>
        </w:rPr>
        <w:t>, which emerged from</w:t>
      </w:r>
      <w:r w:rsidR="008F281B" w:rsidRPr="009D07E3">
        <w:rPr>
          <w:rFonts w:cs="Arial"/>
          <w:lang w:val="en-CA"/>
        </w:rPr>
        <w:t xml:space="preserve"> the women’s movement</w:t>
      </w:r>
      <w:r w:rsidR="008F281B">
        <w:rPr>
          <w:rFonts w:cs="Arial"/>
          <w:lang w:val="en-CA"/>
        </w:rPr>
        <w:t xml:space="preserve"> i</w:t>
      </w:r>
      <w:r w:rsidR="00256F32" w:rsidRPr="009D07E3">
        <w:rPr>
          <w:rFonts w:cs="Arial"/>
          <w:lang w:val="en-CA"/>
        </w:rPr>
        <w:t>n response to the fluid political situation in the lead up to the 2014 presidential elections</w:t>
      </w:r>
      <w:r w:rsidR="008F281B">
        <w:rPr>
          <w:rFonts w:cs="Arial"/>
          <w:lang w:val="en-CA"/>
        </w:rPr>
        <w:t>.  This, and other ad hoc networks, will continue to be important ways to advocate for certain policy agendas in the next round of local elections (</w:t>
      </w:r>
      <w:proofErr w:type="spellStart"/>
      <w:r w:rsidR="008F281B">
        <w:rPr>
          <w:rFonts w:cs="Arial"/>
          <w:lang w:val="en-CA"/>
        </w:rPr>
        <w:t>Pilkada</w:t>
      </w:r>
      <w:proofErr w:type="spellEnd"/>
      <w:r w:rsidR="008F281B">
        <w:rPr>
          <w:rFonts w:cs="Arial"/>
          <w:lang w:val="en-CA"/>
        </w:rPr>
        <w:t xml:space="preserve">) due to occur over the next eighteen months. </w:t>
      </w:r>
    </w:p>
    <w:p w14:paraId="389BB6D2" w14:textId="77777777" w:rsidR="009E3DC5" w:rsidRPr="009D07E3" w:rsidRDefault="009E3DC5" w:rsidP="00AE5556">
      <w:pPr>
        <w:widowControl w:val="0"/>
        <w:autoSpaceDE w:val="0"/>
        <w:autoSpaceDN w:val="0"/>
        <w:adjustRightInd w:val="0"/>
        <w:rPr>
          <w:rFonts w:cs="Arial"/>
          <w:lang w:val="en-CA"/>
        </w:rPr>
      </w:pPr>
    </w:p>
    <w:p w14:paraId="038CD3BC" w14:textId="4AB46EA7" w:rsidR="009E3DC5" w:rsidRPr="009D07E3" w:rsidRDefault="00256F32" w:rsidP="008F281B">
      <w:pPr>
        <w:pStyle w:val="Heading2"/>
        <w:rPr>
          <w:lang w:val="en-CA"/>
        </w:rPr>
      </w:pPr>
      <w:bookmarkStart w:id="28" w:name="_Toc423438716"/>
      <w:r w:rsidRPr="009D07E3">
        <w:rPr>
          <w:lang w:val="en-CA"/>
        </w:rPr>
        <w:t xml:space="preserve">Engaging with </w:t>
      </w:r>
      <w:r w:rsidR="005A0C8F">
        <w:rPr>
          <w:lang w:val="en-CA"/>
        </w:rPr>
        <w:t>P</w:t>
      </w:r>
      <w:r w:rsidRPr="009D07E3">
        <w:rPr>
          <w:lang w:val="en-CA"/>
        </w:rPr>
        <w:t>arliament</w:t>
      </w:r>
      <w:bookmarkEnd w:id="28"/>
    </w:p>
    <w:p w14:paraId="640CBAE0" w14:textId="77777777" w:rsidR="003A24DB" w:rsidRPr="009D07E3" w:rsidRDefault="003A24DB" w:rsidP="003A24DB">
      <w:pPr>
        <w:rPr>
          <w:lang w:val="en-CA"/>
        </w:rPr>
      </w:pPr>
    </w:p>
    <w:p w14:paraId="4CA37F5B" w14:textId="75290FFF" w:rsidR="009E3DC5" w:rsidRPr="009D07E3" w:rsidRDefault="009E3DC5" w:rsidP="003A24DB">
      <w:pPr>
        <w:autoSpaceDE w:val="0"/>
        <w:autoSpaceDN w:val="0"/>
        <w:adjustRightInd w:val="0"/>
        <w:rPr>
          <w:rFonts w:cs="Arial"/>
          <w:lang w:val="en-CA"/>
        </w:rPr>
      </w:pPr>
      <w:r w:rsidRPr="009D07E3">
        <w:rPr>
          <w:rFonts w:cs="Arial"/>
          <w:lang w:val="en-CA"/>
        </w:rPr>
        <w:t xml:space="preserve">Based on the </w:t>
      </w:r>
      <w:r w:rsidR="00975C19">
        <w:rPr>
          <w:rFonts w:cs="Arial"/>
          <w:lang w:val="en-CA"/>
        </w:rPr>
        <w:t>lessons learned during Phase 1</w:t>
      </w:r>
      <w:r w:rsidRPr="009D07E3">
        <w:rPr>
          <w:rFonts w:cs="Arial"/>
          <w:lang w:val="en-CA"/>
        </w:rPr>
        <w:t xml:space="preserve">, there was a need to integrate the original two </w:t>
      </w:r>
      <w:r w:rsidR="00975C19">
        <w:rPr>
          <w:rFonts w:cs="Arial"/>
          <w:lang w:val="en-CA"/>
        </w:rPr>
        <w:t xml:space="preserve">MAMPU </w:t>
      </w:r>
      <w:r w:rsidRPr="009D07E3">
        <w:rPr>
          <w:rFonts w:cs="Arial"/>
          <w:lang w:val="en-CA"/>
        </w:rPr>
        <w:t>program components, (Component 1: Action, Analysis &amp; Action by CSO networks and Component 2: linkages between networks and parliamentarians for gender equality reform) into a unified strategy. This has facilitated a more coherent approach to influencing policy, appreciating the need for engagement with parliamentarians (whether national or subnational) to be conducted by all MAMPU partners. During Phase Two, activities that began during the first phase will continue and intensify as partners strengthen their relationships with parliament. MAMPU will continue supporting the implementation of the eleven (11) provincial and district level action plans agreed between partners and DPRD at MAMPU’s 2015 National Conference.</w:t>
      </w:r>
    </w:p>
    <w:p w14:paraId="37599868" w14:textId="77777777" w:rsidR="009E3DC5" w:rsidRPr="009D07E3" w:rsidRDefault="009E3DC5" w:rsidP="009E3DC5">
      <w:pPr>
        <w:widowControl w:val="0"/>
        <w:autoSpaceDE w:val="0"/>
        <w:autoSpaceDN w:val="0"/>
        <w:adjustRightInd w:val="0"/>
        <w:rPr>
          <w:rFonts w:cs="Arial"/>
          <w:lang w:val="en-CA"/>
        </w:rPr>
      </w:pPr>
    </w:p>
    <w:p w14:paraId="0338992A" w14:textId="77777777" w:rsidR="009E3DC5" w:rsidRPr="009D07E3" w:rsidRDefault="009E3DC5" w:rsidP="009E3DC5">
      <w:pPr>
        <w:widowControl w:val="0"/>
        <w:autoSpaceDE w:val="0"/>
        <w:autoSpaceDN w:val="0"/>
        <w:adjustRightInd w:val="0"/>
        <w:rPr>
          <w:rFonts w:cs="Arial"/>
          <w:lang w:val="en-CA"/>
        </w:rPr>
      </w:pPr>
      <w:r w:rsidRPr="009D07E3">
        <w:rPr>
          <w:rFonts w:cs="Arial"/>
          <w:lang w:val="en-CA"/>
        </w:rPr>
        <w:t>Enabling these sub-national networks time to evolve and strengthen is important, whilst also planning for the longer-term need to connect the sub-national needs to the national level policy agenda. Therefore, it is envisaged that the second MAMPU national conference will be held during the first 6 months of Phase Two to provide a platform for sharing local successes from joint stakeholder working, and as a vehicle to encourage the national parliament to become inspired by what can be achieved by working together with civil society organisations.</w:t>
      </w:r>
    </w:p>
    <w:p w14:paraId="5A7D94A1" w14:textId="77777777" w:rsidR="00B11CB6" w:rsidRPr="009D07E3" w:rsidRDefault="00B11CB6" w:rsidP="000A333F">
      <w:pPr>
        <w:widowControl w:val="0"/>
        <w:autoSpaceDE w:val="0"/>
        <w:autoSpaceDN w:val="0"/>
        <w:adjustRightInd w:val="0"/>
        <w:rPr>
          <w:rFonts w:cs="Arial"/>
          <w:lang w:val="en-CA"/>
        </w:rPr>
      </w:pPr>
    </w:p>
    <w:p w14:paraId="1EBBBE8E" w14:textId="11996DC8" w:rsidR="00B11CB6" w:rsidRPr="009D07E3" w:rsidRDefault="00B11CB6" w:rsidP="008F281B">
      <w:pPr>
        <w:pStyle w:val="Heading2"/>
        <w:rPr>
          <w:lang w:val="en-CA"/>
        </w:rPr>
      </w:pPr>
      <w:bookmarkStart w:id="29" w:name="_Toc423438717"/>
      <w:r w:rsidRPr="009D07E3">
        <w:rPr>
          <w:lang w:val="en-CA"/>
        </w:rPr>
        <w:t>Multi-</w:t>
      </w:r>
      <w:r w:rsidR="005A0C8F">
        <w:rPr>
          <w:lang w:val="en-CA"/>
        </w:rPr>
        <w:t>S</w:t>
      </w:r>
      <w:r w:rsidRPr="009D07E3">
        <w:rPr>
          <w:lang w:val="en-CA"/>
        </w:rPr>
        <w:t>takeholder</w:t>
      </w:r>
      <w:r w:rsidR="00011BF7">
        <w:rPr>
          <w:lang w:val="en-CA"/>
        </w:rPr>
        <w:t xml:space="preserve"> &amp; Community</w:t>
      </w:r>
      <w:r w:rsidRPr="009D07E3">
        <w:rPr>
          <w:lang w:val="en-CA"/>
        </w:rPr>
        <w:t xml:space="preserve"> Forum</w:t>
      </w:r>
      <w:r w:rsidR="00C16350" w:rsidRPr="009D07E3">
        <w:rPr>
          <w:lang w:val="en-CA"/>
        </w:rPr>
        <w:t>s</w:t>
      </w:r>
      <w:bookmarkEnd w:id="29"/>
      <w:r w:rsidRPr="009D07E3">
        <w:rPr>
          <w:lang w:val="en-CA"/>
        </w:rPr>
        <w:t xml:space="preserve"> </w:t>
      </w:r>
    </w:p>
    <w:p w14:paraId="40F5775E" w14:textId="77777777" w:rsidR="003A24DB" w:rsidRPr="009D07E3" w:rsidRDefault="003A24DB" w:rsidP="000A333F">
      <w:pPr>
        <w:widowControl w:val="0"/>
        <w:autoSpaceDE w:val="0"/>
        <w:autoSpaceDN w:val="0"/>
        <w:adjustRightInd w:val="0"/>
        <w:rPr>
          <w:rFonts w:cs="Arial"/>
          <w:lang w:val="en-CA"/>
        </w:rPr>
      </w:pPr>
    </w:p>
    <w:p w14:paraId="238A0DCD" w14:textId="461558C3" w:rsidR="00B11CB6" w:rsidRPr="009D07E3" w:rsidRDefault="00011BF7" w:rsidP="000A333F">
      <w:pPr>
        <w:widowControl w:val="0"/>
        <w:autoSpaceDE w:val="0"/>
        <w:autoSpaceDN w:val="0"/>
        <w:adjustRightInd w:val="0"/>
        <w:rPr>
          <w:rFonts w:cs="Arial"/>
          <w:lang w:val="en-CA"/>
        </w:rPr>
      </w:pPr>
      <w:r>
        <w:rPr>
          <w:rFonts w:cs="Arial"/>
          <w:lang w:val="en-CA"/>
        </w:rPr>
        <w:t xml:space="preserve">Multi-Stakeholder and </w:t>
      </w:r>
      <w:r w:rsidR="00B11CB6" w:rsidRPr="009D07E3">
        <w:rPr>
          <w:rFonts w:cs="Arial"/>
          <w:lang w:val="en-CA"/>
        </w:rPr>
        <w:t xml:space="preserve">Community Forums </w:t>
      </w:r>
      <w:r w:rsidR="0021653C" w:rsidRPr="009D07E3">
        <w:rPr>
          <w:rFonts w:cs="Arial"/>
          <w:lang w:val="en-CA"/>
        </w:rPr>
        <w:t xml:space="preserve">are </w:t>
      </w:r>
      <w:r w:rsidR="00B11CB6" w:rsidRPr="009D07E3">
        <w:rPr>
          <w:rFonts w:cs="Arial"/>
          <w:lang w:val="en-CA"/>
        </w:rPr>
        <w:t>focus</w:t>
      </w:r>
      <w:r w:rsidR="0021653C" w:rsidRPr="009D07E3">
        <w:rPr>
          <w:rFonts w:cs="Arial"/>
          <w:lang w:val="en-CA"/>
        </w:rPr>
        <w:t>ed</w:t>
      </w:r>
      <w:r w:rsidR="00B11CB6" w:rsidRPr="009D07E3">
        <w:rPr>
          <w:rFonts w:cs="Arial"/>
          <w:lang w:val="en-CA"/>
        </w:rPr>
        <w:t xml:space="preserve"> at the district level which enables advocacy and policy efforts to be more targeted. These forums, consisting of multiple MAMPU partners, local government and other stakeholders</w:t>
      </w:r>
      <w:r w:rsidR="00DA5A04" w:rsidRPr="009D07E3">
        <w:rPr>
          <w:rFonts w:cs="Arial"/>
          <w:lang w:val="en-CA"/>
        </w:rPr>
        <w:t>,</w:t>
      </w:r>
      <w:r w:rsidR="00B11CB6" w:rsidRPr="009D07E3">
        <w:rPr>
          <w:rFonts w:cs="Arial"/>
          <w:lang w:val="en-CA"/>
        </w:rPr>
        <w:t xml:space="preserve"> will strengthen relationships with </w:t>
      </w:r>
      <w:r w:rsidR="00B41CED" w:rsidRPr="009D07E3">
        <w:rPr>
          <w:rFonts w:cs="Arial"/>
          <w:lang w:val="en-CA"/>
        </w:rPr>
        <w:t>local</w:t>
      </w:r>
      <w:r w:rsidR="00B11CB6" w:rsidRPr="009D07E3">
        <w:rPr>
          <w:rFonts w:cs="Arial"/>
          <w:lang w:val="en-CA"/>
        </w:rPr>
        <w:t xml:space="preserve"> </w:t>
      </w:r>
      <w:proofErr w:type="gramStart"/>
      <w:r w:rsidR="00B11CB6" w:rsidRPr="009D07E3">
        <w:rPr>
          <w:rFonts w:cs="Arial"/>
          <w:lang w:val="en-CA"/>
        </w:rPr>
        <w:t>communities,</w:t>
      </w:r>
      <w:proofErr w:type="gramEnd"/>
      <w:r w:rsidR="00B11CB6" w:rsidRPr="009D07E3">
        <w:rPr>
          <w:rFonts w:cs="Arial"/>
          <w:lang w:val="en-CA"/>
        </w:rPr>
        <w:t xml:space="preserve"> encourage civic participation and local collective action to address local iss</w:t>
      </w:r>
      <w:r w:rsidR="00213374" w:rsidRPr="009D07E3">
        <w:rPr>
          <w:rFonts w:cs="Arial"/>
          <w:lang w:val="en-CA"/>
        </w:rPr>
        <w:t>ues.  An additional function could</w:t>
      </w:r>
      <w:r w:rsidR="00510AB8" w:rsidRPr="009D07E3">
        <w:rPr>
          <w:rFonts w:cs="Arial"/>
          <w:lang w:val="en-CA"/>
        </w:rPr>
        <w:t xml:space="preserve"> </w:t>
      </w:r>
      <w:r w:rsidR="00B11CB6" w:rsidRPr="009D07E3">
        <w:rPr>
          <w:rFonts w:cs="Arial"/>
          <w:lang w:val="en-CA"/>
        </w:rPr>
        <w:t>be to monitor implementation of </w:t>
      </w:r>
      <w:r w:rsidR="006D5E5A" w:rsidRPr="009D07E3">
        <w:rPr>
          <w:rFonts w:cs="Arial"/>
          <w:lang w:val="en-CA"/>
        </w:rPr>
        <w:t xml:space="preserve">the </w:t>
      </w:r>
      <w:r w:rsidR="00B11CB6" w:rsidRPr="009D07E3">
        <w:rPr>
          <w:rFonts w:cs="Arial"/>
          <w:lang w:val="en-CA"/>
        </w:rPr>
        <w:t xml:space="preserve">Village law in coordination with KOMPAK. MAMPU will explore the benefits of holding national events and/or visits between </w:t>
      </w:r>
      <w:r w:rsidR="00197411">
        <w:rPr>
          <w:rFonts w:cs="Arial"/>
          <w:lang w:val="en-CA"/>
        </w:rPr>
        <w:t xml:space="preserve">respective </w:t>
      </w:r>
      <w:r w:rsidR="00B11CB6" w:rsidRPr="009D07E3">
        <w:rPr>
          <w:rFonts w:cs="Arial"/>
          <w:lang w:val="en-CA"/>
        </w:rPr>
        <w:t xml:space="preserve">forums so the communities can share learning and successes. </w:t>
      </w:r>
    </w:p>
    <w:p w14:paraId="02403E81" w14:textId="77777777" w:rsidR="00B11CB6" w:rsidRPr="009D07E3" w:rsidRDefault="00B11CB6" w:rsidP="000A333F">
      <w:pPr>
        <w:widowControl w:val="0"/>
        <w:autoSpaceDE w:val="0"/>
        <w:autoSpaceDN w:val="0"/>
        <w:adjustRightInd w:val="0"/>
        <w:rPr>
          <w:rFonts w:cs="Arial"/>
          <w:lang w:val="en-CA"/>
        </w:rPr>
      </w:pPr>
    </w:p>
    <w:p w14:paraId="75AA83D9" w14:textId="59ADA657" w:rsidR="00B11CB6" w:rsidRPr="009D07E3" w:rsidRDefault="00256F32" w:rsidP="008F281B">
      <w:pPr>
        <w:pStyle w:val="Heading2"/>
        <w:rPr>
          <w:lang w:val="en-CA"/>
        </w:rPr>
      </w:pPr>
      <w:bookmarkStart w:id="30" w:name="_Toc423438718"/>
      <w:r w:rsidRPr="009D07E3">
        <w:rPr>
          <w:lang w:val="en-CA"/>
        </w:rPr>
        <w:t xml:space="preserve">Working with </w:t>
      </w:r>
      <w:r w:rsidR="005A0C8F">
        <w:rPr>
          <w:lang w:val="en-CA"/>
        </w:rPr>
        <w:t>G</w:t>
      </w:r>
      <w:r w:rsidRPr="009D07E3">
        <w:rPr>
          <w:lang w:val="en-CA"/>
        </w:rPr>
        <w:t xml:space="preserve">overnment </w:t>
      </w:r>
      <w:r w:rsidR="005A0C8F">
        <w:rPr>
          <w:lang w:val="en-CA"/>
        </w:rPr>
        <w:t>D</w:t>
      </w:r>
      <w:r w:rsidRPr="009D07E3">
        <w:rPr>
          <w:lang w:val="en-CA"/>
        </w:rPr>
        <w:t>epartments</w:t>
      </w:r>
      <w:bookmarkEnd w:id="30"/>
    </w:p>
    <w:p w14:paraId="130783ED" w14:textId="77777777" w:rsidR="003A24DB" w:rsidRPr="009D07E3" w:rsidRDefault="003A24DB" w:rsidP="000A333F">
      <w:pPr>
        <w:widowControl w:val="0"/>
        <w:autoSpaceDE w:val="0"/>
        <w:autoSpaceDN w:val="0"/>
        <w:adjustRightInd w:val="0"/>
        <w:rPr>
          <w:rFonts w:cs="Arial"/>
          <w:lang w:val="en-CA"/>
        </w:rPr>
      </w:pPr>
    </w:p>
    <w:p w14:paraId="29910363" w14:textId="1E8EFAED" w:rsidR="00B11CB6" w:rsidRPr="009D07E3" w:rsidRDefault="00D652C3" w:rsidP="000A333F">
      <w:pPr>
        <w:widowControl w:val="0"/>
        <w:autoSpaceDE w:val="0"/>
        <w:autoSpaceDN w:val="0"/>
        <w:adjustRightInd w:val="0"/>
        <w:rPr>
          <w:rFonts w:cs="Arial"/>
          <w:lang w:val="en-CA"/>
        </w:rPr>
      </w:pPr>
      <w:r w:rsidRPr="009D07E3">
        <w:rPr>
          <w:rFonts w:cs="Arial"/>
          <w:lang w:val="en-CA"/>
        </w:rPr>
        <w:t>MAMPU’s five</w:t>
      </w:r>
      <w:r w:rsidR="00B11CB6" w:rsidRPr="009D07E3">
        <w:rPr>
          <w:rFonts w:cs="Arial"/>
          <w:lang w:val="en-CA"/>
        </w:rPr>
        <w:t xml:space="preserve"> Thematic Working Groups (TWGs)</w:t>
      </w:r>
      <w:r w:rsidR="00197411">
        <w:rPr>
          <w:rFonts w:cs="Arial"/>
          <w:lang w:val="en-CA"/>
        </w:rPr>
        <w:t xml:space="preserve"> provide strategic entry points </w:t>
      </w:r>
      <w:r w:rsidR="00B11CB6" w:rsidRPr="009D07E3">
        <w:rPr>
          <w:rFonts w:cs="Arial"/>
          <w:lang w:val="en-CA"/>
        </w:rPr>
        <w:t>for dialogue between CSO partners and government. T</w:t>
      </w:r>
      <w:r w:rsidRPr="009D07E3">
        <w:rPr>
          <w:rFonts w:cs="Arial"/>
          <w:lang w:val="en-CA"/>
        </w:rPr>
        <w:t>he TWGs</w:t>
      </w:r>
      <w:r w:rsidR="00B11CB6" w:rsidRPr="009D07E3">
        <w:rPr>
          <w:rFonts w:cs="Arial"/>
          <w:lang w:val="en-CA"/>
        </w:rPr>
        <w:t xml:space="preserve"> provide space to examine thematic issues in depth, communicate evidence of any disconnection between existing policies and implementation as experienced by beneficiaries and agree </w:t>
      </w:r>
      <w:r w:rsidR="00740554" w:rsidRPr="009D07E3">
        <w:rPr>
          <w:rFonts w:cs="Arial"/>
          <w:lang w:val="en-CA"/>
        </w:rPr>
        <w:t xml:space="preserve">on </w:t>
      </w:r>
      <w:r w:rsidR="00B11CB6" w:rsidRPr="009D07E3">
        <w:rPr>
          <w:rFonts w:cs="Arial"/>
          <w:lang w:val="en-CA"/>
        </w:rPr>
        <w:t>areas where further</w:t>
      </w:r>
      <w:r w:rsidRPr="009D07E3">
        <w:rPr>
          <w:rFonts w:cs="Arial"/>
          <w:lang w:val="en-CA"/>
        </w:rPr>
        <w:t xml:space="preserve"> evidence is needed</w:t>
      </w:r>
      <w:r w:rsidR="00B11CB6" w:rsidRPr="009D07E3">
        <w:rPr>
          <w:rFonts w:cs="Arial"/>
          <w:lang w:val="en-CA"/>
        </w:rPr>
        <w:t>. The TWGs also offer the potential to initiate a more inclusive policy design process, one that includes both experiential expertise and local knowledge in addressing poverty.</w:t>
      </w:r>
    </w:p>
    <w:p w14:paraId="0093A577" w14:textId="77777777" w:rsidR="00B11CB6" w:rsidRPr="009D07E3" w:rsidRDefault="00B11CB6" w:rsidP="000A333F">
      <w:pPr>
        <w:widowControl w:val="0"/>
        <w:autoSpaceDE w:val="0"/>
        <w:autoSpaceDN w:val="0"/>
        <w:adjustRightInd w:val="0"/>
        <w:rPr>
          <w:rFonts w:cs="Arial"/>
          <w:lang w:val="en-CA"/>
        </w:rPr>
      </w:pPr>
    </w:p>
    <w:p w14:paraId="0AB79175" w14:textId="4635E4E2" w:rsidR="00314660" w:rsidRPr="009D07E3" w:rsidRDefault="00256F32" w:rsidP="008F281B">
      <w:pPr>
        <w:pStyle w:val="Heading2"/>
        <w:rPr>
          <w:lang w:val="en-CA"/>
        </w:rPr>
      </w:pPr>
      <w:bookmarkStart w:id="31" w:name="_Toc423438719"/>
      <w:r w:rsidRPr="009D07E3">
        <w:rPr>
          <w:lang w:val="en-CA"/>
        </w:rPr>
        <w:t xml:space="preserve">Initiatives to </w:t>
      </w:r>
      <w:r w:rsidR="005A0C8F">
        <w:rPr>
          <w:lang w:val="en-CA"/>
        </w:rPr>
        <w:t>I</w:t>
      </w:r>
      <w:r w:rsidRPr="009D07E3">
        <w:rPr>
          <w:lang w:val="en-CA"/>
        </w:rPr>
        <w:t xml:space="preserve">mprove </w:t>
      </w:r>
      <w:r w:rsidR="005A0C8F">
        <w:rPr>
          <w:lang w:val="en-CA"/>
        </w:rPr>
        <w:t>S</w:t>
      </w:r>
      <w:r w:rsidRPr="009D07E3">
        <w:rPr>
          <w:lang w:val="en-CA"/>
        </w:rPr>
        <w:t>ustainability</w:t>
      </w:r>
      <w:bookmarkEnd w:id="31"/>
      <w:r w:rsidRPr="009D07E3">
        <w:rPr>
          <w:lang w:val="en-CA"/>
        </w:rPr>
        <w:t xml:space="preserve"> </w:t>
      </w:r>
    </w:p>
    <w:p w14:paraId="3F53E815" w14:textId="77777777" w:rsidR="00314660" w:rsidRPr="009D07E3" w:rsidRDefault="00314660" w:rsidP="000A333F">
      <w:pPr>
        <w:widowControl w:val="0"/>
        <w:autoSpaceDE w:val="0"/>
        <w:autoSpaceDN w:val="0"/>
        <w:adjustRightInd w:val="0"/>
        <w:rPr>
          <w:rFonts w:cs="Arial"/>
          <w:lang w:val="en-CA"/>
        </w:rPr>
      </w:pPr>
    </w:p>
    <w:p w14:paraId="6F1D583D" w14:textId="77777777" w:rsidR="00314660" w:rsidRPr="009D07E3" w:rsidRDefault="00314660" w:rsidP="003A24DB">
      <w:pPr>
        <w:pStyle w:val="Heading3"/>
        <w:rPr>
          <w:lang w:val="en-CA"/>
        </w:rPr>
      </w:pPr>
      <w:bookmarkStart w:id="32" w:name="_Toc423438720"/>
      <w:r w:rsidRPr="009D07E3">
        <w:rPr>
          <w:lang w:val="en-CA"/>
        </w:rPr>
        <w:t>Strategy for developing women leaders</w:t>
      </w:r>
      <w:bookmarkEnd w:id="32"/>
    </w:p>
    <w:p w14:paraId="225CC92E" w14:textId="77777777" w:rsidR="003A24DB" w:rsidRPr="009D07E3" w:rsidRDefault="003A24DB" w:rsidP="00314660">
      <w:pPr>
        <w:rPr>
          <w:rFonts w:cs="Arial"/>
          <w:lang w:val="en-CA"/>
        </w:rPr>
      </w:pPr>
    </w:p>
    <w:p w14:paraId="53CF1BC3" w14:textId="6AF5BD34" w:rsidR="00314660" w:rsidRPr="009D07E3" w:rsidRDefault="00314660" w:rsidP="00314660">
      <w:pPr>
        <w:rPr>
          <w:rFonts w:cs="Arial"/>
          <w:lang w:val="en-CA"/>
        </w:rPr>
      </w:pPr>
      <w:r w:rsidRPr="009D07E3">
        <w:rPr>
          <w:rFonts w:cs="Arial"/>
          <w:lang w:val="en-CA"/>
        </w:rPr>
        <w:t>Lasting social change depends upon the ability of people to help shape the policies that affect their lives. Yet barriers to meaningful participation in civic and political life persist in Indonesia, resulting in under representation of women in leadership positions, from the local and community level to the highest positions in government.  MAMPU’s proposed empowerment framework and the strengthening of partner organisations and the networks that build and mobilise the grassroots base for social change, will increase civic participation of women, especially poor women.  This approach will be combined with various leadership development initiatives to stimulate and nurture the women leaders of tomorrow.  At the village level p</w:t>
      </w:r>
      <w:r w:rsidR="001B57CD">
        <w:rPr>
          <w:rFonts w:cs="Arial"/>
          <w:lang w:val="en-CA"/>
        </w:rPr>
        <w:t xml:space="preserve">artners have </w:t>
      </w:r>
      <w:r w:rsidRPr="009D07E3">
        <w:rPr>
          <w:rFonts w:cs="Arial"/>
          <w:lang w:val="en-CA"/>
        </w:rPr>
        <w:t>identified potential change agents who are already being proactive in supporting themselves, their famil</w:t>
      </w:r>
      <w:r w:rsidR="000548A4">
        <w:rPr>
          <w:rFonts w:cs="Arial"/>
          <w:lang w:val="en-CA"/>
        </w:rPr>
        <w:t>ies and communities. MAMPU intends</w:t>
      </w:r>
      <w:r w:rsidRPr="009D07E3">
        <w:rPr>
          <w:rFonts w:cs="Arial"/>
          <w:lang w:val="en-CA"/>
        </w:rPr>
        <w:t xml:space="preserve"> to design leadership support </w:t>
      </w:r>
      <w:r w:rsidR="000548A4" w:rsidRPr="009D07E3">
        <w:rPr>
          <w:rFonts w:cs="Arial"/>
          <w:lang w:val="en-CA"/>
        </w:rPr>
        <w:t>pathways</w:t>
      </w:r>
      <w:r w:rsidRPr="009D07E3">
        <w:rPr>
          <w:rFonts w:cs="Arial"/>
          <w:lang w:val="en-CA"/>
        </w:rPr>
        <w:t xml:space="preserve"> to help these women realize their potential.  </w:t>
      </w:r>
      <w:r w:rsidR="001B57CD">
        <w:rPr>
          <w:rFonts w:cs="Arial"/>
          <w:lang w:val="en-CA"/>
        </w:rPr>
        <w:t>Other leadership initiatives include f</w:t>
      </w:r>
      <w:r w:rsidRPr="009D07E3">
        <w:rPr>
          <w:rFonts w:cs="Arial"/>
          <w:lang w:val="en-CA"/>
        </w:rPr>
        <w:t xml:space="preserve">urther opportunities for mentoring emerging leaders </w:t>
      </w:r>
      <w:r w:rsidR="000548A4">
        <w:rPr>
          <w:rFonts w:cs="Arial"/>
          <w:lang w:val="en-CA"/>
        </w:rPr>
        <w:t xml:space="preserve">within MAMPU partner organisations </w:t>
      </w:r>
      <w:r w:rsidR="001B57CD">
        <w:rPr>
          <w:rFonts w:cs="Arial"/>
          <w:lang w:val="en-CA"/>
        </w:rPr>
        <w:t xml:space="preserve">and </w:t>
      </w:r>
      <w:r w:rsidRPr="009D07E3">
        <w:rPr>
          <w:rFonts w:cs="Arial"/>
          <w:lang w:val="en-CA"/>
        </w:rPr>
        <w:t>internships within the MAMPU team.</w:t>
      </w:r>
    </w:p>
    <w:p w14:paraId="4B68EE91" w14:textId="77777777" w:rsidR="00314660" w:rsidRPr="009D07E3" w:rsidRDefault="00314660" w:rsidP="00314660">
      <w:pPr>
        <w:rPr>
          <w:rFonts w:cs="Arial"/>
          <w:lang w:val="en-CA"/>
        </w:rPr>
      </w:pPr>
    </w:p>
    <w:p w14:paraId="13950BA4" w14:textId="77777777" w:rsidR="00314660" w:rsidRPr="009D07E3" w:rsidRDefault="00314660" w:rsidP="00A13ED6">
      <w:pPr>
        <w:pStyle w:val="Heading3"/>
      </w:pPr>
      <w:bookmarkStart w:id="33" w:name="_Toc423438721"/>
      <w:r w:rsidRPr="009D07E3">
        <w:t>Innovation</w:t>
      </w:r>
      <w:bookmarkEnd w:id="33"/>
    </w:p>
    <w:p w14:paraId="5C9EB862" w14:textId="77777777" w:rsidR="003A24DB" w:rsidRPr="009D07E3" w:rsidRDefault="003A24DB" w:rsidP="003A24DB">
      <w:pPr>
        <w:rPr>
          <w:lang w:val="en-CA"/>
        </w:rPr>
      </w:pPr>
    </w:p>
    <w:p w14:paraId="57EC59AF" w14:textId="77777777" w:rsidR="00314660" w:rsidRPr="009D07E3" w:rsidRDefault="00314660" w:rsidP="00314660">
      <w:pPr>
        <w:rPr>
          <w:rFonts w:cs="Arial"/>
          <w:lang w:val="en-CA"/>
        </w:rPr>
      </w:pPr>
      <w:r w:rsidRPr="009D07E3">
        <w:rPr>
          <w:rFonts w:cs="Arial"/>
          <w:lang w:val="en-CA"/>
        </w:rPr>
        <w:t>MAMPU’s innovation framework has evolved through continuous learning during Phase One, and will be used as a means of embedding innovation across the program, primarily in tackling emerging priorities such as strengthening networks, developing future women leaders and improving the advocacy capacity of MAMPU partners. MAMPU will be supported in operationalizing the innovation framework by a private sector specialist organization. The innovation framework consists of the following pillars:</w:t>
      </w:r>
    </w:p>
    <w:p w14:paraId="50147D2A" w14:textId="77777777" w:rsidR="003A24DB" w:rsidRPr="009D07E3" w:rsidRDefault="003A24DB" w:rsidP="00314660">
      <w:pPr>
        <w:rPr>
          <w:rFonts w:cs="Arial"/>
          <w:lang w:val="en-CA"/>
        </w:rPr>
      </w:pPr>
    </w:p>
    <w:p w14:paraId="213976E0" w14:textId="77777777" w:rsidR="00314660" w:rsidRDefault="00314660" w:rsidP="00CE24C9">
      <w:pPr>
        <w:numPr>
          <w:ilvl w:val="0"/>
          <w:numId w:val="16"/>
        </w:numPr>
        <w:rPr>
          <w:rFonts w:cs="Arial"/>
          <w:lang w:val="en-CA"/>
        </w:rPr>
      </w:pPr>
      <w:r w:rsidRPr="009D07E3">
        <w:rPr>
          <w:rFonts w:cs="Arial"/>
          <w:b/>
          <w:bCs/>
          <w:lang w:val="en-CA"/>
        </w:rPr>
        <w:t>Horizon scanning</w:t>
      </w:r>
      <w:r w:rsidRPr="009D07E3">
        <w:rPr>
          <w:rFonts w:cs="Arial"/>
          <w:lang w:val="en-CA"/>
        </w:rPr>
        <w:t>: continuously looking for inspiring examples of good practice and innovative approaches from the development, public and private sectors both nationally and internationally as they relate to the key challenges identified by the program. This can help broaden the scope of potential solutions to be tested and identify new partners for collaboration.</w:t>
      </w:r>
    </w:p>
    <w:p w14:paraId="06B9BCCB" w14:textId="77777777" w:rsidR="005A0C8F" w:rsidRPr="009D07E3" w:rsidRDefault="005A0C8F" w:rsidP="00CE24C9">
      <w:pPr>
        <w:rPr>
          <w:rFonts w:cs="Arial"/>
          <w:lang w:val="en-CA"/>
        </w:rPr>
      </w:pPr>
    </w:p>
    <w:p w14:paraId="34924339" w14:textId="77777777" w:rsidR="00314660" w:rsidRDefault="00314660" w:rsidP="00CE24C9">
      <w:pPr>
        <w:numPr>
          <w:ilvl w:val="0"/>
          <w:numId w:val="16"/>
        </w:numPr>
        <w:rPr>
          <w:rFonts w:cs="Arial"/>
          <w:lang w:val="en-CA"/>
        </w:rPr>
      </w:pPr>
      <w:r w:rsidRPr="009D07E3">
        <w:rPr>
          <w:rFonts w:cs="Arial"/>
          <w:b/>
          <w:bCs/>
          <w:lang w:val="en-CA"/>
        </w:rPr>
        <w:t>Problem definition and assets mapping</w:t>
      </w:r>
      <w:r w:rsidRPr="009D07E3">
        <w:rPr>
          <w:rFonts w:cs="Arial"/>
          <w:lang w:val="en-CA"/>
        </w:rPr>
        <w:t>: articulating a clear problem definition through a series of progressive iterations and mapping local assets so as to identify local dynamics, communities and solutions that the program can tap into and enhance (rather than imposing a solution from the outside).</w:t>
      </w:r>
    </w:p>
    <w:p w14:paraId="1E8C689A" w14:textId="77777777" w:rsidR="005A0C8F" w:rsidRPr="009D07E3" w:rsidRDefault="005A0C8F" w:rsidP="00CE24C9">
      <w:pPr>
        <w:rPr>
          <w:rFonts w:cs="Arial"/>
          <w:lang w:val="en-CA"/>
        </w:rPr>
      </w:pPr>
    </w:p>
    <w:p w14:paraId="6A299EFF" w14:textId="77777777" w:rsidR="00314660" w:rsidRDefault="00314660" w:rsidP="00CE24C9">
      <w:pPr>
        <w:numPr>
          <w:ilvl w:val="0"/>
          <w:numId w:val="16"/>
        </w:numPr>
        <w:rPr>
          <w:rFonts w:cs="Arial"/>
          <w:lang w:val="en-CA"/>
        </w:rPr>
      </w:pPr>
      <w:r w:rsidRPr="009D07E3">
        <w:rPr>
          <w:rFonts w:cs="Arial"/>
          <w:b/>
          <w:bCs/>
          <w:lang w:val="en-CA"/>
        </w:rPr>
        <w:t>Hypotheses formulation and prototype testing:</w:t>
      </w:r>
      <w:r w:rsidRPr="009D07E3">
        <w:rPr>
          <w:rFonts w:cs="Arial"/>
          <w:lang w:val="en-CA"/>
        </w:rPr>
        <w:t> co-developing a series of low-cost, fail-safe experiments to be tested in the field in order to minimize risks, build programmatic agility and encouraging adoption by local communities.</w:t>
      </w:r>
    </w:p>
    <w:p w14:paraId="0B959FE9" w14:textId="77777777" w:rsidR="005A0C8F" w:rsidRPr="009D07E3" w:rsidRDefault="005A0C8F" w:rsidP="00CE24C9">
      <w:pPr>
        <w:rPr>
          <w:rFonts w:cs="Arial"/>
          <w:lang w:val="en-CA"/>
        </w:rPr>
      </w:pPr>
    </w:p>
    <w:p w14:paraId="59C58CCE" w14:textId="77777777" w:rsidR="00314660" w:rsidRDefault="00314660" w:rsidP="00CE24C9">
      <w:pPr>
        <w:numPr>
          <w:ilvl w:val="0"/>
          <w:numId w:val="16"/>
        </w:numPr>
        <w:rPr>
          <w:rFonts w:cs="Arial"/>
          <w:lang w:val="en-CA"/>
        </w:rPr>
      </w:pPr>
      <w:r w:rsidRPr="009D07E3">
        <w:rPr>
          <w:rFonts w:cs="Arial"/>
          <w:b/>
          <w:bCs/>
          <w:lang w:val="en-CA"/>
        </w:rPr>
        <w:t>Scaling and system change:</w:t>
      </w:r>
      <w:r w:rsidRPr="009D07E3">
        <w:rPr>
          <w:rFonts w:cs="Arial"/>
          <w:lang w:val="en-CA"/>
        </w:rPr>
        <w:t> the rigorous evaluation of the prototypes, together with the mapping of local dynamics will allow for the identification of opportunities for scaling context appropriate solutions and assessing their impact on different aspect of the system that MAMPU aims to change, be it, for instance, on tackling barriers to women’s employment or horizontal networking of partners.</w:t>
      </w:r>
    </w:p>
    <w:p w14:paraId="3CC37576" w14:textId="77777777" w:rsidR="00BE5978" w:rsidRPr="009D07E3" w:rsidRDefault="00BE5978" w:rsidP="00CD3849">
      <w:pPr>
        <w:rPr>
          <w:rFonts w:cs="Arial"/>
          <w:lang w:val="en-CA"/>
        </w:rPr>
      </w:pPr>
    </w:p>
    <w:p w14:paraId="55CB2929" w14:textId="77777777" w:rsidR="00BE5978" w:rsidRPr="009D07E3" w:rsidRDefault="00BE5978" w:rsidP="00BE5978">
      <w:pPr>
        <w:pStyle w:val="Heading3"/>
        <w:rPr>
          <w:lang w:val="en-CA"/>
        </w:rPr>
      </w:pPr>
      <w:bookmarkStart w:id="34" w:name="_Toc423438722"/>
      <w:r w:rsidRPr="009D07E3">
        <w:rPr>
          <w:lang w:val="en-CA"/>
        </w:rPr>
        <w:t>Building adaptive learning systems</w:t>
      </w:r>
      <w:bookmarkEnd w:id="34"/>
    </w:p>
    <w:p w14:paraId="6DF6F6FD" w14:textId="77777777" w:rsidR="00BE5978" w:rsidRPr="009D07E3" w:rsidRDefault="00BE5978" w:rsidP="00BE5978">
      <w:pPr>
        <w:rPr>
          <w:lang w:val="en-CA"/>
        </w:rPr>
      </w:pPr>
    </w:p>
    <w:p w14:paraId="366E33BC" w14:textId="77777777" w:rsidR="00BE5978" w:rsidRPr="009D07E3" w:rsidRDefault="00BE5978" w:rsidP="00BE5978">
      <w:pPr>
        <w:rPr>
          <w:rFonts w:cs="Arial"/>
          <w:lang w:val="en-CA"/>
        </w:rPr>
      </w:pPr>
      <w:r w:rsidRPr="009D07E3">
        <w:rPr>
          <w:rFonts w:cs="Arial"/>
          <w:lang w:val="en-CA"/>
        </w:rPr>
        <w:t>During Phase Two, MAMPU will increase the number of case studies commissioned. By using</w:t>
      </w:r>
      <w:r>
        <w:rPr>
          <w:rFonts w:cs="Arial"/>
          <w:lang w:val="en-CA"/>
        </w:rPr>
        <w:t xml:space="preserve"> </w:t>
      </w:r>
      <w:r w:rsidRPr="009D07E3">
        <w:rPr>
          <w:rFonts w:cs="Arial"/>
          <w:lang w:val="en-CA"/>
        </w:rPr>
        <w:t>qualitative</w:t>
      </w:r>
      <w:r>
        <w:rPr>
          <w:rFonts w:cs="Arial"/>
          <w:lang w:val="en-CA"/>
        </w:rPr>
        <w:t xml:space="preserve"> and </w:t>
      </w:r>
      <w:r w:rsidRPr="009D07E3">
        <w:rPr>
          <w:rFonts w:cs="Arial"/>
          <w:lang w:val="en-CA"/>
        </w:rPr>
        <w:t xml:space="preserve">comparative analysis, the partners can better understand why and how change happens. Areas of the program where this approach will be used include: understanding successful strategies for policy influence and understanding how to broaden the influence of partner organizational strengthening across mass-organisations (e.g. </w:t>
      </w:r>
      <w:proofErr w:type="spellStart"/>
      <w:r w:rsidRPr="009D07E3">
        <w:rPr>
          <w:rFonts w:cs="Arial"/>
          <w:lang w:val="en-CA"/>
        </w:rPr>
        <w:t>Aisyiyah</w:t>
      </w:r>
      <w:proofErr w:type="spellEnd"/>
      <w:r w:rsidRPr="009D07E3">
        <w:rPr>
          <w:rFonts w:cs="Arial"/>
          <w:lang w:val="en-CA"/>
        </w:rPr>
        <w:t xml:space="preserve"> and </w:t>
      </w:r>
      <w:proofErr w:type="spellStart"/>
      <w:r w:rsidRPr="009D07E3">
        <w:rPr>
          <w:rFonts w:cs="Arial"/>
          <w:lang w:val="en-CA"/>
        </w:rPr>
        <w:t>Muhammadiyah</w:t>
      </w:r>
      <w:proofErr w:type="spellEnd"/>
      <w:r w:rsidRPr="009D07E3">
        <w:rPr>
          <w:rFonts w:cs="Arial"/>
          <w:lang w:val="en-CA"/>
        </w:rPr>
        <w:t>).</w:t>
      </w:r>
    </w:p>
    <w:p w14:paraId="7D247714" w14:textId="77777777" w:rsidR="00B11CB6" w:rsidRPr="009D07E3" w:rsidRDefault="00B11CB6" w:rsidP="000A333F">
      <w:pPr>
        <w:widowControl w:val="0"/>
        <w:autoSpaceDE w:val="0"/>
        <w:autoSpaceDN w:val="0"/>
        <w:adjustRightInd w:val="0"/>
        <w:rPr>
          <w:rFonts w:cs="Arial"/>
          <w:lang w:val="en-CA"/>
        </w:rPr>
      </w:pPr>
    </w:p>
    <w:p w14:paraId="3A19EB41" w14:textId="6EB57CB4" w:rsidR="00B11CB6" w:rsidRDefault="00256F32" w:rsidP="008F281B">
      <w:pPr>
        <w:pStyle w:val="Heading2"/>
        <w:rPr>
          <w:lang w:val="en-CA"/>
        </w:rPr>
      </w:pPr>
      <w:bookmarkStart w:id="35" w:name="_Toc423438723"/>
      <w:r w:rsidRPr="009D07E3">
        <w:rPr>
          <w:lang w:val="en-CA"/>
        </w:rPr>
        <w:t xml:space="preserve">Testing </w:t>
      </w:r>
      <w:r w:rsidR="005A0C8F">
        <w:rPr>
          <w:lang w:val="en-CA"/>
        </w:rPr>
        <w:t>N</w:t>
      </w:r>
      <w:r w:rsidRPr="009D07E3">
        <w:rPr>
          <w:lang w:val="en-CA"/>
        </w:rPr>
        <w:t xml:space="preserve">ew </w:t>
      </w:r>
      <w:r w:rsidR="005A0C8F">
        <w:rPr>
          <w:lang w:val="en-CA"/>
        </w:rPr>
        <w:t>A</w:t>
      </w:r>
      <w:r w:rsidRPr="009D07E3">
        <w:rPr>
          <w:lang w:val="en-CA"/>
        </w:rPr>
        <w:t>pproaches</w:t>
      </w:r>
      <w:bookmarkEnd w:id="35"/>
      <w:r w:rsidRPr="009D07E3">
        <w:rPr>
          <w:lang w:val="en-CA"/>
        </w:rPr>
        <w:t xml:space="preserve"> </w:t>
      </w:r>
    </w:p>
    <w:p w14:paraId="0EDC9F92" w14:textId="2D02CD72" w:rsidR="00BE5978" w:rsidRDefault="00BE5978" w:rsidP="00BE5978"/>
    <w:p w14:paraId="5F905B70" w14:textId="56368940" w:rsidR="00BE5978" w:rsidRPr="00BE5978" w:rsidRDefault="00BE5978" w:rsidP="00BE5978">
      <w:r>
        <w:t>The following activities will commence on a small-scale starting with partners who have expressed a particular desire to intensify work in these areas.</w:t>
      </w:r>
    </w:p>
    <w:p w14:paraId="3C47AF02" w14:textId="77777777" w:rsidR="003A24DB" w:rsidRPr="009D07E3" w:rsidRDefault="003A24DB" w:rsidP="000A333F">
      <w:pPr>
        <w:rPr>
          <w:rFonts w:cs="Arial"/>
          <w:lang w:val="en-CA"/>
        </w:rPr>
      </w:pPr>
    </w:p>
    <w:p w14:paraId="681328AA" w14:textId="77777777" w:rsidR="00B11CB6" w:rsidRPr="009D07E3" w:rsidRDefault="00B11CB6" w:rsidP="00621DF6">
      <w:pPr>
        <w:pStyle w:val="Heading3"/>
        <w:rPr>
          <w:lang w:val="en-CA"/>
        </w:rPr>
      </w:pPr>
      <w:bookmarkStart w:id="36" w:name="_Toc423438724"/>
      <w:r w:rsidRPr="009D07E3">
        <w:rPr>
          <w:lang w:val="en-CA"/>
        </w:rPr>
        <w:t>Religious and customary leaders</w:t>
      </w:r>
      <w:bookmarkEnd w:id="36"/>
    </w:p>
    <w:p w14:paraId="2511B84B" w14:textId="77777777" w:rsidR="003A24DB" w:rsidRPr="009D07E3" w:rsidRDefault="003A24DB" w:rsidP="000A333F">
      <w:pPr>
        <w:rPr>
          <w:rFonts w:cs="Arial"/>
          <w:lang w:val="en-CA"/>
        </w:rPr>
      </w:pPr>
    </w:p>
    <w:p w14:paraId="420BF7FF" w14:textId="00C43C3B" w:rsidR="00B11CB6" w:rsidRPr="009D07E3" w:rsidRDefault="00B11CB6" w:rsidP="000A333F">
      <w:pPr>
        <w:rPr>
          <w:rFonts w:cs="Arial"/>
          <w:lang w:val="en-CA"/>
        </w:rPr>
      </w:pPr>
      <w:r w:rsidRPr="009D07E3">
        <w:rPr>
          <w:rFonts w:cs="Arial"/>
          <w:lang w:val="en-CA"/>
        </w:rPr>
        <w:t xml:space="preserve">Given the increasing influence of political Islam on national law and local bylaws, many of which constrain opportunities for women to flourish, MAMPU </w:t>
      </w:r>
      <w:r w:rsidR="007B368F">
        <w:rPr>
          <w:rFonts w:cs="Arial"/>
          <w:lang w:val="en-CA"/>
        </w:rPr>
        <w:t xml:space="preserve">would benefit from a </w:t>
      </w:r>
      <w:r w:rsidRPr="009D07E3">
        <w:rPr>
          <w:rFonts w:cs="Arial"/>
          <w:lang w:val="en-CA"/>
        </w:rPr>
        <w:t xml:space="preserve">strategic engagement plan for how to </w:t>
      </w:r>
      <w:r w:rsidR="005C02AF" w:rsidRPr="009D07E3">
        <w:rPr>
          <w:rFonts w:cs="Arial"/>
          <w:lang w:val="en-CA"/>
        </w:rPr>
        <w:t>influence</w:t>
      </w:r>
      <w:r w:rsidR="006145B1" w:rsidRPr="009D07E3">
        <w:rPr>
          <w:rFonts w:cs="Arial"/>
          <w:lang w:val="en-CA"/>
        </w:rPr>
        <w:t xml:space="preserve"> </w:t>
      </w:r>
      <w:r w:rsidRPr="009D07E3">
        <w:rPr>
          <w:rFonts w:cs="Arial"/>
          <w:lang w:val="en-CA"/>
        </w:rPr>
        <w:t xml:space="preserve">religious and customary leaders. MAMPU </w:t>
      </w:r>
      <w:r w:rsidR="00FE4FF4" w:rsidRPr="009D07E3">
        <w:rPr>
          <w:rFonts w:cs="Arial"/>
          <w:lang w:val="en-CA"/>
        </w:rPr>
        <w:t>recognizes</w:t>
      </w:r>
      <w:r w:rsidRPr="009D07E3">
        <w:rPr>
          <w:rFonts w:cs="Arial"/>
          <w:lang w:val="en-CA"/>
        </w:rPr>
        <w:t xml:space="preserve"> that legal reform is only part of the solution</w:t>
      </w:r>
      <w:r w:rsidR="00FE4FF4" w:rsidRPr="009D07E3">
        <w:rPr>
          <w:rFonts w:cs="Arial"/>
          <w:lang w:val="en-CA"/>
        </w:rPr>
        <w:t>,</w:t>
      </w:r>
      <w:r w:rsidRPr="009D07E3">
        <w:rPr>
          <w:rFonts w:cs="Arial"/>
          <w:lang w:val="en-CA"/>
        </w:rPr>
        <w:t xml:space="preserve"> but by identifying and working with certain religious and customary leaders and organisations, there is potential to influence both legal reform and social norms. MAMPU partners will be supported in conducting consultations with the main target groups and developing an engagement strategy.</w:t>
      </w:r>
    </w:p>
    <w:p w14:paraId="6FD0C17E" w14:textId="77777777" w:rsidR="00B11CB6" w:rsidRPr="009D07E3" w:rsidRDefault="00B11CB6" w:rsidP="000A333F">
      <w:pPr>
        <w:rPr>
          <w:rFonts w:cs="Arial"/>
          <w:lang w:val="en-CA"/>
        </w:rPr>
      </w:pPr>
    </w:p>
    <w:p w14:paraId="171B5E0C" w14:textId="548A0EB3" w:rsidR="00E80DC1" w:rsidRPr="009D07E3" w:rsidRDefault="00B11CB6" w:rsidP="000A333F">
      <w:pPr>
        <w:rPr>
          <w:rFonts w:cs="Arial"/>
          <w:lang w:val="en-CA"/>
        </w:rPr>
      </w:pPr>
      <w:r w:rsidRPr="009D07E3">
        <w:rPr>
          <w:rFonts w:cs="Arial"/>
          <w:lang w:val="en-CA"/>
        </w:rPr>
        <w:t>Possible partners include: </w:t>
      </w:r>
      <w:proofErr w:type="spellStart"/>
      <w:r w:rsidRPr="009D07E3">
        <w:rPr>
          <w:rFonts w:cs="Arial"/>
          <w:lang w:val="en-CA"/>
        </w:rPr>
        <w:t>Fatayat</w:t>
      </w:r>
      <w:proofErr w:type="spellEnd"/>
      <w:r w:rsidRPr="009D07E3">
        <w:rPr>
          <w:rFonts w:cs="Arial"/>
          <w:lang w:val="en-CA"/>
        </w:rPr>
        <w:t>/</w:t>
      </w:r>
      <w:proofErr w:type="spellStart"/>
      <w:r w:rsidRPr="009D07E3">
        <w:rPr>
          <w:rFonts w:cs="Arial"/>
          <w:lang w:val="en-CA"/>
        </w:rPr>
        <w:t>Muslimat</w:t>
      </w:r>
      <w:proofErr w:type="spellEnd"/>
      <w:r w:rsidRPr="009D07E3">
        <w:rPr>
          <w:rFonts w:cs="Arial"/>
          <w:lang w:val="en-CA"/>
        </w:rPr>
        <w:t xml:space="preserve"> NU who have good community networks at </w:t>
      </w:r>
      <w:r w:rsidR="00AD30C7" w:rsidRPr="009D07E3">
        <w:rPr>
          <w:rFonts w:cs="Arial"/>
          <w:lang w:val="en-CA"/>
        </w:rPr>
        <w:t xml:space="preserve">the </w:t>
      </w:r>
      <w:r w:rsidRPr="009D07E3">
        <w:rPr>
          <w:rFonts w:cs="Arial"/>
          <w:lang w:val="en-CA"/>
        </w:rPr>
        <w:t xml:space="preserve">village level and the </w:t>
      </w:r>
      <w:proofErr w:type="spellStart"/>
      <w:r w:rsidRPr="009D07E3">
        <w:rPr>
          <w:rFonts w:cs="Arial"/>
          <w:lang w:val="en-CA"/>
        </w:rPr>
        <w:t>Alimat</w:t>
      </w:r>
      <w:proofErr w:type="spellEnd"/>
      <w:r w:rsidRPr="009D07E3">
        <w:rPr>
          <w:rFonts w:cs="Arial"/>
          <w:lang w:val="en-CA"/>
        </w:rPr>
        <w:t xml:space="preserve"> network </w:t>
      </w:r>
      <w:r w:rsidR="005C02AF" w:rsidRPr="009D07E3">
        <w:rPr>
          <w:rFonts w:cs="Arial"/>
          <w:lang w:val="en-CA"/>
        </w:rPr>
        <w:t>that</w:t>
      </w:r>
      <w:r w:rsidRPr="009D07E3">
        <w:rPr>
          <w:rFonts w:cs="Arial"/>
          <w:lang w:val="en-CA"/>
        </w:rPr>
        <w:t xml:space="preserve"> conduct advocacy on women and Islam</w:t>
      </w:r>
      <w:r w:rsidR="00AD30C7" w:rsidRPr="009D07E3">
        <w:rPr>
          <w:rFonts w:cs="Arial"/>
          <w:lang w:val="en-CA"/>
        </w:rPr>
        <w:t>,</w:t>
      </w:r>
      <w:r w:rsidRPr="009D07E3">
        <w:rPr>
          <w:rFonts w:cs="Arial"/>
          <w:lang w:val="en-CA"/>
        </w:rPr>
        <w:t xml:space="preserve"> promoting a gender equality discourse.</w:t>
      </w:r>
    </w:p>
    <w:p w14:paraId="67917E8A" w14:textId="77777777" w:rsidR="003A24DB" w:rsidRPr="009D07E3" w:rsidRDefault="003A24DB" w:rsidP="000A333F">
      <w:pPr>
        <w:rPr>
          <w:rFonts w:cs="Arial"/>
          <w:lang w:val="en-CA"/>
        </w:rPr>
      </w:pPr>
    </w:p>
    <w:p w14:paraId="13E59842" w14:textId="5AF721CA" w:rsidR="00E80DC1" w:rsidRPr="009D07E3" w:rsidRDefault="00CE2CF2" w:rsidP="00E80DC1">
      <w:pPr>
        <w:pStyle w:val="Heading3"/>
        <w:rPr>
          <w:lang w:val="en-CA"/>
        </w:rPr>
      </w:pPr>
      <w:bookmarkStart w:id="37" w:name="_Toc423438725"/>
      <w:r w:rsidRPr="009D07E3">
        <w:rPr>
          <w:lang w:val="en-CA"/>
        </w:rPr>
        <w:t>Challenging discrimin</w:t>
      </w:r>
      <w:r w:rsidR="00E80DC1" w:rsidRPr="009D07E3">
        <w:rPr>
          <w:lang w:val="en-CA"/>
        </w:rPr>
        <w:t>atory laws and bylaws</w:t>
      </w:r>
      <w:bookmarkEnd w:id="37"/>
    </w:p>
    <w:p w14:paraId="53B063B3" w14:textId="77777777" w:rsidR="003A24DB" w:rsidRPr="009D07E3" w:rsidRDefault="003A24DB" w:rsidP="00621DF6">
      <w:pPr>
        <w:widowControl w:val="0"/>
        <w:autoSpaceDE w:val="0"/>
        <w:autoSpaceDN w:val="0"/>
        <w:adjustRightInd w:val="0"/>
        <w:rPr>
          <w:rFonts w:cs="Arial"/>
          <w:lang w:val="en-CA"/>
        </w:rPr>
      </w:pPr>
    </w:p>
    <w:p w14:paraId="08A9B191" w14:textId="49F49F41" w:rsidR="00B11CB6" w:rsidRDefault="007B368F" w:rsidP="00621DF6">
      <w:pPr>
        <w:widowControl w:val="0"/>
        <w:autoSpaceDE w:val="0"/>
        <w:autoSpaceDN w:val="0"/>
        <w:adjustRightInd w:val="0"/>
        <w:rPr>
          <w:rFonts w:cs="Arial"/>
          <w:lang w:val="en-CA"/>
        </w:rPr>
      </w:pPr>
      <w:r>
        <w:rPr>
          <w:rFonts w:cs="Arial"/>
          <w:lang w:val="en-CA"/>
        </w:rPr>
        <w:t>During Phase 2</w:t>
      </w:r>
      <w:r w:rsidR="00E80DC1" w:rsidRPr="009D07E3">
        <w:rPr>
          <w:rFonts w:cs="Arial"/>
          <w:lang w:val="en-CA"/>
        </w:rPr>
        <w:t>, MAMPU will support increased engagement with the Judiciary as a means to address discriminatory laws, bylaws and sub-national regulations which violate women’s rights concerning free expression, social ident</w:t>
      </w:r>
      <w:r w:rsidR="0007195D">
        <w:rPr>
          <w:rFonts w:cs="Arial"/>
          <w:lang w:val="en-CA"/>
        </w:rPr>
        <w:t>ity and work. These efforts</w:t>
      </w:r>
      <w:r w:rsidR="00E80DC1" w:rsidRPr="009D07E3">
        <w:rPr>
          <w:rFonts w:cs="Arial"/>
          <w:lang w:val="en-CA"/>
        </w:rPr>
        <w:t xml:space="preserve"> primarily</w:t>
      </w:r>
      <w:r w:rsidR="0007195D">
        <w:rPr>
          <w:rFonts w:cs="Arial"/>
          <w:lang w:val="en-CA"/>
        </w:rPr>
        <w:t xml:space="preserve"> will</w:t>
      </w:r>
      <w:r w:rsidR="00E80DC1" w:rsidRPr="009D07E3">
        <w:rPr>
          <w:rFonts w:cs="Arial"/>
          <w:lang w:val="en-CA"/>
        </w:rPr>
        <w:t xml:space="preserve"> be undertak</w:t>
      </w:r>
      <w:r w:rsidR="0007195D">
        <w:rPr>
          <w:rFonts w:cs="Arial"/>
          <w:lang w:val="en-CA"/>
        </w:rPr>
        <w:t xml:space="preserve">en by </w:t>
      </w:r>
      <w:proofErr w:type="spellStart"/>
      <w:r w:rsidR="0007195D">
        <w:rPr>
          <w:rFonts w:cs="Arial"/>
          <w:lang w:val="en-CA"/>
        </w:rPr>
        <w:t>Komnas</w:t>
      </w:r>
      <w:proofErr w:type="spellEnd"/>
      <w:r w:rsidR="0007195D">
        <w:rPr>
          <w:rFonts w:cs="Arial"/>
          <w:lang w:val="en-CA"/>
        </w:rPr>
        <w:t xml:space="preserve"> </w:t>
      </w:r>
      <w:proofErr w:type="spellStart"/>
      <w:r w:rsidR="0007195D">
        <w:rPr>
          <w:rFonts w:cs="Arial"/>
          <w:lang w:val="en-CA"/>
        </w:rPr>
        <w:t>Perempuan</w:t>
      </w:r>
      <w:proofErr w:type="spellEnd"/>
      <w:r w:rsidR="0007195D">
        <w:rPr>
          <w:rFonts w:cs="Arial"/>
          <w:lang w:val="en-CA"/>
        </w:rPr>
        <w:t xml:space="preserve"> and its</w:t>
      </w:r>
      <w:r w:rsidR="00910A8D">
        <w:rPr>
          <w:rFonts w:cs="Arial"/>
          <w:lang w:val="en-CA"/>
        </w:rPr>
        <w:t xml:space="preserve"> local partners using its</w:t>
      </w:r>
      <w:r w:rsidR="00E80DC1" w:rsidRPr="009D07E3">
        <w:rPr>
          <w:rFonts w:cs="Arial"/>
          <w:lang w:val="en-CA"/>
        </w:rPr>
        <w:t xml:space="preserve"> mandate as a national commission to ensure action is taken when regulations are contravened. Although MAMPU does not propose redirecting significant resources in this area, utilising the presence of </w:t>
      </w:r>
      <w:proofErr w:type="spellStart"/>
      <w:r w:rsidR="00E80DC1" w:rsidRPr="009D07E3">
        <w:rPr>
          <w:rFonts w:cs="Arial"/>
          <w:lang w:val="en-CA"/>
        </w:rPr>
        <w:t>Komnas</w:t>
      </w:r>
      <w:proofErr w:type="spellEnd"/>
      <w:r w:rsidR="00E80DC1" w:rsidRPr="009D07E3">
        <w:rPr>
          <w:rFonts w:cs="Arial"/>
          <w:lang w:val="en-CA"/>
        </w:rPr>
        <w:t xml:space="preserve"> </w:t>
      </w:r>
      <w:proofErr w:type="spellStart"/>
      <w:r w:rsidR="00E80DC1" w:rsidRPr="009D07E3">
        <w:rPr>
          <w:rFonts w:cs="Arial"/>
          <w:lang w:val="en-CA"/>
        </w:rPr>
        <w:t>Perempuan</w:t>
      </w:r>
      <w:proofErr w:type="spellEnd"/>
      <w:r w:rsidR="00E80DC1" w:rsidRPr="009D07E3">
        <w:rPr>
          <w:rFonts w:cs="Arial"/>
          <w:lang w:val="en-CA"/>
        </w:rPr>
        <w:t xml:space="preserve"> as a MAMPU partner provides an opportunity to complement and enhance policy influence efforts across the program.</w:t>
      </w:r>
    </w:p>
    <w:p w14:paraId="4A6B8720" w14:textId="77777777" w:rsidR="008D23C1" w:rsidRDefault="008D23C1" w:rsidP="00621DF6">
      <w:pPr>
        <w:widowControl w:val="0"/>
        <w:autoSpaceDE w:val="0"/>
        <w:autoSpaceDN w:val="0"/>
        <w:adjustRightInd w:val="0"/>
        <w:rPr>
          <w:rFonts w:cs="Arial"/>
          <w:lang w:val="en-CA"/>
        </w:rPr>
      </w:pPr>
    </w:p>
    <w:p w14:paraId="1A2BC12D" w14:textId="77777777" w:rsidR="008D23C1" w:rsidRPr="009D07E3" w:rsidRDefault="008D23C1" w:rsidP="00621DF6">
      <w:pPr>
        <w:widowControl w:val="0"/>
        <w:autoSpaceDE w:val="0"/>
        <w:autoSpaceDN w:val="0"/>
        <w:adjustRightInd w:val="0"/>
        <w:rPr>
          <w:rFonts w:cs="Arial"/>
          <w:lang w:val="en-CA"/>
        </w:rPr>
      </w:pPr>
    </w:p>
    <w:p w14:paraId="30EDB5A0" w14:textId="77777777" w:rsidR="003A24DB" w:rsidRPr="009D07E3" w:rsidRDefault="003A24DB" w:rsidP="00621DF6">
      <w:pPr>
        <w:widowControl w:val="0"/>
        <w:autoSpaceDE w:val="0"/>
        <w:autoSpaceDN w:val="0"/>
        <w:adjustRightInd w:val="0"/>
        <w:rPr>
          <w:rFonts w:cs="Arial"/>
          <w:lang w:val="en-CA"/>
        </w:rPr>
      </w:pPr>
    </w:p>
    <w:p w14:paraId="710DCA6F" w14:textId="77777777" w:rsidR="00B11CB6" w:rsidRPr="009D07E3" w:rsidRDefault="00B11CB6" w:rsidP="00621DF6">
      <w:pPr>
        <w:pStyle w:val="Heading3"/>
        <w:rPr>
          <w:lang w:val="en-CA"/>
        </w:rPr>
      </w:pPr>
      <w:bookmarkStart w:id="38" w:name="_Toc423438726"/>
      <w:r w:rsidRPr="009D07E3">
        <w:rPr>
          <w:lang w:val="en-CA"/>
        </w:rPr>
        <w:t>Engaging men as agents of empowerment</w:t>
      </w:r>
      <w:bookmarkEnd w:id="38"/>
    </w:p>
    <w:p w14:paraId="0CECCB65" w14:textId="77777777" w:rsidR="003A24DB" w:rsidRPr="009D07E3" w:rsidRDefault="003A24DB" w:rsidP="000A333F">
      <w:pPr>
        <w:rPr>
          <w:rFonts w:cs="Arial"/>
          <w:lang w:val="en-CA"/>
        </w:rPr>
      </w:pPr>
    </w:p>
    <w:p w14:paraId="391BFE75" w14:textId="3209E463" w:rsidR="00B11CB6" w:rsidRPr="009D07E3" w:rsidRDefault="00B11CB6" w:rsidP="000A333F">
      <w:pPr>
        <w:rPr>
          <w:rFonts w:cs="Arial"/>
          <w:lang w:val="en-CA"/>
        </w:rPr>
      </w:pPr>
      <w:r w:rsidRPr="009D07E3">
        <w:rPr>
          <w:rFonts w:cs="Arial"/>
          <w:lang w:val="en-CA"/>
        </w:rPr>
        <w:t xml:space="preserve">When men are engaged in the process of empowerment, they can understand how equality in the home and the workplace is the foundation for a form of prosperity that enhances the opportunity for men and boys to </w:t>
      </w:r>
      <w:r w:rsidR="00362C84" w:rsidRPr="009D07E3">
        <w:rPr>
          <w:rFonts w:cs="Arial"/>
          <w:lang w:val="en-CA"/>
        </w:rPr>
        <w:t>realize</w:t>
      </w:r>
      <w:r w:rsidRPr="009D07E3">
        <w:rPr>
          <w:rFonts w:cs="Arial"/>
          <w:lang w:val="en-CA"/>
        </w:rPr>
        <w:t xml:space="preserve"> their potential. The second phase is the right time for MAMPU to engage with men as the necessary counterpart for sustainable change in the way women are treated in the home, the workplace and the public space. Partners have identified initiatives to engage with men on issues such as sexual and reproductive rights, and maternal mortality.</w:t>
      </w:r>
    </w:p>
    <w:p w14:paraId="7039ADE3" w14:textId="77777777" w:rsidR="00B11CB6" w:rsidRPr="009D07E3" w:rsidRDefault="00B11CB6" w:rsidP="000A333F">
      <w:pPr>
        <w:rPr>
          <w:rFonts w:cs="Arial"/>
          <w:lang w:val="en-CA"/>
        </w:rPr>
      </w:pPr>
    </w:p>
    <w:p w14:paraId="01FDAB58" w14:textId="572D750D" w:rsidR="00B11CB6" w:rsidRPr="009D07E3" w:rsidRDefault="00B11CB6" w:rsidP="000A333F">
      <w:pPr>
        <w:rPr>
          <w:rFonts w:cs="Arial"/>
          <w:lang w:val="en-CA"/>
        </w:rPr>
      </w:pPr>
      <w:r w:rsidRPr="009D07E3">
        <w:rPr>
          <w:rFonts w:cs="Arial"/>
          <w:lang w:val="en-CA"/>
        </w:rPr>
        <w:t>However, careful planning will be needed to enhance the effectiveness of engaging with men, and to ensure including this activity will not divert resources away from poor women.  MAMPU will conduct social analys</w:t>
      </w:r>
      <w:r w:rsidR="00362C84" w:rsidRPr="009D07E3">
        <w:rPr>
          <w:rFonts w:cs="Arial"/>
          <w:lang w:val="en-CA"/>
        </w:rPr>
        <w:t>e</w:t>
      </w:r>
      <w:r w:rsidRPr="009D07E3">
        <w:rPr>
          <w:rFonts w:cs="Arial"/>
          <w:lang w:val="en-CA"/>
        </w:rPr>
        <w:t xml:space="preserve">s to identify and better understand power relations between men and </w:t>
      </w:r>
      <w:proofErr w:type="gramStart"/>
      <w:r w:rsidRPr="009D07E3">
        <w:rPr>
          <w:rFonts w:cs="Arial"/>
          <w:lang w:val="en-CA"/>
        </w:rPr>
        <w:t>women,</w:t>
      </w:r>
      <w:proofErr w:type="gramEnd"/>
      <w:r w:rsidRPr="009D07E3">
        <w:rPr>
          <w:rFonts w:cs="Arial"/>
          <w:lang w:val="en-CA"/>
        </w:rPr>
        <w:t xml:space="preserve"> identify constraints, select and test possible solutions.  </w:t>
      </w:r>
    </w:p>
    <w:p w14:paraId="7D7AEF42" w14:textId="77777777" w:rsidR="00B11CB6" w:rsidRPr="009D07E3" w:rsidRDefault="00B11CB6" w:rsidP="000A333F">
      <w:pPr>
        <w:rPr>
          <w:rFonts w:cs="Arial"/>
          <w:lang w:val="en-CA"/>
        </w:rPr>
      </w:pPr>
    </w:p>
    <w:p w14:paraId="7BA30477" w14:textId="77777777" w:rsidR="00B11CB6" w:rsidRPr="009D07E3" w:rsidRDefault="00B11CB6" w:rsidP="00302B23">
      <w:pPr>
        <w:pStyle w:val="Heading3"/>
      </w:pPr>
      <w:bookmarkStart w:id="39" w:name="_Toc423438727"/>
      <w:r w:rsidRPr="009D07E3">
        <w:t>Expanding into Papua</w:t>
      </w:r>
      <w:bookmarkEnd w:id="39"/>
    </w:p>
    <w:p w14:paraId="7343A25A" w14:textId="77777777" w:rsidR="003A24DB" w:rsidRPr="009D07E3" w:rsidRDefault="003A24DB" w:rsidP="003A24DB">
      <w:pPr>
        <w:rPr>
          <w:lang w:val="en-CA"/>
        </w:rPr>
      </w:pPr>
    </w:p>
    <w:p w14:paraId="37EF3D99" w14:textId="1B9E9A11" w:rsidR="00B11CB6" w:rsidRDefault="00B11CB6" w:rsidP="000A333F">
      <w:pPr>
        <w:rPr>
          <w:rFonts w:cs="Arial"/>
          <w:lang w:val="en-CA"/>
        </w:rPr>
      </w:pPr>
      <w:r w:rsidRPr="009D07E3">
        <w:rPr>
          <w:rFonts w:cs="Arial"/>
          <w:lang w:val="en-CA"/>
        </w:rPr>
        <w:t xml:space="preserve">Papua and Papua Barat were the only provinces to be given their own special section by BAPPENAS in the medium term national development plan (RPJMN). By </w:t>
      </w:r>
      <w:r w:rsidR="007B368F">
        <w:rPr>
          <w:rFonts w:cs="Arial"/>
          <w:lang w:val="en-CA"/>
        </w:rPr>
        <w:t>Phase 2</w:t>
      </w:r>
      <w:r w:rsidR="00720720" w:rsidRPr="009D07E3">
        <w:rPr>
          <w:rFonts w:cs="Arial"/>
          <w:lang w:val="en-CA"/>
        </w:rPr>
        <w:t>,</w:t>
      </w:r>
      <w:r w:rsidRPr="009D07E3">
        <w:rPr>
          <w:rFonts w:cs="Arial"/>
          <w:lang w:val="en-CA"/>
        </w:rPr>
        <w:t xml:space="preserve"> MAMPU’s Papua Working Group will have co-designed a strategy that includes appropriate entry points for MAMPU to have a meaningful contribution to address the needs of poor women in Papu</w:t>
      </w:r>
      <w:r w:rsidR="005C02AF" w:rsidRPr="009D07E3">
        <w:rPr>
          <w:rFonts w:cs="Arial"/>
          <w:lang w:val="en-CA"/>
        </w:rPr>
        <w:t xml:space="preserve">a. This will take into account </w:t>
      </w:r>
      <w:r w:rsidR="008D23C1">
        <w:rPr>
          <w:rFonts w:cs="Arial"/>
          <w:lang w:val="en-CA"/>
        </w:rPr>
        <w:t xml:space="preserve">that </w:t>
      </w:r>
      <w:r w:rsidRPr="009D07E3">
        <w:rPr>
          <w:rFonts w:cs="Arial"/>
          <w:lang w:val="en-CA"/>
        </w:rPr>
        <w:t>MAMPU’s current strategy of w</w:t>
      </w:r>
      <w:r w:rsidR="005C02AF" w:rsidRPr="009D07E3">
        <w:rPr>
          <w:rFonts w:cs="Arial"/>
          <w:lang w:val="en-CA"/>
        </w:rPr>
        <w:t>orking through women and gender-</w:t>
      </w:r>
      <w:r w:rsidRPr="009D07E3">
        <w:rPr>
          <w:rFonts w:cs="Arial"/>
          <w:lang w:val="en-CA"/>
        </w:rPr>
        <w:t>interested organisations on the five thematic areas may not be appropriate as entry points to work in Papua.</w:t>
      </w:r>
      <w:r w:rsidR="0009135B" w:rsidRPr="009D07E3">
        <w:rPr>
          <w:rFonts w:cs="Arial"/>
          <w:lang w:val="en-CA"/>
        </w:rPr>
        <w:t xml:space="preserve">  </w:t>
      </w:r>
    </w:p>
    <w:p w14:paraId="609A7852" w14:textId="77777777" w:rsidR="00015FB5" w:rsidRDefault="00015FB5" w:rsidP="000A333F">
      <w:pPr>
        <w:rPr>
          <w:rFonts w:cs="Arial"/>
          <w:lang w:val="en-CA"/>
        </w:rPr>
      </w:pPr>
    </w:p>
    <w:p w14:paraId="2106C2AC" w14:textId="0DABFDAD" w:rsidR="00015FB5" w:rsidRDefault="00015FB5" w:rsidP="00015FB5">
      <w:pPr>
        <w:pStyle w:val="Heading3"/>
      </w:pPr>
      <w:bookmarkStart w:id="40" w:name="_Toc423438728"/>
      <w:r>
        <w:t>Homeworkers: the invisible worker bees of Indonesia’s economy</w:t>
      </w:r>
      <w:bookmarkEnd w:id="40"/>
    </w:p>
    <w:p w14:paraId="4CA5BF62" w14:textId="77777777" w:rsidR="00015FB5" w:rsidRDefault="00015FB5" w:rsidP="00015FB5"/>
    <w:p w14:paraId="0BC87B8F" w14:textId="363044EC" w:rsidR="00CA4238" w:rsidRDefault="00015FB5" w:rsidP="000A333F">
      <w:r>
        <w:t>MAMPU will specify specific industries (e.g. garment, footwear) and develop various models to test small-scale approaches to support homeworkers working within value chains that bridge the formal and informal sectors.</w:t>
      </w:r>
    </w:p>
    <w:p w14:paraId="227BDE1B" w14:textId="77777777" w:rsidR="00015FB5" w:rsidRPr="009D07E3" w:rsidRDefault="00015FB5" w:rsidP="000A333F">
      <w:pPr>
        <w:rPr>
          <w:rFonts w:cs="Arial"/>
          <w:lang w:val="en-CA"/>
        </w:rPr>
      </w:pPr>
    </w:p>
    <w:p w14:paraId="344743F4" w14:textId="678BA37C" w:rsidR="0035508C" w:rsidRDefault="0035508C" w:rsidP="008F281B">
      <w:pPr>
        <w:pStyle w:val="Heading2"/>
        <w:rPr>
          <w:lang w:val="en-CA"/>
        </w:rPr>
      </w:pPr>
      <w:bookmarkStart w:id="41" w:name="_Toc423438729"/>
      <w:r w:rsidRPr="009D07E3">
        <w:rPr>
          <w:lang w:val="en-CA"/>
        </w:rPr>
        <w:t>On-</w:t>
      </w:r>
      <w:r w:rsidR="005D2D56">
        <w:rPr>
          <w:lang w:val="en-CA"/>
        </w:rPr>
        <w:t>G</w:t>
      </w:r>
      <w:r w:rsidRPr="009D07E3">
        <w:rPr>
          <w:lang w:val="en-CA"/>
        </w:rPr>
        <w:t xml:space="preserve">oing and </w:t>
      </w:r>
      <w:r w:rsidR="005D2D56">
        <w:rPr>
          <w:lang w:val="en-CA"/>
        </w:rPr>
        <w:t>P</w:t>
      </w:r>
      <w:r w:rsidRPr="009D07E3">
        <w:rPr>
          <w:lang w:val="en-CA"/>
        </w:rPr>
        <w:t xml:space="preserve">otential </w:t>
      </w:r>
      <w:r w:rsidR="005D2D56">
        <w:rPr>
          <w:lang w:val="en-CA"/>
        </w:rPr>
        <w:t>C</w:t>
      </w:r>
      <w:r w:rsidRPr="009D07E3">
        <w:rPr>
          <w:lang w:val="en-CA"/>
        </w:rPr>
        <w:t xml:space="preserve">ollaboration with </w:t>
      </w:r>
      <w:r w:rsidR="005D2D56">
        <w:rPr>
          <w:lang w:val="en-CA"/>
        </w:rPr>
        <w:t>P</w:t>
      </w:r>
      <w:r w:rsidRPr="009D07E3">
        <w:rPr>
          <w:lang w:val="en-CA"/>
        </w:rPr>
        <w:t>rograms in AIP</w:t>
      </w:r>
      <w:bookmarkEnd w:id="41"/>
    </w:p>
    <w:p w14:paraId="0F1421BD" w14:textId="77777777" w:rsidR="0035508C" w:rsidRDefault="0035508C" w:rsidP="0035508C">
      <w:pPr>
        <w:rPr>
          <w:b/>
          <w:lang w:val="en-CA"/>
        </w:rPr>
      </w:pPr>
    </w:p>
    <w:p w14:paraId="59B1C1B6" w14:textId="77777777" w:rsidR="007B368F" w:rsidRDefault="007B368F" w:rsidP="0035508C">
      <w:pPr>
        <w:rPr>
          <w:b/>
          <w:lang w:val="en-CA"/>
        </w:rPr>
      </w:pPr>
    </w:p>
    <w:tbl>
      <w:tblPr>
        <w:tblStyle w:val="TableGrid"/>
        <w:tblW w:w="0" w:type="auto"/>
        <w:shd w:val="clear" w:color="auto" w:fill="C6D9F1" w:themeFill="text2" w:themeFillTint="33"/>
        <w:tblLook w:val="04A0" w:firstRow="1" w:lastRow="0" w:firstColumn="1" w:lastColumn="0" w:noHBand="0" w:noVBand="1"/>
      </w:tblPr>
      <w:tblGrid>
        <w:gridCol w:w="9029"/>
      </w:tblGrid>
      <w:tr w:rsidR="001F32C3" w:rsidRPr="001F32C3" w14:paraId="0C9A47DD" w14:textId="77777777" w:rsidTr="009922FE">
        <w:tc>
          <w:tcPr>
            <w:tcW w:w="9029" w:type="dxa"/>
            <w:tcBorders>
              <w:bottom w:val="nil"/>
            </w:tcBorders>
            <w:shd w:val="clear" w:color="auto" w:fill="C6D9F1" w:themeFill="text2" w:themeFillTint="33"/>
          </w:tcPr>
          <w:p w14:paraId="7243BE8E" w14:textId="77777777" w:rsidR="001F32C3" w:rsidRPr="009D07E3" w:rsidRDefault="001F32C3" w:rsidP="00CE24C9">
            <w:pPr>
              <w:spacing w:before="120" w:after="60"/>
              <w:rPr>
                <w:b/>
                <w:lang w:val="en-CA"/>
              </w:rPr>
            </w:pPr>
            <w:r w:rsidRPr="009D07E3">
              <w:rPr>
                <w:b/>
                <w:lang w:val="en-CA"/>
              </w:rPr>
              <w:t>KOMPAK</w:t>
            </w:r>
          </w:p>
          <w:p w14:paraId="2BF243C0" w14:textId="43ED5196" w:rsidR="001F32C3" w:rsidRPr="009D07E3" w:rsidRDefault="001F32C3" w:rsidP="00CE24C9">
            <w:pPr>
              <w:pStyle w:val="ListParagraph"/>
              <w:numPr>
                <w:ilvl w:val="0"/>
                <w:numId w:val="11"/>
              </w:numPr>
              <w:spacing w:after="60"/>
              <w:ind w:left="274" w:hanging="288"/>
              <w:contextualSpacing w:val="0"/>
              <w:rPr>
                <w:lang w:val="en-CA"/>
              </w:rPr>
            </w:pPr>
            <w:r w:rsidRPr="009D07E3">
              <w:rPr>
                <w:lang w:val="en-CA"/>
              </w:rPr>
              <w:t xml:space="preserve">Socialisation of UU </w:t>
            </w:r>
            <w:proofErr w:type="spellStart"/>
            <w:r w:rsidRPr="009D07E3">
              <w:rPr>
                <w:lang w:val="en-CA"/>
              </w:rPr>
              <w:t>Desa</w:t>
            </w:r>
            <w:proofErr w:type="spellEnd"/>
            <w:r w:rsidRPr="009D07E3">
              <w:rPr>
                <w:lang w:val="en-CA"/>
              </w:rPr>
              <w:t xml:space="preserve"> has already begun through MAMP</w:t>
            </w:r>
            <w:r w:rsidR="00B9145E">
              <w:rPr>
                <w:lang w:val="en-CA"/>
              </w:rPr>
              <w:t>U’s networks</w:t>
            </w:r>
            <w:r w:rsidR="003B581E">
              <w:rPr>
                <w:lang w:val="en-CA"/>
              </w:rPr>
              <w:t>.</w:t>
            </w:r>
            <w:r w:rsidR="00B9145E">
              <w:rPr>
                <w:lang w:val="en-CA"/>
              </w:rPr>
              <w:t xml:space="preserve"> </w:t>
            </w:r>
            <w:r w:rsidR="003B581E">
              <w:rPr>
                <w:lang w:val="en-CA"/>
              </w:rPr>
              <w:t>F</w:t>
            </w:r>
            <w:r w:rsidR="00B9145E">
              <w:rPr>
                <w:lang w:val="en-CA"/>
              </w:rPr>
              <w:t>or example, KOMPA</w:t>
            </w:r>
            <w:r w:rsidRPr="009D07E3">
              <w:rPr>
                <w:lang w:val="en-CA"/>
              </w:rPr>
              <w:t>K has distributed materials to MAMPU partners for use with local government and communities. As KOMPAK evolves, more opportunities for collaboration will emerge, for example supporting women’s increased civic participation and decision-making concerning how the village grants are used.</w:t>
            </w:r>
          </w:p>
          <w:p w14:paraId="081DE177" w14:textId="77777777" w:rsidR="001F32C3" w:rsidRPr="009D07E3" w:rsidRDefault="001F32C3" w:rsidP="00CE24C9">
            <w:pPr>
              <w:pStyle w:val="ListParagraph"/>
              <w:numPr>
                <w:ilvl w:val="0"/>
                <w:numId w:val="11"/>
              </w:numPr>
              <w:spacing w:after="60"/>
              <w:ind w:left="274" w:hanging="288"/>
              <w:contextualSpacing w:val="0"/>
              <w:rPr>
                <w:lang w:val="en-CA"/>
              </w:rPr>
            </w:pPr>
            <w:r w:rsidRPr="009D07E3">
              <w:rPr>
                <w:lang w:val="en-CA"/>
              </w:rPr>
              <w:t xml:space="preserve">By working with KOMPAK’s Creative Communities, MAMPU partners will test new approaches for addressing sensitive and challenging topics with communities through art media. </w:t>
            </w:r>
          </w:p>
          <w:p w14:paraId="7D5F34FE" w14:textId="77777777" w:rsidR="001F32C3" w:rsidRPr="009D07E3" w:rsidRDefault="001F32C3" w:rsidP="001F32C3">
            <w:pPr>
              <w:pStyle w:val="ListParagraph"/>
              <w:numPr>
                <w:ilvl w:val="0"/>
                <w:numId w:val="11"/>
              </w:numPr>
              <w:ind w:left="284" w:hanging="294"/>
              <w:rPr>
                <w:lang w:val="en-CA"/>
              </w:rPr>
            </w:pPr>
            <w:r w:rsidRPr="009D07E3">
              <w:rPr>
                <w:lang w:val="en-CA"/>
              </w:rPr>
              <w:t>At least one joint venture around establishing childcare provision for poor women is being designed. This will include testing the hypothesis that providing these services leads to increased access to employment.</w:t>
            </w:r>
          </w:p>
          <w:p w14:paraId="3A55E761" w14:textId="77777777" w:rsidR="001F32C3" w:rsidRPr="00CE24C9" w:rsidRDefault="001F32C3" w:rsidP="0035508C">
            <w:pPr>
              <w:rPr>
                <w:lang w:val="en-CA"/>
              </w:rPr>
            </w:pPr>
          </w:p>
        </w:tc>
      </w:tr>
      <w:tr w:rsidR="001F32C3" w:rsidRPr="001F32C3" w14:paraId="0AB849A8" w14:textId="77777777" w:rsidTr="009922FE">
        <w:tc>
          <w:tcPr>
            <w:tcW w:w="9029" w:type="dxa"/>
            <w:tcBorders>
              <w:top w:val="nil"/>
              <w:bottom w:val="nil"/>
            </w:tcBorders>
            <w:shd w:val="clear" w:color="auto" w:fill="C6D9F1" w:themeFill="text2" w:themeFillTint="33"/>
          </w:tcPr>
          <w:p w14:paraId="65F43BC1" w14:textId="77777777" w:rsidR="001F32C3" w:rsidRPr="009D07E3" w:rsidRDefault="001F32C3" w:rsidP="00CE24C9">
            <w:pPr>
              <w:spacing w:after="60"/>
              <w:rPr>
                <w:rFonts w:cs="Helvetica"/>
                <w:lang w:val="en-CA"/>
              </w:rPr>
            </w:pPr>
            <w:r w:rsidRPr="009D07E3">
              <w:rPr>
                <w:rFonts w:cs="Helvetica"/>
                <w:b/>
                <w:bCs/>
                <w:lang w:val="en-CA"/>
              </w:rPr>
              <w:t>Australia Awards Program (AAP)</w:t>
            </w:r>
          </w:p>
          <w:p w14:paraId="65A536F9" w14:textId="326B26C6" w:rsidR="001F32C3" w:rsidRPr="009D07E3" w:rsidRDefault="001F32C3" w:rsidP="00CE24C9">
            <w:pPr>
              <w:pStyle w:val="ListParagraph"/>
              <w:numPr>
                <w:ilvl w:val="0"/>
                <w:numId w:val="10"/>
              </w:numPr>
              <w:spacing w:after="60"/>
              <w:ind w:left="274" w:hanging="288"/>
              <w:contextualSpacing w:val="0"/>
              <w:rPr>
                <w:rFonts w:cs="Helvetica"/>
                <w:lang w:val="en-CA"/>
              </w:rPr>
            </w:pPr>
            <w:r w:rsidRPr="009D07E3">
              <w:rPr>
                <w:rFonts w:cs="Helvetica"/>
                <w:lang w:val="en-CA"/>
              </w:rPr>
              <w:t>Coordinate with AAP to explore ways to maximize the untapped potential of DFAT’s alumnae database (may be alumnae in positions of influence within government and the private sector)</w:t>
            </w:r>
            <w:r w:rsidR="002336B0">
              <w:rPr>
                <w:rFonts w:cs="Helvetica"/>
                <w:lang w:val="en-CA"/>
              </w:rPr>
              <w:t>.</w:t>
            </w:r>
          </w:p>
          <w:p w14:paraId="0E3AE2D3" w14:textId="5175E1AC" w:rsidR="001F32C3" w:rsidRPr="009D07E3" w:rsidRDefault="001F32C3" w:rsidP="001F32C3">
            <w:pPr>
              <w:pStyle w:val="ListParagraph"/>
              <w:numPr>
                <w:ilvl w:val="0"/>
                <w:numId w:val="10"/>
              </w:numPr>
              <w:ind w:left="284" w:hanging="284"/>
              <w:rPr>
                <w:rFonts w:cs="Helvetica"/>
                <w:lang w:val="en-CA"/>
              </w:rPr>
            </w:pPr>
            <w:r w:rsidRPr="009D07E3">
              <w:rPr>
                <w:rFonts w:cs="Helvetica"/>
                <w:lang w:val="en-CA"/>
              </w:rPr>
              <w:t>Build on success of joint MAMPU-AAP Emerging Leaders Trai</w:t>
            </w:r>
            <w:r w:rsidR="002336B0">
              <w:rPr>
                <w:rFonts w:cs="Helvetica"/>
                <w:lang w:val="en-CA"/>
              </w:rPr>
              <w:t>ning to expand this opportunity.</w:t>
            </w:r>
          </w:p>
          <w:p w14:paraId="15C391AD" w14:textId="77777777" w:rsidR="001F32C3" w:rsidRPr="00CE24C9" w:rsidRDefault="001F32C3" w:rsidP="0035508C">
            <w:pPr>
              <w:rPr>
                <w:lang w:val="en-CA"/>
              </w:rPr>
            </w:pPr>
          </w:p>
        </w:tc>
      </w:tr>
      <w:tr w:rsidR="001F32C3" w:rsidRPr="001F32C3" w14:paraId="06124567" w14:textId="77777777" w:rsidTr="009922FE">
        <w:tc>
          <w:tcPr>
            <w:tcW w:w="9029" w:type="dxa"/>
            <w:tcBorders>
              <w:top w:val="nil"/>
              <w:bottom w:val="nil"/>
            </w:tcBorders>
            <w:shd w:val="clear" w:color="auto" w:fill="C6D9F1" w:themeFill="text2" w:themeFillTint="33"/>
          </w:tcPr>
          <w:p w14:paraId="3C42FB8B" w14:textId="77777777" w:rsidR="001F32C3" w:rsidRPr="009D07E3" w:rsidRDefault="001F32C3" w:rsidP="00CE24C9">
            <w:pPr>
              <w:spacing w:after="60"/>
              <w:rPr>
                <w:rFonts w:cs="Helvetica"/>
                <w:lang w:val="en-CA"/>
              </w:rPr>
            </w:pPr>
            <w:r w:rsidRPr="009D07E3">
              <w:rPr>
                <w:b/>
                <w:lang w:val="en-CA"/>
              </w:rPr>
              <w:t>Australia Indonesia Partnership on Economic Governance</w:t>
            </w:r>
            <w:r w:rsidRPr="009D07E3">
              <w:rPr>
                <w:lang w:val="en-CA"/>
              </w:rPr>
              <w:t xml:space="preserve"> (</w:t>
            </w:r>
            <w:r w:rsidRPr="009D07E3">
              <w:rPr>
                <w:rFonts w:cs="Helvetica"/>
                <w:b/>
                <w:bCs/>
                <w:lang w:val="en-CA"/>
              </w:rPr>
              <w:t>AIPEG)</w:t>
            </w:r>
          </w:p>
          <w:p w14:paraId="70B8CC2D" w14:textId="77777777" w:rsidR="001F32C3" w:rsidRPr="009D07E3" w:rsidRDefault="001F32C3" w:rsidP="001F32C3">
            <w:pPr>
              <w:pStyle w:val="ListParagraph"/>
              <w:numPr>
                <w:ilvl w:val="0"/>
                <w:numId w:val="12"/>
              </w:numPr>
              <w:ind w:left="284" w:hanging="284"/>
              <w:rPr>
                <w:lang w:val="en-CA"/>
              </w:rPr>
            </w:pPr>
            <w:r w:rsidRPr="009D07E3">
              <w:rPr>
                <w:rFonts w:cs="Helvetica"/>
                <w:lang w:val="en-CA"/>
              </w:rPr>
              <w:t>Coordinate with and communicate MAMPU’s livelihoods strategy to AIPEG. The intention is to maximize opportunities for AIPEG to advocate for macro-economic policy reform that supports and protects poor women entering the labour market, for example by advocating for Indonesia to become less plantation and extractive industries dependent so they can invest in industries better suited to decent work for all, e.g. higher skilled manufacturing.</w:t>
            </w:r>
          </w:p>
          <w:p w14:paraId="6AF138D3" w14:textId="77777777" w:rsidR="001F32C3" w:rsidRDefault="001F32C3" w:rsidP="0035508C">
            <w:pPr>
              <w:rPr>
                <w:lang w:val="en-CA"/>
              </w:rPr>
            </w:pPr>
          </w:p>
          <w:p w14:paraId="5AEE6129" w14:textId="77777777" w:rsidR="00756355" w:rsidRPr="00CE24C9" w:rsidRDefault="00756355" w:rsidP="0035508C">
            <w:pPr>
              <w:rPr>
                <w:lang w:val="en-CA"/>
              </w:rPr>
            </w:pPr>
          </w:p>
        </w:tc>
      </w:tr>
      <w:tr w:rsidR="001F32C3" w:rsidRPr="001F32C3" w14:paraId="5EFE9B61" w14:textId="77777777" w:rsidTr="009922FE">
        <w:tc>
          <w:tcPr>
            <w:tcW w:w="9029" w:type="dxa"/>
            <w:tcBorders>
              <w:top w:val="nil"/>
              <w:bottom w:val="single" w:sz="4" w:space="0" w:color="auto"/>
            </w:tcBorders>
            <w:shd w:val="clear" w:color="auto" w:fill="C6D9F1" w:themeFill="text2" w:themeFillTint="33"/>
          </w:tcPr>
          <w:p w14:paraId="5FD76946" w14:textId="77777777" w:rsidR="001F32C3" w:rsidRPr="009D07E3" w:rsidRDefault="001F32C3" w:rsidP="00CE24C9">
            <w:pPr>
              <w:spacing w:after="60"/>
              <w:rPr>
                <w:highlight w:val="yellow"/>
                <w:lang w:val="en-CA"/>
              </w:rPr>
            </w:pPr>
            <w:r w:rsidRPr="009D07E3">
              <w:rPr>
                <w:b/>
                <w:lang w:val="en-CA"/>
              </w:rPr>
              <w:t>KSI</w:t>
            </w:r>
            <w:r w:rsidRPr="009D07E3">
              <w:rPr>
                <w:lang w:val="en-CA"/>
              </w:rPr>
              <w:t xml:space="preserve">: </w:t>
            </w:r>
          </w:p>
          <w:p w14:paraId="22C35AC2" w14:textId="0A14D7CD" w:rsidR="004F6C15" w:rsidRPr="00B268B7" w:rsidRDefault="00F03603" w:rsidP="004F6C15">
            <w:pPr>
              <w:numPr>
                <w:ilvl w:val="0"/>
                <w:numId w:val="12"/>
              </w:numPr>
              <w:ind w:left="284" w:hanging="284"/>
              <w:rPr>
                <w:lang w:val="en-CA"/>
              </w:rPr>
            </w:pPr>
            <w:r>
              <w:rPr>
                <w:lang w:val="en-CA"/>
              </w:rPr>
              <w:t>Coordinate with KSI on its</w:t>
            </w:r>
            <w:r w:rsidR="001F32C3" w:rsidRPr="009D07E3">
              <w:rPr>
                <w:lang w:val="en-CA"/>
              </w:rPr>
              <w:t xml:space="preserve"> initiatives around improving the intermediary function in the knowledge-to-policy cy</w:t>
            </w:r>
            <w:r w:rsidR="00B268B7">
              <w:rPr>
                <w:lang w:val="en-CA"/>
              </w:rPr>
              <w:t>c</w:t>
            </w:r>
            <w:r w:rsidR="001F32C3" w:rsidRPr="009D07E3">
              <w:rPr>
                <w:lang w:val="en-CA"/>
              </w:rPr>
              <w:t>le, particularly on how to package research information into useful forms for influencing policy making. This will be useful to boost MAMPU partners’ use of research for policy advocacy.</w:t>
            </w:r>
          </w:p>
          <w:p w14:paraId="5A553BF2" w14:textId="77777777" w:rsidR="004F6C15" w:rsidRPr="009D07E3" w:rsidRDefault="004F6C15" w:rsidP="004F6C15">
            <w:pPr>
              <w:spacing w:before="120" w:after="60"/>
              <w:rPr>
                <w:b/>
                <w:lang w:val="en-CA"/>
              </w:rPr>
            </w:pPr>
            <w:r w:rsidRPr="009D07E3">
              <w:rPr>
                <w:b/>
                <w:lang w:val="en-CA"/>
              </w:rPr>
              <w:t xml:space="preserve">Social Protection Program: </w:t>
            </w:r>
          </w:p>
          <w:p w14:paraId="12E9973F" w14:textId="136F4CB7" w:rsidR="004F6C15" w:rsidRPr="00CA1494" w:rsidRDefault="00F03603" w:rsidP="00B83906">
            <w:pPr>
              <w:pStyle w:val="ListParagraph"/>
              <w:numPr>
                <w:ilvl w:val="0"/>
                <w:numId w:val="12"/>
              </w:numPr>
              <w:ind w:left="360"/>
              <w:rPr>
                <w:lang w:val="en-CA"/>
              </w:rPr>
            </w:pPr>
            <w:r>
              <w:rPr>
                <w:lang w:val="en-CA"/>
              </w:rPr>
              <w:t>Continue close work</w:t>
            </w:r>
            <w:r w:rsidR="004F6C15" w:rsidRPr="009D07E3">
              <w:rPr>
                <w:lang w:val="en-CA"/>
              </w:rPr>
              <w:t xml:space="preserve"> with the social protection program’s support to JPAL. This innovative randomized control trial, the precursor to which started life in MAMPU, aims to test the impact that migrant workers can have on the quality of the companies that recruit, train, and send migrant workers overseas through a mobile phone based “Trip Adviser” rating system.   </w:t>
            </w:r>
          </w:p>
          <w:p w14:paraId="3B7D8B49" w14:textId="47F99079" w:rsidR="004F6C15" w:rsidRPr="009F0782" w:rsidRDefault="004F6C15" w:rsidP="004F6C15">
            <w:pPr>
              <w:pStyle w:val="ListParagraph"/>
              <w:numPr>
                <w:ilvl w:val="0"/>
                <w:numId w:val="12"/>
              </w:numPr>
              <w:ind w:left="360"/>
              <w:rPr>
                <w:lang w:val="en-CA"/>
              </w:rPr>
            </w:pPr>
            <w:r w:rsidRPr="001F32C3">
              <w:rPr>
                <w:lang w:val="en-CA"/>
              </w:rPr>
              <w:t>MAMPU’s partner, PEKKA, collects data on poor female heads of household’s ability to access government services and social protection programs at the village level.  This information is fed back into the program to influence analytical work and improvements to the universal database.</w:t>
            </w:r>
          </w:p>
          <w:p w14:paraId="05FD3C4A" w14:textId="18D31E27" w:rsidR="004F6C15" w:rsidRPr="004F6C15" w:rsidRDefault="004F6C15" w:rsidP="004F6C15">
            <w:pPr>
              <w:ind w:left="284"/>
              <w:rPr>
                <w:lang w:val="en-CA"/>
              </w:rPr>
            </w:pPr>
          </w:p>
        </w:tc>
      </w:tr>
    </w:tbl>
    <w:p w14:paraId="181B2560" w14:textId="77777777" w:rsidR="001F32C3" w:rsidRPr="009D07E3" w:rsidRDefault="001F32C3" w:rsidP="0035508C">
      <w:pPr>
        <w:rPr>
          <w:b/>
          <w:lang w:val="en-CA"/>
        </w:rPr>
      </w:pPr>
    </w:p>
    <w:p w14:paraId="6C06DFCA" w14:textId="34E5F630" w:rsidR="0080195A" w:rsidRPr="009D07E3" w:rsidRDefault="002910AB" w:rsidP="008F281B">
      <w:pPr>
        <w:pStyle w:val="Heading2"/>
        <w:rPr>
          <w:u w:val="single"/>
          <w:lang w:val="en-CA"/>
        </w:rPr>
      </w:pPr>
      <w:bookmarkStart w:id="42" w:name="_Toc423353307"/>
      <w:bookmarkStart w:id="43" w:name="_Toc423356138"/>
      <w:bookmarkStart w:id="44" w:name="_Toc423356477"/>
      <w:bookmarkStart w:id="45" w:name="_Toc423356563"/>
      <w:bookmarkStart w:id="46" w:name="_Toc423438730"/>
      <w:bookmarkEnd w:id="42"/>
      <w:bookmarkEnd w:id="43"/>
      <w:bookmarkEnd w:id="44"/>
      <w:bookmarkEnd w:id="45"/>
      <w:r>
        <w:rPr>
          <w:lang w:val="en-CA"/>
        </w:rPr>
        <w:t>MAMPU Principles of</w:t>
      </w:r>
      <w:r w:rsidR="0097779B" w:rsidRPr="009D07E3">
        <w:rPr>
          <w:lang w:val="en-CA"/>
        </w:rPr>
        <w:t xml:space="preserve"> Sustainability</w:t>
      </w:r>
      <w:bookmarkEnd w:id="46"/>
      <w:r w:rsidR="0097779B" w:rsidRPr="009D07E3">
        <w:rPr>
          <w:u w:val="single"/>
          <w:lang w:val="en-CA"/>
        </w:rPr>
        <w:t xml:space="preserve"> </w:t>
      </w:r>
    </w:p>
    <w:p w14:paraId="2F23E6A0" w14:textId="7C7C7AE9" w:rsidR="00783966" w:rsidRDefault="00783966" w:rsidP="00783966">
      <w:pPr>
        <w:spacing w:before="100" w:beforeAutospacing="1" w:after="100" w:afterAutospacing="1"/>
      </w:pPr>
      <w:r>
        <w:t xml:space="preserve">MAMPU needs to ensure that the achievements of the program endure well beyond the end of program funding. </w:t>
      </w:r>
      <w:r w:rsidR="002910AB">
        <w:t xml:space="preserve">Principles of </w:t>
      </w:r>
      <w:r w:rsidR="002910AB">
        <w:rPr>
          <w:lang w:val="en-US"/>
        </w:rPr>
        <w:t>sustainability are</w:t>
      </w:r>
      <w:r>
        <w:rPr>
          <w:lang w:val="en-US"/>
        </w:rPr>
        <w:t xml:space="preserve"> inherent in </w:t>
      </w:r>
      <w:r w:rsidR="002910AB">
        <w:rPr>
          <w:lang w:val="en-US"/>
        </w:rPr>
        <w:t>how we approach activities, support networks and engage with stakeholders.</w:t>
      </w:r>
      <w:r>
        <w:rPr>
          <w:lang w:val="en-US"/>
        </w:rPr>
        <w:t xml:space="preserve"> </w:t>
      </w:r>
      <w:r w:rsidR="002910AB">
        <w:rPr>
          <w:lang w:val="en-US"/>
        </w:rPr>
        <w:t xml:space="preserve">These principles include: </w:t>
      </w:r>
    </w:p>
    <w:p w14:paraId="0F5366EA" w14:textId="77777777" w:rsidR="00783966" w:rsidRPr="00A242A3" w:rsidRDefault="00783966" w:rsidP="00756355">
      <w:pPr>
        <w:pStyle w:val="Heading3"/>
      </w:pPr>
      <w:bookmarkStart w:id="47" w:name="_Toc423438731"/>
      <w:r w:rsidRPr="00A242A3">
        <w:t>Invest in local systems and processes to strengthen institutional capacity</w:t>
      </w:r>
      <w:bookmarkEnd w:id="47"/>
      <w:r w:rsidRPr="00A242A3">
        <w:t xml:space="preserve"> </w:t>
      </w:r>
    </w:p>
    <w:p w14:paraId="52041C38" w14:textId="532E9FB9" w:rsidR="002910AB" w:rsidRDefault="00783966" w:rsidP="00783966">
      <w:pPr>
        <w:spacing w:before="100" w:beforeAutospacing="1" w:after="100" w:afterAutospacing="1"/>
        <w:rPr>
          <w:lang w:val="en-US"/>
        </w:rPr>
      </w:pPr>
      <w:r w:rsidRPr="00D912BA">
        <w:rPr>
          <w:lang w:val="en-US"/>
        </w:rPr>
        <w:t xml:space="preserve">A sustainable organization is one that embeds strong processes and plans ahead. MAMPU supports partners to strengthen their SOP, financial systems, program design and implementation plans.  Based on experiences learnt and capacity built in the first phase, partners should be able to engage with a specific problem and be able to work towards its resolution within a set time frame and financial limits. It is expected throughout the implementation of MAMPU, partners will learn from both success and failure. MAMPU </w:t>
      </w:r>
      <w:r>
        <w:rPr>
          <w:lang w:val="en-US"/>
        </w:rPr>
        <w:t xml:space="preserve">encourages reflection on results to date </w:t>
      </w:r>
      <w:r w:rsidRPr="00D912BA">
        <w:rPr>
          <w:lang w:val="en-US"/>
        </w:rPr>
        <w:t xml:space="preserve">and </w:t>
      </w:r>
      <w:r>
        <w:rPr>
          <w:lang w:val="en-US"/>
        </w:rPr>
        <w:t>assist</w:t>
      </w:r>
      <w:r w:rsidR="006D7C42">
        <w:rPr>
          <w:lang w:val="en-US"/>
        </w:rPr>
        <w:t>s</w:t>
      </w:r>
      <w:r>
        <w:rPr>
          <w:lang w:val="en-US"/>
        </w:rPr>
        <w:t xml:space="preserve"> partners to commit to </w:t>
      </w:r>
      <w:r w:rsidRPr="00D912BA">
        <w:rPr>
          <w:lang w:val="en-US"/>
        </w:rPr>
        <w:t xml:space="preserve">continued improvement.  </w:t>
      </w:r>
    </w:p>
    <w:p w14:paraId="46101F97" w14:textId="77777777" w:rsidR="00783966" w:rsidRDefault="00783966" w:rsidP="00756355">
      <w:pPr>
        <w:pStyle w:val="Heading3"/>
      </w:pPr>
      <w:bookmarkStart w:id="48" w:name="_Toc423438732"/>
      <w:r w:rsidRPr="00A242A3">
        <w:t>Focus on partners that lead and own solutions</w:t>
      </w:r>
      <w:bookmarkEnd w:id="48"/>
    </w:p>
    <w:p w14:paraId="3D45C302" w14:textId="77777777" w:rsidR="00756355" w:rsidRPr="00756355" w:rsidRDefault="00756355" w:rsidP="00756355"/>
    <w:p w14:paraId="7398CACE" w14:textId="36164FB1" w:rsidR="00783966" w:rsidRDefault="00783966" w:rsidP="00783966">
      <w:pPr>
        <w:rPr>
          <w:lang w:val="id-ID"/>
        </w:rPr>
      </w:pPr>
      <w:r>
        <w:t xml:space="preserve">MAMPU </w:t>
      </w:r>
      <w:r>
        <w:rPr>
          <w:lang w:val="id-ID"/>
        </w:rPr>
        <w:t>recognize</w:t>
      </w:r>
      <w:r>
        <w:t>s</w:t>
      </w:r>
      <w:r>
        <w:rPr>
          <w:lang w:val="id-ID"/>
        </w:rPr>
        <w:t xml:space="preserve"> being more Partner-focused and Partner-directed is not merely a strategic </w:t>
      </w:r>
      <w:proofErr w:type="gramStart"/>
      <w:r>
        <w:rPr>
          <w:lang w:val="id-ID"/>
        </w:rPr>
        <w:t>decision,</w:t>
      </w:r>
      <w:proofErr w:type="gramEnd"/>
      <w:r>
        <w:rPr>
          <w:lang w:val="id-ID"/>
        </w:rPr>
        <w:t xml:space="preserve"> it is a process that unfolds over time as our Partners grow in confidence and see their trust in MAMPU reciprocated with meaningful support and action. This philosophy is supported by a team structure centred around Partner Engagement Officers and a technical program team.  The </w:t>
      </w:r>
      <w:r w:rsidR="00061889">
        <w:rPr>
          <w:lang w:val="en-CA"/>
        </w:rPr>
        <w:t xml:space="preserve">internal </w:t>
      </w:r>
      <w:r>
        <w:rPr>
          <w:lang w:val="id-ID"/>
        </w:rPr>
        <w:t>restructure has enabled the MAMPU team to foster a deep unders</w:t>
      </w:r>
      <w:r w:rsidR="00A35AF4">
        <w:rPr>
          <w:lang w:val="id-ID"/>
        </w:rPr>
        <w:t xml:space="preserve">tanding of each partner and </w:t>
      </w:r>
      <w:r w:rsidR="00A35AF4">
        <w:rPr>
          <w:lang w:val="en-CA"/>
        </w:rPr>
        <w:t>its</w:t>
      </w:r>
      <w:r>
        <w:rPr>
          <w:lang w:val="id-ID"/>
        </w:rPr>
        <w:t xml:space="preserve"> respective networks, facilitating clear communication channels and enabling our support to be tailored according to individual partner needs.</w:t>
      </w:r>
      <w:r>
        <w:t xml:space="preserve"> MAMPU </w:t>
      </w:r>
      <w:r>
        <w:rPr>
          <w:lang w:val="id-ID"/>
        </w:rPr>
        <w:t>embraces our partners' differences and respects their uniqueness.  This is a more subtle form of active Partnership; it is the difference between being led by our Partners, and helping our Partners to lead.</w:t>
      </w:r>
    </w:p>
    <w:p w14:paraId="3856E644" w14:textId="77777777" w:rsidR="00756355" w:rsidRDefault="00756355" w:rsidP="00783966">
      <w:pPr>
        <w:rPr>
          <w:sz w:val="22"/>
          <w:szCs w:val="22"/>
          <w:lang w:val="id-ID"/>
        </w:rPr>
      </w:pPr>
    </w:p>
    <w:p w14:paraId="47A930B4" w14:textId="77777777" w:rsidR="00783966" w:rsidRPr="00A242A3" w:rsidRDefault="00783966" w:rsidP="00756355">
      <w:pPr>
        <w:pStyle w:val="Heading3"/>
      </w:pPr>
      <w:bookmarkStart w:id="49" w:name="_Toc423438733"/>
      <w:r w:rsidRPr="00A242A3">
        <w:t xml:space="preserve">Explore opportunities for connecting </w:t>
      </w:r>
      <w:r>
        <w:t>partners to new networks</w:t>
      </w:r>
      <w:bookmarkEnd w:id="49"/>
    </w:p>
    <w:p w14:paraId="40BE4A93" w14:textId="77777777" w:rsidR="00783966" w:rsidRDefault="00783966" w:rsidP="00783966">
      <w:pPr>
        <w:spacing w:before="100" w:beforeAutospacing="1" w:after="100" w:afterAutospacing="1"/>
      </w:pPr>
      <w:r>
        <w:rPr>
          <w:lang w:val="id-ID"/>
        </w:rPr>
        <w:t>MAMPU supports networks as a mechanism to influence sustainable change.  This is integral to the careful selection of partners and the way we support large</w:t>
      </w:r>
      <w:r>
        <w:t xml:space="preserve">-scale collaboration </w:t>
      </w:r>
      <w:r>
        <w:rPr>
          <w:lang w:val="id-ID"/>
        </w:rPr>
        <w:t xml:space="preserve">initiatives.  </w:t>
      </w:r>
      <w:r>
        <w:t>MAMPU can guide Partners to establish new links and support joined-up action for change. At the national level MAMPU can build relationships between parliamentarians and civil society to share information and mobilise action for legislative and policy change. Concurrently at the local level, MAMPU can support community forums and encourage networks to form to improve access to services for women.</w:t>
      </w:r>
    </w:p>
    <w:p w14:paraId="431DEEC3" w14:textId="77777777" w:rsidR="00756355" w:rsidRDefault="00756355" w:rsidP="00783966">
      <w:pPr>
        <w:spacing w:before="100" w:beforeAutospacing="1" w:after="100" w:afterAutospacing="1"/>
      </w:pPr>
    </w:p>
    <w:p w14:paraId="5F3FB36E" w14:textId="77777777" w:rsidR="00783966" w:rsidRPr="0045608F" w:rsidRDefault="00783966" w:rsidP="00756355">
      <w:pPr>
        <w:pStyle w:val="Heading3"/>
      </w:pPr>
      <w:bookmarkStart w:id="50" w:name="_Toc423438734"/>
      <w:r w:rsidRPr="00A242A3">
        <w:t>Embed the use of evidence</w:t>
      </w:r>
      <w:bookmarkEnd w:id="50"/>
    </w:p>
    <w:p w14:paraId="29D36E7C" w14:textId="71F62EA0" w:rsidR="00783966" w:rsidRDefault="00783966" w:rsidP="00783966">
      <w:pPr>
        <w:spacing w:before="100" w:beforeAutospacing="1" w:after="100" w:afterAutospacing="1"/>
        <w:rPr>
          <w:lang w:val="id-ID"/>
        </w:rPr>
      </w:pPr>
      <w:r>
        <w:rPr>
          <w:lang w:val="id-ID"/>
        </w:rPr>
        <w:t>A clear policy focus</w:t>
      </w:r>
      <w:r w:rsidR="00C41BB4">
        <w:rPr>
          <w:lang w:val="en-CA"/>
        </w:rPr>
        <w:t xml:space="preserve"> that</w:t>
      </w:r>
      <w:r>
        <w:rPr>
          <w:lang w:val="id-ID"/>
        </w:rPr>
        <w:t xml:space="preserve"> must be complemented with the right evidence to build the case for change. </w:t>
      </w:r>
      <w:r>
        <w:t xml:space="preserve">MAMPU </w:t>
      </w:r>
      <w:r>
        <w:rPr>
          <w:lang w:val="id-ID"/>
        </w:rPr>
        <w:t>recogni</w:t>
      </w:r>
      <w:r>
        <w:t>s</w:t>
      </w:r>
      <w:r>
        <w:rPr>
          <w:lang w:val="id-ID"/>
        </w:rPr>
        <w:t>e</w:t>
      </w:r>
      <w:r>
        <w:t>s</w:t>
      </w:r>
      <w:r>
        <w:rPr>
          <w:lang w:val="id-ID"/>
        </w:rPr>
        <w:t xml:space="preserve"> convincing evidence can </w:t>
      </w:r>
      <w:r>
        <w:t>create the building blocks to sustained change. Evidence helps influence thinking, understanding and practice. Strong assertion and arguments alone can be easily dismissed without evidence.  MAMPU’s partners must be armed with evidence from quality research and data</w:t>
      </w:r>
      <w:r w:rsidR="00A32D7A">
        <w:t>, as well as the ab</w:t>
      </w:r>
      <w:r w:rsidR="009008A6">
        <w:t>ility to strategically use it</w:t>
      </w:r>
      <w:r w:rsidR="00A32D7A">
        <w:t xml:space="preserve"> for policy influencing,</w:t>
      </w:r>
      <w:r>
        <w:t xml:space="preserve"> to lead </w:t>
      </w:r>
      <w:r w:rsidR="00013E6B">
        <w:t xml:space="preserve">down a </w:t>
      </w:r>
      <w:r>
        <w:t>pathway to effective and sustained change for poor women in Indonesia</w:t>
      </w:r>
      <w:r>
        <w:rPr>
          <w:lang w:val="id-ID"/>
        </w:rPr>
        <w:t>.</w:t>
      </w:r>
    </w:p>
    <w:p w14:paraId="2F4257A0" w14:textId="77777777" w:rsidR="00783966" w:rsidRPr="00A242A3" w:rsidRDefault="00783966" w:rsidP="00756355">
      <w:pPr>
        <w:pStyle w:val="Heading3"/>
        <w:rPr>
          <w:lang w:val="id-ID"/>
        </w:rPr>
      </w:pPr>
      <w:bookmarkStart w:id="51" w:name="_Toc423438735"/>
      <w:r w:rsidRPr="00A242A3">
        <w:t>Engage partners to find ways to raise funds outside traditional donors</w:t>
      </w:r>
      <w:bookmarkEnd w:id="51"/>
    </w:p>
    <w:p w14:paraId="1F286108" w14:textId="4108B0EF" w:rsidR="00783966" w:rsidRDefault="007B368F" w:rsidP="00783966">
      <w:pPr>
        <w:spacing w:before="100" w:beforeAutospacing="1" w:after="100" w:afterAutospacing="1"/>
      </w:pPr>
      <w:r>
        <w:t>In Phase 2</w:t>
      </w:r>
      <w:r w:rsidR="00783966">
        <w:t xml:space="preserve"> of MAMPU</w:t>
      </w:r>
      <w:r w:rsidR="00B65CE1">
        <w:t>,</w:t>
      </w:r>
      <w:r w:rsidR="00783966">
        <w:t xml:space="preserve"> partners will consider how organisations accustomed to donor funding can adapt to conditions whereby they need to mobilise resources from a variety of sources</w:t>
      </w:r>
      <w:r w:rsidR="009503CC">
        <w:t xml:space="preserve">, and in many different forms. </w:t>
      </w:r>
      <w:r w:rsidR="00783966">
        <w:t>Such future funding streams could come from state, private and/or commercial funding.  Some organisations may need to consider cash recovery from beneficiaries, while others may be able to use crowd-funding initiatives.  MAMPU will provide opportuni</w:t>
      </w:r>
      <w:r w:rsidR="00B65CE1">
        <w:t>ty for training on various fund</w:t>
      </w:r>
      <w:r w:rsidR="00783966">
        <w:t xml:space="preserve">raising methods and explore opportunities for partners to transition to other non-ODA sources of funds.  </w:t>
      </w:r>
    </w:p>
    <w:p w14:paraId="6B1F2374" w14:textId="77777777" w:rsidR="00783966" w:rsidRPr="00A242A3" w:rsidRDefault="00783966" w:rsidP="00756355">
      <w:pPr>
        <w:pStyle w:val="Heading3"/>
      </w:pPr>
      <w:bookmarkStart w:id="52" w:name="_Toc423438736"/>
      <w:r>
        <w:t>Empower</w:t>
      </w:r>
      <w:r w:rsidRPr="00A242A3">
        <w:t xml:space="preserve"> women in Indonesia</w:t>
      </w:r>
      <w:bookmarkEnd w:id="52"/>
      <w:r w:rsidRPr="00A242A3">
        <w:t xml:space="preserve">  </w:t>
      </w:r>
    </w:p>
    <w:p w14:paraId="29096039" w14:textId="67CC6AEB" w:rsidR="00CD3849" w:rsidRDefault="00783966" w:rsidP="00783966">
      <w:pPr>
        <w:spacing w:before="100" w:beforeAutospacing="1" w:after="100" w:afterAutospacing="1"/>
      </w:pPr>
      <w:r>
        <w:rPr>
          <w:lang w:val="en-US"/>
        </w:rPr>
        <w:t xml:space="preserve">To achieve lasting change in Indonesia, poor and marginalized women must not only be involved in the program, they must be part of a process of empowerment that hands over to them the responsibility to shape the world around them. Therefore MAMPU will develop with Partners an operational concept of how to accelerate women’s </w:t>
      </w:r>
      <w:r w:rsidRPr="00FD06B9">
        <w:rPr>
          <w:lang w:val="en-US"/>
        </w:rPr>
        <w:t>empowerment</w:t>
      </w:r>
      <w:r>
        <w:rPr>
          <w:lang w:val="en-US"/>
        </w:rPr>
        <w:t xml:space="preserve"> at the grass roots level, and apply this </w:t>
      </w:r>
      <w:r w:rsidRPr="00FD06B9">
        <w:rPr>
          <w:lang w:val="en-US"/>
        </w:rPr>
        <w:t xml:space="preserve">throughout the implementation of the second phase.  </w:t>
      </w:r>
      <w:r w:rsidR="009503CC">
        <w:t xml:space="preserve">MAMPU </w:t>
      </w:r>
      <w:r>
        <w:t>already</w:t>
      </w:r>
      <w:r w:rsidR="009503CC">
        <w:t xml:space="preserve"> is</w:t>
      </w:r>
      <w:r>
        <w:t xml:space="preserve"> asking partners to consider these topics and their organisations</w:t>
      </w:r>
      <w:r w:rsidR="009503CC">
        <w:t>’</w:t>
      </w:r>
      <w:r>
        <w:t xml:space="preserve"> future direction</w:t>
      </w:r>
      <w:r w:rsidR="009503CC">
        <w:t>s</w:t>
      </w:r>
      <w:r>
        <w:t xml:space="preserve"> as part of the Partner redesign process in 2015. </w:t>
      </w:r>
    </w:p>
    <w:p w14:paraId="60D3995C" w14:textId="77777777" w:rsidR="00CD3849" w:rsidRDefault="00CD3849" w:rsidP="00756355">
      <w:pPr>
        <w:pStyle w:val="Heading3"/>
      </w:pPr>
      <w:bookmarkStart w:id="53" w:name="_Toc423438737"/>
      <w:r>
        <w:t>Organisational Evolution</w:t>
      </w:r>
      <w:bookmarkEnd w:id="53"/>
      <w:r>
        <w:t xml:space="preserve"> </w:t>
      </w:r>
    </w:p>
    <w:p w14:paraId="30AF4FCA" w14:textId="77777777" w:rsidR="00CD3849" w:rsidRDefault="00CD3849" w:rsidP="00CD3849"/>
    <w:p w14:paraId="5094CB67" w14:textId="50F26274" w:rsidR="00CD3849" w:rsidRPr="002910AB" w:rsidRDefault="00CD3849" w:rsidP="00CD3849">
      <w:r>
        <w:t>MAMPU is working with partners to develop their organisational sustainability plan</w:t>
      </w:r>
      <w:r w:rsidR="009503CC">
        <w:t>s</w:t>
      </w:r>
      <w:r>
        <w:t xml:space="preserve">, which will include further strengthening of their capacity, issues such as staff retention, </w:t>
      </w:r>
      <w:r w:rsidR="00A9481F">
        <w:t xml:space="preserve">and </w:t>
      </w:r>
      <w:r>
        <w:t>fostering emerging leaders. Additionally, MAMPU intends to increase dialogue with partners on how to maximise the organisational benefits of their respective knowledge pathway</w:t>
      </w:r>
      <w:r w:rsidR="00A9481F">
        <w:t>s</w:t>
      </w:r>
      <w:r>
        <w:t xml:space="preserve">. Each partner is continually evolving and acquiring assets as </w:t>
      </w:r>
      <w:r w:rsidR="006F7848">
        <w:t>it</w:t>
      </w:r>
      <w:r>
        <w:t xml:space="preserve"> implement</w:t>
      </w:r>
      <w:r w:rsidR="006F7848">
        <w:t>s</w:t>
      </w:r>
      <w:r>
        <w:t xml:space="preserve"> the program. Ensuring appropriate time is devoted to recognising and appreciating how they have changed will increase the likelihood that additional knowledge and experience gained is institutionalised and benefits the broader organisation.</w:t>
      </w:r>
    </w:p>
    <w:p w14:paraId="67BD3628" w14:textId="77777777" w:rsidR="00CD3849" w:rsidRDefault="00CD3849" w:rsidP="00783966">
      <w:pPr>
        <w:spacing w:before="100" w:beforeAutospacing="1" w:after="100" w:afterAutospacing="1"/>
      </w:pPr>
    </w:p>
    <w:p w14:paraId="2CCB18C9" w14:textId="77777777" w:rsidR="00783966" w:rsidRDefault="00783966" w:rsidP="00783966">
      <w:pPr>
        <w:spacing w:before="100" w:beforeAutospacing="1" w:after="100" w:afterAutospacing="1"/>
      </w:pPr>
    </w:p>
    <w:p w14:paraId="0682AC97" w14:textId="77777777" w:rsidR="00783966" w:rsidRPr="00347476" w:rsidRDefault="00783966" w:rsidP="00783966">
      <w:pPr>
        <w:spacing w:before="100" w:beforeAutospacing="1" w:after="100" w:afterAutospacing="1"/>
        <w:rPr>
          <w:lang w:val="en-US"/>
        </w:rPr>
      </w:pPr>
    </w:p>
    <w:p w14:paraId="5E23E0F7" w14:textId="77777777" w:rsidR="00783966" w:rsidRDefault="00783966" w:rsidP="00783966"/>
    <w:p w14:paraId="217A41D8" w14:textId="77777777" w:rsidR="00783966" w:rsidRDefault="00783966" w:rsidP="00783966"/>
    <w:p w14:paraId="6A3CB456" w14:textId="77777777" w:rsidR="00783966" w:rsidRDefault="00783966" w:rsidP="00783966"/>
    <w:p w14:paraId="48AF8AD2" w14:textId="77777777" w:rsidR="00783966" w:rsidRPr="00783966" w:rsidRDefault="00783966" w:rsidP="00783966">
      <w:pPr>
        <w:sectPr w:rsidR="00783966" w:rsidRPr="00783966" w:rsidSect="00614064">
          <w:type w:val="nextColumn"/>
          <w:pgSz w:w="11909" w:h="16834" w:code="9"/>
          <w:pgMar w:top="1440" w:right="1440" w:bottom="1440" w:left="1440" w:header="720" w:footer="720" w:gutter="0"/>
          <w:pgNumType w:start="1" w:chapStyle="1"/>
          <w:cols w:space="708"/>
          <w:docGrid w:linePitch="360"/>
        </w:sectPr>
      </w:pPr>
    </w:p>
    <w:p w14:paraId="0A04ACAF" w14:textId="4A73E0A2" w:rsidR="00B11CB6" w:rsidRPr="007B368F" w:rsidRDefault="00B11CB6" w:rsidP="000A333F">
      <w:pPr>
        <w:pStyle w:val="Heading1"/>
        <w:rPr>
          <w:lang w:val="en-CA"/>
        </w:rPr>
      </w:pPr>
      <w:bookmarkStart w:id="54" w:name="_Toc423438738"/>
      <w:r w:rsidRPr="009D07E3">
        <w:rPr>
          <w:lang w:val="en-CA"/>
        </w:rPr>
        <w:t>Governance and management arrangements</w:t>
      </w:r>
      <w:bookmarkEnd w:id="54"/>
    </w:p>
    <w:p w14:paraId="0773E61D" w14:textId="77777777" w:rsidR="00B11CB6" w:rsidRPr="009D07E3" w:rsidRDefault="00B11CB6" w:rsidP="000A333F">
      <w:pPr>
        <w:rPr>
          <w:rFonts w:cs="Arial"/>
          <w:b/>
          <w:lang w:val="en-CA"/>
        </w:rPr>
      </w:pPr>
    </w:p>
    <w:p w14:paraId="616429DB" w14:textId="730BC1AE" w:rsidR="00CE2CF2" w:rsidRDefault="00CE2CF2" w:rsidP="008F281B">
      <w:pPr>
        <w:pStyle w:val="Heading2"/>
        <w:rPr>
          <w:lang w:val="en-CA"/>
        </w:rPr>
      </w:pPr>
      <w:bookmarkStart w:id="55" w:name="_Toc423438739"/>
      <w:r w:rsidRPr="009D07E3">
        <w:rPr>
          <w:lang w:val="en-CA"/>
        </w:rPr>
        <w:t xml:space="preserve">Lessons </w:t>
      </w:r>
      <w:r w:rsidR="00BC468A">
        <w:rPr>
          <w:lang w:val="en-CA"/>
        </w:rPr>
        <w:t>L</w:t>
      </w:r>
      <w:r w:rsidRPr="009D07E3">
        <w:rPr>
          <w:lang w:val="en-CA"/>
        </w:rPr>
        <w:t>earned</w:t>
      </w:r>
      <w:bookmarkEnd w:id="55"/>
    </w:p>
    <w:p w14:paraId="2FF10E79" w14:textId="77777777" w:rsidR="00BC468A" w:rsidRPr="00CA1494" w:rsidRDefault="00BC468A" w:rsidP="00CE24C9">
      <w:pPr>
        <w:rPr>
          <w:lang w:val="en-CA"/>
        </w:rPr>
      </w:pPr>
    </w:p>
    <w:p w14:paraId="5AA699FD" w14:textId="30F9598E" w:rsidR="00CE2CF2" w:rsidRPr="009D07E3" w:rsidRDefault="00CE2CF2" w:rsidP="00CE24C9">
      <w:pPr>
        <w:pStyle w:val="ListParagraph"/>
        <w:numPr>
          <w:ilvl w:val="0"/>
          <w:numId w:val="30"/>
        </w:numPr>
        <w:spacing w:after="60"/>
        <w:ind w:left="360"/>
        <w:contextualSpacing w:val="0"/>
        <w:rPr>
          <w:rFonts w:cs="Arial"/>
          <w:lang w:val="en-CA"/>
        </w:rPr>
      </w:pPr>
      <w:r w:rsidRPr="009D07E3">
        <w:rPr>
          <w:rFonts w:cs="Arial"/>
          <w:lang w:val="en-CA"/>
        </w:rPr>
        <w:t xml:space="preserve">BAPPENAS has proved to be an effective </w:t>
      </w:r>
      <w:r w:rsidRPr="007B368F">
        <w:rPr>
          <w:rFonts w:cs="Arial"/>
          <w:lang w:val="en-CA"/>
        </w:rPr>
        <w:t>convener</w:t>
      </w:r>
      <w:r w:rsidRPr="009D07E3">
        <w:rPr>
          <w:rFonts w:cs="Arial"/>
          <w:lang w:val="en-CA"/>
        </w:rPr>
        <w:t xml:space="preserve">, connecting partners to specific government departments that they would otherwise find hard to reach.  </w:t>
      </w:r>
    </w:p>
    <w:p w14:paraId="49CBF817" w14:textId="61357F56" w:rsidR="00CE2CF2" w:rsidRPr="009D07E3" w:rsidRDefault="00CE2CF2" w:rsidP="00CE24C9">
      <w:pPr>
        <w:pStyle w:val="ListParagraph"/>
        <w:numPr>
          <w:ilvl w:val="0"/>
          <w:numId w:val="30"/>
        </w:numPr>
        <w:spacing w:after="60"/>
        <w:ind w:left="360"/>
        <w:contextualSpacing w:val="0"/>
        <w:rPr>
          <w:rFonts w:cs="Arial"/>
          <w:lang w:val="en-CA"/>
        </w:rPr>
      </w:pPr>
      <w:r w:rsidRPr="009D07E3">
        <w:rPr>
          <w:rFonts w:cs="Arial"/>
          <w:lang w:val="en-CA"/>
        </w:rPr>
        <w:t>The Strategic Advisory Committee was not an appropriate mechanism to access strategic advice because it diminished the role of partners in decision-making. However, MAMPU needs to ensure high level strategic advice is accessible and actively sought by the program.</w:t>
      </w:r>
    </w:p>
    <w:p w14:paraId="6C7BB757" w14:textId="653A8735" w:rsidR="00CE2CF2" w:rsidRPr="009D07E3" w:rsidRDefault="00CE2CF2" w:rsidP="00CE24C9">
      <w:pPr>
        <w:pStyle w:val="ListParagraph"/>
        <w:numPr>
          <w:ilvl w:val="0"/>
          <w:numId w:val="30"/>
        </w:numPr>
        <w:spacing w:after="60"/>
        <w:ind w:left="360"/>
        <w:contextualSpacing w:val="0"/>
        <w:rPr>
          <w:rFonts w:cs="Arial"/>
          <w:lang w:val="en-CA"/>
        </w:rPr>
      </w:pPr>
      <w:r w:rsidRPr="009D07E3">
        <w:rPr>
          <w:rFonts w:cs="Arial"/>
          <w:lang w:val="en-CA"/>
        </w:rPr>
        <w:t>Creating another mechanism outside the program, such as ARU, is not effective or efficient if those functions can be better executed within the program.</w:t>
      </w:r>
    </w:p>
    <w:p w14:paraId="5A7D7EE4" w14:textId="23DE96B4" w:rsidR="007B368F" w:rsidRPr="002B4344" w:rsidRDefault="0080195A" w:rsidP="002B4344">
      <w:pPr>
        <w:pStyle w:val="ListParagraph"/>
        <w:numPr>
          <w:ilvl w:val="0"/>
          <w:numId w:val="30"/>
        </w:numPr>
        <w:ind w:left="360"/>
        <w:rPr>
          <w:rFonts w:cs="Arial"/>
          <w:lang w:val="en-CA"/>
        </w:rPr>
      </w:pPr>
      <w:r w:rsidRPr="009D07E3">
        <w:rPr>
          <w:rFonts w:cs="Arial"/>
          <w:lang w:val="en-CA"/>
        </w:rPr>
        <w:t xml:space="preserve">The strategic and technical expertise of the Managing Contractor plays a more important role in the success of MAMPU than was envisaged in the original program design. </w:t>
      </w:r>
    </w:p>
    <w:p w14:paraId="6023F857" w14:textId="77777777" w:rsidR="00CE2CF2" w:rsidRPr="009D07E3" w:rsidRDefault="00CE2CF2" w:rsidP="000A333F">
      <w:pPr>
        <w:rPr>
          <w:rFonts w:cs="Arial"/>
          <w:b/>
          <w:lang w:val="en-CA"/>
        </w:rPr>
      </w:pPr>
    </w:p>
    <w:p w14:paraId="70615B1C" w14:textId="77777777" w:rsidR="00B11CB6" w:rsidRPr="009D07E3" w:rsidRDefault="00B11CB6" w:rsidP="008F281B">
      <w:pPr>
        <w:pStyle w:val="Heading2"/>
        <w:rPr>
          <w:lang w:val="en-CA"/>
        </w:rPr>
      </w:pPr>
      <w:bookmarkStart w:id="56" w:name="_Toc423438740"/>
      <w:r w:rsidRPr="009D07E3">
        <w:rPr>
          <w:lang w:val="en-CA"/>
        </w:rPr>
        <w:t>Partners Strategic Consultative Forum (MPSCF)</w:t>
      </w:r>
      <w:bookmarkEnd w:id="56"/>
    </w:p>
    <w:p w14:paraId="669D1DE7" w14:textId="77777777" w:rsidR="00CA4238" w:rsidRPr="009D07E3" w:rsidRDefault="00CA4238" w:rsidP="000A333F">
      <w:pPr>
        <w:rPr>
          <w:rFonts w:cs="Arial"/>
          <w:lang w:val="en-CA"/>
        </w:rPr>
      </w:pPr>
    </w:p>
    <w:p w14:paraId="61F14173" w14:textId="3FED3909" w:rsidR="00B11CB6" w:rsidRPr="009D07E3" w:rsidRDefault="00FB2B4B" w:rsidP="000A333F">
      <w:pPr>
        <w:rPr>
          <w:rFonts w:cs="Arial"/>
          <w:lang w:val="en-CA"/>
        </w:rPr>
      </w:pPr>
      <w:r w:rsidRPr="009D07E3">
        <w:rPr>
          <w:rFonts w:cs="Arial"/>
          <w:lang w:val="en-CA"/>
        </w:rPr>
        <w:t xml:space="preserve">The Partners Strategic Consultative Forum </w:t>
      </w:r>
      <w:r w:rsidR="00B11CB6" w:rsidRPr="009D07E3">
        <w:rPr>
          <w:rFonts w:cs="Arial"/>
          <w:lang w:val="en-CA"/>
        </w:rPr>
        <w:t xml:space="preserve">is really the heart of MAMPU’s governance structure.  Although not in the original design, the MPSCF provides a transparent and accountable mechanism for MAMPU’s </w:t>
      </w:r>
      <w:r w:rsidRPr="009D07E3">
        <w:rPr>
          <w:rFonts w:cs="Arial"/>
          <w:lang w:val="en-CA"/>
        </w:rPr>
        <w:t xml:space="preserve">CSO </w:t>
      </w:r>
      <w:r w:rsidR="00B11CB6" w:rsidRPr="009D07E3">
        <w:rPr>
          <w:rFonts w:cs="Arial"/>
          <w:lang w:val="en-CA"/>
        </w:rPr>
        <w:t xml:space="preserve">partners to take on a leadership position in the program. This forum will continue to complement the annual Partners’ Forum by providing regular checks and balances regarding the progress and strategic direction of MAMPU. </w:t>
      </w:r>
    </w:p>
    <w:p w14:paraId="7DC19B68" w14:textId="77777777" w:rsidR="00B11CB6" w:rsidRPr="009D07E3" w:rsidRDefault="00B11CB6" w:rsidP="000A333F">
      <w:pPr>
        <w:rPr>
          <w:rFonts w:cs="Arial"/>
          <w:lang w:val="en-CA"/>
        </w:rPr>
      </w:pPr>
    </w:p>
    <w:p w14:paraId="7F68B16A" w14:textId="0AB1D2C2" w:rsidR="00B11CB6" w:rsidRPr="009D07E3" w:rsidRDefault="00B11CB6" w:rsidP="008F281B">
      <w:pPr>
        <w:pStyle w:val="Heading2"/>
        <w:rPr>
          <w:lang w:val="en-CA"/>
        </w:rPr>
      </w:pPr>
      <w:bookmarkStart w:id="57" w:name="_Toc423438741"/>
      <w:r w:rsidRPr="009D07E3">
        <w:rPr>
          <w:lang w:val="en-CA"/>
        </w:rPr>
        <w:t>Analytics and Research Unit (ARU)</w:t>
      </w:r>
      <w:bookmarkEnd w:id="57"/>
    </w:p>
    <w:p w14:paraId="349121CD" w14:textId="77777777" w:rsidR="00CA4238" w:rsidRPr="009D07E3" w:rsidRDefault="00CA4238" w:rsidP="000A333F">
      <w:pPr>
        <w:rPr>
          <w:rFonts w:cs="Arial"/>
          <w:lang w:val="en-CA"/>
        </w:rPr>
      </w:pPr>
    </w:p>
    <w:p w14:paraId="6E6B2B23" w14:textId="243B86F6" w:rsidR="00B11CB6" w:rsidRPr="009D07E3" w:rsidRDefault="00B11CB6" w:rsidP="000A333F">
      <w:pPr>
        <w:rPr>
          <w:rFonts w:cs="Arial"/>
          <w:lang w:val="en-CA"/>
        </w:rPr>
      </w:pPr>
      <w:r w:rsidRPr="009D07E3">
        <w:rPr>
          <w:rFonts w:cs="Arial"/>
          <w:lang w:val="en-CA"/>
        </w:rPr>
        <w:t xml:space="preserve">The program design places significant weight on the role of evidence within MAMPU. This is not just to ensure accountability for funds, but </w:t>
      </w:r>
      <w:r w:rsidR="00C046A0" w:rsidRPr="009D07E3">
        <w:rPr>
          <w:rFonts w:cs="Arial"/>
          <w:lang w:val="en-CA"/>
        </w:rPr>
        <w:t xml:space="preserve">to act </w:t>
      </w:r>
      <w:r w:rsidRPr="009D07E3">
        <w:rPr>
          <w:rFonts w:cs="Arial"/>
          <w:lang w:val="en-CA"/>
        </w:rPr>
        <w:t>as a central strategy to increase the effectiveness of the women's and gender-interested organisations and their networks. The original design include</w:t>
      </w:r>
      <w:r w:rsidR="00C046A0" w:rsidRPr="009D07E3">
        <w:rPr>
          <w:rFonts w:cs="Arial"/>
          <w:lang w:val="en-CA"/>
        </w:rPr>
        <w:t>d</w:t>
      </w:r>
      <w:r w:rsidRPr="009D07E3">
        <w:rPr>
          <w:rFonts w:cs="Arial"/>
          <w:lang w:val="en-CA"/>
        </w:rPr>
        <w:t xml:space="preserve"> the establishment of an Analytics and Research Unit (ARU) within MAMPU.  </w:t>
      </w:r>
      <w:r w:rsidR="00C046A0" w:rsidRPr="009D07E3">
        <w:rPr>
          <w:rFonts w:cs="Arial"/>
          <w:lang w:val="en-CA"/>
        </w:rPr>
        <w:t xml:space="preserve">The </w:t>
      </w:r>
      <w:r w:rsidRPr="009D07E3">
        <w:rPr>
          <w:rFonts w:cs="Arial"/>
          <w:lang w:val="en-CA"/>
        </w:rPr>
        <w:t>ARU was initially conceptualized as a unit staffed by a small core of thematic specialists, with the mandate to develop</w:t>
      </w:r>
      <w:r w:rsidR="00C046A0" w:rsidRPr="009D07E3">
        <w:rPr>
          <w:rFonts w:cs="Arial"/>
          <w:lang w:val="en-CA"/>
        </w:rPr>
        <w:t xml:space="preserve"> a</w:t>
      </w:r>
      <w:r w:rsidRPr="009D07E3">
        <w:rPr>
          <w:rFonts w:cs="Arial"/>
          <w:lang w:val="en-CA"/>
        </w:rPr>
        <w:t xml:space="preserve"> monitoring and evaluation methodology for the program and its partners,</w:t>
      </w:r>
      <w:r w:rsidR="00C046A0" w:rsidRPr="009D07E3">
        <w:rPr>
          <w:rFonts w:cs="Arial"/>
          <w:lang w:val="en-CA"/>
        </w:rPr>
        <w:t xml:space="preserve"> to</w:t>
      </w:r>
      <w:r w:rsidRPr="009D07E3">
        <w:rPr>
          <w:rFonts w:cs="Arial"/>
          <w:lang w:val="en-CA"/>
        </w:rPr>
        <w:t xml:space="preserve"> monitor changes in the operational context, and </w:t>
      </w:r>
      <w:r w:rsidR="00C046A0" w:rsidRPr="009D07E3">
        <w:rPr>
          <w:rFonts w:cs="Arial"/>
          <w:lang w:val="en-CA"/>
        </w:rPr>
        <w:t xml:space="preserve">to </w:t>
      </w:r>
      <w:r w:rsidRPr="009D07E3">
        <w:rPr>
          <w:rFonts w:cs="Arial"/>
          <w:lang w:val="en-CA"/>
        </w:rPr>
        <w:t>conduct relevant research and analysis of MAMPU</w:t>
      </w:r>
      <w:r w:rsidR="00C046A0" w:rsidRPr="009D07E3">
        <w:rPr>
          <w:rFonts w:cs="Arial"/>
          <w:lang w:val="en-CA"/>
        </w:rPr>
        <w:t>’s</w:t>
      </w:r>
      <w:r w:rsidRPr="009D07E3">
        <w:rPr>
          <w:rFonts w:cs="Arial"/>
          <w:lang w:val="en-CA"/>
        </w:rPr>
        <w:t xml:space="preserve"> Thematic Areas. When MAMPU revisited the concept in September 2013, consultations with DFAT and the Strategic Advisory Committee concluded that establishing </w:t>
      </w:r>
      <w:r w:rsidR="003D5F21" w:rsidRPr="009D07E3">
        <w:rPr>
          <w:rFonts w:cs="Arial"/>
          <w:lang w:val="en-CA"/>
        </w:rPr>
        <w:t xml:space="preserve">an </w:t>
      </w:r>
      <w:r w:rsidRPr="009D07E3">
        <w:rPr>
          <w:rFonts w:cs="Arial"/>
          <w:lang w:val="en-CA"/>
        </w:rPr>
        <w:t xml:space="preserve">ARU as a separate unit </w:t>
      </w:r>
      <w:r w:rsidR="003D5F21" w:rsidRPr="009D07E3">
        <w:rPr>
          <w:rFonts w:cs="Arial"/>
          <w:lang w:val="en-CA"/>
        </w:rPr>
        <w:t>wa</w:t>
      </w:r>
      <w:r w:rsidRPr="009D07E3">
        <w:rPr>
          <w:rFonts w:cs="Arial"/>
          <w:lang w:val="en-CA"/>
        </w:rPr>
        <w:t xml:space="preserve">s not strategic for MAMPU. </w:t>
      </w:r>
      <w:r w:rsidR="00340306" w:rsidRPr="009D07E3">
        <w:rPr>
          <w:rFonts w:cs="Arial"/>
          <w:lang w:val="en-CA"/>
        </w:rPr>
        <w:t>Ra</w:t>
      </w:r>
      <w:r w:rsidRPr="009D07E3">
        <w:rPr>
          <w:rFonts w:cs="Arial"/>
          <w:lang w:val="en-CA"/>
        </w:rPr>
        <w:t xml:space="preserve">ther than complicating the existing structure of MAMPU and risking the flexibility of the program, it was more strategic to strengthen existing resources and mechanisms related to research. </w:t>
      </w:r>
    </w:p>
    <w:p w14:paraId="01BAFE7C" w14:textId="77777777" w:rsidR="00B11CB6" w:rsidRPr="009D07E3" w:rsidRDefault="00B11CB6" w:rsidP="000A333F">
      <w:pPr>
        <w:rPr>
          <w:rFonts w:cs="Arial"/>
          <w:lang w:val="en-CA"/>
        </w:rPr>
      </w:pPr>
    </w:p>
    <w:p w14:paraId="2062D2D4" w14:textId="7E892A59" w:rsidR="00B11CB6" w:rsidRPr="009D07E3" w:rsidRDefault="00B11CB6" w:rsidP="000A333F">
      <w:pPr>
        <w:rPr>
          <w:rFonts w:cs="Arial"/>
          <w:lang w:val="en-CA"/>
        </w:rPr>
      </w:pPr>
      <w:r w:rsidRPr="009D07E3">
        <w:rPr>
          <w:rFonts w:cs="Arial"/>
          <w:lang w:val="en-CA"/>
        </w:rPr>
        <w:t xml:space="preserve">MAMPU responded to this advice by appointing a Research Coordinator in July 2014 to manage research commissioned by the program and </w:t>
      </w:r>
      <w:r w:rsidR="00CD6080" w:rsidRPr="009D07E3">
        <w:rPr>
          <w:rFonts w:cs="Arial"/>
          <w:lang w:val="en-CA"/>
        </w:rPr>
        <w:t xml:space="preserve">by </w:t>
      </w:r>
      <w:r w:rsidRPr="009D07E3">
        <w:rPr>
          <w:rFonts w:cs="Arial"/>
          <w:lang w:val="en-CA"/>
        </w:rPr>
        <w:t>establish</w:t>
      </w:r>
      <w:r w:rsidR="00CD6080" w:rsidRPr="009D07E3">
        <w:rPr>
          <w:rFonts w:cs="Arial"/>
          <w:lang w:val="en-CA"/>
        </w:rPr>
        <w:t>ing</w:t>
      </w:r>
      <w:r w:rsidRPr="009D07E3">
        <w:rPr>
          <w:rFonts w:cs="Arial"/>
          <w:lang w:val="en-CA"/>
        </w:rPr>
        <w:t xml:space="preserve"> a panel of consultants with expertise in research methodologies and thematic areas relevant to the program. The position has since evolved into a Research and Innovation Manager</w:t>
      </w:r>
      <w:r w:rsidR="00CD6080" w:rsidRPr="009D07E3">
        <w:rPr>
          <w:rFonts w:cs="Arial"/>
          <w:lang w:val="en-CA"/>
        </w:rPr>
        <w:t>, with a supporting</w:t>
      </w:r>
      <w:r w:rsidRPr="009D07E3">
        <w:rPr>
          <w:rFonts w:cs="Arial"/>
          <w:lang w:val="en-CA"/>
        </w:rPr>
        <w:t xml:space="preserve"> Research Officer</w:t>
      </w:r>
      <w:r w:rsidR="00B164A8">
        <w:rPr>
          <w:rFonts w:cs="Arial"/>
          <w:lang w:val="en-CA"/>
        </w:rPr>
        <w:t>. These two team members</w:t>
      </w:r>
      <w:r w:rsidR="00CD6080" w:rsidRPr="009D07E3">
        <w:rPr>
          <w:rFonts w:cs="Arial"/>
          <w:lang w:val="en-CA"/>
        </w:rPr>
        <w:t xml:space="preserve"> together</w:t>
      </w:r>
      <w:r w:rsidRPr="009D07E3">
        <w:rPr>
          <w:rFonts w:cs="Arial"/>
          <w:lang w:val="en-CA"/>
        </w:rPr>
        <w:t xml:space="preserve"> are responsible for establishing research management and quality assurance guideline</w:t>
      </w:r>
      <w:r w:rsidR="00CD6080" w:rsidRPr="009D07E3">
        <w:rPr>
          <w:rFonts w:cs="Arial"/>
          <w:lang w:val="en-CA"/>
        </w:rPr>
        <w:t>s</w:t>
      </w:r>
      <w:r w:rsidRPr="009D07E3">
        <w:rPr>
          <w:rFonts w:cs="Arial"/>
          <w:lang w:val="en-CA"/>
        </w:rPr>
        <w:t xml:space="preserve"> for MAMPU, facilitating the identification of research subjects, commissioning and quality assuring research, communicating research findings, and providing technical assistance for research conducted by MAMPU partners. </w:t>
      </w:r>
    </w:p>
    <w:p w14:paraId="704E2A55" w14:textId="77777777" w:rsidR="00B11CB6" w:rsidRPr="009D07E3" w:rsidRDefault="00B11CB6" w:rsidP="000A333F">
      <w:pPr>
        <w:rPr>
          <w:rFonts w:cs="Arial"/>
          <w:lang w:val="en-CA"/>
        </w:rPr>
      </w:pPr>
    </w:p>
    <w:p w14:paraId="0A3EE543" w14:textId="77777777" w:rsidR="00B11CB6" w:rsidRPr="009D07E3" w:rsidRDefault="00B11CB6" w:rsidP="000A333F">
      <w:pPr>
        <w:rPr>
          <w:rFonts w:cs="Arial"/>
          <w:lang w:val="en-CA"/>
        </w:rPr>
      </w:pPr>
      <w:r w:rsidRPr="009D07E3">
        <w:rPr>
          <w:rFonts w:cs="Arial"/>
          <w:lang w:val="en-CA"/>
        </w:rPr>
        <w:t xml:space="preserve">MAMPU commissioned three research projects in 2014 based on the recommendation of the Strategic Advisory Committee; however, based on consultations with BAPPENAS and partners, MAMPU’s future research agenda will be determined </w:t>
      </w:r>
      <w:proofErr w:type="gramStart"/>
      <w:r w:rsidRPr="009D07E3">
        <w:rPr>
          <w:rFonts w:cs="Arial"/>
          <w:lang w:val="en-CA"/>
        </w:rPr>
        <w:t>through the five Thematic Working Groups (TWG) to ensure that the topics selected are strategic and useful for both partners and policy makers</w:t>
      </w:r>
      <w:proofErr w:type="gramEnd"/>
      <w:r w:rsidRPr="009D07E3">
        <w:rPr>
          <w:rFonts w:cs="Arial"/>
          <w:lang w:val="en-CA"/>
        </w:rPr>
        <w:t xml:space="preserve">.    </w:t>
      </w:r>
    </w:p>
    <w:p w14:paraId="29EDF171" w14:textId="77777777" w:rsidR="00B11CB6" w:rsidRPr="009D07E3" w:rsidRDefault="00B11CB6" w:rsidP="000A333F">
      <w:pPr>
        <w:rPr>
          <w:rFonts w:cs="Arial"/>
          <w:lang w:val="en-CA"/>
        </w:rPr>
      </w:pPr>
    </w:p>
    <w:p w14:paraId="11202557" w14:textId="6A5FFB69" w:rsidR="008F281B" w:rsidRPr="007B368F" w:rsidRDefault="00B11CB6" w:rsidP="008F281B">
      <w:pPr>
        <w:pStyle w:val="Heading2"/>
        <w:rPr>
          <w:rFonts w:cs="Arial"/>
          <w:lang w:val="en-CA"/>
        </w:rPr>
      </w:pPr>
      <w:bookmarkStart w:id="58" w:name="_Toc423438742"/>
      <w:r w:rsidRPr="007B368F">
        <w:rPr>
          <w:rStyle w:val="Heading2Char"/>
          <w:b/>
        </w:rPr>
        <w:t>Steering Committee</w:t>
      </w:r>
      <w:bookmarkEnd w:id="58"/>
      <w:r w:rsidR="00AE0EA3" w:rsidRPr="007B368F">
        <w:rPr>
          <w:rFonts w:cs="Arial"/>
          <w:lang w:val="en-CA"/>
        </w:rPr>
        <w:t xml:space="preserve"> </w:t>
      </w:r>
      <w:r w:rsidR="002A2E09" w:rsidRPr="007B368F">
        <w:rPr>
          <w:rFonts w:cs="Arial"/>
          <w:lang w:val="en-CA"/>
        </w:rPr>
        <w:t xml:space="preserve"> </w:t>
      </w:r>
    </w:p>
    <w:p w14:paraId="0CB74202" w14:textId="77777777" w:rsidR="00BC468A" w:rsidRPr="009D07E3" w:rsidRDefault="00BC468A" w:rsidP="000A333F">
      <w:pPr>
        <w:rPr>
          <w:rFonts w:cs="Arial"/>
          <w:lang w:val="en-CA"/>
        </w:rPr>
      </w:pPr>
    </w:p>
    <w:p w14:paraId="4184D625" w14:textId="0F10643D" w:rsidR="00B11CB6" w:rsidRPr="009D07E3" w:rsidRDefault="002A2E09" w:rsidP="000A333F">
      <w:pPr>
        <w:rPr>
          <w:rFonts w:cs="Arial"/>
          <w:lang w:val="en-CA"/>
        </w:rPr>
      </w:pPr>
      <w:r w:rsidRPr="009D07E3">
        <w:rPr>
          <w:rFonts w:cs="Arial"/>
          <w:lang w:val="en-CA"/>
        </w:rPr>
        <w:t xml:space="preserve">The Steering Committee (SC) is the main policy decision-making body for the </w:t>
      </w:r>
      <w:r w:rsidR="00B164A8">
        <w:rPr>
          <w:rFonts w:cs="Arial"/>
          <w:lang w:val="en-CA"/>
        </w:rPr>
        <w:t>program</w:t>
      </w:r>
      <w:r w:rsidRPr="009D07E3">
        <w:rPr>
          <w:rFonts w:cs="Arial"/>
          <w:lang w:val="en-CA"/>
        </w:rPr>
        <w:t xml:space="preserve">, </w:t>
      </w:r>
      <w:r w:rsidR="00B164A8">
        <w:rPr>
          <w:rFonts w:cs="Arial"/>
          <w:lang w:val="en-CA"/>
        </w:rPr>
        <w:t>and</w:t>
      </w:r>
      <w:r w:rsidRPr="009D07E3">
        <w:rPr>
          <w:rFonts w:cs="Arial"/>
          <w:lang w:val="en-CA"/>
        </w:rPr>
        <w:t xml:space="preserve"> is co-chaired by DFAT and BAPPENAS</w:t>
      </w:r>
      <w:r w:rsidR="004F6C15">
        <w:rPr>
          <w:rFonts w:cs="Arial"/>
          <w:lang w:val="en-CA"/>
        </w:rPr>
        <w:t>.  The main roles of the SC are to </w:t>
      </w:r>
      <w:r w:rsidRPr="009D07E3">
        <w:rPr>
          <w:rFonts w:cs="Arial"/>
          <w:lang w:val="en-CA"/>
        </w:rPr>
        <w:t xml:space="preserve">set strategic priorities, monitor progress and context, and advocate on policy issues.  The SC will meet formally on annual basis.  </w:t>
      </w:r>
      <w:proofErr w:type="gramStart"/>
      <w:r w:rsidRPr="009D07E3">
        <w:rPr>
          <w:rFonts w:cs="Arial"/>
          <w:lang w:val="en-CA"/>
        </w:rPr>
        <w:t>When necessary out</w:t>
      </w:r>
      <w:r w:rsidR="00BC468A">
        <w:rPr>
          <w:rFonts w:cs="Arial"/>
          <w:lang w:val="en-CA"/>
        </w:rPr>
        <w:t xml:space="preserve"> </w:t>
      </w:r>
      <w:r w:rsidRPr="009D07E3">
        <w:rPr>
          <w:rFonts w:cs="Arial"/>
          <w:lang w:val="en-CA"/>
        </w:rPr>
        <w:t>of session meetings of the SC will be held.</w:t>
      </w:r>
      <w:proofErr w:type="gramEnd"/>
      <w:r w:rsidRPr="009D07E3">
        <w:rPr>
          <w:rFonts w:cs="Arial"/>
          <w:lang w:val="en-CA"/>
        </w:rPr>
        <w:t> </w:t>
      </w:r>
    </w:p>
    <w:p w14:paraId="204976C6" w14:textId="77777777" w:rsidR="002A2E09" w:rsidRPr="009D07E3" w:rsidRDefault="002A2E09" w:rsidP="000A333F">
      <w:pPr>
        <w:rPr>
          <w:rFonts w:cs="Arial"/>
          <w:lang w:val="en-CA"/>
        </w:rPr>
      </w:pPr>
    </w:p>
    <w:p w14:paraId="201824C8" w14:textId="77777777" w:rsidR="00B11CB6" w:rsidRPr="009D07E3" w:rsidRDefault="00B11CB6" w:rsidP="008F281B">
      <w:pPr>
        <w:pStyle w:val="Heading2"/>
        <w:rPr>
          <w:lang w:val="en-CA"/>
        </w:rPr>
      </w:pPr>
      <w:bookmarkStart w:id="59" w:name="_Toc423438743"/>
      <w:r w:rsidRPr="009D07E3">
        <w:rPr>
          <w:lang w:val="en-CA"/>
        </w:rPr>
        <w:t>Thematic Working Groups</w:t>
      </w:r>
      <w:bookmarkEnd w:id="59"/>
    </w:p>
    <w:p w14:paraId="3ECA8B1E" w14:textId="77777777" w:rsidR="00CA4238" w:rsidRPr="009D07E3" w:rsidRDefault="00CA4238" w:rsidP="00CA4238">
      <w:pPr>
        <w:rPr>
          <w:lang w:val="en-CA"/>
        </w:rPr>
      </w:pPr>
    </w:p>
    <w:p w14:paraId="5947D03E" w14:textId="7EDE7EAB" w:rsidR="00B11CB6" w:rsidRPr="009D07E3" w:rsidRDefault="00B11CB6" w:rsidP="000A333F">
      <w:pPr>
        <w:rPr>
          <w:rFonts w:cs="Arial"/>
          <w:lang w:val="en-CA"/>
        </w:rPr>
      </w:pPr>
      <w:r w:rsidRPr="009D07E3">
        <w:rPr>
          <w:rFonts w:cs="Arial"/>
          <w:lang w:val="en-CA"/>
        </w:rPr>
        <w:t xml:space="preserve">BAPPENAS, as the co-chair of the Program Steering Committee, </w:t>
      </w:r>
      <w:r w:rsidR="006D5F81" w:rsidRPr="009D07E3">
        <w:rPr>
          <w:rFonts w:cs="Arial"/>
          <w:lang w:val="en-CA"/>
        </w:rPr>
        <w:t xml:space="preserve">supported the </w:t>
      </w:r>
      <w:r w:rsidRPr="009D07E3">
        <w:rPr>
          <w:rFonts w:cs="Arial"/>
          <w:lang w:val="en-CA"/>
        </w:rPr>
        <w:t>establish</w:t>
      </w:r>
      <w:r w:rsidR="006D5F81" w:rsidRPr="009D07E3">
        <w:rPr>
          <w:rFonts w:cs="Arial"/>
          <w:lang w:val="en-CA"/>
        </w:rPr>
        <w:t>ment of</w:t>
      </w:r>
      <w:r w:rsidRPr="009D07E3">
        <w:rPr>
          <w:rFonts w:cs="Arial"/>
          <w:lang w:val="en-CA"/>
        </w:rPr>
        <w:t xml:space="preserve"> </w:t>
      </w:r>
      <w:r w:rsidR="000D4DE8">
        <w:rPr>
          <w:rFonts w:cs="Arial"/>
          <w:lang w:val="en-CA"/>
        </w:rPr>
        <w:t xml:space="preserve">a </w:t>
      </w:r>
      <w:r w:rsidRPr="009D07E3">
        <w:rPr>
          <w:rFonts w:cs="Arial"/>
          <w:lang w:val="en-CA"/>
        </w:rPr>
        <w:t xml:space="preserve">Thematic Working Group (TWG) for each of </w:t>
      </w:r>
      <w:r w:rsidR="009A2294" w:rsidRPr="009D07E3">
        <w:rPr>
          <w:rFonts w:cs="Arial"/>
          <w:lang w:val="en-CA"/>
        </w:rPr>
        <w:t>MAMPU’s</w:t>
      </w:r>
      <w:r w:rsidRPr="009D07E3">
        <w:rPr>
          <w:rFonts w:cs="Arial"/>
          <w:lang w:val="en-CA"/>
        </w:rPr>
        <w:t xml:space="preserve"> five themes</w:t>
      </w:r>
      <w:r w:rsidR="009A2294" w:rsidRPr="009D07E3">
        <w:rPr>
          <w:rFonts w:cs="Arial"/>
          <w:lang w:val="en-CA"/>
        </w:rPr>
        <w:t xml:space="preserve"> </w:t>
      </w:r>
      <w:r w:rsidRPr="009D07E3">
        <w:rPr>
          <w:rFonts w:cs="Arial"/>
          <w:lang w:val="en-CA"/>
        </w:rPr>
        <w:t>in October 2014</w:t>
      </w:r>
      <w:r w:rsidR="00FB15EA" w:rsidRPr="009D07E3">
        <w:rPr>
          <w:rFonts w:cs="Arial"/>
          <w:lang w:val="en-CA"/>
        </w:rPr>
        <w:t xml:space="preserve">. </w:t>
      </w:r>
      <w:r w:rsidRPr="009D07E3">
        <w:rPr>
          <w:rFonts w:cs="Arial"/>
          <w:lang w:val="en-CA"/>
        </w:rPr>
        <w:t xml:space="preserve">These TWGs are intended to be </w:t>
      </w:r>
      <w:proofErr w:type="gramStart"/>
      <w:r w:rsidR="000D4DE8">
        <w:rPr>
          <w:rFonts w:cs="Arial"/>
          <w:lang w:val="en-CA"/>
        </w:rPr>
        <w:t>a fora</w:t>
      </w:r>
      <w:proofErr w:type="gramEnd"/>
      <w:r w:rsidRPr="009D07E3">
        <w:rPr>
          <w:rFonts w:cs="Arial"/>
          <w:lang w:val="en-CA"/>
        </w:rPr>
        <w:t xml:space="preserve"> for dialogue to discuss thematic topics in more detail, share issues faced by government in terms of policy implementation</w:t>
      </w:r>
      <w:r w:rsidR="00A70F0B" w:rsidRPr="009D07E3">
        <w:rPr>
          <w:rFonts w:cs="Arial"/>
          <w:lang w:val="en-CA"/>
        </w:rPr>
        <w:t xml:space="preserve"> and </w:t>
      </w:r>
      <w:r w:rsidRPr="009D07E3">
        <w:rPr>
          <w:rFonts w:cs="Arial"/>
          <w:lang w:val="en-CA"/>
        </w:rPr>
        <w:t xml:space="preserve">service delivery, and </w:t>
      </w:r>
      <w:r w:rsidR="000D4DE8">
        <w:rPr>
          <w:rFonts w:cs="Arial"/>
          <w:lang w:val="en-CA"/>
        </w:rPr>
        <w:t xml:space="preserve">share </w:t>
      </w:r>
      <w:r w:rsidRPr="009D07E3">
        <w:rPr>
          <w:rFonts w:cs="Arial"/>
          <w:lang w:val="en-CA"/>
        </w:rPr>
        <w:t>experiences and constraints from the perspective of target beneficiaries, in particular poor women.</w:t>
      </w:r>
    </w:p>
    <w:p w14:paraId="462ABAD4" w14:textId="77777777" w:rsidR="00B11CB6" w:rsidRPr="009D07E3" w:rsidRDefault="00B11CB6" w:rsidP="000A333F">
      <w:pPr>
        <w:rPr>
          <w:rFonts w:cs="Arial"/>
          <w:b/>
          <w:lang w:val="en-CA"/>
        </w:rPr>
      </w:pPr>
    </w:p>
    <w:p w14:paraId="330CAE38" w14:textId="14F6254E" w:rsidR="00B11CB6" w:rsidRPr="009D07E3" w:rsidRDefault="00B11CB6" w:rsidP="000A333F">
      <w:pPr>
        <w:rPr>
          <w:rFonts w:cs="Arial"/>
          <w:lang w:val="en-CA"/>
        </w:rPr>
      </w:pPr>
      <w:r w:rsidRPr="009D07E3">
        <w:rPr>
          <w:rFonts w:cs="Arial"/>
          <w:lang w:val="en-CA"/>
        </w:rPr>
        <w:t xml:space="preserve">Each TWG is headed by a Director in BAPPENAS, who is responsible to convene the group and invite other relevant government agencies in addition to MAMPU partners. </w:t>
      </w:r>
      <w:r w:rsidR="000D4DE8">
        <w:rPr>
          <w:rFonts w:cs="Arial"/>
          <w:lang w:val="en-CA"/>
        </w:rPr>
        <w:t>Out of the five TWGs, only the S</w:t>
      </w:r>
      <w:r w:rsidRPr="009D07E3">
        <w:rPr>
          <w:rFonts w:cs="Arial"/>
          <w:lang w:val="en-CA"/>
        </w:rPr>
        <w:t xml:space="preserve">ocial </w:t>
      </w:r>
      <w:r w:rsidR="000D4DE8">
        <w:rPr>
          <w:rFonts w:cs="Arial"/>
          <w:lang w:val="en-CA"/>
        </w:rPr>
        <w:t>P</w:t>
      </w:r>
      <w:r w:rsidRPr="009D07E3">
        <w:rPr>
          <w:rFonts w:cs="Arial"/>
          <w:lang w:val="en-CA"/>
        </w:rPr>
        <w:t xml:space="preserve">rotection </w:t>
      </w:r>
      <w:r w:rsidR="000D4DE8">
        <w:rPr>
          <w:rFonts w:cs="Arial"/>
          <w:lang w:val="en-CA"/>
        </w:rPr>
        <w:t>G</w:t>
      </w:r>
      <w:r w:rsidRPr="009D07E3">
        <w:rPr>
          <w:rFonts w:cs="Arial"/>
          <w:lang w:val="en-CA"/>
        </w:rPr>
        <w:t xml:space="preserve">roup </w:t>
      </w:r>
      <w:r w:rsidR="000D4DE8">
        <w:rPr>
          <w:rFonts w:cs="Arial"/>
          <w:lang w:val="en-CA"/>
        </w:rPr>
        <w:t xml:space="preserve">(SPG) </w:t>
      </w:r>
      <w:r w:rsidRPr="009D07E3">
        <w:rPr>
          <w:rFonts w:cs="Arial"/>
          <w:lang w:val="en-CA"/>
        </w:rPr>
        <w:t xml:space="preserve">has held meetings and started work. The </w:t>
      </w:r>
      <w:r w:rsidR="000D4DE8">
        <w:rPr>
          <w:rFonts w:cs="Arial"/>
          <w:lang w:val="en-CA"/>
        </w:rPr>
        <w:t>SPG-</w:t>
      </w:r>
      <w:r w:rsidRPr="009D07E3">
        <w:rPr>
          <w:rFonts w:cs="Arial"/>
          <w:lang w:val="en-CA"/>
        </w:rPr>
        <w:t>TWG has identified areas where partners are already working together</w:t>
      </w:r>
      <w:r w:rsidR="00567E10" w:rsidRPr="009D07E3">
        <w:rPr>
          <w:rFonts w:cs="Arial"/>
          <w:lang w:val="en-CA"/>
        </w:rPr>
        <w:t>, as well as</w:t>
      </w:r>
      <w:r w:rsidRPr="009D07E3">
        <w:rPr>
          <w:rFonts w:cs="Arial"/>
          <w:lang w:val="en-CA"/>
        </w:rPr>
        <w:t xml:space="preserve"> priority issues for partners and BAPPENAS to mutually work on, such as access to legal identity, improving the accuracy of </w:t>
      </w:r>
      <w:r w:rsidR="00567E10" w:rsidRPr="009D07E3">
        <w:rPr>
          <w:rFonts w:cs="Arial"/>
          <w:lang w:val="en-CA"/>
        </w:rPr>
        <w:t xml:space="preserve">a </w:t>
      </w:r>
      <w:r w:rsidRPr="009D07E3">
        <w:rPr>
          <w:rFonts w:cs="Arial"/>
          <w:lang w:val="en-CA"/>
        </w:rPr>
        <w:t xml:space="preserve">unified database, and ensuring access to the national health insurance scheme (JKN). In the next meeting, the </w:t>
      </w:r>
      <w:r w:rsidR="000D4DE8">
        <w:rPr>
          <w:rFonts w:cs="Arial"/>
          <w:lang w:val="en-CA"/>
        </w:rPr>
        <w:t>SPG-</w:t>
      </w:r>
      <w:r w:rsidRPr="009D07E3">
        <w:rPr>
          <w:rFonts w:cs="Arial"/>
          <w:lang w:val="en-CA"/>
        </w:rPr>
        <w:t xml:space="preserve">TWG aims to agree on possible solutions to be tested by PEKKA, KAPAL </w:t>
      </w:r>
      <w:proofErr w:type="spellStart"/>
      <w:r w:rsidRPr="009D07E3">
        <w:rPr>
          <w:rFonts w:cs="Arial"/>
          <w:lang w:val="en-CA"/>
        </w:rPr>
        <w:t>Perempuan</w:t>
      </w:r>
      <w:proofErr w:type="spellEnd"/>
      <w:r w:rsidRPr="009D07E3">
        <w:rPr>
          <w:rFonts w:cs="Arial"/>
          <w:lang w:val="en-CA"/>
        </w:rPr>
        <w:t xml:space="preserve">, and KPI </w:t>
      </w:r>
      <w:r w:rsidR="000D4DE8">
        <w:rPr>
          <w:rFonts w:cs="Arial"/>
          <w:lang w:val="en-CA"/>
        </w:rPr>
        <w:t>in areas where the three organizations</w:t>
      </w:r>
      <w:r w:rsidRPr="009D07E3">
        <w:rPr>
          <w:rFonts w:cs="Arial"/>
          <w:lang w:val="en-CA"/>
        </w:rPr>
        <w:t xml:space="preserve"> are working.</w:t>
      </w:r>
    </w:p>
    <w:p w14:paraId="59CA6FAA" w14:textId="77777777" w:rsidR="00B11CB6" w:rsidRPr="009D07E3" w:rsidRDefault="00B11CB6" w:rsidP="000A333F">
      <w:pPr>
        <w:rPr>
          <w:rFonts w:cs="Arial"/>
          <w:lang w:val="en-CA"/>
        </w:rPr>
      </w:pPr>
    </w:p>
    <w:p w14:paraId="58E01082" w14:textId="2D483CC7" w:rsidR="006468D4" w:rsidRDefault="00B11CB6" w:rsidP="000A333F">
      <w:pPr>
        <w:rPr>
          <w:rFonts w:cs="Arial"/>
          <w:lang w:val="en-CA"/>
        </w:rPr>
      </w:pPr>
      <w:r w:rsidRPr="009D07E3">
        <w:rPr>
          <w:rFonts w:cs="Arial"/>
          <w:lang w:val="en-CA"/>
        </w:rPr>
        <w:t xml:space="preserve">Although only </w:t>
      </w:r>
      <w:r w:rsidR="00A70F0B" w:rsidRPr="009D07E3">
        <w:rPr>
          <w:rFonts w:cs="Arial"/>
          <w:lang w:val="en-CA"/>
        </w:rPr>
        <w:t xml:space="preserve">one </w:t>
      </w:r>
      <w:r w:rsidR="00567E10" w:rsidRPr="009D07E3">
        <w:rPr>
          <w:rFonts w:cs="Arial"/>
          <w:lang w:val="en-CA"/>
        </w:rPr>
        <w:t>group</w:t>
      </w:r>
      <w:r w:rsidRPr="009D07E3">
        <w:rPr>
          <w:rFonts w:cs="Arial"/>
          <w:lang w:val="en-CA"/>
        </w:rPr>
        <w:t xml:space="preserve"> is active at the moment, the TWGs have the potential to play a critical role in bringing</w:t>
      </w:r>
      <w:r w:rsidR="007113C6" w:rsidRPr="009D07E3">
        <w:rPr>
          <w:rFonts w:cs="Arial"/>
          <w:lang w:val="en-CA"/>
        </w:rPr>
        <w:t xml:space="preserve"> together</w:t>
      </w:r>
      <w:r w:rsidRPr="009D07E3">
        <w:rPr>
          <w:rFonts w:cs="Arial"/>
          <w:lang w:val="en-CA"/>
        </w:rPr>
        <w:t xml:space="preserve"> CSOs </w:t>
      </w:r>
      <w:r w:rsidR="007B368F">
        <w:rPr>
          <w:rFonts w:cs="Arial"/>
          <w:lang w:val="en-CA"/>
        </w:rPr>
        <w:t>and various government agencies</w:t>
      </w:r>
      <w:r w:rsidR="007113C6" w:rsidRPr="009D07E3">
        <w:rPr>
          <w:rFonts w:cs="Arial"/>
          <w:lang w:val="en-CA"/>
        </w:rPr>
        <w:t xml:space="preserve">, creating </w:t>
      </w:r>
      <w:r w:rsidRPr="009D07E3">
        <w:rPr>
          <w:rFonts w:cs="Arial"/>
          <w:lang w:val="en-CA"/>
        </w:rPr>
        <w:t>room for policy dialogue, and identify</w:t>
      </w:r>
      <w:r w:rsidR="007113C6" w:rsidRPr="009D07E3">
        <w:rPr>
          <w:rFonts w:cs="Arial"/>
          <w:lang w:val="en-CA"/>
        </w:rPr>
        <w:t>ing</w:t>
      </w:r>
      <w:r w:rsidRPr="009D07E3">
        <w:rPr>
          <w:rFonts w:cs="Arial"/>
          <w:lang w:val="en-CA"/>
        </w:rPr>
        <w:t xml:space="preserve"> priority solutions to improve the lives of poor women in Indonesia. </w:t>
      </w:r>
    </w:p>
    <w:p w14:paraId="65BA23DD" w14:textId="77777777" w:rsidR="006468D4" w:rsidRPr="009D07E3" w:rsidRDefault="006468D4" w:rsidP="000A333F">
      <w:pPr>
        <w:rPr>
          <w:rFonts w:cs="Arial"/>
          <w:lang w:val="en-CA"/>
        </w:rPr>
      </w:pPr>
    </w:p>
    <w:p w14:paraId="7807CCC5" w14:textId="7A21573C" w:rsidR="00B11CB6" w:rsidRPr="009D07E3" w:rsidRDefault="00B11CB6" w:rsidP="008F281B">
      <w:pPr>
        <w:pStyle w:val="Heading2"/>
        <w:rPr>
          <w:lang w:val="en-CA"/>
        </w:rPr>
      </w:pPr>
      <w:bookmarkStart w:id="60" w:name="_Toc423438744"/>
      <w:r w:rsidRPr="009D07E3">
        <w:rPr>
          <w:lang w:val="en-CA"/>
        </w:rPr>
        <w:t xml:space="preserve">Rationale for </w:t>
      </w:r>
      <w:r w:rsidR="00380622">
        <w:rPr>
          <w:lang w:val="en-CA"/>
        </w:rPr>
        <w:t>c</w:t>
      </w:r>
      <w:r w:rsidRPr="009D07E3">
        <w:rPr>
          <w:lang w:val="en-CA"/>
        </w:rPr>
        <w:t>ontinuing</w:t>
      </w:r>
      <w:r w:rsidR="00380622">
        <w:rPr>
          <w:lang w:val="en-CA"/>
        </w:rPr>
        <w:t xml:space="preserve"> the</w:t>
      </w:r>
      <w:r w:rsidRPr="009D07E3">
        <w:rPr>
          <w:lang w:val="en-CA"/>
        </w:rPr>
        <w:t xml:space="preserve"> M</w:t>
      </w:r>
      <w:r w:rsidR="00380622">
        <w:rPr>
          <w:lang w:val="en-CA"/>
        </w:rPr>
        <w:t xml:space="preserve">anaging </w:t>
      </w:r>
      <w:r w:rsidRPr="009D07E3">
        <w:rPr>
          <w:lang w:val="en-CA"/>
        </w:rPr>
        <w:t>C</w:t>
      </w:r>
      <w:r w:rsidR="00380622">
        <w:rPr>
          <w:lang w:val="en-CA"/>
        </w:rPr>
        <w:t>ontractor</w:t>
      </w:r>
      <w:r w:rsidRPr="009D07E3">
        <w:rPr>
          <w:lang w:val="en-CA"/>
        </w:rPr>
        <w:t xml:space="preserve"> </w:t>
      </w:r>
      <w:r w:rsidR="00BC468A">
        <w:rPr>
          <w:lang w:val="en-CA"/>
        </w:rPr>
        <w:t>M</w:t>
      </w:r>
      <w:r w:rsidRPr="009D07E3">
        <w:rPr>
          <w:lang w:val="en-CA"/>
        </w:rPr>
        <w:t>echanism</w:t>
      </w:r>
      <w:bookmarkEnd w:id="60"/>
      <w:r w:rsidRPr="009D07E3">
        <w:rPr>
          <w:lang w:val="en-CA"/>
        </w:rPr>
        <w:t xml:space="preserve"> </w:t>
      </w:r>
    </w:p>
    <w:p w14:paraId="02304239" w14:textId="77777777" w:rsidR="00CA4238" w:rsidRPr="009D07E3" w:rsidRDefault="00CA4238" w:rsidP="000A333F">
      <w:pPr>
        <w:rPr>
          <w:rFonts w:cs="Arial"/>
          <w:lang w:val="en-CA"/>
        </w:rPr>
      </w:pPr>
    </w:p>
    <w:p w14:paraId="5F12DE63" w14:textId="481097D4" w:rsidR="00380622" w:rsidRDefault="006468D4" w:rsidP="006468D4">
      <w:pPr>
        <w:rPr>
          <w:rFonts w:cs="Arial"/>
        </w:rPr>
      </w:pPr>
      <w:r w:rsidRPr="00B10415">
        <w:t xml:space="preserve">MAMPU’s program design </w:t>
      </w:r>
      <w:r w:rsidR="00975124">
        <w:t xml:space="preserve">outlined </w:t>
      </w:r>
      <w:r w:rsidRPr="00B10415">
        <w:t>a m</w:t>
      </w:r>
      <w:r w:rsidR="00863369">
        <w:t>anaging contractor (MC) model for</w:t>
      </w:r>
      <w:r w:rsidRPr="00B10415">
        <w:t xml:space="preserve"> implementing the program, arguing that a</w:t>
      </w:r>
      <w:r w:rsidR="00863369">
        <w:t>n</w:t>
      </w:r>
      <w:r w:rsidRPr="00B10415">
        <w:t xml:space="preserve"> MC is able to reduce the administrative burden for national partners and DFAT, as well as provide a quick and flexible service to access a range of international and national skills. During the first phase, the MC has been able to </w:t>
      </w:r>
      <w:r>
        <w:t>develop management systems to address the mandate.</w:t>
      </w:r>
      <w:r w:rsidRPr="00B10415">
        <w:t xml:space="preserve"> </w:t>
      </w:r>
      <w:r w:rsidRPr="00B10415">
        <w:rPr>
          <w:rFonts w:cs="Arial"/>
        </w:rPr>
        <w:t xml:space="preserve">It has a well-developed database and M&amp;E system, tailored to the </w:t>
      </w:r>
      <w:proofErr w:type="gramStart"/>
      <w:r w:rsidRPr="00B10415">
        <w:rPr>
          <w:rFonts w:cs="Arial"/>
        </w:rPr>
        <w:t>program</w:t>
      </w:r>
      <w:r w:rsidR="004F2D58">
        <w:rPr>
          <w:rFonts w:cs="Arial"/>
        </w:rPr>
        <w:t>,</w:t>
      </w:r>
      <w:r w:rsidRPr="00B10415">
        <w:rPr>
          <w:rFonts w:cs="Arial"/>
        </w:rPr>
        <w:t xml:space="preserve"> that</w:t>
      </w:r>
      <w:proofErr w:type="gramEnd"/>
      <w:r w:rsidRPr="00B10415">
        <w:rPr>
          <w:rFonts w:cs="Arial"/>
        </w:rPr>
        <w:t xml:space="preserve"> is efficient at collecting, reporting and using key information for management purposes. The contractor modal allows for a standing offer ‘panel’ with over 100 service providers. The panel creates a quick, efficient and transparent means for MAMPU to go to market, consider a wide choice of suppliers, provide streamlined processes, reduce procurement lead time, allow for rapid and flexible responses and reduce internal transaction costs. Th</w:t>
      </w:r>
      <w:r>
        <w:rPr>
          <w:rFonts w:cs="Arial"/>
        </w:rPr>
        <w:t>e</w:t>
      </w:r>
      <w:r w:rsidR="00380622">
        <w:rPr>
          <w:rFonts w:cs="Arial"/>
        </w:rPr>
        <w:t>se</w:t>
      </w:r>
      <w:r w:rsidRPr="00B10415">
        <w:rPr>
          <w:rFonts w:cs="Arial"/>
        </w:rPr>
        <w:t xml:space="preserve"> </w:t>
      </w:r>
      <w:r>
        <w:rPr>
          <w:rFonts w:cs="Arial"/>
        </w:rPr>
        <w:t xml:space="preserve">established systems </w:t>
      </w:r>
      <w:r w:rsidR="00380622">
        <w:rPr>
          <w:rFonts w:cs="Arial"/>
        </w:rPr>
        <w:t xml:space="preserve">have </w:t>
      </w:r>
      <w:r w:rsidRPr="00B10415">
        <w:rPr>
          <w:rFonts w:cs="Arial"/>
        </w:rPr>
        <w:t>enable</w:t>
      </w:r>
      <w:r w:rsidR="00380622">
        <w:rPr>
          <w:rFonts w:cs="Arial"/>
        </w:rPr>
        <w:t>d the MC</w:t>
      </w:r>
      <w:r w:rsidRPr="00B10415">
        <w:rPr>
          <w:rFonts w:cs="Arial"/>
        </w:rPr>
        <w:t xml:space="preserve"> to increase focus on </w:t>
      </w:r>
      <w:r w:rsidR="00380622" w:rsidRPr="00B10415">
        <w:rPr>
          <w:rFonts w:cs="Arial"/>
        </w:rPr>
        <w:t>tasks that contribute</w:t>
      </w:r>
      <w:r w:rsidRPr="00B10415">
        <w:rPr>
          <w:rFonts w:cs="Arial"/>
        </w:rPr>
        <w:t xml:space="preserve"> to va</w:t>
      </w:r>
      <w:r>
        <w:rPr>
          <w:rFonts w:cs="Arial"/>
        </w:rPr>
        <w:t xml:space="preserve">lue for money in the aid program. </w:t>
      </w:r>
    </w:p>
    <w:p w14:paraId="476EA00C" w14:textId="77777777" w:rsidR="00380622" w:rsidRDefault="00380622" w:rsidP="006468D4">
      <w:pPr>
        <w:rPr>
          <w:rFonts w:cs="Arial"/>
        </w:rPr>
      </w:pPr>
    </w:p>
    <w:p w14:paraId="794ADAEB" w14:textId="3F9D749C" w:rsidR="008C2878" w:rsidRDefault="006468D4" w:rsidP="006468D4">
      <w:pPr>
        <w:rPr>
          <w:rFonts w:cs="Arial"/>
        </w:rPr>
      </w:pPr>
      <w:r>
        <w:rPr>
          <w:rFonts w:cs="Arial"/>
        </w:rPr>
        <w:t xml:space="preserve">One of the most </w:t>
      </w:r>
      <w:r w:rsidR="00380622">
        <w:rPr>
          <w:rFonts w:cs="Arial"/>
        </w:rPr>
        <w:t>crucial tasks that the MC</w:t>
      </w:r>
      <w:r>
        <w:rPr>
          <w:rFonts w:cs="Arial"/>
        </w:rPr>
        <w:t xml:space="preserve"> has achieved in this period is building </w:t>
      </w:r>
      <w:r w:rsidR="00380622">
        <w:rPr>
          <w:rFonts w:cs="Arial"/>
        </w:rPr>
        <w:t xml:space="preserve">strong </w:t>
      </w:r>
      <w:r>
        <w:rPr>
          <w:rFonts w:cs="Arial"/>
        </w:rPr>
        <w:t>relationship</w:t>
      </w:r>
      <w:r w:rsidR="00380622">
        <w:rPr>
          <w:rFonts w:cs="Arial"/>
        </w:rPr>
        <w:t>s</w:t>
      </w:r>
      <w:r>
        <w:rPr>
          <w:rFonts w:cs="Arial"/>
        </w:rPr>
        <w:t xml:space="preserve"> with partners</w:t>
      </w:r>
      <w:r w:rsidR="00380622">
        <w:rPr>
          <w:rFonts w:cs="Arial"/>
        </w:rPr>
        <w:t>, DFAT</w:t>
      </w:r>
      <w:r>
        <w:rPr>
          <w:rFonts w:cs="Arial"/>
        </w:rPr>
        <w:t xml:space="preserve"> and BAPPENAS</w:t>
      </w:r>
      <w:r w:rsidR="004F2D58">
        <w:rPr>
          <w:rFonts w:cs="Arial"/>
        </w:rPr>
        <w:t>,</w:t>
      </w:r>
      <w:r>
        <w:rPr>
          <w:rFonts w:cs="Arial"/>
        </w:rPr>
        <w:t xml:space="preserve"> as the main Indonesian government counterpart for the program</w:t>
      </w:r>
      <w:r w:rsidR="008C2878">
        <w:rPr>
          <w:rFonts w:cs="Arial"/>
        </w:rPr>
        <w:t>. As the program advanced</w:t>
      </w:r>
      <w:r w:rsidR="00A01731">
        <w:rPr>
          <w:rFonts w:cs="Arial"/>
        </w:rPr>
        <w:t>,</w:t>
      </w:r>
      <w:r w:rsidR="008C2878">
        <w:rPr>
          <w:rFonts w:cs="Arial"/>
        </w:rPr>
        <w:t xml:space="preserve"> so did the</w:t>
      </w:r>
      <w:r w:rsidR="00380622">
        <w:rPr>
          <w:rFonts w:cs="Arial"/>
        </w:rPr>
        <w:t xml:space="preserve"> understanding </w:t>
      </w:r>
      <w:r w:rsidR="008C2878">
        <w:rPr>
          <w:rFonts w:cs="Arial"/>
        </w:rPr>
        <w:t xml:space="preserve">of </w:t>
      </w:r>
      <w:r w:rsidR="00380622">
        <w:rPr>
          <w:rFonts w:cs="Arial"/>
        </w:rPr>
        <w:t>the</w:t>
      </w:r>
      <w:r w:rsidR="008C2878">
        <w:rPr>
          <w:rFonts w:cs="Arial"/>
        </w:rPr>
        <w:t xml:space="preserve"> role of the</w:t>
      </w:r>
      <w:r w:rsidR="00380622">
        <w:rPr>
          <w:rFonts w:cs="Arial"/>
        </w:rPr>
        <w:t xml:space="preserve"> </w:t>
      </w:r>
      <w:r w:rsidR="008C2878">
        <w:rPr>
          <w:rFonts w:cs="Arial"/>
        </w:rPr>
        <w:t xml:space="preserve">MC in MAMPU. It is multi-faceted; we are at times a facilitator, a catalyst, a manager, a convener and a fixer. We have needed to allow these roles to evolve, recognising when and how to change our approach as the circumstances changed. </w:t>
      </w:r>
    </w:p>
    <w:p w14:paraId="475FEB65" w14:textId="77777777" w:rsidR="008C2878" w:rsidRDefault="008C2878" w:rsidP="006468D4">
      <w:pPr>
        <w:rPr>
          <w:rFonts w:cs="Arial"/>
        </w:rPr>
      </w:pPr>
    </w:p>
    <w:p w14:paraId="33622369" w14:textId="53000194" w:rsidR="005C7ED8" w:rsidRDefault="008C2878" w:rsidP="006468D4">
      <w:pPr>
        <w:rPr>
          <w:rFonts w:cs="Arial"/>
        </w:rPr>
      </w:pPr>
      <w:r>
        <w:rPr>
          <w:rFonts w:cs="Arial"/>
        </w:rPr>
        <w:t>The manne</w:t>
      </w:r>
      <w:r w:rsidR="004F2D58">
        <w:rPr>
          <w:rFonts w:cs="Arial"/>
        </w:rPr>
        <w:t>r in which the MC performs its</w:t>
      </w:r>
      <w:r>
        <w:rPr>
          <w:rFonts w:cs="Arial"/>
        </w:rPr>
        <w:t xml:space="preserve"> role has the potential to either enhance or hinder the work of partners and ultimately the success of the program. Discussions with DFAT and partners highlighted early issues with the MC team and approach that unless rectified would damage the likelihood of success of MAMPU. With support from DFAT</w:t>
      </w:r>
      <w:r w:rsidR="002B4344">
        <w:rPr>
          <w:rFonts w:cs="Arial"/>
        </w:rPr>
        <w:t>,</w:t>
      </w:r>
      <w:r>
        <w:rPr>
          <w:rFonts w:cs="Arial"/>
        </w:rPr>
        <w:t xml:space="preserve"> the MC undertook a significant </w:t>
      </w:r>
      <w:r w:rsidR="005C7ED8">
        <w:rPr>
          <w:rFonts w:cs="Arial"/>
        </w:rPr>
        <w:t>reorganisation of the MAMPU team with the objective of forming a structure that would best enable the successful implementation of MAMPU.  This</w:t>
      </w:r>
      <w:r>
        <w:rPr>
          <w:rFonts w:cs="Arial"/>
        </w:rPr>
        <w:t xml:space="preserve"> </w:t>
      </w:r>
      <w:r w:rsidR="005C7ED8">
        <w:rPr>
          <w:rFonts w:cs="Arial"/>
        </w:rPr>
        <w:t>included</w:t>
      </w:r>
      <w:r>
        <w:rPr>
          <w:rFonts w:cs="Arial"/>
        </w:rPr>
        <w:t xml:space="preserve"> extensive performance management</w:t>
      </w:r>
      <w:r w:rsidR="005C7ED8">
        <w:rPr>
          <w:rFonts w:cs="Arial"/>
        </w:rPr>
        <w:t xml:space="preserve"> of staff and recruitment of high calibre personnel with appropriate skills and experience working with civil society organisations, in particular the women’s movement, </w:t>
      </w:r>
      <w:r w:rsidR="00981875">
        <w:rPr>
          <w:rFonts w:cs="Arial"/>
        </w:rPr>
        <w:t xml:space="preserve">and </w:t>
      </w:r>
      <w:r w:rsidR="005C7ED8">
        <w:rPr>
          <w:rFonts w:cs="Arial"/>
        </w:rPr>
        <w:t>government stakeholders</w:t>
      </w:r>
      <w:r w:rsidR="00981875">
        <w:rPr>
          <w:rFonts w:cs="Arial"/>
        </w:rPr>
        <w:t>,</w:t>
      </w:r>
      <w:r w:rsidR="005C7ED8">
        <w:rPr>
          <w:rFonts w:cs="Arial"/>
        </w:rPr>
        <w:t xml:space="preserve"> and moreover who better understood the complexities of implementing MAMPU.  </w:t>
      </w:r>
    </w:p>
    <w:p w14:paraId="197DA968" w14:textId="77777777" w:rsidR="005C7ED8" w:rsidRDefault="005C7ED8" w:rsidP="006468D4">
      <w:pPr>
        <w:rPr>
          <w:rFonts w:cs="Arial"/>
        </w:rPr>
      </w:pPr>
    </w:p>
    <w:p w14:paraId="4E8FEBB2" w14:textId="77777777" w:rsidR="005C7ED8" w:rsidRDefault="005C7ED8" w:rsidP="006468D4">
      <w:pPr>
        <w:rPr>
          <w:rFonts w:cs="Arial"/>
        </w:rPr>
      </w:pPr>
      <w:r>
        <w:rPr>
          <w:rFonts w:cs="Arial"/>
        </w:rPr>
        <w:t>Although this approach to restructuring was disruptive in the short term, and involved tough decisions, it embodied the values that we aspire to transit to our partners. Effective organisations not only learn from feedback, but they also ensure they are adaptable enough to evolve.</w:t>
      </w:r>
    </w:p>
    <w:p w14:paraId="1A1DC034" w14:textId="77777777" w:rsidR="005C7ED8" w:rsidRDefault="005C7ED8" w:rsidP="006468D4">
      <w:pPr>
        <w:rPr>
          <w:rFonts w:cs="Arial"/>
        </w:rPr>
      </w:pPr>
    </w:p>
    <w:p w14:paraId="2F644F4F" w14:textId="780A45E3" w:rsidR="006468D4" w:rsidRDefault="005C7ED8" w:rsidP="006468D4">
      <w:pPr>
        <w:rPr>
          <w:rFonts w:cs="Arial"/>
        </w:rPr>
      </w:pPr>
      <w:r>
        <w:rPr>
          <w:rFonts w:cs="Arial"/>
        </w:rPr>
        <w:t xml:space="preserve">This process enabled the MC to rebuild trust and credibility with partners and stakeholders leading to a role that now includes effective government engagement, </w:t>
      </w:r>
      <w:r w:rsidR="006468D4">
        <w:rPr>
          <w:rFonts w:cs="Arial"/>
        </w:rPr>
        <w:t xml:space="preserve">critical policy </w:t>
      </w:r>
      <w:r>
        <w:rPr>
          <w:rFonts w:cs="Arial"/>
        </w:rPr>
        <w:t>discussions and strategic collab</w:t>
      </w:r>
      <w:r w:rsidR="006468D4">
        <w:rPr>
          <w:rFonts w:cs="Arial"/>
        </w:rPr>
        <w:t>orations that are essential in the second phase of the program. The ability of</w:t>
      </w:r>
      <w:r w:rsidR="00A01731">
        <w:rPr>
          <w:rFonts w:cs="Arial"/>
        </w:rPr>
        <w:t xml:space="preserve"> the</w:t>
      </w:r>
      <w:r w:rsidR="006468D4">
        <w:rPr>
          <w:rFonts w:cs="Arial"/>
        </w:rPr>
        <w:t xml:space="preserve"> MC to engage in substantive discussions with strategic partner</w:t>
      </w:r>
      <w:r>
        <w:rPr>
          <w:rFonts w:cs="Arial"/>
        </w:rPr>
        <w:t>s</w:t>
      </w:r>
      <w:r w:rsidR="006468D4">
        <w:rPr>
          <w:rFonts w:cs="Arial"/>
        </w:rPr>
        <w:t xml:space="preserve"> is even more important in light of </w:t>
      </w:r>
      <w:r w:rsidR="00975124">
        <w:rPr>
          <w:rFonts w:cs="Arial"/>
        </w:rPr>
        <w:t xml:space="preserve">structural and internal changes </w:t>
      </w:r>
      <w:r w:rsidR="006468D4">
        <w:rPr>
          <w:rFonts w:cs="Arial"/>
        </w:rPr>
        <w:t xml:space="preserve">following </w:t>
      </w:r>
      <w:proofErr w:type="spellStart"/>
      <w:r w:rsidR="006468D4">
        <w:rPr>
          <w:rFonts w:cs="Arial"/>
        </w:rPr>
        <w:t>AusAID’s</w:t>
      </w:r>
      <w:proofErr w:type="spellEnd"/>
      <w:r w:rsidR="006468D4">
        <w:rPr>
          <w:rFonts w:cs="Arial"/>
        </w:rPr>
        <w:t xml:space="preserve"> integration within DFAT, which has made intensive management from DFAT no longer an option. </w:t>
      </w:r>
    </w:p>
    <w:p w14:paraId="364365A3" w14:textId="77777777" w:rsidR="006468D4" w:rsidRDefault="006468D4" w:rsidP="006468D4">
      <w:pPr>
        <w:rPr>
          <w:rFonts w:cs="Arial"/>
        </w:rPr>
      </w:pPr>
    </w:p>
    <w:p w14:paraId="529EF32F" w14:textId="2E08FE68" w:rsidR="006468D4" w:rsidRDefault="006468D4" w:rsidP="006468D4">
      <w:pPr>
        <w:rPr>
          <w:rFonts w:cs="Arial"/>
        </w:rPr>
      </w:pPr>
      <w:r>
        <w:rPr>
          <w:rFonts w:cs="Arial"/>
        </w:rPr>
        <w:t xml:space="preserve">Considering the </w:t>
      </w:r>
      <w:r w:rsidR="00975124">
        <w:rPr>
          <w:rFonts w:cs="Arial"/>
        </w:rPr>
        <w:t xml:space="preserve">positive progress in implementation and </w:t>
      </w:r>
      <w:r>
        <w:rPr>
          <w:rFonts w:cs="Arial"/>
        </w:rPr>
        <w:t>length of time required to establish the aforementioned critical relationship, changes in the MC at this stage of the program would b</w:t>
      </w:r>
      <w:r w:rsidR="00975124">
        <w:rPr>
          <w:rFonts w:cs="Arial"/>
        </w:rPr>
        <w:t>e disruptive. Relationships would</w:t>
      </w:r>
      <w:r>
        <w:rPr>
          <w:rFonts w:cs="Arial"/>
        </w:rPr>
        <w:t xml:space="preserve"> have to be re-established, which may result in partners losing confidence in t</w:t>
      </w:r>
      <w:r w:rsidR="00975124">
        <w:rPr>
          <w:rFonts w:cs="Arial"/>
        </w:rPr>
        <w:t>he management of the program resulting in</w:t>
      </w:r>
      <w:r>
        <w:rPr>
          <w:rFonts w:cs="Arial"/>
        </w:rPr>
        <w:t xml:space="preserve"> significant delays in achieving </w:t>
      </w:r>
      <w:r w:rsidR="00975124">
        <w:rPr>
          <w:rFonts w:cs="Arial"/>
        </w:rPr>
        <w:t xml:space="preserve">MAMPU’s </w:t>
      </w:r>
      <w:r>
        <w:rPr>
          <w:rFonts w:cs="Arial"/>
        </w:rPr>
        <w:t xml:space="preserve">goals. </w:t>
      </w:r>
    </w:p>
    <w:p w14:paraId="33D3C525" w14:textId="77777777" w:rsidR="006468D4" w:rsidRDefault="006468D4" w:rsidP="006468D4">
      <w:pPr>
        <w:rPr>
          <w:rFonts w:cs="Arial"/>
        </w:rPr>
      </w:pPr>
    </w:p>
    <w:tbl>
      <w:tblPr>
        <w:tblStyle w:val="TableGrid"/>
        <w:tblW w:w="0" w:type="auto"/>
        <w:shd w:val="clear" w:color="auto" w:fill="EAF1DD" w:themeFill="accent3" w:themeFillTint="33"/>
        <w:tblLook w:val="04A0" w:firstRow="1" w:lastRow="0" w:firstColumn="1" w:lastColumn="0" w:noHBand="0" w:noVBand="1"/>
      </w:tblPr>
      <w:tblGrid>
        <w:gridCol w:w="9029"/>
      </w:tblGrid>
      <w:tr w:rsidR="006468D4" w14:paraId="658BF08D" w14:textId="77777777" w:rsidTr="006468D4">
        <w:tc>
          <w:tcPr>
            <w:tcW w:w="9029" w:type="dxa"/>
            <w:shd w:val="clear" w:color="auto" w:fill="EAF1DD" w:themeFill="accent3" w:themeFillTint="33"/>
          </w:tcPr>
          <w:p w14:paraId="2DE5D793" w14:textId="0516135B" w:rsidR="006468D4" w:rsidRPr="006468D4" w:rsidRDefault="006468D4" w:rsidP="006468D4">
            <w:pPr>
              <w:rPr>
                <w:rFonts w:cs="Arial"/>
                <w:lang w:val="en-CA"/>
              </w:rPr>
            </w:pPr>
            <w:r w:rsidRPr="009D07E3">
              <w:rPr>
                <w:rFonts w:cs="Arial"/>
                <w:lang w:val="en-CA"/>
              </w:rPr>
              <w:t xml:space="preserve">The </w:t>
            </w:r>
            <w:r w:rsidRPr="006468D4">
              <w:rPr>
                <w:rFonts w:cs="Arial"/>
                <w:b/>
                <w:lang w:val="en-CA"/>
              </w:rPr>
              <w:t>MAMPU Panel</w:t>
            </w:r>
            <w:r w:rsidRPr="009D07E3">
              <w:rPr>
                <w:rFonts w:cs="Arial"/>
                <w:lang w:val="en-CA"/>
              </w:rPr>
              <w:t xml:space="preserve"> (a ‘standing-offer’ agreement) sets out the terms and conditions under which MAMPU suppliers agree to supply goods and/or services for a specified period of time.  The ‘panel’ agreement includes standard contract terms and conditions, the broad scope of services to be provided by the Supplier, pre-negotiated management fees and contact details of the supplier. When MAMPU requires a particular service, it issues a services order detailing the exact nature of the requirement. The issue of the services order creates a legal contract between MAMPU and the Supplier. This approach creates a quick, efficient and transparent means for MAMPU to go to market, consider a wide choice of suppliers, provide streamlined processes, reduce procurement lead time, allow for rapid and flexible responses and reduce internal transaction costs. This enables MAMPU to increase focus on tasks which contribute to value for money in the aid program.</w:t>
            </w:r>
          </w:p>
        </w:tc>
      </w:tr>
    </w:tbl>
    <w:p w14:paraId="6EF8E3A0" w14:textId="77777777" w:rsidR="00C12CF8" w:rsidRPr="009D07E3" w:rsidRDefault="00C12CF8" w:rsidP="000A333F">
      <w:pPr>
        <w:rPr>
          <w:rFonts w:cs="Arial"/>
          <w:lang w:val="en-CA"/>
        </w:rPr>
      </w:pPr>
    </w:p>
    <w:p w14:paraId="5D4160EB" w14:textId="5760FC16" w:rsidR="00C12CF8" w:rsidRPr="009D07E3" w:rsidRDefault="00C12CF8" w:rsidP="008F281B">
      <w:pPr>
        <w:pStyle w:val="Heading2"/>
        <w:rPr>
          <w:lang w:val="en-CA"/>
        </w:rPr>
      </w:pPr>
      <w:bookmarkStart w:id="61" w:name="_Toc423438745"/>
      <w:r w:rsidRPr="009D07E3">
        <w:rPr>
          <w:lang w:val="en-CA"/>
        </w:rPr>
        <w:t xml:space="preserve">Other </w:t>
      </w:r>
      <w:r w:rsidR="00BC468A">
        <w:rPr>
          <w:lang w:val="en-CA"/>
        </w:rPr>
        <w:t>P</w:t>
      </w:r>
      <w:r w:rsidRPr="009D07E3">
        <w:rPr>
          <w:lang w:val="en-CA"/>
        </w:rPr>
        <w:t xml:space="preserve">rogram </w:t>
      </w:r>
      <w:r w:rsidR="00BC468A">
        <w:rPr>
          <w:lang w:val="en-CA"/>
        </w:rPr>
        <w:t>D</w:t>
      </w:r>
      <w:r w:rsidRPr="009D07E3">
        <w:rPr>
          <w:lang w:val="en-CA"/>
        </w:rPr>
        <w:t xml:space="preserve">elivery </w:t>
      </w:r>
      <w:r w:rsidR="00BC468A">
        <w:rPr>
          <w:lang w:val="en-CA"/>
        </w:rPr>
        <w:t>M</w:t>
      </w:r>
      <w:r w:rsidRPr="009D07E3">
        <w:rPr>
          <w:lang w:val="en-CA"/>
        </w:rPr>
        <w:t>echanisms</w:t>
      </w:r>
      <w:bookmarkEnd w:id="61"/>
    </w:p>
    <w:p w14:paraId="76F37E72" w14:textId="77777777" w:rsidR="00C12CF8" w:rsidRPr="009D07E3" w:rsidRDefault="00C12CF8" w:rsidP="000A333F">
      <w:pPr>
        <w:rPr>
          <w:rFonts w:cs="Arial"/>
          <w:lang w:val="en-CA"/>
        </w:rPr>
      </w:pPr>
    </w:p>
    <w:p w14:paraId="214FFACD" w14:textId="64B66B13" w:rsidR="00B11CB6" w:rsidRPr="009D07E3" w:rsidRDefault="00B11CB6" w:rsidP="000A333F">
      <w:pPr>
        <w:rPr>
          <w:rFonts w:cs="Arial"/>
          <w:lang w:val="en-CA"/>
        </w:rPr>
      </w:pPr>
      <w:r w:rsidRPr="009D07E3">
        <w:rPr>
          <w:rFonts w:cs="Arial"/>
          <w:lang w:val="en-CA"/>
        </w:rPr>
        <w:t>If other program delivery mechanisms were to be considered (such as DFAT in-house management or funding directly through a local NGO) flexibility may be compromised. For e</w:t>
      </w:r>
      <w:r w:rsidR="00EB1104">
        <w:rPr>
          <w:rFonts w:cs="Arial"/>
          <w:lang w:val="en-CA"/>
        </w:rPr>
        <w:t>xample, if the in-house modal were</w:t>
      </w:r>
      <w:r w:rsidRPr="009D07E3">
        <w:rPr>
          <w:rFonts w:cs="Arial"/>
          <w:lang w:val="en-CA"/>
        </w:rPr>
        <w:t xml:space="preserve"> adopted, DFAT’s reduced resources and budget environment may adversely impact the existing dynamic flexibility of program activity and funding arrangements. Similarly, if a local NGO modal was used, the neutral space an external managing contractor enjoys could be compromised in the highly political and competitive NGO environment. A local NGO modal/approach has the potential to undermine the networks and linkages currently emerging amongst MAMPU partners at this stage of the program. Such linkages are an essential ingredient to the success of MAMPU’s voice and influence agenda in phase two.</w:t>
      </w:r>
    </w:p>
    <w:p w14:paraId="14553FE6" w14:textId="77777777" w:rsidR="00B11CB6" w:rsidRPr="009D07E3" w:rsidRDefault="00B11CB6" w:rsidP="000A333F">
      <w:pPr>
        <w:rPr>
          <w:rFonts w:cs="Arial"/>
          <w:lang w:val="en-CA"/>
        </w:rPr>
      </w:pPr>
      <w:r w:rsidRPr="009D07E3">
        <w:rPr>
          <w:rFonts w:cs="Arial"/>
          <w:lang w:val="en-CA"/>
        </w:rPr>
        <w:t> </w:t>
      </w:r>
    </w:p>
    <w:p w14:paraId="25812197" w14:textId="77777777" w:rsidR="00B11CB6" w:rsidRPr="009D07E3" w:rsidRDefault="00B11CB6" w:rsidP="000A333F">
      <w:pPr>
        <w:rPr>
          <w:rFonts w:cs="Arial"/>
          <w:lang w:val="en-CA"/>
        </w:rPr>
      </w:pPr>
      <w:r w:rsidRPr="009D07E3">
        <w:rPr>
          <w:rFonts w:cs="Arial"/>
          <w:lang w:val="en-CA"/>
        </w:rPr>
        <w:t>The existing contract mechanism is flexible and responsive. This provides DFAT the ability to tailor and reshape the program to emerging needs as required. The managing contractor modal provides DFAT with robust fiduciary arrangements and systems to manage large cash management requirements.  It also protects DFAT on key areas of risk such as financial management, professional indemnity, legal liability and fraud. </w:t>
      </w:r>
    </w:p>
    <w:p w14:paraId="212983A5" w14:textId="77777777" w:rsidR="00B11CB6" w:rsidRPr="009D07E3" w:rsidRDefault="00B11CB6" w:rsidP="000A333F">
      <w:pPr>
        <w:rPr>
          <w:rFonts w:cs="Arial"/>
          <w:lang w:val="en-CA"/>
        </w:rPr>
      </w:pPr>
    </w:p>
    <w:p w14:paraId="320E86AE" w14:textId="77777777" w:rsidR="00B11CB6" w:rsidRPr="009D07E3" w:rsidRDefault="00B11CB6" w:rsidP="000A333F">
      <w:pPr>
        <w:rPr>
          <w:rFonts w:cs="Arial"/>
          <w:b/>
          <w:u w:val="single"/>
          <w:lang w:val="en-CA"/>
        </w:rPr>
      </w:pPr>
    </w:p>
    <w:p w14:paraId="32D6DC4D" w14:textId="77777777" w:rsidR="00CA4238" w:rsidRPr="009D07E3" w:rsidRDefault="00CA4238" w:rsidP="000A333F">
      <w:pPr>
        <w:rPr>
          <w:rFonts w:cs="Arial"/>
          <w:b/>
          <w:color w:val="4F81BD" w:themeColor="accent1"/>
          <w:sz w:val="28"/>
          <w:szCs w:val="28"/>
          <w:lang w:val="en-CA"/>
        </w:rPr>
        <w:sectPr w:rsidR="00CA4238" w:rsidRPr="009D07E3" w:rsidSect="00614064">
          <w:type w:val="nextColumn"/>
          <w:pgSz w:w="11909" w:h="16834" w:code="9"/>
          <w:pgMar w:top="1440" w:right="1440" w:bottom="1440" w:left="1440" w:header="720" w:footer="720" w:gutter="0"/>
          <w:pgNumType w:start="1" w:chapStyle="1"/>
          <w:cols w:space="708"/>
          <w:docGrid w:linePitch="360"/>
        </w:sectPr>
      </w:pPr>
    </w:p>
    <w:p w14:paraId="72518E89" w14:textId="5799657A" w:rsidR="00B11CB6" w:rsidRPr="009D07E3" w:rsidRDefault="00B11CB6" w:rsidP="00CA4238">
      <w:pPr>
        <w:pStyle w:val="Heading1"/>
        <w:rPr>
          <w:lang w:val="en-CA"/>
        </w:rPr>
      </w:pPr>
      <w:bookmarkStart w:id="62" w:name="_Toc423438746"/>
      <w:r w:rsidRPr="009D07E3">
        <w:rPr>
          <w:lang w:val="en-CA"/>
        </w:rPr>
        <w:t>Performance, Results and Risk</w:t>
      </w:r>
      <w:bookmarkEnd w:id="62"/>
    </w:p>
    <w:p w14:paraId="3DD608FE" w14:textId="3EB3B368" w:rsidR="00B11CB6" w:rsidRPr="009D07E3" w:rsidRDefault="00B11CB6" w:rsidP="008F281B">
      <w:pPr>
        <w:pStyle w:val="Heading2"/>
        <w:rPr>
          <w:lang w:val="en-CA"/>
        </w:rPr>
      </w:pPr>
      <w:bookmarkStart w:id="63" w:name="_Toc423438747"/>
      <w:r w:rsidRPr="009D07E3">
        <w:rPr>
          <w:lang w:val="en-CA"/>
        </w:rPr>
        <w:t xml:space="preserve">Performance and Results of MAMPU and </w:t>
      </w:r>
      <w:r w:rsidR="00BC468A">
        <w:rPr>
          <w:lang w:val="en-CA"/>
        </w:rPr>
        <w:t>U</w:t>
      </w:r>
      <w:r w:rsidRPr="009D07E3">
        <w:rPr>
          <w:lang w:val="en-CA"/>
        </w:rPr>
        <w:t>pdated M&amp;E Framework</w:t>
      </w:r>
      <w:bookmarkEnd w:id="63"/>
      <w:r w:rsidRPr="009D07E3">
        <w:rPr>
          <w:lang w:val="en-CA"/>
        </w:rPr>
        <w:t xml:space="preserve"> </w:t>
      </w:r>
    </w:p>
    <w:p w14:paraId="77CE4DC9" w14:textId="77777777" w:rsidR="00CA4238" w:rsidRPr="009D07E3" w:rsidRDefault="00CA4238" w:rsidP="00CA4238">
      <w:pPr>
        <w:rPr>
          <w:lang w:val="en-CA"/>
        </w:rPr>
      </w:pPr>
    </w:p>
    <w:p w14:paraId="5723CF6A" w14:textId="6FE3D0AF" w:rsidR="00B11CB6" w:rsidRDefault="00B11CB6" w:rsidP="000A333F">
      <w:pPr>
        <w:rPr>
          <w:rFonts w:cs="Arial"/>
          <w:lang w:val="en-CA"/>
        </w:rPr>
      </w:pPr>
      <w:r w:rsidRPr="009D07E3">
        <w:rPr>
          <w:rFonts w:cs="Arial"/>
          <w:lang w:val="en-CA"/>
        </w:rPr>
        <w:t xml:space="preserve">Collecting and using evidence continues to </w:t>
      </w:r>
      <w:r w:rsidR="00BD5817" w:rsidRPr="009D07E3">
        <w:rPr>
          <w:rFonts w:cs="Arial"/>
          <w:lang w:val="en-CA"/>
        </w:rPr>
        <w:t xml:space="preserve">be </w:t>
      </w:r>
      <w:r w:rsidRPr="009D07E3">
        <w:rPr>
          <w:rFonts w:cs="Arial"/>
          <w:lang w:val="en-CA"/>
        </w:rPr>
        <w:t>a core aspect of MAMPU. This is not just to ensure accountability for do</w:t>
      </w:r>
      <w:r w:rsidR="00BD5817" w:rsidRPr="009D07E3">
        <w:rPr>
          <w:rFonts w:cs="Arial"/>
          <w:lang w:val="en-CA"/>
        </w:rPr>
        <w:t>n</w:t>
      </w:r>
      <w:r w:rsidRPr="009D07E3">
        <w:rPr>
          <w:rFonts w:cs="Arial"/>
          <w:lang w:val="en-CA"/>
        </w:rPr>
        <w:t>or funds but a</w:t>
      </w:r>
      <w:r w:rsidR="00BD5817" w:rsidRPr="009D07E3">
        <w:rPr>
          <w:rFonts w:cs="Arial"/>
          <w:lang w:val="en-CA"/>
        </w:rPr>
        <w:t>l</w:t>
      </w:r>
      <w:r w:rsidRPr="009D07E3">
        <w:rPr>
          <w:rFonts w:cs="Arial"/>
          <w:lang w:val="en-CA"/>
        </w:rPr>
        <w:t>s</w:t>
      </w:r>
      <w:r w:rsidR="00BD5817" w:rsidRPr="009D07E3">
        <w:rPr>
          <w:rFonts w:cs="Arial"/>
          <w:lang w:val="en-CA"/>
        </w:rPr>
        <w:t>o to act as</w:t>
      </w:r>
      <w:r w:rsidRPr="009D07E3">
        <w:rPr>
          <w:rFonts w:cs="Arial"/>
          <w:lang w:val="en-CA"/>
        </w:rPr>
        <w:t xml:space="preserve"> a central strategy to increase the effectiveness of the women’s and gender-interested organisations and their networks. </w:t>
      </w:r>
    </w:p>
    <w:p w14:paraId="05E41E0E" w14:textId="77777777" w:rsidR="005E0297" w:rsidRPr="009D07E3" w:rsidRDefault="005E0297" w:rsidP="000A333F">
      <w:pPr>
        <w:rPr>
          <w:rFonts w:cs="Arial"/>
          <w:lang w:val="en-CA"/>
        </w:rPr>
      </w:pPr>
    </w:p>
    <w:p w14:paraId="13D8F8DE" w14:textId="77777777" w:rsidR="00B11CB6" w:rsidRPr="009D07E3" w:rsidRDefault="00B11CB6" w:rsidP="000A333F">
      <w:pPr>
        <w:rPr>
          <w:rFonts w:cs="Arial"/>
          <w:lang w:val="en-CA"/>
        </w:rPr>
      </w:pPr>
      <w:r w:rsidRPr="009D07E3">
        <w:rPr>
          <w:rFonts w:cs="Arial"/>
          <w:lang w:val="en-CA"/>
        </w:rPr>
        <w:t>As outlined in MAMPU’s current M&amp;E plan, the program’s M&amp;E matrix is due to be updated at the end of 2015. Refinements based on the progress to date, lessons learned and the general evolution of the program include:</w:t>
      </w:r>
    </w:p>
    <w:p w14:paraId="408B13BA" w14:textId="77777777" w:rsidR="00CA4238" w:rsidRPr="009D07E3" w:rsidRDefault="00CA4238" w:rsidP="000A333F">
      <w:pPr>
        <w:rPr>
          <w:rFonts w:cs="Arial"/>
          <w:lang w:val="en-CA"/>
        </w:rPr>
      </w:pPr>
    </w:p>
    <w:p w14:paraId="05D00A95" w14:textId="0EF66757" w:rsidR="00B11CB6" w:rsidRPr="00B553C7" w:rsidRDefault="00B11CB6" w:rsidP="00CE24C9">
      <w:pPr>
        <w:pStyle w:val="ListParagraph"/>
        <w:numPr>
          <w:ilvl w:val="0"/>
          <w:numId w:val="31"/>
        </w:numPr>
        <w:spacing w:after="60"/>
        <w:ind w:left="360"/>
        <w:contextualSpacing w:val="0"/>
        <w:rPr>
          <w:rFonts w:cs="Arial"/>
          <w:lang w:val="en-CA"/>
        </w:rPr>
      </w:pPr>
      <w:r w:rsidRPr="00CA1494">
        <w:rPr>
          <w:rFonts w:cs="Arial"/>
          <w:lang w:val="en-CA"/>
        </w:rPr>
        <w:t>How to incorporate a broader approach to empowerment into the M&amp;E plan</w:t>
      </w:r>
      <w:r w:rsidR="00BC468A">
        <w:rPr>
          <w:rFonts w:cs="Arial"/>
          <w:lang w:val="en-CA"/>
        </w:rPr>
        <w:t>.</w:t>
      </w:r>
    </w:p>
    <w:p w14:paraId="1932B6DF" w14:textId="7A51C2A7" w:rsidR="00B11CB6" w:rsidRPr="00CA1494" w:rsidRDefault="00B11CB6" w:rsidP="00CE24C9">
      <w:pPr>
        <w:pStyle w:val="ListParagraph"/>
        <w:numPr>
          <w:ilvl w:val="0"/>
          <w:numId w:val="31"/>
        </w:numPr>
        <w:spacing w:after="60"/>
        <w:ind w:left="360"/>
        <w:contextualSpacing w:val="0"/>
        <w:rPr>
          <w:rFonts w:cs="Arial"/>
          <w:lang w:val="en-CA"/>
        </w:rPr>
      </w:pPr>
      <w:r w:rsidRPr="000B0B09">
        <w:rPr>
          <w:rFonts w:cs="Arial"/>
          <w:lang w:val="en-CA"/>
        </w:rPr>
        <w:t>Enhanced M&amp;E of policy change</w:t>
      </w:r>
      <w:r w:rsidR="00BC468A">
        <w:rPr>
          <w:rFonts w:cs="Arial"/>
          <w:lang w:val="en-CA"/>
        </w:rPr>
        <w:t>.</w:t>
      </w:r>
    </w:p>
    <w:p w14:paraId="499E3A17" w14:textId="2DA56F90" w:rsidR="00B11CB6" w:rsidRPr="00CA1494" w:rsidRDefault="00B11CB6" w:rsidP="00CE24C9">
      <w:pPr>
        <w:pStyle w:val="ListParagraph"/>
        <w:numPr>
          <w:ilvl w:val="0"/>
          <w:numId w:val="31"/>
        </w:numPr>
        <w:spacing w:after="60"/>
        <w:ind w:left="360"/>
        <w:contextualSpacing w:val="0"/>
        <w:rPr>
          <w:rFonts w:cs="Arial"/>
          <w:lang w:val="en-CA"/>
        </w:rPr>
      </w:pPr>
      <w:r w:rsidRPr="00B553C7">
        <w:rPr>
          <w:rFonts w:cs="Arial"/>
          <w:lang w:val="en-CA"/>
        </w:rPr>
        <w:t xml:space="preserve">Agreed evaluation points for MAMPU </w:t>
      </w:r>
      <w:r w:rsidRPr="000B0B09">
        <w:rPr>
          <w:rFonts w:cs="Arial"/>
          <w:lang w:val="en-CA"/>
        </w:rPr>
        <w:t>partner projects</w:t>
      </w:r>
      <w:r w:rsidR="00BC468A">
        <w:rPr>
          <w:rFonts w:cs="Arial"/>
          <w:lang w:val="en-CA"/>
        </w:rPr>
        <w:t>.</w:t>
      </w:r>
    </w:p>
    <w:p w14:paraId="3F301784" w14:textId="1DE71DD2" w:rsidR="00B11CB6" w:rsidRDefault="00B11CB6" w:rsidP="00CE24C9">
      <w:pPr>
        <w:pStyle w:val="ListParagraph"/>
        <w:numPr>
          <w:ilvl w:val="0"/>
          <w:numId w:val="31"/>
        </w:numPr>
        <w:ind w:left="360"/>
        <w:rPr>
          <w:rFonts w:cs="Arial"/>
          <w:lang w:val="en-CA"/>
        </w:rPr>
      </w:pPr>
      <w:r w:rsidRPr="00B553C7">
        <w:rPr>
          <w:rFonts w:cs="Arial"/>
          <w:lang w:val="en-CA"/>
        </w:rPr>
        <w:t>Network mapping</w:t>
      </w:r>
      <w:r w:rsidR="00BC468A">
        <w:rPr>
          <w:rFonts w:cs="Arial"/>
          <w:lang w:val="en-CA"/>
        </w:rPr>
        <w:t>.</w:t>
      </w:r>
    </w:p>
    <w:p w14:paraId="39B78BE6" w14:textId="77777777" w:rsidR="00BC468A" w:rsidRPr="00CA1494" w:rsidRDefault="00BC468A" w:rsidP="00CE24C9">
      <w:pPr>
        <w:rPr>
          <w:rFonts w:cs="Arial"/>
          <w:lang w:val="en-CA"/>
        </w:rPr>
      </w:pPr>
    </w:p>
    <w:p w14:paraId="33030B8E" w14:textId="466FB105" w:rsidR="00B11CB6" w:rsidRPr="0069671F" w:rsidRDefault="00B11CB6" w:rsidP="0069671F">
      <w:pPr>
        <w:rPr>
          <w:b/>
          <w:u w:val="single"/>
          <w:lang w:val="en-CA"/>
        </w:rPr>
      </w:pPr>
      <w:r w:rsidRPr="0069671F">
        <w:rPr>
          <w:b/>
          <w:u w:val="single"/>
          <w:lang w:val="en-CA"/>
        </w:rPr>
        <w:t xml:space="preserve">Principles that </w:t>
      </w:r>
      <w:r w:rsidR="00BC468A" w:rsidRPr="0069671F">
        <w:rPr>
          <w:b/>
          <w:u w:val="single"/>
          <w:lang w:val="en-CA"/>
        </w:rPr>
        <w:t>G</w:t>
      </w:r>
      <w:r w:rsidRPr="0069671F">
        <w:rPr>
          <w:b/>
          <w:u w:val="single"/>
          <w:lang w:val="en-CA"/>
        </w:rPr>
        <w:t xml:space="preserve">uide M&amp;E </w:t>
      </w:r>
    </w:p>
    <w:p w14:paraId="32809C37" w14:textId="77777777" w:rsidR="00CA4238" w:rsidRPr="009D07E3" w:rsidRDefault="00CA4238" w:rsidP="00CA4238">
      <w:pPr>
        <w:rPr>
          <w:lang w:val="en-CA"/>
        </w:rPr>
      </w:pPr>
    </w:p>
    <w:p w14:paraId="16DF0FF2" w14:textId="6563B43D" w:rsidR="00B11CB6" w:rsidRPr="009D07E3" w:rsidRDefault="00B11CB6" w:rsidP="00CA4238">
      <w:pPr>
        <w:widowControl w:val="0"/>
        <w:tabs>
          <w:tab w:val="left" w:pos="220"/>
          <w:tab w:val="left" w:pos="720"/>
        </w:tabs>
        <w:autoSpaceDE w:val="0"/>
        <w:autoSpaceDN w:val="0"/>
        <w:adjustRightInd w:val="0"/>
        <w:rPr>
          <w:rFonts w:cs="Arial"/>
          <w:lang w:val="en-CA"/>
        </w:rPr>
      </w:pPr>
      <w:r w:rsidRPr="009D07E3">
        <w:rPr>
          <w:rFonts w:cs="Arial"/>
          <w:lang w:val="en-CA"/>
        </w:rPr>
        <w:t xml:space="preserve">The M&amp;E system for MAMPU Phase two should continue to be consistent with the following principles put forward in the program design: </w:t>
      </w:r>
    </w:p>
    <w:p w14:paraId="6E3CEF73" w14:textId="77777777" w:rsidR="00CA4238" w:rsidRPr="009D07E3" w:rsidRDefault="00CA4238" w:rsidP="00CA4238">
      <w:pPr>
        <w:widowControl w:val="0"/>
        <w:tabs>
          <w:tab w:val="left" w:pos="220"/>
          <w:tab w:val="left" w:pos="720"/>
        </w:tabs>
        <w:autoSpaceDE w:val="0"/>
        <w:autoSpaceDN w:val="0"/>
        <w:adjustRightInd w:val="0"/>
        <w:rPr>
          <w:rFonts w:cs="Arial"/>
          <w:lang w:val="en-CA"/>
        </w:rPr>
      </w:pPr>
    </w:p>
    <w:p w14:paraId="067363BA" w14:textId="3D068092" w:rsidR="00B11CB6" w:rsidRPr="009D07E3" w:rsidRDefault="00B11CB6" w:rsidP="00CA4238">
      <w:pPr>
        <w:widowControl w:val="0"/>
        <w:tabs>
          <w:tab w:val="left" w:pos="220"/>
          <w:tab w:val="left" w:pos="720"/>
        </w:tabs>
        <w:autoSpaceDE w:val="0"/>
        <w:autoSpaceDN w:val="0"/>
        <w:adjustRightInd w:val="0"/>
        <w:rPr>
          <w:rFonts w:cs="Arial"/>
          <w:lang w:val="en-CA"/>
        </w:rPr>
      </w:pPr>
      <w:r w:rsidRPr="009D07E3">
        <w:rPr>
          <w:rFonts w:cs="Arial"/>
          <w:b/>
          <w:lang w:val="en-CA"/>
        </w:rPr>
        <w:t>Outcomes and process focused:</w:t>
      </w:r>
      <w:r w:rsidRPr="009D07E3">
        <w:rPr>
          <w:rFonts w:cs="Arial"/>
          <w:lang w:val="en-CA"/>
        </w:rPr>
        <w:t xml:space="preserve"> M&amp;E focuses on the quality of implementation processes carried out, and equally on what outcomes have occurred as a result of these activities. Outcomes can be positive or negative, expected or unexpected. </w:t>
      </w:r>
    </w:p>
    <w:p w14:paraId="32BAF9DA" w14:textId="77777777" w:rsidR="00CA4238" w:rsidRPr="009D07E3" w:rsidRDefault="00CA4238" w:rsidP="00CA4238">
      <w:pPr>
        <w:widowControl w:val="0"/>
        <w:tabs>
          <w:tab w:val="left" w:pos="220"/>
          <w:tab w:val="left" w:pos="720"/>
        </w:tabs>
        <w:autoSpaceDE w:val="0"/>
        <w:autoSpaceDN w:val="0"/>
        <w:adjustRightInd w:val="0"/>
        <w:rPr>
          <w:rFonts w:cs="Arial"/>
          <w:b/>
          <w:lang w:val="en-CA"/>
        </w:rPr>
      </w:pPr>
    </w:p>
    <w:p w14:paraId="13C57B83" w14:textId="0B7CF855" w:rsidR="00B11CB6" w:rsidRPr="009D07E3" w:rsidRDefault="00B11CB6" w:rsidP="00CA4238">
      <w:pPr>
        <w:widowControl w:val="0"/>
        <w:tabs>
          <w:tab w:val="left" w:pos="220"/>
          <w:tab w:val="left" w:pos="720"/>
        </w:tabs>
        <w:autoSpaceDE w:val="0"/>
        <w:autoSpaceDN w:val="0"/>
        <w:adjustRightInd w:val="0"/>
        <w:rPr>
          <w:rFonts w:cs="Arial"/>
          <w:lang w:val="en-CA"/>
        </w:rPr>
      </w:pPr>
      <w:r w:rsidRPr="009D07E3">
        <w:rPr>
          <w:rFonts w:cs="Arial"/>
          <w:b/>
          <w:lang w:val="en-CA"/>
        </w:rPr>
        <w:t>Gender equality:</w:t>
      </w:r>
      <w:r w:rsidRPr="009D07E3">
        <w:rPr>
          <w:rFonts w:cs="Arial"/>
          <w:lang w:val="en-CA"/>
        </w:rPr>
        <w:t xml:space="preserve"> actively assess how the practical and strategic needs and opportunities of men and women have been affected</w:t>
      </w:r>
      <w:r w:rsidR="0028776A" w:rsidRPr="009D07E3">
        <w:rPr>
          <w:rFonts w:cs="Arial"/>
          <w:lang w:val="en-CA"/>
        </w:rPr>
        <w:t xml:space="preserve">. </w:t>
      </w:r>
      <w:r w:rsidRPr="009D07E3">
        <w:rPr>
          <w:rFonts w:cs="Arial"/>
          <w:lang w:val="en-CA"/>
        </w:rPr>
        <w:t xml:space="preserve">Monitoring and evaluation will examine how inequalities identified have been addressed and what impact they have had on the status of women and the freedom women have to meet their needs and those of their families. </w:t>
      </w:r>
    </w:p>
    <w:p w14:paraId="4A0FE966" w14:textId="77777777" w:rsidR="00CA4238" w:rsidRPr="009D07E3" w:rsidRDefault="00CA4238" w:rsidP="00CA4238">
      <w:pPr>
        <w:widowControl w:val="0"/>
        <w:tabs>
          <w:tab w:val="left" w:pos="220"/>
          <w:tab w:val="left" w:pos="720"/>
        </w:tabs>
        <w:autoSpaceDE w:val="0"/>
        <w:autoSpaceDN w:val="0"/>
        <w:adjustRightInd w:val="0"/>
        <w:rPr>
          <w:rFonts w:cs="Arial"/>
          <w:b/>
          <w:lang w:val="en-CA"/>
        </w:rPr>
      </w:pPr>
    </w:p>
    <w:p w14:paraId="1A201920" w14:textId="77777777" w:rsidR="00B11CB6" w:rsidRPr="009D07E3" w:rsidRDefault="00B11CB6" w:rsidP="00CA4238">
      <w:pPr>
        <w:widowControl w:val="0"/>
        <w:tabs>
          <w:tab w:val="left" w:pos="220"/>
          <w:tab w:val="left" w:pos="720"/>
        </w:tabs>
        <w:autoSpaceDE w:val="0"/>
        <w:autoSpaceDN w:val="0"/>
        <w:adjustRightInd w:val="0"/>
        <w:rPr>
          <w:rFonts w:cs="Arial"/>
          <w:lang w:val="en-CA"/>
        </w:rPr>
      </w:pPr>
      <w:r w:rsidRPr="009D07E3">
        <w:rPr>
          <w:rFonts w:cs="Arial"/>
          <w:b/>
          <w:lang w:val="en-CA"/>
        </w:rPr>
        <w:t>Gives voice to those most marginalised:</w:t>
      </w:r>
      <w:r w:rsidRPr="009D07E3">
        <w:rPr>
          <w:rFonts w:cs="Arial"/>
          <w:lang w:val="en-CA"/>
        </w:rPr>
        <w:t xml:space="preserve"> The M&amp;E system will actively create opportunities for the perspective of the most marginalised (e.g. women, the elderly and people with disabilities) to be communicated directly to both internal and external decision makers. This has been addressed though the inclusion of participatory monitoring techniques. </w:t>
      </w:r>
    </w:p>
    <w:p w14:paraId="5F79D9A6" w14:textId="77777777" w:rsidR="00CA4238" w:rsidRPr="009D07E3" w:rsidRDefault="00CA4238" w:rsidP="00CA4238">
      <w:pPr>
        <w:widowControl w:val="0"/>
        <w:tabs>
          <w:tab w:val="left" w:pos="220"/>
          <w:tab w:val="left" w:pos="720"/>
        </w:tabs>
        <w:autoSpaceDE w:val="0"/>
        <w:autoSpaceDN w:val="0"/>
        <w:adjustRightInd w:val="0"/>
        <w:rPr>
          <w:rFonts w:cs="Arial"/>
          <w:b/>
          <w:lang w:val="en-CA"/>
        </w:rPr>
      </w:pPr>
    </w:p>
    <w:p w14:paraId="5C708D81" w14:textId="13A90577" w:rsidR="00B11CB6" w:rsidRPr="009D07E3" w:rsidRDefault="00B11CB6" w:rsidP="00CA4238">
      <w:pPr>
        <w:widowControl w:val="0"/>
        <w:tabs>
          <w:tab w:val="left" w:pos="220"/>
          <w:tab w:val="left" w:pos="720"/>
        </w:tabs>
        <w:autoSpaceDE w:val="0"/>
        <w:autoSpaceDN w:val="0"/>
        <w:adjustRightInd w:val="0"/>
        <w:rPr>
          <w:rFonts w:cs="Arial"/>
          <w:lang w:val="en-CA"/>
        </w:rPr>
      </w:pPr>
      <w:r w:rsidRPr="009D07E3">
        <w:rPr>
          <w:rFonts w:cs="Arial"/>
          <w:b/>
          <w:lang w:val="en-CA"/>
        </w:rPr>
        <w:t>Look for the unexpected as well as expected outcomes:</w:t>
      </w:r>
      <w:r w:rsidRPr="009D07E3">
        <w:rPr>
          <w:rFonts w:cs="Arial"/>
          <w:lang w:val="en-CA"/>
        </w:rPr>
        <w:t xml:space="preserve"> Changes in the partners' design</w:t>
      </w:r>
      <w:r w:rsidR="00B30FA6">
        <w:rPr>
          <w:rFonts w:cs="Arial"/>
          <w:lang w:val="en-CA"/>
        </w:rPr>
        <w:t>s and implementation of activities are expected as partners</w:t>
      </w:r>
      <w:r w:rsidRPr="009D07E3">
        <w:rPr>
          <w:rFonts w:cs="Arial"/>
          <w:lang w:val="en-CA"/>
        </w:rPr>
        <w:t xml:space="preserve"> learn about what works and does not work, and as changes occur in the context. The M&amp;E should be sufficiently flexible to adapt to these changes. </w:t>
      </w:r>
    </w:p>
    <w:p w14:paraId="609FAF36" w14:textId="77777777" w:rsidR="00CA4238" w:rsidRPr="009D07E3" w:rsidRDefault="00CA4238" w:rsidP="00CA4238">
      <w:pPr>
        <w:widowControl w:val="0"/>
        <w:tabs>
          <w:tab w:val="left" w:pos="220"/>
          <w:tab w:val="left" w:pos="720"/>
        </w:tabs>
        <w:autoSpaceDE w:val="0"/>
        <w:autoSpaceDN w:val="0"/>
        <w:adjustRightInd w:val="0"/>
        <w:rPr>
          <w:rFonts w:cs="Arial"/>
          <w:b/>
          <w:lang w:val="en-CA"/>
        </w:rPr>
      </w:pPr>
    </w:p>
    <w:p w14:paraId="64F1867F" w14:textId="77777777" w:rsidR="00B11CB6" w:rsidRPr="009D07E3" w:rsidRDefault="00B11CB6" w:rsidP="00CA4238">
      <w:pPr>
        <w:widowControl w:val="0"/>
        <w:tabs>
          <w:tab w:val="left" w:pos="220"/>
          <w:tab w:val="left" w:pos="720"/>
        </w:tabs>
        <w:autoSpaceDE w:val="0"/>
        <w:autoSpaceDN w:val="0"/>
        <w:adjustRightInd w:val="0"/>
        <w:rPr>
          <w:rFonts w:cs="Arial"/>
          <w:lang w:val="en-CA"/>
        </w:rPr>
      </w:pPr>
      <w:proofErr w:type="gramStart"/>
      <w:r w:rsidRPr="009D07E3">
        <w:rPr>
          <w:rFonts w:cs="Arial"/>
          <w:b/>
          <w:lang w:val="en-CA"/>
        </w:rPr>
        <w:t>Strengthens partners’ M&amp;E systems:</w:t>
      </w:r>
      <w:r w:rsidRPr="009D07E3">
        <w:rPr>
          <w:rFonts w:cs="Arial"/>
          <w:lang w:val="en-CA"/>
        </w:rPr>
        <w:t xml:space="preserve"> Specific approaches have been put forward to support partners to use and strengthen their own M&amp;E systems.</w:t>
      </w:r>
      <w:proofErr w:type="gramEnd"/>
      <w:r w:rsidRPr="009D07E3">
        <w:rPr>
          <w:rFonts w:cs="Arial"/>
          <w:lang w:val="en-CA"/>
        </w:rPr>
        <w:t xml:space="preserve"> </w:t>
      </w:r>
    </w:p>
    <w:p w14:paraId="56434F5D" w14:textId="77777777" w:rsidR="00B30FA6" w:rsidRDefault="00B30FA6" w:rsidP="00CA4238">
      <w:pPr>
        <w:widowControl w:val="0"/>
        <w:tabs>
          <w:tab w:val="left" w:pos="220"/>
          <w:tab w:val="left" w:pos="720"/>
        </w:tabs>
        <w:autoSpaceDE w:val="0"/>
        <w:autoSpaceDN w:val="0"/>
        <w:adjustRightInd w:val="0"/>
        <w:rPr>
          <w:rFonts w:cs="Arial"/>
          <w:lang w:val="en-CA"/>
        </w:rPr>
      </w:pPr>
    </w:p>
    <w:p w14:paraId="20C1A0E9" w14:textId="544F8F3F" w:rsidR="00B11CB6" w:rsidRPr="009D07E3" w:rsidRDefault="00B11CB6" w:rsidP="00CA4238">
      <w:pPr>
        <w:widowControl w:val="0"/>
        <w:tabs>
          <w:tab w:val="left" w:pos="220"/>
          <w:tab w:val="left" w:pos="720"/>
        </w:tabs>
        <w:autoSpaceDE w:val="0"/>
        <w:autoSpaceDN w:val="0"/>
        <w:adjustRightInd w:val="0"/>
        <w:rPr>
          <w:rFonts w:cs="Arial"/>
          <w:lang w:val="en-CA"/>
        </w:rPr>
      </w:pPr>
      <w:r w:rsidRPr="009D07E3">
        <w:rPr>
          <w:rFonts w:cs="Arial"/>
          <w:lang w:val="en-CA"/>
        </w:rPr>
        <w:t xml:space="preserve">In addition, the following three principles specifically guide the approach of the MAMPU MC team to M&amp;E: </w:t>
      </w:r>
    </w:p>
    <w:p w14:paraId="691198C2" w14:textId="77777777" w:rsidR="00CA4238" w:rsidRPr="009D07E3" w:rsidRDefault="00CA4238" w:rsidP="00CA4238">
      <w:pPr>
        <w:widowControl w:val="0"/>
        <w:tabs>
          <w:tab w:val="left" w:pos="220"/>
          <w:tab w:val="left" w:pos="720"/>
        </w:tabs>
        <w:autoSpaceDE w:val="0"/>
        <w:autoSpaceDN w:val="0"/>
        <w:adjustRightInd w:val="0"/>
        <w:rPr>
          <w:rFonts w:cs="Arial"/>
          <w:b/>
          <w:lang w:val="en-CA"/>
        </w:rPr>
      </w:pPr>
    </w:p>
    <w:p w14:paraId="3F46DE44" w14:textId="0B3750D6" w:rsidR="00B11CB6" w:rsidRPr="009D07E3" w:rsidRDefault="00B11CB6" w:rsidP="00CA4238">
      <w:pPr>
        <w:widowControl w:val="0"/>
        <w:tabs>
          <w:tab w:val="left" w:pos="220"/>
          <w:tab w:val="left" w:pos="720"/>
        </w:tabs>
        <w:autoSpaceDE w:val="0"/>
        <w:autoSpaceDN w:val="0"/>
        <w:adjustRightInd w:val="0"/>
        <w:rPr>
          <w:rFonts w:cs="Arial"/>
          <w:lang w:val="en-CA"/>
        </w:rPr>
      </w:pPr>
      <w:r w:rsidRPr="009D07E3">
        <w:rPr>
          <w:rFonts w:cs="Arial"/>
          <w:b/>
          <w:lang w:val="en-CA"/>
        </w:rPr>
        <w:t>A user-focused orientation:</w:t>
      </w:r>
      <w:r w:rsidRPr="009D07E3">
        <w:rPr>
          <w:rFonts w:cs="Arial"/>
          <w:lang w:val="en-CA"/>
        </w:rPr>
        <w:t xml:space="preserve"> The M&amp;E system has been structured to provide the right information in the right format to key stakeholders when they need it.   </w:t>
      </w:r>
    </w:p>
    <w:p w14:paraId="631E4B20" w14:textId="77777777" w:rsidR="00CA4238" w:rsidRPr="009D07E3" w:rsidRDefault="00CA4238" w:rsidP="00CA4238">
      <w:pPr>
        <w:widowControl w:val="0"/>
        <w:autoSpaceDE w:val="0"/>
        <w:autoSpaceDN w:val="0"/>
        <w:adjustRightInd w:val="0"/>
        <w:rPr>
          <w:rFonts w:cs="Arial"/>
          <w:b/>
          <w:lang w:val="en-CA"/>
        </w:rPr>
      </w:pPr>
    </w:p>
    <w:p w14:paraId="1CC9A575" w14:textId="77777777" w:rsidR="00B11CB6" w:rsidRPr="009D07E3" w:rsidRDefault="00B11CB6" w:rsidP="00CA4238">
      <w:pPr>
        <w:widowControl w:val="0"/>
        <w:autoSpaceDE w:val="0"/>
        <w:autoSpaceDN w:val="0"/>
        <w:adjustRightInd w:val="0"/>
        <w:rPr>
          <w:rFonts w:cs="Arial"/>
          <w:lang w:val="en-CA"/>
        </w:rPr>
      </w:pPr>
      <w:r w:rsidRPr="009D07E3">
        <w:rPr>
          <w:rFonts w:cs="Arial"/>
          <w:b/>
          <w:lang w:val="en-CA"/>
        </w:rPr>
        <w:t>Learning-by-doing:</w:t>
      </w:r>
      <w:r w:rsidRPr="009D07E3">
        <w:rPr>
          <w:rFonts w:cs="Arial"/>
          <w:lang w:val="en-CA"/>
        </w:rPr>
        <w:t xml:space="preserve"> Consistent with the approach to capacity development described in the MAMPU Capacity Development Strategy, this M&amp;E Plan takes a practical ‘learning-by-doing’ approach to supporting partners. </w:t>
      </w:r>
    </w:p>
    <w:p w14:paraId="1C35061C" w14:textId="77777777" w:rsidR="00CA4238" w:rsidRPr="009D07E3" w:rsidRDefault="00CA4238" w:rsidP="00CA4238">
      <w:pPr>
        <w:widowControl w:val="0"/>
        <w:autoSpaceDE w:val="0"/>
        <w:autoSpaceDN w:val="0"/>
        <w:adjustRightInd w:val="0"/>
        <w:rPr>
          <w:rFonts w:cs="Arial"/>
          <w:b/>
          <w:lang w:val="en-CA"/>
        </w:rPr>
      </w:pPr>
    </w:p>
    <w:p w14:paraId="7EDD294E" w14:textId="77777777" w:rsidR="00B11CB6" w:rsidRPr="009D07E3" w:rsidRDefault="00B11CB6" w:rsidP="00CA4238">
      <w:pPr>
        <w:widowControl w:val="0"/>
        <w:autoSpaceDE w:val="0"/>
        <w:autoSpaceDN w:val="0"/>
        <w:adjustRightInd w:val="0"/>
        <w:rPr>
          <w:rFonts w:cs="Arial"/>
          <w:lang w:val="en-CA"/>
        </w:rPr>
      </w:pPr>
      <w:r w:rsidRPr="009D07E3">
        <w:rPr>
          <w:rFonts w:cs="Arial"/>
          <w:b/>
          <w:lang w:val="en-CA"/>
        </w:rPr>
        <w:t>A strengths-based approach:</w:t>
      </w:r>
      <w:r w:rsidRPr="009D07E3">
        <w:rPr>
          <w:rFonts w:cs="Arial"/>
          <w:lang w:val="en-CA"/>
        </w:rPr>
        <w:t xml:space="preserve"> that builds on what the partners already do. Such an approach begins from the partners’ existing systems and processes. </w:t>
      </w:r>
    </w:p>
    <w:p w14:paraId="108A4A45" w14:textId="244FFFFD" w:rsidR="00B11CB6" w:rsidRPr="009D07E3" w:rsidRDefault="005E0297" w:rsidP="005E0297">
      <w:pPr>
        <w:jc w:val="left"/>
        <w:rPr>
          <w:rFonts w:cs="Arial"/>
          <w:lang w:val="en-CA"/>
        </w:rPr>
      </w:pPr>
      <w:r>
        <w:rPr>
          <w:rFonts w:cs="Arial"/>
          <w:lang w:val="en-CA"/>
        </w:rPr>
        <w:br w:type="page"/>
      </w:r>
    </w:p>
    <w:p w14:paraId="167CE862" w14:textId="393820D6" w:rsidR="00B11CB6" w:rsidRPr="005E0297" w:rsidRDefault="00B11CB6" w:rsidP="005E0297">
      <w:pPr>
        <w:pStyle w:val="Heading2"/>
        <w:rPr>
          <w:lang w:val="en-CA"/>
        </w:rPr>
      </w:pPr>
      <w:bookmarkStart w:id="64" w:name="_Toc423438748"/>
      <w:r w:rsidRPr="005E0297">
        <w:rPr>
          <w:lang w:val="en-CA"/>
        </w:rPr>
        <w:t>Finance and Grants</w:t>
      </w:r>
      <w:bookmarkEnd w:id="64"/>
      <w:r w:rsidRPr="005E0297">
        <w:rPr>
          <w:lang w:val="en-CA"/>
        </w:rPr>
        <w:t xml:space="preserve"> </w:t>
      </w:r>
    </w:p>
    <w:p w14:paraId="39508237" w14:textId="77777777" w:rsidR="00CA4238" w:rsidRPr="009D07E3" w:rsidRDefault="00CA4238" w:rsidP="00CA4238">
      <w:pPr>
        <w:keepNext/>
        <w:rPr>
          <w:lang w:val="en-CA"/>
        </w:rPr>
      </w:pPr>
    </w:p>
    <w:p w14:paraId="50EBBA70" w14:textId="3814C46B" w:rsidR="00B11CB6" w:rsidRPr="009D07E3" w:rsidRDefault="00B11CB6" w:rsidP="000A333F">
      <w:pPr>
        <w:pStyle w:val="NoSpacing"/>
        <w:jc w:val="both"/>
        <w:rPr>
          <w:rFonts w:cs="Arial"/>
          <w:sz w:val="20"/>
          <w:szCs w:val="20"/>
          <w:lang w:val="en-CA"/>
        </w:rPr>
      </w:pPr>
      <w:r w:rsidRPr="009D07E3">
        <w:rPr>
          <w:rFonts w:cs="Arial"/>
          <w:sz w:val="20"/>
          <w:szCs w:val="20"/>
          <w:lang w:val="en-CA"/>
        </w:rPr>
        <w:t>Over the next decade, as Indones</w:t>
      </w:r>
      <w:r w:rsidR="0045034F" w:rsidRPr="009D07E3">
        <w:rPr>
          <w:rFonts w:cs="Arial"/>
          <w:sz w:val="20"/>
          <w:szCs w:val="20"/>
          <w:lang w:val="en-CA"/>
        </w:rPr>
        <w:t xml:space="preserve">ia progresses towards </w:t>
      </w:r>
      <w:r w:rsidRPr="009D07E3">
        <w:rPr>
          <w:rFonts w:cs="Arial"/>
          <w:sz w:val="20"/>
          <w:szCs w:val="20"/>
          <w:lang w:val="en-CA"/>
        </w:rPr>
        <w:t xml:space="preserve">middle income country status, Indonesia is likely to see bilateral donor funding reduced. This will generate increased competition amongst </w:t>
      </w:r>
      <w:r w:rsidR="00E62796" w:rsidRPr="009D07E3">
        <w:rPr>
          <w:rFonts w:cs="Arial"/>
          <w:sz w:val="20"/>
          <w:szCs w:val="20"/>
          <w:lang w:val="en-CA"/>
        </w:rPr>
        <w:t xml:space="preserve">CSOs </w:t>
      </w:r>
      <w:r w:rsidRPr="009D07E3">
        <w:rPr>
          <w:rFonts w:cs="Arial"/>
          <w:sz w:val="20"/>
          <w:szCs w:val="20"/>
          <w:lang w:val="en-CA"/>
        </w:rPr>
        <w:t xml:space="preserve">for more limited bilateral aid funding opportunities. Local </w:t>
      </w:r>
      <w:r w:rsidR="00E62796" w:rsidRPr="009D07E3">
        <w:rPr>
          <w:rFonts w:cs="Arial"/>
          <w:sz w:val="20"/>
          <w:szCs w:val="20"/>
          <w:lang w:val="en-CA"/>
        </w:rPr>
        <w:t>CSOs</w:t>
      </w:r>
      <w:r w:rsidRPr="009D07E3">
        <w:rPr>
          <w:rFonts w:cs="Arial"/>
          <w:sz w:val="20"/>
          <w:szCs w:val="20"/>
          <w:lang w:val="en-CA"/>
        </w:rPr>
        <w:t xml:space="preserve"> will need robust infrastructure, better systems and</w:t>
      </w:r>
      <w:r w:rsidR="0045034F" w:rsidRPr="009D07E3">
        <w:rPr>
          <w:rFonts w:cs="Arial"/>
          <w:sz w:val="20"/>
          <w:szCs w:val="20"/>
          <w:lang w:val="en-CA"/>
        </w:rPr>
        <w:t xml:space="preserve"> efficient management to become more sustainable</w:t>
      </w:r>
      <w:r w:rsidRPr="009D07E3">
        <w:rPr>
          <w:rFonts w:cs="Arial"/>
          <w:sz w:val="20"/>
          <w:szCs w:val="20"/>
          <w:lang w:val="en-CA"/>
        </w:rPr>
        <w:t xml:space="preserve">. </w:t>
      </w:r>
    </w:p>
    <w:tbl>
      <w:tblPr>
        <w:tblStyle w:val="TableGrid"/>
        <w:tblpPr w:leftFromText="180" w:rightFromText="180" w:vertAnchor="text" w:horzAnchor="page" w:tblpX="1405" w:tblpY="1054"/>
        <w:tblW w:w="9085" w:type="dxa"/>
        <w:tblLook w:val="04A0" w:firstRow="1" w:lastRow="0" w:firstColumn="1" w:lastColumn="0" w:noHBand="0" w:noVBand="1"/>
      </w:tblPr>
      <w:tblGrid>
        <w:gridCol w:w="2965"/>
        <w:gridCol w:w="6120"/>
      </w:tblGrid>
      <w:tr w:rsidR="005E0297" w:rsidRPr="005E0297" w14:paraId="5A00AC75" w14:textId="77777777" w:rsidTr="005E0297">
        <w:trPr>
          <w:tblHeader/>
        </w:trPr>
        <w:tc>
          <w:tcPr>
            <w:tcW w:w="2965" w:type="dxa"/>
            <w:shd w:val="clear" w:color="auto" w:fill="006CB6"/>
          </w:tcPr>
          <w:p w14:paraId="37520166" w14:textId="77777777" w:rsidR="005E0297" w:rsidRPr="005E0297" w:rsidRDefault="005E0297" w:rsidP="005E0297">
            <w:pPr>
              <w:pStyle w:val="NoSpacing"/>
              <w:spacing w:before="120" w:after="120"/>
              <w:jc w:val="center"/>
              <w:rPr>
                <w:rFonts w:cs="Arial"/>
                <w:b/>
                <w:iCs/>
                <w:color w:val="FFFFFF" w:themeColor="background1"/>
                <w:sz w:val="20"/>
                <w:szCs w:val="20"/>
                <w:lang w:val="en-CA"/>
              </w:rPr>
            </w:pPr>
            <w:r w:rsidRPr="005E0297">
              <w:rPr>
                <w:rFonts w:cs="Arial"/>
                <w:b/>
                <w:iCs/>
                <w:color w:val="FFFFFF" w:themeColor="background1"/>
                <w:sz w:val="20"/>
                <w:szCs w:val="20"/>
                <w:lang w:val="en-CA"/>
              </w:rPr>
              <w:t>Priority Target Areas</w:t>
            </w:r>
          </w:p>
        </w:tc>
        <w:tc>
          <w:tcPr>
            <w:tcW w:w="6120" w:type="dxa"/>
            <w:shd w:val="clear" w:color="auto" w:fill="006CB6"/>
          </w:tcPr>
          <w:p w14:paraId="600C7C12" w14:textId="77777777" w:rsidR="005E0297" w:rsidRPr="005E0297" w:rsidRDefault="005E0297" w:rsidP="005E0297">
            <w:pPr>
              <w:pStyle w:val="NoSpacing"/>
              <w:spacing w:before="120" w:after="120"/>
              <w:jc w:val="center"/>
              <w:rPr>
                <w:rFonts w:cs="Arial"/>
                <w:b/>
                <w:iCs/>
                <w:color w:val="FFFFFF" w:themeColor="background1"/>
                <w:sz w:val="20"/>
                <w:szCs w:val="20"/>
                <w:lang w:val="en-CA"/>
              </w:rPr>
            </w:pPr>
            <w:r w:rsidRPr="005E0297">
              <w:rPr>
                <w:rFonts w:cs="Arial"/>
                <w:b/>
                <w:iCs/>
                <w:color w:val="FFFFFF" w:themeColor="background1"/>
                <w:sz w:val="20"/>
                <w:szCs w:val="20"/>
                <w:lang w:val="en-CA"/>
              </w:rPr>
              <w:t>Indicators of Change</w:t>
            </w:r>
          </w:p>
        </w:tc>
      </w:tr>
      <w:tr w:rsidR="005E0297" w:rsidRPr="005E0297" w14:paraId="1DCC4DBC" w14:textId="77777777" w:rsidTr="005E0297">
        <w:tc>
          <w:tcPr>
            <w:tcW w:w="2965" w:type="dxa"/>
          </w:tcPr>
          <w:p w14:paraId="66E4F040" w14:textId="77777777" w:rsidR="005E0297" w:rsidRPr="005E0297" w:rsidRDefault="005E0297" w:rsidP="005E0297">
            <w:pPr>
              <w:pStyle w:val="NoSpacing"/>
              <w:spacing w:before="120" w:after="120"/>
              <w:rPr>
                <w:rFonts w:cs="Arial"/>
                <w:iCs/>
                <w:sz w:val="20"/>
                <w:szCs w:val="20"/>
                <w:u w:val="single"/>
                <w:lang w:val="en-CA"/>
              </w:rPr>
            </w:pPr>
            <w:r w:rsidRPr="005E0297">
              <w:rPr>
                <w:rFonts w:cs="Arial"/>
                <w:b/>
                <w:iCs/>
                <w:sz w:val="20"/>
                <w:szCs w:val="20"/>
                <w:u w:val="single"/>
                <w:lang w:val="en-CA"/>
              </w:rPr>
              <w:t>Cost and value consciousness:</w:t>
            </w:r>
            <w:r w:rsidRPr="005E0297">
              <w:rPr>
                <w:rFonts w:cs="Arial"/>
                <w:iCs/>
                <w:sz w:val="20"/>
                <w:szCs w:val="20"/>
                <w:u w:val="single"/>
                <w:lang w:val="en-CA"/>
              </w:rPr>
              <w:t xml:space="preserve"> </w:t>
            </w:r>
            <w:r w:rsidRPr="005E0297">
              <w:rPr>
                <w:rFonts w:cs="Arial"/>
                <w:iCs/>
                <w:sz w:val="20"/>
                <w:szCs w:val="20"/>
                <w:lang w:val="en-CA"/>
              </w:rPr>
              <w:t>Partners consider cost and value in all activity decision-making. Management and finance teams understand both cost and development effectiveness when managing activities.</w:t>
            </w:r>
          </w:p>
        </w:tc>
        <w:tc>
          <w:tcPr>
            <w:tcW w:w="6120" w:type="dxa"/>
          </w:tcPr>
          <w:p w14:paraId="77E1A8BB" w14:textId="77777777" w:rsidR="005E0297" w:rsidRPr="005E0297" w:rsidRDefault="005E0297" w:rsidP="005E0297">
            <w:pPr>
              <w:pStyle w:val="NoSpacing"/>
              <w:numPr>
                <w:ilvl w:val="0"/>
                <w:numId w:val="3"/>
              </w:numPr>
              <w:spacing w:before="120" w:after="60"/>
              <w:ind w:left="365" w:hanging="365"/>
              <w:rPr>
                <w:rFonts w:cs="Arial"/>
                <w:iCs/>
                <w:sz w:val="20"/>
                <w:szCs w:val="20"/>
                <w:lang w:val="en-CA"/>
              </w:rPr>
            </w:pPr>
            <w:r w:rsidRPr="005E0297">
              <w:rPr>
                <w:rFonts w:cs="Arial"/>
                <w:iCs/>
                <w:sz w:val="20"/>
                <w:szCs w:val="20"/>
                <w:lang w:val="en-CA"/>
              </w:rPr>
              <w:t>Partners have delegation of authority documents in place for both spending and commitment decisions;</w:t>
            </w:r>
          </w:p>
          <w:p w14:paraId="2712F3D7" w14:textId="77777777" w:rsidR="005E0297" w:rsidRPr="005E0297" w:rsidRDefault="005E0297" w:rsidP="005E0297">
            <w:pPr>
              <w:pStyle w:val="NoSpacing"/>
              <w:numPr>
                <w:ilvl w:val="0"/>
                <w:numId w:val="3"/>
              </w:numPr>
              <w:spacing w:after="60"/>
              <w:rPr>
                <w:rFonts w:cs="Arial"/>
                <w:iCs/>
                <w:sz w:val="20"/>
                <w:szCs w:val="20"/>
                <w:lang w:val="en-CA"/>
              </w:rPr>
            </w:pPr>
            <w:r w:rsidRPr="005E0297">
              <w:rPr>
                <w:rFonts w:cs="Arial"/>
                <w:iCs/>
                <w:sz w:val="20"/>
                <w:szCs w:val="20"/>
                <w:lang w:val="en-CA"/>
              </w:rPr>
              <w:t>Teams seek multiple quotes and consider value for money in  procurement processes (and have robust purchase/procurement systems and policies);</w:t>
            </w:r>
          </w:p>
          <w:p w14:paraId="1D2133C8" w14:textId="77777777" w:rsidR="005E0297" w:rsidRPr="005E0297" w:rsidRDefault="005E0297" w:rsidP="005E0297">
            <w:pPr>
              <w:pStyle w:val="NoSpacing"/>
              <w:numPr>
                <w:ilvl w:val="0"/>
                <w:numId w:val="3"/>
              </w:numPr>
              <w:rPr>
                <w:rFonts w:cs="Arial"/>
                <w:iCs/>
                <w:sz w:val="20"/>
                <w:szCs w:val="20"/>
                <w:lang w:val="en-CA"/>
              </w:rPr>
            </w:pPr>
            <w:r w:rsidRPr="005E0297">
              <w:rPr>
                <w:rFonts w:cs="Arial"/>
                <w:iCs/>
                <w:sz w:val="20"/>
                <w:szCs w:val="20"/>
                <w:lang w:val="en-CA"/>
              </w:rPr>
              <w:t>Partner Directors (boards/committees) adopt and implement accountable and transparent measures to respond to donors, clients, governmental agencies and the community.</w:t>
            </w:r>
          </w:p>
        </w:tc>
      </w:tr>
      <w:tr w:rsidR="005E0297" w:rsidRPr="005E0297" w14:paraId="72E76372" w14:textId="77777777" w:rsidTr="005E0297">
        <w:tc>
          <w:tcPr>
            <w:tcW w:w="2965" w:type="dxa"/>
          </w:tcPr>
          <w:p w14:paraId="41CEE31D" w14:textId="77777777" w:rsidR="005E0297" w:rsidRPr="005E0297" w:rsidRDefault="005E0297" w:rsidP="005E0297">
            <w:pPr>
              <w:pStyle w:val="NoSpacing"/>
              <w:spacing w:before="120"/>
              <w:rPr>
                <w:rFonts w:cs="Arial"/>
                <w:iCs/>
                <w:sz w:val="20"/>
                <w:szCs w:val="20"/>
                <w:u w:val="single"/>
                <w:lang w:val="en-CA"/>
              </w:rPr>
            </w:pPr>
            <w:r w:rsidRPr="005E0297">
              <w:rPr>
                <w:rFonts w:cs="Arial"/>
                <w:b/>
                <w:iCs/>
                <w:sz w:val="20"/>
                <w:szCs w:val="20"/>
                <w:u w:val="single"/>
                <w:lang w:val="en-CA"/>
              </w:rPr>
              <w:t>Fiduciary systems in place:</w:t>
            </w:r>
            <w:r w:rsidRPr="005E0297">
              <w:rPr>
                <w:rFonts w:cs="Arial"/>
                <w:iCs/>
                <w:sz w:val="20"/>
                <w:szCs w:val="20"/>
                <w:u w:val="single"/>
                <w:lang w:val="en-CA"/>
              </w:rPr>
              <w:t xml:space="preserve"> </w:t>
            </w:r>
            <w:r w:rsidRPr="005E0297">
              <w:rPr>
                <w:rFonts w:cs="Arial"/>
                <w:iCs/>
                <w:sz w:val="20"/>
                <w:szCs w:val="20"/>
                <w:lang w:val="en-CA"/>
              </w:rPr>
              <w:t>Systems and procedures are in place to undertake accurate, timely, and compliant financial management.</w:t>
            </w:r>
          </w:p>
        </w:tc>
        <w:tc>
          <w:tcPr>
            <w:tcW w:w="6120" w:type="dxa"/>
          </w:tcPr>
          <w:p w14:paraId="38EBA3C1" w14:textId="77777777" w:rsidR="005E0297" w:rsidRPr="005E0297" w:rsidRDefault="005E0297" w:rsidP="005E0297">
            <w:pPr>
              <w:pStyle w:val="NoSpacing"/>
              <w:numPr>
                <w:ilvl w:val="0"/>
                <w:numId w:val="4"/>
              </w:numPr>
              <w:spacing w:before="120" w:after="60"/>
              <w:ind w:left="365" w:hanging="365"/>
              <w:rPr>
                <w:rFonts w:cs="Arial"/>
                <w:iCs/>
                <w:sz w:val="20"/>
                <w:szCs w:val="20"/>
                <w:lang w:val="en-CA"/>
              </w:rPr>
            </w:pPr>
            <w:r w:rsidRPr="005E0297">
              <w:rPr>
                <w:rFonts w:cs="Arial"/>
                <w:iCs/>
                <w:sz w:val="20"/>
                <w:szCs w:val="20"/>
                <w:lang w:val="en-CA"/>
              </w:rPr>
              <w:t>Partners are reviewed regularly against 4 key indicators (timeliness, accuracy, proper supporting documentation and compliance with allowable claims) to track and monitor financial performance;</w:t>
            </w:r>
          </w:p>
          <w:p w14:paraId="42F6033F" w14:textId="77777777" w:rsidR="005E0297" w:rsidRPr="005E0297" w:rsidRDefault="005E0297" w:rsidP="005E0297">
            <w:pPr>
              <w:pStyle w:val="NoSpacing"/>
              <w:numPr>
                <w:ilvl w:val="0"/>
                <w:numId w:val="4"/>
              </w:numPr>
              <w:spacing w:after="120"/>
              <w:rPr>
                <w:rFonts w:cs="Arial"/>
                <w:iCs/>
                <w:sz w:val="20"/>
                <w:szCs w:val="20"/>
                <w:lang w:val="en-CA"/>
              </w:rPr>
            </w:pPr>
            <w:r w:rsidRPr="005E0297">
              <w:rPr>
                <w:rFonts w:cs="Arial"/>
                <w:iCs/>
                <w:sz w:val="20"/>
                <w:szCs w:val="20"/>
                <w:lang w:val="en-CA"/>
              </w:rPr>
              <w:t>Partners have the appropriate financial systems in place to enable complete month-end financial reporting (bank reconciliation, trial balance etc.).</w:t>
            </w:r>
          </w:p>
        </w:tc>
      </w:tr>
      <w:tr w:rsidR="005E0297" w:rsidRPr="005E0297" w14:paraId="543E5940" w14:textId="77777777" w:rsidTr="005E0297">
        <w:tc>
          <w:tcPr>
            <w:tcW w:w="2965" w:type="dxa"/>
          </w:tcPr>
          <w:p w14:paraId="31DF0B45" w14:textId="7CE62F2F" w:rsidR="005E0297" w:rsidRPr="005E0297" w:rsidRDefault="005E0297" w:rsidP="005E0297">
            <w:pPr>
              <w:pStyle w:val="NoSpacing"/>
              <w:spacing w:before="120"/>
              <w:rPr>
                <w:rFonts w:cs="Arial"/>
                <w:iCs/>
                <w:sz w:val="20"/>
                <w:szCs w:val="20"/>
                <w:u w:val="single"/>
                <w:lang w:val="en-CA"/>
              </w:rPr>
            </w:pPr>
            <w:r w:rsidRPr="005E0297">
              <w:rPr>
                <w:rFonts w:cs="Arial"/>
                <w:b/>
                <w:iCs/>
                <w:sz w:val="20"/>
                <w:szCs w:val="20"/>
                <w:u w:val="single"/>
                <w:lang w:val="en-CA"/>
              </w:rPr>
              <w:t>Corruption and Fraud Control</w:t>
            </w:r>
            <w:r>
              <w:rPr>
                <w:rFonts w:cs="Arial"/>
                <w:iCs/>
                <w:sz w:val="20"/>
                <w:szCs w:val="20"/>
                <w:u w:val="single"/>
                <w:lang w:val="en-CA"/>
              </w:rPr>
              <w:t xml:space="preserve">: </w:t>
            </w:r>
            <w:r w:rsidRPr="005E0297">
              <w:rPr>
                <w:rFonts w:cs="Arial"/>
                <w:iCs/>
                <w:sz w:val="20"/>
                <w:szCs w:val="20"/>
                <w:lang w:val="en-CA"/>
              </w:rPr>
              <w:t>Systems are in place to suspect, detect and investigate fraud and corruption</w:t>
            </w:r>
          </w:p>
        </w:tc>
        <w:tc>
          <w:tcPr>
            <w:tcW w:w="6120" w:type="dxa"/>
          </w:tcPr>
          <w:p w14:paraId="54C01D79" w14:textId="77777777" w:rsidR="005E0297" w:rsidRPr="005E0297" w:rsidRDefault="005E0297" w:rsidP="005E0297">
            <w:pPr>
              <w:pStyle w:val="NoSpacing"/>
              <w:numPr>
                <w:ilvl w:val="0"/>
                <w:numId w:val="5"/>
              </w:numPr>
              <w:spacing w:before="120" w:after="60"/>
              <w:ind w:left="365" w:hanging="365"/>
              <w:rPr>
                <w:rFonts w:cs="Arial"/>
                <w:iCs/>
                <w:sz w:val="20"/>
                <w:szCs w:val="20"/>
                <w:lang w:val="en-CA"/>
              </w:rPr>
            </w:pPr>
            <w:r w:rsidRPr="005E0297">
              <w:rPr>
                <w:rFonts w:cs="Arial"/>
                <w:iCs/>
                <w:sz w:val="20"/>
                <w:szCs w:val="20"/>
                <w:lang w:val="en-CA"/>
              </w:rPr>
              <w:t>Partners have financial controls /frameworks /sanctions in place to mitigate fraud;</w:t>
            </w:r>
          </w:p>
          <w:p w14:paraId="693788C4" w14:textId="77777777" w:rsidR="005E0297" w:rsidRPr="005E0297" w:rsidRDefault="005E0297" w:rsidP="005E0297">
            <w:pPr>
              <w:pStyle w:val="NoSpacing"/>
              <w:numPr>
                <w:ilvl w:val="0"/>
                <w:numId w:val="5"/>
              </w:numPr>
              <w:spacing w:after="60"/>
              <w:rPr>
                <w:rFonts w:cs="Arial"/>
                <w:iCs/>
                <w:sz w:val="20"/>
                <w:szCs w:val="20"/>
                <w:lang w:val="en-CA"/>
              </w:rPr>
            </w:pPr>
            <w:r w:rsidRPr="005E0297">
              <w:rPr>
                <w:rFonts w:cs="Arial"/>
                <w:iCs/>
                <w:sz w:val="20"/>
                <w:szCs w:val="20"/>
                <w:lang w:val="en-CA"/>
              </w:rPr>
              <w:t>Partners have transparent and private complaints</w:t>
            </w:r>
            <w:r w:rsidRPr="005E0297">
              <w:rPr>
                <w:rFonts w:cs="Arial"/>
                <w:iCs/>
                <w:sz w:val="20"/>
                <w:szCs w:val="20"/>
                <w:lang w:val="en-CA"/>
              </w:rPr>
              <w:noBreakHyphen/>
              <w:t>handling/ whistleblowing mechanisms in place to detect corruption and fraud;</w:t>
            </w:r>
          </w:p>
          <w:p w14:paraId="1286B0EE" w14:textId="77777777" w:rsidR="005E0297" w:rsidRPr="005E0297" w:rsidRDefault="005E0297" w:rsidP="005E0297">
            <w:pPr>
              <w:pStyle w:val="NoSpacing"/>
              <w:numPr>
                <w:ilvl w:val="0"/>
                <w:numId w:val="5"/>
              </w:numPr>
              <w:spacing w:after="120"/>
              <w:rPr>
                <w:rFonts w:cs="Arial"/>
                <w:iCs/>
                <w:sz w:val="20"/>
                <w:szCs w:val="20"/>
                <w:lang w:val="en-CA"/>
              </w:rPr>
            </w:pPr>
            <w:r w:rsidRPr="005E0297">
              <w:rPr>
                <w:rFonts w:cs="Arial"/>
                <w:iCs/>
                <w:sz w:val="20"/>
                <w:szCs w:val="20"/>
                <w:lang w:val="en-CA"/>
              </w:rPr>
              <w:t>Partners regularly use participatory audit to ensure stakeholder voices are central to performance review and to keep activities free from fraud and corruption.</w:t>
            </w:r>
          </w:p>
        </w:tc>
      </w:tr>
      <w:tr w:rsidR="005E0297" w:rsidRPr="005E0297" w14:paraId="5C28FC01" w14:textId="77777777" w:rsidTr="005E0297">
        <w:tc>
          <w:tcPr>
            <w:tcW w:w="2965" w:type="dxa"/>
          </w:tcPr>
          <w:p w14:paraId="76F2CE54" w14:textId="40ECA65E" w:rsidR="005E0297" w:rsidRPr="005E0297" w:rsidRDefault="005E0297" w:rsidP="005E0297">
            <w:pPr>
              <w:pStyle w:val="NoSpacing"/>
              <w:keepNext/>
              <w:spacing w:before="120"/>
              <w:rPr>
                <w:rFonts w:cs="Arial"/>
                <w:iCs/>
                <w:sz w:val="20"/>
                <w:szCs w:val="20"/>
                <w:u w:val="single"/>
                <w:lang w:val="en-CA"/>
              </w:rPr>
            </w:pPr>
            <w:r w:rsidRPr="005E0297">
              <w:rPr>
                <w:rFonts w:cs="Arial"/>
                <w:b/>
                <w:iCs/>
                <w:sz w:val="20"/>
                <w:szCs w:val="20"/>
                <w:u w:val="single"/>
                <w:lang w:val="en-CA"/>
              </w:rPr>
              <w:t>Managing Risk</w:t>
            </w:r>
            <w:r>
              <w:rPr>
                <w:rFonts w:cs="Arial"/>
                <w:iCs/>
                <w:sz w:val="20"/>
                <w:szCs w:val="20"/>
                <w:u w:val="single"/>
                <w:lang w:val="en-CA"/>
              </w:rPr>
              <w:t>:</w:t>
            </w:r>
            <w:r w:rsidRPr="005E0297">
              <w:rPr>
                <w:rFonts w:cs="Arial"/>
                <w:iCs/>
                <w:sz w:val="20"/>
                <w:szCs w:val="20"/>
                <w:lang w:val="en-CA"/>
              </w:rPr>
              <w:t xml:space="preserve"> risk management is regularly assessed and updated</w:t>
            </w:r>
          </w:p>
        </w:tc>
        <w:tc>
          <w:tcPr>
            <w:tcW w:w="6120" w:type="dxa"/>
          </w:tcPr>
          <w:p w14:paraId="5BE263CD" w14:textId="77777777" w:rsidR="005E0297" w:rsidRPr="005E0297" w:rsidRDefault="005E0297" w:rsidP="005E0297">
            <w:pPr>
              <w:pStyle w:val="NoSpacing"/>
              <w:keepNext/>
              <w:numPr>
                <w:ilvl w:val="0"/>
                <w:numId w:val="6"/>
              </w:numPr>
              <w:spacing w:before="120" w:after="60"/>
              <w:rPr>
                <w:rFonts w:cs="Arial"/>
                <w:iCs/>
                <w:sz w:val="20"/>
                <w:szCs w:val="20"/>
                <w:lang w:val="en-CA"/>
              </w:rPr>
            </w:pPr>
            <w:r w:rsidRPr="005E0297">
              <w:rPr>
                <w:rFonts w:cs="Arial"/>
                <w:iCs/>
                <w:sz w:val="20"/>
                <w:szCs w:val="20"/>
                <w:lang w:val="en-CA"/>
              </w:rPr>
              <w:t xml:space="preserve">Risk management and analysis is integrated into Partner reviews; </w:t>
            </w:r>
          </w:p>
          <w:p w14:paraId="171B8FE8" w14:textId="77777777" w:rsidR="005E0297" w:rsidRPr="005E0297" w:rsidRDefault="005E0297" w:rsidP="005E0297">
            <w:pPr>
              <w:pStyle w:val="NoSpacing"/>
              <w:keepNext/>
              <w:numPr>
                <w:ilvl w:val="0"/>
                <w:numId w:val="6"/>
              </w:numPr>
              <w:spacing w:after="60"/>
              <w:rPr>
                <w:rFonts w:cs="Arial"/>
                <w:iCs/>
                <w:sz w:val="20"/>
                <w:szCs w:val="20"/>
                <w:lang w:val="en-CA"/>
              </w:rPr>
            </w:pPr>
            <w:r w:rsidRPr="005E0297">
              <w:rPr>
                <w:rFonts w:cs="Arial"/>
                <w:iCs/>
                <w:sz w:val="20"/>
                <w:szCs w:val="20"/>
                <w:lang w:val="en-CA"/>
              </w:rPr>
              <w:t>Partners have risk management frameworks in place;</w:t>
            </w:r>
          </w:p>
          <w:p w14:paraId="176C885B" w14:textId="77777777" w:rsidR="005E0297" w:rsidRPr="005E0297" w:rsidRDefault="005E0297" w:rsidP="005E0297">
            <w:pPr>
              <w:pStyle w:val="NoSpacing"/>
              <w:keepNext/>
              <w:numPr>
                <w:ilvl w:val="0"/>
                <w:numId w:val="6"/>
              </w:numPr>
              <w:spacing w:after="60"/>
              <w:rPr>
                <w:rFonts w:cs="Arial"/>
                <w:iCs/>
                <w:sz w:val="20"/>
                <w:szCs w:val="20"/>
                <w:lang w:val="en-CA"/>
              </w:rPr>
            </w:pPr>
            <w:r w:rsidRPr="005E0297">
              <w:rPr>
                <w:rFonts w:cs="Arial"/>
                <w:iCs/>
                <w:sz w:val="20"/>
                <w:szCs w:val="20"/>
                <w:lang w:val="en-CA"/>
              </w:rPr>
              <w:t>Partners regularly update risks;</w:t>
            </w:r>
          </w:p>
          <w:p w14:paraId="39B7D311" w14:textId="77777777" w:rsidR="005E0297" w:rsidRPr="005E0297" w:rsidRDefault="005E0297" w:rsidP="005E0297">
            <w:pPr>
              <w:pStyle w:val="NoSpacing"/>
              <w:keepNext/>
              <w:numPr>
                <w:ilvl w:val="0"/>
                <w:numId w:val="6"/>
              </w:numPr>
              <w:spacing w:after="120"/>
              <w:rPr>
                <w:rFonts w:cs="Arial"/>
                <w:iCs/>
                <w:sz w:val="20"/>
                <w:szCs w:val="20"/>
                <w:lang w:val="en-CA"/>
              </w:rPr>
            </w:pPr>
            <w:r w:rsidRPr="005E0297">
              <w:rPr>
                <w:rFonts w:cs="Arial"/>
                <w:iCs/>
                <w:sz w:val="20"/>
                <w:szCs w:val="20"/>
                <w:lang w:val="en-CA"/>
              </w:rPr>
              <w:t>Partners have robust child-protection policies in place.</w:t>
            </w:r>
          </w:p>
        </w:tc>
      </w:tr>
      <w:tr w:rsidR="005E0297" w:rsidRPr="005E0297" w14:paraId="7EF6B4F2" w14:textId="77777777" w:rsidTr="005E0297">
        <w:tc>
          <w:tcPr>
            <w:tcW w:w="2965" w:type="dxa"/>
          </w:tcPr>
          <w:p w14:paraId="2B58A17C" w14:textId="677C98DC" w:rsidR="005E0297" w:rsidRPr="005E0297" w:rsidRDefault="005E0297" w:rsidP="005E0297">
            <w:pPr>
              <w:pStyle w:val="NoSpacing"/>
              <w:spacing w:before="120"/>
              <w:rPr>
                <w:rFonts w:cs="Arial"/>
                <w:iCs/>
                <w:sz w:val="20"/>
                <w:szCs w:val="20"/>
                <w:lang w:val="en-CA"/>
              </w:rPr>
            </w:pPr>
            <w:r w:rsidRPr="005E0297">
              <w:rPr>
                <w:rFonts w:cs="Arial"/>
                <w:b/>
                <w:iCs/>
                <w:sz w:val="20"/>
                <w:szCs w:val="20"/>
                <w:u w:val="single"/>
                <w:lang w:val="en-CA"/>
              </w:rPr>
              <w:t>Transparency:</w:t>
            </w:r>
            <w:r w:rsidRPr="005E0297">
              <w:rPr>
                <w:rFonts w:cs="Arial"/>
                <w:iCs/>
                <w:sz w:val="20"/>
                <w:szCs w:val="20"/>
                <w:lang w:val="en-CA"/>
              </w:rPr>
              <w:t xml:space="preserve"> Partners are best placed to have open information policies, based on the presumption of disclosure, and make information easily accessible to relevant collaborators</w:t>
            </w:r>
          </w:p>
          <w:p w14:paraId="0237D3D7" w14:textId="77777777" w:rsidR="005E0297" w:rsidRPr="005E0297" w:rsidRDefault="005E0297" w:rsidP="005E0297">
            <w:pPr>
              <w:pStyle w:val="NoSpacing"/>
              <w:rPr>
                <w:rFonts w:cs="Arial"/>
                <w:iCs/>
                <w:sz w:val="20"/>
                <w:szCs w:val="20"/>
                <w:u w:val="single"/>
                <w:lang w:val="en-CA"/>
              </w:rPr>
            </w:pPr>
          </w:p>
        </w:tc>
        <w:tc>
          <w:tcPr>
            <w:tcW w:w="6120" w:type="dxa"/>
          </w:tcPr>
          <w:p w14:paraId="32C67EA7" w14:textId="77777777" w:rsidR="005E0297" w:rsidRPr="005E0297" w:rsidRDefault="005E0297" w:rsidP="005E0297">
            <w:pPr>
              <w:pStyle w:val="NoSpacing"/>
              <w:numPr>
                <w:ilvl w:val="0"/>
                <w:numId w:val="8"/>
              </w:numPr>
              <w:spacing w:before="120" w:after="60"/>
              <w:rPr>
                <w:rFonts w:cs="Arial"/>
                <w:iCs/>
                <w:sz w:val="20"/>
                <w:szCs w:val="20"/>
                <w:lang w:val="en-CA"/>
              </w:rPr>
            </w:pPr>
            <w:r w:rsidRPr="005E0297">
              <w:rPr>
                <w:rFonts w:cs="Arial"/>
                <w:iCs/>
                <w:sz w:val="20"/>
                <w:szCs w:val="20"/>
                <w:lang w:val="en-CA"/>
              </w:rPr>
              <w:t>With proper information, stakeholders can hold Partners to account for their performance. This creates incentives for continual improvement within a Partner. It is a crucial tool for fighting corruption and the perception of corruption;</w:t>
            </w:r>
          </w:p>
          <w:p w14:paraId="03F59235" w14:textId="77777777" w:rsidR="005E0297" w:rsidRPr="005E0297" w:rsidRDefault="005E0297" w:rsidP="005E0297">
            <w:pPr>
              <w:pStyle w:val="NoSpacing"/>
              <w:numPr>
                <w:ilvl w:val="0"/>
                <w:numId w:val="8"/>
              </w:numPr>
              <w:spacing w:after="120"/>
              <w:rPr>
                <w:rFonts w:cs="Arial"/>
                <w:iCs/>
                <w:sz w:val="20"/>
                <w:szCs w:val="20"/>
                <w:lang w:val="en-CA"/>
              </w:rPr>
            </w:pPr>
            <w:r w:rsidRPr="005E0297">
              <w:rPr>
                <w:rFonts w:cs="Arial"/>
                <w:iCs/>
                <w:sz w:val="20"/>
                <w:szCs w:val="20"/>
                <w:lang w:val="en-CA"/>
              </w:rPr>
              <w:t>Transparency makes it easier for Partners to learn from each other in pursuit of common goals. Funding can be better matched to strong performance, so resources can be used more effectively. MAMPU partners should regularly publish performance reports, financial information, and contact information, codes of conduct and standards of practice as well as strategic plans and goals.</w:t>
            </w:r>
          </w:p>
        </w:tc>
      </w:tr>
      <w:tr w:rsidR="005E0297" w:rsidRPr="005E0297" w14:paraId="4A9B0D90" w14:textId="77777777" w:rsidTr="005E0297">
        <w:tc>
          <w:tcPr>
            <w:tcW w:w="2965" w:type="dxa"/>
          </w:tcPr>
          <w:p w14:paraId="5988A2DF" w14:textId="7033293B" w:rsidR="005E0297" w:rsidRPr="005E0297" w:rsidRDefault="005E0297" w:rsidP="005E0297">
            <w:pPr>
              <w:pStyle w:val="NoSpacing"/>
              <w:spacing w:before="120"/>
              <w:rPr>
                <w:rFonts w:cs="Arial"/>
                <w:iCs/>
                <w:sz w:val="20"/>
                <w:szCs w:val="20"/>
                <w:lang w:val="en-CA"/>
              </w:rPr>
            </w:pPr>
            <w:r w:rsidRPr="005E0297">
              <w:rPr>
                <w:rFonts w:cs="Arial"/>
                <w:b/>
                <w:iCs/>
                <w:sz w:val="20"/>
                <w:szCs w:val="20"/>
                <w:u w:val="single"/>
                <w:lang w:val="en-CA"/>
              </w:rPr>
              <w:t>Fundraising</w:t>
            </w:r>
            <w:r w:rsidRPr="005E0297">
              <w:rPr>
                <w:rFonts w:cs="Arial"/>
                <w:b/>
                <w:iCs/>
                <w:sz w:val="20"/>
                <w:szCs w:val="20"/>
                <w:lang w:val="en-CA"/>
              </w:rPr>
              <w:t>:</w:t>
            </w:r>
            <w:r w:rsidRPr="005E0297">
              <w:rPr>
                <w:rFonts w:cs="Arial"/>
                <w:iCs/>
                <w:sz w:val="20"/>
                <w:szCs w:val="20"/>
                <w:lang w:val="en-CA"/>
              </w:rPr>
              <w:t xml:space="preserve"> Partners need to increasingly build fundraising systems that are ambitious but realistic, within the limits of what they can achieve</w:t>
            </w:r>
          </w:p>
          <w:p w14:paraId="69DD21B2" w14:textId="77777777" w:rsidR="005E0297" w:rsidRPr="005E0297" w:rsidRDefault="005E0297" w:rsidP="005E0297">
            <w:pPr>
              <w:pStyle w:val="NoSpacing"/>
              <w:rPr>
                <w:rFonts w:cs="Arial"/>
                <w:iCs/>
                <w:sz w:val="20"/>
                <w:szCs w:val="20"/>
                <w:u w:val="single"/>
                <w:lang w:val="en-CA"/>
              </w:rPr>
            </w:pPr>
          </w:p>
        </w:tc>
        <w:tc>
          <w:tcPr>
            <w:tcW w:w="6120" w:type="dxa"/>
          </w:tcPr>
          <w:p w14:paraId="63629DF3" w14:textId="77777777" w:rsidR="005E0297" w:rsidRPr="005E0297" w:rsidRDefault="005E0297" w:rsidP="005E0297">
            <w:pPr>
              <w:pStyle w:val="NoSpacing"/>
              <w:numPr>
                <w:ilvl w:val="0"/>
                <w:numId w:val="9"/>
              </w:numPr>
              <w:spacing w:before="120"/>
              <w:ind w:left="365" w:hanging="365"/>
              <w:rPr>
                <w:rFonts w:cs="Arial"/>
                <w:iCs/>
                <w:sz w:val="20"/>
                <w:szCs w:val="20"/>
                <w:lang w:val="en-CA"/>
              </w:rPr>
            </w:pPr>
            <w:r w:rsidRPr="005E0297">
              <w:rPr>
                <w:rFonts w:cs="Arial"/>
                <w:iCs/>
                <w:sz w:val="20"/>
                <w:szCs w:val="20"/>
                <w:lang w:val="en-CA"/>
              </w:rPr>
              <w:t>Partners realise that independence is key to survival, and this means that they must invest in their own professionalism and establish mechanisms for fund raising;</w:t>
            </w:r>
          </w:p>
          <w:p w14:paraId="59526FE2" w14:textId="77777777" w:rsidR="005E0297" w:rsidRPr="005E0297" w:rsidRDefault="005E0297" w:rsidP="005E0297">
            <w:pPr>
              <w:pStyle w:val="NoSpacing"/>
              <w:numPr>
                <w:ilvl w:val="0"/>
                <w:numId w:val="9"/>
              </w:numPr>
              <w:spacing w:after="120"/>
              <w:rPr>
                <w:rFonts w:cs="Arial"/>
                <w:iCs/>
                <w:sz w:val="20"/>
                <w:szCs w:val="20"/>
                <w:lang w:val="en-CA"/>
              </w:rPr>
            </w:pPr>
            <w:r w:rsidRPr="005E0297">
              <w:rPr>
                <w:rFonts w:cs="Arial"/>
                <w:iCs/>
                <w:sz w:val="20"/>
                <w:szCs w:val="20"/>
                <w:lang w:val="en-CA"/>
              </w:rPr>
              <w:t>Partners are not dependant on a single funding source (financial viability) and have materials/methods that are ethical, realistic, credible, accurate and do not overstate the Partner’s capabilities.</w:t>
            </w:r>
          </w:p>
        </w:tc>
      </w:tr>
    </w:tbl>
    <w:p w14:paraId="7BF11E2A" w14:textId="77777777" w:rsidR="005E0297" w:rsidRDefault="005E0297" w:rsidP="000A333F">
      <w:pPr>
        <w:pStyle w:val="NoSpacing"/>
        <w:jc w:val="both"/>
        <w:rPr>
          <w:rFonts w:cs="Arial"/>
          <w:sz w:val="20"/>
          <w:szCs w:val="20"/>
          <w:lang w:val="en-CA"/>
        </w:rPr>
      </w:pPr>
      <w:r w:rsidRPr="009D07E3">
        <w:rPr>
          <w:rFonts w:cs="Arial"/>
          <w:sz w:val="20"/>
          <w:szCs w:val="20"/>
          <w:lang w:val="en-CA"/>
        </w:rPr>
        <w:t xml:space="preserve"> </w:t>
      </w:r>
    </w:p>
    <w:p w14:paraId="01C5241F" w14:textId="77777777" w:rsidR="005E0297" w:rsidRDefault="005E0297" w:rsidP="000A333F">
      <w:pPr>
        <w:pStyle w:val="NoSpacing"/>
        <w:jc w:val="both"/>
        <w:rPr>
          <w:rFonts w:cs="Arial"/>
          <w:sz w:val="20"/>
          <w:szCs w:val="20"/>
          <w:lang w:val="en-CA"/>
        </w:rPr>
      </w:pPr>
    </w:p>
    <w:p w14:paraId="2E597464" w14:textId="11F6AC6C" w:rsidR="00EE11E4" w:rsidRPr="009D07E3" w:rsidRDefault="00B11CB6" w:rsidP="005E0297">
      <w:pPr>
        <w:pStyle w:val="NoSpacing"/>
        <w:ind w:left="-284"/>
        <w:jc w:val="both"/>
        <w:rPr>
          <w:rFonts w:cs="Arial"/>
          <w:sz w:val="20"/>
          <w:szCs w:val="20"/>
          <w:lang w:val="en-CA"/>
        </w:rPr>
      </w:pPr>
      <w:r w:rsidRPr="009D07E3">
        <w:rPr>
          <w:rFonts w:cs="Arial"/>
          <w:sz w:val="20"/>
          <w:szCs w:val="20"/>
          <w:lang w:val="en-CA"/>
        </w:rPr>
        <w:t xml:space="preserve">The first phase of MAMPU </w:t>
      </w:r>
      <w:r w:rsidR="0045034F" w:rsidRPr="009D07E3">
        <w:rPr>
          <w:rFonts w:cs="Arial"/>
          <w:sz w:val="20"/>
          <w:szCs w:val="20"/>
          <w:lang w:val="en-CA"/>
        </w:rPr>
        <w:t>capacit</w:t>
      </w:r>
      <w:r w:rsidR="005E0297">
        <w:rPr>
          <w:rFonts w:cs="Arial"/>
          <w:sz w:val="20"/>
          <w:szCs w:val="20"/>
          <w:lang w:val="en-CA"/>
        </w:rPr>
        <w:t>y development was appropriately</w:t>
      </w:r>
      <w:r w:rsidRPr="009D07E3">
        <w:rPr>
          <w:rFonts w:cs="Arial"/>
          <w:sz w:val="20"/>
          <w:szCs w:val="20"/>
          <w:lang w:val="en-CA"/>
        </w:rPr>
        <w:t xml:space="preserve"> targeted at a number of key focus areas to meet</w:t>
      </w:r>
      <w:r w:rsidR="0045034F" w:rsidRPr="009D07E3">
        <w:rPr>
          <w:rFonts w:cs="Arial"/>
          <w:sz w:val="20"/>
          <w:szCs w:val="20"/>
          <w:lang w:val="en-CA"/>
        </w:rPr>
        <w:t xml:space="preserve"> some of these needs, namely</w:t>
      </w:r>
      <w:r w:rsidR="000954E4">
        <w:rPr>
          <w:rFonts w:cs="Arial"/>
          <w:sz w:val="20"/>
          <w:szCs w:val="20"/>
          <w:lang w:val="en-CA"/>
        </w:rPr>
        <w:t>:</w:t>
      </w:r>
      <w:r w:rsidR="0045034F" w:rsidRPr="009D07E3">
        <w:rPr>
          <w:rFonts w:cs="Arial"/>
          <w:sz w:val="20"/>
          <w:szCs w:val="20"/>
          <w:lang w:val="en-CA"/>
        </w:rPr>
        <w:t xml:space="preserve"> due diligence requirements,</w:t>
      </w:r>
      <w:r w:rsidRPr="009D07E3">
        <w:rPr>
          <w:rFonts w:cs="Arial"/>
          <w:sz w:val="20"/>
          <w:szCs w:val="20"/>
          <w:lang w:val="en-CA"/>
        </w:rPr>
        <w:t xml:space="preserve"> </w:t>
      </w:r>
      <w:r w:rsidR="0045034F" w:rsidRPr="009D07E3">
        <w:rPr>
          <w:rFonts w:cs="Arial"/>
          <w:sz w:val="20"/>
          <w:szCs w:val="20"/>
          <w:lang w:val="en-CA"/>
        </w:rPr>
        <w:t xml:space="preserve">support </w:t>
      </w:r>
      <w:r w:rsidRPr="009D07E3">
        <w:rPr>
          <w:rFonts w:cs="Arial"/>
          <w:sz w:val="20"/>
          <w:szCs w:val="20"/>
          <w:lang w:val="en-CA"/>
        </w:rPr>
        <w:t>building grants management systems, fiduciary assessment</w:t>
      </w:r>
      <w:r w:rsidR="002F58E5" w:rsidRPr="009D07E3">
        <w:rPr>
          <w:rFonts w:cs="Arial"/>
          <w:sz w:val="20"/>
          <w:szCs w:val="20"/>
          <w:lang w:val="en-CA"/>
        </w:rPr>
        <w:t>s</w:t>
      </w:r>
      <w:r w:rsidRPr="009D07E3">
        <w:rPr>
          <w:rFonts w:cs="Arial"/>
          <w:sz w:val="20"/>
          <w:szCs w:val="20"/>
          <w:lang w:val="en-CA"/>
        </w:rPr>
        <w:t xml:space="preserve">, standard operating procedures, internal controls, participatory audit and finance systems. While some partners </w:t>
      </w:r>
      <w:r w:rsidR="000954E4">
        <w:rPr>
          <w:rFonts w:cs="Arial"/>
          <w:sz w:val="20"/>
          <w:szCs w:val="20"/>
          <w:lang w:val="en-CA"/>
        </w:rPr>
        <w:t>have</w:t>
      </w:r>
      <w:r w:rsidRPr="009D07E3">
        <w:rPr>
          <w:rFonts w:cs="Arial"/>
          <w:sz w:val="20"/>
          <w:szCs w:val="20"/>
          <w:lang w:val="en-CA"/>
        </w:rPr>
        <w:t xml:space="preserve"> progressed</w:t>
      </w:r>
      <w:r w:rsidR="000954E4">
        <w:rPr>
          <w:rFonts w:cs="Arial"/>
          <w:sz w:val="20"/>
          <w:szCs w:val="20"/>
          <w:lang w:val="en-CA"/>
        </w:rPr>
        <w:t xml:space="preserve"> more</w:t>
      </w:r>
      <w:r w:rsidRPr="009D07E3">
        <w:rPr>
          <w:rFonts w:cs="Arial"/>
          <w:sz w:val="20"/>
          <w:szCs w:val="20"/>
          <w:lang w:val="en-CA"/>
        </w:rPr>
        <w:t xml:space="preserve"> than others, the basic elements are now in place and </w:t>
      </w:r>
      <w:r w:rsidR="000954E4">
        <w:rPr>
          <w:rFonts w:cs="Arial"/>
          <w:sz w:val="20"/>
          <w:szCs w:val="20"/>
          <w:lang w:val="en-CA"/>
        </w:rPr>
        <w:t>p</w:t>
      </w:r>
      <w:r w:rsidR="002F58E5" w:rsidRPr="009D07E3">
        <w:rPr>
          <w:rFonts w:cs="Arial"/>
          <w:sz w:val="20"/>
          <w:szCs w:val="20"/>
          <w:lang w:val="en-CA"/>
        </w:rPr>
        <w:t xml:space="preserve">hase </w:t>
      </w:r>
      <w:r w:rsidR="000954E4">
        <w:rPr>
          <w:rFonts w:cs="Arial"/>
          <w:sz w:val="20"/>
          <w:szCs w:val="20"/>
          <w:lang w:val="en-CA"/>
        </w:rPr>
        <w:t>t</w:t>
      </w:r>
      <w:r w:rsidR="002F58E5" w:rsidRPr="009D07E3">
        <w:rPr>
          <w:rFonts w:cs="Arial"/>
          <w:sz w:val="20"/>
          <w:szCs w:val="20"/>
          <w:lang w:val="en-CA"/>
        </w:rPr>
        <w:t>wo</w:t>
      </w:r>
      <w:r w:rsidRPr="009D07E3">
        <w:rPr>
          <w:rFonts w:cs="Arial"/>
          <w:sz w:val="20"/>
          <w:szCs w:val="20"/>
          <w:lang w:val="en-CA"/>
        </w:rPr>
        <w:t xml:space="preserve"> of MAMPU will commence with stronger organisational foundations. </w:t>
      </w:r>
      <w:r w:rsidR="002F58E5" w:rsidRPr="009D07E3">
        <w:rPr>
          <w:rFonts w:cs="Arial"/>
          <w:sz w:val="20"/>
          <w:szCs w:val="20"/>
          <w:lang w:val="en-CA"/>
        </w:rPr>
        <w:t>Continuing to s</w:t>
      </w:r>
      <w:r w:rsidRPr="009D07E3">
        <w:rPr>
          <w:rFonts w:cs="Arial"/>
          <w:sz w:val="20"/>
          <w:szCs w:val="20"/>
          <w:lang w:val="en-CA"/>
        </w:rPr>
        <w:t xml:space="preserve">trengthen partner organisations will remain a key aspect of MAMPU </w:t>
      </w:r>
      <w:r w:rsidR="000954E4">
        <w:rPr>
          <w:rFonts w:cs="Arial"/>
          <w:sz w:val="20"/>
          <w:szCs w:val="20"/>
          <w:lang w:val="en-CA"/>
        </w:rPr>
        <w:t>p</w:t>
      </w:r>
      <w:r w:rsidRPr="009D07E3">
        <w:rPr>
          <w:rFonts w:cs="Arial"/>
          <w:sz w:val="20"/>
          <w:szCs w:val="20"/>
          <w:lang w:val="en-CA"/>
        </w:rPr>
        <w:t xml:space="preserve">hase </w:t>
      </w:r>
      <w:r w:rsidR="000954E4">
        <w:rPr>
          <w:rFonts w:cs="Arial"/>
          <w:sz w:val="20"/>
          <w:szCs w:val="20"/>
          <w:lang w:val="en-CA"/>
        </w:rPr>
        <w:t>t</w:t>
      </w:r>
      <w:r w:rsidR="00CB20DA" w:rsidRPr="009D07E3">
        <w:rPr>
          <w:rFonts w:cs="Arial"/>
          <w:sz w:val="20"/>
          <w:szCs w:val="20"/>
          <w:lang w:val="en-CA"/>
        </w:rPr>
        <w:t>wo</w:t>
      </w:r>
      <w:r w:rsidR="00EE11E4" w:rsidRPr="009D07E3">
        <w:rPr>
          <w:rFonts w:cs="Arial"/>
          <w:sz w:val="20"/>
          <w:szCs w:val="20"/>
          <w:lang w:val="en-CA"/>
        </w:rPr>
        <w:t xml:space="preserve"> so that Partners are better</w:t>
      </w:r>
      <w:r w:rsidRPr="009D07E3">
        <w:rPr>
          <w:rFonts w:cs="Arial"/>
          <w:sz w:val="20"/>
          <w:szCs w:val="20"/>
          <w:lang w:val="en-CA"/>
        </w:rPr>
        <w:t xml:space="preserve"> placed to meet any future challenges. MAMPU Partners must determine the best entry points for strengthening their organisations – especially in relation to finance and grants. T</w:t>
      </w:r>
      <w:r w:rsidR="00EE11E4" w:rsidRPr="009D07E3">
        <w:rPr>
          <w:rFonts w:cs="Arial"/>
          <w:sz w:val="20"/>
          <w:szCs w:val="20"/>
          <w:lang w:val="en-CA"/>
        </w:rPr>
        <w:t xml:space="preserve">he results of the recent OCPAT help partners determine the best entry points for strengthening their organisations and networks. </w:t>
      </w:r>
    </w:p>
    <w:p w14:paraId="374DB9FA" w14:textId="77777777" w:rsidR="00EE11E4" w:rsidRPr="009D07E3" w:rsidRDefault="00EE11E4" w:rsidP="000A333F">
      <w:pPr>
        <w:pStyle w:val="NoSpacing"/>
        <w:jc w:val="both"/>
        <w:rPr>
          <w:rFonts w:cs="Arial"/>
          <w:sz w:val="20"/>
          <w:szCs w:val="20"/>
          <w:lang w:val="en-CA"/>
        </w:rPr>
      </w:pPr>
    </w:p>
    <w:tbl>
      <w:tblPr>
        <w:tblStyle w:val="TableGrid"/>
        <w:tblW w:w="0" w:type="auto"/>
        <w:tblInd w:w="-176" w:type="dxa"/>
        <w:shd w:val="clear" w:color="auto" w:fill="EAF1DD" w:themeFill="accent3" w:themeFillTint="33"/>
        <w:tblLook w:val="04A0" w:firstRow="1" w:lastRow="0" w:firstColumn="1" w:lastColumn="0" w:noHBand="0" w:noVBand="1"/>
      </w:tblPr>
      <w:tblGrid>
        <w:gridCol w:w="9194"/>
      </w:tblGrid>
      <w:tr w:rsidR="00EE11E4" w:rsidRPr="009D07E3" w14:paraId="451B4736" w14:textId="77777777" w:rsidTr="005E0297">
        <w:tc>
          <w:tcPr>
            <w:tcW w:w="9194" w:type="dxa"/>
            <w:shd w:val="clear" w:color="auto" w:fill="EAF1DD" w:themeFill="accent3" w:themeFillTint="33"/>
          </w:tcPr>
          <w:p w14:paraId="4287B7D0" w14:textId="77777777" w:rsidR="00EE11E4" w:rsidRPr="005E0297" w:rsidRDefault="00EE11E4" w:rsidP="00CE24C9">
            <w:pPr>
              <w:spacing w:before="120"/>
              <w:jc w:val="center"/>
              <w:rPr>
                <w:b/>
                <w:u w:val="single"/>
                <w:lang w:val="en-CA"/>
              </w:rPr>
            </w:pPr>
            <w:r w:rsidRPr="005E0297">
              <w:rPr>
                <w:b/>
                <w:u w:val="single"/>
                <w:lang w:val="en-CA"/>
              </w:rPr>
              <w:t>MAMPU Partners take the lead</w:t>
            </w:r>
          </w:p>
          <w:p w14:paraId="7A6F3332" w14:textId="77777777" w:rsidR="00BC468A" w:rsidRPr="009D07E3" w:rsidRDefault="00BC468A" w:rsidP="00EE11E4">
            <w:pPr>
              <w:jc w:val="center"/>
              <w:rPr>
                <w:u w:val="single"/>
                <w:lang w:val="en-CA"/>
              </w:rPr>
            </w:pPr>
          </w:p>
          <w:p w14:paraId="7341F9DB" w14:textId="6023596A" w:rsidR="00EE11E4" w:rsidRPr="009D07E3" w:rsidRDefault="00EE11E4" w:rsidP="00CE24C9">
            <w:pPr>
              <w:spacing w:after="120"/>
              <w:rPr>
                <w:lang w:val="en-CA"/>
              </w:rPr>
            </w:pPr>
            <w:r w:rsidRPr="009D07E3">
              <w:rPr>
                <w:lang w:val="en-CA"/>
              </w:rPr>
              <w:t xml:space="preserve">MAMPU is far from a traditional grant providing program. We avoid guidelines, shy away from prescribing standard approaches and don’t view ourselves as the enforcer or controller.  We embrace Partner differences and respect uniqueness in order to realise the Partner’s own vision of </w:t>
            </w:r>
            <w:proofErr w:type="gramStart"/>
            <w:r w:rsidRPr="009D07E3">
              <w:rPr>
                <w:lang w:val="en-CA"/>
              </w:rPr>
              <w:t>themselves</w:t>
            </w:r>
            <w:proofErr w:type="gramEnd"/>
            <w:r w:rsidRPr="009D07E3">
              <w:rPr>
                <w:lang w:val="en-CA"/>
              </w:rPr>
              <w:t xml:space="preserve">.  MAMPU tailors its services so that partners decide what types of support is best suited to their development.  MAMPU is flexible and dynamic and can offer different solutions to each Partner. While often problems faced are similar, how they are incorporated within each organisation differs. We respect organisational culture, allow for different characteristics to flourish and endorse different mechanisms and procedures to be adopted.   That is what makes MAMPU unique and why MAMPU Partners are on the right track to sustainable change.   </w:t>
            </w:r>
          </w:p>
        </w:tc>
      </w:tr>
    </w:tbl>
    <w:p w14:paraId="6A9C38EC" w14:textId="77777777" w:rsidR="00B11CB6" w:rsidRPr="009D07E3" w:rsidRDefault="00B11CB6" w:rsidP="000A333F">
      <w:pPr>
        <w:pStyle w:val="NoSpacing"/>
        <w:jc w:val="both"/>
        <w:rPr>
          <w:rFonts w:cs="Arial"/>
          <w:sz w:val="20"/>
          <w:szCs w:val="20"/>
          <w:lang w:val="en-CA"/>
        </w:rPr>
      </w:pPr>
    </w:p>
    <w:p w14:paraId="0640980B" w14:textId="730B745A" w:rsidR="00B11CB6" w:rsidRPr="009D07E3" w:rsidRDefault="00891888" w:rsidP="008F281B">
      <w:pPr>
        <w:pStyle w:val="Heading2"/>
        <w:rPr>
          <w:lang w:val="en-CA"/>
        </w:rPr>
      </w:pPr>
      <w:bookmarkStart w:id="65" w:name="_Toc423438749"/>
      <w:r>
        <w:rPr>
          <w:lang w:val="en-CA"/>
        </w:rPr>
        <w:t>Projected</w:t>
      </w:r>
      <w:r w:rsidR="00B11CB6" w:rsidRPr="009D07E3">
        <w:rPr>
          <w:lang w:val="en-CA"/>
        </w:rPr>
        <w:t xml:space="preserve"> Budget </w:t>
      </w:r>
      <w:r>
        <w:rPr>
          <w:lang w:val="en-CA"/>
        </w:rPr>
        <w:t>Structure and Approach</w:t>
      </w:r>
      <w:bookmarkEnd w:id="65"/>
    </w:p>
    <w:p w14:paraId="77159D75" w14:textId="77777777" w:rsidR="00B11CB6" w:rsidRPr="009D07E3" w:rsidRDefault="00B11CB6" w:rsidP="000A333F">
      <w:pPr>
        <w:pStyle w:val="NoSpacing"/>
        <w:jc w:val="both"/>
        <w:rPr>
          <w:rFonts w:cs="Arial"/>
          <w:b/>
          <w:sz w:val="20"/>
          <w:szCs w:val="20"/>
          <w:u w:val="single"/>
          <w:lang w:val="en-CA"/>
        </w:rPr>
      </w:pPr>
    </w:p>
    <w:p w14:paraId="5B48CE4F" w14:textId="69393B6F" w:rsidR="00891888" w:rsidRPr="00D91492" w:rsidRDefault="002B157C" w:rsidP="00891888">
      <w:pPr>
        <w:pStyle w:val="NoSpacing"/>
        <w:rPr>
          <w:rFonts w:cs="Arial"/>
          <w:sz w:val="20"/>
          <w:szCs w:val="20"/>
          <w:lang w:val="en-AU"/>
        </w:rPr>
      </w:pPr>
      <w:r w:rsidRPr="00D91492">
        <w:rPr>
          <w:rFonts w:cs="Arial"/>
          <w:sz w:val="20"/>
          <w:szCs w:val="20"/>
          <w:lang w:val="en-AU"/>
        </w:rPr>
        <w:t xml:space="preserve">MAMPU’s current </w:t>
      </w:r>
      <w:r w:rsidR="00891888" w:rsidRPr="00D91492">
        <w:rPr>
          <w:rFonts w:cs="Arial"/>
          <w:sz w:val="20"/>
          <w:szCs w:val="20"/>
          <w:lang w:val="en-AU"/>
        </w:rPr>
        <w:t>budget structure</w:t>
      </w:r>
      <w:r w:rsidRPr="00D91492">
        <w:rPr>
          <w:rFonts w:cs="Arial"/>
          <w:sz w:val="20"/>
          <w:szCs w:val="20"/>
          <w:lang w:val="en-AU"/>
        </w:rPr>
        <w:t xml:space="preserve"> enables flexibility within budget line items. This has supported t</w:t>
      </w:r>
      <w:r w:rsidR="00D91492">
        <w:rPr>
          <w:rFonts w:cs="Arial"/>
          <w:sz w:val="20"/>
          <w:szCs w:val="20"/>
          <w:lang w:val="en-AU"/>
        </w:rPr>
        <w:t>he program’s ability to respond</w:t>
      </w:r>
      <w:r w:rsidRPr="00D91492">
        <w:rPr>
          <w:rFonts w:cs="Arial"/>
          <w:sz w:val="20"/>
          <w:szCs w:val="20"/>
          <w:lang w:val="en-AU"/>
        </w:rPr>
        <w:t xml:space="preserve"> quickly</w:t>
      </w:r>
      <w:r w:rsidR="00891888" w:rsidRPr="00D91492">
        <w:rPr>
          <w:rFonts w:cs="Arial"/>
          <w:sz w:val="20"/>
          <w:szCs w:val="20"/>
          <w:lang w:val="en-AU"/>
        </w:rPr>
        <w:t xml:space="preserve"> to emerging needs</w:t>
      </w:r>
      <w:r w:rsidRPr="00D91492">
        <w:rPr>
          <w:rFonts w:cs="Arial"/>
          <w:sz w:val="20"/>
          <w:szCs w:val="20"/>
          <w:lang w:val="en-AU"/>
        </w:rPr>
        <w:t xml:space="preserve">. </w:t>
      </w:r>
      <w:r w:rsidR="00891888" w:rsidRPr="00D91492">
        <w:rPr>
          <w:rFonts w:cs="Arial"/>
          <w:sz w:val="20"/>
          <w:szCs w:val="20"/>
          <w:lang w:val="en-AU"/>
        </w:rPr>
        <w:t xml:space="preserve"> </w:t>
      </w:r>
      <w:r w:rsidRPr="00D91492">
        <w:rPr>
          <w:rFonts w:cs="Arial"/>
          <w:sz w:val="20"/>
          <w:szCs w:val="20"/>
          <w:lang w:val="en-AU"/>
        </w:rPr>
        <w:t>T</w:t>
      </w:r>
      <w:r w:rsidR="00891888" w:rsidRPr="00D91492">
        <w:rPr>
          <w:rFonts w:cs="Arial"/>
          <w:sz w:val="20"/>
          <w:szCs w:val="20"/>
          <w:lang w:val="en-AU"/>
        </w:rPr>
        <w:t>herefore</w:t>
      </w:r>
      <w:r w:rsidR="00D91492">
        <w:rPr>
          <w:rFonts w:cs="Arial"/>
          <w:sz w:val="20"/>
          <w:szCs w:val="20"/>
          <w:lang w:val="en-AU"/>
        </w:rPr>
        <w:t>,</w:t>
      </w:r>
      <w:r w:rsidR="00891888" w:rsidRPr="00D91492">
        <w:rPr>
          <w:rFonts w:cs="Arial"/>
          <w:sz w:val="20"/>
          <w:szCs w:val="20"/>
          <w:lang w:val="en-AU"/>
        </w:rPr>
        <w:t xml:space="preserve"> it is recommended </w:t>
      </w:r>
      <w:r w:rsidR="00D91492">
        <w:rPr>
          <w:rFonts w:cs="Arial"/>
          <w:sz w:val="20"/>
          <w:szCs w:val="20"/>
          <w:lang w:val="en-AU"/>
        </w:rPr>
        <w:t xml:space="preserve">that </w:t>
      </w:r>
      <w:r w:rsidR="00891888" w:rsidRPr="00D91492">
        <w:rPr>
          <w:rFonts w:cs="Arial"/>
          <w:sz w:val="20"/>
          <w:szCs w:val="20"/>
          <w:lang w:val="en-AU"/>
        </w:rPr>
        <w:t>this</w:t>
      </w:r>
      <w:r w:rsidR="00D91492">
        <w:rPr>
          <w:rFonts w:cs="Arial"/>
          <w:sz w:val="20"/>
          <w:szCs w:val="20"/>
          <w:lang w:val="en-AU"/>
        </w:rPr>
        <w:t xml:space="preserve"> approach</w:t>
      </w:r>
      <w:r w:rsidR="00891888" w:rsidRPr="00D91492">
        <w:rPr>
          <w:rFonts w:cs="Arial"/>
          <w:sz w:val="20"/>
          <w:szCs w:val="20"/>
          <w:lang w:val="en-AU"/>
        </w:rPr>
        <w:t xml:space="preserve"> be continued in phase </w:t>
      </w:r>
      <w:r w:rsidR="00D24315">
        <w:rPr>
          <w:rFonts w:cs="Arial"/>
          <w:sz w:val="20"/>
          <w:szCs w:val="20"/>
          <w:lang w:val="en-AU"/>
        </w:rPr>
        <w:t>two</w:t>
      </w:r>
      <w:r w:rsidR="00891888" w:rsidRPr="00D91492">
        <w:rPr>
          <w:rFonts w:cs="Arial"/>
          <w:sz w:val="20"/>
          <w:szCs w:val="20"/>
          <w:lang w:val="en-AU"/>
        </w:rPr>
        <w:t>.</w:t>
      </w:r>
    </w:p>
    <w:p w14:paraId="79995BC8" w14:textId="77777777" w:rsidR="002B157C" w:rsidRPr="00D91492" w:rsidRDefault="002B157C" w:rsidP="00891888">
      <w:pPr>
        <w:pStyle w:val="NoSpacing"/>
        <w:rPr>
          <w:rFonts w:cs="Arial"/>
          <w:sz w:val="20"/>
          <w:szCs w:val="20"/>
          <w:lang w:val="en-AU"/>
        </w:rPr>
      </w:pPr>
    </w:p>
    <w:p w14:paraId="2DCF780C" w14:textId="674A0843" w:rsidR="00904E20" w:rsidRPr="00D91492" w:rsidRDefault="002B157C" w:rsidP="002B157C">
      <w:pPr>
        <w:pStyle w:val="NoSpacing"/>
        <w:rPr>
          <w:rFonts w:cs="Arial"/>
          <w:sz w:val="20"/>
          <w:szCs w:val="20"/>
          <w:lang w:val="en-AU"/>
        </w:rPr>
      </w:pPr>
      <w:r w:rsidRPr="00D91492">
        <w:rPr>
          <w:rFonts w:cs="Arial"/>
          <w:sz w:val="20"/>
          <w:szCs w:val="20"/>
          <w:lang w:val="en-AU"/>
        </w:rPr>
        <w:t>Although MAMPU does not yet know the budget</w:t>
      </w:r>
      <w:r w:rsidR="00D24315">
        <w:rPr>
          <w:rFonts w:cs="Arial"/>
          <w:sz w:val="20"/>
          <w:szCs w:val="20"/>
          <w:lang w:val="en-AU"/>
        </w:rPr>
        <w:t xml:space="preserve"> allocation for phase two, it is recognized</w:t>
      </w:r>
      <w:r w:rsidRPr="00D91492">
        <w:rPr>
          <w:rFonts w:cs="Arial"/>
          <w:sz w:val="20"/>
          <w:szCs w:val="20"/>
          <w:lang w:val="en-AU"/>
        </w:rPr>
        <w:t xml:space="preserve"> that the budget envelope allocated</w:t>
      </w:r>
      <w:r w:rsidR="00D24315">
        <w:rPr>
          <w:rFonts w:cs="Arial"/>
          <w:sz w:val="20"/>
          <w:szCs w:val="20"/>
          <w:lang w:val="en-AU"/>
        </w:rPr>
        <w:t xml:space="preserve"> to</w:t>
      </w:r>
      <w:r w:rsidRPr="00D91492">
        <w:rPr>
          <w:rFonts w:cs="Arial"/>
          <w:sz w:val="20"/>
          <w:szCs w:val="20"/>
          <w:lang w:val="en-AU"/>
        </w:rPr>
        <w:t xml:space="preserve"> partner grants </w:t>
      </w:r>
      <w:r w:rsidR="00D24315">
        <w:rPr>
          <w:rFonts w:cs="Arial"/>
          <w:sz w:val="20"/>
          <w:szCs w:val="20"/>
          <w:lang w:val="en-AU"/>
        </w:rPr>
        <w:t>may</w:t>
      </w:r>
      <w:r w:rsidRPr="00D91492">
        <w:rPr>
          <w:rFonts w:cs="Arial"/>
          <w:sz w:val="20"/>
          <w:szCs w:val="20"/>
          <w:lang w:val="en-AU"/>
        </w:rPr>
        <w:t xml:space="preserve"> reduce</w:t>
      </w:r>
      <w:r w:rsidR="00D24315">
        <w:rPr>
          <w:rFonts w:cs="Arial"/>
          <w:sz w:val="20"/>
          <w:szCs w:val="20"/>
          <w:lang w:val="en-AU"/>
        </w:rPr>
        <w:t>, due to budgetary constraints</w:t>
      </w:r>
      <w:r w:rsidRPr="00D91492">
        <w:rPr>
          <w:rFonts w:cs="Arial"/>
          <w:sz w:val="20"/>
          <w:szCs w:val="20"/>
          <w:lang w:val="en-AU"/>
        </w:rPr>
        <w:t xml:space="preserve">. </w:t>
      </w:r>
      <w:r w:rsidR="00904E20" w:rsidRPr="00D91492">
        <w:rPr>
          <w:rFonts w:cs="Arial"/>
          <w:sz w:val="20"/>
          <w:szCs w:val="20"/>
          <w:lang w:val="en-AU"/>
        </w:rPr>
        <w:t xml:space="preserve">Discussions around responsible partner project funding are an on ongoing element of organisational strengthening and </w:t>
      </w:r>
      <w:r w:rsidR="00D24315">
        <w:rPr>
          <w:rFonts w:cs="Arial"/>
          <w:sz w:val="20"/>
          <w:szCs w:val="20"/>
          <w:lang w:val="en-AU"/>
        </w:rPr>
        <w:t xml:space="preserve">are </w:t>
      </w:r>
      <w:r w:rsidR="00904E20" w:rsidRPr="00D91492">
        <w:rPr>
          <w:rFonts w:cs="Arial"/>
          <w:sz w:val="20"/>
          <w:szCs w:val="20"/>
          <w:lang w:val="en-AU"/>
        </w:rPr>
        <w:t>consistent with other themes regularly raised with partners, namely:</w:t>
      </w:r>
    </w:p>
    <w:p w14:paraId="7227B0F8" w14:textId="77777777" w:rsidR="00F24AF9" w:rsidRPr="00D91492" w:rsidRDefault="00F24AF9" w:rsidP="002B157C">
      <w:pPr>
        <w:pStyle w:val="NoSpacing"/>
        <w:rPr>
          <w:rFonts w:cs="Arial"/>
          <w:sz w:val="20"/>
          <w:szCs w:val="20"/>
          <w:lang w:val="en-AU"/>
        </w:rPr>
      </w:pPr>
    </w:p>
    <w:p w14:paraId="3CF34C93" w14:textId="0FC58B73" w:rsidR="00904E20" w:rsidRPr="00D91492" w:rsidRDefault="00904E20" w:rsidP="00904E20">
      <w:pPr>
        <w:pStyle w:val="NoSpacing"/>
        <w:numPr>
          <w:ilvl w:val="0"/>
          <w:numId w:val="33"/>
        </w:numPr>
        <w:rPr>
          <w:rFonts w:cs="Arial"/>
          <w:sz w:val="20"/>
          <w:szCs w:val="20"/>
          <w:lang w:val="en-AU"/>
        </w:rPr>
      </w:pPr>
      <w:r w:rsidRPr="00D91492">
        <w:rPr>
          <w:rFonts w:cs="Arial"/>
          <w:sz w:val="20"/>
          <w:szCs w:val="20"/>
          <w:lang w:val="en-AU"/>
        </w:rPr>
        <w:t xml:space="preserve">Financial management capacity </w:t>
      </w:r>
    </w:p>
    <w:p w14:paraId="28837AFE" w14:textId="128906D6" w:rsidR="00904E20" w:rsidRPr="00D91492" w:rsidRDefault="00904E20" w:rsidP="00904E20">
      <w:pPr>
        <w:pStyle w:val="NoSpacing"/>
        <w:numPr>
          <w:ilvl w:val="0"/>
          <w:numId w:val="33"/>
        </w:numPr>
        <w:rPr>
          <w:rFonts w:cs="Arial"/>
          <w:sz w:val="20"/>
          <w:szCs w:val="20"/>
          <w:lang w:val="en-AU"/>
        </w:rPr>
      </w:pPr>
      <w:r w:rsidRPr="00D91492">
        <w:rPr>
          <w:rFonts w:cs="Arial"/>
          <w:sz w:val="20"/>
          <w:szCs w:val="20"/>
          <w:lang w:val="en-AU"/>
        </w:rPr>
        <w:t>Clarity of policy influence in the project</w:t>
      </w:r>
    </w:p>
    <w:p w14:paraId="4049774D" w14:textId="77777777" w:rsidR="002B157C" w:rsidRPr="00D91492" w:rsidRDefault="002B157C" w:rsidP="002B157C">
      <w:pPr>
        <w:pStyle w:val="NoSpacing"/>
        <w:numPr>
          <w:ilvl w:val="0"/>
          <w:numId w:val="33"/>
        </w:numPr>
        <w:rPr>
          <w:rFonts w:cs="Arial"/>
          <w:sz w:val="20"/>
          <w:szCs w:val="20"/>
          <w:lang w:val="en-AU"/>
        </w:rPr>
      </w:pPr>
      <w:r w:rsidRPr="00D91492">
        <w:rPr>
          <w:rFonts w:cs="Arial"/>
          <w:sz w:val="20"/>
          <w:szCs w:val="20"/>
          <w:lang w:val="en-AU"/>
        </w:rPr>
        <w:t>Existing activity level of Partners (scale/reach)</w:t>
      </w:r>
    </w:p>
    <w:p w14:paraId="5D72966B" w14:textId="77777777" w:rsidR="002B157C" w:rsidRPr="00D91492" w:rsidRDefault="002B157C" w:rsidP="002B157C">
      <w:pPr>
        <w:pStyle w:val="NoSpacing"/>
        <w:numPr>
          <w:ilvl w:val="0"/>
          <w:numId w:val="33"/>
        </w:numPr>
        <w:rPr>
          <w:rFonts w:cs="Arial"/>
          <w:sz w:val="20"/>
          <w:szCs w:val="20"/>
          <w:lang w:val="en-AU"/>
        </w:rPr>
      </w:pPr>
      <w:r w:rsidRPr="00D91492">
        <w:rPr>
          <w:rFonts w:cs="Arial"/>
          <w:sz w:val="20"/>
          <w:szCs w:val="20"/>
          <w:lang w:val="en-AU"/>
        </w:rPr>
        <w:t>Scope of existing services and number of funded sub-partners (commitments)</w:t>
      </w:r>
    </w:p>
    <w:p w14:paraId="100171B9" w14:textId="77777777" w:rsidR="002B157C" w:rsidRPr="00D91492" w:rsidRDefault="002B157C" w:rsidP="002B157C">
      <w:pPr>
        <w:pStyle w:val="NoSpacing"/>
        <w:numPr>
          <w:ilvl w:val="0"/>
          <w:numId w:val="33"/>
        </w:numPr>
        <w:rPr>
          <w:rFonts w:cs="Arial"/>
          <w:sz w:val="20"/>
          <w:szCs w:val="20"/>
          <w:lang w:val="en-AU"/>
        </w:rPr>
      </w:pPr>
      <w:r w:rsidRPr="00D91492">
        <w:rPr>
          <w:rFonts w:cs="Arial"/>
          <w:sz w:val="20"/>
          <w:szCs w:val="20"/>
          <w:lang w:val="en-AU"/>
        </w:rPr>
        <w:t>Average monthly acquittals between July 2015 – June 2015 (historical data)</w:t>
      </w:r>
    </w:p>
    <w:p w14:paraId="0B62F175" w14:textId="77777777" w:rsidR="002B157C" w:rsidRPr="00D91492" w:rsidRDefault="002B157C" w:rsidP="00891888">
      <w:pPr>
        <w:pStyle w:val="NoSpacing"/>
        <w:rPr>
          <w:rFonts w:cs="Arial"/>
          <w:sz w:val="20"/>
          <w:szCs w:val="20"/>
          <w:highlight w:val="yellow"/>
          <w:lang w:val="en-AU"/>
        </w:rPr>
      </w:pPr>
    </w:p>
    <w:p w14:paraId="24A1B0A1" w14:textId="329686B0" w:rsidR="00B11CB6" w:rsidRPr="009D07E3" w:rsidRDefault="00B11CB6" w:rsidP="008F281B">
      <w:pPr>
        <w:pStyle w:val="Heading2"/>
        <w:rPr>
          <w:lang w:val="en-CA"/>
        </w:rPr>
      </w:pPr>
      <w:bookmarkStart w:id="66" w:name="_Toc423438750"/>
      <w:r w:rsidRPr="009D07E3">
        <w:rPr>
          <w:lang w:val="en-CA"/>
        </w:rPr>
        <w:t xml:space="preserve">Internal </w:t>
      </w:r>
      <w:r w:rsidR="00C71C8A">
        <w:rPr>
          <w:lang w:val="en-CA"/>
        </w:rPr>
        <w:t xml:space="preserve">Annual </w:t>
      </w:r>
      <w:r w:rsidRPr="009D07E3">
        <w:rPr>
          <w:lang w:val="en-CA"/>
        </w:rPr>
        <w:t>Quality Audit</w:t>
      </w:r>
      <w:bookmarkEnd w:id="66"/>
      <w:r w:rsidRPr="009D07E3">
        <w:rPr>
          <w:lang w:val="en-CA"/>
        </w:rPr>
        <w:t xml:space="preserve"> </w:t>
      </w:r>
    </w:p>
    <w:p w14:paraId="6DC605A4" w14:textId="77777777" w:rsidR="00CA4238" w:rsidRPr="009D07E3" w:rsidRDefault="00CA4238" w:rsidP="000A333F">
      <w:pPr>
        <w:pStyle w:val="NoSpacing"/>
        <w:jc w:val="both"/>
        <w:rPr>
          <w:rFonts w:cs="Arial"/>
          <w:sz w:val="20"/>
          <w:szCs w:val="20"/>
          <w:lang w:val="en-CA"/>
        </w:rPr>
      </w:pPr>
    </w:p>
    <w:p w14:paraId="6A01DDF6" w14:textId="14AC9E66" w:rsidR="00B11CB6" w:rsidRPr="009D07E3" w:rsidRDefault="00B11CB6" w:rsidP="000A333F">
      <w:pPr>
        <w:pStyle w:val="NoSpacing"/>
        <w:jc w:val="both"/>
        <w:rPr>
          <w:rFonts w:cs="Arial"/>
          <w:sz w:val="20"/>
          <w:szCs w:val="20"/>
          <w:lang w:val="en-CA"/>
        </w:rPr>
      </w:pPr>
      <w:r w:rsidRPr="009D07E3">
        <w:rPr>
          <w:rFonts w:cs="Arial"/>
          <w:sz w:val="20"/>
          <w:szCs w:val="20"/>
          <w:lang w:val="en-CA"/>
        </w:rPr>
        <w:t xml:space="preserve">An internal MAMPU quality audit will be conducted in February/March each year (except in the final year). The quality review will consider management systems, financial functions and compliance with </w:t>
      </w:r>
      <w:r w:rsidR="00251463" w:rsidRPr="009D07E3">
        <w:rPr>
          <w:rFonts w:cs="Arial"/>
          <w:sz w:val="20"/>
          <w:szCs w:val="20"/>
          <w:lang w:val="en-CA"/>
        </w:rPr>
        <w:t xml:space="preserve">the </w:t>
      </w:r>
      <w:r w:rsidRPr="009D07E3">
        <w:rPr>
          <w:rFonts w:cs="Arial"/>
          <w:sz w:val="20"/>
          <w:szCs w:val="20"/>
          <w:lang w:val="en-CA"/>
        </w:rPr>
        <w:t xml:space="preserve">contract (both at the head-contract level and contracts issued by </w:t>
      </w:r>
      <w:proofErr w:type="spellStart"/>
      <w:r w:rsidRPr="009D07E3">
        <w:rPr>
          <w:rFonts w:cs="Arial"/>
          <w:sz w:val="20"/>
          <w:szCs w:val="20"/>
          <w:lang w:val="en-CA"/>
        </w:rPr>
        <w:t>Cowater</w:t>
      </w:r>
      <w:proofErr w:type="spellEnd"/>
      <w:r w:rsidRPr="009D07E3">
        <w:rPr>
          <w:rFonts w:cs="Arial"/>
          <w:sz w:val="20"/>
          <w:szCs w:val="20"/>
          <w:lang w:val="en-CA"/>
        </w:rPr>
        <w:t xml:space="preserve">).  </w:t>
      </w:r>
    </w:p>
    <w:p w14:paraId="60D35EC9" w14:textId="77777777" w:rsidR="00CA4238" w:rsidRPr="009D07E3" w:rsidRDefault="00CA4238" w:rsidP="000A333F">
      <w:pPr>
        <w:pStyle w:val="NoSpacing"/>
        <w:jc w:val="both"/>
        <w:rPr>
          <w:rFonts w:cs="Arial"/>
          <w:sz w:val="20"/>
          <w:szCs w:val="20"/>
          <w:lang w:val="en-CA"/>
        </w:rPr>
      </w:pPr>
    </w:p>
    <w:p w14:paraId="64AD1F86" w14:textId="5EDF703E" w:rsidR="00B11CB6" w:rsidRPr="009D07E3" w:rsidRDefault="00B11CB6" w:rsidP="000A333F">
      <w:pPr>
        <w:pStyle w:val="NoSpacing"/>
        <w:jc w:val="both"/>
        <w:rPr>
          <w:rFonts w:cs="Arial"/>
          <w:sz w:val="20"/>
          <w:szCs w:val="20"/>
          <w:lang w:val="en-CA"/>
        </w:rPr>
      </w:pPr>
      <w:r w:rsidRPr="009D07E3">
        <w:rPr>
          <w:rFonts w:cs="Arial"/>
          <w:sz w:val="20"/>
          <w:szCs w:val="20"/>
          <w:lang w:val="en-CA"/>
        </w:rPr>
        <w:t>The quality audit methodology will consider whether systems were in place and followed (compliance), and identify if the systems used in practice were “fit-for-purpose”. The audit will involve 3 areas of assessment</w:t>
      </w:r>
      <w:r w:rsidR="00251463" w:rsidRPr="009D07E3">
        <w:rPr>
          <w:rFonts w:cs="Arial"/>
          <w:sz w:val="20"/>
          <w:szCs w:val="20"/>
          <w:lang w:val="en-CA"/>
        </w:rPr>
        <w:t>:</w:t>
      </w:r>
    </w:p>
    <w:p w14:paraId="27E828C0" w14:textId="77777777" w:rsidR="00CA4238" w:rsidRPr="009D07E3" w:rsidRDefault="00CA4238" w:rsidP="000A333F">
      <w:pPr>
        <w:pStyle w:val="NoSpacing"/>
        <w:jc w:val="both"/>
        <w:rPr>
          <w:rFonts w:cs="Arial"/>
          <w:sz w:val="20"/>
          <w:szCs w:val="20"/>
          <w:lang w:val="en-CA"/>
        </w:rPr>
      </w:pPr>
    </w:p>
    <w:p w14:paraId="609F4CDE" w14:textId="58AD6AB9" w:rsidR="00B11CB6" w:rsidRPr="009D07E3" w:rsidRDefault="002F502E" w:rsidP="00CE24C9">
      <w:pPr>
        <w:pStyle w:val="NoSpacing"/>
        <w:numPr>
          <w:ilvl w:val="0"/>
          <w:numId w:val="32"/>
        </w:numPr>
        <w:spacing w:after="60"/>
        <w:jc w:val="both"/>
        <w:rPr>
          <w:rFonts w:cs="Arial"/>
          <w:sz w:val="20"/>
          <w:szCs w:val="20"/>
          <w:lang w:val="en-CA"/>
        </w:rPr>
      </w:pPr>
      <w:r>
        <w:rPr>
          <w:rFonts w:cs="Arial"/>
          <w:sz w:val="20"/>
          <w:szCs w:val="20"/>
          <w:lang w:val="en-CA"/>
        </w:rPr>
        <w:t>r</w:t>
      </w:r>
      <w:r w:rsidR="00B11CB6" w:rsidRPr="009D07E3">
        <w:rPr>
          <w:rFonts w:cs="Arial"/>
          <w:sz w:val="20"/>
          <w:szCs w:val="20"/>
          <w:lang w:val="en-CA"/>
        </w:rPr>
        <w:t xml:space="preserve">eview management systems against good practice; </w:t>
      </w:r>
    </w:p>
    <w:p w14:paraId="5A54BDC8" w14:textId="0FE42635" w:rsidR="00B11CB6" w:rsidRPr="009D07E3" w:rsidRDefault="002F502E" w:rsidP="00CE24C9">
      <w:pPr>
        <w:pStyle w:val="NoSpacing"/>
        <w:numPr>
          <w:ilvl w:val="0"/>
          <w:numId w:val="32"/>
        </w:numPr>
        <w:spacing w:after="60"/>
        <w:jc w:val="both"/>
        <w:rPr>
          <w:rFonts w:cs="Arial"/>
          <w:sz w:val="20"/>
          <w:szCs w:val="20"/>
          <w:lang w:val="en-CA"/>
        </w:rPr>
      </w:pPr>
      <w:r>
        <w:rPr>
          <w:rFonts w:cs="Arial"/>
          <w:sz w:val="20"/>
          <w:szCs w:val="20"/>
          <w:lang w:val="en-CA"/>
        </w:rPr>
        <w:t>c</w:t>
      </w:r>
      <w:r w:rsidR="00B11CB6" w:rsidRPr="009D07E3">
        <w:rPr>
          <w:rFonts w:cs="Arial"/>
          <w:sz w:val="20"/>
          <w:szCs w:val="20"/>
          <w:lang w:val="en-CA"/>
        </w:rPr>
        <w:t>onsider management elements (planning, M&amp;E, HR management, risk, fraud/anti-corruption, finance and admin); and</w:t>
      </w:r>
      <w:r w:rsidR="00251463" w:rsidRPr="009D07E3">
        <w:rPr>
          <w:rFonts w:cs="Arial"/>
          <w:sz w:val="20"/>
          <w:szCs w:val="20"/>
          <w:lang w:val="en-CA"/>
        </w:rPr>
        <w:t>,</w:t>
      </w:r>
      <w:r w:rsidR="00B11CB6" w:rsidRPr="009D07E3">
        <w:rPr>
          <w:rFonts w:cs="Arial"/>
          <w:sz w:val="20"/>
          <w:szCs w:val="20"/>
          <w:lang w:val="en-CA"/>
        </w:rPr>
        <w:t xml:space="preserve"> </w:t>
      </w:r>
    </w:p>
    <w:p w14:paraId="00019965" w14:textId="3E9A816A" w:rsidR="00B11CB6" w:rsidRDefault="002F502E" w:rsidP="00CE24C9">
      <w:pPr>
        <w:pStyle w:val="NoSpacing"/>
        <w:numPr>
          <w:ilvl w:val="0"/>
          <w:numId w:val="32"/>
        </w:numPr>
        <w:jc w:val="both"/>
        <w:rPr>
          <w:rFonts w:cs="Arial"/>
          <w:sz w:val="20"/>
          <w:szCs w:val="20"/>
          <w:lang w:val="en-CA"/>
        </w:rPr>
      </w:pPr>
      <w:proofErr w:type="gramStart"/>
      <w:r>
        <w:rPr>
          <w:rFonts w:cs="Arial"/>
          <w:sz w:val="20"/>
          <w:szCs w:val="20"/>
          <w:lang w:val="en-CA"/>
        </w:rPr>
        <w:t>s</w:t>
      </w:r>
      <w:r w:rsidR="00B11CB6" w:rsidRPr="009D07E3">
        <w:rPr>
          <w:rFonts w:cs="Arial"/>
          <w:sz w:val="20"/>
          <w:szCs w:val="20"/>
          <w:lang w:val="en-CA"/>
        </w:rPr>
        <w:t>pecific</w:t>
      </w:r>
      <w:proofErr w:type="gramEnd"/>
      <w:r w:rsidR="00B11CB6" w:rsidRPr="009D07E3">
        <w:rPr>
          <w:rFonts w:cs="Arial"/>
          <w:sz w:val="20"/>
          <w:szCs w:val="20"/>
          <w:lang w:val="en-CA"/>
        </w:rPr>
        <w:t xml:space="preserve"> program elements arising year to year (e.g. public diplomacy / communications, disability and child protection).</w:t>
      </w:r>
    </w:p>
    <w:p w14:paraId="5F63E780" w14:textId="77777777" w:rsidR="00BC468A" w:rsidRPr="009D07E3" w:rsidRDefault="00BC468A" w:rsidP="00CE24C9">
      <w:pPr>
        <w:pStyle w:val="NoSpacing"/>
        <w:jc w:val="both"/>
        <w:rPr>
          <w:rFonts w:cs="Arial"/>
          <w:sz w:val="20"/>
          <w:szCs w:val="20"/>
          <w:lang w:val="en-CA"/>
        </w:rPr>
      </w:pPr>
    </w:p>
    <w:p w14:paraId="58667535" w14:textId="4AA15F63" w:rsidR="00B11CB6" w:rsidRPr="009D07E3" w:rsidRDefault="00B11CB6" w:rsidP="000A333F">
      <w:pPr>
        <w:pStyle w:val="NoSpacing"/>
        <w:jc w:val="both"/>
        <w:rPr>
          <w:rFonts w:cs="Arial"/>
          <w:sz w:val="20"/>
          <w:szCs w:val="20"/>
          <w:lang w:val="en-CA"/>
        </w:rPr>
      </w:pPr>
      <w:r w:rsidRPr="009D07E3">
        <w:rPr>
          <w:rFonts w:cs="Arial"/>
          <w:sz w:val="20"/>
          <w:szCs w:val="20"/>
          <w:lang w:val="en-CA"/>
        </w:rPr>
        <w:t>Recommendations and lessons will be incorporated into the forward annual work</w:t>
      </w:r>
      <w:r w:rsidR="005E0297">
        <w:rPr>
          <w:rFonts w:cs="Arial"/>
          <w:sz w:val="20"/>
          <w:szCs w:val="20"/>
          <w:lang w:val="en-CA"/>
        </w:rPr>
        <w:t>-</w:t>
      </w:r>
      <w:r w:rsidRPr="009D07E3">
        <w:rPr>
          <w:rFonts w:cs="Arial"/>
          <w:sz w:val="20"/>
          <w:szCs w:val="20"/>
          <w:lang w:val="en-CA"/>
        </w:rPr>
        <w:t>plan.</w:t>
      </w:r>
    </w:p>
    <w:p w14:paraId="6DAB50F6" w14:textId="77777777" w:rsidR="00B11CB6" w:rsidRPr="009D07E3" w:rsidRDefault="00B11CB6" w:rsidP="000A333F">
      <w:pPr>
        <w:pStyle w:val="NoSpacing"/>
        <w:jc w:val="both"/>
        <w:rPr>
          <w:rFonts w:cs="Arial"/>
          <w:sz w:val="20"/>
          <w:szCs w:val="20"/>
          <w:lang w:val="en-CA"/>
        </w:rPr>
      </w:pPr>
    </w:p>
    <w:p w14:paraId="2D035B06" w14:textId="77777777" w:rsidR="00B11CB6" w:rsidRPr="009D07E3" w:rsidRDefault="00B11CB6" w:rsidP="008F281B">
      <w:pPr>
        <w:pStyle w:val="Heading2"/>
        <w:rPr>
          <w:lang w:val="en-CA"/>
        </w:rPr>
      </w:pPr>
      <w:bookmarkStart w:id="67" w:name="_Toc423438751"/>
      <w:r w:rsidRPr="009D07E3">
        <w:rPr>
          <w:lang w:val="en-CA"/>
        </w:rPr>
        <w:t>Risk Management</w:t>
      </w:r>
      <w:bookmarkEnd w:id="67"/>
      <w:r w:rsidRPr="009D07E3">
        <w:rPr>
          <w:lang w:val="en-CA"/>
        </w:rPr>
        <w:t xml:space="preserve"> </w:t>
      </w:r>
    </w:p>
    <w:p w14:paraId="10701E87" w14:textId="77777777" w:rsidR="00CA4238" w:rsidRPr="009D07E3" w:rsidRDefault="00CA4238" w:rsidP="00CA4238">
      <w:pPr>
        <w:rPr>
          <w:lang w:val="en-CA"/>
        </w:rPr>
      </w:pPr>
    </w:p>
    <w:p w14:paraId="74C7BAC9" w14:textId="62CA2DB0" w:rsidR="00B11CB6" w:rsidRDefault="00B11CB6" w:rsidP="000A333F">
      <w:pPr>
        <w:pStyle w:val="NoSpacing"/>
        <w:jc w:val="both"/>
        <w:rPr>
          <w:rFonts w:cs="Arial"/>
          <w:sz w:val="20"/>
          <w:szCs w:val="20"/>
          <w:lang w:val="en-CA"/>
        </w:rPr>
      </w:pPr>
      <w:r w:rsidRPr="009D07E3">
        <w:rPr>
          <w:rFonts w:cs="Arial"/>
          <w:sz w:val="20"/>
          <w:szCs w:val="20"/>
          <w:lang w:val="en-CA"/>
        </w:rPr>
        <w:t>The risk management plan and risk register for this program are updated as part of the bi</w:t>
      </w:r>
      <w:r w:rsidR="00071472" w:rsidRPr="009D07E3">
        <w:rPr>
          <w:rFonts w:cs="Arial"/>
          <w:sz w:val="20"/>
          <w:szCs w:val="20"/>
          <w:lang w:val="en-CA"/>
        </w:rPr>
        <w:t>-</w:t>
      </w:r>
      <w:r w:rsidRPr="009D07E3">
        <w:rPr>
          <w:rFonts w:cs="Arial"/>
          <w:sz w:val="20"/>
          <w:szCs w:val="20"/>
          <w:lang w:val="en-CA"/>
        </w:rPr>
        <w:t>ann</w:t>
      </w:r>
      <w:r w:rsidR="000954E4">
        <w:rPr>
          <w:rFonts w:cs="Arial"/>
          <w:sz w:val="20"/>
          <w:szCs w:val="20"/>
          <w:lang w:val="en-CA"/>
        </w:rPr>
        <w:t xml:space="preserve">ual progress reports. Risks </w:t>
      </w:r>
      <w:r w:rsidRPr="009D07E3">
        <w:rPr>
          <w:rFonts w:cs="Arial"/>
          <w:sz w:val="20"/>
          <w:szCs w:val="20"/>
          <w:lang w:val="en-CA"/>
        </w:rPr>
        <w:t>also</w:t>
      </w:r>
      <w:r w:rsidR="000954E4">
        <w:rPr>
          <w:rFonts w:cs="Arial"/>
          <w:sz w:val="20"/>
          <w:szCs w:val="20"/>
          <w:lang w:val="en-CA"/>
        </w:rPr>
        <w:t xml:space="preserve"> are</w:t>
      </w:r>
      <w:r w:rsidRPr="009D07E3">
        <w:rPr>
          <w:rFonts w:cs="Arial"/>
          <w:sz w:val="20"/>
          <w:szCs w:val="20"/>
          <w:lang w:val="en-CA"/>
        </w:rPr>
        <w:t xml:space="preserve"> more regularly discussed between DFAT and the managing contractor. All risks are brought to the attention of DFAT by the managing contractor as soon as they begin to emerge. </w:t>
      </w:r>
    </w:p>
    <w:p w14:paraId="08C18A5C" w14:textId="77777777" w:rsidR="00626F25" w:rsidRPr="009D07E3" w:rsidRDefault="00626F25" w:rsidP="000A333F">
      <w:pPr>
        <w:pStyle w:val="NoSpacing"/>
        <w:jc w:val="both"/>
        <w:rPr>
          <w:rFonts w:cs="Arial"/>
          <w:sz w:val="20"/>
          <w:szCs w:val="20"/>
          <w:lang w:val="en-CA"/>
        </w:rPr>
      </w:pPr>
    </w:p>
    <w:p w14:paraId="2D55A768" w14:textId="44669762" w:rsidR="00B11CB6" w:rsidRPr="009D07E3" w:rsidRDefault="00B11CB6" w:rsidP="000A333F">
      <w:pPr>
        <w:pStyle w:val="NoSpacing"/>
        <w:jc w:val="both"/>
        <w:rPr>
          <w:rFonts w:cs="Arial"/>
          <w:sz w:val="20"/>
          <w:szCs w:val="20"/>
          <w:lang w:val="en-CA"/>
        </w:rPr>
      </w:pPr>
      <w:r w:rsidRPr="009D07E3">
        <w:rPr>
          <w:rFonts w:cs="Arial"/>
          <w:sz w:val="20"/>
          <w:szCs w:val="20"/>
          <w:lang w:val="en-CA"/>
        </w:rPr>
        <w:t xml:space="preserve">The main risks in MAMPU are lack of uptake of policy change by government and fraud. The Contractor manages the former risk with an active capacity development plan with </w:t>
      </w:r>
      <w:proofErr w:type="gramStart"/>
      <w:r w:rsidRPr="009D07E3">
        <w:rPr>
          <w:rFonts w:cs="Arial"/>
          <w:sz w:val="20"/>
          <w:szCs w:val="20"/>
          <w:lang w:val="en-CA"/>
        </w:rPr>
        <w:t>partners that strengthens</w:t>
      </w:r>
      <w:proofErr w:type="gramEnd"/>
      <w:r w:rsidRPr="009D07E3">
        <w:rPr>
          <w:rFonts w:cs="Arial"/>
          <w:sz w:val="20"/>
          <w:szCs w:val="20"/>
          <w:lang w:val="en-CA"/>
        </w:rPr>
        <w:t xml:space="preserve"> their ability to engage with policy makers and advocate for chang</w:t>
      </w:r>
      <w:r w:rsidR="000954E4">
        <w:rPr>
          <w:rFonts w:cs="Arial"/>
          <w:sz w:val="20"/>
          <w:szCs w:val="20"/>
          <w:lang w:val="en-CA"/>
        </w:rPr>
        <w:t xml:space="preserve">e. Their ability to advocate </w:t>
      </w:r>
      <w:r w:rsidRPr="009D07E3">
        <w:rPr>
          <w:rFonts w:cs="Arial"/>
          <w:sz w:val="20"/>
          <w:szCs w:val="20"/>
          <w:lang w:val="en-CA"/>
        </w:rPr>
        <w:t>also</w:t>
      </w:r>
      <w:r w:rsidR="000954E4">
        <w:rPr>
          <w:rFonts w:cs="Arial"/>
          <w:sz w:val="20"/>
          <w:szCs w:val="20"/>
          <w:lang w:val="en-CA"/>
        </w:rPr>
        <w:t xml:space="preserve"> is</w:t>
      </w:r>
      <w:r w:rsidRPr="009D07E3">
        <w:rPr>
          <w:rFonts w:cs="Arial"/>
          <w:sz w:val="20"/>
          <w:szCs w:val="20"/>
          <w:lang w:val="en-CA"/>
        </w:rPr>
        <w:t xml:space="preserve"> underpinned by their clarity on respective issues. MAMPU will work with partners to sharpen program designs for this purpose. In terms of fraud, MAMPU actively manages suspected and detected cases of fraud. All suspected cases are reported to DFAT, with </w:t>
      </w:r>
      <w:r w:rsidR="00071472" w:rsidRPr="009D07E3">
        <w:rPr>
          <w:rFonts w:cs="Arial"/>
          <w:sz w:val="20"/>
          <w:szCs w:val="20"/>
          <w:lang w:val="en-CA"/>
        </w:rPr>
        <w:t>investigations</w:t>
      </w:r>
      <w:r w:rsidRPr="009D07E3">
        <w:rPr>
          <w:rFonts w:cs="Arial"/>
          <w:sz w:val="20"/>
          <w:szCs w:val="20"/>
          <w:lang w:val="en-CA"/>
        </w:rPr>
        <w:t xml:space="preserve"> being conducted to verify/dismiss cases. Ex</w:t>
      </w:r>
      <w:r w:rsidR="000954E4">
        <w:rPr>
          <w:rFonts w:cs="Arial"/>
          <w:sz w:val="20"/>
          <w:szCs w:val="20"/>
          <w:lang w:val="en-CA"/>
        </w:rPr>
        <w:t>tra grant management support</w:t>
      </w:r>
      <w:r w:rsidRPr="009D07E3">
        <w:rPr>
          <w:rFonts w:cs="Arial"/>
          <w:sz w:val="20"/>
          <w:szCs w:val="20"/>
          <w:lang w:val="en-CA"/>
        </w:rPr>
        <w:t xml:space="preserve"> also</w:t>
      </w:r>
      <w:r w:rsidR="000954E4">
        <w:rPr>
          <w:rFonts w:cs="Arial"/>
          <w:sz w:val="20"/>
          <w:szCs w:val="20"/>
          <w:lang w:val="en-CA"/>
        </w:rPr>
        <w:t xml:space="preserve"> has</w:t>
      </w:r>
      <w:r w:rsidRPr="009D07E3">
        <w:rPr>
          <w:rFonts w:cs="Arial"/>
          <w:sz w:val="20"/>
          <w:szCs w:val="20"/>
          <w:lang w:val="en-CA"/>
        </w:rPr>
        <w:t xml:space="preserve"> been embedded in 8 program partners. A separate component of work on improving the partners' internal financial controls (t</w:t>
      </w:r>
      <w:r w:rsidR="000954E4">
        <w:rPr>
          <w:rFonts w:cs="Arial"/>
          <w:sz w:val="20"/>
          <w:szCs w:val="20"/>
          <w:lang w:val="en-CA"/>
        </w:rPr>
        <w:t xml:space="preserve">hrough participatory audits) </w:t>
      </w:r>
      <w:r w:rsidRPr="009D07E3">
        <w:rPr>
          <w:rFonts w:cs="Arial"/>
          <w:sz w:val="20"/>
          <w:szCs w:val="20"/>
          <w:lang w:val="en-CA"/>
        </w:rPr>
        <w:t>also</w:t>
      </w:r>
      <w:r w:rsidR="000954E4">
        <w:rPr>
          <w:rFonts w:cs="Arial"/>
          <w:sz w:val="20"/>
          <w:szCs w:val="20"/>
          <w:lang w:val="en-CA"/>
        </w:rPr>
        <w:t xml:space="preserve"> is</w:t>
      </w:r>
      <w:r w:rsidRPr="009D07E3">
        <w:rPr>
          <w:rFonts w:cs="Arial"/>
          <w:sz w:val="20"/>
          <w:szCs w:val="20"/>
          <w:lang w:val="en-CA"/>
        </w:rPr>
        <w:t xml:space="preserve"> being implemented to mitigate further cases of fraud. </w:t>
      </w:r>
    </w:p>
    <w:p w14:paraId="384FCD2D" w14:textId="77777777" w:rsidR="00CA4238" w:rsidRPr="009D07E3" w:rsidRDefault="00CA4238" w:rsidP="000A333F">
      <w:pPr>
        <w:pStyle w:val="NoSpacing"/>
        <w:jc w:val="both"/>
        <w:rPr>
          <w:rFonts w:cs="Arial"/>
          <w:sz w:val="20"/>
          <w:szCs w:val="20"/>
          <w:lang w:val="en-CA"/>
        </w:rPr>
      </w:pPr>
    </w:p>
    <w:tbl>
      <w:tblPr>
        <w:tblStyle w:val="TableGrid"/>
        <w:tblW w:w="0" w:type="auto"/>
        <w:tblLook w:val="04A0" w:firstRow="1" w:lastRow="0" w:firstColumn="1" w:lastColumn="0" w:noHBand="0" w:noVBand="1"/>
      </w:tblPr>
      <w:tblGrid>
        <w:gridCol w:w="9018"/>
      </w:tblGrid>
      <w:tr w:rsidR="0012611E" w:rsidRPr="009D07E3" w14:paraId="7A9865A2" w14:textId="77777777" w:rsidTr="005E0297">
        <w:tc>
          <w:tcPr>
            <w:tcW w:w="9018" w:type="dxa"/>
            <w:shd w:val="clear" w:color="auto" w:fill="EAF1DD" w:themeFill="accent3" w:themeFillTint="33"/>
          </w:tcPr>
          <w:p w14:paraId="437FF2F5" w14:textId="77777777" w:rsidR="0012611E" w:rsidRPr="005E0297" w:rsidRDefault="0012611E" w:rsidP="00CE24C9">
            <w:pPr>
              <w:spacing w:before="120"/>
              <w:jc w:val="center"/>
              <w:rPr>
                <w:b/>
                <w:u w:val="single"/>
                <w:lang w:val="en-CA"/>
              </w:rPr>
            </w:pPr>
            <w:r w:rsidRPr="005E0297">
              <w:rPr>
                <w:b/>
                <w:u w:val="single"/>
                <w:lang w:val="en-CA"/>
              </w:rPr>
              <w:t xml:space="preserve">MAMPU’s unique approach to audit </w:t>
            </w:r>
          </w:p>
          <w:p w14:paraId="25DBD53C" w14:textId="77777777" w:rsidR="002F502E" w:rsidRPr="009D07E3" w:rsidRDefault="002F502E" w:rsidP="00CE24C9">
            <w:pPr>
              <w:jc w:val="center"/>
              <w:rPr>
                <w:u w:val="single"/>
                <w:lang w:val="en-CA"/>
              </w:rPr>
            </w:pPr>
          </w:p>
          <w:p w14:paraId="0C3F7C83" w14:textId="79F06EC2" w:rsidR="0012611E" w:rsidRPr="009D07E3" w:rsidRDefault="0012611E" w:rsidP="000954E4">
            <w:pPr>
              <w:spacing w:after="120"/>
              <w:rPr>
                <w:lang w:val="en-CA"/>
              </w:rPr>
            </w:pPr>
            <w:r w:rsidRPr="009D07E3">
              <w:rPr>
                <w:lang w:val="en-CA"/>
              </w:rPr>
              <w:t>MAMPU aims to ensure capacity development is at the forefront of our approach</w:t>
            </w:r>
            <w:r w:rsidR="000954E4">
              <w:rPr>
                <w:lang w:val="en-CA"/>
              </w:rPr>
              <w:t>.</w:t>
            </w:r>
            <w:r w:rsidRPr="009D07E3">
              <w:rPr>
                <w:lang w:val="en-CA"/>
              </w:rPr>
              <w:t xml:space="preserve"> </w:t>
            </w:r>
            <w:r w:rsidR="000954E4">
              <w:rPr>
                <w:lang w:val="en-CA"/>
              </w:rPr>
              <w:t>C</w:t>
            </w:r>
            <w:r w:rsidRPr="009D07E3">
              <w:rPr>
                <w:lang w:val="en-CA"/>
              </w:rPr>
              <w:t>onsequently</w:t>
            </w:r>
            <w:r w:rsidR="002F502E">
              <w:rPr>
                <w:lang w:val="en-CA"/>
              </w:rPr>
              <w:t>,</w:t>
            </w:r>
            <w:r w:rsidRPr="009D07E3">
              <w:rPr>
                <w:lang w:val="en-CA"/>
              </w:rPr>
              <w:t xml:space="preserve"> participatory audits are our preferred audit methodology. The primary aim of participatory audits is to ensure direct grass roots feedback is used to highlight both positives and negatives of activity implementation from multi-stakeholder perspectives. This includes feedback from representatives of local government, village heads, civil society as well as direct project beneficiaries. Structured group sharing within this broad range of stakeholders is the primary tool used to explore and reflect on activity implementation. Pak </w:t>
            </w:r>
            <w:proofErr w:type="spellStart"/>
            <w:r w:rsidRPr="009D07E3">
              <w:rPr>
                <w:lang w:val="en-CA"/>
              </w:rPr>
              <w:t>Ketut</w:t>
            </w:r>
            <w:proofErr w:type="spellEnd"/>
            <w:r w:rsidRPr="009D07E3">
              <w:rPr>
                <w:lang w:val="en-CA"/>
              </w:rPr>
              <w:t xml:space="preserve"> Alit, MAMPU’s participatory auditor explains</w:t>
            </w:r>
            <w:r w:rsidR="000954E4">
              <w:rPr>
                <w:lang w:val="en-CA"/>
              </w:rPr>
              <w:t xml:space="preserve"> that</w:t>
            </w:r>
            <w:r w:rsidRPr="009D07E3">
              <w:rPr>
                <w:lang w:val="en-CA"/>
              </w:rPr>
              <w:t xml:space="preserve"> “participatory audit focuses on both financial and project quality aspects of implementation. All parties to the audit are able to view project activity through the eyes of various stakeholders and beneficiaries</w:t>
            </w:r>
            <w:r w:rsidR="000954E4">
              <w:rPr>
                <w:lang w:val="en-CA"/>
              </w:rPr>
              <w:t>”</w:t>
            </w:r>
            <w:r w:rsidRPr="009D07E3">
              <w:rPr>
                <w:lang w:val="en-CA"/>
              </w:rPr>
              <w:t>.  The benefit MAMPU Partners report from using this approach is enormous. The audit process helps clarify and focus problem areas</w:t>
            </w:r>
            <w:r w:rsidR="000954E4">
              <w:rPr>
                <w:lang w:val="en-CA"/>
              </w:rPr>
              <w:t xml:space="preserve"> and identify system weakness. </w:t>
            </w:r>
            <w:r w:rsidRPr="009D07E3">
              <w:rPr>
                <w:lang w:val="en-CA"/>
              </w:rPr>
              <w:t xml:space="preserve">This enables both MAMPU partners and their sub-activity stakeholders to jointly learn better practices and improve systems collaboratively.   </w:t>
            </w:r>
          </w:p>
        </w:tc>
      </w:tr>
    </w:tbl>
    <w:p w14:paraId="4A041A52" w14:textId="77777777" w:rsidR="00B11CB6" w:rsidRPr="009D07E3" w:rsidRDefault="00B11CB6" w:rsidP="000A333F">
      <w:pPr>
        <w:pStyle w:val="NoSpacing"/>
        <w:jc w:val="both"/>
        <w:rPr>
          <w:rFonts w:cs="Arial"/>
          <w:sz w:val="20"/>
          <w:szCs w:val="20"/>
          <w:u w:val="single"/>
          <w:lang w:val="en-CA"/>
        </w:rPr>
      </w:pPr>
    </w:p>
    <w:p w14:paraId="54E9B7E5" w14:textId="77777777" w:rsidR="00B11CB6" w:rsidRPr="009D07E3" w:rsidRDefault="00B11CB6" w:rsidP="008F281B">
      <w:pPr>
        <w:pStyle w:val="Heading2"/>
        <w:rPr>
          <w:lang w:val="en-CA"/>
        </w:rPr>
      </w:pPr>
      <w:bookmarkStart w:id="68" w:name="_Toc423438752"/>
      <w:r w:rsidRPr="009D07E3">
        <w:rPr>
          <w:lang w:val="en-CA"/>
        </w:rPr>
        <w:t>Exit Strategy and Handover Plan</w:t>
      </w:r>
      <w:bookmarkEnd w:id="68"/>
      <w:r w:rsidRPr="009D07E3">
        <w:rPr>
          <w:lang w:val="en-CA"/>
        </w:rPr>
        <w:t xml:space="preserve"> </w:t>
      </w:r>
    </w:p>
    <w:p w14:paraId="687F10A9" w14:textId="77777777" w:rsidR="00CA4238" w:rsidRPr="009D07E3" w:rsidRDefault="00CA4238" w:rsidP="000A333F">
      <w:pPr>
        <w:pStyle w:val="NoSpacing"/>
        <w:jc w:val="both"/>
        <w:rPr>
          <w:rFonts w:cs="Arial"/>
          <w:sz w:val="20"/>
          <w:szCs w:val="20"/>
          <w:lang w:val="en-CA"/>
        </w:rPr>
      </w:pPr>
    </w:p>
    <w:p w14:paraId="2540A608" w14:textId="73D6643C" w:rsidR="00B11CB6" w:rsidRDefault="000954E4" w:rsidP="000A333F">
      <w:pPr>
        <w:pStyle w:val="NoSpacing"/>
        <w:jc w:val="both"/>
        <w:rPr>
          <w:rFonts w:cs="Arial"/>
          <w:sz w:val="20"/>
          <w:szCs w:val="20"/>
          <w:lang w:val="en-CA"/>
        </w:rPr>
      </w:pPr>
      <w:r>
        <w:rPr>
          <w:rFonts w:cs="Arial"/>
          <w:sz w:val="20"/>
          <w:szCs w:val="20"/>
          <w:lang w:val="en-CA"/>
        </w:rPr>
        <w:t>The MC</w:t>
      </w:r>
      <w:r w:rsidR="00B11CB6" w:rsidRPr="009D07E3">
        <w:rPr>
          <w:rFonts w:cs="Arial"/>
          <w:sz w:val="20"/>
          <w:szCs w:val="20"/>
          <w:lang w:val="en-CA"/>
        </w:rPr>
        <w:t xml:space="preserve"> submitted a draft handover plan in May 2014. This included all functions to be performed to hand over contract material, supplies, information, documents, and other materials to the Partner country. The plan ensures the </w:t>
      </w:r>
      <w:r>
        <w:rPr>
          <w:rFonts w:cs="Arial"/>
          <w:sz w:val="20"/>
          <w:szCs w:val="20"/>
          <w:lang w:val="en-CA"/>
        </w:rPr>
        <w:t>p</w:t>
      </w:r>
      <w:r w:rsidR="00B11CB6" w:rsidRPr="009D07E3">
        <w:rPr>
          <w:rFonts w:cs="Arial"/>
          <w:sz w:val="20"/>
          <w:szCs w:val="20"/>
          <w:lang w:val="en-CA"/>
        </w:rPr>
        <w:t xml:space="preserve">artner country is able to benefit from the </w:t>
      </w:r>
      <w:r>
        <w:rPr>
          <w:rFonts w:cs="Arial"/>
          <w:sz w:val="20"/>
          <w:szCs w:val="20"/>
          <w:lang w:val="en-CA"/>
        </w:rPr>
        <w:t>p</w:t>
      </w:r>
      <w:r w:rsidR="00B11CB6" w:rsidRPr="009D07E3">
        <w:rPr>
          <w:rFonts w:cs="Arial"/>
          <w:sz w:val="20"/>
          <w:szCs w:val="20"/>
          <w:lang w:val="en-CA"/>
        </w:rPr>
        <w:t xml:space="preserve">rogram and in particular enables the </w:t>
      </w:r>
      <w:r>
        <w:rPr>
          <w:rFonts w:cs="Arial"/>
          <w:sz w:val="20"/>
          <w:szCs w:val="20"/>
          <w:lang w:val="en-CA"/>
        </w:rPr>
        <w:t>p</w:t>
      </w:r>
      <w:r w:rsidR="00B11CB6" w:rsidRPr="009D07E3">
        <w:rPr>
          <w:rFonts w:cs="Arial"/>
          <w:sz w:val="20"/>
          <w:szCs w:val="20"/>
          <w:lang w:val="en-CA"/>
        </w:rPr>
        <w:t xml:space="preserve">artner country to manage on-going maintenance requirements. </w:t>
      </w:r>
    </w:p>
    <w:p w14:paraId="03E59A5E" w14:textId="77777777" w:rsidR="00626F25" w:rsidRPr="009D07E3" w:rsidRDefault="00626F25" w:rsidP="000A333F">
      <w:pPr>
        <w:pStyle w:val="NoSpacing"/>
        <w:jc w:val="both"/>
        <w:rPr>
          <w:rFonts w:cs="Arial"/>
          <w:sz w:val="20"/>
          <w:szCs w:val="20"/>
          <w:lang w:val="en-CA"/>
        </w:rPr>
      </w:pPr>
    </w:p>
    <w:p w14:paraId="3C2E5294" w14:textId="697033DA" w:rsidR="00B11CB6" w:rsidRPr="009D07E3" w:rsidRDefault="00B11CB6" w:rsidP="000A333F">
      <w:pPr>
        <w:pStyle w:val="NoSpacing"/>
        <w:jc w:val="both"/>
        <w:rPr>
          <w:rFonts w:cs="Arial"/>
          <w:sz w:val="20"/>
          <w:szCs w:val="20"/>
          <w:lang w:val="en-CA"/>
        </w:rPr>
      </w:pPr>
      <w:r w:rsidRPr="009D07E3">
        <w:rPr>
          <w:rFonts w:cs="Arial"/>
          <w:sz w:val="20"/>
          <w:szCs w:val="20"/>
          <w:lang w:val="en-CA"/>
        </w:rPr>
        <w:t xml:space="preserve">At a suitable time period prior to exit/completion, the MAMPU Team Leader will seek direction from DFAT regarding the preferred option for transfer, gifting or storage of </w:t>
      </w:r>
      <w:r w:rsidR="00742F79">
        <w:rPr>
          <w:rFonts w:cs="Arial"/>
          <w:sz w:val="20"/>
          <w:szCs w:val="20"/>
          <w:lang w:val="en-CA"/>
        </w:rPr>
        <w:t>p</w:t>
      </w:r>
      <w:r w:rsidRPr="009D07E3">
        <w:rPr>
          <w:rFonts w:cs="Arial"/>
          <w:sz w:val="20"/>
          <w:szCs w:val="20"/>
          <w:lang w:val="en-CA"/>
        </w:rPr>
        <w:t xml:space="preserve">rogram assets, specifically on whether the assets will be (a) handed over to another Australian aid project; (b) handed over to </w:t>
      </w:r>
      <w:proofErr w:type="spellStart"/>
      <w:r w:rsidRPr="009D07E3">
        <w:rPr>
          <w:rFonts w:cs="Arial"/>
          <w:sz w:val="20"/>
          <w:szCs w:val="20"/>
          <w:lang w:val="en-CA"/>
        </w:rPr>
        <w:t>GoI</w:t>
      </w:r>
      <w:proofErr w:type="spellEnd"/>
      <w:r w:rsidRPr="009D07E3">
        <w:rPr>
          <w:rFonts w:cs="Arial"/>
          <w:sz w:val="20"/>
          <w:szCs w:val="20"/>
          <w:lang w:val="en-CA"/>
        </w:rPr>
        <w:t xml:space="preserve">; (c) handed to </w:t>
      </w:r>
      <w:r w:rsidR="00742F79">
        <w:rPr>
          <w:rFonts w:cs="Arial"/>
          <w:sz w:val="20"/>
          <w:szCs w:val="20"/>
          <w:lang w:val="en-CA"/>
        </w:rPr>
        <w:t>p</w:t>
      </w:r>
      <w:r w:rsidRPr="009D07E3">
        <w:rPr>
          <w:rFonts w:cs="Arial"/>
          <w:sz w:val="20"/>
          <w:szCs w:val="20"/>
          <w:lang w:val="en-CA"/>
        </w:rPr>
        <w:t>artners and/or (d) stored until preferred option has been agreed.</w:t>
      </w:r>
    </w:p>
    <w:p w14:paraId="1A5FC70E" w14:textId="77777777" w:rsidR="00626F25" w:rsidRDefault="00626F25" w:rsidP="000A333F">
      <w:pPr>
        <w:pStyle w:val="NoSpacing"/>
        <w:jc w:val="both"/>
        <w:rPr>
          <w:rFonts w:cs="Arial"/>
          <w:sz w:val="20"/>
          <w:szCs w:val="20"/>
          <w:lang w:val="en-CA"/>
        </w:rPr>
      </w:pPr>
    </w:p>
    <w:p w14:paraId="5822D127" w14:textId="4863A842" w:rsidR="00B11CB6" w:rsidRPr="009D07E3" w:rsidRDefault="00B11CB6" w:rsidP="000A333F">
      <w:pPr>
        <w:pStyle w:val="NoSpacing"/>
        <w:jc w:val="both"/>
        <w:rPr>
          <w:rFonts w:cs="Arial"/>
          <w:sz w:val="20"/>
          <w:szCs w:val="20"/>
          <w:lang w:val="en-CA"/>
        </w:rPr>
      </w:pPr>
      <w:r w:rsidRPr="009D07E3">
        <w:rPr>
          <w:rFonts w:cs="Arial"/>
          <w:sz w:val="20"/>
          <w:szCs w:val="20"/>
          <w:lang w:val="en-CA"/>
        </w:rPr>
        <w:t>The current exit strategy remains in place until December 2017 and will be updated and re</w:t>
      </w:r>
      <w:r w:rsidR="00626F25">
        <w:rPr>
          <w:rFonts w:cs="Arial"/>
          <w:sz w:val="20"/>
          <w:szCs w:val="20"/>
          <w:lang w:val="en-CA"/>
        </w:rPr>
        <w:noBreakHyphen/>
      </w:r>
      <w:r w:rsidRPr="009D07E3">
        <w:rPr>
          <w:rFonts w:cs="Arial"/>
          <w:sz w:val="20"/>
          <w:szCs w:val="20"/>
          <w:lang w:val="en-CA"/>
        </w:rPr>
        <w:t>submitted to DFAT at that time.</w:t>
      </w:r>
    </w:p>
    <w:p w14:paraId="5AF231E3" w14:textId="77777777" w:rsidR="00B21ED2" w:rsidRDefault="00B21ED2" w:rsidP="000A333F">
      <w:pPr>
        <w:pStyle w:val="NoSpacing"/>
        <w:jc w:val="both"/>
        <w:rPr>
          <w:rFonts w:cs="Arial"/>
          <w:b/>
          <w:sz w:val="20"/>
          <w:szCs w:val="20"/>
          <w:u w:val="single"/>
          <w:lang w:val="en-CA"/>
        </w:rPr>
        <w:sectPr w:rsidR="00B21ED2" w:rsidSect="00614064">
          <w:type w:val="nextColumn"/>
          <w:pgSz w:w="11909" w:h="16834" w:code="9"/>
          <w:pgMar w:top="1440" w:right="1440" w:bottom="1440" w:left="1344" w:header="720" w:footer="720" w:gutter="0"/>
          <w:pgNumType w:start="1" w:chapStyle="1"/>
          <w:cols w:space="708"/>
          <w:docGrid w:linePitch="360"/>
        </w:sectPr>
      </w:pPr>
    </w:p>
    <w:p w14:paraId="27ED7A5E" w14:textId="073A42AD" w:rsidR="00B21ED2" w:rsidRPr="00F757E5" w:rsidRDefault="00B21ED2" w:rsidP="00F757E5">
      <w:pPr>
        <w:pStyle w:val="Title"/>
      </w:pPr>
      <w:r w:rsidRPr="00F757E5">
        <w:t>annex A</w:t>
      </w:r>
    </w:p>
    <w:p w14:paraId="4490244A" w14:textId="490787D2" w:rsidR="00084203" w:rsidRDefault="001444C5" w:rsidP="00B21ED2">
      <w:pPr>
        <w:rPr>
          <w:lang w:val="en-CA"/>
        </w:rPr>
      </w:pPr>
      <w:r w:rsidRPr="001444C5">
        <w:rPr>
          <w:noProof/>
          <w:lang w:eastAsia="en-AU"/>
        </w:rPr>
        <w:drawing>
          <wp:inline distT="0" distB="0" distL="0" distR="0" wp14:anchorId="38A535A3" wp14:editId="556CC67D">
            <wp:extent cx="8644976" cy="6305550"/>
            <wp:effectExtent l="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644976" cy="6305550"/>
                    </a:xfrm>
                    <a:prstGeom prst="rect">
                      <a:avLst/>
                    </a:prstGeom>
                    <a:noFill/>
                    <a:ln>
                      <a:noFill/>
                    </a:ln>
                  </pic:spPr>
                </pic:pic>
              </a:graphicData>
            </a:graphic>
          </wp:inline>
        </w:drawing>
      </w:r>
    </w:p>
    <w:p w14:paraId="3391688C" w14:textId="77777777" w:rsidR="001444C5" w:rsidRPr="001444C5" w:rsidRDefault="001444C5" w:rsidP="00B21ED2">
      <w:pPr>
        <w:rPr>
          <w:sz w:val="10"/>
          <w:lang w:val="en-CA"/>
        </w:rPr>
      </w:pPr>
    </w:p>
    <w:sectPr w:rsidR="001444C5" w:rsidRPr="001444C5" w:rsidSect="00614064">
      <w:headerReference w:type="default" r:id="rId19"/>
      <w:type w:val="nextColumn"/>
      <w:pgSz w:w="16834" w:h="11909" w:orient="landscape" w:code="9"/>
      <w:pgMar w:top="718" w:right="1440" w:bottom="450" w:left="1440" w:header="450" w:footer="72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78EC6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CF646" w14:textId="77777777" w:rsidR="00706F12" w:rsidRDefault="00706F12" w:rsidP="00D02C4D">
      <w:r>
        <w:separator/>
      </w:r>
    </w:p>
  </w:endnote>
  <w:endnote w:type="continuationSeparator" w:id="0">
    <w:p w14:paraId="18C48A80" w14:textId="77777777" w:rsidR="00706F12" w:rsidRDefault="00706F12" w:rsidP="00D0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BA058" w14:textId="77777777" w:rsidR="00531473" w:rsidRDefault="005314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72489" w14:textId="77777777" w:rsidR="00531473" w:rsidRDefault="005314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C2AE8" w14:textId="77777777" w:rsidR="00531473" w:rsidRDefault="005314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20315" w14:textId="77777777" w:rsidR="00706F12" w:rsidRDefault="00706F12" w:rsidP="00D02C4D">
      <w:r>
        <w:separator/>
      </w:r>
    </w:p>
  </w:footnote>
  <w:footnote w:type="continuationSeparator" w:id="0">
    <w:p w14:paraId="129FB6A7" w14:textId="77777777" w:rsidR="00706F12" w:rsidRDefault="00706F12" w:rsidP="00D02C4D">
      <w:r>
        <w:continuationSeparator/>
      </w:r>
    </w:p>
  </w:footnote>
  <w:footnote w:id="1">
    <w:p w14:paraId="1E1AFF80" w14:textId="24B0ED50" w:rsidR="00706F12" w:rsidRPr="00AB5F71" w:rsidRDefault="00706F12" w:rsidP="00630535">
      <w:pPr>
        <w:pStyle w:val="NormalWeb"/>
        <w:spacing w:before="0" w:beforeAutospacing="0" w:after="0" w:afterAutospacing="0"/>
        <w:ind w:left="180" w:hanging="180"/>
        <w:rPr>
          <w:rFonts w:ascii="Arial" w:hAnsi="Arial" w:cs="Arial"/>
          <w:sz w:val="18"/>
          <w:szCs w:val="18"/>
          <w:lang w:val="en-US"/>
        </w:rPr>
      </w:pPr>
      <w:r w:rsidRPr="00AB5F71">
        <w:rPr>
          <w:rStyle w:val="FootnoteReference"/>
          <w:rFonts w:ascii="Arial" w:hAnsi="Arial" w:cs="Arial"/>
          <w:sz w:val="18"/>
          <w:szCs w:val="18"/>
        </w:rPr>
        <w:footnoteRef/>
      </w:r>
      <w:r w:rsidRPr="00AB5F71">
        <w:rPr>
          <w:rFonts w:ascii="Arial" w:hAnsi="Arial" w:cs="Arial"/>
          <w:sz w:val="18"/>
          <w:szCs w:val="18"/>
        </w:rPr>
        <w:t xml:space="preserve"> </w:t>
      </w:r>
      <w:r>
        <w:rPr>
          <w:rFonts w:ascii="Arial" w:hAnsi="Arial" w:cs="Arial"/>
          <w:sz w:val="18"/>
          <w:szCs w:val="18"/>
          <w:lang w:val="en-US"/>
        </w:rPr>
        <w:t xml:space="preserve">UN Women (2015) Progress of the World’s Women 2015-2016: Transforming Economies, Realizing Rights. </w:t>
      </w:r>
    </w:p>
  </w:footnote>
  <w:footnote w:id="2">
    <w:p w14:paraId="22F108DC" w14:textId="0B9EB0F2" w:rsidR="00706F12" w:rsidRPr="006E3E51" w:rsidRDefault="00706F12" w:rsidP="004A5867">
      <w:pPr>
        <w:pStyle w:val="FootnoteText"/>
        <w:rPr>
          <w:sz w:val="18"/>
          <w:szCs w:val="18"/>
          <w:lang w:val="en-US"/>
        </w:rPr>
      </w:pPr>
      <w:r w:rsidRPr="006E3E51">
        <w:rPr>
          <w:rStyle w:val="FootnoteReference"/>
          <w:sz w:val="18"/>
          <w:szCs w:val="18"/>
        </w:rPr>
        <w:footnoteRef/>
      </w:r>
      <w:r w:rsidRPr="006E3E51">
        <w:rPr>
          <w:sz w:val="18"/>
          <w:szCs w:val="18"/>
        </w:rPr>
        <w:t xml:space="preserve"> </w:t>
      </w:r>
      <w:r w:rsidRPr="006E3E51">
        <w:rPr>
          <w:sz w:val="18"/>
          <w:szCs w:val="18"/>
          <w:lang w:val="en-US"/>
        </w:rPr>
        <w:t xml:space="preserve">Biro </w:t>
      </w:r>
      <w:proofErr w:type="spellStart"/>
      <w:r w:rsidRPr="006E3E51">
        <w:rPr>
          <w:sz w:val="18"/>
          <w:szCs w:val="18"/>
          <w:lang w:val="en-US"/>
        </w:rPr>
        <w:t>Pusat</w:t>
      </w:r>
      <w:proofErr w:type="spellEnd"/>
      <w:r w:rsidRPr="006E3E51">
        <w:rPr>
          <w:sz w:val="18"/>
          <w:szCs w:val="18"/>
          <w:lang w:val="en-US"/>
        </w:rPr>
        <w:t xml:space="preserve"> </w:t>
      </w:r>
      <w:proofErr w:type="spellStart"/>
      <w:r w:rsidRPr="006E3E51">
        <w:rPr>
          <w:sz w:val="18"/>
          <w:szCs w:val="18"/>
          <w:lang w:val="en-US"/>
        </w:rPr>
        <w:t>Statistik</w:t>
      </w:r>
      <w:proofErr w:type="spellEnd"/>
      <w:r w:rsidRPr="006E3E51">
        <w:rPr>
          <w:sz w:val="18"/>
          <w:szCs w:val="18"/>
          <w:lang w:val="en-US"/>
        </w:rPr>
        <w:t xml:space="preserve"> (BPS)</w:t>
      </w:r>
    </w:p>
  </w:footnote>
  <w:footnote w:id="3">
    <w:p w14:paraId="4F477461" w14:textId="53DE964D" w:rsidR="00706F12" w:rsidRPr="006E3E51" w:rsidRDefault="00706F12" w:rsidP="004A5867">
      <w:pPr>
        <w:pStyle w:val="FootnoteText"/>
        <w:rPr>
          <w:sz w:val="18"/>
          <w:szCs w:val="18"/>
          <w:lang w:val="en-US"/>
        </w:rPr>
      </w:pPr>
      <w:r w:rsidRPr="006E3E51">
        <w:rPr>
          <w:rStyle w:val="FootnoteReference"/>
          <w:sz w:val="18"/>
          <w:szCs w:val="18"/>
        </w:rPr>
        <w:footnoteRef/>
      </w:r>
      <w:r w:rsidRPr="006E3E51">
        <w:rPr>
          <w:sz w:val="18"/>
          <w:szCs w:val="18"/>
        </w:rPr>
        <w:t xml:space="preserve"> </w:t>
      </w:r>
      <w:r>
        <w:rPr>
          <w:sz w:val="18"/>
          <w:szCs w:val="18"/>
          <w:lang w:val="en-US"/>
        </w:rPr>
        <w:t>Ibid</w:t>
      </w:r>
    </w:p>
  </w:footnote>
  <w:footnote w:id="4">
    <w:p w14:paraId="7031D6FE" w14:textId="76A99C5D" w:rsidR="00706F12" w:rsidRPr="006E3E51" w:rsidRDefault="00706F12" w:rsidP="008E488C">
      <w:pPr>
        <w:ind w:left="180" w:hanging="180"/>
        <w:rPr>
          <w:sz w:val="18"/>
          <w:szCs w:val="18"/>
          <w:lang w:val="en-US"/>
        </w:rPr>
      </w:pPr>
      <w:r w:rsidRPr="006E3E51">
        <w:rPr>
          <w:rStyle w:val="FootnoteReference"/>
          <w:sz w:val="18"/>
          <w:szCs w:val="18"/>
        </w:rPr>
        <w:footnoteRef/>
      </w:r>
      <w:r w:rsidRPr="006E3E51">
        <w:rPr>
          <w:sz w:val="18"/>
          <w:szCs w:val="18"/>
        </w:rPr>
        <w:t xml:space="preserve"> </w:t>
      </w:r>
      <w:r w:rsidRPr="006E3E51">
        <w:rPr>
          <w:sz w:val="18"/>
          <w:szCs w:val="18"/>
          <w:lang w:val="en-US"/>
        </w:rPr>
        <w:t>Poverty headcount ratio at national poverty lines, % of population, from World Development Indicators March 2015</w:t>
      </w:r>
    </w:p>
  </w:footnote>
  <w:footnote w:id="5">
    <w:p w14:paraId="16B9AD2B" w14:textId="08B46D80" w:rsidR="00706F12" w:rsidRPr="006E3E51" w:rsidRDefault="00706F12">
      <w:pPr>
        <w:pStyle w:val="FootnoteText"/>
        <w:rPr>
          <w:sz w:val="18"/>
          <w:szCs w:val="18"/>
          <w:lang w:val="en-US"/>
        </w:rPr>
      </w:pPr>
      <w:r w:rsidRPr="006E3E51">
        <w:rPr>
          <w:rStyle w:val="FootnoteReference"/>
          <w:sz w:val="18"/>
          <w:szCs w:val="18"/>
        </w:rPr>
        <w:footnoteRef/>
      </w:r>
      <w:r w:rsidRPr="006E3E51">
        <w:rPr>
          <w:sz w:val="18"/>
          <w:szCs w:val="18"/>
        </w:rPr>
        <w:t xml:space="preserve"> </w:t>
      </w:r>
      <w:r w:rsidRPr="006E3E51">
        <w:rPr>
          <w:sz w:val="18"/>
          <w:szCs w:val="18"/>
          <w:lang w:val="en-US"/>
        </w:rPr>
        <w:t>Gini Index, World Bank estimates, World Development Indicators March 2015</w:t>
      </w:r>
    </w:p>
  </w:footnote>
  <w:footnote w:id="6">
    <w:p w14:paraId="575BDD53" w14:textId="427F584D" w:rsidR="00706F12" w:rsidRPr="006E3E51" w:rsidRDefault="00706F12">
      <w:pPr>
        <w:pStyle w:val="FootnoteText"/>
        <w:rPr>
          <w:rFonts w:cs="Arial"/>
          <w:sz w:val="18"/>
          <w:szCs w:val="18"/>
          <w:lang w:val="en-US"/>
        </w:rPr>
      </w:pPr>
      <w:r w:rsidRPr="006E3E51">
        <w:rPr>
          <w:rStyle w:val="FootnoteReference"/>
          <w:rFonts w:cs="Arial"/>
          <w:sz w:val="18"/>
          <w:szCs w:val="18"/>
        </w:rPr>
        <w:footnoteRef/>
      </w:r>
      <w:r w:rsidRPr="006E3E51">
        <w:rPr>
          <w:rFonts w:cs="Arial"/>
          <w:sz w:val="18"/>
          <w:szCs w:val="18"/>
        </w:rPr>
        <w:t xml:space="preserve"> </w:t>
      </w:r>
      <w:proofErr w:type="gramStart"/>
      <w:r w:rsidRPr="006E3E51">
        <w:rPr>
          <w:rFonts w:cs="Arial"/>
          <w:sz w:val="18"/>
          <w:szCs w:val="18"/>
          <w:lang w:val="en-US"/>
        </w:rPr>
        <w:t>Human Development Report 2014.</w:t>
      </w:r>
      <w:proofErr w:type="gramEnd"/>
    </w:p>
  </w:footnote>
  <w:footnote w:id="7">
    <w:p w14:paraId="4E91D721" w14:textId="77777777" w:rsidR="00706F12" w:rsidRPr="00A50027" w:rsidRDefault="00706F12" w:rsidP="00707947">
      <w:pPr>
        <w:pStyle w:val="FootnoteText"/>
        <w:rPr>
          <w:sz w:val="18"/>
          <w:szCs w:val="18"/>
          <w:lang w:val="en-US"/>
        </w:rPr>
      </w:pPr>
      <w:r w:rsidRPr="00A50027">
        <w:rPr>
          <w:rStyle w:val="FootnoteReference"/>
          <w:sz w:val="18"/>
          <w:szCs w:val="18"/>
        </w:rPr>
        <w:footnoteRef/>
      </w:r>
      <w:r w:rsidRPr="00A50027">
        <w:rPr>
          <w:sz w:val="18"/>
          <w:szCs w:val="18"/>
        </w:rPr>
        <w:t xml:space="preserve"> </w:t>
      </w:r>
      <w:hyperlink r:id="rId1" w:history="1">
        <w:r w:rsidRPr="00A50027">
          <w:rPr>
            <w:rStyle w:val="Hyperlink"/>
            <w:sz w:val="18"/>
            <w:szCs w:val="18"/>
          </w:rPr>
          <w:t>http://bdt.tnp2k.go.id/index.php/data/sebaran-nasional</w:t>
        </w:r>
      </w:hyperlink>
      <w:r w:rsidRPr="00A50027">
        <w:rPr>
          <w:sz w:val="18"/>
          <w:szCs w:val="18"/>
        </w:rPr>
        <w:t xml:space="preserve"> </w:t>
      </w:r>
    </w:p>
  </w:footnote>
  <w:footnote w:id="8">
    <w:p w14:paraId="3F0CDC51" w14:textId="77777777" w:rsidR="00706F12" w:rsidRPr="006E3E51" w:rsidRDefault="00706F12" w:rsidP="00707947">
      <w:pPr>
        <w:pStyle w:val="FootnoteText"/>
        <w:rPr>
          <w:sz w:val="18"/>
          <w:szCs w:val="18"/>
          <w:lang w:val="en-US"/>
        </w:rPr>
      </w:pPr>
      <w:r w:rsidRPr="006E3E51">
        <w:rPr>
          <w:rStyle w:val="FootnoteReference"/>
          <w:sz w:val="18"/>
          <w:szCs w:val="18"/>
        </w:rPr>
        <w:footnoteRef/>
      </w:r>
      <w:r w:rsidRPr="006E3E51">
        <w:rPr>
          <w:sz w:val="18"/>
          <w:szCs w:val="18"/>
        </w:rPr>
        <w:t xml:space="preserve"> </w:t>
      </w:r>
      <w:hyperlink r:id="rId2" w:history="1">
        <w:r w:rsidRPr="006E3E51">
          <w:rPr>
            <w:rStyle w:val="Hyperlink"/>
            <w:sz w:val="18"/>
            <w:szCs w:val="18"/>
          </w:rPr>
          <w:t>http://www.smeru.or.id/report/research/accesstojustice/accesstojustice_ind.pdf</w:t>
        </w:r>
      </w:hyperlink>
      <w:r w:rsidRPr="006E3E51">
        <w:rPr>
          <w:sz w:val="18"/>
          <w:szCs w:val="18"/>
        </w:rPr>
        <w:t xml:space="preserve"> </w:t>
      </w:r>
    </w:p>
  </w:footnote>
  <w:footnote w:id="9">
    <w:p w14:paraId="30C00837" w14:textId="77777777" w:rsidR="00706F12" w:rsidRPr="006E3E51" w:rsidRDefault="00706F12" w:rsidP="00BF25CA">
      <w:pPr>
        <w:pStyle w:val="FootnoteText"/>
        <w:ind w:left="180" w:hanging="180"/>
        <w:rPr>
          <w:sz w:val="18"/>
          <w:szCs w:val="18"/>
        </w:rPr>
      </w:pPr>
      <w:r w:rsidRPr="006E3E51">
        <w:rPr>
          <w:rStyle w:val="FootnoteReference"/>
          <w:sz w:val="18"/>
          <w:szCs w:val="18"/>
        </w:rPr>
        <w:footnoteRef/>
      </w:r>
      <w:r w:rsidRPr="006E3E51">
        <w:rPr>
          <w:sz w:val="18"/>
          <w:szCs w:val="18"/>
        </w:rPr>
        <w:t xml:space="preserve"> </w:t>
      </w:r>
      <w:proofErr w:type="gramStart"/>
      <w:r w:rsidRPr="006E3E51">
        <w:rPr>
          <w:sz w:val="18"/>
          <w:szCs w:val="18"/>
        </w:rPr>
        <w:t>SMERU (2015).</w:t>
      </w:r>
      <w:proofErr w:type="gramEnd"/>
      <w:r w:rsidRPr="006E3E51">
        <w:rPr>
          <w:sz w:val="18"/>
          <w:szCs w:val="18"/>
        </w:rPr>
        <w:t xml:space="preserve">  “Baseline Report: Poor Women’s Access to Livelihoods and Public Services.” The first out of a longitudinal series of study conducted for MAMPU program. The report is currently being finalized.</w:t>
      </w:r>
    </w:p>
  </w:footnote>
  <w:footnote w:id="10">
    <w:p w14:paraId="7380A934" w14:textId="77777777" w:rsidR="00706F12" w:rsidRPr="006E3E51" w:rsidRDefault="00706F12" w:rsidP="00DF77EA">
      <w:pPr>
        <w:pStyle w:val="FootnoteText"/>
        <w:rPr>
          <w:sz w:val="18"/>
          <w:szCs w:val="18"/>
          <w:lang w:val="en-US"/>
        </w:rPr>
      </w:pPr>
      <w:r w:rsidRPr="006E3E51">
        <w:rPr>
          <w:rStyle w:val="FootnoteReference"/>
          <w:sz w:val="18"/>
          <w:szCs w:val="18"/>
        </w:rPr>
        <w:footnoteRef/>
      </w:r>
      <w:r w:rsidRPr="006E3E51">
        <w:rPr>
          <w:sz w:val="18"/>
          <w:szCs w:val="18"/>
        </w:rPr>
        <w:t xml:space="preserve"> http://www.un.or.id/counter/download.php?file=indonesia_remittances.pdf</w:t>
      </w:r>
    </w:p>
  </w:footnote>
  <w:footnote w:id="11">
    <w:p w14:paraId="29E826A7" w14:textId="0431A66C" w:rsidR="00706F12" w:rsidRPr="006E3E51" w:rsidRDefault="00706F12" w:rsidP="00891888">
      <w:pPr>
        <w:pStyle w:val="FootnoteText"/>
        <w:rPr>
          <w:sz w:val="18"/>
          <w:szCs w:val="18"/>
          <w:lang w:val="en-US"/>
        </w:rPr>
      </w:pPr>
      <w:r w:rsidRPr="006E3E51">
        <w:rPr>
          <w:rStyle w:val="FootnoteReference"/>
          <w:sz w:val="18"/>
          <w:szCs w:val="18"/>
        </w:rPr>
        <w:footnoteRef/>
      </w:r>
      <w:r w:rsidRPr="006E3E51">
        <w:rPr>
          <w:sz w:val="18"/>
          <w:szCs w:val="18"/>
        </w:rPr>
        <w:t>http://www.thejakartapost.com/news/2014/01/13/ri-migrant-workers-remittances-amounted-rp-886t-2013.html</w:t>
      </w:r>
    </w:p>
  </w:footnote>
  <w:footnote w:id="12">
    <w:p w14:paraId="4F2EEA59" w14:textId="0CE9BF41" w:rsidR="00706F12" w:rsidRPr="006E3E51" w:rsidRDefault="00706F12" w:rsidP="00A802F8">
      <w:pPr>
        <w:pStyle w:val="FootnoteText"/>
        <w:rPr>
          <w:sz w:val="18"/>
          <w:szCs w:val="18"/>
          <w:lang w:val="en-US"/>
        </w:rPr>
      </w:pPr>
      <w:r w:rsidRPr="006E3E51">
        <w:rPr>
          <w:rStyle w:val="FootnoteReference"/>
          <w:sz w:val="18"/>
          <w:szCs w:val="18"/>
        </w:rPr>
        <w:footnoteRef/>
      </w:r>
      <w:hyperlink r:id="rId3" w:history="1">
        <w:r w:rsidR="002B0A42" w:rsidRPr="00581821">
          <w:rPr>
            <w:rStyle w:val="Hyperlink"/>
            <w:sz w:val="18"/>
            <w:szCs w:val="18"/>
          </w:rPr>
          <w:t>http://www.bnp2tki.go.id/uploads/data/data_16-01-2015_020347_Laporan_Pengolahan_Data_BNP2TKI_S.D_31_DESEMBER_2014.pdf</w:t>
        </w:r>
      </w:hyperlink>
      <w:r w:rsidRPr="006E3E51">
        <w:rPr>
          <w:sz w:val="18"/>
          <w:szCs w:val="18"/>
        </w:rPr>
        <w:t xml:space="preserve"> </w:t>
      </w:r>
    </w:p>
  </w:footnote>
  <w:footnote w:id="13">
    <w:p w14:paraId="3ED52B0C" w14:textId="387A055A" w:rsidR="00706F12" w:rsidRPr="006E3E51" w:rsidRDefault="00706F12" w:rsidP="008E488C">
      <w:pPr>
        <w:pStyle w:val="FootnoteText"/>
        <w:ind w:left="245" w:hanging="245"/>
        <w:rPr>
          <w:sz w:val="18"/>
          <w:szCs w:val="18"/>
          <w:lang w:val="en-US"/>
        </w:rPr>
      </w:pPr>
      <w:r w:rsidRPr="006E3E51">
        <w:rPr>
          <w:rStyle w:val="FootnoteReference"/>
          <w:sz w:val="18"/>
          <w:szCs w:val="18"/>
        </w:rPr>
        <w:footnoteRef/>
      </w:r>
      <w:r w:rsidRPr="006E3E51">
        <w:rPr>
          <w:sz w:val="18"/>
          <w:szCs w:val="18"/>
        </w:rPr>
        <w:t xml:space="preserve"> Samuel </w:t>
      </w:r>
      <w:proofErr w:type="spellStart"/>
      <w:r w:rsidRPr="006E3E51">
        <w:rPr>
          <w:sz w:val="18"/>
          <w:szCs w:val="18"/>
        </w:rPr>
        <w:t>Bazzi</w:t>
      </w:r>
      <w:proofErr w:type="spellEnd"/>
      <w:r w:rsidRPr="006E3E51">
        <w:rPr>
          <w:sz w:val="18"/>
          <w:szCs w:val="18"/>
        </w:rPr>
        <w:t xml:space="preserve"> and Melissa </w:t>
      </w:r>
      <w:proofErr w:type="spellStart"/>
      <w:r w:rsidRPr="006E3E51">
        <w:rPr>
          <w:sz w:val="18"/>
          <w:szCs w:val="18"/>
        </w:rPr>
        <w:t>Bintoro</w:t>
      </w:r>
      <w:proofErr w:type="spellEnd"/>
      <w:r w:rsidRPr="006E3E51">
        <w:rPr>
          <w:sz w:val="18"/>
          <w:szCs w:val="18"/>
        </w:rPr>
        <w:t xml:space="preserve"> (2015) “Review of Policy-Oriented Research on the</w:t>
      </w:r>
      <w:r>
        <w:rPr>
          <w:sz w:val="18"/>
          <w:szCs w:val="18"/>
        </w:rPr>
        <w:t xml:space="preserve"> </w:t>
      </w:r>
      <w:r w:rsidRPr="006E3E51">
        <w:rPr>
          <w:sz w:val="18"/>
          <w:szCs w:val="18"/>
        </w:rPr>
        <w:t xml:space="preserve">Protection of Indonesian Overseas Migrant Workers” An internal review conducted for MAMPU program. </w:t>
      </w:r>
    </w:p>
  </w:footnote>
  <w:footnote w:id="14">
    <w:p w14:paraId="054F8656" w14:textId="2DD18C88" w:rsidR="00706F12" w:rsidRPr="006E3E51" w:rsidRDefault="00706F12">
      <w:pPr>
        <w:pStyle w:val="FootnoteText"/>
        <w:rPr>
          <w:sz w:val="18"/>
          <w:szCs w:val="18"/>
          <w:lang w:val="en-US"/>
        </w:rPr>
      </w:pPr>
      <w:r w:rsidRPr="006E3E51">
        <w:rPr>
          <w:rStyle w:val="FootnoteReference"/>
          <w:sz w:val="18"/>
          <w:szCs w:val="18"/>
        </w:rPr>
        <w:footnoteRef/>
      </w:r>
      <w:r w:rsidRPr="006E3E51">
        <w:rPr>
          <w:sz w:val="18"/>
          <w:szCs w:val="18"/>
        </w:rPr>
        <w:t xml:space="preserve"> </w:t>
      </w:r>
      <w:r w:rsidRPr="006E3E51">
        <w:rPr>
          <w:sz w:val="18"/>
          <w:szCs w:val="18"/>
          <w:lang w:val="en-US"/>
        </w:rPr>
        <w:t xml:space="preserve">TNP2K </w:t>
      </w:r>
    </w:p>
  </w:footnote>
  <w:footnote w:id="15">
    <w:p w14:paraId="52B3D567" w14:textId="77777777" w:rsidR="00706F12" w:rsidRPr="006E3E51" w:rsidRDefault="00706F12" w:rsidP="00380D60">
      <w:pPr>
        <w:pStyle w:val="FootnoteText"/>
        <w:rPr>
          <w:sz w:val="18"/>
          <w:szCs w:val="18"/>
          <w:lang w:val="en-US"/>
        </w:rPr>
      </w:pPr>
      <w:r w:rsidRPr="006E3E51">
        <w:rPr>
          <w:rStyle w:val="FootnoteReference"/>
          <w:sz w:val="18"/>
          <w:szCs w:val="18"/>
        </w:rPr>
        <w:footnoteRef/>
      </w:r>
      <w:r w:rsidRPr="006E3E51">
        <w:rPr>
          <w:sz w:val="18"/>
          <w:szCs w:val="18"/>
        </w:rPr>
        <w:t xml:space="preserve"> </w:t>
      </w:r>
      <w:r w:rsidRPr="006E3E51">
        <w:rPr>
          <w:sz w:val="18"/>
          <w:szCs w:val="18"/>
          <w:lang w:val="en-US"/>
        </w:rPr>
        <w:t>World Development Indicators</w:t>
      </w:r>
    </w:p>
  </w:footnote>
  <w:footnote w:id="16">
    <w:p w14:paraId="6C229B22" w14:textId="77777777" w:rsidR="00706F12" w:rsidRPr="006E3E51" w:rsidRDefault="00706F12" w:rsidP="00F70699">
      <w:pPr>
        <w:pStyle w:val="FootnoteText"/>
        <w:ind w:left="216" w:hanging="216"/>
        <w:rPr>
          <w:sz w:val="18"/>
          <w:szCs w:val="18"/>
        </w:rPr>
      </w:pPr>
      <w:r w:rsidRPr="006E3E51">
        <w:rPr>
          <w:rStyle w:val="FootnoteReference"/>
          <w:sz w:val="18"/>
          <w:szCs w:val="18"/>
        </w:rPr>
        <w:footnoteRef/>
      </w:r>
      <w:r w:rsidRPr="006E3E51">
        <w:rPr>
          <w:sz w:val="18"/>
          <w:szCs w:val="18"/>
        </w:rPr>
        <w:t xml:space="preserve"> </w:t>
      </w:r>
      <w:proofErr w:type="gramStart"/>
      <w:r w:rsidRPr="006E3E51">
        <w:rPr>
          <w:sz w:val="18"/>
          <w:szCs w:val="18"/>
        </w:rPr>
        <w:t>SMERU (2015).</w:t>
      </w:r>
      <w:proofErr w:type="gramEnd"/>
      <w:r w:rsidRPr="006E3E51">
        <w:rPr>
          <w:sz w:val="18"/>
          <w:szCs w:val="18"/>
        </w:rPr>
        <w:t xml:space="preserve">  “Baseline Report: Poor Women’s Access to Livelihoods and Public Services.” The first out of a longitudinal series of study conducted for MAMPU program. The report is being finalized.</w:t>
      </w:r>
    </w:p>
  </w:footnote>
  <w:footnote w:id="17">
    <w:p w14:paraId="06A64564" w14:textId="77777777" w:rsidR="00706F12" w:rsidRPr="006E3E51" w:rsidRDefault="00706F12" w:rsidP="00F70699">
      <w:pPr>
        <w:pStyle w:val="FootnoteText"/>
        <w:ind w:left="216" w:hanging="216"/>
        <w:rPr>
          <w:sz w:val="18"/>
          <w:szCs w:val="18"/>
        </w:rPr>
      </w:pPr>
      <w:r w:rsidRPr="006E3E51">
        <w:rPr>
          <w:rStyle w:val="FootnoteReference"/>
          <w:sz w:val="18"/>
          <w:szCs w:val="18"/>
        </w:rPr>
        <w:footnoteRef/>
      </w:r>
      <w:r w:rsidRPr="006E3E51">
        <w:rPr>
          <w:sz w:val="18"/>
          <w:szCs w:val="18"/>
        </w:rPr>
        <w:t xml:space="preserve"> </w:t>
      </w:r>
      <w:proofErr w:type="spellStart"/>
      <w:proofErr w:type="gramStart"/>
      <w:r w:rsidRPr="006E3E51">
        <w:rPr>
          <w:sz w:val="18"/>
          <w:szCs w:val="18"/>
        </w:rPr>
        <w:t>Konsorsium</w:t>
      </w:r>
      <w:proofErr w:type="spellEnd"/>
      <w:r w:rsidRPr="006E3E51">
        <w:rPr>
          <w:sz w:val="18"/>
          <w:szCs w:val="18"/>
        </w:rPr>
        <w:t xml:space="preserve"> PERMAMPU (2014) “</w:t>
      </w:r>
      <w:proofErr w:type="spellStart"/>
      <w:r w:rsidRPr="006E3E51">
        <w:rPr>
          <w:sz w:val="18"/>
          <w:szCs w:val="18"/>
        </w:rPr>
        <w:t>Kehamilan</w:t>
      </w:r>
      <w:proofErr w:type="spellEnd"/>
      <w:r w:rsidRPr="006E3E51">
        <w:rPr>
          <w:sz w:val="18"/>
          <w:szCs w:val="18"/>
        </w:rPr>
        <w:t xml:space="preserve"> – </w:t>
      </w:r>
      <w:proofErr w:type="spellStart"/>
      <w:r w:rsidRPr="006E3E51">
        <w:rPr>
          <w:sz w:val="18"/>
          <w:szCs w:val="18"/>
        </w:rPr>
        <w:t>Sebuah</w:t>
      </w:r>
      <w:proofErr w:type="spellEnd"/>
      <w:r w:rsidRPr="006E3E51">
        <w:rPr>
          <w:sz w:val="18"/>
          <w:szCs w:val="18"/>
        </w:rPr>
        <w:t xml:space="preserve"> </w:t>
      </w:r>
      <w:proofErr w:type="spellStart"/>
      <w:r w:rsidRPr="006E3E51">
        <w:rPr>
          <w:sz w:val="18"/>
          <w:szCs w:val="18"/>
        </w:rPr>
        <w:t>Anugerah</w:t>
      </w:r>
      <w:proofErr w:type="spellEnd"/>
      <w:r w:rsidRPr="006E3E51">
        <w:rPr>
          <w:sz w:val="18"/>
          <w:szCs w:val="18"/>
        </w:rPr>
        <w:t>?</w:t>
      </w:r>
      <w:proofErr w:type="gramEnd"/>
      <w:r w:rsidRPr="006E3E51">
        <w:rPr>
          <w:sz w:val="18"/>
          <w:szCs w:val="18"/>
        </w:rPr>
        <w:t xml:space="preserve"> </w:t>
      </w:r>
      <w:proofErr w:type="spellStart"/>
      <w:proofErr w:type="gramStart"/>
      <w:r w:rsidRPr="006E3E51">
        <w:rPr>
          <w:sz w:val="18"/>
          <w:szCs w:val="18"/>
        </w:rPr>
        <w:t>Kompilasi</w:t>
      </w:r>
      <w:proofErr w:type="spellEnd"/>
      <w:r w:rsidRPr="006E3E51">
        <w:rPr>
          <w:sz w:val="18"/>
          <w:szCs w:val="18"/>
        </w:rPr>
        <w:t xml:space="preserve"> </w:t>
      </w:r>
      <w:proofErr w:type="spellStart"/>
      <w:r w:rsidRPr="006E3E51">
        <w:rPr>
          <w:sz w:val="18"/>
          <w:szCs w:val="18"/>
        </w:rPr>
        <w:t>Laporan</w:t>
      </w:r>
      <w:proofErr w:type="spellEnd"/>
      <w:r w:rsidRPr="006E3E51">
        <w:rPr>
          <w:sz w:val="18"/>
          <w:szCs w:val="18"/>
        </w:rPr>
        <w:t xml:space="preserve"> </w:t>
      </w:r>
      <w:proofErr w:type="spellStart"/>
      <w:r w:rsidRPr="006E3E51">
        <w:rPr>
          <w:sz w:val="18"/>
          <w:szCs w:val="18"/>
        </w:rPr>
        <w:t>Penelitian</w:t>
      </w:r>
      <w:proofErr w:type="spellEnd"/>
      <w:r w:rsidRPr="006E3E51">
        <w:rPr>
          <w:sz w:val="18"/>
          <w:szCs w:val="18"/>
        </w:rPr>
        <w:t xml:space="preserve"> </w:t>
      </w:r>
      <w:proofErr w:type="spellStart"/>
      <w:r w:rsidRPr="006E3E51">
        <w:rPr>
          <w:sz w:val="18"/>
          <w:szCs w:val="18"/>
        </w:rPr>
        <w:t>Kehamilan</w:t>
      </w:r>
      <w:proofErr w:type="spellEnd"/>
      <w:r w:rsidRPr="006E3E51">
        <w:rPr>
          <w:sz w:val="18"/>
          <w:szCs w:val="18"/>
        </w:rPr>
        <w:t xml:space="preserve"> yang </w:t>
      </w:r>
      <w:proofErr w:type="spellStart"/>
      <w:r w:rsidRPr="006E3E51">
        <w:rPr>
          <w:sz w:val="18"/>
          <w:szCs w:val="18"/>
        </w:rPr>
        <w:t>Tidak</w:t>
      </w:r>
      <w:proofErr w:type="spellEnd"/>
      <w:r w:rsidRPr="006E3E51">
        <w:rPr>
          <w:sz w:val="18"/>
          <w:szCs w:val="18"/>
        </w:rPr>
        <w:t xml:space="preserve"> </w:t>
      </w:r>
      <w:proofErr w:type="spellStart"/>
      <w:r w:rsidRPr="006E3E51">
        <w:rPr>
          <w:sz w:val="18"/>
          <w:szCs w:val="18"/>
        </w:rPr>
        <w:t>Diinginkan</w:t>
      </w:r>
      <w:proofErr w:type="spellEnd"/>
      <w:r w:rsidRPr="006E3E51">
        <w:rPr>
          <w:sz w:val="18"/>
          <w:szCs w:val="18"/>
        </w:rPr>
        <w:t xml:space="preserve"> di 8 </w:t>
      </w:r>
      <w:proofErr w:type="spellStart"/>
      <w:r w:rsidRPr="006E3E51">
        <w:rPr>
          <w:sz w:val="18"/>
          <w:szCs w:val="18"/>
        </w:rPr>
        <w:t>Propinsi</w:t>
      </w:r>
      <w:proofErr w:type="spellEnd"/>
      <w:r w:rsidRPr="006E3E51">
        <w:rPr>
          <w:sz w:val="18"/>
          <w:szCs w:val="18"/>
        </w:rPr>
        <w:t xml:space="preserve"> </w:t>
      </w:r>
      <w:proofErr w:type="spellStart"/>
      <w:r w:rsidRPr="006E3E51">
        <w:rPr>
          <w:sz w:val="18"/>
          <w:szCs w:val="18"/>
        </w:rPr>
        <w:t>Pulau</w:t>
      </w:r>
      <w:proofErr w:type="spellEnd"/>
      <w:r w:rsidRPr="006E3E51">
        <w:rPr>
          <w:sz w:val="18"/>
          <w:szCs w:val="18"/>
        </w:rPr>
        <w:t xml:space="preserve"> Sumatra”.</w:t>
      </w:r>
      <w:proofErr w:type="gramEnd"/>
      <w:r w:rsidRPr="006E3E51">
        <w:rPr>
          <w:sz w:val="18"/>
          <w:szCs w:val="18"/>
        </w:rPr>
        <w:t xml:space="preserve"> Medan.  </w:t>
      </w:r>
    </w:p>
  </w:footnote>
  <w:footnote w:id="18">
    <w:p w14:paraId="62153230" w14:textId="33D6773B" w:rsidR="00706F12" w:rsidRPr="006E3E51" w:rsidRDefault="00706F12" w:rsidP="008E488C">
      <w:pPr>
        <w:pStyle w:val="NormalWeb"/>
        <w:spacing w:before="0" w:beforeAutospacing="0" w:after="0" w:afterAutospacing="0"/>
        <w:ind w:left="216" w:hanging="216"/>
        <w:rPr>
          <w:rFonts w:ascii="Arial" w:hAnsi="Arial" w:cs="Arial"/>
          <w:sz w:val="18"/>
          <w:szCs w:val="18"/>
        </w:rPr>
      </w:pPr>
      <w:r w:rsidRPr="006E3E51">
        <w:rPr>
          <w:rStyle w:val="FootnoteReference"/>
          <w:rFonts w:ascii="Arial" w:hAnsi="Arial" w:cs="Arial"/>
          <w:sz w:val="18"/>
          <w:szCs w:val="18"/>
        </w:rPr>
        <w:footnoteRef/>
      </w:r>
      <w:r w:rsidRPr="006E3E51">
        <w:rPr>
          <w:rFonts w:ascii="Arial" w:hAnsi="Arial" w:cs="Arial"/>
          <w:sz w:val="18"/>
          <w:szCs w:val="18"/>
        </w:rPr>
        <w:t xml:space="preserve"> </w:t>
      </w:r>
      <w:proofErr w:type="spellStart"/>
      <w:proofErr w:type="gramStart"/>
      <w:r w:rsidRPr="006E3E51">
        <w:rPr>
          <w:rFonts w:ascii="Arial" w:hAnsi="Arial" w:cs="Arial"/>
          <w:sz w:val="18"/>
          <w:szCs w:val="18"/>
        </w:rPr>
        <w:t>Kabeer</w:t>
      </w:r>
      <w:proofErr w:type="spellEnd"/>
      <w:r w:rsidRPr="006E3E51">
        <w:rPr>
          <w:rFonts w:ascii="Arial" w:hAnsi="Arial" w:cs="Arial"/>
          <w:sz w:val="18"/>
          <w:szCs w:val="18"/>
        </w:rPr>
        <w:t>, N., &amp; Natali, L. (2013).</w:t>
      </w:r>
      <w:proofErr w:type="gramEnd"/>
      <w:r w:rsidRPr="006E3E51">
        <w:rPr>
          <w:rFonts w:ascii="Arial" w:hAnsi="Arial" w:cs="Arial"/>
          <w:sz w:val="18"/>
          <w:szCs w:val="18"/>
        </w:rPr>
        <w:t xml:space="preserve"> </w:t>
      </w:r>
      <w:r w:rsidRPr="006E3E51">
        <w:rPr>
          <w:rFonts w:ascii="Arial" w:hAnsi="Arial" w:cs="Arial"/>
          <w:i/>
          <w:iCs/>
          <w:sz w:val="18"/>
          <w:szCs w:val="18"/>
        </w:rPr>
        <w:t>IDS WORKING PAPER Volume 2013 No 417 Gender Equality and Economic Growth : Is there a Win-Win ?</w:t>
      </w:r>
      <w:r w:rsidRPr="006E3E51">
        <w:rPr>
          <w:rFonts w:ascii="Arial" w:hAnsi="Arial" w:cs="Arial"/>
          <w:sz w:val="18"/>
          <w:szCs w:val="18"/>
        </w:rPr>
        <w:t xml:space="preserve"> </w:t>
      </w:r>
      <w:proofErr w:type="gramStart"/>
      <w:r w:rsidRPr="006E3E51">
        <w:rPr>
          <w:rFonts w:ascii="Arial" w:hAnsi="Arial" w:cs="Arial"/>
          <w:sz w:val="18"/>
          <w:szCs w:val="18"/>
        </w:rPr>
        <w:t>(Vol. 2013).</w:t>
      </w:r>
      <w:proofErr w:type="gramEnd"/>
    </w:p>
  </w:footnote>
  <w:footnote w:id="19">
    <w:p w14:paraId="48E3A1A0" w14:textId="4BB50201" w:rsidR="00706F12" w:rsidRPr="006E3E51" w:rsidRDefault="00706F12" w:rsidP="008E488C">
      <w:pPr>
        <w:pStyle w:val="NormalWeb"/>
        <w:spacing w:before="0" w:beforeAutospacing="0" w:after="0" w:afterAutospacing="0"/>
        <w:ind w:left="216" w:hanging="216"/>
        <w:rPr>
          <w:rFonts w:ascii="Arial" w:hAnsi="Arial" w:cs="Arial"/>
          <w:sz w:val="18"/>
          <w:szCs w:val="18"/>
        </w:rPr>
      </w:pPr>
      <w:r w:rsidRPr="006E3E51">
        <w:rPr>
          <w:rStyle w:val="FootnoteReference"/>
          <w:rFonts w:ascii="Arial" w:hAnsi="Arial" w:cs="Arial"/>
          <w:sz w:val="18"/>
          <w:szCs w:val="18"/>
        </w:rPr>
        <w:footnoteRef/>
      </w:r>
      <w:r w:rsidRPr="006E3E51">
        <w:rPr>
          <w:rFonts w:ascii="Arial" w:hAnsi="Arial" w:cs="Arial"/>
          <w:sz w:val="18"/>
          <w:szCs w:val="18"/>
        </w:rPr>
        <w:t xml:space="preserve"> </w:t>
      </w:r>
      <w:r w:rsidRPr="006E3E51">
        <w:rPr>
          <w:rFonts w:ascii="Arial" w:hAnsi="Arial" w:cs="Arial"/>
          <w:sz w:val="18"/>
          <w:szCs w:val="18"/>
          <w:lang w:val="en-US"/>
        </w:rPr>
        <w:t xml:space="preserve">See for example: </w:t>
      </w:r>
      <w:proofErr w:type="spellStart"/>
      <w:r w:rsidRPr="006E3E51">
        <w:rPr>
          <w:rFonts w:ascii="Arial" w:hAnsi="Arial" w:cs="Arial"/>
          <w:sz w:val="18"/>
          <w:szCs w:val="18"/>
        </w:rPr>
        <w:t>Elborgh-woytek</w:t>
      </w:r>
      <w:proofErr w:type="spellEnd"/>
      <w:r w:rsidRPr="006E3E51">
        <w:rPr>
          <w:rFonts w:ascii="Arial" w:hAnsi="Arial" w:cs="Arial"/>
          <w:sz w:val="18"/>
          <w:szCs w:val="18"/>
        </w:rPr>
        <w:t xml:space="preserve">, K., </w:t>
      </w:r>
      <w:proofErr w:type="spellStart"/>
      <w:r w:rsidRPr="006E3E51">
        <w:rPr>
          <w:rFonts w:ascii="Arial" w:hAnsi="Arial" w:cs="Arial"/>
          <w:sz w:val="18"/>
          <w:szCs w:val="18"/>
        </w:rPr>
        <w:t>Newiak</w:t>
      </w:r>
      <w:proofErr w:type="spellEnd"/>
      <w:r w:rsidRPr="006E3E51">
        <w:rPr>
          <w:rFonts w:ascii="Arial" w:hAnsi="Arial" w:cs="Arial"/>
          <w:sz w:val="18"/>
          <w:szCs w:val="18"/>
        </w:rPr>
        <w:t xml:space="preserve">, M., </w:t>
      </w:r>
      <w:proofErr w:type="spellStart"/>
      <w:r w:rsidRPr="006E3E51">
        <w:rPr>
          <w:rFonts w:ascii="Arial" w:hAnsi="Arial" w:cs="Arial"/>
          <w:sz w:val="18"/>
          <w:szCs w:val="18"/>
        </w:rPr>
        <w:t>Fabrizio</w:t>
      </w:r>
      <w:proofErr w:type="spellEnd"/>
      <w:r w:rsidRPr="006E3E51">
        <w:rPr>
          <w:rFonts w:ascii="Arial" w:hAnsi="Arial" w:cs="Arial"/>
          <w:sz w:val="18"/>
          <w:szCs w:val="18"/>
        </w:rPr>
        <w:t xml:space="preserve">, S., </w:t>
      </w:r>
      <w:proofErr w:type="spellStart"/>
      <w:r w:rsidRPr="006E3E51">
        <w:rPr>
          <w:rFonts w:ascii="Arial" w:hAnsi="Arial" w:cs="Arial"/>
          <w:sz w:val="18"/>
          <w:szCs w:val="18"/>
        </w:rPr>
        <w:t>Kpodar</w:t>
      </w:r>
      <w:proofErr w:type="spellEnd"/>
      <w:r w:rsidRPr="006E3E51">
        <w:rPr>
          <w:rFonts w:ascii="Arial" w:hAnsi="Arial" w:cs="Arial"/>
          <w:sz w:val="18"/>
          <w:szCs w:val="18"/>
        </w:rPr>
        <w:t xml:space="preserve">, K., Clements, B., &amp; Schwartz, G. (2013). </w:t>
      </w:r>
      <w:proofErr w:type="gramStart"/>
      <w:r w:rsidRPr="006E3E51">
        <w:rPr>
          <w:rFonts w:ascii="Arial" w:hAnsi="Arial" w:cs="Arial"/>
          <w:i/>
          <w:iCs/>
          <w:sz w:val="18"/>
          <w:szCs w:val="18"/>
        </w:rPr>
        <w:t>Women ,</w:t>
      </w:r>
      <w:proofErr w:type="gramEnd"/>
      <w:r w:rsidRPr="006E3E51">
        <w:rPr>
          <w:rFonts w:ascii="Arial" w:hAnsi="Arial" w:cs="Arial"/>
          <w:i/>
          <w:iCs/>
          <w:sz w:val="18"/>
          <w:szCs w:val="18"/>
        </w:rPr>
        <w:t xml:space="preserve"> Work , and the Economy : Macroeconomic Gains from Gender Equity</w:t>
      </w:r>
      <w:r w:rsidRPr="006E3E51">
        <w:rPr>
          <w:rFonts w:ascii="Arial" w:hAnsi="Arial" w:cs="Arial"/>
          <w:sz w:val="18"/>
          <w:szCs w:val="18"/>
        </w:rPr>
        <w:t xml:space="preserve">. </w:t>
      </w:r>
      <w:proofErr w:type="gramStart"/>
      <w:r w:rsidRPr="006E3E51">
        <w:rPr>
          <w:rFonts w:ascii="Arial" w:hAnsi="Arial" w:cs="Arial"/>
          <w:sz w:val="18"/>
          <w:szCs w:val="18"/>
        </w:rPr>
        <w:t>International Mone</w:t>
      </w:r>
      <w:r w:rsidR="009D397F">
        <w:rPr>
          <w:rFonts w:ascii="Arial" w:hAnsi="Arial" w:cs="Arial"/>
          <w:sz w:val="18"/>
          <w:szCs w:val="18"/>
        </w:rPr>
        <w:t>tary Fund.</w:t>
      </w:r>
      <w:proofErr w:type="gramEnd"/>
      <w:r w:rsidR="009D397F">
        <w:rPr>
          <w:rFonts w:ascii="Arial" w:hAnsi="Arial" w:cs="Arial"/>
          <w:sz w:val="18"/>
          <w:szCs w:val="18"/>
        </w:rPr>
        <w:t xml:space="preserve"> Washington, DC.  </w:t>
      </w:r>
    </w:p>
  </w:footnote>
  <w:footnote w:id="20">
    <w:p w14:paraId="1424495D" w14:textId="77777777" w:rsidR="00706F12" w:rsidRPr="006E3E51" w:rsidRDefault="00706F12" w:rsidP="008E488C">
      <w:pPr>
        <w:pStyle w:val="NormalWeb"/>
        <w:spacing w:before="0" w:beforeAutospacing="0" w:after="0" w:afterAutospacing="0"/>
        <w:ind w:left="216" w:hanging="216"/>
        <w:rPr>
          <w:rFonts w:ascii="Arial" w:hAnsi="Arial" w:cs="Arial"/>
          <w:sz w:val="18"/>
          <w:szCs w:val="18"/>
        </w:rPr>
      </w:pPr>
      <w:r w:rsidRPr="006E3E51">
        <w:rPr>
          <w:rStyle w:val="FootnoteReference"/>
          <w:rFonts w:ascii="Arial" w:hAnsi="Arial" w:cs="Arial"/>
          <w:sz w:val="18"/>
          <w:szCs w:val="18"/>
        </w:rPr>
        <w:footnoteRef/>
      </w:r>
      <w:r w:rsidRPr="006E3E51">
        <w:rPr>
          <w:rFonts w:ascii="Arial" w:hAnsi="Arial" w:cs="Arial"/>
          <w:sz w:val="18"/>
          <w:szCs w:val="18"/>
        </w:rPr>
        <w:t xml:space="preserve"> </w:t>
      </w:r>
      <w:proofErr w:type="gramStart"/>
      <w:r w:rsidRPr="006E3E51">
        <w:rPr>
          <w:rFonts w:ascii="Arial" w:hAnsi="Arial" w:cs="Arial"/>
          <w:sz w:val="18"/>
          <w:szCs w:val="18"/>
        </w:rPr>
        <w:t xml:space="preserve">Domingo, P., Holmes, R., Jones, N., Bird, K., Larson, A., </w:t>
      </w:r>
      <w:proofErr w:type="spellStart"/>
      <w:r w:rsidRPr="006E3E51">
        <w:rPr>
          <w:rFonts w:ascii="Arial" w:hAnsi="Arial" w:cs="Arial"/>
          <w:sz w:val="18"/>
          <w:szCs w:val="18"/>
        </w:rPr>
        <w:t>Presler-marshall</w:t>
      </w:r>
      <w:proofErr w:type="spellEnd"/>
      <w:r w:rsidRPr="006E3E51">
        <w:rPr>
          <w:rFonts w:ascii="Arial" w:hAnsi="Arial" w:cs="Arial"/>
          <w:sz w:val="18"/>
          <w:szCs w:val="18"/>
        </w:rPr>
        <w:t xml:space="preserve">, E., &amp; </w:t>
      </w:r>
      <w:proofErr w:type="spellStart"/>
      <w:r w:rsidRPr="006E3E51">
        <w:rPr>
          <w:rFonts w:ascii="Arial" w:hAnsi="Arial" w:cs="Arial"/>
          <w:sz w:val="18"/>
          <w:szCs w:val="18"/>
        </w:rPr>
        <w:t>Valters</w:t>
      </w:r>
      <w:proofErr w:type="spellEnd"/>
      <w:r w:rsidRPr="006E3E51">
        <w:rPr>
          <w:rFonts w:ascii="Arial" w:hAnsi="Arial" w:cs="Arial"/>
          <w:sz w:val="18"/>
          <w:szCs w:val="18"/>
        </w:rPr>
        <w:t>, C. (2015).</w:t>
      </w:r>
      <w:proofErr w:type="gramEnd"/>
      <w:r w:rsidRPr="006E3E51">
        <w:rPr>
          <w:rFonts w:ascii="Arial" w:hAnsi="Arial" w:cs="Arial"/>
          <w:sz w:val="18"/>
          <w:szCs w:val="18"/>
        </w:rPr>
        <w:t xml:space="preserve"> </w:t>
      </w:r>
      <w:r w:rsidRPr="006E3E51">
        <w:rPr>
          <w:rFonts w:ascii="Arial" w:hAnsi="Arial" w:cs="Arial"/>
          <w:i/>
          <w:iCs/>
          <w:sz w:val="18"/>
          <w:szCs w:val="18"/>
        </w:rPr>
        <w:t>Women’s voice in leadership and decision-making: Assessing the evidence Executive summary</w:t>
      </w:r>
      <w:r w:rsidRPr="006E3E51">
        <w:rPr>
          <w:rFonts w:ascii="Arial" w:hAnsi="Arial" w:cs="Arial"/>
          <w:sz w:val="18"/>
          <w:szCs w:val="18"/>
        </w:rPr>
        <w:t>. London.</w:t>
      </w:r>
    </w:p>
    <w:p w14:paraId="04A79713" w14:textId="4AFE35E0" w:rsidR="00706F12" w:rsidRPr="00D670E3" w:rsidRDefault="00706F12">
      <w:pPr>
        <w:pStyle w:val="FootnoteText"/>
        <w:rPr>
          <w:lang w:val="en-US"/>
        </w:rPr>
      </w:pPr>
    </w:p>
  </w:footnote>
  <w:footnote w:id="21">
    <w:p w14:paraId="61069745" w14:textId="5ABEB174" w:rsidR="00706F12" w:rsidRPr="009C6B18" w:rsidRDefault="00706F12">
      <w:pPr>
        <w:pStyle w:val="FootnoteText"/>
        <w:rPr>
          <w:sz w:val="18"/>
          <w:szCs w:val="18"/>
          <w:lang w:val="en-CA"/>
        </w:rPr>
      </w:pPr>
      <w:r w:rsidRPr="009C6B18">
        <w:rPr>
          <w:rStyle w:val="FootnoteReference"/>
          <w:sz w:val="18"/>
          <w:szCs w:val="18"/>
        </w:rPr>
        <w:footnoteRef/>
      </w:r>
      <w:r w:rsidRPr="009C6B18">
        <w:rPr>
          <w:sz w:val="18"/>
          <w:szCs w:val="18"/>
        </w:rPr>
        <w:t xml:space="preserve"> </w:t>
      </w:r>
      <w:proofErr w:type="spellStart"/>
      <w:r>
        <w:rPr>
          <w:sz w:val="18"/>
          <w:szCs w:val="18"/>
          <w:lang w:val="en-CA"/>
        </w:rPr>
        <w:t>Buku</w:t>
      </w:r>
      <w:proofErr w:type="spellEnd"/>
      <w:r>
        <w:rPr>
          <w:sz w:val="18"/>
          <w:szCs w:val="18"/>
          <w:lang w:val="en-CA"/>
        </w:rPr>
        <w:t xml:space="preserve"> I RP</w:t>
      </w:r>
      <w:r w:rsidRPr="009C6B18">
        <w:rPr>
          <w:sz w:val="18"/>
          <w:szCs w:val="18"/>
          <w:lang w:val="en-CA"/>
        </w:rPr>
        <w:t>JMN 2015-2019</w:t>
      </w:r>
    </w:p>
  </w:footnote>
  <w:footnote w:id="22">
    <w:p w14:paraId="63CD127A" w14:textId="2C71C4F8" w:rsidR="00706F12" w:rsidRPr="00850C41" w:rsidRDefault="00706F12">
      <w:pPr>
        <w:pStyle w:val="FootnoteText"/>
        <w:rPr>
          <w:lang w:val="en-US"/>
        </w:rPr>
      </w:pPr>
      <w:r>
        <w:rPr>
          <w:rStyle w:val="FootnoteReference"/>
        </w:rPr>
        <w:footnoteRef/>
      </w:r>
      <w:r>
        <w:t xml:space="preserve"> </w:t>
      </w:r>
      <w:r w:rsidRPr="00850C41">
        <w:rPr>
          <w:sz w:val="18"/>
          <w:szCs w:val="18"/>
          <w:lang w:val="en-US"/>
        </w:rPr>
        <w:t>The MAMPU Performance Story 2015</w:t>
      </w:r>
    </w:p>
  </w:footnote>
  <w:footnote w:id="23">
    <w:p w14:paraId="79178EDD" w14:textId="6F3A3B05" w:rsidR="00706F12" w:rsidRPr="003A24DB" w:rsidRDefault="00706F12" w:rsidP="00BB489B">
      <w:pPr>
        <w:pStyle w:val="NormalWeb"/>
        <w:spacing w:before="0" w:beforeAutospacing="0" w:after="0" w:afterAutospacing="0"/>
        <w:ind w:left="216" w:hanging="216"/>
        <w:rPr>
          <w:rFonts w:ascii="Arial" w:hAnsi="Arial" w:cs="Arial"/>
          <w:sz w:val="18"/>
          <w:szCs w:val="18"/>
          <w:lang w:val="en-US"/>
        </w:rPr>
      </w:pPr>
      <w:r w:rsidRPr="003A24DB">
        <w:rPr>
          <w:rStyle w:val="FootnoteReference"/>
          <w:rFonts w:ascii="Arial" w:hAnsi="Arial" w:cs="Arial"/>
          <w:sz w:val="18"/>
          <w:szCs w:val="18"/>
        </w:rPr>
        <w:footnoteRef/>
      </w:r>
      <w:r w:rsidRPr="003A24DB">
        <w:rPr>
          <w:rFonts w:ascii="Arial" w:hAnsi="Arial" w:cs="Arial"/>
          <w:sz w:val="18"/>
          <w:szCs w:val="18"/>
        </w:rPr>
        <w:t xml:space="preserve"> 2015. </w:t>
      </w:r>
      <w:r w:rsidRPr="003A24DB">
        <w:rPr>
          <w:rFonts w:ascii="Arial" w:hAnsi="Arial" w:cs="Arial"/>
          <w:sz w:val="18"/>
          <w:szCs w:val="18"/>
          <w:lang w:val="en-US"/>
        </w:rPr>
        <w:t>Causes and Consequences of Income Inequality: A Global Perspective.</w:t>
      </w:r>
      <w:r w:rsidRPr="003A24DB">
        <w:rPr>
          <w:rFonts w:ascii="Arial" w:hAnsi="Arial" w:cs="Arial"/>
          <w:b/>
          <w:bCs/>
          <w:color w:val="211E1E"/>
          <w:sz w:val="18"/>
          <w:szCs w:val="18"/>
        </w:rPr>
        <w:t xml:space="preserve"> </w:t>
      </w:r>
      <w:r w:rsidRPr="003A24DB">
        <w:rPr>
          <w:rFonts w:ascii="Arial" w:hAnsi="Arial" w:cs="Arial"/>
          <w:bCs/>
          <w:color w:val="211E1E"/>
          <w:sz w:val="18"/>
          <w:szCs w:val="18"/>
        </w:rPr>
        <w:t xml:space="preserve">Era </w:t>
      </w:r>
      <w:proofErr w:type="spellStart"/>
      <w:r w:rsidRPr="003A24DB">
        <w:rPr>
          <w:rFonts w:ascii="Arial" w:hAnsi="Arial" w:cs="Arial"/>
          <w:bCs/>
          <w:color w:val="211E1E"/>
          <w:sz w:val="18"/>
          <w:szCs w:val="18"/>
        </w:rPr>
        <w:t>Dabla</w:t>
      </w:r>
      <w:proofErr w:type="spellEnd"/>
      <w:r w:rsidRPr="003A24DB">
        <w:rPr>
          <w:rFonts w:ascii="Arial" w:hAnsi="Arial" w:cs="Arial"/>
          <w:bCs/>
          <w:color w:val="211E1E"/>
          <w:sz w:val="18"/>
          <w:szCs w:val="18"/>
        </w:rPr>
        <w:t xml:space="preserve">-Norris, </w:t>
      </w:r>
      <w:proofErr w:type="spellStart"/>
      <w:r w:rsidRPr="003A24DB">
        <w:rPr>
          <w:rFonts w:ascii="Arial" w:hAnsi="Arial" w:cs="Arial"/>
          <w:bCs/>
          <w:color w:val="211E1E"/>
          <w:sz w:val="18"/>
          <w:szCs w:val="18"/>
        </w:rPr>
        <w:t>Kalpana</w:t>
      </w:r>
      <w:proofErr w:type="spellEnd"/>
      <w:r w:rsidRPr="003A24DB">
        <w:rPr>
          <w:rFonts w:ascii="Arial" w:hAnsi="Arial" w:cs="Arial"/>
          <w:bCs/>
          <w:color w:val="211E1E"/>
          <w:sz w:val="18"/>
          <w:szCs w:val="18"/>
        </w:rPr>
        <w:t xml:space="preserve"> </w:t>
      </w:r>
      <w:proofErr w:type="spellStart"/>
      <w:r w:rsidRPr="003A24DB">
        <w:rPr>
          <w:rFonts w:ascii="Arial" w:hAnsi="Arial" w:cs="Arial"/>
          <w:bCs/>
          <w:color w:val="211E1E"/>
          <w:sz w:val="18"/>
          <w:szCs w:val="18"/>
        </w:rPr>
        <w:t>Kochhar</w:t>
      </w:r>
      <w:proofErr w:type="spellEnd"/>
      <w:r w:rsidRPr="003A24DB">
        <w:rPr>
          <w:rFonts w:ascii="Arial" w:hAnsi="Arial" w:cs="Arial"/>
          <w:bCs/>
          <w:color w:val="211E1E"/>
          <w:sz w:val="18"/>
          <w:szCs w:val="18"/>
        </w:rPr>
        <w:t xml:space="preserve">, </w:t>
      </w:r>
      <w:proofErr w:type="spellStart"/>
      <w:r w:rsidRPr="003A24DB">
        <w:rPr>
          <w:rFonts w:ascii="Arial" w:hAnsi="Arial" w:cs="Arial"/>
          <w:bCs/>
          <w:color w:val="211E1E"/>
          <w:sz w:val="18"/>
          <w:szCs w:val="18"/>
        </w:rPr>
        <w:t>Nujin</w:t>
      </w:r>
      <w:proofErr w:type="spellEnd"/>
      <w:r w:rsidRPr="003A24DB">
        <w:rPr>
          <w:rFonts w:ascii="Arial" w:hAnsi="Arial" w:cs="Arial"/>
          <w:bCs/>
          <w:color w:val="211E1E"/>
          <w:sz w:val="18"/>
          <w:szCs w:val="18"/>
        </w:rPr>
        <w:t xml:space="preserve"> </w:t>
      </w:r>
      <w:proofErr w:type="spellStart"/>
      <w:r w:rsidRPr="003A24DB">
        <w:rPr>
          <w:rFonts w:ascii="Arial" w:hAnsi="Arial" w:cs="Arial"/>
          <w:bCs/>
          <w:color w:val="211E1E"/>
          <w:sz w:val="18"/>
          <w:szCs w:val="18"/>
        </w:rPr>
        <w:t>Suphaphiphat</w:t>
      </w:r>
      <w:proofErr w:type="spellEnd"/>
      <w:r w:rsidRPr="003A24DB">
        <w:rPr>
          <w:rFonts w:ascii="Arial" w:hAnsi="Arial" w:cs="Arial"/>
          <w:bCs/>
          <w:color w:val="211E1E"/>
          <w:sz w:val="18"/>
          <w:szCs w:val="18"/>
        </w:rPr>
        <w:t xml:space="preserve">, Frantisek </w:t>
      </w:r>
      <w:proofErr w:type="spellStart"/>
      <w:r w:rsidRPr="003A24DB">
        <w:rPr>
          <w:rFonts w:ascii="Arial" w:hAnsi="Arial" w:cs="Arial"/>
          <w:bCs/>
          <w:color w:val="211E1E"/>
          <w:sz w:val="18"/>
          <w:szCs w:val="18"/>
        </w:rPr>
        <w:t>Ricka</w:t>
      </w:r>
      <w:proofErr w:type="spellEnd"/>
      <w:r w:rsidRPr="003A24DB">
        <w:rPr>
          <w:rFonts w:ascii="Arial" w:hAnsi="Arial" w:cs="Arial"/>
          <w:bCs/>
          <w:color w:val="211E1E"/>
          <w:sz w:val="18"/>
          <w:szCs w:val="18"/>
        </w:rPr>
        <w:t xml:space="preserve">, </w:t>
      </w:r>
      <w:proofErr w:type="spellStart"/>
      <w:r w:rsidRPr="003A24DB">
        <w:rPr>
          <w:rFonts w:ascii="Arial" w:hAnsi="Arial" w:cs="Arial"/>
          <w:bCs/>
          <w:color w:val="211E1E"/>
          <w:sz w:val="18"/>
          <w:szCs w:val="18"/>
        </w:rPr>
        <w:t>Evridiki</w:t>
      </w:r>
      <w:proofErr w:type="spellEnd"/>
      <w:r w:rsidRPr="003A24DB">
        <w:rPr>
          <w:rFonts w:ascii="Arial" w:hAnsi="Arial" w:cs="Arial"/>
          <w:bCs/>
          <w:color w:val="211E1E"/>
          <w:sz w:val="18"/>
          <w:szCs w:val="18"/>
        </w:rPr>
        <w:t xml:space="preserve"> </w:t>
      </w:r>
      <w:proofErr w:type="spellStart"/>
      <w:proofErr w:type="gramStart"/>
      <w:r w:rsidRPr="003A24DB">
        <w:rPr>
          <w:rFonts w:ascii="Arial" w:hAnsi="Arial" w:cs="Arial"/>
          <w:bCs/>
          <w:color w:val="211E1E"/>
          <w:sz w:val="18"/>
          <w:szCs w:val="18"/>
        </w:rPr>
        <w:t>Tsounta</w:t>
      </w:r>
      <w:proofErr w:type="spellEnd"/>
      <w:r w:rsidRPr="003A24DB">
        <w:rPr>
          <w:rFonts w:ascii="Arial" w:hAnsi="Arial" w:cs="Arial"/>
          <w:bCs/>
          <w:color w:val="211E1E"/>
          <w:sz w:val="18"/>
          <w:szCs w:val="18"/>
        </w:rPr>
        <w:t xml:space="preserve"> .</w:t>
      </w:r>
      <w:proofErr w:type="gramEnd"/>
    </w:p>
  </w:footnote>
  <w:footnote w:id="24">
    <w:p w14:paraId="64ABEDE0" w14:textId="58CBAB85" w:rsidR="00706F12" w:rsidRPr="00891888" w:rsidRDefault="00706F12">
      <w:pPr>
        <w:pStyle w:val="FootnoteText"/>
        <w:rPr>
          <w:lang w:val="en-US"/>
        </w:rPr>
      </w:pPr>
      <w:r>
        <w:rPr>
          <w:rStyle w:val="FootnoteReference"/>
        </w:rPr>
        <w:footnoteRef/>
      </w:r>
      <w:r>
        <w:t xml:space="preserve"> </w:t>
      </w:r>
      <w:proofErr w:type="gramStart"/>
      <w:r>
        <w:rPr>
          <w:lang w:val="en-US"/>
        </w:rPr>
        <w:t>World Bank (2011).</w:t>
      </w:r>
      <w:proofErr w:type="gramEnd"/>
      <w:r>
        <w:rPr>
          <w:lang w:val="en-US"/>
        </w:rPr>
        <w:t xml:space="preserve"> World Development Report 2012: Gender Equality and Development.</w:t>
      </w:r>
    </w:p>
  </w:footnote>
  <w:footnote w:id="25">
    <w:p w14:paraId="728884C0" w14:textId="1F20DF72" w:rsidR="00706F12" w:rsidRPr="00891888" w:rsidRDefault="00706F12">
      <w:pPr>
        <w:pStyle w:val="FootnoteText"/>
        <w:rPr>
          <w:lang w:val="en-US"/>
        </w:rPr>
      </w:pPr>
      <w:r>
        <w:rPr>
          <w:rStyle w:val="FootnoteReference"/>
        </w:rPr>
        <w:footnoteRef/>
      </w:r>
      <w:r>
        <w:t xml:space="preserve"> </w:t>
      </w:r>
      <w:proofErr w:type="spellStart"/>
      <w:r>
        <w:rPr>
          <w:rStyle w:val="personname"/>
          <w:rFonts w:cs="Arial"/>
          <w:color w:val="000000"/>
          <w:sz w:val="19"/>
          <w:szCs w:val="19"/>
          <w:shd w:val="clear" w:color="auto" w:fill="FFFFFF"/>
        </w:rPr>
        <w:t>Kabeer</w:t>
      </w:r>
      <w:proofErr w:type="spellEnd"/>
      <w:r>
        <w:rPr>
          <w:rStyle w:val="personname"/>
          <w:rFonts w:cs="Arial"/>
          <w:color w:val="000000"/>
          <w:sz w:val="19"/>
          <w:szCs w:val="19"/>
          <w:shd w:val="clear" w:color="auto" w:fill="FFFFFF"/>
        </w:rPr>
        <w:t xml:space="preserve">, </w:t>
      </w:r>
      <w:proofErr w:type="spellStart"/>
      <w:r>
        <w:rPr>
          <w:rStyle w:val="personname"/>
          <w:rFonts w:cs="Arial"/>
          <w:color w:val="000000"/>
          <w:sz w:val="19"/>
          <w:szCs w:val="19"/>
          <w:shd w:val="clear" w:color="auto" w:fill="FFFFFF"/>
        </w:rPr>
        <w:t>Naila</w:t>
      </w:r>
      <w:proofErr w:type="spellEnd"/>
      <w:r>
        <w:rPr>
          <w:rStyle w:val="apple-converted-space"/>
          <w:rFonts w:cs="Arial"/>
          <w:color w:val="000000"/>
          <w:sz w:val="19"/>
          <w:szCs w:val="19"/>
          <w:shd w:val="clear" w:color="auto" w:fill="FFFFFF"/>
        </w:rPr>
        <w:t> </w:t>
      </w:r>
      <w:r>
        <w:rPr>
          <w:rFonts w:cs="Arial"/>
          <w:color w:val="000000"/>
          <w:sz w:val="19"/>
          <w:szCs w:val="19"/>
          <w:shd w:val="clear" w:color="auto" w:fill="FFFFFF"/>
        </w:rPr>
        <w:t>(2012)</w:t>
      </w:r>
      <w:r>
        <w:rPr>
          <w:rStyle w:val="apple-converted-space"/>
          <w:rFonts w:cs="Arial"/>
          <w:color w:val="000000"/>
          <w:sz w:val="19"/>
          <w:szCs w:val="19"/>
          <w:shd w:val="clear" w:color="auto" w:fill="FFFFFF"/>
        </w:rPr>
        <w:t> </w:t>
      </w:r>
      <w:hyperlink r:id="rId4" w:history="1">
        <w:r w:rsidRPr="00891888">
          <w:rPr>
            <w:rStyle w:val="Emphasis"/>
            <w:rFonts w:cs="Arial"/>
            <w:i w:val="0"/>
            <w:sz w:val="19"/>
            <w:szCs w:val="19"/>
            <w:shd w:val="clear" w:color="auto" w:fill="FFFFFF"/>
          </w:rPr>
          <w:t>Empowerment, citizenship and gender justice: a contribution to locally grounded theories of change in women's lives</w:t>
        </w:r>
        <w:r>
          <w:rPr>
            <w:rStyle w:val="Emphasis"/>
            <w:rFonts w:cs="Arial"/>
            <w:color w:val="0B0080"/>
            <w:sz w:val="19"/>
            <w:szCs w:val="19"/>
            <w:u w:val="single"/>
            <w:shd w:val="clear" w:color="auto" w:fill="FFFFFF"/>
          </w:rPr>
          <w:t>.</w:t>
        </w:r>
      </w:hyperlink>
      <w:r>
        <w:rPr>
          <w:rStyle w:val="apple-converted-space"/>
          <w:rFonts w:cs="Arial"/>
          <w:color w:val="000000"/>
          <w:sz w:val="19"/>
          <w:szCs w:val="19"/>
          <w:shd w:val="clear" w:color="auto" w:fill="FFFFFF"/>
        </w:rPr>
        <w:t> </w:t>
      </w:r>
      <w:r>
        <w:rPr>
          <w:rFonts w:cs="Arial"/>
          <w:color w:val="000000"/>
          <w:sz w:val="19"/>
          <w:szCs w:val="19"/>
          <w:shd w:val="clear" w:color="auto" w:fill="FFFFFF"/>
        </w:rPr>
        <w:t>Ethics and Social Welfare, 6 (3)</w:t>
      </w:r>
    </w:p>
  </w:footnote>
  <w:footnote w:id="26">
    <w:p w14:paraId="119D4C0E" w14:textId="77777777" w:rsidR="00706F12" w:rsidRPr="003A24DB" w:rsidRDefault="00706F12" w:rsidP="00E340C9">
      <w:pPr>
        <w:pStyle w:val="FootnoteText"/>
        <w:ind w:left="216" w:hanging="216"/>
        <w:rPr>
          <w:rFonts w:cs="Arial"/>
          <w:sz w:val="18"/>
          <w:szCs w:val="18"/>
          <w:lang w:val="en-US"/>
        </w:rPr>
      </w:pPr>
      <w:r w:rsidRPr="003A24DB">
        <w:rPr>
          <w:rStyle w:val="FootnoteReference"/>
          <w:rFonts w:cs="Arial"/>
          <w:sz w:val="18"/>
          <w:szCs w:val="18"/>
        </w:rPr>
        <w:footnoteRef/>
      </w:r>
      <w:r w:rsidRPr="003A24DB">
        <w:rPr>
          <w:rFonts w:cs="Arial"/>
          <w:sz w:val="18"/>
          <w:szCs w:val="18"/>
        </w:rPr>
        <w:t xml:space="preserve"> </w:t>
      </w:r>
      <w:r w:rsidRPr="003A24DB">
        <w:rPr>
          <w:rFonts w:cs="Arial"/>
          <w:sz w:val="18"/>
          <w:szCs w:val="18"/>
          <w:lang w:val="en-US"/>
        </w:rPr>
        <w:t>Women in Informal Employment: Globalizing and Organizing (WEIGO) is a global network that seeks to improve the status of working poor, especially women, in the informal economy.</w:t>
      </w:r>
    </w:p>
  </w:footnote>
  <w:footnote w:id="27">
    <w:p w14:paraId="765731E0" w14:textId="233FBA6C" w:rsidR="00706F12" w:rsidRPr="00891888" w:rsidRDefault="00706F12">
      <w:pPr>
        <w:pStyle w:val="FootnoteText"/>
        <w:rPr>
          <w:lang w:val="en-US"/>
        </w:rPr>
      </w:pPr>
      <w:r>
        <w:rPr>
          <w:rStyle w:val="FootnoteReference"/>
        </w:rPr>
        <w:footnoteRef/>
      </w:r>
      <w:r>
        <w:t xml:space="preserve"> </w:t>
      </w:r>
      <w:proofErr w:type="gramStart"/>
      <w:r w:rsidRPr="00891888">
        <w:rPr>
          <w:sz w:val="18"/>
          <w:szCs w:val="18"/>
          <w:lang w:val="en-US"/>
        </w:rPr>
        <w:t xml:space="preserve">Taylor, G. and </w:t>
      </w:r>
      <w:proofErr w:type="spellStart"/>
      <w:r w:rsidRPr="00891888">
        <w:rPr>
          <w:sz w:val="18"/>
          <w:szCs w:val="18"/>
          <w:lang w:val="en-US"/>
        </w:rPr>
        <w:t>Pereznieto</w:t>
      </w:r>
      <w:proofErr w:type="spellEnd"/>
      <w:r w:rsidRPr="00891888">
        <w:rPr>
          <w:sz w:val="18"/>
          <w:szCs w:val="18"/>
          <w:lang w:val="en-US"/>
        </w:rPr>
        <w:t>, P. (2014) A Review of Approaches and Methods to Measure Economic Empowerment of Women and Girls.</w:t>
      </w:r>
      <w:proofErr w:type="gramEnd"/>
      <w:r w:rsidRPr="00891888">
        <w:rPr>
          <w:sz w:val="18"/>
          <w:szCs w:val="18"/>
          <w:lang w:val="en-US"/>
        </w:rPr>
        <w:t xml:space="preserve"> Gender and Development Journal Vol 22:2.</w:t>
      </w:r>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EFC45" w14:textId="0051A8E6" w:rsidR="00706F12" w:rsidRPr="000F4802" w:rsidRDefault="00706F12" w:rsidP="003232A5">
    <w:pPr>
      <w:pStyle w:val="Header"/>
      <w:pBdr>
        <w:bottom w:val="single" w:sz="2" w:space="1" w:color="7F7F7F" w:themeColor="text1" w:themeTint="80"/>
      </w:pBdr>
      <w:tabs>
        <w:tab w:val="clear" w:pos="4680"/>
        <w:tab w:val="clear" w:pos="9360"/>
        <w:tab w:val="center" w:pos="4500"/>
        <w:tab w:val="right" w:pos="8820"/>
      </w:tabs>
      <w:rPr>
        <w:i/>
        <w:sz w:val="18"/>
        <w:szCs w:val="18"/>
        <w:lang w:val="en-CA"/>
      </w:rPr>
    </w:pPr>
    <w:r w:rsidRPr="000F4802">
      <w:rPr>
        <w:i/>
        <w:sz w:val="18"/>
        <w:szCs w:val="18"/>
        <w:lang w:val="en-CA"/>
      </w:rPr>
      <w:fldChar w:fldCharType="begin"/>
    </w:r>
    <w:r w:rsidRPr="000F4802">
      <w:rPr>
        <w:i/>
        <w:sz w:val="18"/>
        <w:szCs w:val="18"/>
        <w:lang w:val="en-CA"/>
      </w:rPr>
      <w:instrText xml:space="preserve"> PAGE   \* MERGEFORMAT </w:instrText>
    </w:r>
    <w:r w:rsidRPr="000F4802">
      <w:rPr>
        <w:i/>
        <w:sz w:val="18"/>
        <w:szCs w:val="18"/>
        <w:lang w:val="en-CA"/>
      </w:rPr>
      <w:fldChar w:fldCharType="separate"/>
    </w:r>
    <w:r w:rsidR="00531473">
      <w:rPr>
        <w:i/>
        <w:noProof/>
        <w:sz w:val="18"/>
        <w:szCs w:val="18"/>
        <w:lang w:val="en-CA"/>
      </w:rPr>
      <w:t>ii</w:t>
    </w:r>
    <w:r w:rsidRPr="000F4802">
      <w:rPr>
        <w:i/>
        <w:noProof/>
        <w:sz w:val="18"/>
        <w:szCs w:val="18"/>
        <w:lang w:val="en-CA"/>
      </w:rPr>
      <w:fldChar w:fldCharType="end"/>
    </w:r>
    <w:r w:rsidRPr="000F4802">
      <w:rPr>
        <w:i/>
        <w:noProof/>
        <w:sz w:val="18"/>
        <w:szCs w:val="18"/>
        <w:lang w:val="en-CA"/>
      </w:rPr>
      <w:tab/>
    </w:r>
    <w:r w:rsidRPr="000F4802">
      <w:rPr>
        <w:i/>
        <w:noProof/>
        <w:sz w:val="18"/>
        <w:szCs w:val="18"/>
        <w:lang w:val="en-CA"/>
      </w:rPr>
      <w:tab/>
    </w:r>
    <w:r w:rsidRPr="000F4802">
      <w:rPr>
        <w:i/>
        <w:sz w:val="18"/>
        <w:szCs w:val="18"/>
        <w:lang w:val="en-CA"/>
      </w:rPr>
      <w:t>MAMPU Forward Plan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898CA" w14:textId="50FFF612" w:rsidR="00706F12" w:rsidRPr="000F4802" w:rsidRDefault="00706F12" w:rsidP="00352787">
    <w:pPr>
      <w:pStyle w:val="Header"/>
      <w:pBdr>
        <w:bottom w:val="single" w:sz="2" w:space="1" w:color="7F7F7F" w:themeColor="text1" w:themeTint="80"/>
      </w:pBdr>
      <w:tabs>
        <w:tab w:val="clear" w:pos="4680"/>
        <w:tab w:val="clear" w:pos="9360"/>
        <w:tab w:val="center" w:pos="4500"/>
        <w:tab w:val="right" w:pos="8820"/>
      </w:tabs>
      <w:rPr>
        <w:i/>
        <w:sz w:val="18"/>
        <w:szCs w:val="18"/>
        <w:lang w:val="en-CA"/>
      </w:rPr>
    </w:pPr>
    <w:r w:rsidRPr="000F4802">
      <w:rPr>
        <w:i/>
        <w:sz w:val="18"/>
        <w:szCs w:val="18"/>
        <w:lang w:val="en-CA"/>
      </w:rPr>
      <w:t>MAMPU Forward Plan</w:t>
    </w:r>
    <w:r w:rsidRPr="000F4802">
      <w:rPr>
        <w:i/>
        <w:sz w:val="18"/>
        <w:szCs w:val="18"/>
        <w:lang w:val="en-CA"/>
      </w:rPr>
      <w:tab/>
    </w:r>
    <w:r w:rsidRPr="000F4802">
      <w:rPr>
        <w:i/>
        <w:sz w:val="18"/>
        <w:szCs w:val="18"/>
        <w:lang w:val="en-CA"/>
      </w:rPr>
      <w:tab/>
    </w:r>
    <w:r w:rsidRPr="000F4802">
      <w:rPr>
        <w:i/>
        <w:sz w:val="18"/>
        <w:szCs w:val="18"/>
        <w:lang w:val="en-CA"/>
      </w:rPr>
      <w:fldChar w:fldCharType="begin"/>
    </w:r>
    <w:r w:rsidRPr="000F4802">
      <w:rPr>
        <w:i/>
        <w:sz w:val="18"/>
        <w:szCs w:val="18"/>
        <w:lang w:val="en-CA"/>
      </w:rPr>
      <w:instrText xml:space="preserve"> PAGE   \* MERGEFORMAT </w:instrText>
    </w:r>
    <w:r w:rsidRPr="000F4802">
      <w:rPr>
        <w:i/>
        <w:sz w:val="18"/>
        <w:szCs w:val="18"/>
        <w:lang w:val="en-CA"/>
      </w:rPr>
      <w:fldChar w:fldCharType="separate"/>
    </w:r>
    <w:r w:rsidR="00531473">
      <w:rPr>
        <w:i/>
        <w:noProof/>
        <w:sz w:val="18"/>
        <w:szCs w:val="18"/>
        <w:lang w:val="en-CA"/>
      </w:rPr>
      <w:t>8-5</w:t>
    </w:r>
    <w:r w:rsidRPr="000F4802">
      <w:rPr>
        <w:i/>
        <w:noProof/>
        <w:sz w:val="18"/>
        <w:szCs w:val="18"/>
        <w:lang w:val="en-C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AC70F" w14:textId="77777777" w:rsidR="00531473" w:rsidRDefault="0053147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F7B54" w14:textId="77777777" w:rsidR="00706F12" w:rsidRPr="000F4802" w:rsidRDefault="00706F12" w:rsidP="00CC3149">
    <w:pPr>
      <w:pStyle w:val="Header"/>
      <w:pBdr>
        <w:bottom w:val="single" w:sz="2" w:space="1" w:color="7F7F7F" w:themeColor="text1" w:themeTint="80"/>
      </w:pBdr>
      <w:tabs>
        <w:tab w:val="clear" w:pos="9360"/>
        <w:tab w:val="right" w:pos="8820"/>
        <w:tab w:val="right" w:pos="9029"/>
      </w:tabs>
      <w:rPr>
        <w:i/>
        <w:sz w:val="18"/>
        <w:szCs w:val="18"/>
        <w:lang w:val="en-CA"/>
      </w:rPr>
    </w:pPr>
    <w:r w:rsidRPr="000F4802">
      <w:rPr>
        <w:i/>
        <w:sz w:val="18"/>
        <w:szCs w:val="18"/>
        <w:lang w:val="en-CA"/>
      </w:rPr>
      <w:t>MAMPU Forward Plan</w:t>
    </w:r>
    <w:r w:rsidRPr="000F4802">
      <w:rPr>
        <w:i/>
        <w:sz w:val="18"/>
        <w:szCs w:val="18"/>
        <w:lang w:val="en-CA"/>
      </w:rPr>
      <w:tab/>
    </w:r>
    <w:r w:rsidRPr="000F4802">
      <w:rPr>
        <w:i/>
        <w:sz w:val="18"/>
        <w:szCs w:val="18"/>
        <w:lang w:val="en-CA"/>
      </w:rPr>
      <w:tab/>
    </w:r>
    <w:r w:rsidRPr="000F4802">
      <w:rPr>
        <w:i/>
        <w:sz w:val="18"/>
        <w:szCs w:val="18"/>
        <w:lang w:val="en-CA"/>
      </w:rPr>
      <w:fldChar w:fldCharType="begin"/>
    </w:r>
    <w:r w:rsidRPr="000F4802">
      <w:rPr>
        <w:i/>
        <w:sz w:val="18"/>
        <w:szCs w:val="18"/>
        <w:lang w:val="en-CA"/>
      </w:rPr>
      <w:instrText xml:space="preserve"> PAGE   \* MERGEFORMAT </w:instrText>
    </w:r>
    <w:r w:rsidRPr="000F4802">
      <w:rPr>
        <w:i/>
        <w:sz w:val="18"/>
        <w:szCs w:val="18"/>
        <w:lang w:val="en-CA"/>
      </w:rPr>
      <w:fldChar w:fldCharType="separate"/>
    </w:r>
    <w:r w:rsidR="00531473">
      <w:rPr>
        <w:i/>
        <w:noProof/>
        <w:sz w:val="18"/>
        <w:szCs w:val="18"/>
        <w:lang w:val="en-CA"/>
      </w:rPr>
      <w:t>i</w:t>
    </w:r>
    <w:r w:rsidRPr="000F4802">
      <w:rPr>
        <w:i/>
        <w:noProof/>
        <w:sz w:val="18"/>
        <w:szCs w:val="18"/>
        <w:lang w:val="en-CA"/>
      </w:rPr>
      <w:fldChar w:fldCharType="end"/>
    </w:r>
    <w:r>
      <w:rPr>
        <w:i/>
        <w:noProof/>
        <w:sz w:val="18"/>
        <w:szCs w:val="18"/>
        <w:lang w:val="en-CA"/>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45317" w14:textId="6B7B19EC" w:rsidR="00706F12" w:rsidRPr="000F4802" w:rsidRDefault="00706F12" w:rsidP="00B21ED2">
    <w:pPr>
      <w:pStyle w:val="Header"/>
      <w:pBdr>
        <w:bottom w:val="single" w:sz="2" w:space="1" w:color="7F7F7F" w:themeColor="text1" w:themeTint="80"/>
      </w:pBdr>
      <w:tabs>
        <w:tab w:val="clear" w:pos="4680"/>
        <w:tab w:val="clear" w:pos="9360"/>
        <w:tab w:val="center" w:pos="4500"/>
        <w:tab w:val="left" w:pos="8480"/>
        <w:tab w:val="right" w:pos="8820"/>
      </w:tabs>
      <w:rPr>
        <w:i/>
        <w:sz w:val="18"/>
        <w:szCs w:val="18"/>
        <w:lang w:val="en-CA"/>
      </w:rPr>
    </w:pPr>
    <w:r w:rsidRPr="000F4802">
      <w:rPr>
        <w:i/>
        <w:sz w:val="18"/>
        <w:szCs w:val="18"/>
        <w:lang w:val="en-CA"/>
      </w:rPr>
      <w:t>MAMPU Forward Plan</w:t>
    </w:r>
    <w:r w:rsidRPr="000F4802">
      <w:rPr>
        <w:i/>
        <w:sz w:val="18"/>
        <w:szCs w:val="18"/>
        <w:lang w:val="en-CA"/>
      </w:rPr>
      <w:tab/>
    </w:r>
    <w:r w:rsidRPr="000F4802">
      <w:rPr>
        <w:i/>
        <w:sz w:val="18"/>
        <w:szCs w:val="18"/>
        <w:lang w:val="en-CA"/>
      </w:rPr>
      <w:tab/>
    </w:r>
    <w:r>
      <w:rPr>
        <w:i/>
        <w:sz w:val="18"/>
        <w:szCs w:val="18"/>
        <w:lang w:val="en-CA"/>
      </w:rPr>
      <w:tab/>
    </w:r>
    <w:r>
      <w:rPr>
        <w:i/>
        <w:sz w:val="18"/>
        <w:szCs w:val="18"/>
        <w:lang w:val="en-CA"/>
      </w:rPr>
      <w:tab/>
    </w:r>
    <w:r>
      <w:rPr>
        <w:i/>
        <w:sz w:val="18"/>
        <w:szCs w:val="18"/>
        <w:lang w:val="en-CA"/>
      </w:rPr>
      <w:tab/>
    </w:r>
    <w:r>
      <w:rPr>
        <w:i/>
        <w:sz w:val="18"/>
        <w:szCs w:val="18"/>
        <w:lang w:val="en-CA"/>
      </w:rPr>
      <w:tab/>
    </w:r>
    <w:r>
      <w:rPr>
        <w:i/>
        <w:sz w:val="18"/>
        <w:szCs w:val="18"/>
        <w:lang w:val="en-CA"/>
      </w:rPr>
      <w:tab/>
    </w:r>
    <w:r>
      <w:rPr>
        <w:i/>
        <w:sz w:val="18"/>
        <w:szCs w:val="18"/>
        <w:lang w:val="en-CA"/>
      </w:rPr>
      <w:tab/>
    </w:r>
    <w:r>
      <w:rPr>
        <w:i/>
        <w:sz w:val="18"/>
        <w:szCs w:val="18"/>
        <w:lang w:val="en-CA"/>
      </w:rPr>
      <w:tab/>
      <w:t xml:space="preserve">           A-</w:t>
    </w:r>
    <w:r w:rsidRPr="000F4802">
      <w:rPr>
        <w:i/>
        <w:sz w:val="18"/>
        <w:szCs w:val="18"/>
        <w:lang w:val="en-CA"/>
      </w:rPr>
      <w:fldChar w:fldCharType="begin"/>
    </w:r>
    <w:r w:rsidRPr="000F4802">
      <w:rPr>
        <w:i/>
        <w:sz w:val="18"/>
        <w:szCs w:val="18"/>
        <w:lang w:val="en-CA"/>
      </w:rPr>
      <w:instrText xml:space="preserve"> PAGE   \* MERGEFORMAT </w:instrText>
    </w:r>
    <w:r w:rsidRPr="000F4802">
      <w:rPr>
        <w:i/>
        <w:sz w:val="18"/>
        <w:szCs w:val="18"/>
        <w:lang w:val="en-CA"/>
      </w:rPr>
      <w:fldChar w:fldCharType="separate"/>
    </w:r>
    <w:r w:rsidR="00531473">
      <w:rPr>
        <w:i/>
        <w:noProof/>
        <w:sz w:val="18"/>
        <w:szCs w:val="18"/>
        <w:lang w:val="en-CA"/>
      </w:rPr>
      <w:t>1</w:t>
    </w:r>
    <w:r w:rsidRPr="000F4802">
      <w:rPr>
        <w:i/>
        <w:noProof/>
        <w:sz w:val="18"/>
        <w:szCs w:val="18"/>
        <w:lang w:val="en-C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30958"/>
    <w:multiLevelType w:val="hybridMultilevel"/>
    <w:tmpl w:val="929A8BDE"/>
    <w:lvl w:ilvl="0" w:tplc="4AAAA956">
      <w:start w:val="1"/>
      <w:numFmt w:val="decimal"/>
      <w:lvlText w:val="%1."/>
      <w:lvlJc w:val="left"/>
      <w:pPr>
        <w:ind w:left="360" w:hanging="360"/>
      </w:pPr>
      <w:rPr>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11E61DF"/>
    <w:multiLevelType w:val="hybridMultilevel"/>
    <w:tmpl w:val="D71E41A0"/>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6B4370A"/>
    <w:multiLevelType w:val="hybridMultilevel"/>
    <w:tmpl w:val="5B88E432"/>
    <w:lvl w:ilvl="0" w:tplc="04090001">
      <w:start w:val="1"/>
      <w:numFmt w:val="bullet"/>
      <w:lvlText w:val=""/>
      <w:lvlJc w:val="left"/>
      <w:pPr>
        <w:ind w:left="360" w:hanging="360"/>
      </w:pPr>
      <w:rPr>
        <w:rFonts w:ascii="Symbol" w:hAnsi="Symbol" w:hint="default"/>
      </w:rPr>
    </w:lvl>
    <w:lvl w:ilvl="1" w:tplc="77DA63A2">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B497F4F"/>
    <w:multiLevelType w:val="hybridMultilevel"/>
    <w:tmpl w:val="9E023600"/>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CA52CD1"/>
    <w:multiLevelType w:val="hybridMultilevel"/>
    <w:tmpl w:val="062C0F02"/>
    <w:lvl w:ilvl="0" w:tplc="E77C2A40">
      <w:numFmt w:val="bullet"/>
      <w:lvlText w:val="-"/>
      <w:lvlJc w:val="left"/>
      <w:pPr>
        <w:ind w:left="360" w:hanging="360"/>
      </w:pPr>
      <w:rPr>
        <w:rFonts w:ascii="Calibri" w:eastAsiaTheme="minorHAnsi" w:hAnsi="Calibri" w:cstheme="minorBidi" w:hint="default"/>
      </w:rPr>
    </w:lvl>
    <w:lvl w:ilvl="1" w:tplc="0C090003">
      <w:start w:val="1"/>
      <w:numFmt w:val="bullet"/>
      <w:lvlText w:val="o"/>
      <w:lvlJc w:val="left"/>
      <w:pPr>
        <w:ind w:left="456" w:hanging="360"/>
      </w:pPr>
      <w:rPr>
        <w:rFonts w:ascii="Courier New" w:hAnsi="Courier New" w:cs="Courier New" w:hint="default"/>
      </w:rPr>
    </w:lvl>
    <w:lvl w:ilvl="2" w:tplc="0C090005">
      <w:start w:val="1"/>
      <w:numFmt w:val="bullet"/>
      <w:lvlText w:val=""/>
      <w:lvlJc w:val="left"/>
      <w:pPr>
        <w:ind w:left="1176" w:hanging="360"/>
      </w:pPr>
      <w:rPr>
        <w:rFonts w:ascii="Wingdings" w:hAnsi="Wingdings" w:hint="default"/>
      </w:rPr>
    </w:lvl>
    <w:lvl w:ilvl="3" w:tplc="0C090001">
      <w:start w:val="1"/>
      <w:numFmt w:val="bullet"/>
      <w:lvlText w:val=""/>
      <w:lvlJc w:val="left"/>
      <w:pPr>
        <w:ind w:left="1896" w:hanging="360"/>
      </w:pPr>
      <w:rPr>
        <w:rFonts w:ascii="Symbol" w:hAnsi="Symbol" w:hint="default"/>
      </w:rPr>
    </w:lvl>
    <w:lvl w:ilvl="4" w:tplc="0C090003">
      <w:start w:val="1"/>
      <w:numFmt w:val="bullet"/>
      <w:lvlText w:val="o"/>
      <w:lvlJc w:val="left"/>
      <w:pPr>
        <w:ind w:left="2616" w:hanging="360"/>
      </w:pPr>
      <w:rPr>
        <w:rFonts w:ascii="Courier New" w:hAnsi="Courier New" w:cs="Courier New" w:hint="default"/>
      </w:rPr>
    </w:lvl>
    <w:lvl w:ilvl="5" w:tplc="0C090005">
      <w:start w:val="1"/>
      <w:numFmt w:val="bullet"/>
      <w:lvlText w:val=""/>
      <w:lvlJc w:val="left"/>
      <w:pPr>
        <w:ind w:left="3336" w:hanging="360"/>
      </w:pPr>
      <w:rPr>
        <w:rFonts w:ascii="Wingdings" w:hAnsi="Wingdings" w:hint="default"/>
      </w:rPr>
    </w:lvl>
    <w:lvl w:ilvl="6" w:tplc="0C090001">
      <w:start w:val="1"/>
      <w:numFmt w:val="bullet"/>
      <w:lvlText w:val=""/>
      <w:lvlJc w:val="left"/>
      <w:pPr>
        <w:ind w:left="4056" w:hanging="360"/>
      </w:pPr>
      <w:rPr>
        <w:rFonts w:ascii="Symbol" w:hAnsi="Symbol" w:hint="default"/>
      </w:rPr>
    </w:lvl>
    <w:lvl w:ilvl="7" w:tplc="0C090003">
      <w:start w:val="1"/>
      <w:numFmt w:val="bullet"/>
      <w:lvlText w:val="o"/>
      <w:lvlJc w:val="left"/>
      <w:pPr>
        <w:ind w:left="4776" w:hanging="360"/>
      </w:pPr>
      <w:rPr>
        <w:rFonts w:ascii="Courier New" w:hAnsi="Courier New" w:cs="Courier New" w:hint="default"/>
      </w:rPr>
    </w:lvl>
    <w:lvl w:ilvl="8" w:tplc="0C090005">
      <w:start w:val="1"/>
      <w:numFmt w:val="bullet"/>
      <w:lvlText w:val=""/>
      <w:lvlJc w:val="left"/>
      <w:pPr>
        <w:ind w:left="5496" w:hanging="360"/>
      </w:pPr>
      <w:rPr>
        <w:rFonts w:ascii="Wingdings" w:hAnsi="Wingdings" w:hint="default"/>
      </w:rPr>
    </w:lvl>
  </w:abstractNum>
  <w:abstractNum w:abstractNumId="5">
    <w:nsid w:val="223916CA"/>
    <w:multiLevelType w:val="hybridMultilevel"/>
    <w:tmpl w:val="FB22C9AE"/>
    <w:lvl w:ilvl="0" w:tplc="10090003">
      <w:start w:val="1"/>
      <w:numFmt w:val="bullet"/>
      <w:lvlText w:val="o"/>
      <w:lvlJc w:val="left"/>
      <w:pPr>
        <w:ind w:left="562" w:hanging="360"/>
      </w:pPr>
      <w:rPr>
        <w:rFonts w:ascii="Courier New" w:hAnsi="Courier New" w:cs="Courier New" w:hint="default"/>
      </w:rPr>
    </w:lvl>
    <w:lvl w:ilvl="1" w:tplc="04090003" w:tentative="1">
      <w:start w:val="1"/>
      <w:numFmt w:val="bullet"/>
      <w:lvlText w:val="o"/>
      <w:lvlJc w:val="left"/>
      <w:pPr>
        <w:ind w:left="1282" w:hanging="360"/>
      </w:pPr>
      <w:rPr>
        <w:rFonts w:ascii="Courier New" w:hAnsi="Courier New" w:hint="default"/>
      </w:rPr>
    </w:lvl>
    <w:lvl w:ilvl="2" w:tplc="04090005" w:tentative="1">
      <w:start w:val="1"/>
      <w:numFmt w:val="bullet"/>
      <w:lvlText w:val=""/>
      <w:lvlJc w:val="left"/>
      <w:pPr>
        <w:ind w:left="2002" w:hanging="360"/>
      </w:pPr>
      <w:rPr>
        <w:rFonts w:ascii="Wingdings" w:hAnsi="Wingdings" w:hint="default"/>
      </w:rPr>
    </w:lvl>
    <w:lvl w:ilvl="3" w:tplc="04090001" w:tentative="1">
      <w:start w:val="1"/>
      <w:numFmt w:val="bullet"/>
      <w:lvlText w:val=""/>
      <w:lvlJc w:val="left"/>
      <w:pPr>
        <w:ind w:left="2722" w:hanging="360"/>
      </w:pPr>
      <w:rPr>
        <w:rFonts w:ascii="Symbol" w:hAnsi="Symbol" w:hint="default"/>
      </w:rPr>
    </w:lvl>
    <w:lvl w:ilvl="4" w:tplc="04090003" w:tentative="1">
      <w:start w:val="1"/>
      <w:numFmt w:val="bullet"/>
      <w:lvlText w:val="o"/>
      <w:lvlJc w:val="left"/>
      <w:pPr>
        <w:ind w:left="3442" w:hanging="360"/>
      </w:pPr>
      <w:rPr>
        <w:rFonts w:ascii="Courier New" w:hAnsi="Courier New" w:hint="default"/>
      </w:rPr>
    </w:lvl>
    <w:lvl w:ilvl="5" w:tplc="04090005" w:tentative="1">
      <w:start w:val="1"/>
      <w:numFmt w:val="bullet"/>
      <w:lvlText w:val=""/>
      <w:lvlJc w:val="left"/>
      <w:pPr>
        <w:ind w:left="4162" w:hanging="360"/>
      </w:pPr>
      <w:rPr>
        <w:rFonts w:ascii="Wingdings" w:hAnsi="Wingdings" w:hint="default"/>
      </w:rPr>
    </w:lvl>
    <w:lvl w:ilvl="6" w:tplc="04090001" w:tentative="1">
      <w:start w:val="1"/>
      <w:numFmt w:val="bullet"/>
      <w:lvlText w:val=""/>
      <w:lvlJc w:val="left"/>
      <w:pPr>
        <w:ind w:left="4882" w:hanging="360"/>
      </w:pPr>
      <w:rPr>
        <w:rFonts w:ascii="Symbol" w:hAnsi="Symbol" w:hint="default"/>
      </w:rPr>
    </w:lvl>
    <w:lvl w:ilvl="7" w:tplc="04090003" w:tentative="1">
      <w:start w:val="1"/>
      <w:numFmt w:val="bullet"/>
      <w:lvlText w:val="o"/>
      <w:lvlJc w:val="left"/>
      <w:pPr>
        <w:ind w:left="5602" w:hanging="360"/>
      </w:pPr>
      <w:rPr>
        <w:rFonts w:ascii="Courier New" w:hAnsi="Courier New" w:hint="default"/>
      </w:rPr>
    </w:lvl>
    <w:lvl w:ilvl="8" w:tplc="04090005" w:tentative="1">
      <w:start w:val="1"/>
      <w:numFmt w:val="bullet"/>
      <w:lvlText w:val=""/>
      <w:lvlJc w:val="left"/>
      <w:pPr>
        <w:ind w:left="6322" w:hanging="360"/>
      </w:pPr>
      <w:rPr>
        <w:rFonts w:ascii="Wingdings" w:hAnsi="Wingdings" w:hint="default"/>
      </w:rPr>
    </w:lvl>
  </w:abstractNum>
  <w:abstractNum w:abstractNumId="6">
    <w:nsid w:val="23B33050"/>
    <w:multiLevelType w:val="hybridMultilevel"/>
    <w:tmpl w:val="3502EF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703500"/>
    <w:multiLevelType w:val="hybridMultilevel"/>
    <w:tmpl w:val="D9FC36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99526D"/>
    <w:multiLevelType w:val="hybridMultilevel"/>
    <w:tmpl w:val="C1E4D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CA2CDB"/>
    <w:multiLevelType w:val="hybridMultilevel"/>
    <w:tmpl w:val="93468394"/>
    <w:lvl w:ilvl="0" w:tplc="396AFB76">
      <w:start w:val="1"/>
      <w:numFmt w:val="decimal"/>
      <w:lvlText w:val="%1."/>
      <w:lvlJc w:val="left"/>
      <w:pPr>
        <w:ind w:left="360" w:hanging="360"/>
      </w:pPr>
      <w:rPr>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30E91630"/>
    <w:multiLevelType w:val="hybridMultilevel"/>
    <w:tmpl w:val="E14002A4"/>
    <w:lvl w:ilvl="0" w:tplc="10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61A357C"/>
    <w:multiLevelType w:val="hybridMultilevel"/>
    <w:tmpl w:val="D2C2DFAC"/>
    <w:lvl w:ilvl="0" w:tplc="8DA0D638">
      <w:start w:val="1"/>
      <w:numFmt w:val="decimal"/>
      <w:lvlText w:val="%1."/>
      <w:lvlJc w:val="left"/>
      <w:pPr>
        <w:ind w:left="360" w:hanging="360"/>
      </w:pPr>
      <w:rPr>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47EC5CB8"/>
    <w:multiLevelType w:val="hybridMultilevel"/>
    <w:tmpl w:val="B760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680818"/>
    <w:multiLevelType w:val="hybridMultilevel"/>
    <w:tmpl w:val="15EC4ACC"/>
    <w:lvl w:ilvl="0" w:tplc="DA3CECE2">
      <w:start w:val="1"/>
      <w:numFmt w:val="decimal"/>
      <w:lvlText w:val="%1."/>
      <w:lvlJc w:val="left"/>
      <w:pPr>
        <w:ind w:left="360" w:hanging="360"/>
      </w:pPr>
      <w:rPr>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49A3476E"/>
    <w:multiLevelType w:val="hybridMultilevel"/>
    <w:tmpl w:val="F6047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E1789A"/>
    <w:multiLevelType w:val="hybridMultilevel"/>
    <w:tmpl w:val="164CB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A032B75"/>
    <w:multiLevelType w:val="multilevel"/>
    <w:tmpl w:val="815E961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4BAF4999"/>
    <w:multiLevelType w:val="hybridMultilevel"/>
    <w:tmpl w:val="1F8E0A86"/>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4BF65DF7"/>
    <w:multiLevelType w:val="hybridMultilevel"/>
    <w:tmpl w:val="454A7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F2177D8"/>
    <w:multiLevelType w:val="hybridMultilevel"/>
    <w:tmpl w:val="F18C255E"/>
    <w:lvl w:ilvl="0" w:tplc="04210001">
      <w:start w:val="1"/>
      <w:numFmt w:val="bullet"/>
      <w:lvlText w:val=""/>
      <w:lvlJc w:val="left"/>
      <w:pPr>
        <w:ind w:left="-2493" w:hanging="360"/>
      </w:pPr>
      <w:rPr>
        <w:rFonts w:ascii="Symbol" w:hAnsi="Symbol" w:hint="default"/>
      </w:rPr>
    </w:lvl>
    <w:lvl w:ilvl="1" w:tplc="04210003" w:tentative="1">
      <w:start w:val="1"/>
      <w:numFmt w:val="bullet"/>
      <w:lvlText w:val="o"/>
      <w:lvlJc w:val="left"/>
      <w:pPr>
        <w:ind w:left="-1773" w:hanging="360"/>
      </w:pPr>
      <w:rPr>
        <w:rFonts w:ascii="Courier New" w:hAnsi="Courier New" w:cs="Courier New" w:hint="default"/>
      </w:rPr>
    </w:lvl>
    <w:lvl w:ilvl="2" w:tplc="04210005" w:tentative="1">
      <w:start w:val="1"/>
      <w:numFmt w:val="bullet"/>
      <w:lvlText w:val=""/>
      <w:lvlJc w:val="left"/>
      <w:pPr>
        <w:ind w:left="-1053" w:hanging="360"/>
      </w:pPr>
      <w:rPr>
        <w:rFonts w:ascii="Wingdings" w:hAnsi="Wingdings" w:hint="default"/>
      </w:rPr>
    </w:lvl>
    <w:lvl w:ilvl="3" w:tplc="04210001" w:tentative="1">
      <w:start w:val="1"/>
      <w:numFmt w:val="bullet"/>
      <w:lvlText w:val=""/>
      <w:lvlJc w:val="left"/>
      <w:pPr>
        <w:ind w:left="-333" w:hanging="360"/>
      </w:pPr>
      <w:rPr>
        <w:rFonts w:ascii="Symbol" w:hAnsi="Symbol" w:hint="default"/>
      </w:rPr>
    </w:lvl>
    <w:lvl w:ilvl="4" w:tplc="04210003" w:tentative="1">
      <w:start w:val="1"/>
      <w:numFmt w:val="bullet"/>
      <w:lvlText w:val="o"/>
      <w:lvlJc w:val="left"/>
      <w:pPr>
        <w:ind w:left="387" w:hanging="360"/>
      </w:pPr>
      <w:rPr>
        <w:rFonts w:ascii="Courier New" w:hAnsi="Courier New" w:cs="Courier New" w:hint="default"/>
      </w:rPr>
    </w:lvl>
    <w:lvl w:ilvl="5" w:tplc="04210005" w:tentative="1">
      <w:start w:val="1"/>
      <w:numFmt w:val="bullet"/>
      <w:lvlText w:val=""/>
      <w:lvlJc w:val="left"/>
      <w:pPr>
        <w:ind w:left="1107" w:hanging="360"/>
      </w:pPr>
      <w:rPr>
        <w:rFonts w:ascii="Wingdings" w:hAnsi="Wingdings" w:hint="default"/>
      </w:rPr>
    </w:lvl>
    <w:lvl w:ilvl="6" w:tplc="04210001" w:tentative="1">
      <w:start w:val="1"/>
      <w:numFmt w:val="bullet"/>
      <w:lvlText w:val=""/>
      <w:lvlJc w:val="left"/>
      <w:pPr>
        <w:ind w:left="1827" w:hanging="360"/>
      </w:pPr>
      <w:rPr>
        <w:rFonts w:ascii="Symbol" w:hAnsi="Symbol" w:hint="default"/>
      </w:rPr>
    </w:lvl>
    <w:lvl w:ilvl="7" w:tplc="04210003" w:tentative="1">
      <w:start w:val="1"/>
      <w:numFmt w:val="bullet"/>
      <w:lvlText w:val="o"/>
      <w:lvlJc w:val="left"/>
      <w:pPr>
        <w:ind w:left="2547" w:hanging="360"/>
      </w:pPr>
      <w:rPr>
        <w:rFonts w:ascii="Courier New" w:hAnsi="Courier New" w:cs="Courier New" w:hint="default"/>
      </w:rPr>
    </w:lvl>
    <w:lvl w:ilvl="8" w:tplc="04210005" w:tentative="1">
      <w:start w:val="1"/>
      <w:numFmt w:val="bullet"/>
      <w:lvlText w:val=""/>
      <w:lvlJc w:val="left"/>
      <w:pPr>
        <w:ind w:left="3267" w:hanging="360"/>
      </w:pPr>
      <w:rPr>
        <w:rFonts w:ascii="Wingdings" w:hAnsi="Wingdings" w:hint="default"/>
      </w:rPr>
    </w:lvl>
  </w:abstractNum>
  <w:abstractNum w:abstractNumId="20">
    <w:nsid w:val="4F5F35A8"/>
    <w:multiLevelType w:val="hybridMultilevel"/>
    <w:tmpl w:val="AC18A0C6"/>
    <w:lvl w:ilvl="0" w:tplc="4120B534">
      <w:start w:val="1"/>
      <w:numFmt w:val="decimal"/>
      <w:lvlText w:val="%1."/>
      <w:lvlJc w:val="left"/>
      <w:pPr>
        <w:ind w:left="360" w:hanging="360"/>
      </w:pPr>
      <w:rPr>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559208B2"/>
    <w:multiLevelType w:val="hybridMultilevel"/>
    <w:tmpl w:val="A748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1946E7"/>
    <w:multiLevelType w:val="hybridMultilevel"/>
    <w:tmpl w:val="B3544EE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nsid w:val="5D751B44"/>
    <w:multiLevelType w:val="hybridMultilevel"/>
    <w:tmpl w:val="74B00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9F5070"/>
    <w:multiLevelType w:val="hybridMultilevel"/>
    <w:tmpl w:val="C15C7472"/>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5FB20838"/>
    <w:multiLevelType w:val="hybridMultilevel"/>
    <w:tmpl w:val="ED765464"/>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638D5689"/>
    <w:multiLevelType w:val="hybridMultilevel"/>
    <w:tmpl w:val="BA36578E"/>
    <w:lvl w:ilvl="0" w:tplc="0C09000F">
      <w:start w:val="1"/>
      <w:numFmt w:val="decimal"/>
      <w:lvlText w:val="%1."/>
      <w:lvlJc w:val="left"/>
      <w:pPr>
        <w:ind w:left="720" w:hanging="360"/>
      </w:pPr>
    </w:lvl>
    <w:lvl w:ilvl="1" w:tplc="77DA63A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55077FC"/>
    <w:multiLevelType w:val="hybridMultilevel"/>
    <w:tmpl w:val="AB44E164"/>
    <w:lvl w:ilvl="0" w:tplc="04090001">
      <w:start w:val="1"/>
      <w:numFmt w:val="bullet"/>
      <w:lvlText w:val=""/>
      <w:lvlJc w:val="left"/>
      <w:pPr>
        <w:ind w:left="562" w:hanging="360"/>
      </w:pPr>
      <w:rPr>
        <w:rFonts w:ascii="Symbol" w:hAnsi="Symbol" w:hint="default"/>
      </w:rPr>
    </w:lvl>
    <w:lvl w:ilvl="1" w:tplc="04090003" w:tentative="1">
      <w:start w:val="1"/>
      <w:numFmt w:val="bullet"/>
      <w:lvlText w:val="o"/>
      <w:lvlJc w:val="left"/>
      <w:pPr>
        <w:ind w:left="1282" w:hanging="360"/>
      </w:pPr>
      <w:rPr>
        <w:rFonts w:ascii="Courier New" w:hAnsi="Courier New" w:hint="default"/>
      </w:rPr>
    </w:lvl>
    <w:lvl w:ilvl="2" w:tplc="04090005" w:tentative="1">
      <w:start w:val="1"/>
      <w:numFmt w:val="bullet"/>
      <w:lvlText w:val=""/>
      <w:lvlJc w:val="left"/>
      <w:pPr>
        <w:ind w:left="2002" w:hanging="360"/>
      </w:pPr>
      <w:rPr>
        <w:rFonts w:ascii="Wingdings" w:hAnsi="Wingdings" w:hint="default"/>
      </w:rPr>
    </w:lvl>
    <w:lvl w:ilvl="3" w:tplc="04090001" w:tentative="1">
      <w:start w:val="1"/>
      <w:numFmt w:val="bullet"/>
      <w:lvlText w:val=""/>
      <w:lvlJc w:val="left"/>
      <w:pPr>
        <w:ind w:left="2722" w:hanging="360"/>
      </w:pPr>
      <w:rPr>
        <w:rFonts w:ascii="Symbol" w:hAnsi="Symbol" w:hint="default"/>
      </w:rPr>
    </w:lvl>
    <w:lvl w:ilvl="4" w:tplc="04090003" w:tentative="1">
      <w:start w:val="1"/>
      <w:numFmt w:val="bullet"/>
      <w:lvlText w:val="o"/>
      <w:lvlJc w:val="left"/>
      <w:pPr>
        <w:ind w:left="3442" w:hanging="360"/>
      </w:pPr>
      <w:rPr>
        <w:rFonts w:ascii="Courier New" w:hAnsi="Courier New" w:hint="default"/>
      </w:rPr>
    </w:lvl>
    <w:lvl w:ilvl="5" w:tplc="04090005" w:tentative="1">
      <w:start w:val="1"/>
      <w:numFmt w:val="bullet"/>
      <w:lvlText w:val=""/>
      <w:lvlJc w:val="left"/>
      <w:pPr>
        <w:ind w:left="4162" w:hanging="360"/>
      </w:pPr>
      <w:rPr>
        <w:rFonts w:ascii="Wingdings" w:hAnsi="Wingdings" w:hint="default"/>
      </w:rPr>
    </w:lvl>
    <w:lvl w:ilvl="6" w:tplc="04090001" w:tentative="1">
      <w:start w:val="1"/>
      <w:numFmt w:val="bullet"/>
      <w:lvlText w:val=""/>
      <w:lvlJc w:val="left"/>
      <w:pPr>
        <w:ind w:left="4882" w:hanging="360"/>
      </w:pPr>
      <w:rPr>
        <w:rFonts w:ascii="Symbol" w:hAnsi="Symbol" w:hint="default"/>
      </w:rPr>
    </w:lvl>
    <w:lvl w:ilvl="7" w:tplc="04090003" w:tentative="1">
      <w:start w:val="1"/>
      <w:numFmt w:val="bullet"/>
      <w:lvlText w:val="o"/>
      <w:lvlJc w:val="left"/>
      <w:pPr>
        <w:ind w:left="5602" w:hanging="360"/>
      </w:pPr>
      <w:rPr>
        <w:rFonts w:ascii="Courier New" w:hAnsi="Courier New" w:hint="default"/>
      </w:rPr>
    </w:lvl>
    <w:lvl w:ilvl="8" w:tplc="04090005" w:tentative="1">
      <w:start w:val="1"/>
      <w:numFmt w:val="bullet"/>
      <w:lvlText w:val=""/>
      <w:lvlJc w:val="left"/>
      <w:pPr>
        <w:ind w:left="6322" w:hanging="360"/>
      </w:pPr>
      <w:rPr>
        <w:rFonts w:ascii="Wingdings" w:hAnsi="Wingdings" w:hint="default"/>
      </w:rPr>
    </w:lvl>
  </w:abstractNum>
  <w:abstractNum w:abstractNumId="28">
    <w:nsid w:val="67A90FB8"/>
    <w:multiLevelType w:val="hybridMultilevel"/>
    <w:tmpl w:val="E4146610"/>
    <w:lvl w:ilvl="0" w:tplc="E2CC60B8">
      <w:start w:val="1"/>
      <w:numFmt w:val="decimal"/>
      <w:lvlText w:val="%1."/>
      <w:lvlJc w:val="left"/>
      <w:pPr>
        <w:ind w:left="360" w:hanging="360"/>
      </w:pPr>
      <w:rPr>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696C1A43"/>
    <w:multiLevelType w:val="hybridMultilevel"/>
    <w:tmpl w:val="50D68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173A8F"/>
    <w:multiLevelType w:val="hybridMultilevel"/>
    <w:tmpl w:val="8E0615D2"/>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691023"/>
    <w:multiLevelType w:val="hybridMultilevel"/>
    <w:tmpl w:val="6B680D6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7DE48D0"/>
    <w:multiLevelType w:val="hybridMultilevel"/>
    <w:tmpl w:val="1FC08156"/>
    <w:lvl w:ilvl="0" w:tplc="1009000F">
      <w:start w:val="1"/>
      <w:numFmt w:val="decimal"/>
      <w:lvlText w:val="%1."/>
      <w:lvlJc w:val="left"/>
      <w:pPr>
        <w:ind w:left="-2493" w:hanging="360"/>
      </w:pPr>
      <w:rPr>
        <w:rFonts w:hint="default"/>
      </w:rPr>
    </w:lvl>
    <w:lvl w:ilvl="1" w:tplc="04210003" w:tentative="1">
      <w:start w:val="1"/>
      <w:numFmt w:val="bullet"/>
      <w:lvlText w:val="o"/>
      <w:lvlJc w:val="left"/>
      <w:pPr>
        <w:ind w:left="-1773" w:hanging="360"/>
      </w:pPr>
      <w:rPr>
        <w:rFonts w:ascii="Courier New" w:hAnsi="Courier New" w:cs="Courier New" w:hint="default"/>
      </w:rPr>
    </w:lvl>
    <w:lvl w:ilvl="2" w:tplc="04210005" w:tentative="1">
      <w:start w:val="1"/>
      <w:numFmt w:val="bullet"/>
      <w:lvlText w:val=""/>
      <w:lvlJc w:val="left"/>
      <w:pPr>
        <w:ind w:left="-1053" w:hanging="360"/>
      </w:pPr>
      <w:rPr>
        <w:rFonts w:ascii="Wingdings" w:hAnsi="Wingdings" w:hint="default"/>
      </w:rPr>
    </w:lvl>
    <w:lvl w:ilvl="3" w:tplc="04210001" w:tentative="1">
      <w:start w:val="1"/>
      <w:numFmt w:val="bullet"/>
      <w:lvlText w:val=""/>
      <w:lvlJc w:val="left"/>
      <w:pPr>
        <w:ind w:left="-333" w:hanging="360"/>
      </w:pPr>
      <w:rPr>
        <w:rFonts w:ascii="Symbol" w:hAnsi="Symbol" w:hint="default"/>
      </w:rPr>
    </w:lvl>
    <w:lvl w:ilvl="4" w:tplc="04210003" w:tentative="1">
      <w:start w:val="1"/>
      <w:numFmt w:val="bullet"/>
      <w:lvlText w:val="o"/>
      <w:lvlJc w:val="left"/>
      <w:pPr>
        <w:ind w:left="387" w:hanging="360"/>
      </w:pPr>
      <w:rPr>
        <w:rFonts w:ascii="Courier New" w:hAnsi="Courier New" w:cs="Courier New" w:hint="default"/>
      </w:rPr>
    </w:lvl>
    <w:lvl w:ilvl="5" w:tplc="04210005" w:tentative="1">
      <w:start w:val="1"/>
      <w:numFmt w:val="bullet"/>
      <w:lvlText w:val=""/>
      <w:lvlJc w:val="left"/>
      <w:pPr>
        <w:ind w:left="1107" w:hanging="360"/>
      </w:pPr>
      <w:rPr>
        <w:rFonts w:ascii="Wingdings" w:hAnsi="Wingdings" w:hint="default"/>
      </w:rPr>
    </w:lvl>
    <w:lvl w:ilvl="6" w:tplc="04210001" w:tentative="1">
      <w:start w:val="1"/>
      <w:numFmt w:val="bullet"/>
      <w:lvlText w:val=""/>
      <w:lvlJc w:val="left"/>
      <w:pPr>
        <w:ind w:left="1827" w:hanging="360"/>
      </w:pPr>
      <w:rPr>
        <w:rFonts w:ascii="Symbol" w:hAnsi="Symbol" w:hint="default"/>
      </w:rPr>
    </w:lvl>
    <w:lvl w:ilvl="7" w:tplc="04210003" w:tentative="1">
      <w:start w:val="1"/>
      <w:numFmt w:val="bullet"/>
      <w:lvlText w:val="o"/>
      <w:lvlJc w:val="left"/>
      <w:pPr>
        <w:ind w:left="2547" w:hanging="360"/>
      </w:pPr>
      <w:rPr>
        <w:rFonts w:ascii="Courier New" w:hAnsi="Courier New" w:cs="Courier New" w:hint="default"/>
      </w:rPr>
    </w:lvl>
    <w:lvl w:ilvl="8" w:tplc="04210005" w:tentative="1">
      <w:start w:val="1"/>
      <w:numFmt w:val="bullet"/>
      <w:lvlText w:val=""/>
      <w:lvlJc w:val="left"/>
      <w:pPr>
        <w:ind w:left="3267" w:hanging="360"/>
      </w:pPr>
      <w:rPr>
        <w:rFonts w:ascii="Wingdings" w:hAnsi="Wingdings" w:hint="default"/>
      </w:rPr>
    </w:lvl>
  </w:abstractNum>
  <w:num w:numId="1">
    <w:abstractNumId w:val="17"/>
  </w:num>
  <w:num w:numId="2">
    <w:abstractNumId w:val="19"/>
  </w:num>
  <w:num w:numId="3">
    <w:abstractNumId w:val="11"/>
  </w:num>
  <w:num w:numId="4">
    <w:abstractNumId w:val="20"/>
  </w:num>
  <w:num w:numId="5">
    <w:abstractNumId w:val="13"/>
  </w:num>
  <w:num w:numId="6">
    <w:abstractNumId w:val="9"/>
  </w:num>
  <w:num w:numId="7">
    <w:abstractNumId w:val="26"/>
  </w:num>
  <w:num w:numId="8">
    <w:abstractNumId w:val="0"/>
  </w:num>
  <w:num w:numId="9">
    <w:abstractNumId w:val="28"/>
  </w:num>
  <w:num w:numId="10">
    <w:abstractNumId w:val="29"/>
  </w:num>
  <w:num w:numId="11">
    <w:abstractNumId w:val="21"/>
  </w:num>
  <w:num w:numId="12">
    <w:abstractNumId w:val="12"/>
  </w:num>
  <w:num w:numId="13">
    <w:abstractNumId w:val="8"/>
  </w:num>
  <w:num w:numId="14">
    <w:abstractNumId w:val="6"/>
  </w:num>
  <w:num w:numId="15">
    <w:abstractNumId w:val="14"/>
  </w:num>
  <w:num w:numId="16">
    <w:abstractNumId w:val="3"/>
  </w:num>
  <w:num w:numId="17">
    <w:abstractNumId w:val="16"/>
  </w:num>
  <w:num w:numId="18">
    <w:abstractNumId w:val="22"/>
  </w:num>
  <w:num w:numId="19">
    <w:abstractNumId w:val="31"/>
  </w:num>
  <w:num w:numId="20">
    <w:abstractNumId w:val="18"/>
  </w:num>
  <w:num w:numId="21">
    <w:abstractNumId w:val="5"/>
  </w:num>
  <w:num w:numId="22">
    <w:abstractNumId w:val="1"/>
  </w:num>
  <w:num w:numId="23">
    <w:abstractNumId w:val="24"/>
  </w:num>
  <w:num w:numId="24">
    <w:abstractNumId w:val="27"/>
  </w:num>
  <w:num w:numId="25">
    <w:abstractNumId w:val="15"/>
  </w:num>
  <w:num w:numId="26">
    <w:abstractNumId w:val="25"/>
  </w:num>
  <w:num w:numId="27">
    <w:abstractNumId w:val="10"/>
  </w:num>
  <w:num w:numId="28">
    <w:abstractNumId w:val="32"/>
  </w:num>
  <w:num w:numId="29">
    <w:abstractNumId w:val="23"/>
  </w:num>
  <w:num w:numId="30">
    <w:abstractNumId w:val="30"/>
  </w:num>
  <w:num w:numId="31">
    <w:abstractNumId w:val="7"/>
  </w:num>
  <w:num w:numId="32">
    <w:abstractNumId w:val="2"/>
  </w:num>
  <w:num w:numId="33">
    <w:abstractNumId w:val="4"/>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esy Angelina">
    <w15:presenceInfo w15:providerId="AD" w15:userId="S-1-5-21-1623921029-2813276509-1405443433-12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mirrorMargins/>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377"/>
    <w:rsid w:val="000005BA"/>
    <w:rsid w:val="00011BF7"/>
    <w:rsid w:val="00013E6B"/>
    <w:rsid w:val="00014842"/>
    <w:rsid w:val="00015FB5"/>
    <w:rsid w:val="00016E06"/>
    <w:rsid w:val="00021F00"/>
    <w:rsid w:val="00035E57"/>
    <w:rsid w:val="00045C0D"/>
    <w:rsid w:val="00052037"/>
    <w:rsid w:val="0005229C"/>
    <w:rsid w:val="000548A4"/>
    <w:rsid w:val="00054F25"/>
    <w:rsid w:val="000606E2"/>
    <w:rsid w:val="00061889"/>
    <w:rsid w:val="000633FC"/>
    <w:rsid w:val="0006449C"/>
    <w:rsid w:val="000667D5"/>
    <w:rsid w:val="00071472"/>
    <w:rsid w:val="0007195D"/>
    <w:rsid w:val="000752A5"/>
    <w:rsid w:val="00080788"/>
    <w:rsid w:val="00081FDD"/>
    <w:rsid w:val="00084203"/>
    <w:rsid w:val="0008421C"/>
    <w:rsid w:val="00084DA4"/>
    <w:rsid w:val="00086D4D"/>
    <w:rsid w:val="000873B0"/>
    <w:rsid w:val="0009135B"/>
    <w:rsid w:val="000954E4"/>
    <w:rsid w:val="000A333F"/>
    <w:rsid w:val="000B0B09"/>
    <w:rsid w:val="000B65AC"/>
    <w:rsid w:val="000B7256"/>
    <w:rsid w:val="000C44F1"/>
    <w:rsid w:val="000D4DE8"/>
    <w:rsid w:val="000E3CED"/>
    <w:rsid w:val="000F13C4"/>
    <w:rsid w:val="000F4802"/>
    <w:rsid w:val="000F4F97"/>
    <w:rsid w:val="00102381"/>
    <w:rsid w:val="001034D3"/>
    <w:rsid w:val="001041B8"/>
    <w:rsid w:val="001126D8"/>
    <w:rsid w:val="001159C8"/>
    <w:rsid w:val="00115B28"/>
    <w:rsid w:val="00122BE3"/>
    <w:rsid w:val="001241B3"/>
    <w:rsid w:val="0012611E"/>
    <w:rsid w:val="001444C5"/>
    <w:rsid w:val="00153A50"/>
    <w:rsid w:val="00154346"/>
    <w:rsid w:val="00154A71"/>
    <w:rsid w:val="0015510E"/>
    <w:rsid w:val="00162C6A"/>
    <w:rsid w:val="001674B3"/>
    <w:rsid w:val="00174F51"/>
    <w:rsid w:val="001851B8"/>
    <w:rsid w:val="00186856"/>
    <w:rsid w:val="00187B33"/>
    <w:rsid w:val="00197411"/>
    <w:rsid w:val="00197460"/>
    <w:rsid w:val="001A27C9"/>
    <w:rsid w:val="001B57CD"/>
    <w:rsid w:val="001B63F7"/>
    <w:rsid w:val="001C26A3"/>
    <w:rsid w:val="001C690B"/>
    <w:rsid w:val="001E0C9D"/>
    <w:rsid w:val="001E5D0C"/>
    <w:rsid w:val="001E78C1"/>
    <w:rsid w:val="001F182B"/>
    <w:rsid w:val="001F32C3"/>
    <w:rsid w:val="001F5B05"/>
    <w:rsid w:val="0021060E"/>
    <w:rsid w:val="00210DA5"/>
    <w:rsid w:val="00213374"/>
    <w:rsid w:val="0021653C"/>
    <w:rsid w:val="00226A2C"/>
    <w:rsid w:val="002336B0"/>
    <w:rsid w:val="00246926"/>
    <w:rsid w:val="00251463"/>
    <w:rsid w:val="00256F32"/>
    <w:rsid w:val="002571CA"/>
    <w:rsid w:val="0027118D"/>
    <w:rsid w:val="00271B7B"/>
    <w:rsid w:val="002872FE"/>
    <w:rsid w:val="0028776A"/>
    <w:rsid w:val="002910AB"/>
    <w:rsid w:val="002930EB"/>
    <w:rsid w:val="002974C1"/>
    <w:rsid w:val="002A2E09"/>
    <w:rsid w:val="002A5DC4"/>
    <w:rsid w:val="002A75F1"/>
    <w:rsid w:val="002B0A42"/>
    <w:rsid w:val="002B0E01"/>
    <w:rsid w:val="002B14BA"/>
    <w:rsid w:val="002B157C"/>
    <w:rsid w:val="002B4344"/>
    <w:rsid w:val="002B4B06"/>
    <w:rsid w:val="002C1A89"/>
    <w:rsid w:val="002D21B8"/>
    <w:rsid w:val="002D4463"/>
    <w:rsid w:val="002E4D6D"/>
    <w:rsid w:val="002E5E47"/>
    <w:rsid w:val="002E6A6B"/>
    <w:rsid w:val="002E72DB"/>
    <w:rsid w:val="002F2933"/>
    <w:rsid w:val="002F2B3B"/>
    <w:rsid w:val="002F440D"/>
    <w:rsid w:val="002F502E"/>
    <w:rsid w:val="002F58E5"/>
    <w:rsid w:val="00302B23"/>
    <w:rsid w:val="00303EF4"/>
    <w:rsid w:val="003101CF"/>
    <w:rsid w:val="00312CE8"/>
    <w:rsid w:val="00314660"/>
    <w:rsid w:val="0031603D"/>
    <w:rsid w:val="0031720C"/>
    <w:rsid w:val="003232A5"/>
    <w:rsid w:val="00325778"/>
    <w:rsid w:val="00326DE0"/>
    <w:rsid w:val="00331651"/>
    <w:rsid w:val="00337B89"/>
    <w:rsid w:val="00340306"/>
    <w:rsid w:val="00352787"/>
    <w:rsid w:val="00353235"/>
    <w:rsid w:val="0035508C"/>
    <w:rsid w:val="003610C0"/>
    <w:rsid w:val="0036115E"/>
    <w:rsid w:val="00362C84"/>
    <w:rsid w:val="00363B9D"/>
    <w:rsid w:val="00364914"/>
    <w:rsid w:val="003650AE"/>
    <w:rsid w:val="0036786E"/>
    <w:rsid w:val="003714EA"/>
    <w:rsid w:val="00380622"/>
    <w:rsid w:val="00380D60"/>
    <w:rsid w:val="003823B7"/>
    <w:rsid w:val="00386DA7"/>
    <w:rsid w:val="00393408"/>
    <w:rsid w:val="003953E7"/>
    <w:rsid w:val="003A24DB"/>
    <w:rsid w:val="003A3A9C"/>
    <w:rsid w:val="003B4ABA"/>
    <w:rsid w:val="003B581E"/>
    <w:rsid w:val="003D073D"/>
    <w:rsid w:val="003D11A3"/>
    <w:rsid w:val="003D2240"/>
    <w:rsid w:val="003D2B14"/>
    <w:rsid w:val="003D5F21"/>
    <w:rsid w:val="003F4185"/>
    <w:rsid w:val="003F59ED"/>
    <w:rsid w:val="003F6113"/>
    <w:rsid w:val="003F6D29"/>
    <w:rsid w:val="004023E1"/>
    <w:rsid w:val="00402B63"/>
    <w:rsid w:val="0040509F"/>
    <w:rsid w:val="00411799"/>
    <w:rsid w:val="0041277E"/>
    <w:rsid w:val="00412C83"/>
    <w:rsid w:val="00413809"/>
    <w:rsid w:val="00415C11"/>
    <w:rsid w:val="00426C88"/>
    <w:rsid w:val="00436711"/>
    <w:rsid w:val="00436E2D"/>
    <w:rsid w:val="00441680"/>
    <w:rsid w:val="00443360"/>
    <w:rsid w:val="00446A2E"/>
    <w:rsid w:val="0045034F"/>
    <w:rsid w:val="00455F85"/>
    <w:rsid w:val="00470324"/>
    <w:rsid w:val="0047264B"/>
    <w:rsid w:val="00472FF2"/>
    <w:rsid w:val="00476318"/>
    <w:rsid w:val="00490EFD"/>
    <w:rsid w:val="0049336A"/>
    <w:rsid w:val="00493588"/>
    <w:rsid w:val="00494807"/>
    <w:rsid w:val="00495A49"/>
    <w:rsid w:val="004A5867"/>
    <w:rsid w:val="004A68BC"/>
    <w:rsid w:val="004A6CAE"/>
    <w:rsid w:val="004B009E"/>
    <w:rsid w:val="004B327D"/>
    <w:rsid w:val="004C26E2"/>
    <w:rsid w:val="004C565B"/>
    <w:rsid w:val="004D20B5"/>
    <w:rsid w:val="004D4C84"/>
    <w:rsid w:val="004D6AFB"/>
    <w:rsid w:val="004E0DB5"/>
    <w:rsid w:val="004F2C92"/>
    <w:rsid w:val="004F2D58"/>
    <w:rsid w:val="004F45BD"/>
    <w:rsid w:val="004F4B2D"/>
    <w:rsid w:val="004F6C15"/>
    <w:rsid w:val="004F7C21"/>
    <w:rsid w:val="004F7D95"/>
    <w:rsid w:val="00500657"/>
    <w:rsid w:val="00502204"/>
    <w:rsid w:val="005067D9"/>
    <w:rsid w:val="00510AB8"/>
    <w:rsid w:val="005177A1"/>
    <w:rsid w:val="005231F3"/>
    <w:rsid w:val="00531473"/>
    <w:rsid w:val="00547C25"/>
    <w:rsid w:val="005665DF"/>
    <w:rsid w:val="00567E10"/>
    <w:rsid w:val="00573AFE"/>
    <w:rsid w:val="00576710"/>
    <w:rsid w:val="00581EC9"/>
    <w:rsid w:val="0058212F"/>
    <w:rsid w:val="00586E0F"/>
    <w:rsid w:val="0059789B"/>
    <w:rsid w:val="005A0C8F"/>
    <w:rsid w:val="005A0E02"/>
    <w:rsid w:val="005A7A78"/>
    <w:rsid w:val="005B221E"/>
    <w:rsid w:val="005C02AF"/>
    <w:rsid w:val="005C1111"/>
    <w:rsid w:val="005C3926"/>
    <w:rsid w:val="005C731A"/>
    <w:rsid w:val="005C7ED8"/>
    <w:rsid w:val="005D2D56"/>
    <w:rsid w:val="005D33B8"/>
    <w:rsid w:val="005E0297"/>
    <w:rsid w:val="005E362F"/>
    <w:rsid w:val="005E4640"/>
    <w:rsid w:val="005E6D47"/>
    <w:rsid w:val="00601BCC"/>
    <w:rsid w:val="00602951"/>
    <w:rsid w:val="00603A06"/>
    <w:rsid w:val="00603D28"/>
    <w:rsid w:val="00603D8D"/>
    <w:rsid w:val="006061A8"/>
    <w:rsid w:val="00611A21"/>
    <w:rsid w:val="00611C92"/>
    <w:rsid w:val="00614064"/>
    <w:rsid w:val="006145B1"/>
    <w:rsid w:val="00614A09"/>
    <w:rsid w:val="00621DF6"/>
    <w:rsid w:val="00622B3B"/>
    <w:rsid w:val="00623FB7"/>
    <w:rsid w:val="006254F6"/>
    <w:rsid w:val="0062552B"/>
    <w:rsid w:val="00626F25"/>
    <w:rsid w:val="00630535"/>
    <w:rsid w:val="00630B98"/>
    <w:rsid w:val="0063797F"/>
    <w:rsid w:val="006403C7"/>
    <w:rsid w:val="006426B5"/>
    <w:rsid w:val="00642DFD"/>
    <w:rsid w:val="006431A5"/>
    <w:rsid w:val="00645FE5"/>
    <w:rsid w:val="006468D4"/>
    <w:rsid w:val="006520E0"/>
    <w:rsid w:val="00656FAA"/>
    <w:rsid w:val="0065781E"/>
    <w:rsid w:val="00660ECC"/>
    <w:rsid w:val="006616E3"/>
    <w:rsid w:val="006639A4"/>
    <w:rsid w:val="00666EC6"/>
    <w:rsid w:val="00667E30"/>
    <w:rsid w:val="00673901"/>
    <w:rsid w:val="00685D4E"/>
    <w:rsid w:val="00694018"/>
    <w:rsid w:val="0069671F"/>
    <w:rsid w:val="006A113A"/>
    <w:rsid w:val="006A1502"/>
    <w:rsid w:val="006A1F8A"/>
    <w:rsid w:val="006A2C2A"/>
    <w:rsid w:val="006A2F51"/>
    <w:rsid w:val="006A53A5"/>
    <w:rsid w:val="006B65D9"/>
    <w:rsid w:val="006C2AB4"/>
    <w:rsid w:val="006C2E2F"/>
    <w:rsid w:val="006C576C"/>
    <w:rsid w:val="006D3BE1"/>
    <w:rsid w:val="006D5667"/>
    <w:rsid w:val="006D5E5A"/>
    <w:rsid w:val="006D5F81"/>
    <w:rsid w:val="006D7C42"/>
    <w:rsid w:val="006E2415"/>
    <w:rsid w:val="006E3E51"/>
    <w:rsid w:val="006F1385"/>
    <w:rsid w:val="006F7848"/>
    <w:rsid w:val="006F7B12"/>
    <w:rsid w:val="00706F12"/>
    <w:rsid w:val="00707947"/>
    <w:rsid w:val="007113C6"/>
    <w:rsid w:val="00711676"/>
    <w:rsid w:val="00713D0A"/>
    <w:rsid w:val="00715CEA"/>
    <w:rsid w:val="00720720"/>
    <w:rsid w:val="007223B7"/>
    <w:rsid w:val="00725CD3"/>
    <w:rsid w:val="00726FB6"/>
    <w:rsid w:val="007347FD"/>
    <w:rsid w:val="00740554"/>
    <w:rsid w:val="00742F79"/>
    <w:rsid w:val="00743C6E"/>
    <w:rsid w:val="00743D5F"/>
    <w:rsid w:val="00746589"/>
    <w:rsid w:val="007519F3"/>
    <w:rsid w:val="00756355"/>
    <w:rsid w:val="00757A10"/>
    <w:rsid w:val="00760EBE"/>
    <w:rsid w:val="007644BB"/>
    <w:rsid w:val="007818DC"/>
    <w:rsid w:val="00781E72"/>
    <w:rsid w:val="0078224D"/>
    <w:rsid w:val="00783966"/>
    <w:rsid w:val="0078493E"/>
    <w:rsid w:val="0079146B"/>
    <w:rsid w:val="00792A06"/>
    <w:rsid w:val="00794D36"/>
    <w:rsid w:val="00796886"/>
    <w:rsid w:val="007A43F6"/>
    <w:rsid w:val="007B368F"/>
    <w:rsid w:val="007C58DA"/>
    <w:rsid w:val="007C679A"/>
    <w:rsid w:val="007D64AF"/>
    <w:rsid w:val="007E3248"/>
    <w:rsid w:val="007E5D9A"/>
    <w:rsid w:val="007E5EEB"/>
    <w:rsid w:val="007F436C"/>
    <w:rsid w:val="0080195A"/>
    <w:rsid w:val="00803A50"/>
    <w:rsid w:val="00803EE5"/>
    <w:rsid w:val="00804719"/>
    <w:rsid w:val="00805406"/>
    <w:rsid w:val="008062C6"/>
    <w:rsid w:val="00811B6C"/>
    <w:rsid w:val="00812E97"/>
    <w:rsid w:val="0083102E"/>
    <w:rsid w:val="00835D62"/>
    <w:rsid w:val="00837046"/>
    <w:rsid w:val="008377D3"/>
    <w:rsid w:val="00846C37"/>
    <w:rsid w:val="00850C41"/>
    <w:rsid w:val="008541F2"/>
    <w:rsid w:val="00855257"/>
    <w:rsid w:val="00860931"/>
    <w:rsid w:val="00861CF2"/>
    <w:rsid w:val="00863369"/>
    <w:rsid w:val="00865984"/>
    <w:rsid w:val="008672C5"/>
    <w:rsid w:val="0086763E"/>
    <w:rsid w:val="008710E5"/>
    <w:rsid w:val="00875075"/>
    <w:rsid w:val="008844F9"/>
    <w:rsid w:val="00890DB5"/>
    <w:rsid w:val="00891888"/>
    <w:rsid w:val="008967C3"/>
    <w:rsid w:val="0089696E"/>
    <w:rsid w:val="008A4478"/>
    <w:rsid w:val="008B378D"/>
    <w:rsid w:val="008B4281"/>
    <w:rsid w:val="008B53C2"/>
    <w:rsid w:val="008B70E2"/>
    <w:rsid w:val="008C0631"/>
    <w:rsid w:val="008C242A"/>
    <w:rsid w:val="008C2878"/>
    <w:rsid w:val="008D0006"/>
    <w:rsid w:val="008D0AF2"/>
    <w:rsid w:val="008D23C1"/>
    <w:rsid w:val="008D70D9"/>
    <w:rsid w:val="008E488C"/>
    <w:rsid w:val="008E74BF"/>
    <w:rsid w:val="008F281B"/>
    <w:rsid w:val="009008A6"/>
    <w:rsid w:val="00904E20"/>
    <w:rsid w:val="00907E61"/>
    <w:rsid w:val="00910145"/>
    <w:rsid w:val="00910A8D"/>
    <w:rsid w:val="00910B5A"/>
    <w:rsid w:val="00911C28"/>
    <w:rsid w:val="009140FD"/>
    <w:rsid w:val="00915C79"/>
    <w:rsid w:val="009208D8"/>
    <w:rsid w:val="00921ED8"/>
    <w:rsid w:val="00925CE1"/>
    <w:rsid w:val="00934AAC"/>
    <w:rsid w:val="00935CCE"/>
    <w:rsid w:val="009503CC"/>
    <w:rsid w:val="00952F34"/>
    <w:rsid w:val="009541C0"/>
    <w:rsid w:val="00954EB3"/>
    <w:rsid w:val="009559FD"/>
    <w:rsid w:val="00955AB7"/>
    <w:rsid w:val="00960FCF"/>
    <w:rsid w:val="00975124"/>
    <w:rsid w:val="00975C19"/>
    <w:rsid w:val="0097779B"/>
    <w:rsid w:val="00977C92"/>
    <w:rsid w:val="00981875"/>
    <w:rsid w:val="00981F10"/>
    <w:rsid w:val="00982CBF"/>
    <w:rsid w:val="009922FE"/>
    <w:rsid w:val="009A122C"/>
    <w:rsid w:val="009A2294"/>
    <w:rsid w:val="009A355A"/>
    <w:rsid w:val="009A4DE8"/>
    <w:rsid w:val="009C228B"/>
    <w:rsid w:val="009C4BEF"/>
    <w:rsid w:val="009C619F"/>
    <w:rsid w:val="009C6B18"/>
    <w:rsid w:val="009D06DD"/>
    <w:rsid w:val="009D07E3"/>
    <w:rsid w:val="009D0CA0"/>
    <w:rsid w:val="009D26A8"/>
    <w:rsid w:val="009D397F"/>
    <w:rsid w:val="009E3DC5"/>
    <w:rsid w:val="009E6FFD"/>
    <w:rsid w:val="009F040D"/>
    <w:rsid w:val="009F0782"/>
    <w:rsid w:val="009F0F85"/>
    <w:rsid w:val="009F43B8"/>
    <w:rsid w:val="009F740F"/>
    <w:rsid w:val="009F77D8"/>
    <w:rsid w:val="00A01731"/>
    <w:rsid w:val="00A01994"/>
    <w:rsid w:val="00A13ED6"/>
    <w:rsid w:val="00A202CC"/>
    <w:rsid w:val="00A21D2A"/>
    <w:rsid w:val="00A22D62"/>
    <w:rsid w:val="00A234A1"/>
    <w:rsid w:val="00A30D14"/>
    <w:rsid w:val="00A32D7A"/>
    <w:rsid w:val="00A3332B"/>
    <w:rsid w:val="00A35346"/>
    <w:rsid w:val="00A35AF4"/>
    <w:rsid w:val="00A37495"/>
    <w:rsid w:val="00A50027"/>
    <w:rsid w:val="00A522D5"/>
    <w:rsid w:val="00A57668"/>
    <w:rsid w:val="00A612EF"/>
    <w:rsid w:val="00A618D8"/>
    <w:rsid w:val="00A65477"/>
    <w:rsid w:val="00A66E35"/>
    <w:rsid w:val="00A70C09"/>
    <w:rsid w:val="00A70F0B"/>
    <w:rsid w:val="00A71B95"/>
    <w:rsid w:val="00A71E22"/>
    <w:rsid w:val="00A7301E"/>
    <w:rsid w:val="00A77E28"/>
    <w:rsid w:val="00A802F8"/>
    <w:rsid w:val="00A83F37"/>
    <w:rsid w:val="00A9481F"/>
    <w:rsid w:val="00A95F2A"/>
    <w:rsid w:val="00A96733"/>
    <w:rsid w:val="00A96CE3"/>
    <w:rsid w:val="00A97EA9"/>
    <w:rsid w:val="00AB1F2A"/>
    <w:rsid w:val="00AB2BC1"/>
    <w:rsid w:val="00AB4C6C"/>
    <w:rsid w:val="00AB5F71"/>
    <w:rsid w:val="00AB71A2"/>
    <w:rsid w:val="00AC4A34"/>
    <w:rsid w:val="00AC7E85"/>
    <w:rsid w:val="00AD30C7"/>
    <w:rsid w:val="00AD3EFB"/>
    <w:rsid w:val="00AD7377"/>
    <w:rsid w:val="00AE0EA3"/>
    <w:rsid w:val="00AE1140"/>
    <w:rsid w:val="00AE3D35"/>
    <w:rsid w:val="00AE5556"/>
    <w:rsid w:val="00AF49CB"/>
    <w:rsid w:val="00AF7D17"/>
    <w:rsid w:val="00B01B1E"/>
    <w:rsid w:val="00B04563"/>
    <w:rsid w:val="00B10C1F"/>
    <w:rsid w:val="00B1149E"/>
    <w:rsid w:val="00B1185B"/>
    <w:rsid w:val="00B11CB6"/>
    <w:rsid w:val="00B12A3F"/>
    <w:rsid w:val="00B1324D"/>
    <w:rsid w:val="00B156B2"/>
    <w:rsid w:val="00B164A8"/>
    <w:rsid w:val="00B21ED2"/>
    <w:rsid w:val="00B22721"/>
    <w:rsid w:val="00B2370B"/>
    <w:rsid w:val="00B24416"/>
    <w:rsid w:val="00B268B7"/>
    <w:rsid w:val="00B30FA6"/>
    <w:rsid w:val="00B36149"/>
    <w:rsid w:val="00B41CED"/>
    <w:rsid w:val="00B45E51"/>
    <w:rsid w:val="00B472C4"/>
    <w:rsid w:val="00B53F65"/>
    <w:rsid w:val="00B54EA7"/>
    <w:rsid w:val="00B553C7"/>
    <w:rsid w:val="00B61E95"/>
    <w:rsid w:val="00B65CE1"/>
    <w:rsid w:val="00B7251B"/>
    <w:rsid w:val="00B83906"/>
    <w:rsid w:val="00B85382"/>
    <w:rsid w:val="00B85850"/>
    <w:rsid w:val="00B9145E"/>
    <w:rsid w:val="00BA186C"/>
    <w:rsid w:val="00BB0695"/>
    <w:rsid w:val="00BB489B"/>
    <w:rsid w:val="00BB6B17"/>
    <w:rsid w:val="00BB781A"/>
    <w:rsid w:val="00BC468A"/>
    <w:rsid w:val="00BC543B"/>
    <w:rsid w:val="00BC5A8E"/>
    <w:rsid w:val="00BD03F2"/>
    <w:rsid w:val="00BD0608"/>
    <w:rsid w:val="00BD06D4"/>
    <w:rsid w:val="00BD0CDD"/>
    <w:rsid w:val="00BD5817"/>
    <w:rsid w:val="00BE1779"/>
    <w:rsid w:val="00BE1A3F"/>
    <w:rsid w:val="00BE5598"/>
    <w:rsid w:val="00BE5978"/>
    <w:rsid w:val="00BF25CA"/>
    <w:rsid w:val="00BF6BA3"/>
    <w:rsid w:val="00C03C95"/>
    <w:rsid w:val="00C046A0"/>
    <w:rsid w:val="00C12CF8"/>
    <w:rsid w:val="00C14AAE"/>
    <w:rsid w:val="00C15F53"/>
    <w:rsid w:val="00C16350"/>
    <w:rsid w:val="00C213B2"/>
    <w:rsid w:val="00C30EBF"/>
    <w:rsid w:val="00C36EB8"/>
    <w:rsid w:val="00C4130B"/>
    <w:rsid w:val="00C41BB4"/>
    <w:rsid w:val="00C50E99"/>
    <w:rsid w:val="00C51EC7"/>
    <w:rsid w:val="00C622F0"/>
    <w:rsid w:val="00C66CB8"/>
    <w:rsid w:val="00C6791D"/>
    <w:rsid w:val="00C67B13"/>
    <w:rsid w:val="00C71C8A"/>
    <w:rsid w:val="00C71D77"/>
    <w:rsid w:val="00C752C8"/>
    <w:rsid w:val="00C80868"/>
    <w:rsid w:val="00C82515"/>
    <w:rsid w:val="00C8434B"/>
    <w:rsid w:val="00C86CBD"/>
    <w:rsid w:val="00C92664"/>
    <w:rsid w:val="00C95876"/>
    <w:rsid w:val="00C95FFE"/>
    <w:rsid w:val="00CA036D"/>
    <w:rsid w:val="00CA1494"/>
    <w:rsid w:val="00CA16B3"/>
    <w:rsid w:val="00CA2723"/>
    <w:rsid w:val="00CA2CF9"/>
    <w:rsid w:val="00CA4238"/>
    <w:rsid w:val="00CB20DA"/>
    <w:rsid w:val="00CB26C4"/>
    <w:rsid w:val="00CB432A"/>
    <w:rsid w:val="00CC3149"/>
    <w:rsid w:val="00CD2846"/>
    <w:rsid w:val="00CD3849"/>
    <w:rsid w:val="00CD5266"/>
    <w:rsid w:val="00CD6080"/>
    <w:rsid w:val="00CE24C9"/>
    <w:rsid w:val="00CE2CF2"/>
    <w:rsid w:val="00CE4C10"/>
    <w:rsid w:val="00CF219A"/>
    <w:rsid w:val="00CF2F87"/>
    <w:rsid w:val="00CF5F1E"/>
    <w:rsid w:val="00D01E1C"/>
    <w:rsid w:val="00D02C4D"/>
    <w:rsid w:val="00D03702"/>
    <w:rsid w:val="00D14543"/>
    <w:rsid w:val="00D16ADF"/>
    <w:rsid w:val="00D201F9"/>
    <w:rsid w:val="00D23B7C"/>
    <w:rsid w:val="00D24315"/>
    <w:rsid w:val="00D367DB"/>
    <w:rsid w:val="00D42EEE"/>
    <w:rsid w:val="00D43037"/>
    <w:rsid w:val="00D441DB"/>
    <w:rsid w:val="00D520A8"/>
    <w:rsid w:val="00D539CD"/>
    <w:rsid w:val="00D6072E"/>
    <w:rsid w:val="00D612EC"/>
    <w:rsid w:val="00D61D6E"/>
    <w:rsid w:val="00D652C3"/>
    <w:rsid w:val="00D670E3"/>
    <w:rsid w:val="00D67B4B"/>
    <w:rsid w:val="00D70267"/>
    <w:rsid w:val="00D721E4"/>
    <w:rsid w:val="00D831FB"/>
    <w:rsid w:val="00D84DAA"/>
    <w:rsid w:val="00D87350"/>
    <w:rsid w:val="00D91492"/>
    <w:rsid w:val="00D96773"/>
    <w:rsid w:val="00DA01C0"/>
    <w:rsid w:val="00DA1280"/>
    <w:rsid w:val="00DA5A04"/>
    <w:rsid w:val="00DC14BA"/>
    <w:rsid w:val="00DC7151"/>
    <w:rsid w:val="00DD3D96"/>
    <w:rsid w:val="00DE05E0"/>
    <w:rsid w:val="00DE1FC7"/>
    <w:rsid w:val="00DE4243"/>
    <w:rsid w:val="00DF4E93"/>
    <w:rsid w:val="00DF77EA"/>
    <w:rsid w:val="00E00CFA"/>
    <w:rsid w:val="00E04613"/>
    <w:rsid w:val="00E12209"/>
    <w:rsid w:val="00E129AD"/>
    <w:rsid w:val="00E13A65"/>
    <w:rsid w:val="00E13D75"/>
    <w:rsid w:val="00E14995"/>
    <w:rsid w:val="00E176DC"/>
    <w:rsid w:val="00E2463D"/>
    <w:rsid w:val="00E340C9"/>
    <w:rsid w:val="00E40DA0"/>
    <w:rsid w:val="00E462FA"/>
    <w:rsid w:val="00E477F1"/>
    <w:rsid w:val="00E4786B"/>
    <w:rsid w:val="00E52A42"/>
    <w:rsid w:val="00E53643"/>
    <w:rsid w:val="00E558C1"/>
    <w:rsid w:val="00E62796"/>
    <w:rsid w:val="00E627AA"/>
    <w:rsid w:val="00E63ECA"/>
    <w:rsid w:val="00E80DC1"/>
    <w:rsid w:val="00E83660"/>
    <w:rsid w:val="00E916E2"/>
    <w:rsid w:val="00E9213B"/>
    <w:rsid w:val="00EA1887"/>
    <w:rsid w:val="00EA48BF"/>
    <w:rsid w:val="00EA56F7"/>
    <w:rsid w:val="00EB1104"/>
    <w:rsid w:val="00EB632E"/>
    <w:rsid w:val="00EB7B08"/>
    <w:rsid w:val="00EC2A05"/>
    <w:rsid w:val="00EC4390"/>
    <w:rsid w:val="00ED00E3"/>
    <w:rsid w:val="00ED71F9"/>
    <w:rsid w:val="00ED7EE4"/>
    <w:rsid w:val="00EE066C"/>
    <w:rsid w:val="00EE0C47"/>
    <w:rsid w:val="00EE11E4"/>
    <w:rsid w:val="00EE216B"/>
    <w:rsid w:val="00EE7543"/>
    <w:rsid w:val="00EF0CDD"/>
    <w:rsid w:val="00F0064E"/>
    <w:rsid w:val="00F02616"/>
    <w:rsid w:val="00F02DE3"/>
    <w:rsid w:val="00F03603"/>
    <w:rsid w:val="00F12811"/>
    <w:rsid w:val="00F14563"/>
    <w:rsid w:val="00F24AF9"/>
    <w:rsid w:val="00F278DC"/>
    <w:rsid w:val="00F30135"/>
    <w:rsid w:val="00F33F1C"/>
    <w:rsid w:val="00F35E91"/>
    <w:rsid w:val="00F44AB2"/>
    <w:rsid w:val="00F4561E"/>
    <w:rsid w:val="00F52ABE"/>
    <w:rsid w:val="00F6266F"/>
    <w:rsid w:val="00F66365"/>
    <w:rsid w:val="00F67126"/>
    <w:rsid w:val="00F70699"/>
    <w:rsid w:val="00F729B4"/>
    <w:rsid w:val="00F74442"/>
    <w:rsid w:val="00F757E5"/>
    <w:rsid w:val="00F7772A"/>
    <w:rsid w:val="00F821B3"/>
    <w:rsid w:val="00F863A2"/>
    <w:rsid w:val="00F968FE"/>
    <w:rsid w:val="00F97E31"/>
    <w:rsid w:val="00FA0F7A"/>
    <w:rsid w:val="00FA11D9"/>
    <w:rsid w:val="00FB15EA"/>
    <w:rsid w:val="00FB2B4B"/>
    <w:rsid w:val="00FC0AEC"/>
    <w:rsid w:val="00FC5584"/>
    <w:rsid w:val="00FC7463"/>
    <w:rsid w:val="00FD5F89"/>
    <w:rsid w:val="00FD72E8"/>
    <w:rsid w:val="00FE2325"/>
    <w:rsid w:val="00FE4FF4"/>
    <w:rsid w:val="00FE662D"/>
    <w:rsid w:val="00FF5097"/>
    <w:rsid w:val="00FF60DB"/>
    <w:rsid w:val="00FF707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409E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5" w:unhideWhenUsed="0" w:qFormat="1"/>
    <w:lsdException w:name="heading 2" w:uiPriority="6" w:qFormat="1"/>
    <w:lsdException w:name="heading 3" w:uiPriority="7" w:qFormat="1"/>
    <w:lsdException w:name="heading 4" w:uiPriority="8" w:qFormat="1"/>
    <w:lsdException w:name="heading 5" w:uiPriority="9" w:qFormat="1"/>
    <w:lsdException w:name="heading 6" w:uiPriority="10" w:qFormat="1"/>
    <w:lsdException w:name="heading 7" w:uiPriority="9"/>
    <w:lsdException w:name="heading 8" w:uiPriority="9"/>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4" w:qFormat="1"/>
    <w:lsdException w:name="Title" w:semiHidden="0" w:uiPriority="12" w:unhideWhenUsed="0" w:qFormat="1"/>
    <w:lsdException w:name="Default Paragraph Font" w:uiPriority="1"/>
    <w:lsdException w:name="Body Text" w:qFormat="1"/>
    <w:lsdException w:name="Subtitle" w:semiHidden="0" w:uiPriority="13" w:unhideWhenUsed="0" w:qFormat="1"/>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14"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15" w:qFormat="1"/>
  </w:latentStyles>
  <w:style w:type="paragraph" w:default="1" w:styleId="Normal">
    <w:name w:val="Normal"/>
    <w:qFormat/>
    <w:rsid w:val="006403C7"/>
    <w:pPr>
      <w:jc w:val="both"/>
    </w:pPr>
  </w:style>
  <w:style w:type="paragraph" w:styleId="Heading1">
    <w:name w:val="heading 1"/>
    <w:basedOn w:val="Normal"/>
    <w:next w:val="Normal"/>
    <w:link w:val="Heading1Char"/>
    <w:autoRedefine/>
    <w:uiPriority w:val="5"/>
    <w:qFormat/>
    <w:rsid w:val="003A24DB"/>
    <w:pPr>
      <w:keepNext/>
      <w:keepLines/>
      <w:numPr>
        <w:numId w:val="17"/>
      </w:numPr>
      <w:spacing w:after="120"/>
      <w:jc w:val="left"/>
      <w:outlineLvl w:val="0"/>
    </w:pPr>
    <w:rPr>
      <w:rFonts w:eastAsiaTheme="majorEastAsia" w:cs="Arial"/>
      <w:bCs/>
      <w:caps/>
      <w:color w:val="006CB6"/>
      <w:sz w:val="28"/>
      <w:szCs w:val="28"/>
    </w:rPr>
  </w:style>
  <w:style w:type="paragraph" w:styleId="Heading2">
    <w:name w:val="heading 2"/>
    <w:basedOn w:val="Normal"/>
    <w:next w:val="Normal"/>
    <w:link w:val="Heading2Char"/>
    <w:autoRedefine/>
    <w:uiPriority w:val="6"/>
    <w:qFormat/>
    <w:rsid w:val="008F281B"/>
    <w:pPr>
      <w:keepNext/>
      <w:numPr>
        <w:ilvl w:val="1"/>
        <w:numId w:val="17"/>
      </w:numPr>
      <w:tabs>
        <w:tab w:val="left" w:pos="0"/>
      </w:tabs>
      <w:suppressAutoHyphens/>
      <w:outlineLvl w:val="1"/>
    </w:pPr>
    <w:rPr>
      <w:rFonts w:eastAsiaTheme="majorEastAsia" w:cstheme="majorBidi"/>
      <w:b/>
      <w:snapToGrid w:val="0"/>
      <w:sz w:val="24"/>
      <w:szCs w:val="24"/>
    </w:rPr>
  </w:style>
  <w:style w:type="paragraph" w:styleId="Heading3">
    <w:name w:val="heading 3"/>
    <w:basedOn w:val="Normal"/>
    <w:next w:val="Normal"/>
    <w:link w:val="Heading3Char"/>
    <w:uiPriority w:val="7"/>
    <w:qFormat/>
    <w:rsid w:val="006403C7"/>
    <w:pPr>
      <w:keepNext/>
      <w:keepLines/>
      <w:numPr>
        <w:ilvl w:val="2"/>
        <w:numId w:val="17"/>
      </w:numPr>
      <w:outlineLvl w:val="2"/>
    </w:pPr>
    <w:rPr>
      <w:rFonts w:eastAsiaTheme="majorEastAsia" w:cs="Arial"/>
      <w:b/>
      <w:bCs/>
      <w:sz w:val="22"/>
      <w:lang w:val="en-GB"/>
    </w:rPr>
  </w:style>
  <w:style w:type="paragraph" w:styleId="Heading4">
    <w:name w:val="heading 4"/>
    <w:basedOn w:val="Normal"/>
    <w:next w:val="Normal"/>
    <w:link w:val="Heading4Char"/>
    <w:uiPriority w:val="8"/>
    <w:qFormat/>
    <w:rsid w:val="006403C7"/>
    <w:pPr>
      <w:keepNext/>
      <w:keepLines/>
      <w:numPr>
        <w:ilvl w:val="3"/>
        <w:numId w:val="17"/>
      </w:numPr>
      <w:outlineLvl w:val="3"/>
    </w:pPr>
    <w:rPr>
      <w:rFonts w:eastAsiaTheme="majorEastAsia" w:cstheme="majorBidi"/>
      <w:b/>
      <w:bCs/>
      <w:i/>
      <w:iCs/>
    </w:rPr>
  </w:style>
  <w:style w:type="paragraph" w:styleId="Heading5">
    <w:name w:val="heading 5"/>
    <w:basedOn w:val="Normal"/>
    <w:next w:val="Normal"/>
    <w:link w:val="Heading5Char"/>
    <w:uiPriority w:val="9"/>
    <w:qFormat/>
    <w:rsid w:val="006403C7"/>
    <w:pPr>
      <w:keepNext/>
      <w:keepLines/>
      <w:numPr>
        <w:ilvl w:val="4"/>
        <w:numId w:val="17"/>
      </w:numPr>
      <w:outlineLvl w:val="4"/>
    </w:pPr>
    <w:rPr>
      <w:rFonts w:eastAsiaTheme="majorEastAsia" w:cstheme="majorBidi"/>
      <w:i/>
      <w:color w:val="000000" w:themeColor="text1"/>
    </w:rPr>
  </w:style>
  <w:style w:type="paragraph" w:styleId="Heading6">
    <w:name w:val="heading 6"/>
    <w:aliases w:val="Annexes"/>
    <w:basedOn w:val="Heading1"/>
    <w:next w:val="Normal"/>
    <w:link w:val="Heading6Char"/>
    <w:autoRedefine/>
    <w:uiPriority w:val="10"/>
    <w:qFormat/>
    <w:rsid w:val="000F4802"/>
    <w:pPr>
      <w:numPr>
        <w:numId w:val="0"/>
      </w:numPr>
      <w:jc w:val="center"/>
      <w:outlineLvl w:val="5"/>
    </w:pPr>
    <w:rPr>
      <w:rFonts w:cstheme="majorBidi"/>
      <w:bCs w:val="0"/>
      <w:iCs/>
    </w:rPr>
  </w:style>
  <w:style w:type="paragraph" w:styleId="Heading7">
    <w:name w:val="heading 7"/>
    <w:basedOn w:val="Normal"/>
    <w:next w:val="Normal"/>
    <w:link w:val="Heading7Char"/>
    <w:uiPriority w:val="9"/>
    <w:semiHidden/>
    <w:unhideWhenUsed/>
    <w:rsid w:val="006403C7"/>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6403C7"/>
    <w:pPr>
      <w:keepNext/>
      <w:keepLines/>
      <w:numPr>
        <w:ilvl w:val="7"/>
        <w:numId w:val="17"/>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6403C7"/>
    <w:pPr>
      <w:keepNext/>
      <w:keepLines/>
      <w:numPr>
        <w:ilvl w:val="8"/>
        <w:numId w:val="17"/>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153A50"/>
    <w:pPr>
      <w:ind w:left="720"/>
      <w:contextualSpacing/>
    </w:pPr>
  </w:style>
  <w:style w:type="paragraph" w:styleId="Subtitle">
    <w:name w:val="Subtitle"/>
    <w:basedOn w:val="Normal"/>
    <w:next w:val="Normal"/>
    <w:link w:val="SubtitleChar"/>
    <w:uiPriority w:val="13"/>
    <w:qFormat/>
    <w:rsid w:val="006403C7"/>
    <w:pPr>
      <w:numPr>
        <w:ilvl w:val="1"/>
      </w:numPr>
    </w:pPr>
    <w:rPr>
      <w:rFonts w:ascii="Arial Bold" w:eastAsiaTheme="majorEastAsia" w:hAnsi="Arial Bold" w:cstheme="majorBidi"/>
      <w:b/>
      <w:iCs/>
      <w:sz w:val="24"/>
      <w:szCs w:val="24"/>
    </w:rPr>
  </w:style>
  <w:style w:type="character" w:customStyle="1" w:styleId="SubtitleChar">
    <w:name w:val="Subtitle Char"/>
    <w:basedOn w:val="DefaultParagraphFont"/>
    <w:link w:val="Subtitle"/>
    <w:uiPriority w:val="13"/>
    <w:rsid w:val="006403C7"/>
    <w:rPr>
      <w:rFonts w:ascii="Arial Bold" w:eastAsiaTheme="majorEastAsia" w:hAnsi="Arial Bold" w:cstheme="majorBidi"/>
      <w:b/>
      <w:iCs/>
      <w:sz w:val="24"/>
      <w:szCs w:val="24"/>
    </w:rPr>
  </w:style>
  <w:style w:type="character" w:customStyle="1" w:styleId="Heading2Char">
    <w:name w:val="Heading 2 Char"/>
    <w:basedOn w:val="DefaultParagraphFont"/>
    <w:link w:val="Heading2"/>
    <w:uiPriority w:val="6"/>
    <w:rsid w:val="008F281B"/>
    <w:rPr>
      <w:rFonts w:eastAsiaTheme="majorEastAsia" w:cstheme="majorBidi"/>
      <w:b/>
      <w:snapToGrid w:val="0"/>
      <w:sz w:val="24"/>
      <w:szCs w:val="24"/>
    </w:rPr>
  </w:style>
  <w:style w:type="paragraph" w:styleId="FootnoteText">
    <w:name w:val="footnote text"/>
    <w:aliases w:val="Char, Char,single space,Footnote Text Char Char Char,Footnote Text Char Char Char1,Footnote Text Char Char Char2 Char,Footnote Text Char Char Char1 Char,Footnote Text Char Char,Footnote Text Quote,Footnote text,Char Char Char Char Char"/>
    <w:basedOn w:val="Normal"/>
    <w:link w:val="FootnoteTextChar"/>
    <w:uiPriority w:val="99"/>
    <w:unhideWhenUsed/>
    <w:rsid w:val="00D02C4D"/>
  </w:style>
  <w:style w:type="character" w:customStyle="1" w:styleId="FootnoteTextChar">
    <w:name w:val="Footnote Text Char"/>
    <w:aliases w:val="Char Char, Char Char,single space Char,Footnote Text Char Char Char Char,Footnote Text Char Char Char1 Char1,Footnote Text Char Char Char2 Char Char,Footnote Text Char Char Char1 Char Char,Footnote Text Char Char Char2"/>
    <w:basedOn w:val="DefaultParagraphFont"/>
    <w:link w:val="FootnoteText"/>
    <w:uiPriority w:val="99"/>
    <w:rsid w:val="00D02C4D"/>
  </w:style>
  <w:style w:type="character" w:styleId="FootnoteReference">
    <w:name w:val="footnote reference"/>
    <w:aliases w:val="BVI fnr,ftref,Footnote,Footnote symbol,16 Point,Superscript 6 Point"/>
    <w:basedOn w:val="DefaultParagraphFont"/>
    <w:uiPriority w:val="99"/>
    <w:unhideWhenUsed/>
    <w:rsid w:val="00D02C4D"/>
    <w:rPr>
      <w:vertAlign w:val="superscript"/>
    </w:rPr>
  </w:style>
  <w:style w:type="character" w:customStyle="1" w:styleId="Heading3Char">
    <w:name w:val="Heading 3 Char"/>
    <w:basedOn w:val="DefaultParagraphFont"/>
    <w:link w:val="Heading3"/>
    <w:uiPriority w:val="7"/>
    <w:rsid w:val="006403C7"/>
    <w:rPr>
      <w:rFonts w:eastAsiaTheme="majorEastAsia" w:cs="Arial"/>
      <w:b/>
      <w:bCs/>
      <w:sz w:val="22"/>
      <w:lang w:val="en-GB"/>
    </w:rPr>
  </w:style>
  <w:style w:type="character" w:customStyle="1" w:styleId="Heading4Char">
    <w:name w:val="Heading 4 Char"/>
    <w:basedOn w:val="DefaultParagraphFont"/>
    <w:link w:val="Heading4"/>
    <w:uiPriority w:val="8"/>
    <w:rsid w:val="006403C7"/>
    <w:rPr>
      <w:rFonts w:eastAsiaTheme="majorEastAsia" w:cstheme="majorBidi"/>
      <w:b/>
      <w:bCs/>
      <w:i/>
      <w:iCs/>
    </w:rPr>
  </w:style>
  <w:style w:type="table" w:styleId="LightShading-Accent1">
    <w:name w:val="Light Shading Accent 1"/>
    <w:basedOn w:val="TableNormal"/>
    <w:uiPriority w:val="60"/>
    <w:rsid w:val="00C86CBD"/>
    <w:rPr>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unhideWhenUsed/>
    <w:rsid w:val="00EE7543"/>
    <w:pPr>
      <w:spacing w:before="100" w:beforeAutospacing="1" w:after="100" w:afterAutospacing="1"/>
    </w:pPr>
    <w:rPr>
      <w:rFonts w:ascii="Times" w:hAnsi="Times"/>
    </w:rPr>
  </w:style>
  <w:style w:type="paragraph" w:styleId="BalloonText">
    <w:name w:val="Balloon Text"/>
    <w:basedOn w:val="Normal"/>
    <w:link w:val="BalloonTextChar"/>
    <w:uiPriority w:val="99"/>
    <w:semiHidden/>
    <w:unhideWhenUsed/>
    <w:rsid w:val="00363B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B9D"/>
    <w:rPr>
      <w:rFonts w:ascii="Lucida Grande" w:hAnsi="Lucida Grande" w:cs="Lucida Grande"/>
      <w:sz w:val="18"/>
      <w:szCs w:val="18"/>
    </w:rPr>
  </w:style>
  <w:style w:type="table" w:styleId="TableGrid">
    <w:name w:val="Table Grid"/>
    <w:basedOn w:val="TableNormal"/>
    <w:uiPriority w:val="39"/>
    <w:rsid w:val="00363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930EB"/>
  </w:style>
  <w:style w:type="character" w:customStyle="1" w:styleId="ListParagraphChar">
    <w:name w:val="List Paragraph Char"/>
    <w:basedOn w:val="DefaultParagraphFont"/>
    <w:link w:val="ListParagraph"/>
    <w:uiPriority w:val="34"/>
    <w:locked/>
    <w:rsid w:val="002930EB"/>
  </w:style>
  <w:style w:type="character" w:styleId="Hyperlink">
    <w:name w:val="Hyperlink"/>
    <w:basedOn w:val="DefaultParagraphFont"/>
    <w:uiPriority w:val="99"/>
    <w:unhideWhenUsed/>
    <w:rsid w:val="00707947"/>
    <w:rPr>
      <w:color w:val="0000FF" w:themeColor="hyperlink"/>
      <w:u w:val="single"/>
    </w:rPr>
  </w:style>
  <w:style w:type="paragraph" w:styleId="NoSpacing">
    <w:name w:val="No Spacing"/>
    <w:uiPriority w:val="1"/>
    <w:rsid w:val="00B11CB6"/>
    <w:rPr>
      <w:rFonts w:eastAsiaTheme="minorHAnsi"/>
      <w:sz w:val="22"/>
      <w:szCs w:val="22"/>
      <w:lang w:val="en-US"/>
    </w:rPr>
  </w:style>
  <w:style w:type="character" w:styleId="CommentReference">
    <w:name w:val="annotation reference"/>
    <w:basedOn w:val="DefaultParagraphFont"/>
    <w:uiPriority w:val="99"/>
    <w:semiHidden/>
    <w:unhideWhenUsed/>
    <w:rsid w:val="009E6FFD"/>
    <w:rPr>
      <w:sz w:val="16"/>
      <w:szCs w:val="16"/>
    </w:rPr>
  </w:style>
  <w:style w:type="paragraph" w:styleId="CommentText">
    <w:name w:val="annotation text"/>
    <w:basedOn w:val="Normal"/>
    <w:link w:val="CommentTextChar"/>
    <w:uiPriority w:val="99"/>
    <w:semiHidden/>
    <w:unhideWhenUsed/>
    <w:rsid w:val="009E6FFD"/>
  </w:style>
  <w:style w:type="character" w:customStyle="1" w:styleId="CommentTextChar">
    <w:name w:val="Comment Text Char"/>
    <w:basedOn w:val="DefaultParagraphFont"/>
    <w:link w:val="CommentText"/>
    <w:uiPriority w:val="99"/>
    <w:semiHidden/>
    <w:rsid w:val="009E6FFD"/>
    <w:rPr>
      <w:sz w:val="20"/>
      <w:szCs w:val="20"/>
    </w:rPr>
  </w:style>
  <w:style w:type="paragraph" w:styleId="CommentSubject">
    <w:name w:val="annotation subject"/>
    <w:basedOn w:val="CommentText"/>
    <w:next w:val="CommentText"/>
    <w:link w:val="CommentSubjectChar"/>
    <w:uiPriority w:val="99"/>
    <w:semiHidden/>
    <w:unhideWhenUsed/>
    <w:rsid w:val="009E6FFD"/>
    <w:rPr>
      <w:b/>
      <w:bCs/>
    </w:rPr>
  </w:style>
  <w:style w:type="character" w:customStyle="1" w:styleId="CommentSubjectChar">
    <w:name w:val="Comment Subject Char"/>
    <w:basedOn w:val="CommentTextChar"/>
    <w:link w:val="CommentSubject"/>
    <w:uiPriority w:val="99"/>
    <w:semiHidden/>
    <w:rsid w:val="009E6FFD"/>
    <w:rPr>
      <w:b/>
      <w:bCs/>
      <w:sz w:val="20"/>
      <w:szCs w:val="20"/>
    </w:rPr>
  </w:style>
  <w:style w:type="paragraph" w:styleId="Revision">
    <w:name w:val="Revision"/>
    <w:hidden/>
    <w:uiPriority w:val="99"/>
    <w:semiHidden/>
    <w:rsid w:val="009E6FFD"/>
  </w:style>
  <w:style w:type="character" w:customStyle="1" w:styleId="Heading1Char">
    <w:name w:val="Heading 1 Char"/>
    <w:basedOn w:val="DefaultParagraphFont"/>
    <w:link w:val="Heading1"/>
    <w:uiPriority w:val="5"/>
    <w:rsid w:val="003A24DB"/>
    <w:rPr>
      <w:rFonts w:eastAsiaTheme="majorEastAsia" w:cs="Arial"/>
      <w:bCs/>
      <w:caps/>
      <w:color w:val="006CB6"/>
      <w:sz w:val="28"/>
      <w:szCs w:val="28"/>
    </w:rPr>
  </w:style>
  <w:style w:type="paragraph" w:customStyle="1" w:styleId="AcronymsTitles">
    <w:name w:val="Acronyms Titles"/>
    <w:basedOn w:val="Heading1"/>
    <w:next w:val="Normal"/>
    <w:autoRedefine/>
    <w:uiPriority w:val="11"/>
    <w:qFormat/>
    <w:rsid w:val="006403C7"/>
    <w:pPr>
      <w:keepLines w:val="0"/>
      <w:widowControl w:val="0"/>
      <w:numPr>
        <w:numId w:val="0"/>
      </w:numPr>
      <w:autoSpaceDE w:val="0"/>
      <w:autoSpaceDN w:val="0"/>
      <w:adjustRightInd w:val="0"/>
    </w:pPr>
    <w:rPr>
      <w:rFonts w:eastAsia="Times New Roman"/>
      <w:szCs w:val="32"/>
    </w:rPr>
  </w:style>
  <w:style w:type="character" w:customStyle="1" w:styleId="Heading5Char">
    <w:name w:val="Heading 5 Char"/>
    <w:basedOn w:val="DefaultParagraphFont"/>
    <w:link w:val="Heading5"/>
    <w:uiPriority w:val="9"/>
    <w:rsid w:val="006403C7"/>
    <w:rPr>
      <w:rFonts w:eastAsiaTheme="majorEastAsia" w:cstheme="majorBidi"/>
      <w:i/>
      <w:color w:val="000000" w:themeColor="text1"/>
    </w:rPr>
  </w:style>
  <w:style w:type="character" w:customStyle="1" w:styleId="Heading6Char">
    <w:name w:val="Heading 6 Char"/>
    <w:aliases w:val="Annexes Char"/>
    <w:basedOn w:val="DefaultParagraphFont"/>
    <w:link w:val="Heading6"/>
    <w:uiPriority w:val="10"/>
    <w:rsid w:val="000F4802"/>
    <w:rPr>
      <w:rFonts w:eastAsiaTheme="majorEastAsia" w:cstheme="majorBidi"/>
      <w:iCs/>
      <w:caps/>
      <w:color w:val="006CB6"/>
      <w:sz w:val="28"/>
      <w:szCs w:val="28"/>
    </w:rPr>
  </w:style>
  <w:style w:type="character" w:customStyle="1" w:styleId="Heading9Char">
    <w:name w:val="Heading 9 Char"/>
    <w:basedOn w:val="DefaultParagraphFont"/>
    <w:link w:val="Heading9"/>
    <w:semiHidden/>
    <w:rsid w:val="006403C7"/>
    <w:rPr>
      <w:rFonts w:asciiTheme="majorHAnsi" w:eastAsiaTheme="majorEastAsia" w:hAnsiTheme="majorHAnsi" w:cstheme="majorBidi"/>
      <w:i/>
      <w:iCs/>
      <w:color w:val="404040" w:themeColor="text1" w:themeTint="BF"/>
    </w:rPr>
  </w:style>
  <w:style w:type="paragraph" w:styleId="Caption">
    <w:name w:val="caption"/>
    <w:basedOn w:val="Normal"/>
    <w:next w:val="Normal"/>
    <w:uiPriority w:val="4"/>
    <w:qFormat/>
    <w:rsid w:val="006403C7"/>
    <w:pPr>
      <w:spacing w:after="60"/>
    </w:pPr>
    <w:rPr>
      <w:b/>
      <w:bCs/>
      <w:sz w:val="18"/>
      <w:szCs w:val="18"/>
    </w:rPr>
  </w:style>
  <w:style w:type="paragraph" w:styleId="Title">
    <w:name w:val="Title"/>
    <w:basedOn w:val="Normal"/>
    <w:next w:val="Normal"/>
    <w:link w:val="TitleChar"/>
    <w:autoRedefine/>
    <w:uiPriority w:val="12"/>
    <w:qFormat/>
    <w:rsid w:val="00F757E5"/>
    <w:pPr>
      <w:spacing w:after="120"/>
      <w:contextualSpacing/>
      <w:jc w:val="left"/>
    </w:pPr>
    <w:rPr>
      <w:rFonts w:eastAsiaTheme="majorEastAsia" w:cstheme="majorBidi"/>
      <w:caps/>
      <w:color w:val="006CB6"/>
      <w:spacing w:val="5"/>
      <w:kern w:val="28"/>
      <w:sz w:val="28"/>
      <w:szCs w:val="52"/>
      <w:lang w:val="en-CA"/>
    </w:rPr>
  </w:style>
  <w:style w:type="character" w:customStyle="1" w:styleId="TitleChar">
    <w:name w:val="Title Char"/>
    <w:basedOn w:val="DefaultParagraphFont"/>
    <w:link w:val="Title"/>
    <w:uiPriority w:val="12"/>
    <w:rsid w:val="00F757E5"/>
    <w:rPr>
      <w:rFonts w:eastAsiaTheme="majorEastAsia" w:cstheme="majorBidi"/>
      <w:caps/>
      <w:color w:val="006CB6"/>
      <w:spacing w:val="5"/>
      <w:kern w:val="28"/>
      <w:sz w:val="28"/>
      <w:szCs w:val="52"/>
      <w:lang w:val="en-CA"/>
    </w:rPr>
  </w:style>
  <w:style w:type="paragraph" w:styleId="BodyText">
    <w:name w:val="Body Text"/>
    <w:basedOn w:val="Normal"/>
    <w:link w:val="BodyTextChar"/>
    <w:uiPriority w:val="99"/>
    <w:semiHidden/>
    <w:unhideWhenUsed/>
    <w:qFormat/>
    <w:rsid w:val="006403C7"/>
  </w:style>
  <w:style w:type="character" w:customStyle="1" w:styleId="BodyTextChar">
    <w:name w:val="Body Text Char"/>
    <w:basedOn w:val="DefaultParagraphFont"/>
    <w:link w:val="BodyText"/>
    <w:uiPriority w:val="99"/>
    <w:semiHidden/>
    <w:rsid w:val="006403C7"/>
  </w:style>
  <w:style w:type="paragraph" w:styleId="Quote">
    <w:name w:val="Quote"/>
    <w:basedOn w:val="Normal"/>
    <w:next w:val="Normal"/>
    <w:link w:val="QuoteChar"/>
    <w:uiPriority w:val="14"/>
    <w:qFormat/>
    <w:rsid w:val="006403C7"/>
    <w:rPr>
      <w:rFonts w:ascii="Cambria" w:hAnsi="Cambria"/>
      <w:i/>
      <w:iCs/>
      <w:color w:val="C0504D" w:themeColor="accent2"/>
    </w:rPr>
  </w:style>
  <w:style w:type="character" w:customStyle="1" w:styleId="QuoteChar">
    <w:name w:val="Quote Char"/>
    <w:basedOn w:val="DefaultParagraphFont"/>
    <w:link w:val="Quote"/>
    <w:uiPriority w:val="14"/>
    <w:rsid w:val="006403C7"/>
    <w:rPr>
      <w:rFonts w:ascii="Cambria" w:hAnsi="Cambria"/>
      <w:i/>
      <w:iCs/>
      <w:color w:val="C0504D" w:themeColor="accent2"/>
    </w:rPr>
  </w:style>
  <w:style w:type="paragraph" w:styleId="TOCHeading">
    <w:name w:val="TOC Heading"/>
    <w:basedOn w:val="Heading1"/>
    <w:next w:val="Normal"/>
    <w:uiPriority w:val="15"/>
    <w:qFormat/>
    <w:rsid w:val="006403C7"/>
    <w:pPr>
      <w:numPr>
        <w:numId w:val="0"/>
      </w:numPr>
      <w:outlineLvl w:val="9"/>
    </w:pPr>
    <w:rPr>
      <w:rFonts w:cstheme="majorBidi"/>
      <w:lang w:eastAsia="ja-JP"/>
    </w:rPr>
  </w:style>
  <w:style w:type="character" w:customStyle="1" w:styleId="Heading7Char">
    <w:name w:val="Heading 7 Char"/>
    <w:basedOn w:val="DefaultParagraphFont"/>
    <w:link w:val="Heading7"/>
    <w:uiPriority w:val="9"/>
    <w:semiHidden/>
    <w:rsid w:val="006403C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03C7"/>
    <w:rPr>
      <w:rFonts w:asciiTheme="majorHAnsi" w:eastAsiaTheme="majorEastAsia" w:hAnsiTheme="majorHAnsi" w:cstheme="majorBidi"/>
      <w:color w:val="404040" w:themeColor="text1" w:themeTint="BF"/>
    </w:rPr>
  </w:style>
  <w:style w:type="paragraph" w:styleId="EndnoteText">
    <w:name w:val="endnote text"/>
    <w:basedOn w:val="Normal"/>
    <w:link w:val="EndnoteTextChar"/>
    <w:uiPriority w:val="99"/>
    <w:semiHidden/>
    <w:unhideWhenUsed/>
    <w:rsid w:val="006E3E51"/>
  </w:style>
  <w:style w:type="character" w:customStyle="1" w:styleId="EndnoteTextChar">
    <w:name w:val="Endnote Text Char"/>
    <w:basedOn w:val="DefaultParagraphFont"/>
    <w:link w:val="EndnoteText"/>
    <w:uiPriority w:val="99"/>
    <w:semiHidden/>
    <w:rsid w:val="006E3E51"/>
  </w:style>
  <w:style w:type="character" w:styleId="EndnoteReference">
    <w:name w:val="endnote reference"/>
    <w:basedOn w:val="DefaultParagraphFont"/>
    <w:uiPriority w:val="99"/>
    <w:semiHidden/>
    <w:unhideWhenUsed/>
    <w:rsid w:val="006E3E51"/>
    <w:rPr>
      <w:vertAlign w:val="superscript"/>
    </w:rPr>
  </w:style>
  <w:style w:type="paragraph" w:styleId="TOC1">
    <w:name w:val="toc 1"/>
    <w:basedOn w:val="Normal"/>
    <w:next w:val="Normal"/>
    <w:autoRedefine/>
    <w:uiPriority w:val="39"/>
    <w:unhideWhenUsed/>
    <w:qFormat/>
    <w:rsid w:val="00302B23"/>
    <w:pPr>
      <w:tabs>
        <w:tab w:val="left" w:pos="360"/>
        <w:tab w:val="right" w:leader="dot" w:pos="8856"/>
      </w:tabs>
      <w:spacing w:before="180" w:after="60"/>
      <w:ind w:left="360" w:hanging="360"/>
      <w:jc w:val="left"/>
    </w:pPr>
    <w:rPr>
      <w:rFonts w:ascii="Arial Bold" w:hAnsi="Arial Bold"/>
      <w:b/>
      <w:caps/>
      <w:noProof/>
      <w:sz w:val="24"/>
    </w:rPr>
  </w:style>
  <w:style w:type="paragraph" w:styleId="TOC2">
    <w:name w:val="toc 2"/>
    <w:basedOn w:val="Normal"/>
    <w:next w:val="Normal"/>
    <w:autoRedefine/>
    <w:uiPriority w:val="39"/>
    <w:unhideWhenUsed/>
    <w:rsid w:val="00302B23"/>
    <w:pPr>
      <w:tabs>
        <w:tab w:val="left" w:pos="907"/>
        <w:tab w:val="right" w:leader="dot" w:pos="8856"/>
      </w:tabs>
      <w:spacing w:before="20" w:after="80"/>
      <w:ind w:left="1267" w:hanging="907"/>
    </w:pPr>
    <w:rPr>
      <w:sz w:val="22"/>
    </w:rPr>
  </w:style>
  <w:style w:type="paragraph" w:styleId="Header">
    <w:name w:val="header"/>
    <w:basedOn w:val="Normal"/>
    <w:link w:val="HeaderChar"/>
    <w:rsid w:val="005C731A"/>
    <w:pPr>
      <w:tabs>
        <w:tab w:val="center" w:pos="4680"/>
        <w:tab w:val="right" w:pos="9360"/>
      </w:tabs>
    </w:pPr>
    <w:rPr>
      <w:lang w:val="en-US" w:bidi="ne-NP"/>
    </w:rPr>
  </w:style>
  <w:style w:type="character" w:customStyle="1" w:styleId="HeaderChar">
    <w:name w:val="Header Char"/>
    <w:basedOn w:val="DefaultParagraphFont"/>
    <w:link w:val="Header"/>
    <w:rsid w:val="005C731A"/>
    <w:rPr>
      <w:lang w:val="en-US" w:bidi="ne-NP"/>
    </w:rPr>
  </w:style>
  <w:style w:type="paragraph" w:styleId="Footer">
    <w:name w:val="footer"/>
    <w:basedOn w:val="Normal"/>
    <w:link w:val="FooterChar"/>
    <w:uiPriority w:val="99"/>
    <w:rsid w:val="005C731A"/>
    <w:pPr>
      <w:tabs>
        <w:tab w:val="center" w:pos="4680"/>
        <w:tab w:val="right" w:pos="9360"/>
      </w:tabs>
    </w:pPr>
    <w:rPr>
      <w:lang w:val="en-US" w:bidi="ne-NP"/>
    </w:rPr>
  </w:style>
  <w:style w:type="character" w:customStyle="1" w:styleId="FooterChar">
    <w:name w:val="Footer Char"/>
    <w:basedOn w:val="DefaultParagraphFont"/>
    <w:link w:val="Footer"/>
    <w:uiPriority w:val="99"/>
    <w:rsid w:val="005C731A"/>
    <w:rPr>
      <w:lang w:val="en-US" w:bidi="ne-NP"/>
    </w:rPr>
  </w:style>
  <w:style w:type="character" w:styleId="PageNumber">
    <w:name w:val="page number"/>
    <w:basedOn w:val="DefaultParagraphFont"/>
    <w:uiPriority w:val="99"/>
    <w:rsid w:val="005C731A"/>
    <w:rPr>
      <w:rFonts w:cs="Times New Roman"/>
    </w:rPr>
  </w:style>
  <w:style w:type="paragraph" w:styleId="TableofFigures">
    <w:name w:val="table of figures"/>
    <w:basedOn w:val="Normal"/>
    <w:next w:val="Normal"/>
    <w:autoRedefine/>
    <w:uiPriority w:val="99"/>
    <w:rsid w:val="005C731A"/>
    <w:rPr>
      <w:b/>
      <w:lang w:val="en-US" w:bidi="ne-NP"/>
    </w:rPr>
  </w:style>
  <w:style w:type="paragraph" w:customStyle="1" w:styleId="OfficialCowaterStyle">
    <w:name w:val="Official Cowater Style"/>
    <w:basedOn w:val="Title"/>
    <w:link w:val="OfficialCowaterStyleChar"/>
    <w:rsid w:val="005C731A"/>
    <w:rPr>
      <w:color w:val="1F497D" w:themeColor="text2"/>
      <w:lang w:val="en-US" w:bidi="ne-NP"/>
    </w:rPr>
  </w:style>
  <w:style w:type="character" w:customStyle="1" w:styleId="OfficialCowaterStyleChar">
    <w:name w:val="Official Cowater Style Char"/>
    <w:basedOn w:val="TitleChar"/>
    <w:link w:val="OfficialCowaterStyle"/>
    <w:rsid w:val="005C731A"/>
    <w:rPr>
      <w:rFonts w:eastAsiaTheme="majorEastAsia" w:cstheme="majorBidi"/>
      <w:caps/>
      <w:color w:val="1F497D" w:themeColor="text2"/>
      <w:spacing w:val="5"/>
      <w:kern w:val="28"/>
      <w:sz w:val="28"/>
      <w:szCs w:val="52"/>
      <w:lang w:val="en-US" w:bidi="ne-NP"/>
    </w:rPr>
  </w:style>
  <w:style w:type="paragraph" w:styleId="TOC3">
    <w:name w:val="toc 3"/>
    <w:basedOn w:val="Normal"/>
    <w:next w:val="Normal"/>
    <w:autoRedefine/>
    <w:uiPriority w:val="39"/>
    <w:unhideWhenUsed/>
    <w:rsid w:val="004D20B5"/>
    <w:pPr>
      <w:tabs>
        <w:tab w:val="left" w:pos="1560"/>
        <w:tab w:val="right" w:leader="dot" w:pos="8861"/>
      </w:tabs>
      <w:spacing w:after="100"/>
      <w:ind w:left="1560" w:hanging="636"/>
      <w:jc w:val="left"/>
    </w:pPr>
  </w:style>
  <w:style w:type="paragraph" w:styleId="TOC4">
    <w:name w:val="toc 4"/>
    <w:basedOn w:val="Normal"/>
    <w:next w:val="Normal"/>
    <w:autoRedefine/>
    <w:uiPriority w:val="39"/>
    <w:unhideWhenUsed/>
    <w:rsid w:val="00630B98"/>
    <w:pPr>
      <w:tabs>
        <w:tab w:val="left" w:pos="2520"/>
        <w:tab w:val="right" w:leader="dot" w:pos="8856"/>
      </w:tabs>
      <w:spacing w:before="20"/>
      <w:ind w:left="4176" w:hanging="2520"/>
    </w:pPr>
    <w:rPr>
      <w:i/>
    </w:rPr>
  </w:style>
  <w:style w:type="character" w:customStyle="1" w:styleId="personname">
    <w:name w:val="person_name"/>
    <w:basedOn w:val="DefaultParagraphFont"/>
    <w:rsid w:val="00D67B4B"/>
  </w:style>
  <w:style w:type="character" w:styleId="Emphasis">
    <w:name w:val="Emphasis"/>
    <w:basedOn w:val="DefaultParagraphFont"/>
    <w:uiPriority w:val="20"/>
    <w:qFormat/>
    <w:rsid w:val="00D67B4B"/>
    <w:rPr>
      <w:i/>
      <w:iCs/>
    </w:rPr>
  </w:style>
  <w:style w:type="character" w:styleId="FollowedHyperlink">
    <w:name w:val="FollowedHyperlink"/>
    <w:basedOn w:val="DefaultParagraphFont"/>
    <w:uiPriority w:val="99"/>
    <w:semiHidden/>
    <w:unhideWhenUsed/>
    <w:rsid w:val="008918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5" w:unhideWhenUsed="0" w:qFormat="1"/>
    <w:lsdException w:name="heading 2" w:uiPriority="6" w:qFormat="1"/>
    <w:lsdException w:name="heading 3" w:uiPriority="7" w:qFormat="1"/>
    <w:lsdException w:name="heading 4" w:uiPriority="8" w:qFormat="1"/>
    <w:lsdException w:name="heading 5" w:uiPriority="9" w:qFormat="1"/>
    <w:lsdException w:name="heading 6" w:uiPriority="10" w:qFormat="1"/>
    <w:lsdException w:name="heading 7" w:uiPriority="9"/>
    <w:lsdException w:name="heading 8" w:uiPriority="9"/>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4" w:qFormat="1"/>
    <w:lsdException w:name="Title" w:semiHidden="0" w:uiPriority="12" w:unhideWhenUsed="0" w:qFormat="1"/>
    <w:lsdException w:name="Default Paragraph Font" w:uiPriority="1"/>
    <w:lsdException w:name="Body Text" w:qFormat="1"/>
    <w:lsdException w:name="Subtitle" w:semiHidden="0" w:uiPriority="13" w:unhideWhenUsed="0" w:qFormat="1"/>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14"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15" w:qFormat="1"/>
  </w:latentStyles>
  <w:style w:type="paragraph" w:default="1" w:styleId="Normal">
    <w:name w:val="Normal"/>
    <w:qFormat/>
    <w:rsid w:val="006403C7"/>
    <w:pPr>
      <w:jc w:val="both"/>
    </w:pPr>
  </w:style>
  <w:style w:type="paragraph" w:styleId="Heading1">
    <w:name w:val="heading 1"/>
    <w:basedOn w:val="Normal"/>
    <w:next w:val="Normal"/>
    <w:link w:val="Heading1Char"/>
    <w:autoRedefine/>
    <w:uiPriority w:val="5"/>
    <w:qFormat/>
    <w:rsid w:val="003A24DB"/>
    <w:pPr>
      <w:keepNext/>
      <w:keepLines/>
      <w:numPr>
        <w:numId w:val="17"/>
      </w:numPr>
      <w:spacing w:after="120"/>
      <w:jc w:val="left"/>
      <w:outlineLvl w:val="0"/>
    </w:pPr>
    <w:rPr>
      <w:rFonts w:eastAsiaTheme="majorEastAsia" w:cs="Arial"/>
      <w:bCs/>
      <w:caps/>
      <w:color w:val="006CB6"/>
      <w:sz w:val="28"/>
      <w:szCs w:val="28"/>
    </w:rPr>
  </w:style>
  <w:style w:type="paragraph" w:styleId="Heading2">
    <w:name w:val="heading 2"/>
    <w:basedOn w:val="Normal"/>
    <w:next w:val="Normal"/>
    <w:link w:val="Heading2Char"/>
    <w:autoRedefine/>
    <w:uiPriority w:val="6"/>
    <w:qFormat/>
    <w:rsid w:val="008F281B"/>
    <w:pPr>
      <w:keepNext/>
      <w:numPr>
        <w:ilvl w:val="1"/>
        <w:numId w:val="17"/>
      </w:numPr>
      <w:tabs>
        <w:tab w:val="left" w:pos="0"/>
      </w:tabs>
      <w:suppressAutoHyphens/>
      <w:outlineLvl w:val="1"/>
    </w:pPr>
    <w:rPr>
      <w:rFonts w:eastAsiaTheme="majorEastAsia" w:cstheme="majorBidi"/>
      <w:b/>
      <w:snapToGrid w:val="0"/>
      <w:sz w:val="24"/>
      <w:szCs w:val="24"/>
    </w:rPr>
  </w:style>
  <w:style w:type="paragraph" w:styleId="Heading3">
    <w:name w:val="heading 3"/>
    <w:basedOn w:val="Normal"/>
    <w:next w:val="Normal"/>
    <w:link w:val="Heading3Char"/>
    <w:uiPriority w:val="7"/>
    <w:qFormat/>
    <w:rsid w:val="006403C7"/>
    <w:pPr>
      <w:keepNext/>
      <w:keepLines/>
      <w:numPr>
        <w:ilvl w:val="2"/>
        <w:numId w:val="17"/>
      </w:numPr>
      <w:outlineLvl w:val="2"/>
    </w:pPr>
    <w:rPr>
      <w:rFonts w:eastAsiaTheme="majorEastAsia" w:cs="Arial"/>
      <w:b/>
      <w:bCs/>
      <w:sz w:val="22"/>
      <w:lang w:val="en-GB"/>
    </w:rPr>
  </w:style>
  <w:style w:type="paragraph" w:styleId="Heading4">
    <w:name w:val="heading 4"/>
    <w:basedOn w:val="Normal"/>
    <w:next w:val="Normal"/>
    <w:link w:val="Heading4Char"/>
    <w:uiPriority w:val="8"/>
    <w:qFormat/>
    <w:rsid w:val="006403C7"/>
    <w:pPr>
      <w:keepNext/>
      <w:keepLines/>
      <w:numPr>
        <w:ilvl w:val="3"/>
        <w:numId w:val="17"/>
      </w:numPr>
      <w:outlineLvl w:val="3"/>
    </w:pPr>
    <w:rPr>
      <w:rFonts w:eastAsiaTheme="majorEastAsia" w:cstheme="majorBidi"/>
      <w:b/>
      <w:bCs/>
      <w:i/>
      <w:iCs/>
    </w:rPr>
  </w:style>
  <w:style w:type="paragraph" w:styleId="Heading5">
    <w:name w:val="heading 5"/>
    <w:basedOn w:val="Normal"/>
    <w:next w:val="Normal"/>
    <w:link w:val="Heading5Char"/>
    <w:uiPriority w:val="9"/>
    <w:qFormat/>
    <w:rsid w:val="006403C7"/>
    <w:pPr>
      <w:keepNext/>
      <w:keepLines/>
      <w:numPr>
        <w:ilvl w:val="4"/>
        <w:numId w:val="17"/>
      </w:numPr>
      <w:outlineLvl w:val="4"/>
    </w:pPr>
    <w:rPr>
      <w:rFonts w:eastAsiaTheme="majorEastAsia" w:cstheme="majorBidi"/>
      <w:i/>
      <w:color w:val="000000" w:themeColor="text1"/>
    </w:rPr>
  </w:style>
  <w:style w:type="paragraph" w:styleId="Heading6">
    <w:name w:val="heading 6"/>
    <w:aliases w:val="Annexes"/>
    <w:basedOn w:val="Heading1"/>
    <w:next w:val="Normal"/>
    <w:link w:val="Heading6Char"/>
    <w:autoRedefine/>
    <w:uiPriority w:val="10"/>
    <w:qFormat/>
    <w:rsid w:val="000F4802"/>
    <w:pPr>
      <w:numPr>
        <w:numId w:val="0"/>
      </w:numPr>
      <w:jc w:val="center"/>
      <w:outlineLvl w:val="5"/>
    </w:pPr>
    <w:rPr>
      <w:rFonts w:cstheme="majorBidi"/>
      <w:bCs w:val="0"/>
      <w:iCs/>
    </w:rPr>
  </w:style>
  <w:style w:type="paragraph" w:styleId="Heading7">
    <w:name w:val="heading 7"/>
    <w:basedOn w:val="Normal"/>
    <w:next w:val="Normal"/>
    <w:link w:val="Heading7Char"/>
    <w:uiPriority w:val="9"/>
    <w:semiHidden/>
    <w:unhideWhenUsed/>
    <w:rsid w:val="006403C7"/>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6403C7"/>
    <w:pPr>
      <w:keepNext/>
      <w:keepLines/>
      <w:numPr>
        <w:ilvl w:val="7"/>
        <w:numId w:val="17"/>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6403C7"/>
    <w:pPr>
      <w:keepNext/>
      <w:keepLines/>
      <w:numPr>
        <w:ilvl w:val="8"/>
        <w:numId w:val="17"/>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153A50"/>
    <w:pPr>
      <w:ind w:left="720"/>
      <w:contextualSpacing/>
    </w:pPr>
  </w:style>
  <w:style w:type="paragraph" w:styleId="Subtitle">
    <w:name w:val="Subtitle"/>
    <w:basedOn w:val="Normal"/>
    <w:next w:val="Normal"/>
    <w:link w:val="SubtitleChar"/>
    <w:uiPriority w:val="13"/>
    <w:qFormat/>
    <w:rsid w:val="006403C7"/>
    <w:pPr>
      <w:numPr>
        <w:ilvl w:val="1"/>
      </w:numPr>
    </w:pPr>
    <w:rPr>
      <w:rFonts w:ascii="Arial Bold" w:eastAsiaTheme="majorEastAsia" w:hAnsi="Arial Bold" w:cstheme="majorBidi"/>
      <w:b/>
      <w:iCs/>
      <w:sz w:val="24"/>
      <w:szCs w:val="24"/>
    </w:rPr>
  </w:style>
  <w:style w:type="character" w:customStyle="1" w:styleId="SubtitleChar">
    <w:name w:val="Subtitle Char"/>
    <w:basedOn w:val="DefaultParagraphFont"/>
    <w:link w:val="Subtitle"/>
    <w:uiPriority w:val="13"/>
    <w:rsid w:val="006403C7"/>
    <w:rPr>
      <w:rFonts w:ascii="Arial Bold" w:eastAsiaTheme="majorEastAsia" w:hAnsi="Arial Bold" w:cstheme="majorBidi"/>
      <w:b/>
      <w:iCs/>
      <w:sz w:val="24"/>
      <w:szCs w:val="24"/>
    </w:rPr>
  </w:style>
  <w:style w:type="character" w:customStyle="1" w:styleId="Heading2Char">
    <w:name w:val="Heading 2 Char"/>
    <w:basedOn w:val="DefaultParagraphFont"/>
    <w:link w:val="Heading2"/>
    <w:uiPriority w:val="6"/>
    <w:rsid w:val="008F281B"/>
    <w:rPr>
      <w:rFonts w:eastAsiaTheme="majorEastAsia" w:cstheme="majorBidi"/>
      <w:b/>
      <w:snapToGrid w:val="0"/>
      <w:sz w:val="24"/>
      <w:szCs w:val="24"/>
    </w:rPr>
  </w:style>
  <w:style w:type="paragraph" w:styleId="FootnoteText">
    <w:name w:val="footnote text"/>
    <w:aliases w:val="Char, Char,single space,Footnote Text Char Char Char,Footnote Text Char Char Char1,Footnote Text Char Char Char2 Char,Footnote Text Char Char Char1 Char,Footnote Text Char Char,Footnote Text Quote,Footnote text,Char Char Char Char Char"/>
    <w:basedOn w:val="Normal"/>
    <w:link w:val="FootnoteTextChar"/>
    <w:uiPriority w:val="99"/>
    <w:unhideWhenUsed/>
    <w:rsid w:val="00D02C4D"/>
  </w:style>
  <w:style w:type="character" w:customStyle="1" w:styleId="FootnoteTextChar">
    <w:name w:val="Footnote Text Char"/>
    <w:aliases w:val="Char Char, Char Char,single space Char,Footnote Text Char Char Char Char,Footnote Text Char Char Char1 Char1,Footnote Text Char Char Char2 Char Char,Footnote Text Char Char Char1 Char Char,Footnote Text Char Char Char2"/>
    <w:basedOn w:val="DefaultParagraphFont"/>
    <w:link w:val="FootnoteText"/>
    <w:uiPriority w:val="99"/>
    <w:rsid w:val="00D02C4D"/>
  </w:style>
  <w:style w:type="character" w:styleId="FootnoteReference">
    <w:name w:val="footnote reference"/>
    <w:aliases w:val="BVI fnr,ftref,Footnote,Footnote symbol,16 Point,Superscript 6 Point"/>
    <w:basedOn w:val="DefaultParagraphFont"/>
    <w:uiPriority w:val="99"/>
    <w:unhideWhenUsed/>
    <w:rsid w:val="00D02C4D"/>
    <w:rPr>
      <w:vertAlign w:val="superscript"/>
    </w:rPr>
  </w:style>
  <w:style w:type="character" w:customStyle="1" w:styleId="Heading3Char">
    <w:name w:val="Heading 3 Char"/>
    <w:basedOn w:val="DefaultParagraphFont"/>
    <w:link w:val="Heading3"/>
    <w:uiPriority w:val="7"/>
    <w:rsid w:val="006403C7"/>
    <w:rPr>
      <w:rFonts w:eastAsiaTheme="majorEastAsia" w:cs="Arial"/>
      <w:b/>
      <w:bCs/>
      <w:sz w:val="22"/>
      <w:lang w:val="en-GB"/>
    </w:rPr>
  </w:style>
  <w:style w:type="character" w:customStyle="1" w:styleId="Heading4Char">
    <w:name w:val="Heading 4 Char"/>
    <w:basedOn w:val="DefaultParagraphFont"/>
    <w:link w:val="Heading4"/>
    <w:uiPriority w:val="8"/>
    <w:rsid w:val="006403C7"/>
    <w:rPr>
      <w:rFonts w:eastAsiaTheme="majorEastAsia" w:cstheme="majorBidi"/>
      <w:b/>
      <w:bCs/>
      <w:i/>
      <w:iCs/>
    </w:rPr>
  </w:style>
  <w:style w:type="table" w:styleId="LightShading-Accent1">
    <w:name w:val="Light Shading Accent 1"/>
    <w:basedOn w:val="TableNormal"/>
    <w:uiPriority w:val="60"/>
    <w:rsid w:val="00C86CBD"/>
    <w:rPr>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unhideWhenUsed/>
    <w:rsid w:val="00EE7543"/>
    <w:pPr>
      <w:spacing w:before="100" w:beforeAutospacing="1" w:after="100" w:afterAutospacing="1"/>
    </w:pPr>
    <w:rPr>
      <w:rFonts w:ascii="Times" w:hAnsi="Times"/>
    </w:rPr>
  </w:style>
  <w:style w:type="paragraph" w:styleId="BalloonText">
    <w:name w:val="Balloon Text"/>
    <w:basedOn w:val="Normal"/>
    <w:link w:val="BalloonTextChar"/>
    <w:uiPriority w:val="99"/>
    <w:semiHidden/>
    <w:unhideWhenUsed/>
    <w:rsid w:val="00363B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B9D"/>
    <w:rPr>
      <w:rFonts w:ascii="Lucida Grande" w:hAnsi="Lucida Grande" w:cs="Lucida Grande"/>
      <w:sz w:val="18"/>
      <w:szCs w:val="18"/>
    </w:rPr>
  </w:style>
  <w:style w:type="table" w:styleId="TableGrid">
    <w:name w:val="Table Grid"/>
    <w:basedOn w:val="TableNormal"/>
    <w:uiPriority w:val="39"/>
    <w:rsid w:val="00363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930EB"/>
  </w:style>
  <w:style w:type="character" w:customStyle="1" w:styleId="ListParagraphChar">
    <w:name w:val="List Paragraph Char"/>
    <w:basedOn w:val="DefaultParagraphFont"/>
    <w:link w:val="ListParagraph"/>
    <w:uiPriority w:val="34"/>
    <w:locked/>
    <w:rsid w:val="002930EB"/>
  </w:style>
  <w:style w:type="character" w:styleId="Hyperlink">
    <w:name w:val="Hyperlink"/>
    <w:basedOn w:val="DefaultParagraphFont"/>
    <w:uiPriority w:val="99"/>
    <w:unhideWhenUsed/>
    <w:rsid w:val="00707947"/>
    <w:rPr>
      <w:color w:val="0000FF" w:themeColor="hyperlink"/>
      <w:u w:val="single"/>
    </w:rPr>
  </w:style>
  <w:style w:type="paragraph" w:styleId="NoSpacing">
    <w:name w:val="No Spacing"/>
    <w:uiPriority w:val="1"/>
    <w:rsid w:val="00B11CB6"/>
    <w:rPr>
      <w:rFonts w:eastAsiaTheme="minorHAnsi"/>
      <w:sz w:val="22"/>
      <w:szCs w:val="22"/>
      <w:lang w:val="en-US"/>
    </w:rPr>
  </w:style>
  <w:style w:type="character" w:styleId="CommentReference">
    <w:name w:val="annotation reference"/>
    <w:basedOn w:val="DefaultParagraphFont"/>
    <w:uiPriority w:val="99"/>
    <w:semiHidden/>
    <w:unhideWhenUsed/>
    <w:rsid w:val="009E6FFD"/>
    <w:rPr>
      <w:sz w:val="16"/>
      <w:szCs w:val="16"/>
    </w:rPr>
  </w:style>
  <w:style w:type="paragraph" w:styleId="CommentText">
    <w:name w:val="annotation text"/>
    <w:basedOn w:val="Normal"/>
    <w:link w:val="CommentTextChar"/>
    <w:uiPriority w:val="99"/>
    <w:semiHidden/>
    <w:unhideWhenUsed/>
    <w:rsid w:val="009E6FFD"/>
  </w:style>
  <w:style w:type="character" w:customStyle="1" w:styleId="CommentTextChar">
    <w:name w:val="Comment Text Char"/>
    <w:basedOn w:val="DefaultParagraphFont"/>
    <w:link w:val="CommentText"/>
    <w:uiPriority w:val="99"/>
    <w:semiHidden/>
    <w:rsid w:val="009E6FFD"/>
    <w:rPr>
      <w:sz w:val="20"/>
      <w:szCs w:val="20"/>
    </w:rPr>
  </w:style>
  <w:style w:type="paragraph" w:styleId="CommentSubject">
    <w:name w:val="annotation subject"/>
    <w:basedOn w:val="CommentText"/>
    <w:next w:val="CommentText"/>
    <w:link w:val="CommentSubjectChar"/>
    <w:uiPriority w:val="99"/>
    <w:semiHidden/>
    <w:unhideWhenUsed/>
    <w:rsid w:val="009E6FFD"/>
    <w:rPr>
      <w:b/>
      <w:bCs/>
    </w:rPr>
  </w:style>
  <w:style w:type="character" w:customStyle="1" w:styleId="CommentSubjectChar">
    <w:name w:val="Comment Subject Char"/>
    <w:basedOn w:val="CommentTextChar"/>
    <w:link w:val="CommentSubject"/>
    <w:uiPriority w:val="99"/>
    <w:semiHidden/>
    <w:rsid w:val="009E6FFD"/>
    <w:rPr>
      <w:b/>
      <w:bCs/>
      <w:sz w:val="20"/>
      <w:szCs w:val="20"/>
    </w:rPr>
  </w:style>
  <w:style w:type="paragraph" w:styleId="Revision">
    <w:name w:val="Revision"/>
    <w:hidden/>
    <w:uiPriority w:val="99"/>
    <w:semiHidden/>
    <w:rsid w:val="009E6FFD"/>
  </w:style>
  <w:style w:type="character" w:customStyle="1" w:styleId="Heading1Char">
    <w:name w:val="Heading 1 Char"/>
    <w:basedOn w:val="DefaultParagraphFont"/>
    <w:link w:val="Heading1"/>
    <w:uiPriority w:val="5"/>
    <w:rsid w:val="003A24DB"/>
    <w:rPr>
      <w:rFonts w:eastAsiaTheme="majorEastAsia" w:cs="Arial"/>
      <w:bCs/>
      <w:caps/>
      <w:color w:val="006CB6"/>
      <w:sz w:val="28"/>
      <w:szCs w:val="28"/>
    </w:rPr>
  </w:style>
  <w:style w:type="paragraph" w:customStyle="1" w:styleId="AcronymsTitles">
    <w:name w:val="Acronyms Titles"/>
    <w:basedOn w:val="Heading1"/>
    <w:next w:val="Normal"/>
    <w:autoRedefine/>
    <w:uiPriority w:val="11"/>
    <w:qFormat/>
    <w:rsid w:val="006403C7"/>
    <w:pPr>
      <w:keepLines w:val="0"/>
      <w:widowControl w:val="0"/>
      <w:numPr>
        <w:numId w:val="0"/>
      </w:numPr>
      <w:autoSpaceDE w:val="0"/>
      <w:autoSpaceDN w:val="0"/>
      <w:adjustRightInd w:val="0"/>
    </w:pPr>
    <w:rPr>
      <w:rFonts w:eastAsia="Times New Roman"/>
      <w:szCs w:val="32"/>
    </w:rPr>
  </w:style>
  <w:style w:type="character" w:customStyle="1" w:styleId="Heading5Char">
    <w:name w:val="Heading 5 Char"/>
    <w:basedOn w:val="DefaultParagraphFont"/>
    <w:link w:val="Heading5"/>
    <w:uiPriority w:val="9"/>
    <w:rsid w:val="006403C7"/>
    <w:rPr>
      <w:rFonts w:eastAsiaTheme="majorEastAsia" w:cstheme="majorBidi"/>
      <w:i/>
      <w:color w:val="000000" w:themeColor="text1"/>
    </w:rPr>
  </w:style>
  <w:style w:type="character" w:customStyle="1" w:styleId="Heading6Char">
    <w:name w:val="Heading 6 Char"/>
    <w:aliases w:val="Annexes Char"/>
    <w:basedOn w:val="DefaultParagraphFont"/>
    <w:link w:val="Heading6"/>
    <w:uiPriority w:val="10"/>
    <w:rsid w:val="000F4802"/>
    <w:rPr>
      <w:rFonts w:eastAsiaTheme="majorEastAsia" w:cstheme="majorBidi"/>
      <w:iCs/>
      <w:caps/>
      <w:color w:val="006CB6"/>
      <w:sz w:val="28"/>
      <w:szCs w:val="28"/>
    </w:rPr>
  </w:style>
  <w:style w:type="character" w:customStyle="1" w:styleId="Heading9Char">
    <w:name w:val="Heading 9 Char"/>
    <w:basedOn w:val="DefaultParagraphFont"/>
    <w:link w:val="Heading9"/>
    <w:semiHidden/>
    <w:rsid w:val="006403C7"/>
    <w:rPr>
      <w:rFonts w:asciiTheme="majorHAnsi" w:eastAsiaTheme="majorEastAsia" w:hAnsiTheme="majorHAnsi" w:cstheme="majorBidi"/>
      <w:i/>
      <w:iCs/>
      <w:color w:val="404040" w:themeColor="text1" w:themeTint="BF"/>
    </w:rPr>
  </w:style>
  <w:style w:type="paragraph" w:styleId="Caption">
    <w:name w:val="caption"/>
    <w:basedOn w:val="Normal"/>
    <w:next w:val="Normal"/>
    <w:uiPriority w:val="4"/>
    <w:qFormat/>
    <w:rsid w:val="006403C7"/>
    <w:pPr>
      <w:spacing w:after="60"/>
    </w:pPr>
    <w:rPr>
      <w:b/>
      <w:bCs/>
      <w:sz w:val="18"/>
      <w:szCs w:val="18"/>
    </w:rPr>
  </w:style>
  <w:style w:type="paragraph" w:styleId="Title">
    <w:name w:val="Title"/>
    <w:basedOn w:val="Normal"/>
    <w:next w:val="Normal"/>
    <w:link w:val="TitleChar"/>
    <w:autoRedefine/>
    <w:uiPriority w:val="12"/>
    <w:qFormat/>
    <w:rsid w:val="00F757E5"/>
    <w:pPr>
      <w:spacing w:after="120"/>
      <w:contextualSpacing/>
      <w:jc w:val="left"/>
    </w:pPr>
    <w:rPr>
      <w:rFonts w:eastAsiaTheme="majorEastAsia" w:cstheme="majorBidi"/>
      <w:caps/>
      <w:color w:val="006CB6"/>
      <w:spacing w:val="5"/>
      <w:kern w:val="28"/>
      <w:sz w:val="28"/>
      <w:szCs w:val="52"/>
      <w:lang w:val="en-CA"/>
    </w:rPr>
  </w:style>
  <w:style w:type="character" w:customStyle="1" w:styleId="TitleChar">
    <w:name w:val="Title Char"/>
    <w:basedOn w:val="DefaultParagraphFont"/>
    <w:link w:val="Title"/>
    <w:uiPriority w:val="12"/>
    <w:rsid w:val="00F757E5"/>
    <w:rPr>
      <w:rFonts w:eastAsiaTheme="majorEastAsia" w:cstheme="majorBidi"/>
      <w:caps/>
      <w:color w:val="006CB6"/>
      <w:spacing w:val="5"/>
      <w:kern w:val="28"/>
      <w:sz w:val="28"/>
      <w:szCs w:val="52"/>
      <w:lang w:val="en-CA"/>
    </w:rPr>
  </w:style>
  <w:style w:type="paragraph" w:styleId="BodyText">
    <w:name w:val="Body Text"/>
    <w:basedOn w:val="Normal"/>
    <w:link w:val="BodyTextChar"/>
    <w:uiPriority w:val="99"/>
    <w:semiHidden/>
    <w:unhideWhenUsed/>
    <w:qFormat/>
    <w:rsid w:val="006403C7"/>
  </w:style>
  <w:style w:type="character" w:customStyle="1" w:styleId="BodyTextChar">
    <w:name w:val="Body Text Char"/>
    <w:basedOn w:val="DefaultParagraphFont"/>
    <w:link w:val="BodyText"/>
    <w:uiPriority w:val="99"/>
    <w:semiHidden/>
    <w:rsid w:val="006403C7"/>
  </w:style>
  <w:style w:type="paragraph" w:styleId="Quote">
    <w:name w:val="Quote"/>
    <w:basedOn w:val="Normal"/>
    <w:next w:val="Normal"/>
    <w:link w:val="QuoteChar"/>
    <w:uiPriority w:val="14"/>
    <w:qFormat/>
    <w:rsid w:val="006403C7"/>
    <w:rPr>
      <w:rFonts w:ascii="Cambria" w:hAnsi="Cambria"/>
      <w:i/>
      <w:iCs/>
      <w:color w:val="C0504D" w:themeColor="accent2"/>
    </w:rPr>
  </w:style>
  <w:style w:type="character" w:customStyle="1" w:styleId="QuoteChar">
    <w:name w:val="Quote Char"/>
    <w:basedOn w:val="DefaultParagraphFont"/>
    <w:link w:val="Quote"/>
    <w:uiPriority w:val="14"/>
    <w:rsid w:val="006403C7"/>
    <w:rPr>
      <w:rFonts w:ascii="Cambria" w:hAnsi="Cambria"/>
      <w:i/>
      <w:iCs/>
      <w:color w:val="C0504D" w:themeColor="accent2"/>
    </w:rPr>
  </w:style>
  <w:style w:type="paragraph" w:styleId="TOCHeading">
    <w:name w:val="TOC Heading"/>
    <w:basedOn w:val="Heading1"/>
    <w:next w:val="Normal"/>
    <w:uiPriority w:val="15"/>
    <w:qFormat/>
    <w:rsid w:val="006403C7"/>
    <w:pPr>
      <w:numPr>
        <w:numId w:val="0"/>
      </w:numPr>
      <w:outlineLvl w:val="9"/>
    </w:pPr>
    <w:rPr>
      <w:rFonts w:cstheme="majorBidi"/>
      <w:lang w:eastAsia="ja-JP"/>
    </w:rPr>
  </w:style>
  <w:style w:type="character" w:customStyle="1" w:styleId="Heading7Char">
    <w:name w:val="Heading 7 Char"/>
    <w:basedOn w:val="DefaultParagraphFont"/>
    <w:link w:val="Heading7"/>
    <w:uiPriority w:val="9"/>
    <w:semiHidden/>
    <w:rsid w:val="006403C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03C7"/>
    <w:rPr>
      <w:rFonts w:asciiTheme="majorHAnsi" w:eastAsiaTheme="majorEastAsia" w:hAnsiTheme="majorHAnsi" w:cstheme="majorBidi"/>
      <w:color w:val="404040" w:themeColor="text1" w:themeTint="BF"/>
    </w:rPr>
  </w:style>
  <w:style w:type="paragraph" w:styleId="EndnoteText">
    <w:name w:val="endnote text"/>
    <w:basedOn w:val="Normal"/>
    <w:link w:val="EndnoteTextChar"/>
    <w:uiPriority w:val="99"/>
    <w:semiHidden/>
    <w:unhideWhenUsed/>
    <w:rsid w:val="006E3E51"/>
  </w:style>
  <w:style w:type="character" w:customStyle="1" w:styleId="EndnoteTextChar">
    <w:name w:val="Endnote Text Char"/>
    <w:basedOn w:val="DefaultParagraphFont"/>
    <w:link w:val="EndnoteText"/>
    <w:uiPriority w:val="99"/>
    <w:semiHidden/>
    <w:rsid w:val="006E3E51"/>
  </w:style>
  <w:style w:type="character" w:styleId="EndnoteReference">
    <w:name w:val="endnote reference"/>
    <w:basedOn w:val="DefaultParagraphFont"/>
    <w:uiPriority w:val="99"/>
    <w:semiHidden/>
    <w:unhideWhenUsed/>
    <w:rsid w:val="006E3E51"/>
    <w:rPr>
      <w:vertAlign w:val="superscript"/>
    </w:rPr>
  </w:style>
  <w:style w:type="paragraph" w:styleId="TOC1">
    <w:name w:val="toc 1"/>
    <w:basedOn w:val="Normal"/>
    <w:next w:val="Normal"/>
    <w:autoRedefine/>
    <w:uiPriority w:val="39"/>
    <w:unhideWhenUsed/>
    <w:qFormat/>
    <w:rsid w:val="00302B23"/>
    <w:pPr>
      <w:tabs>
        <w:tab w:val="left" w:pos="360"/>
        <w:tab w:val="right" w:leader="dot" w:pos="8856"/>
      </w:tabs>
      <w:spacing w:before="180" w:after="60"/>
      <w:ind w:left="360" w:hanging="360"/>
      <w:jc w:val="left"/>
    </w:pPr>
    <w:rPr>
      <w:rFonts w:ascii="Arial Bold" w:hAnsi="Arial Bold"/>
      <w:b/>
      <w:caps/>
      <w:noProof/>
      <w:sz w:val="24"/>
    </w:rPr>
  </w:style>
  <w:style w:type="paragraph" w:styleId="TOC2">
    <w:name w:val="toc 2"/>
    <w:basedOn w:val="Normal"/>
    <w:next w:val="Normal"/>
    <w:autoRedefine/>
    <w:uiPriority w:val="39"/>
    <w:unhideWhenUsed/>
    <w:rsid w:val="00302B23"/>
    <w:pPr>
      <w:tabs>
        <w:tab w:val="left" w:pos="907"/>
        <w:tab w:val="right" w:leader="dot" w:pos="8856"/>
      </w:tabs>
      <w:spacing w:before="20" w:after="80"/>
      <w:ind w:left="1267" w:hanging="907"/>
    </w:pPr>
    <w:rPr>
      <w:sz w:val="22"/>
    </w:rPr>
  </w:style>
  <w:style w:type="paragraph" w:styleId="Header">
    <w:name w:val="header"/>
    <w:basedOn w:val="Normal"/>
    <w:link w:val="HeaderChar"/>
    <w:rsid w:val="005C731A"/>
    <w:pPr>
      <w:tabs>
        <w:tab w:val="center" w:pos="4680"/>
        <w:tab w:val="right" w:pos="9360"/>
      </w:tabs>
    </w:pPr>
    <w:rPr>
      <w:lang w:val="en-US" w:bidi="ne-NP"/>
    </w:rPr>
  </w:style>
  <w:style w:type="character" w:customStyle="1" w:styleId="HeaderChar">
    <w:name w:val="Header Char"/>
    <w:basedOn w:val="DefaultParagraphFont"/>
    <w:link w:val="Header"/>
    <w:rsid w:val="005C731A"/>
    <w:rPr>
      <w:lang w:val="en-US" w:bidi="ne-NP"/>
    </w:rPr>
  </w:style>
  <w:style w:type="paragraph" w:styleId="Footer">
    <w:name w:val="footer"/>
    <w:basedOn w:val="Normal"/>
    <w:link w:val="FooterChar"/>
    <w:uiPriority w:val="99"/>
    <w:rsid w:val="005C731A"/>
    <w:pPr>
      <w:tabs>
        <w:tab w:val="center" w:pos="4680"/>
        <w:tab w:val="right" w:pos="9360"/>
      </w:tabs>
    </w:pPr>
    <w:rPr>
      <w:lang w:val="en-US" w:bidi="ne-NP"/>
    </w:rPr>
  </w:style>
  <w:style w:type="character" w:customStyle="1" w:styleId="FooterChar">
    <w:name w:val="Footer Char"/>
    <w:basedOn w:val="DefaultParagraphFont"/>
    <w:link w:val="Footer"/>
    <w:uiPriority w:val="99"/>
    <w:rsid w:val="005C731A"/>
    <w:rPr>
      <w:lang w:val="en-US" w:bidi="ne-NP"/>
    </w:rPr>
  </w:style>
  <w:style w:type="character" w:styleId="PageNumber">
    <w:name w:val="page number"/>
    <w:basedOn w:val="DefaultParagraphFont"/>
    <w:uiPriority w:val="99"/>
    <w:rsid w:val="005C731A"/>
    <w:rPr>
      <w:rFonts w:cs="Times New Roman"/>
    </w:rPr>
  </w:style>
  <w:style w:type="paragraph" w:styleId="TableofFigures">
    <w:name w:val="table of figures"/>
    <w:basedOn w:val="Normal"/>
    <w:next w:val="Normal"/>
    <w:autoRedefine/>
    <w:uiPriority w:val="99"/>
    <w:rsid w:val="005C731A"/>
    <w:rPr>
      <w:b/>
      <w:lang w:val="en-US" w:bidi="ne-NP"/>
    </w:rPr>
  </w:style>
  <w:style w:type="paragraph" w:customStyle="1" w:styleId="OfficialCowaterStyle">
    <w:name w:val="Official Cowater Style"/>
    <w:basedOn w:val="Title"/>
    <w:link w:val="OfficialCowaterStyleChar"/>
    <w:rsid w:val="005C731A"/>
    <w:rPr>
      <w:color w:val="1F497D" w:themeColor="text2"/>
      <w:lang w:val="en-US" w:bidi="ne-NP"/>
    </w:rPr>
  </w:style>
  <w:style w:type="character" w:customStyle="1" w:styleId="OfficialCowaterStyleChar">
    <w:name w:val="Official Cowater Style Char"/>
    <w:basedOn w:val="TitleChar"/>
    <w:link w:val="OfficialCowaterStyle"/>
    <w:rsid w:val="005C731A"/>
    <w:rPr>
      <w:rFonts w:eastAsiaTheme="majorEastAsia" w:cstheme="majorBidi"/>
      <w:caps/>
      <w:color w:val="1F497D" w:themeColor="text2"/>
      <w:spacing w:val="5"/>
      <w:kern w:val="28"/>
      <w:sz w:val="28"/>
      <w:szCs w:val="52"/>
      <w:lang w:val="en-US" w:bidi="ne-NP"/>
    </w:rPr>
  </w:style>
  <w:style w:type="paragraph" w:styleId="TOC3">
    <w:name w:val="toc 3"/>
    <w:basedOn w:val="Normal"/>
    <w:next w:val="Normal"/>
    <w:autoRedefine/>
    <w:uiPriority w:val="39"/>
    <w:unhideWhenUsed/>
    <w:rsid w:val="004D20B5"/>
    <w:pPr>
      <w:tabs>
        <w:tab w:val="left" w:pos="1560"/>
        <w:tab w:val="right" w:leader="dot" w:pos="8861"/>
      </w:tabs>
      <w:spacing w:after="100"/>
      <w:ind w:left="1560" w:hanging="636"/>
      <w:jc w:val="left"/>
    </w:pPr>
  </w:style>
  <w:style w:type="paragraph" w:styleId="TOC4">
    <w:name w:val="toc 4"/>
    <w:basedOn w:val="Normal"/>
    <w:next w:val="Normal"/>
    <w:autoRedefine/>
    <w:uiPriority w:val="39"/>
    <w:unhideWhenUsed/>
    <w:rsid w:val="00630B98"/>
    <w:pPr>
      <w:tabs>
        <w:tab w:val="left" w:pos="2520"/>
        <w:tab w:val="right" w:leader="dot" w:pos="8856"/>
      </w:tabs>
      <w:spacing w:before="20"/>
      <w:ind w:left="4176" w:hanging="2520"/>
    </w:pPr>
    <w:rPr>
      <w:i/>
    </w:rPr>
  </w:style>
  <w:style w:type="character" w:customStyle="1" w:styleId="personname">
    <w:name w:val="person_name"/>
    <w:basedOn w:val="DefaultParagraphFont"/>
    <w:rsid w:val="00D67B4B"/>
  </w:style>
  <w:style w:type="character" w:styleId="Emphasis">
    <w:name w:val="Emphasis"/>
    <w:basedOn w:val="DefaultParagraphFont"/>
    <w:uiPriority w:val="20"/>
    <w:qFormat/>
    <w:rsid w:val="00D67B4B"/>
    <w:rPr>
      <w:i/>
      <w:iCs/>
    </w:rPr>
  </w:style>
  <w:style w:type="character" w:styleId="FollowedHyperlink">
    <w:name w:val="FollowedHyperlink"/>
    <w:basedOn w:val="DefaultParagraphFont"/>
    <w:uiPriority w:val="99"/>
    <w:semiHidden/>
    <w:unhideWhenUsed/>
    <w:rsid w:val="008918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2521">
      <w:bodyDiv w:val="1"/>
      <w:marLeft w:val="0"/>
      <w:marRight w:val="0"/>
      <w:marTop w:val="0"/>
      <w:marBottom w:val="0"/>
      <w:divBdr>
        <w:top w:val="none" w:sz="0" w:space="0" w:color="auto"/>
        <w:left w:val="none" w:sz="0" w:space="0" w:color="auto"/>
        <w:bottom w:val="none" w:sz="0" w:space="0" w:color="auto"/>
        <w:right w:val="none" w:sz="0" w:space="0" w:color="auto"/>
      </w:divBdr>
      <w:divsChild>
        <w:div w:id="1223372306">
          <w:marLeft w:val="0"/>
          <w:marRight w:val="0"/>
          <w:marTop w:val="0"/>
          <w:marBottom w:val="0"/>
          <w:divBdr>
            <w:top w:val="none" w:sz="0" w:space="0" w:color="auto"/>
            <w:left w:val="none" w:sz="0" w:space="0" w:color="auto"/>
            <w:bottom w:val="none" w:sz="0" w:space="0" w:color="auto"/>
            <w:right w:val="none" w:sz="0" w:space="0" w:color="auto"/>
          </w:divBdr>
          <w:divsChild>
            <w:div w:id="996766219">
              <w:marLeft w:val="0"/>
              <w:marRight w:val="0"/>
              <w:marTop w:val="0"/>
              <w:marBottom w:val="0"/>
              <w:divBdr>
                <w:top w:val="none" w:sz="0" w:space="0" w:color="auto"/>
                <w:left w:val="none" w:sz="0" w:space="0" w:color="auto"/>
                <w:bottom w:val="none" w:sz="0" w:space="0" w:color="auto"/>
                <w:right w:val="none" w:sz="0" w:space="0" w:color="auto"/>
              </w:divBdr>
              <w:divsChild>
                <w:div w:id="1748377881">
                  <w:marLeft w:val="0"/>
                  <w:marRight w:val="0"/>
                  <w:marTop w:val="0"/>
                  <w:marBottom w:val="0"/>
                  <w:divBdr>
                    <w:top w:val="none" w:sz="0" w:space="0" w:color="auto"/>
                    <w:left w:val="none" w:sz="0" w:space="0" w:color="auto"/>
                    <w:bottom w:val="none" w:sz="0" w:space="0" w:color="auto"/>
                    <w:right w:val="none" w:sz="0" w:space="0" w:color="auto"/>
                  </w:divBdr>
                  <w:divsChild>
                    <w:div w:id="184516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64029">
      <w:bodyDiv w:val="1"/>
      <w:marLeft w:val="0"/>
      <w:marRight w:val="0"/>
      <w:marTop w:val="0"/>
      <w:marBottom w:val="0"/>
      <w:divBdr>
        <w:top w:val="none" w:sz="0" w:space="0" w:color="auto"/>
        <w:left w:val="none" w:sz="0" w:space="0" w:color="auto"/>
        <w:bottom w:val="none" w:sz="0" w:space="0" w:color="auto"/>
        <w:right w:val="none" w:sz="0" w:space="0" w:color="auto"/>
      </w:divBdr>
    </w:div>
    <w:div w:id="253055418">
      <w:bodyDiv w:val="1"/>
      <w:marLeft w:val="0"/>
      <w:marRight w:val="0"/>
      <w:marTop w:val="0"/>
      <w:marBottom w:val="0"/>
      <w:divBdr>
        <w:top w:val="none" w:sz="0" w:space="0" w:color="auto"/>
        <w:left w:val="none" w:sz="0" w:space="0" w:color="auto"/>
        <w:bottom w:val="none" w:sz="0" w:space="0" w:color="auto"/>
        <w:right w:val="none" w:sz="0" w:space="0" w:color="auto"/>
      </w:divBdr>
    </w:div>
    <w:div w:id="904801332">
      <w:bodyDiv w:val="1"/>
      <w:marLeft w:val="0"/>
      <w:marRight w:val="0"/>
      <w:marTop w:val="0"/>
      <w:marBottom w:val="0"/>
      <w:divBdr>
        <w:top w:val="none" w:sz="0" w:space="0" w:color="auto"/>
        <w:left w:val="none" w:sz="0" w:space="0" w:color="auto"/>
        <w:bottom w:val="none" w:sz="0" w:space="0" w:color="auto"/>
        <w:right w:val="none" w:sz="0" w:space="0" w:color="auto"/>
      </w:divBdr>
    </w:div>
    <w:div w:id="14814646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www.bnp2tki.go.id/uploads/data/data_16-01-2015_020347_Laporan_Pengolahan_Data_BNP2TKI_S.D_31_DESEMBER_2014.pdf" TargetMode="External"/><Relationship Id="rId2" Type="http://schemas.openxmlformats.org/officeDocument/2006/relationships/hyperlink" Target="http://www.smeru.or.id/report/research/accesstojustice/accesstojustice_ind.pdf" TargetMode="External"/><Relationship Id="rId1" Type="http://schemas.openxmlformats.org/officeDocument/2006/relationships/hyperlink" Target="http://bdt.tnp2k.go.id/index.php/data/sebaran-nasional" TargetMode="External"/><Relationship Id="rId4" Type="http://schemas.openxmlformats.org/officeDocument/2006/relationships/hyperlink" Target="http://eprints.lse.ac.uk/51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Wor11</b:Tag>
    <b:SourceType>Report</b:SourceType>
    <b:Guid>{37920FED-C6C9-2849-B813-3B9B8E80A34E}</b:Guid>
    <b:Author>
      <b:Author>
        <b:Corporate>World Bank</b:Corporate>
      </b:Author>
    </b:Author>
    <b:Title>World Development Report 2012, Gender Equality and Development</b:Title>
    <b:Publisher>The World Bank</b:Publisher>
    <b:Year>2011</b:Year>
    <b:RefOrder>1</b:RefOrder>
  </b:Source>
  <b:Source>
    <b:Tag>Kab12</b:Tag>
    <b:SourceType>Report</b:SourceType>
    <b:Guid>{4D65D8BF-8850-7B48-85DD-9AD30AE2E8BD}</b:Guid>
    <b:Title>Women's economic empowerment and inclusive growth: labour market and enterprise development</b:Title>
    <b:Institution>Center for Development Policy Research, School of Oriental and African Studies</b:Institution>
    <b:Publisher>SOAS</b:Publisher>
    <b:City>London</b:City>
    <b:Year>2012</b:Year>
    <b:Author>
      <b:Author>
        <b:NameList>
          <b:Person>
            <b:Last>Kabeer</b:Last>
            <b:First>Naila</b:First>
          </b:Person>
        </b:NameList>
      </b:Author>
    </b:Author>
    <b:RefOrder>2</b:RefOrder>
  </b:Source>
  <b:Source>
    <b:Tag>Tay14</b:Tag>
    <b:SourceType>Report</b:SourceType>
    <b:Guid>{B27BCAA0-3A99-8A4E-BE58-D3FC18AAA227}</b:Guid>
    <b:Title>Review of evaluation approaches and methods used by interventions on owmen and girls empowerment</b:Title>
    <b:Institution>Overseas Development Institute, UKaid</b:Institution>
    <b:Publisher>ODI</b:Publisher>
    <b:City>London</b:City>
    <b:Year>2014</b:Year>
    <b:Author>
      <b:Author>
        <b:NameList>
          <b:Person>
            <b:Last>Taylor</b:Last>
            <b:First>Georgia</b:First>
          </b:Person>
          <b:Person>
            <b:Last>Pereznieto</b:Last>
            <b:First>Paolo</b:First>
          </b:Person>
        </b:NameList>
      </b:Author>
    </b:Author>
    <b:RefOrder>3</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BB4505-076F-4809-A404-D6B425BD737D}"/>
</file>

<file path=customXml/itemProps2.xml><?xml version="1.0" encoding="utf-8"?>
<ds:datastoreItem xmlns:ds="http://schemas.openxmlformats.org/officeDocument/2006/customXml" ds:itemID="{254CDE07-F8DC-4EFC-AF58-B8A2CFA79038}"/>
</file>

<file path=customXml/itemProps3.xml><?xml version="1.0" encoding="utf-8"?>
<ds:datastoreItem xmlns:ds="http://schemas.openxmlformats.org/officeDocument/2006/customXml" ds:itemID="{8CFDFE57-86CD-412C-A18E-19D295C3DDB6}"/>
</file>

<file path=customXml/itemProps4.xml><?xml version="1.0" encoding="utf-8"?>
<ds:datastoreItem xmlns:ds="http://schemas.openxmlformats.org/officeDocument/2006/customXml" ds:itemID="{BA5A9BF6-5932-418E-A1E6-5606A57701FD}"/>
</file>

<file path=docProps/app.xml><?xml version="1.0" encoding="utf-8"?>
<Properties xmlns="http://schemas.openxmlformats.org/officeDocument/2006/extended-properties" xmlns:vt="http://schemas.openxmlformats.org/officeDocument/2006/docPropsVTypes">
  <Template>F739CBC3</Template>
  <TotalTime>0</TotalTime>
  <Pages>47</Pages>
  <Words>17219</Words>
  <Characters>98323</Characters>
  <Application>Microsoft Office Word</Application>
  <DocSecurity>0</DocSecurity>
  <Lines>2286</Lines>
  <Paragraphs>683</Paragraphs>
  <ScaleCrop>false</ScaleCrop>
  <Company/>
  <LinksUpToDate>false</LinksUpToDate>
  <CharactersWithSpaces>114859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2016-04-20T05:04:00Z</dcterms:created>
  <dcterms:modified xsi:type="dcterms:W3CDTF">2016-04-20T05:04:00Z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34d245ff-07e2-4453-88ae-4884db99948b</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1029000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