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361" w:rsidRPr="00092718" w:rsidRDefault="009E3361" w:rsidP="00BD1DA6">
      <w:pPr>
        <w:ind w:left="270"/>
        <w:jc w:val="both"/>
        <w:rPr>
          <w:rFonts w:eastAsia="Calibri" w:cs="Arial"/>
        </w:rPr>
      </w:pPr>
      <w:bookmarkStart w:id="0" w:name="_GoBack"/>
      <w:bookmarkEnd w:id="0"/>
    </w:p>
    <w:tbl>
      <w:tblPr>
        <w:tblW w:w="9738" w:type="dxa"/>
        <w:jc w:val="center"/>
        <w:tblLook w:val="0000" w:firstRow="0" w:lastRow="0" w:firstColumn="0" w:lastColumn="0" w:noHBand="0" w:noVBand="0"/>
      </w:tblPr>
      <w:tblGrid>
        <w:gridCol w:w="4869"/>
        <w:gridCol w:w="4869"/>
      </w:tblGrid>
      <w:tr w:rsidR="009E3361" w:rsidRPr="0051737E" w:rsidTr="00DA48C6">
        <w:trPr>
          <w:cantSplit/>
          <w:jc w:val="center"/>
        </w:trPr>
        <w:tc>
          <w:tcPr>
            <w:tcW w:w="9738" w:type="dxa"/>
            <w:gridSpan w:val="2"/>
          </w:tcPr>
          <w:p w:rsidR="00167C7E" w:rsidRPr="0051737E" w:rsidRDefault="00167C7E" w:rsidP="00167C7E">
            <w:pPr>
              <w:ind w:left="270"/>
              <w:jc w:val="center"/>
              <w:rPr>
                <w:rFonts w:asciiTheme="minorHAnsi" w:eastAsia="Calibri" w:hAnsiTheme="minorHAnsi" w:cs="Arial"/>
                <w:b/>
                <w:bCs/>
                <w:sz w:val="56"/>
                <w:szCs w:val="56"/>
              </w:rPr>
            </w:pPr>
          </w:p>
          <w:p w:rsidR="00167C7E" w:rsidRPr="0051737E" w:rsidRDefault="00167C7E" w:rsidP="00167C7E">
            <w:pPr>
              <w:ind w:left="270"/>
              <w:jc w:val="center"/>
              <w:rPr>
                <w:rFonts w:asciiTheme="minorHAnsi" w:eastAsia="Calibri" w:hAnsiTheme="minorHAnsi" w:cs="Arial"/>
                <w:b/>
                <w:bCs/>
                <w:sz w:val="56"/>
                <w:szCs w:val="56"/>
              </w:rPr>
            </w:pPr>
          </w:p>
          <w:p w:rsidR="009E3361" w:rsidRPr="0051737E" w:rsidRDefault="009E3361" w:rsidP="00167C7E">
            <w:pPr>
              <w:ind w:left="270"/>
              <w:jc w:val="center"/>
              <w:rPr>
                <w:rFonts w:asciiTheme="minorHAnsi" w:eastAsia="Calibri" w:hAnsiTheme="minorHAnsi" w:cs="Arial"/>
                <w:b/>
                <w:bCs/>
                <w:sz w:val="56"/>
                <w:szCs w:val="56"/>
              </w:rPr>
            </w:pPr>
            <w:r w:rsidRPr="0051737E">
              <w:rPr>
                <w:rFonts w:asciiTheme="minorHAnsi" w:eastAsia="Calibri" w:hAnsiTheme="minorHAnsi" w:cs="Arial"/>
                <w:b/>
                <w:bCs/>
                <w:sz w:val="56"/>
                <w:szCs w:val="56"/>
              </w:rPr>
              <w:t>KSI Phase 2 Guiding Strategy</w:t>
            </w:r>
          </w:p>
          <w:p w:rsidR="009E3361" w:rsidRPr="0051737E" w:rsidRDefault="009E3361" w:rsidP="00BD1DA6">
            <w:pPr>
              <w:jc w:val="both"/>
              <w:rPr>
                <w:rFonts w:asciiTheme="minorHAnsi" w:eastAsia="Calibri" w:hAnsiTheme="minorHAnsi" w:cs="Arial"/>
                <w:b/>
                <w:bCs/>
                <w:sz w:val="40"/>
                <w:szCs w:val="40"/>
              </w:rPr>
            </w:pPr>
          </w:p>
        </w:tc>
      </w:tr>
      <w:tr w:rsidR="009E3361" w:rsidRPr="0051737E" w:rsidTr="00DA48C6">
        <w:trPr>
          <w:cantSplit/>
          <w:jc w:val="center"/>
        </w:trPr>
        <w:tc>
          <w:tcPr>
            <w:tcW w:w="9738" w:type="dxa"/>
            <w:gridSpan w:val="2"/>
          </w:tcPr>
          <w:p w:rsidR="009E3361" w:rsidRPr="0051737E" w:rsidRDefault="009E3361" w:rsidP="00BD1DA6">
            <w:pPr>
              <w:ind w:left="270"/>
              <w:jc w:val="both"/>
              <w:rPr>
                <w:rFonts w:asciiTheme="minorHAnsi" w:eastAsia="Calibri" w:hAnsiTheme="minorHAnsi" w:cs="Arial"/>
              </w:rPr>
            </w:pPr>
          </w:p>
          <w:p w:rsidR="00167C7E" w:rsidRPr="0051737E" w:rsidRDefault="00167C7E" w:rsidP="00BD1DA6">
            <w:pPr>
              <w:ind w:left="270"/>
              <w:jc w:val="both"/>
              <w:rPr>
                <w:rFonts w:asciiTheme="minorHAnsi" w:eastAsia="Calibri" w:hAnsiTheme="minorHAnsi" w:cs="Arial"/>
              </w:rPr>
            </w:pPr>
          </w:p>
          <w:p w:rsidR="00167C7E" w:rsidRPr="0051737E" w:rsidRDefault="00167C7E" w:rsidP="00BD1DA6">
            <w:pPr>
              <w:ind w:left="270"/>
              <w:jc w:val="both"/>
              <w:rPr>
                <w:rFonts w:asciiTheme="minorHAnsi" w:eastAsia="Calibri" w:hAnsiTheme="minorHAnsi" w:cs="Arial"/>
              </w:rPr>
            </w:pPr>
          </w:p>
        </w:tc>
      </w:tr>
      <w:tr w:rsidR="009E3361" w:rsidRPr="0051737E" w:rsidTr="00DA48C6">
        <w:trPr>
          <w:cantSplit/>
          <w:jc w:val="center"/>
        </w:trPr>
        <w:tc>
          <w:tcPr>
            <w:tcW w:w="9738" w:type="dxa"/>
            <w:gridSpan w:val="2"/>
          </w:tcPr>
          <w:p w:rsidR="009E3361" w:rsidRPr="0051737E" w:rsidRDefault="009E3361" w:rsidP="00BD1DA6">
            <w:pPr>
              <w:ind w:left="270"/>
              <w:jc w:val="both"/>
              <w:rPr>
                <w:rFonts w:asciiTheme="minorHAnsi" w:eastAsia="Calibri" w:hAnsiTheme="minorHAnsi" w:cs="Arial"/>
              </w:rPr>
            </w:pPr>
          </w:p>
        </w:tc>
      </w:tr>
      <w:tr w:rsidR="009E3361" w:rsidRPr="0051737E" w:rsidTr="00DA48C6">
        <w:trPr>
          <w:cantSplit/>
          <w:jc w:val="center"/>
        </w:trPr>
        <w:tc>
          <w:tcPr>
            <w:tcW w:w="9738" w:type="dxa"/>
            <w:gridSpan w:val="2"/>
          </w:tcPr>
          <w:p w:rsidR="009E3361" w:rsidRPr="0051737E" w:rsidRDefault="009E3361" w:rsidP="00BD1DA6">
            <w:pPr>
              <w:jc w:val="both"/>
              <w:rPr>
                <w:rFonts w:asciiTheme="minorHAnsi" w:eastAsia="Calibri" w:hAnsiTheme="minorHAnsi" w:cs="Arial"/>
                <w:b/>
                <w:caps/>
              </w:rPr>
            </w:pPr>
          </w:p>
        </w:tc>
      </w:tr>
      <w:tr w:rsidR="009E3361" w:rsidRPr="0051737E" w:rsidTr="00DA48C6">
        <w:trPr>
          <w:cantSplit/>
          <w:jc w:val="center"/>
        </w:trPr>
        <w:tc>
          <w:tcPr>
            <w:tcW w:w="4869" w:type="dxa"/>
          </w:tcPr>
          <w:p w:rsidR="009E3361" w:rsidRPr="0051737E" w:rsidRDefault="009E3361" w:rsidP="00BD1DA6">
            <w:pPr>
              <w:jc w:val="both"/>
              <w:rPr>
                <w:rFonts w:asciiTheme="minorHAnsi" w:eastAsia="Calibri" w:hAnsiTheme="minorHAnsi" w:cs="Arial"/>
                <w:caps/>
              </w:rPr>
            </w:pPr>
          </w:p>
        </w:tc>
        <w:tc>
          <w:tcPr>
            <w:tcW w:w="4869" w:type="dxa"/>
          </w:tcPr>
          <w:p w:rsidR="009E3361" w:rsidRPr="0051737E" w:rsidRDefault="009E3361" w:rsidP="00BD1DA6">
            <w:pPr>
              <w:jc w:val="both"/>
              <w:rPr>
                <w:rFonts w:asciiTheme="minorHAnsi" w:eastAsia="Calibri" w:hAnsiTheme="minorHAnsi" w:cs="Arial"/>
                <w:caps/>
              </w:rPr>
            </w:pPr>
          </w:p>
        </w:tc>
      </w:tr>
      <w:tr w:rsidR="009E3361" w:rsidRPr="0051737E" w:rsidTr="00DA48C6">
        <w:trPr>
          <w:cantSplit/>
          <w:jc w:val="center"/>
        </w:trPr>
        <w:tc>
          <w:tcPr>
            <w:tcW w:w="9738" w:type="dxa"/>
            <w:gridSpan w:val="2"/>
          </w:tcPr>
          <w:p w:rsidR="009E3361" w:rsidRPr="0051737E" w:rsidRDefault="009E3361" w:rsidP="00BD1DA6">
            <w:pPr>
              <w:ind w:left="270"/>
              <w:jc w:val="both"/>
              <w:rPr>
                <w:rFonts w:asciiTheme="minorHAnsi" w:eastAsia="Calibri" w:hAnsiTheme="minorHAnsi" w:cs="Arial"/>
              </w:rPr>
            </w:pPr>
          </w:p>
          <w:p w:rsidR="009E3361" w:rsidRPr="0051737E" w:rsidRDefault="00167C7E" w:rsidP="00BD1DA6">
            <w:pPr>
              <w:ind w:left="270"/>
              <w:jc w:val="both"/>
              <w:rPr>
                <w:rFonts w:asciiTheme="minorHAnsi" w:eastAsia="Calibri" w:hAnsiTheme="minorHAnsi" w:cs="Arial"/>
                <w:b/>
                <w:sz w:val="28"/>
                <w:szCs w:val="28"/>
              </w:rPr>
            </w:pPr>
            <w:r w:rsidRPr="0051737E">
              <w:rPr>
                <w:rFonts w:asciiTheme="minorHAnsi" w:eastAsia="Calibri" w:hAnsiTheme="minorHAnsi" w:cs="Arial"/>
                <w:b/>
                <w:sz w:val="28"/>
                <w:szCs w:val="28"/>
              </w:rPr>
              <w:t>September</w:t>
            </w:r>
            <w:r w:rsidR="009E3361" w:rsidRPr="0051737E">
              <w:rPr>
                <w:rFonts w:asciiTheme="minorHAnsi" w:eastAsia="Calibri" w:hAnsiTheme="minorHAnsi" w:cs="Arial"/>
                <w:b/>
                <w:sz w:val="28"/>
                <w:szCs w:val="28"/>
              </w:rPr>
              <w:t xml:space="preserve"> 2017</w:t>
            </w:r>
          </w:p>
        </w:tc>
      </w:tr>
      <w:tr w:rsidR="009E3361" w:rsidRPr="0051737E" w:rsidTr="00DA48C6">
        <w:trPr>
          <w:cantSplit/>
          <w:jc w:val="center"/>
        </w:trPr>
        <w:tc>
          <w:tcPr>
            <w:tcW w:w="9738" w:type="dxa"/>
            <w:gridSpan w:val="2"/>
          </w:tcPr>
          <w:p w:rsidR="009E3361" w:rsidRPr="0051737E" w:rsidRDefault="009E3361" w:rsidP="00BD1DA6">
            <w:pPr>
              <w:jc w:val="both"/>
              <w:rPr>
                <w:rFonts w:asciiTheme="minorHAnsi" w:eastAsia="Calibri" w:hAnsiTheme="minorHAnsi" w:cs="Arial"/>
              </w:rPr>
            </w:pPr>
          </w:p>
        </w:tc>
      </w:tr>
    </w:tbl>
    <w:p w:rsidR="00BD3A1E" w:rsidRPr="0051737E" w:rsidRDefault="00BD3A1E" w:rsidP="00BD1DA6">
      <w:pPr>
        <w:jc w:val="both"/>
        <w:rPr>
          <w:rFonts w:asciiTheme="minorHAnsi" w:hAnsiTheme="minorHAnsi" w:cs="Arial"/>
          <w:sz w:val="18"/>
          <w:szCs w:val="18"/>
        </w:rPr>
      </w:pPr>
    </w:p>
    <w:p w:rsidR="009E3361" w:rsidRPr="0051737E" w:rsidRDefault="009E3361" w:rsidP="00BD1DA6">
      <w:pPr>
        <w:ind w:left="-360"/>
        <w:jc w:val="both"/>
        <w:rPr>
          <w:rFonts w:asciiTheme="minorHAnsi" w:eastAsia="Calibri" w:hAnsiTheme="minorHAnsi" w:cs="Arial"/>
          <w:sz w:val="18"/>
          <w:szCs w:val="18"/>
        </w:rPr>
      </w:pPr>
      <w:r w:rsidRPr="0051737E">
        <w:rPr>
          <w:rFonts w:asciiTheme="minorHAnsi" w:eastAsia="Calibri" w:hAnsiTheme="minorHAnsi" w:cs="Arial"/>
          <w:sz w:val="18"/>
          <w:szCs w:val="18"/>
        </w:rPr>
        <w:t>The Knowledge Sector Initiative is being implemented by RTI International, in association with The Nossal Institute for Global Health, the Overseas Development Institute and the Australian National University.</w:t>
      </w:r>
    </w:p>
    <w:p w:rsidR="00BD3A1E" w:rsidRPr="0051737E" w:rsidRDefault="00BD3A1E" w:rsidP="00BD1DA6">
      <w:pPr>
        <w:ind w:left="-360"/>
        <w:jc w:val="both"/>
        <w:rPr>
          <w:rFonts w:asciiTheme="minorHAnsi" w:hAnsiTheme="minorHAnsi"/>
          <w:b/>
        </w:rPr>
      </w:pPr>
    </w:p>
    <w:p w:rsidR="000A21A3" w:rsidRPr="0051737E" w:rsidRDefault="000A21A3" w:rsidP="00BD1DA6">
      <w:pPr>
        <w:ind w:left="-360"/>
        <w:jc w:val="both"/>
        <w:rPr>
          <w:rFonts w:asciiTheme="minorHAnsi" w:hAnsiTheme="minorHAnsi"/>
          <w:b/>
        </w:rPr>
      </w:pPr>
      <w:r w:rsidRPr="0051737E">
        <w:rPr>
          <w:rFonts w:asciiTheme="minorHAnsi" w:hAnsiTheme="minorHAnsi"/>
          <w:b/>
        </w:rPr>
        <w:t xml:space="preserve">Document </w:t>
      </w:r>
      <w:r w:rsidR="00C841E5" w:rsidRPr="0051737E">
        <w:rPr>
          <w:rFonts w:asciiTheme="minorHAnsi" w:hAnsiTheme="minorHAnsi"/>
          <w:b/>
        </w:rPr>
        <w:t>h</w:t>
      </w:r>
      <w:r w:rsidRPr="0051737E">
        <w:rPr>
          <w:rFonts w:asciiTheme="minorHAnsi" w:hAnsiTheme="minorHAnsi"/>
          <w:b/>
        </w:rPr>
        <w:t>istory</w:t>
      </w:r>
    </w:p>
    <w:p w:rsidR="000B54C9" w:rsidRPr="0051737E" w:rsidRDefault="000B54C9" w:rsidP="00BD1DA6">
      <w:pPr>
        <w:ind w:left="-360"/>
        <w:jc w:val="both"/>
        <w:rPr>
          <w:rFonts w:asciiTheme="minorHAnsi" w:hAnsiTheme="minorHAnsi"/>
          <w:b/>
        </w:rPr>
      </w:pPr>
    </w:p>
    <w:tbl>
      <w:tblPr>
        <w:tblStyle w:val="TableGrid"/>
        <w:tblW w:w="8695" w:type="dxa"/>
        <w:tblInd w:w="-365" w:type="dxa"/>
        <w:tblLayout w:type="fixed"/>
        <w:tblLook w:val="04A0" w:firstRow="1" w:lastRow="0" w:firstColumn="1" w:lastColumn="0" w:noHBand="0" w:noVBand="1"/>
      </w:tblPr>
      <w:tblGrid>
        <w:gridCol w:w="1040"/>
        <w:gridCol w:w="1843"/>
        <w:gridCol w:w="3119"/>
        <w:gridCol w:w="2693"/>
      </w:tblGrid>
      <w:tr w:rsidR="00BD3A1E" w:rsidRPr="0051737E" w:rsidTr="008C6A0D">
        <w:tc>
          <w:tcPr>
            <w:tcW w:w="1040" w:type="dxa"/>
            <w:shd w:val="clear" w:color="auto" w:fill="666666"/>
          </w:tcPr>
          <w:p w:rsidR="00BD3A1E" w:rsidRPr="0051737E" w:rsidRDefault="00BD3A1E" w:rsidP="00BD1DA6">
            <w:pPr>
              <w:ind w:left="-20"/>
              <w:jc w:val="both"/>
              <w:rPr>
                <w:rFonts w:asciiTheme="minorHAnsi" w:hAnsiTheme="minorHAnsi"/>
                <w:color w:val="FFFFFF" w:themeColor="background1"/>
                <w:sz w:val="20"/>
                <w:szCs w:val="20"/>
              </w:rPr>
            </w:pPr>
            <w:r w:rsidRPr="0051737E">
              <w:rPr>
                <w:rFonts w:asciiTheme="minorHAnsi" w:hAnsiTheme="minorHAnsi"/>
                <w:color w:val="FFFFFF" w:themeColor="background1"/>
                <w:sz w:val="20"/>
                <w:szCs w:val="20"/>
              </w:rPr>
              <w:t>Version</w:t>
            </w:r>
          </w:p>
        </w:tc>
        <w:tc>
          <w:tcPr>
            <w:tcW w:w="1843" w:type="dxa"/>
            <w:shd w:val="clear" w:color="auto" w:fill="666666"/>
          </w:tcPr>
          <w:p w:rsidR="00BD3A1E" w:rsidRPr="0051737E" w:rsidRDefault="00BD3A1E" w:rsidP="00BD1DA6">
            <w:pPr>
              <w:jc w:val="both"/>
              <w:rPr>
                <w:rFonts w:asciiTheme="minorHAnsi" w:hAnsiTheme="minorHAnsi"/>
                <w:color w:val="FFFFFF" w:themeColor="background1"/>
                <w:sz w:val="20"/>
                <w:szCs w:val="20"/>
              </w:rPr>
            </w:pPr>
            <w:r w:rsidRPr="0051737E">
              <w:rPr>
                <w:rFonts w:asciiTheme="minorHAnsi" w:hAnsiTheme="minorHAnsi"/>
                <w:color w:val="FFFFFF" w:themeColor="background1"/>
                <w:sz w:val="20"/>
                <w:szCs w:val="20"/>
              </w:rPr>
              <w:t>Effective date</w:t>
            </w:r>
          </w:p>
        </w:tc>
        <w:tc>
          <w:tcPr>
            <w:tcW w:w="3119" w:type="dxa"/>
            <w:shd w:val="clear" w:color="auto" w:fill="666666"/>
          </w:tcPr>
          <w:p w:rsidR="00BD3A1E" w:rsidRPr="0051737E" w:rsidRDefault="00BD3A1E" w:rsidP="00BD1DA6">
            <w:pPr>
              <w:tabs>
                <w:tab w:val="left" w:pos="1152"/>
              </w:tabs>
              <w:ind w:right="-300"/>
              <w:jc w:val="both"/>
              <w:rPr>
                <w:rFonts w:asciiTheme="minorHAnsi" w:hAnsiTheme="minorHAnsi"/>
                <w:color w:val="FFFFFF" w:themeColor="background1"/>
                <w:sz w:val="20"/>
                <w:szCs w:val="20"/>
              </w:rPr>
            </w:pPr>
            <w:r w:rsidRPr="0051737E">
              <w:rPr>
                <w:rFonts w:asciiTheme="minorHAnsi" w:hAnsiTheme="minorHAnsi"/>
                <w:color w:val="FFFFFF" w:themeColor="background1"/>
                <w:sz w:val="20"/>
                <w:szCs w:val="20"/>
              </w:rPr>
              <w:t>Prepared by</w:t>
            </w:r>
          </w:p>
        </w:tc>
        <w:tc>
          <w:tcPr>
            <w:tcW w:w="2693" w:type="dxa"/>
            <w:shd w:val="clear" w:color="auto" w:fill="666666"/>
          </w:tcPr>
          <w:p w:rsidR="00BD3A1E" w:rsidRPr="0051737E" w:rsidRDefault="00BD3A1E" w:rsidP="00BD1DA6">
            <w:pPr>
              <w:jc w:val="both"/>
              <w:rPr>
                <w:rFonts w:asciiTheme="minorHAnsi" w:hAnsiTheme="minorHAnsi"/>
                <w:color w:val="FFFFFF" w:themeColor="background1"/>
                <w:sz w:val="20"/>
                <w:szCs w:val="20"/>
              </w:rPr>
            </w:pPr>
            <w:r w:rsidRPr="0051737E">
              <w:rPr>
                <w:rFonts w:asciiTheme="minorHAnsi" w:hAnsiTheme="minorHAnsi"/>
                <w:color w:val="FFFFFF" w:themeColor="background1"/>
                <w:sz w:val="20"/>
                <w:szCs w:val="20"/>
              </w:rPr>
              <w:t>Reviewed by</w:t>
            </w:r>
          </w:p>
        </w:tc>
      </w:tr>
      <w:tr w:rsidR="009C457A" w:rsidRPr="0051737E" w:rsidTr="008C6A0D">
        <w:tc>
          <w:tcPr>
            <w:tcW w:w="1040" w:type="dxa"/>
          </w:tcPr>
          <w:p w:rsidR="009C457A" w:rsidRPr="0051737E" w:rsidRDefault="00667F1F" w:rsidP="00BD1DA6">
            <w:pPr>
              <w:jc w:val="both"/>
              <w:rPr>
                <w:rFonts w:asciiTheme="minorHAnsi" w:hAnsiTheme="minorHAnsi"/>
                <w:sz w:val="20"/>
                <w:szCs w:val="20"/>
              </w:rPr>
            </w:pPr>
            <w:r w:rsidRPr="0051737E">
              <w:rPr>
                <w:rFonts w:asciiTheme="minorHAnsi" w:hAnsiTheme="minorHAnsi"/>
                <w:sz w:val="20"/>
                <w:szCs w:val="20"/>
              </w:rPr>
              <w:t>1.0</w:t>
            </w:r>
          </w:p>
        </w:tc>
        <w:tc>
          <w:tcPr>
            <w:tcW w:w="1843" w:type="dxa"/>
          </w:tcPr>
          <w:p w:rsidR="009C457A" w:rsidRPr="0051737E" w:rsidRDefault="00667F1F" w:rsidP="00BD1DA6">
            <w:pPr>
              <w:jc w:val="both"/>
              <w:rPr>
                <w:rFonts w:asciiTheme="minorHAnsi" w:hAnsiTheme="minorHAnsi"/>
                <w:sz w:val="20"/>
                <w:szCs w:val="20"/>
              </w:rPr>
            </w:pPr>
            <w:r w:rsidRPr="0051737E">
              <w:rPr>
                <w:rFonts w:asciiTheme="minorHAnsi" w:hAnsiTheme="minorHAnsi"/>
                <w:sz w:val="20"/>
                <w:szCs w:val="20"/>
              </w:rPr>
              <w:t>16 April 2017</w:t>
            </w:r>
          </w:p>
        </w:tc>
        <w:tc>
          <w:tcPr>
            <w:tcW w:w="3119" w:type="dxa"/>
          </w:tcPr>
          <w:p w:rsidR="009C457A" w:rsidRPr="0051737E" w:rsidRDefault="00800511" w:rsidP="00BD1DA6">
            <w:pPr>
              <w:tabs>
                <w:tab w:val="left" w:pos="1152"/>
              </w:tabs>
              <w:ind w:right="-20"/>
              <w:jc w:val="both"/>
              <w:rPr>
                <w:rFonts w:asciiTheme="minorHAnsi" w:hAnsiTheme="minorHAnsi"/>
                <w:sz w:val="20"/>
                <w:szCs w:val="20"/>
              </w:rPr>
            </w:pPr>
            <w:r w:rsidRPr="0051737E">
              <w:rPr>
                <w:rFonts w:asciiTheme="minorHAnsi" w:hAnsiTheme="minorHAnsi"/>
                <w:sz w:val="20"/>
                <w:szCs w:val="20"/>
              </w:rPr>
              <w:t xml:space="preserve">Philip Schwehm, </w:t>
            </w:r>
            <w:r w:rsidR="00667F1F" w:rsidRPr="0051737E">
              <w:rPr>
                <w:rFonts w:asciiTheme="minorHAnsi" w:hAnsiTheme="minorHAnsi"/>
                <w:sz w:val="20"/>
                <w:szCs w:val="20"/>
              </w:rPr>
              <w:t>RTI</w:t>
            </w:r>
            <w:r w:rsidR="00BE2596" w:rsidRPr="0051737E">
              <w:rPr>
                <w:rFonts w:asciiTheme="minorHAnsi" w:hAnsiTheme="minorHAnsi"/>
                <w:sz w:val="20"/>
                <w:szCs w:val="20"/>
              </w:rPr>
              <w:t xml:space="preserve">; Elisabeth Jackson, </w:t>
            </w:r>
            <w:r w:rsidR="00734EF5" w:rsidRPr="0051737E">
              <w:rPr>
                <w:rFonts w:asciiTheme="minorHAnsi" w:hAnsiTheme="minorHAnsi"/>
                <w:sz w:val="20"/>
                <w:szCs w:val="20"/>
              </w:rPr>
              <w:t>KSI c</w:t>
            </w:r>
            <w:r w:rsidR="00BE2596" w:rsidRPr="0051737E">
              <w:rPr>
                <w:rFonts w:asciiTheme="minorHAnsi" w:hAnsiTheme="minorHAnsi"/>
                <w:sz w:val="20"/>
                <w:szCs w:val="20"/>
              </w:rPr>
              <w:t xml:space="preserve">onsultant; Jana Hertz, </w:t>
            </w:r>
            <w:r w:rsidR="0003795E" w:rsidRPr="0051737E">
              <w:rPr>
                <w:rFonts w:asciiTheme="minorHAnsi" w:hAnsiTheme="minorHAnsi"/>
                <w:sz w:val="20"/>
                <w:szCs w:val="20"/>
              </w:rPr>
              <w:t>RTI; Petra</w:t>
            </w:r>
            <w:r w:rsidR="00BE2596" w:rsidRPr="0051737E">
              <w:rPr>
                <w:rFonts w:asciiTheme="minorHAnsi" w:hAnsiTheme="minorHAnsi"/>
                <w:sz w:val="20"/>
                <w:szCs w:val="20"/>
              </w:rPr>
              <w:t xml:space="preserve"> Karetji, KSI; Sonia Moldovan, RTI;</w:t>
            </w:r>
            <w:r w:rsidRPr="0051737E">
              <w:rPr>
                <w:rFonts w:asciiTheme="minorHAnsi" w:hAnsiTheme="minorHAnsi"/>
                <w:sz w:val="20"/>
                <w:szCs w:val="20"/>
              </w:rPr>
              <w:t xml:space="preserve"> </w:t>
            </w:r>
            <w:r w:rsidR="0057473E" w:rsidRPr="0051737E">
              <w:rPr>
                <w:rFonts w:asciiTheme="minorHAnsi" w:hAnsiTheme="minorHAnsi"/>
                <w:sz w:val="20"/>
                <w:szCs w:val="20"/>
              </w:rPr>
              <w:t>Arnaldo</w:t>
            </w:r>
            <w:r w:rsidR="00BE2596" w:rsidRPr="0051737E">
              <w:rPr>
                <w:rFonts w:asciiTheme="minorHAnsi" w:hAnsiTheme="minorHAnsi"/>
                <w:sz w:val="20"/>
                <w:szCs w:val="20"/>
              </w:rPr>
              <w:t xml:space="preserve"> Pellini, KSI;</w:t>
            </w:r>
            <w:r w:rsidR="0057473E" w:rsidRPr="0051737E">
              <w:rPr>
                <w:rFonts w:asciiTheme="minorHAnsi" w:hAnsiTheme="minorHAnsi"/>
                <w:sz w:val="20"/>
                <w:szCs w:val="20"/>
              </w:rPr>
              <w:t xml:space="preserve"> </w:t>
            </w:r>
            <w:r w:rsidRPr="0051737E">
              <w:rPr>
                <w:rFonts w:asciiTheme="minorHAnsi" w:hAnsiTheme="minorHAnsi"/>
                <w:sz w:val="20"/>
                <w:szCs w:val="20"/>
              </w:rPr>
              <w:t>Anna Wetterberg, RTI</w:t>
            </w:r>
            <w:r w:rsidR="00667F1F" w:rsidRPr="0051737E">
              <w:rPr>
                <w:rFonts w:asciiTheme="minorHAnsi" w:hAnsiTheme="minorHAnsi"/>
                <w:sz w:val="20"/>
                <w:szCs w:val="20"/>
              </w:rPr>
              <w:t xml:space="preserve"> </w:t>
            </w:r>
          </w:p>
        </w:tc>
        <w:tc>
          <w:tcPr>
            <w:tcW w:w="2693" w:type="dxa"/>
          </w:tcPr>
          <w:p w:rsidR="009C457A" w:rsidRPr="0051737E" w:rsidRDefault="00667F1F" w:rsidP="00BD1DA6">
            <w:pPr>
              <w:jc w:val="both"/>
              <w:rPr>
                <w:rFonts w:asciiTheme="minorHAnsi" w:hAnsiTheme="minorHAnsi"/>
                <w:sz w:val="20"/>
                <w:szCs w:val="20"/>
              </w:rPr>
            </w:pPr>
            <w:r w:rsidRPr="0051737E">
              <w:rPr>
                <w:rFonts w:asciiTheme="minorHAnsi" w:hAnsiTheme="minorHAnsi"/>
                <w:sz w:val="20"/>
                <w:szCs w:val="20"/>
              </w:rPr>
              <w:t>DFAT staff and advisors</w:t>
            </w:r>
          </w:p>
        </w:tc>
      </w:tr>
      <w:tr w:rsidR="00BD3A1E" w:rsidRPr="0051737E" w:rsidTr="008C6A0D">
        <w:tc>
          <w:tcPr>
            <w:tcW w:w="1040" w:type="dxa"/>
          </w:tcPr>
          <w:p w:rsidR="00BD3A1E" w:rsidRPr="0051737E" w:rsidRDefault="00BD3A1E" w:rsidP="00BD1DA6">
            <w:pPr>
              <w:jc w:val="both"/>
              <w:rPr>
                <w:rFonts w:asciiTheme="minorHAnsi" w:hAnsiTheme="minorHAnsi"/>
                <w:sz w:val="20"/>
                <w:szCs w:val="20"/>
              </w:rPr>
            </w:pPr>
            <w:r w:rsidRPr="0051737E">
              <w:rPr>
                <w:rFonts w:asciiTheme="minorHAnsi" w:hAnsiTheme="minorHAnsi"/>
                <w:sz w:val="20"/>
                <w:szCs w:val="20"/>
              </w:rPr>
              <w:t>1.</w:t>
            </w:r>
            <w:r w:rsidR="00667F1F" w:rsidRPr="0051737E">
              <w:rPr>
                <w:rFonts w:asciiTheme="minorHAnsi" w:hAnsiTheme="minorHAnsi"/>
                <w:sz w:val="20"/>
                <w:szCs w:val="20"/>
              </w:rPr>
              <w:t>1</w:t>
            </w:r>
          </w:p>
        </w:tc>
        <w:tc>
          <w:tcPr>
            <w:tcW w:w="1843" w:type="dxa"/>
          </w:tcPr>
          <w:p w:rsidR="00BD3A1E" w:rsidRPr="0051737E" w:rsidRDefault="00BD3A1E" w:rsidP="00BD1DA6">
            <w:pPr>
              <w:jc w:val="both"/>
              <w:rPr>
                <w:rFonts w:asciiTheme="minorHAnsi" w:hAnsiTheme="minorHAnsi"/>
                <w:sz w:val="20"/>
                <w:szCs w:val="20"/>
              </w:rPr>
            </w:pPr>
            <w:r w:rsidRPr="0051737E">
              <w:rPr>
                <w:rFonts w:asciiTheme="minorHAnsi" w:hAnsiTheme="minorHAnsi"/>
                <w:sz w:val="20"/>
                <w:szCs w:val="20"/>
              </w:rPr>
              <w:t>24 May 2017</w:t>
            </w:r>
          </w:p>
        </w:tc>
        <w:tc>
          <w:tcPr>
            <w:tcW w:w="3119" w:type="dxa"/>
          </w:tcPr>
          <w:p w:rsidR="00BD3A1E" w:rsidRPr="0051737E" w:rsidRDefault="00BD3A1E" w:rsidP="00BD1DA6">
            <w:pPr>
              <w:tabs>
                <w:tab w:val="left" w:pos="1152"/>
              </w:tabs>
              <w:ind w:right="-20"/>
              <w:jc w:val="both"/>
              <w:rPr>
                <w:rFonts w:asciiTheme="minorHAnsi" w:hAnsiTheme="minorHAnsi"/>
                <w:sz w:val="20"/>
                <w:szCs w:val="20"/>
              </w:rPr>
            </w:pPr>
            <w:r w:rsidRPr="0051737E">
              <w:rPr>
                <w:rFonts w:asciiTheme="minorHAnsi" w:hAnsiTheme="minorHAnsi"/>
                <w:sz w:val="20"/>
                <w:szCs w:val="20"/>
              </w:rPr>
              <w:t>Nicola Nixon, DFAT</w:t>
            </w:r>
            <w:r w:rsidR="00BE2596" w:rsidRPr="0051737E">
              <w:rPr>
                <w:rFonts w:asciiTheme="minorHAnsi" w:hAnsiTheme="minorHAnsi"/>
                <w:sz w:val="20"/>
                <w:szCs w:val="20"/>
              </w:rPr>
              <w:t>;</w:t>
            </w:r>
            <w:r w:rsidRPr="0051737E">
              <w:rPr>
                <w:rFonts w:asciiTheme="minorHAnsi" w:hAnsiTheme="minorHAnsi"/>
                <w:sz w:val="20"/>
                <w:szCs w:val="20"/>
              </w:rPr>
              <w:t xml:space="preserve"> Petra Karetji, KSI</w:t>
            </w:r>
            <w:r w:rsidR="00BE2596" w:rsidRPr="0051737E">
              <w:rPr>
                <w:rFonts w:asciiTheme="minorHAnsi" w:hAnsiTheme="minorHAnsi"/>
                <w:sz w:val="20"/>
                <w:szCs w:val="20"/>
              </w:rPr>
              <w:t>;</w:t>
            </w:r>
            <w:r w:rsidRPr="0051737E">
              <w:rPr>
                <w:rFonts w:asciiTheme="minorHAnsi" w:hAnsiTheme="minorHAnsi"/>
                <w:sz w:val="20"/>
                <w:szCs w:val="20"/>
              </w:rPr>
              <w:t xml:space="preserve"> Jana Hertz, RTI</w:t>
            </w:r>
            <w:r w:rsidR="00BD1DA6" w:rsidRPr="0051737E">
              <w:rPr>
                <w:rFonts w:asciiTheme="minorHAnsi" w:hAnsiTheme="minorHAnsi"/>
                <w:sz w:val="20"/>
                <w:szCs w:val="20"/>
              </w:rPr>
              <w:t xml:space="preserve"> </w:t>
            </w:r>
          </w:p>
        </w:tc>
        <w:tc>
          <w:tcPr>
            <w:tcW w:w="2693" w:type="dxa"/>
          </w:tcPr>
          <w:p w:rsidR="00BD3A1E" w:rsidRPr="0051737E" w:rsidRDefault="00BD3A1E" w:rsidP="00BD1DA6">
            <w:pPr>
              <w:jc w:val="both"/>
              <w:rPr>
                <w:rFonts w:asciiTheme="minorHAnsi" w:hAnsiTheme="minorHAnsi"/>
                <w:sz w:val="20"/>
                <w:szCs w:val="20"/>
              </w:rPr>
            </w:pPr>
            <w:r w:rsidRPr="0051737E">
              <w:rPr>
                <w:rFonts w:asciiTheme="minorHAnsi" w:hAnsiTheme="minorHAnsi"/>
                <w:sz w:val="20"/>
                <w:szCs w:val="20"/>
              </w:rPr>
              <w:t xml:space="preserve">Fleur Davies, </w:t>
            </w:r>
            <w:r w:rsidR="0057473E" w:rsidRPr="0051737E">
              <w:rPr>
                <w:rFonts w:asciiTheme="minorHAnsi" w:hAnsiTheme="minorHAnsi"/>
                <w:sz w:val="20"/>
                <w:szCs w:val="20"/>
              </w:rPr>
              <w:t>DFAT</w:t>
            </w:r>
          </w:p>
        </w:tc>
      </w:tr>
      <w:tr w:rsidR="00BD3A1E" w:rsidRPr="0051737E" w:rsidTr="008C6A0D">
        <w:tc>
          <w:tcPr>
            <w:tcW w:w="1040" w:type="dxa"/>
          </w:tcPr>
          <w:p w:rsidR="00BD3A1E" w:rsidRPr="0051737E" w:rsidRDefault="00BD3A1E" w:rsidP="00BD1DA6">
            <w:pPr>
              <w:jc w:val="both"/>
              <w:rPr>
                <w:rFonts w:asciiTheme="minorHAnsi" w:hAnsiTheme="minorHAnsi"/>
                <w:sz w:val="20"/>
                <w:szCs w:val="20"/>
              </w:rPr>
            </w:pPr>
            <w:r w:rsidRPr="0051737E">
              <w:rPr>
                <w:rFonts w:asciiTheme="minorHAnsi" w:hAnsiTheme="minorHAnsi"/>
                <w:sz w:val="20"/>
                <w:szCs w:val="20"/>
              </w:rPr>
              <w:t>1.</w:t>
            </w:r>
            <w:r w:rsidR="00667F1F" w:rsidRPr="0051737E">
              <w:rPr>
                <w:rFonts w:asciiTheme="minorHAnsi" w:hAnsiTheme="minorHAnsi"/>
                <w:sz w:val="20"/>
                <w:szCs w:val="20"/>
              </w:rPr>
              <w:t xml:space="preserve">2 </w:t>
            </w:r>
            <w:r w:rsidRPr="0051737E">
              <w:rPr>
                <w:rFonts w:asciiTheme="minorHAnsi" w:hAnsiTheme="minorHAnsi"/>
                <w:sz w:val="20"/>
                <w:szCs w:val="20"/>
              </w:rPr>
              <w:t>(Current)</w:t>
            </w:r>
          </w:p>
        </w:tc>
        <w:tc>
          <w:tcPr>
            <w:tcW w:w="1843" w:type="dxa"/>
          </w:tcPr>
          <w:p w:rsidR="00BD3A1E" w:rsidRPr="0051737E" w:rsidRDefault="00AA50C1" w:rsidP="00167C7E">
            <w:pPr>
              <w:rPr>
                <w:rFonts w:asciiTheme="minorHAnsi" w:hAnsiTheme="minorHAnsi"/>
                <w:sz w:val="20"/>
                <w:szCs w:val="20"/>
              </w:rPr>
            </w:pPr>
            <w:r>
              <w:rPr>
                <w:rFonts w:asciiTheme="minorHAnsi" w:hAnsiTheme="minorHAnsi"/>
                <w:sz w:val="20"/>
                <w:szCs w:val="20"/>
              </w:rPr>
              <w:t>11</w:t>
            </w:r>
            <w:r w:rsidR="00167C7E" w:rsidRPr="0051737E">
              <w:rPr>
                <w:rFonts w:asciiTheme="minorHAnsi" w:hAnsiTheme="minorHAnsi"/>
                <w:sz w:val="20"/>
                <w:szCs w:val="20"/>
              </w:rPr>
              <w:t xml:space="preserve"> September 2017</w:t>
            </w:r>
          </w:p>
        </w:tc>
        <w:tc>
          <w:tcPr>
            <w:tcW w:w="3119" w:type="dxa"/>
          </w:tcPr>
          <w:p w:rsidR="00BD3A1E" w:rsidRPr="0051737E" w:rsidRDefault="00BD3A1E" w:rsidP="00BD1DA6">
            <w:pPr>
              <w:tabs>
                <w:tab w:val="left" w:pos="1152"/>
              </w:tabs>
              <w:ind w:right="-20"/>
              <w:jc w:val="both"/>
              <w:rPr>
                <w:rFonts w:asciiTheme="minorHAnsi" w:hAnsiTheme="minorHAnsi"/>
                <w:sz w:val="20"/>
                <w:szCs w:val="20"/>
              </w:rPr>
            </w:pPr>
            <w:r w:rsidRPr="0051737E">
              <w:rPr>
                <w:rFonts w:asciiTheme="minorHAnsi" w:hAnsiTheme="minorHAnsi"/>
                <w:sz w:val="20"/>
                <w:szCs w:val="20"/>
              </w:rPr>
              <w:t>Nicola Nixon, DFAT</w:t>
            </w:r>
            <w:r w:rsidR="00BE2596" w:rsidRPr="0051737E">
              <w:rPr>
                <w:rFonts w:asciiTheme="minorHAnsi" w:hAnsiTheme="minorHAnsi"/>
                <w:sz w:val="20"/>
                <w:szCs w:val="20"/>
              </w:rPr>
              <w:t>;</w:t>
            </w:r>
            <w:r w:rsidRPr="0051737E">
              <w:rPr>
                <w:rFonts w:asciiTheme="minorHAnsi" w:hAnsiTheme="minorHAnsi"/>
                <w:sz w:val="20"/>
                <w:szCs w:val="20"/>
              </w:rPr>
              <w:t xml:space="preserve"> Petra Karetji, KSI</w:t>
            </w:r>
            <w:r w:rsidR="00BE2596" w:rsidRPr="0051737E">
              <w:rPr>
                <w:rFonts w:asciiTheme="minorHAnsi" w:hAnsiTheme="minorHAnsi"/>
                <w:sz w:val="20"/>
                <w:szCs w:val="20"/>
              </w:rPr>
              <w:t>;</w:t>
            </w:r>
            <w:r w:rsidRPr="0051737E">
              <w:rPr>
                <w:rFonts w:asciiTheme="minorHAnsi" w:hAnsiTheme="minorHAnsi"/>
                <w:sz w:val="20"/>
                <w:szCs w:val="20"/>
              </w:rPr>
              <w:t xml:space="preserve"> Elisabeth Jackson, KSI</w:t>
            </w:r>
            <w:r w:rsidR="00734EF5" w:rsidRPr="0051737E">
              <w:rPr>
                <w:rFonts w:asciiTheme="minorHAnsi" w:hAnsiTheme="minorHAnsi"/>
                <w:sz w:val="20"/>
                <w:szCs w:val="20"/>
              </w:rPr>
              <w:t xml:space="preserve"> consultant</w:t>
            </w:r>
          </w:p>
        </w:tc>
        <w:tc>
          <w:tcPr>
            <w:tcW w:w="2693" w:type="dxa"/>
          </w:tcPr>
          <w:p w:rsidR="00BD3A1E" w:rsidRPr="0051737E" w:rsidRDefault="00BD3A1E" w:rsidP="00BD1DA6">
            <w:pPr>
              <w:jc w:val="both"/>
              <w:rPr>
                <w:rFonts w:asciiTheme="minorHAnsi" w:hAnsiTheme="minorHAnsi"/>
                <w:sz w:val="20"/>
                <w:szCs w:val="20"/>
              </w:rPr>
            </w:pPr>
            <w:r w:rsidRPr="0051737E">
              <w:rPr>
                <w:rFonts w:asciiTheme="minorHAnsi" w:hAnsiTheme="minorHAnsi"/>
                <w:sz w:val="20"/>
                <w:szCs w:val="20"/>
              </w:rPr>
              <w:t xml:space="preserve">DFAT </w:t>
            </w:r>
            <w:r w:rsidR="00667F1F" w:rsidRPr="0051737E">
              <w:rPr>
                <w:rFonts w:asciiTheme="minorHAnsi" w:hAnsiTheme="minorHAnsi"/>
                <w:sz w:val="20"/>
                <w:szCs w:val="20"/>
              </w:rPr>
              <w:t xml:space="preserve">staff </w:t>
            </w:r>
            <w:r w:rsidRPr="0051737E">
              <w:rPr>
                <w:rFonts w:asciiTheme="minorHAnsi" w:hAnsiTheme="minorHAnsi"/>
                <w:sz w:val="20"/>
                <w:szCs w:val="20"/>
              </w:rPr>
              <w:t xml:space="preserve">and advisors, Bappenas, KSI </w:t>
            </w:r>
            <w:r w:rsidR="00667F1F" w:rsidRPr="0051737E">
              <w:rPr>
                <w:rFonts w:asciiTheme="minorHAnsi" w:hAnsiTheme="minorHAnsi"/>
                <w:sz w:val="20"/>
                <w:szCs w:val="20"/>
              </w:rPr>
              <w:t xml:space="preserve">staff </w:t>
            </w:r>
            <w:r w:rsidRPr="0051737E">
              <w:rPr>
                <w:rFonts w:asciiTheme="minorHAnsi" w:hAnsiTheme="minorHAnsi"/>
                <w:sz w:val="20"/>
                <w:szCs w:val="20"/>
              </w:rPr>
              <w:t>and partners</w:t>
            </w:r>
          </w:p>
        </w:tc>
      </w:tr>
    </w:tbl>
    <w:p w:rsidR="000A21A3" w:rsidRPr="0051737E" w:rsidRDefault="000A21A3" w:rsidP="00BD1DA6">
      <w:pPr>
        <w:jc w:val="both"/>
        <w:rPr>
          <w:rFonts w:asciiTheme="minorHAnsi" w:hAnsiTheme="minorHAnsi"/>
          <w:sz w:val="28"/>
          <w:szCs w:val="28"/>
        </w:rPr>
        <w:sectPr w:rsidR="000A21A3" w:rsidRPr="0051737E" w:rsidSect="000A21A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pPr>
    </w:p>
    <w:p w:rsidR="00CB09B3" w:rsidRPr="00451C70" w:rsidRDefault="00BD3A1E" w:rsidP="00BD1DA6">
      <w:pPr>
        <w:jc w:val="both"/>
        <w:rPr>
          <w:color w:val="4F81BD" w:themeColor="accent1"/>
          <w:sz w:val="28"/>
          <w:szCs w:val="28"/>
        </w:rPr>
      </w:pPr>
      <w:r w:rsidRPr="0051737E">
        <w:rPr>
          <w:rFonts w:asciiTheme="minorHAnsi" w:hAnsiTheme="minorHAnsi"/>
          <w:color w:val="4F81BD" w:themeColor="accent1"/>
          <w:sz w:val="28"/>
          <w:szCs w:val="28"/>
        </w:rPr>
        <w:lastRenderedPageBreak/>
        <w:t>Ta</w:t>
      </w:r>
      <w:r w:rsidRPr="00451C70">
        <w:rPr>
          <w:color w:val="4F81BD" w:themeColor="accent1"/>
          <w:sz w:val="28"/>
          <w:szCs w:val="28"/>
        </w:rPr>
        <w:t>ble of Contents</w:t>
      </w:r>
    </w:p>
    <w:p w:rsidR="00996309" w:rsidRDefault="00996309" w:rsidP="00BD1DA6">
      <w:pPr>
        <w:pStyle w:val="Heading1"/>
        <w:spacing w:after="0"/>
      </w:pPr>
    </w:p>
    <w:p w:rsidR="00DE657F" w:rsidRDefault="00CB09B3">
      <w:pPr>
        <w:pStyle w:val="TOC1"/>
        <w:rPr>
          <w:rFonts w:eastAsiaTheme="minorEastAsia" w:cstheme="minorBidi"/>
          <w:b w:val="0"/>
          <w:noProof/>
        </w:rPr>
      </w:pPr>
      <w:r>
        <w:rPr>
          <w:sz w:val="28"/>
          <w:szCs w:val="28"/>
        </w:rPr>
        <w:fldChar w:fldCharType="begin"/>
      </w:r>
      <w:r>
        <w:rPr>
          <w:sz w:val="28"/>
          <w:szCs w:val="28"/>
        </w:rPr>
        <w:instrText xml:space="preserve"> TOC \o "1-3" </w:instrText>
      </w:r>
      <w:r>
        <w:rPr>
          <w:sz w:val="28"/>
          <w:szCs w:val="28"/>
        </w:rPr>
        <w:fldChar w:fldCharType="separate"/>
      </w:r>
      <w:r w:rsidR="00DE657F">
        <w:rPr>
          <w:noProof/>
        </w:rPr>
        <w:t>Abbreviations</w:t>
      </w:r>
      <w:r w:rsidR="00DE657F">
        <w:rPr>
          <w:noProof/>
        </w:rPr>
        <w:tab/>
      </w:r>
      <w:r w:rsidR="00DE657F">
        <w:rPr>
          <w:noProof/>
        </w:rPr>
        <w:fldChar w:fldCharType="begin"/>
      </w:r>
      <w:r w:rsidR="00DE657F">
        <w:rPr>
          <w:noProof/>
        </w:rPr>
        <w:instrText xml:space="preserve"> PAGEREF _Toc492915004 \h </w:instrText>
      </w:r>
      <w:r w:rsidR="00DE657F">
        <w:rPr>
          <w:noProof/>
        </w:rPr>
      </w:r>
      <w:r w:rsidR="00DE657F">
        <w:rPr>
          <w:noProof/>
        </w:rPr>
        <w:fldChar w:fldCharType="separate"/>
      </w:r>
      <w:r w:rsidR="00DE657F">
        <w:rPr>
          <w:noProof/>
        </w:rPr>
        <w:t>1</w:t>
      </w:r>
      <w:r w:rsidR="00DE657F">
        <w:rPr>
          <w:noProof/>
        </w:rPr>
        <w:fldChar w:fldCharType="end"/>
      </w:r>
    </w:p>
    <w:p w:rsidR="00DE657F" w:rsidRDefault="00DE657F">
      <w:pPr>
        <w:pStyle w:val="TOC1"/>
        <w:rPr>
          <w:rFonts w:eastAsiaTheme="minorEastAsia" w:cstheme="minorBidi"/>
          <w:b w:val="0"/>
          <w:noProof/>
        </w:rPr>
      </w:pPr>
      <w:r>
        <w:rPr>
          <w:noProof/>
        </w:rPr>
        <w:t>1</w:t>
      </w:r>
      <w:r>
        <w:rPr>
          <w:rFonts w:eastAsiaTheme="minorEastAsia" w:cstheme="minorBidi"/>
          <w:b w:val="0"/>
          <w:noProof/>
        </w:rPr>
        <w:tab/>
      </w:r>
      <w:r>
        <w:rPr>
          <w:noProof/>
        </w:rPr>
        <w:t>Purpose</w:t>
      </w:r>
      <w:r>
        <w:rPr>
          <w:noProof/>
        </w:rPr>
        <w:tab/>
      </w:r>
      <w:r>
        <w:rPr>
          <w:noProof/>
        </w:rPr>
        <w:fldChar w:fldCharType="begin"/>
      </w:r>
      <w:r>
        <w:rPr>
          <w:noProof/>
        </w:rPr>
        <w:instrText xml:space="preserve"> PAGEREF _Toc492915005 \h </w:instrText>
      </w:r>
      <w:r>
        <w:rPr>
          <w:noProof/>
        </w:rPr>
      </w:r>
      <w:r>
        <w:rPr>
          <w:noProof/>
        </w:rPr>
        <w:fldChar w:fldCharType="separate"/>
      </w:r>
      <w:r>
        <w:rPr>
          <w:noProof/>
        </w:rPr>
        <w:t>2</w:t>
      </w:r>
      <w:r>
        <w:rPr>
          <w:noProof/>
        </w:rPr>
        <w:fldChar w:fldCharType="end"/>
      </w:r>
    </w:p>
    <w:p w:rsidR="00DE657F" w:rsidRDefault="00DE657F">
      <w:pPr>
        <w:pStyle w:val="TOC1"/>
        <w:rPr>
          <w:rFonts w:eastAsiaTheme="minorEastAsia" w:cstheme="minorBidi"/>
          <w:b w:val="0"/>
          <w:noProof/>
        </w:rPr>
      </w:pPr>
      <w:r>
        <w:rPr>
          <w:noProof/>
        </w:rPr>
        <w:t>2</w:t>
      </w:r>
      <w:r>
        <w:rPr>
          <w:rFonts w:eastAsiaTheme="minorEastAsia" w:cstheme="minorBidi"/>
          <w:b w:val="0"/>
          <w:noProof/>
        </w:rPr>
        <w:tab/>
      </w:r>
      <w:r>
        <w:rPr>
          <w:noProof/>
        </w:rPr>
        <w:t>Background</w:t>
      </w:r>
      <w:r>
        <w:rPr>
          <w:noProof/>
        </w:rPr>
        <w:tab/>
      </w:r>
      <w:r>
        <w:rPr>
          <w:noProof/>
        </w:rPr>
        <w:fldChar w:fldCharType="begin"/>
      </w:r>
      <w:r>
        <w:rPr>
          <w:noProof/>
        </w:rPr>
        <w:instrText xml:space="preserve"> PAGEREF _Toc492915006 \h </w:instrText>
      </w:r>
      <w:r>
        <w:rPr>
          <w:noProof/>
        </w:rPr>
      </w:r>
      <w:r>
        <w:rPr>
          <w:noProof/>
        </w:rPr>
        <w:fldChar w:fldCharType="separate"/>
      </w:r>
      <w:r>
        <w:rPr>
          <w:noProof/>
        </w:rPr>
        <w:t>2</w:t>
      </w:r>
      <w:r>
        <w:rPr>
          <w:noProof/>
        </w:rPr>
        <w:fldChar w:fldCharType="end"/>
      </w:r>
    </w:p>
    <w:p w:rsidR="00DE657F" w:rsidRDefault="00DE657F">
      <w:pPr>
        <w:pStyle w:val="TOC1"/>
        <w:rPr>
          <w:rFonts w:eastAsiaTheme="minorEastAsia" w:cstheme="minorBidi"/>
          <w:b w:val="0"/>
          <w:noProof/>
        </w:rPr>
      </w:pPr>
      <w:r>
        <w:rPr>
          <w:noProof/>
        </w:rPr>
        <w:t>2    Rationale for investment</w:t>
      </w:r>
      <w:r>
        <w:rPr>
          <w:noProof/>
        </w:rPr>
        <w:tab/>
      </w:r>
      <w:r>
        <w:rPr>
          <w:noProof/>
        </w:rPr>
        <w:fldChar w:fldCharType="begin"/>
      </w:r>
      <w:r>
        <w:rPr>
          <w:noProof/>
        </w:rPr>
        <w:instrText xml:space="preserve"> PAGEREF _Toc492915007 \h </w:instrText>
      </w:r>
      <w:r>
        <w:rPr>
          <w:noProof/>
        </w:rPr>
      </w:r>
      <w:r>
        <w:rPr>
          <w:noProof/>
        </w:rPr>
        <w:fldChar w:fldCharType="separate"/>
      </w:r>
      <w:r>
        <w:rPr>
          <w:noProof/>
        </w:rPr>
        <w:t>3</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2.1</w:t>
      </w:r>
      <w:r>
        <w:rPr>
          <w:rFonts w:eastAsiaTheme="minorEastAsia" w:cstheme="minorBidi"/>
          <w:i w:val="0"/>
          <w:noProof/>
        </w:rPr>
        <w:tab/>
      </w:r>
      <w:r>
        <w:rPr>
          <w:noProof/>
        </w:rPr>
        <w:t>Why work on the ‘knowledge sector’?</w:t>
      </w:r>
      <w:r>
        <w:rPr>
          <w:noProof/>
        </w:rPr>
        <w:tab/>
      </w:r>
      <w:r>
        <w:rPr>
          <w:noProof/>
        </w:rPr>
        <w:fldChar w:fldCharType="begin"/>
      </w:r>
      <w:r>
        <w:rPr>
          <w:noProof/>
        </w:rPr>
        <w:instrText xml:space="preserve"> PAGEREF _Toc492915008 \h </w:instrText>
      </w:r>
      <w:r>
        <w:rPr>
          <w:noProof/>
        </w:rPr>
      </w:r>
      <w:r>
        <w:rPr>
          <w:noProof/>
        </w:rPr>
        <w:fldChar w:fldCharType="separate"/>
      </w:r>
      <w:r>
        <w:rPr>
          <w:noProof/>
        </w:rPr>
        <w:t>3</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2.2</w:t>
      </w:r>
      <w:r>
        <w:rPr>
          <w:rFonts w:eastAsiaTheme="minorEastAsia" w:cstheme="minorBidi"/>
          <w:i w:val="0"/>
          <w:noProof/>
        </w:rPr>
        <w:tab/>
      </w:r>
      <w:r>
        <w:rPr>
          <w:noProof/>
        </w:rPr>
        <w:t>Indonesia’s knowledge sector: five years on</w:t>
      </w:r>
      <w:r>
        <w:rPr>
          <w:noProof/>
        </w:rPr>
        <w:tab/>
      </w:r>
      <w:r>
        <w:rPr>
          <w:noProof/>
        </w:rPr>
        <w:fldChar w:fldCharType="begin"/>
      </w:r>
      <w:r>
        <w:rPr>
          <w:noProof/>
        </w:rPr>
        <w:instrText xml:space="preserve"> PAGEREF _Toc492915009 \h </w:instrText>
      </w:r>
      <w:r>
        <w:rPr>
          <w:noProof/>
        </w:rPr>
      </w:r>
      <w:r>
        <w:rPr>
          <w:noProof/>
        </w:rPr>
        <w:fldChar w:fldCharType="separate"/>
      </w:r>
      <w:r>
        <w:rPr>
          <w:noProof/>
        </w:rPr>
        <w:t>4</w:t>
      </w:r>
      <w:r>
        <w:rPr>
          <w:noProof/>
        </w:rPr>
        <w:fldChar w:fldCharType="end"/>
      </w:r>
    </w:p>
    <w:p w:rsidR="00DE657F" w:rsidRDefault="00DE657F">
      <w:pPr>
        <w:pStyle w:val="TOC1"/>
        <w:rPr>
          <w:rFonts w:eastAsiaTheme="minorEastAsia" w:cstheme="minorBidi"/>
          <w:b w:val="0"/>
          <w:noProof/>
        </w:rPr>
      </w:pPr>
      <w:r>
        <w:rPr>
          <w:noProof/>
        </w:rPr>
        <w:t>3</w:t>
      </w:r>
      <w:r>
        <w:rPr>
          <w:rFonts w:eastAsiaTheme="minorEastAsia" w:cstheme="minorBidi"/>
          <w:b w:val="0"/>
          <w:noProof/>
        </w:rPr>
        <w:tab/>
      </w:r>
      <w:r>
        <w:rPr>
          <w:noProof/>
        </w:rPr>
        <w:t>Goal and areas of focus</w:t>
      </w:r>
      <w:r>
        <w:rPr>
          <w:noProof/>
        </w:rPr>
        <w:tab/>
      </w:r>
      <w:r>
        <w:rPr>
          <w:noProof/>
        </w:rPr>
        <w:fldChar w:fldCharType="begin"/>
      </w:r>
      <w:r>
        <w:rPr>
          <w:noProof/>
        </w:rPr>
        <w:instrText xml:space="preserve"> PAGEREF _Toc492915010 \h </w:instrText>
      </w:r>
      <w:r>
        <w:rPr>
          <w:noProof/>
        </w:rPr>
      </w:r>
      <w:r>
        <w:rPr>
          <w:noProof/>
        </w:rPr>
        <w:fldChar w:fldCharType="separate"/>
      </w:r>
      <w:r>
        <w:rPr>
          <w:noProof/>
        </w:rPr>
        <w:t>5</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3.1</w:t>
      </w:r>
      <w:r>
        <w:rPr>
          <w:rFonts w:eastAsiaTheme="minorEastAsia" w:cstheme="minorBidi"/>
          <w:i w:val="0"/>
          <w:noProof/>
        </w:rPr>
        <w:tab/>
      </w:r>
      <w:r>
        <w:rPr>
          <w:noProof/>
        </w:rPr>
        <w:t>Focus area 1: Quality policy research and effective communication</w:t>
      </w:r>
      <w:r>
        <w:rPr>
          <w:noProof/>
        </w:rPr>
        <w:tab/>
      </w:r>
      <w:r>
        <w:rPr>
          <w:noProof/>
        </w:rPr>
        <w:fldChar w:fldCharType="begin"/>
      </w:r>
      <w:r>
        <w:rPr>
          <w:noProof/>
        </w:rPr>
        <w:instrText xml:space="preserve"> PAGEREF _Toc492915011 \h </w:instrText>
      </w:r>
      <w:r>
        <w:rPr>
          <w:noProof/>
        </w:rPr>
      </w:r>
      <w:r>
        <w:rPr>
          <w:noProof/>
        </w:rPr>
        <w:fldChar w:fldCharType="separate"/>
      </w:r>
      <w:r>
        <w:rPr>
          <w:noProof/>
        </w:rPr>
        <w:t>6</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3.2</w:t>
      </w:r>
      <w:r>
        <w:rPr>
          <w:rFonts w:eastAsiaTheme="minorEastAsia" w:cstheme="minorBidi"/>
          <w:i w:val="0"/>
          <w:noProof/>
        </w:rPr>
        <w:tab/>
      </w:r>
      <w:r>
        <w:rPr>
          <w:noProof/>
        </w:rPr>
        <w:t>Focus area 2: Research funding and quality of spending</w:t>
      </w:r>
      <w:r>
        <w:rPr>
          <w:noProof/>
        </w:rPr>
        <w:tab/>
      </w:r>
      <w:r>
        <w:rPr>
          <w:noProof/>
        </w:rPr>
        <w:fldChar w:fldCharType="begin"/>
      </w:r>
      <w:r>
        <w:rPr>
          <w:noProof/>
        </w:rPr>
        <w:instrText xml:space="preserve"> PAGEREF _Toc492915012 \h </w:instrText>
      </w:r>
      <w:r>
        <w:rPr>
          <w:noProof/>
        </w:rPr>
      </w:r>
      <w:r>
        <w:rPr>
          <w:noProof/>
        </w:rPr>
        <w:fldChar w:fldCharType="separate"/>
      </w:r>
      <w:r>
        <w:rPr>
          <w:noProof/>
        </w:rPr>
        <w:t>8</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3.3</w:t>
      </w:r>
      <w:r>
        <w:rPr>
          <w:rFonts w:eastAsiaTheme="minorEastAsia" w:cstheme="minorBidi"/>
          <w:i w:val="0"/>
          <w:noProof/>
        </w:rPr>
        <w:tab/>
      </w:r>
      <w:r>
        <w:rPr>
          <w:noProof/>
        </w:rPr>
        <w:t>Focus area 3: Government knowledge management systems</w:t>
      </w:r>
      <w:r>
        <w:rPr>
          <w:noProof/>
        </w:rPr>
        <w:tab/>
      </w:r>
      <w:r>
        <w:rPr>
          <w:noProof/>
        </w:rPr>
        <w:fldChar w:fldCharType="begin"/>
      </w:r>
      <w:r>
        <w:rPr>
          <w:noProof/>
        </w:rPr>
        <w:instrText xml:space="preserve"> PAGEREF _Toc492915013 \h </w:instrText>
      </w:r>
      <w:r>
        <w:rPr>
          <w:noProof/>
        </w:rPr>
      </w:r>
      <w:r>
        <w:rPr>
          <w:noProof/>
        </w:rPr>
        <w:fldChar w:fldCharType="separate"/>
      </w:r>
      <w:r>
        <w:rPr>
          <w:noProof/>
        </w:rPr>
        <w:t>10</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3.4</w:t>
      </w:r>
      <w:r>
        <w:rPr>
          <w:rFonts w:eastAsiaTheme="minorEastAsia" w:cstheme="minorBidi"/>
          <w:i w:val="0"/>
          <w:noProof/>
        </w:rPr>
        <w:tab/>
      </w:r>
      <w:r>
        <w:rPr>
          <w:noProof/>
        </w:rPr>
        <w:t>Focus area 4: Public discourse</w:t>
      </w:r>
      <w:r>
        <w:rPr>
          <w:noProof/>
        </w:rPr>
        <w:tab/>
      </w:r>
      <w:r>
        <w:rPr>
          <w:noProof/>
        </w:rPr>
        <w:fldChar w:fldCharType="begin"/>
      </w:r>
      <w:r>
        <w:rPr>
          <w:noProof/>
        </w:rPr>
        <w:instrText xml:space="preserve"> PAGEREF _Toc492915014 \h </w:instrText>
      </w:r>
      <w:r>
        <w:rPr>
          <w:noProof/>
        </w:rPr>
      </w:r>
      <w:r>
        <w:rPr>
          <w:noProof/>
        </w:rPr>
        <w:fldChar w:fldCharType="separate"/>
      </w:r>
      <w:r>
        <w:rPr>
          <w:noProof/>
        </w:rPr>
        <w:t>11</w:t>
      </w:r>
      <w:r>
        <w:rPr>
          <w:noProof/>
        </w:rPr>
        <w:fldChar w:fldCharType="end"/>
      </w:r>
    </w:p>
    <w:p w:rsidR="00DE657F" w:rsidRDefault="00DE657F">
      <w:pPr>
        <w:pStyle w:val="TOC1"/>
        <w:rPr>
          <w:rFonts w:eastAsiaTheme="minorEastAsia" w:cstheme="minorBidi"/>
          <w:b w:val="0"/>
          <w:noProof/>
        </w:rPr>
      </w:pPr>
      <w:r>
        <w:rPr>
          <w:noProof/>
        </w:rPr>
        <w:t>4    Approach to program implementation</w:t>
      </w:r>
      <w:r>
        <w:rPr>
          <w:noProof/>
        </w:rPr>
        <w:tab/>
      </w:r>
      <w:r>
        <w:rPr>
          <w:noProof/>
        </w:rPr>
        <w:fldChar w:fldCharType="begin"/>
      </w:r>
      <w:r>
        <w:rPr>
          <w:noProof/>
        </w:rPr>
        <w:instrText xml:space="preserve"> PAGEREF _Toc492915015 \h </w:instrText>
      </w:r>
      <w:r>
        <w:rPr>
          <w:noProof/>
        </w:rPr>
      </w:r>
      <w:r>
        <w:rPr>
          <w:noProof/>
        </w:rPr>
        <w:fldChar w:fldCharType="separate"/>
      </w:r>
      <w:r>
        <w:rPr>
          <w:noProof/>
        </w:rPr>
        <w:t>12</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4.1</w:t>
      </w:r>
      <w:r>
        <w:rPr>
          <w:rFonts w:eastAsiaTheme="minorEastAsia" w:cstheme="minorBidi"/>
          <w:i w:val="0"/>
          <w:noProof/>
        </w:rPr>
        <w:tab/>
      </w:r>
      <w:r>
        <w:rPr>
          <w:noProof/>
        </w:rPr>
        <w:t>Coalitions and collective action</w:t>
      </w:r>
      <w:r>
        <w:rPr>
          <w:noProof/>
        </w:rPr>
        <w:tab/>
      </w:r>
      <w:r>
        <w:rPr>
          <w:noProof/>
        </w:rPr>
        <w:fldChar w:fldCharType="begin"/>
      </w:r>
      <w:r>
        <w:rPr>
          <w:noProof/>
        </w:rPr>
        <w:instrText xml:space="preserve"> PAGEREF _Toc492915016 \h </w:instrText>
      </w:r>
      <w:r>
        <w:rPr>
          <w:noProof/>
        </w:rPr>
      </w:r>
      <w:r>
        <w:rPr>
          <w:noProof/>
        </w:rPr>
        <w:fldChar w:fldCharType="separate"/>
      </w:r>
      <w:r>
        <w:rPr>
          <w:noProof/>
        </w:rPr>
        <w:t>13</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4.2</w:t>
      </w:r>
      <w:r>
        <w:rPr>
          <w:rFonts w:eastAsiaTheme="minorEastAsia" w:cstheme="minorBidi"/>
          <w:i w:val="0"/>
          <w:noProof/>
        </w:rPr>
        <w:tab/>
      </w:r>
      <w:r>
        <w:rPr>
          <w:noProof/>
        </w:rPr>
        <w:t>A hybrid approach</w:t>
      </w:r>
      <w:r>
        <w:rPr>
          <w:noProof/>
        </w:rPr>
        <w:tab/>
      </w:r>
      <w:r>
        <w:rPr>
          <w:noProof/>
        </w:rPr>
        <w:fldChar w:fldCharType="begin"/>
      </w:r>
      <w:r>
        <w:rPr>
          <w:noProof/>
        </w:rPr>
        <w:instrText xml:space="preserve"> PAGEREF _Toc492915017 \h </w:instrText>
      </w:r>
      <w:r>
        <w:rPr>
          <w:noProof/>
        </w:rPr>
      </w:r>
      <w:r>
        <w:rPr>
          <w:noProof/>
        </w:rPr>
        <w:fldChar w:fldCharType="separate"/>
      </w:r>
      <w:r>
        <w:rPr>
          <w:noProof/>
        </w:rPr>
        <w:t>13</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4.3</w:t>
      </w:r>
      <w:r>
        <w:rPr>
          <w:rFonts w:eastAsiaTheme="minorEastAsia" w:cstheme="minorBidi"/>
          <w:i w:val="0"/>
          <w:noProof/>
        </w:rPr>
        <w:tab/>
      </w:r>
      <w:r>
        <w:rPr>
          <w:noProof/>
        </w:rPr>
        <w:t>Participatory planning and decision-making</w:t>
      </w:r>
      <w:r>
        <w:rPr>
          <w:noProof/>
        </w:rPr>
        <w:tab/>
      </w:r>
      <w:r>
        <w:rPr>
          <w:noProof/>
        </w:rPr>
        <w:fldChar w:fldCharType="begin"/>
      </w:r>
      <w:r>
        <w:rPr>
          <w:noProof/>
        </w:rPr>
        <w:instrText xml:space="preserve"> PAGEREF _Toc492915018 \h </w:instrText>
      </w:r>
      <w:r>
        <w:rPr>
          <w:noProof/>
        </w:rPr>
      </w:r>
      <w:r>
        <w:rPr>
          <w:noProof/>
        </w:rPr>
        <w:fldChar w:fldCharType="separate"/>
      </w:r>
      <w:r>
        <w:rPr>
          <w:noProof/>
        </w:rPr>
        <w:t>14</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4.4</w:t>
      </w:r>
      <w:r>
        <w:rPr>
          <w:rFonts w:eastAsiaTheme="minorEastAsia" w:cstheme="minorBidi"/>
          <w:i w:val="0"/>
          <w:noProof/>
        </w:rPr>
        <w:tab/>
      </w:r>
      <w:r>
        <w:rPr>
          <w:noProof/>
        </w:rPr>
        <w:t>Team structure and skills</w:t>
      </w:r>
      <w:r>
        <w:rPr>
          <w:noProof/>
        </w:rPr>
        <w:tab/>
      </w:r>
      <w:r>
        <w:rPr>
          <w:noProof/>
        </w:rPr>
        <w:fldChar w:fldCharType="begin"/>
      </w:r>
      <w:r>
        <w:rPr>
          <w:noProof/>
        </w:rPr>
        <w:instrText xml:space="preserve"> PAGEREF _Toc492915019 \h </w:instrText>
      </w:r>
      <w:r>
        <w:rPr>
          <w:noProof/>
        </w:rPr>
      </w:r>
      <w:r>
        <w:rPr>
          <w:noProof/>
        </w:rPr>
        <w:fldChar w:fldCharType="separate"/>
      </w:r>
      <w:r>
        <w:rPr>
          <w:noProof/>
        </w:rPr>
        <w:t>14</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 xml:space="preserve">4.5 </w:t>
      </w:r>
      <w:r>
        <w:rPr>
          <w:rFonts w:eastAsiaTheme="minorEastAsia" w:cstheme="minorBidi"/>
          <w:i w:val="0"/>
          <w:noProof/>
        </w:rPr>
        <w:tab/>
      </w:r>
      <w:r>
        <w:rPr>
          <w:noProof/>
        </w:rPr>
        <w:t>Risk management</w:t>
      </w:r>
      <w:r>
        <w:rPr>
          <w:noProof/>
        </w:rPr>
        <w:tab/>
      </w:r>
      <w:r>
        <w:rPr>
          <w:noProof/>
        </w:rPr>
        <w:fldChar w:fldCharType="begin"/>
      </w:r>
      <w:r>
        <w:rPr>
          <w:noProof/>
        </w:rPr>
        <w:instrText xml:space="preserve"> PAGEREF _Toc492915020 \h </w:instrText>
      </w:r>
      <w:r>
        <w:rPr>
          <w:noProof/>
        </w:rPr>
      </w:r>
      <w:r>
        <w:rPr>
          <w:noProof/>
        </w:rPr>
        <w:fldChar w:fldCharType="separate"/>
      </w:r>
      <w:r>
        <w:rPr>
          <w:noProof/>
        </w:rPr>
        <w:t>15</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4.6</w:t>
      </w:r>
      <w:r>
        <w:rPr>
          <w:rFonts w:eastAsiaTheme="minorEastAsia" w:cstheme="minorBidi"/>
          <w:i w:val="0"/>
          <w:noProof/>
        </w:rPr>
        <w:tab/>
      </w:r>
      <w:r>
        <w:rPr>
          <w:noProof/>
        </w:rPr>
        <w:t>Ensuring sustainability</w:t>
      </w:r>
      <w:r>
        <w:rPr>
          <w:noProof/>
        </w:rPr>
        <w:tab/>
      </w:r>
      <w:r>
        <w:rPr>
          <w:noProof/>
        </w:rPr>
        <w:fldChar w:fldCharType="begin"/>
      </w:r>
      <w:r>
        <w:rPr>
          <w:noProof/>
        </w:rPr>
        <w:instrText xml:space="preserve"> PAGEREF _Toc492915021 \h </w:instrText>
      </w:r>
      <w:r>
        <w:rPr>
          <w:noProof/>
        </w:rPr>
      </w:r>
      <w:r>
        <w:rPr>
          <w:noProof/>
        </w:rPr>
        <w:fldChar w:fldCharType="separate"/>
      </w:r>
      <w:r>
        <w:rPr>
          <w:noProof/>
        </w:rPr>
        <w:t>15</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4.7</w:t>
      </w:r>
      <w:r>
        <w:rPr>
          <w:rFonts w:eastAsiaTheme="minorEastAsia" w:cstheme="minorBidi"/>
          <w:i w:val="0"/>
          <w:noProof/>
        </w:rPr>
        <w:tab/>
      </w:r>
      <w:r>
        <w:rPr>
          <w:noProof/>
        </w:rPr>
        <w:t>Links to other Australian programs</w:t>
      </w:r>
      <w:r>
        <w:rPr>
          <w:noProof/>
        </w:rPr>
        <w:tab/>
      </w:r>
      <w:r>
        <w:rPr>
          <w:noProof/>
        </w:rPr>
        <w:fldChar w:fldCharType="begin"/>
      </w:r>
      <w:r>
        <w:rPr>
          <w:noProof/>
        </w:rPr>
        <w:instrText xml:space="preserve"> PAGEREF _Toc492915022 \h </w:instrText>
      </w:r>
      <w:r>
        <w:rPr>
          <w:noProof/>
        </w:rPr>
      </w:r>
      <w:r>
        <w:rPr>
          <w:noProof/>
        </w:rPr>
        <w:fldChar w:fldCharType="separate"/>
      </w:r>
      <w:r>
        <w:rPr>
          <w:noProof/>
        </w:rPr>
        <w:t>16</w:t>
      </w:r>
      <w:r>
        <w:rPr>
          <w:noProof/>
        </w:rPr>
        <w:fldChar w:fldCharType="end"/>
      </w:r>
    </w:p>
    <w:p w:rsidR="00DE657F" w:rsidRDefault="00DE657F">
      <w:pPr>
        <w:pStyle w:val="TOC1"/>
        <w:rPr>
          <w:rFonts w:eastAsiaTheme="minorEastAsia" w:cstheme="minorBidi"/>
          <w:b w:val="0"/>
          <w:noProof/>
        </w:rPr>
      </w:pPr>
      <w:r>
        <w:rPr>
          <w:noProof/>
        </w:rPr>
        <w:t>5    Monitoring, evaluating, learning and communicating</w:t>
      </w:r>
      <w:r>
        <w:rPr>
          <w:noProof/>
        </w:rPr>
        <w:tab/>
      </w:r>
      <w:r>
        <w:rPr>
          <w:noProof/>
        </w:rPr>
        <w:fldChar w:fldCharType="begin"/>
      </w:r>
      <w:r>
        <w:rPr>
          <w:noProof/>
        </w:rPr>
        <w:instrText xml:space="preserve"> PAGEREF _Toc492915023 \h </w:instrText>
      </w:r>
      <w:r>
        <w:rPr>
          <w:noProof/>
        </w:rPr>
      </w:r>
      <w:r>
        <w:rPr>
          <w:noProof/>
        </w:rPr>
        <w:fldChar w:fldCharType="separate"/>
      </w:r>
      <w:r>
        <w:rPr>
          <w:noProof/>
        </w:rPr>
        <w:t>16</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5.1</w:t>
      </w:r>
      <w:r>
        <w:rPr>
          <w:rFonts w:eastAsiaTheme="minorEastAsia" w:cstheme="minorBidi"/>
          <w:i w:val="0"/>
          <w:noProof/>
        </w:rPr>
        <w:tab/>
      </w:r>
      <w:r>
        <w:rPr>
          <w:noProof/>
        </w:rPr>
        <w:t>M&amp;E and learning</w:t>
      </w:r>
      <w:r>
        <w:rPr>
          <w:noProof/>
        </w:rPr>
        <w:tab/>
      </w:r>
      <w:r>
        <w:rPr>
          <w:noProof/>
        </w:rPr>
        <w:fldChar w:fldCharType="begin"/>
      </w:r>
      <w:r>
        <w:rPr>
          <w:noProof/>
        </w:rPr>
        <w:instrText xml:space="preserve"> PAGEREF _Toc492915024 \h </w:instrText>
      </w:r>
      <w:r>
        <w:rPr>
          <w:noProof/>
        </w:rPr>
      </w:r>
      <w:r>
        <w:rPr>
          <w:noProof/>
        </w:rPr>
        <w:fldChar w:fldCharType="separate"/>
      </w:r>
      <w:r>
        <w:rPr>
          <w:noProof/>
        </w:rPr>
        <w:t>16</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5.2</w:t>
      </w:r>
      <w:r>
        <w:rPr>
          <w:rFonts w:eastAsiaTheme="minorEastAsia" w:cstheme="minorBidi"/>
          <w:i w:val="0"/>
          <w:noProof/>
        </w:rPr>
        <w:tab/>
      </w:r>
      <w:r>
        <w:rPr>
          <w:noProof/>
        </w:rPr>
        <w:t>Communications</w:t>
      </w:r>
      <w:r>
        <w:rPr>
          <w:noProof/>
        </w:rPr>
        <w:tab/>
      </w:r>
      <w:r>
        <w:rPr>
          <w:noProof/>
        </w:rPr>
        <w:fldChar w:fldCharType="begin"/>
      </w:r>
      <w:r>
        <w:rPr>
          <w:noProof/>
        </w:rPr>
        <w:instrText xml:space="preserve"> PAGEREF _Toc492915025 \h </w:instrText>
      </w:r>
      <w:r>
        <w:rPr>
          <w:noProof/>
        </w:rPr>
      </w:r>
      <w:r>
        <w:rPr>
          <w:noProof/>
        </w:rPr>
        <w:fldChar w:fldCharType="separate"/>
      </w:r>
      <w:r>
        <w:rPr>
          <w:noProof/>
        </w:rPr>
        <w:t>17</w:t>
      </w:r>
      <w:r>
        <w:rPr>
          <w:noProof/>
        </w:rPr>
        <w:fldChar w:fldCharType="end"/>
      </w:r>
    </w:p>
    <w:p w:rsidR="00DE657F" w:rsidRDefault="00DE657F">
      <w:pPr>
        <w:pStyle w:val="TOC1"/>
        <w:rPr>
          <w:rFonts w:eastAsiaTheme="minorEastAsia" w:cstheme="minorBidi"/>
          <w:b w:val="0"/>
          <w:noProof/>
        </w:rPr>
      </w:pPr>
      <w:r>
        <w:rPr>
          <w:noProof/>
        </w:rPr>
        <w:t>6   Partnerships</w:t>
      </w:r>
      <w:r>
        <w:rPr>
          <w:noProof/>
        </w:rPr>
        <w:tab/>
      </w:r>
      <w:r>
        <w:rPr>
          <w:noProof/>
        </w:rPr>
        <w:fldChar w:fldCharType="begin"/>
      </w:r>
      <w:r>
        <w:rPr>
          <w:noProof/>
        </w:rPr>
        <w:instrText xml:space="preserve"> PAGEREF _Toc492915026 \h </w:instrText>
      </w:r>
      <w:r>
        <w:rPr>
          <w:noProof/>
        </w:rPr>
      </w:r>
      <w:r>
        <w:rPr>
          <w:noProof/>
        </w:rPr>
        <w:fldChar w:fldCharType="separate"/>
      </w:r>
      <w:r>
        <w:rPr>
          <w:noProof/>
        </w:rPr>
        <w:t>18</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6.1</w:t>
      </w:r>
      <w:r>
        <w:rPr>
          <w:rFonts w:eastAsiaTheme="minorEastAsia" w:cstheme="minorBidi"/>
          <w:i w:val="0"/>
          <w:noProof/>
        </w:rPr>
        <w:tab/>
      </w:r>
      <w:r>
        <w:rPr>
          <w:noProof/>
        </w:rPr>
        <w:t>Policy research partners and networks</w:t>
      </w:r>
      <w:r>
        <w:rPr>
          <w:noProof/>
        </w:rPr>
        <w:tab/>
      </w:r>
      <w:r>
        <w:rPr>
          <w:noProof/>
        </w:rPr>
        <w:fldChar w:fldCharType="begin"/>
      </w:r>
      <w:r>
        <w:rPr>
          <w:noProof/>
        </w:rPr>
        <w:instrText xml:space="preserve"> PAGEREF _Toc492915027 \h </w:instrText>
      </w:r>
      <w:r>
        <w:rPr>
          <w:noProof/>
        </w:rPr>
      </w:r>
      <w:r>
        <w:rPr>
          <w:noProof/>
        </w:rPr>
        <w:fldChar w:fldCharType="separate"/>
      </w:r>
      <w:r>
        <w:rPr>
          <w:noProof/>
        </w:rPr>
        <w:t>18</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6.2</w:t>
      </w:r>
      <w:r>
        <w:rPr>
          <w:rFonts w:eastAsiaTheme="minorEastAsia" w:cstheme="minorBidi"/>
          <w:i w:val="0"/>
          <w:noProof/>
        </w:rPr>
        <w:tab/>
      </w:r>
      <w:r>
        <w:rPr>
          <w:noProof/>
        </w:rPr>
        <w:t>National and sub-national government partners</w:t>
      </w:r>
      <w:r>
        <w:rPr>
          <w:noProof/>
        </w:rPr>
        <w:tab/>
      </w:r>
      <w:r>
        <w:rPr>
          <w:noProof/>
        </w:rPr>
        <w:fldChar w:fldCharType="begin"/>
      </w:r>
      <w:r>
        <w:rPr>
          <w:noProof/>
        </w:rPr>
        <w:instrText xml:space="preserve"> PAGEREF _Toc492915028 \h </w:instrText>
      </w:r>
      <w:r>
        <w:rPr>
          <w:noProof/>
        </w:rPr>
      </w:r>
      <w:r>
        <w:rPr>
          <w:noProof/>
        </w:rPr>
        <w:fldChar w:fldCharType="separate"/>
      </w:r>
      <w:r>
        <w:rPr>
          <w:noProof/>
        </w:rPr>
        <w:t>19</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6.3</w:t>
      </w:r>
      <w:r>
        <w:rPr>
          <w:rFonts w:eastAsiaTheme="minorEastAsia" w:cstheme="minorBidi"/>
          <w:i w:val="0"/>
          <w:noProof/>
        </w:rPr>
        <w:tab/>
      </w:r>
      <w:r>
        <w:rPr>
          <w:noProof/>
        </w:rPr>
        <w:t>Strategic partners</w:t>
      </w:r>
      <w:r>
        <w:rPr>
          <w:noProof/>
        </w:rPr>
        <w:tab/>
      </w:r>
      <w:r>
        <w:rPr>
          <w:noProof/>
        </w:rPr>
        <w:fldChar w:fldCharType="begin"/>
      </w:r>
      <w:r>
        <w:rPr>
          <w:noProof/>
        </w:rPr>
        <w:instrText xml:space="preserve"> PAGEREF _Toc492915029 \h </w:instrText>
      </w:r>
      <w:r>
        <w:rPr>
          <w:noProof/>
        </w:rPr>
      </w:r>
      <w:r>
        <w:rPr>
          <w:noProof/>
        </w:rPr>
        <w:fldChar w:fldCharType="separate"/>
      </w:r>
      <w:r>
        <w:rPr>
          <w:noProof/>
        </w:rPr>
        <w:t>19</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6.4</w:t>
      </w:r>
      <w:r>
        <w:rPr>
          <w:rFonts w:eastAsiaTheme="minorEastAsia" w:cstheme="minorBidi"/>
          <w:i w:val="0"/>
          <w:noProof/>
        </w:rPr>
        <w:tab/>
      </w:r>
      <w:r>
        <w:rPr>
          <w:noProof/>
        </w:rPr>
        <w:t>Resource partners</w:t>
      </w:r>
      <w:r>
        <w:rPr>
          <w:noProof/>
        </w:rPr>
        <w:tab/>
      </w:r>
      <w:r>
        <w:rPr>
          <w:noProof/>
        </w:rPr>
        <w:fldChar w:fldCharType="begin"/>
      </w:r>
      <w:r>
        <w:rPr>
          <w:noProof/>
        </w:rPr>
        <w:instrText xml:space="preserve"> PAGEREF _Toc492915030 \h </w:instrText>
      </w:r>
      <w:r>
        <w:rPr>
          <w:noProof/>
        </w:rPr>
      </w:r>
      <w:r>
        <w:rPr>
          <w:noProof/>
        </w:rPr>
        <w:fldChar w:fldCharType="separate"/>
      </w:r>
      <w:r>
        <w:rPr>
          <w:noProof/>
        </w:rPr>
        <w:t>20</w:t>
      </w:r>
      <w:r>
        <w:rPr>
          <w:noProof/>
        </w:rPr>
        <w:fldChar w:fldCharType="end"/>
      </w:r>
    </w:p>
    <w:p w:rsidR="00DE657F" w:rsidRDefault="00DE657F">
      <w:pPr>
        <w:pStyle w:val="TOC1"/>
        <w:rPr>
          <w:rFonts w:eastAsiaTheme="minorEastAsia" w:cstheme="minorBidi"/>
          <w:b w:val="0"/>
          <w:noProof/>
        </w:rPr>
      </w:pPr>
      <w:r>
        <w:rPr>
          <w:noProof/>
        </w:rPr>
        <w:t>7   Program governance</w:t>
      </w:r>
      <w:r>
        <w:rPr>
          <w:noProof/>
        </w:rPr>
        <w:tab/>
      </w:r>
      <w:r>
        <w:rPr>
          <w:noProof/>
        </w:rPr>
        <w:fldChar w:fldCharType="begin"/>
      </w:r>
      <w:r>
        <w:rPr>
          <w:noProof/>
        </w:rPr>
        <w:instrText xml:space="preserve"> PAGEREF _Toc492915031 \h </w:instrText>
      </w:r>
      <w:r>
        <w:rPr>
          <w:noProof/>
        </w:rPr>
      </w:r>
      <w:r>
        <w:rPr>
          <w:noProof/>
        </w:rPr>
        <w:fldChar w:fldCharType="separate"/>
      </w:r>
      <w:r>
        <w:rPr>
          <w:noProof/>
        </w:rPr>
        <w:t>20</w:t>
      </w:r>
      <w:r>
        <w:rPr>
          <w:noProof/>
        </w:rPr>
        <w:fldChar w:fldCharType="end"/>
      </w:r>
    </w:p>
    <w:p w:rsidR="00DE657F" w:rsidRDefault="00DE657F">
      <w:pPr>
        <w:pStyle w:val="TOC2"/>
        <w:tabs>
          <w:tab w:val="left" w:pos="880"/>
          <w:tab w:val="right" w:pos="8296"/>
        </w:tabs>
        <w:rPr>
          <w:rFonts w:eastAsiaTheme="minorEastAsia" w:cstheme="minorBidi"/>
          <w:i w:val="0"/>
          <w:noProof/>
        </w:rPr>
      </w:pPr>
      <w:r>
        <w:rPr>
          <w:noProof/>
        </w:rPr>
        <w:t>7.1</w:t>
      </w:r>
      <w:r>
        <w:rPr>
          <w:rFonts w:eastAsiaTheme="minorEastAsia" w:cstheme="minorBidi"/>
          <w:i w:val="0"/>
          <w:noProof/>
        </w:rPr>
        <w:tab/>
      </w:r>
      <w:r>
        <w:rPr>
          <w:noProof/>
        </w:rPr>
        <w:t>Program Steering Committee and Program Technical Secretariat</w:t>
      </w:r>
      <w:r>
        <w:rPr>
          <w:noProof/>
        </w:rPr>
        <w:tab/>
      </w:r>
      <w:r>
        <w:rPr>
          <w:noProof/>
        </w:rPr>
        <w:fldChar w:fldCharType="begin"/>
      </w:r>
      <w:r>
        <w:rPr>
          <w:noProof/>
        </w:rPr>
        <w:instrText xml:space="preserve"> PAGEREF _Toc492915032 \h </w:instrText>
      </w:r>
      <w:r>
        <w:rPr>
          <w:noProof/>
        </w:rPr>
      </w:r>
      <w:r>
        <w:rPr>
          <w:noProof/>
        </w:rPr>
        <w:fldChar w:fldCharType="separate"/>
      </w:r>
      <w:r>
        <w:rPr>
          <w:noProof/>
        </w:rPr>
        <w:t>20</w:t>
      </w:r>
      <w:r>
        <w:rPr>
          <w:noProof/>
        </w:rPr>
        <w:fldChar w:fldCharType="end"/>
      </w:r>
    </w:p>
    <w:p w:rsidR="00DE657F" w:rsidRDefault="00DE657F">
      <w:pPr>
        <w:pStyle w:val="TOC1"/>
        <w:rPr>
          <w:rFonts w:eastAsiaTheme="minorEastAsia" w:cstheme="minorBidi"/>
          <w:b w:val="0"/>
          <w:noProof/>
        </w:rPr>
      </w:pPr>
      <w:r>
        <w:rPr>
          <w:noProof/>
        </w:rPr>
        <w:t>Annex 1: Phase 1 lessons and implications</w:t>
      </w:r>
      <w:r>
        <w:rPr>
          <w:noProof/>
        </w:rPr>
        <w:tab/>
      </w:r>
      <w:r>
        <w:rPr>
          <w:noProof/>
        </w:rPr>
        <w:fldChar w:fldCharType="begin"/>
      </w:r>
      <w:r>
        <w:rPr>
          <w:noProof/>
        </w:rPr>
        <w:instrText xml:space="preserve"> PAGEREF _Toc492915033 \h </w:instrText>
      </w:r>
      <w:r>
        <w:rPr>
          <w:noProof/>
        </w:rPr>
      </w:r>
      <w:r>
        <w:rPr>
          <w:noProof/>
        </w:rPr>
        <w:fldChar w:fldCharType="separate"/>
      </w:r>
      <w:r>
        <w:rPr>
          <w:noProof/>
        </w:rPr>
        <w:t>22</w:t>
      </w:r>
      <w:r>
        <w:rPr>
          <w:noProof/>
        </w:rPr>
        <w:fldChar w:fldCharType="end"/>
      </w:r>
    </w:p>
    <w:p w:rsidR="00DE657F" w:rsidRDefault="00DE657F">
      <w:pPr>
        <w:pStyle w:val="TOC1"/>
        <w:rPr>
          <w:rFonts w:eastAsiaTheme="minorEastAsia" w:cstheme="minorBidi"/>
          <w:b w:val="0"/>
          <w:noProof/>
        </w:rPr>
      </w:pPr>
      <w:r>
        <w:rPr>
          <w:noProof/>
        </w:rPr>
        <w:t>Annex 2: Barriers to a healthy knowledge sector</w:t>
      </w:r>
      <w:r>
        <w:rPr>
          <w:noProof/>
        </w:rPr>
        <w:tab/>
      </w:r>
      <w:r>
        <w:rPr>
          <w:noProof/>
        </w:rPr>
        <w:fldChar w:fldCharType="begin"/>
      </w:r>
      <w:r>
        <w:rPr>
          <w:noProof/>
        </w:rPr>
        <w:instrText xml:space="preserve"> PAGEREF _Toc492915034 \h </w:instrText>
      </w:r>
      <w:r>
        <w:rPr>
          <w:noProof/>
        </w:rPr>
      </w:r>
      <w:r>
        <w:rPr>
          <w:noProof/>
        </w:rPr>
        <w:fldChar w:fldCharType="separate"/>
      </w:r>
      <w:r>
        <w:rPr>
          <w:noProof/>
        </w:rPr>
        <w:t>25</w:t>
      </w:r>
      <w:r>
        <w:rPr>
          <w:noProof/>
        </w:rPr>
        <w:fldChar w:fldCharType="end"/>
      </w:r>
    </w:p>
    <w:p w:rsidR="000A21A3" w:rsidRPr="00BD1DA6" w:rsidRDefault="00CB09B3" w:rsidP="00BD1DA6">
      <w:pPr>
        <w:jc w:val="both"/>
        <w:rPr>
          <w:sz w:val="28"/>
          <w:szCs w:val="28"/>
        </w:rPr>
        <w:sectPr w:rsidR="000A21A3" w:rsidRPr="00BD1DA6" w:rsidSect="000A21A3">
          <w:pgSz w:w="11906" w:h="16838"/>
          <w:pgMar w:top="1440" w:right="1800" w:bottom="1440" w:left="1800" w:header="708" w:footer="708" w:gutter="0"/>
          <w:pgNumType w:fmt="lowerRoman" w:start="1"/>
          <w:cols w:space="708"/>
          <w:docGrid w:linePitch="360"/>
        </w:sectPr>
      </w:pPr>
      <w:r>
        <w:rPr>
          <w:sz w:val="28"/>
          <w:szCs w:val="28"/>
        </w:rPr>
        <w:fldChar w:fldCharType="end"/>
      </w:r>
    </w:p>
    <w:p w:rsidR="00BD1DA6" w:rsidRDefault="00BD1DA6" w:rsidP="00BD1DA6">
      <w:pPr>
        <w:pStyle w:val="Heading1"/>
        <w:spacing w:after="0"/>
      </w:pPr>
      <w:bookmarkStart w:id="1" w:name="_Toc492915004"/>
      <w:bookmarkStart w:id="2" w:name="_Toc479845298"/>
      <w:bookmarkStart w:id="3" w:name="_Toc479954167"/>
      <w:r>
        <w:lastRenderedPageBreak/>
        <w:t>Abbreviations</w:t>
      </w:r>
      <w:bookmarkEnd w:id="1"/>
    </w:p>
    <w:p w:rsidR="00BD1DA6" w:rsidRPr="00BD1DA6" w:rsidRDefault="00BD1DA6" w:rsidP="00BD1DA6">
      <w:pPr>
        <w:pStyle w:val="Heading1"/>
        <w:spacing w:after="0"/>
        <w:rPr>
          <w:rFonts w:asciiTheme="minorHAnsi" w:hAnsiTheme="minorHAnsi"/>
        </w:rPr>
      </w:pPr>
    </w:p>
    <w:p w:rsidR="00BD1DA6" w:rsidRPr="00A630B9" w:rsidRDefault="00BD1DA6" w:rsidP="00BD1DA6">
      <w:pPr>
        <w:pStyle w:val="Abbrevs"/>
        <w:rPr>
          <w:rFonts w:asciiTheme="minorHAnsi" w:hAnsiTheme="minorHAnsi"/>
        </w:rPr>
      </w:pPr>
      <w:r w:rsidRPr="00A630B9">
        <w:rPr>
          <w:rFonts w:asciiTheme="minorHAnsi" w:hAnsiTheme="minorHAnsi"/>
        </w:rPr>
        <w:t>AAKI</w:t>
      </w:r>
      <w:r w:rsidRPr="00A630B9">
        <w:rPr>
          <w:rFonts w:asciiTheme="minorHAnsi" w:hAnsiTheme="minorHAnsi"/>
        </w:rPr>
        <w:tab/>
      </w:r>
      <w:r w:rsidR="00E24C18" w:rsidRPr="00A630B9">
        <w:rPr>
          <w:rFonts w:asciiTheme="minorHAnsi" w:hAnsiTheme="minorHAnsi"/>
        </w:rPr>
        <w:t xml:space="preserve">Indonesian Policy Analysts Association </w:t>
      </w:r>
    </w:p>
    <w:p w:rsidR="00BD1DA6" w:rsidRPr="00BD1DA6" w:rsidRDefault="00BD1DA6" w:rsidP="00BD1DA6">
      <w:pPr>
        <w:pStyle w:val="Abbrevs"/>
        <w:rPr>
          <w:rFonts w:asciiTheme="minorHAnsi" w:hAnsiTheme="minorHAnsi"/>
        </w:rPr>
      </w:pPr>
      <w:r w:rsidRPr="00BD1DA6">
        <w:rPr>
          <w:rFonts w:asciiTheme="minorHAnsi" w:hAnsiTheme="minorHAnsi"/>
        </w:rPr>
        <w:t>AIPI</w:t>
      </w:r>
      <w:r w:rsidRPr="00BD1DA6">
        <w:rPr>
          <w:rFonts w:asciiTheme="minorHAnsi" w:hAnsiTheme="minorHAnsi"/>
        </w:rPr>
        <w:tab/>
        <w:t>Indonesia Academy of Science</w:t>
      </w:r>
    </w:p>
    <w:p w:rsidR="00BD1DA6" w:rsidRPr="00BD1DA6" w:rsidRDefault="00BD1DA6" w:rsidP="00BD1DA6">
      <w:pPr>
        <w:pStyle w:val="Abbrevs"/>
        <w:rPr>
          <w:rFonts w:asciiTheme="minorHAnsi" w:hAnsiTheme="minorHAnsi"/>
        </w:rPr>
      </w:pPr>
      <w:bookmarkStart w:id="4" w:name="Abbrevs"/>
      <w:bookmarkEnd w:id="4"/>
      <w:r w:rsidRPr="00BD1DA6">
        <w:rPr>
          <w:rFonts w:asciiTheme="minorHAnsi" w:hAnsiTheme="minorHAnsi"/>
        </w:rPr>
        <w:t>ALMI</w:t>
      </w:r>
      <w:r w:rsidRPr="00BD1DA6">
        <w:rPr>
          <w:rFonts w:asciiTheme="minorHAnsi" w:hAnsiTheme="minorHAnsi"/>
        </w:rPr>
        <w:tab/>
        <w:t>Indonesia Academy of Young Scientists</w:t>
      </w:r>
    </w:p>
    <w:p w:rsidR="00BD1DA6" w:rsidRPr="00BD1DA6" w:rsidRDefault="00BD1DA6" w:rsidP="00BD1DA6">
      <w:pPr>
        <w:pStyle w:val="Abbrevs"/>
        <w:rPr>
          <w:rFonts w:asciiTheme="minorHAnsi" w:hAnsiTheme="minorHAnsi"/>
        </w:rPr>
      </w:pPr>
      <w:r w:rsidRPr="00BD1DA6">
        <w:rPr>
          <w:rFonts w:asciiTheme="minorHAnsi" w:hAnsiTheme="minorHAnsi"/>
        </w:rPr>
        <w:t>ARK Indonesia</w:t>
      </w:r>
      <w:r w:rsidRPr="00BD1DA6">
        <w:rPr>
          <w:rFonts w:asciiTheme="minorHAnsi" w:hAnsiTheme="minorHAnsi"/>
        </w:rPr>
        <w:tab/>
        <w:t xml:space="preserve">Indonesian Alliance for </w:t>
      </w:r>
      <w:r>
        <w:rPr>
          <w:rFonts w:asciiTheme="minorHAnsi" w:hAnsiTheme="minorHAnsi"/>
        </w:rPr>
        <w:t>Policy Research</w:t>
      </w:r>
    </w:p>
    <w:p w:rsidR="00BD1DA6" w:rsidRPr="00BD1DA6" w:rsidRDefault="00BD1DA6" w:rsidP="00BD1DA6">
      <w:pPr>
        <w:pStyle w:val="Abbrevs"/>
        <w:rPr>
          <w:rFonts w:asciiTheme="minorHAnsi" w:hAnsiTheme="minorHAnsi"/>
        </w:rPr>
      </w:pPr>
      <w:r w:rsidRPr="00BD1DA6">
        <w:rPr>
          <w:rFonts w:asciiTheme="minorHAnsi" w:hAnsiTheme="minorHAnsi"/>
        </w:rPr>
        <w:t>BaKTI</w:t>
      </w:r>
      <w:r w:rsidRPr="00BD1DA6">
        <w:rPr>
          <w:rFonts w:asciiTheme="minorHAnsi" w:hAnsiTheme="minorHAnsi"/>
        </w:rPr>
        <w:tab/>
        <w:t>Eastern Indonesia Knowledge Exchange</w:t>
      </w:r>
    </w:p>
    <w:p w:rsidR="00BD1DA6" w:rsidRPr="00BD1DA6" w:rsidRDefault="00BD1DA6" w:rsidP="00BD1DA6">
      <w:pPr>
        <w:pStyle w:val="Abbrevs"/>
        <w:rPr>
          <w:rFonts w:asciiTheme="minorHAnsi" w:hAnsiTheme="minorHAnsi"/>
        </w:rPr>
      </w:pPr>
      <w:r w:rsidRPr="00BD1DA6">
        <w:rPr>
          <w:rFonts w:asciiTheme="minorHAnsi" w:hAnsiTheme="minorHAnsi"/>
          <w:i/>
        </w:rPr>
        <w:t>Balitbang</w:t>
      </w:r>
      <w:r w:rsidRPr="00BD1DA6">
        <w:rPr>
          <w:rFonts w:asciiTheme="minorHAnsi" w:hAnsiTheme="minorHAnsi"/>
        </w:rPr>
        <w:tab/>
        <w:t>government research and development unit</w:t>
      </w:r>
    </w:p>
    <w:p w:rsidR="00BD1DA6" w:rsidRPr="00BD1DA6" w:rsidRDefault="00BD1DA6" w:rsidP="00BD1DA6">
      <w:pPr>
        <w:pStyle w:val="Abbrevs"/>
        <w:rPr>
          <w:rFonts w:asciiTheme="minorHAnsi" w:hAnsiTheme="minorHAnsi"/>
        </w:rPr>
      </w:pPr>
      <w:r w:rsidRPr="00BD1DA6">
        <w:rPr>
          <w:rFonts w:asciiTheme="minorHAnsi" w:hAnsiTheme="minorHAnsi"/>
        </w:rPr>
        <w:t>BAPPEDA</w:t>
      </w:r>
      <w:r w:rsidRPr="00BD1DA6">
        <w:rPr>
          <w:rFonts w:asciiTheme="minorHAnsi" w:hAnsiTheme="minorHAnsi"/>
        </w:rPr>
        <w:tab/>
        <w:t>Regional Development Planning Board(s)</w:t>
      </w:r>
    </w:p>
    <w:p w:rsidR="00BD1DA6" w:rsidRPr="00BD1DA6" w:rsidRDefault="00BD1DA6" w:rsidP="00BD1DA6">
      <w:pPr>
        <w:pStyle w:val="Abbrevs"/>
        <w:rPr>
          <w:rFonts w:asciiTheme="minorHAnsi" w:hAnsiTheme="minorHAnsi"/>
        </w:rPr>
      </w:pPr>
      <w:r w:rsidRPr="00BD1DA6">
        <w:rPr>
          <w:rFonts w:asciiTheme="minorHAnsi" w:hAnsiTheme="minorHAnsi"/>
        </w:rPr>
        <w:t>Bappenas</w:t>
      </w:r>
      <w:r w:rsidRPr="00BD1DA6">
        <w:rPr>
          <w:rFonts w:asciiTheme="minorHAnsi" w:hAnsiTheme="minorHAnsi"/>
        </w:rPr>
        <w:tab/>
        <w:t>National Planning Agency</w:t>
      </w:r>
    </w:p>
    <w:p w:rsidR="00BD1DA6" w:rsidRPr="00BD1DA6" w:rsidRDefault="00BD1DA6" w:rsidP="00BD1DA6">
      <w:pPr>
        <w:pStyle w:val="Abbrevs"/>
        <w:rPr>
          <w:rFonts w:asciiTheme="minorHAnsi" w:hAnsiTheme="minorHAnsi"/>
        </w:rPr>
      </w:pPr>
      <w:r w:rsidRPr="00BD1DA6">
        <w:rPr>
          <w:rFonts w:asciiTheme="minorHAnsi" w:hAnsiTheme="minorHAnsi"/>
        </w:rPr>
        <w:t>DFAT</w:t>
      </w:r>
      <w:r w:rsidRPr="00BD1DA6">
        <w:rPr>
          <w:rFonts w:asciiTheme="minorHAnsi" w:hAnsiTheme="minorHAnsi"/>
        </w:rPr>
        <w:tab/>
        <w:t>Department for Foreign Affairs and Trade</w:t>
      </w:r>
    </w:p>
    <w:p w:rsidR="00BD1DA6" w:rsidRPr="00BD1DA6" w:rsidRDefault="00BD1DA6" w:rsidP="00BD1DA6">
      <w:pPr>
        <w:pStyle w:val="Abbrevs"/>
        <w:rPr>
          <w:rFonts w:asciiTheme="minorHAnsi" w:hAnsiTheme="minorHAnsi"/>
        </w:rPr>
      </w:pPr>
      <w:r w:rsidRPr="00BD1DA6">
        <w:rPr>
          <w:rFonts w:asciiTheme="minorHAnsi" w:hAnsiTheme="minorHAnsi"/>
        </w:rPr>
        <w:t>FITRA</w:t>
      </w:r>
      <w:r w:rsidRPr="00BD1DA6">
        <w:rPr>
          <w:rFonts w:asciiTheme="minorHAnsi" w:hAnsiTheme="minorHAnsi"/>
        </w:rPr>
        <w:tab/>
        <w:t>Indonesian Forum for Budget Transparency</w:t>
      </w:r>
    </w:p>
    <w:p w:rsidR="00BD1DA6" w:rsidRPr="00BD1DA6" w:rsidRDefault="00BD1DA6" w:rsidP="00BD1DA6">
      <w:pPr>
        <w:pStyle w:val="Abbrevs"/>
        <w:rPr>
          <w:rFonts w:asciiTheme="minorHAnsi" w:hAnsiTheme="minorHAnsi"/>
        </w:rPr>
      </w:pPr>
      <w:r w:rsidRPr="00BD1DA6">
        <w:rPr>
          <w:rFonts w:asciiTheme="minorHAnsi" w:hAnsiTheme="minorHAnsi"/>
        </w:rPr>
        <w:t>GESI</w:t>
      </w:r>
      <w:r w:rsidRPr="00BD1DA6">
        <w:rPr>
          <w:rFonts w:asciiTheme="minorHAnsi" w:hAnsiTheme="minorHAnsi"/>
        </w:rPr>
        <w:tab/>
        <w:t>gender equality and social inclusion</w:t>
      </w:r>
    </w:p>
    <w:p w:rsidR="00BD1DA6" w:rsidRPr="00BD1DA6" w:rsidRDefault="00BD1DA6" w:rsidP="00BD1DA6">
      <w:pPr>
        <w:pStyle w:val="Abbrevs"/>
        <w:rPr>
          <w:rFonts w:asciiTheme="minorHAnsi" w:hAnsiTheme="minorHAnsi"/>
        </w:rPr>
      </w:pPr>
      <w:r w:rsidRPr="00BD1DA6">
        <w:rPr>
          <w:rFonts w:asciiTheme="minorHAnsi" w:hAnsiTheme="minorHAnsi"/>
        </w:rPr>
        <w:t>GoI</w:t>
      </w:r>
      <w:r w:rsidRPr="00BD1DA6">
        <w:rPr>
          <w:rFonts w:asciiTheme="minorHAnsi" w:hAnsiTheme="minorHAnsi"/>
        </w:rPr>
        <w:tab/>
        <w:t>Government of Indonesia</w:t>
      </w:r>
    </w:p>
    <w:p w:rsidR="00BD1DA6" w:rsidRPr="00BD1DA6" w:rsidRDefault="00BD1DA6" w:rsidP="00BD1DA6">
      <w:pPr>
        <w:pStyle w:val="Abbrevs"/>
        <w:rPr>
          <w:rFonts w:asciiTheme="minorHAnsi" w:hAnsiTheme="minorHAnsi"/>
        </w:rPr>
      </w:pPr>
      <w:r w:rsidRPr="00BD1DA6">
        <w:rPr>
          <w:rFonts w:asciiTheme="minorHAnsi" w:hAnsiTheme="minorHAnsi"/>
        </w:rPr>
        <w:t>IDF</w:t>
      </w:r>
      <w:r w:rsidRPr="00BD1DA6">
        <w:rPr>
          <w:rFonts w:asciiTheme="minorHAnsi" w:hAnsiTheme="minorHAnsi"/>
        </w:rPr>
        <w:tab/>
        <w:t>Indonesia Development Forum</w:t>
      </w:r>
    </w:p>
    <w:p w:rsidR="00BD1DA6" w:rsidRPr="00BD1DA6" w:rsidRDefault="00BD1DA6" w:rsidP="00BD1DA6">
      <w:pPr>
        <w:pStyle w:val="Abbrevs"/>
        <w:rPr>
          <w:rFonts w:asciiTheme="minorHAnsi" w:hAnsiTheme="minorHAnsi"/>
        </w:rPr>
      </w:pPr>
      <w:r w:rsidRPr="00BD1DA6">
        <w:rPr>
          <w:rFonts w:asciiTheme="minorHAnsi" w:hAnsiTheme="minorHAnsi"/>
        </w:rPr>
        <w:t>IRE</w:t>
      </w:r>
      <w:r w:rsidRPr="00BD1DA6">
        <w:rPr>
          <w:rFonts w:asciiTheme="minorHAnsi" w:hAnsiTheme="minorHAnsi"/>
        </w:rPr>
        <w:tab/>
        <w:t>Institute for Research and Empowerment</w:t>
      </w:r>
    </w:p>
    <w:p w:rsidR="00BD1DA6" w:rsidRPr="00BD1DA6" w:rsidRDefault="00BD1DA6" w:rsidP="00BD1DA6">
      <w:pPr>
        <w:pStyle w:val="Abbrevs"/>
        <w:rPr>
          <w:rFonts w:asciiTheme="minorHAnsi" w:hAnsiTheme="minorHAnsi"/>
        </w:rPr>
      </w:pPr>
      <w:r w:rsidRPr="00BD1DA6">
        <w:rPr>
          <w:rFonts w:asciiTheme="minorHAnsi" w:hAnsiTheme="minorHAnsi"/>
        </w:rPr>
        <w:t>IRSA</w:t>
      </w:r>
      <w:r w:rsidRPr="00BD1DA6">
        <w:rPr>
          <w:rFonts w:asciiTheme="minorHAnsi" w:hAnsiTheme="minorHAnsi"/>
        </w:rPr>
        <w:tab/>
        <w:t>Indonesia Regional Science Association</w:t>
      </w:r>
    </w:p>
    <w:p w:rsidR="00BD1DA6" w:rsidRDefault="00BD1DA6" w:rsidP="00BD1DA6">
      <w:pPr>
        <w:pStyle w:val="Abbrevs"/>
        <w:rPr>
          <w:rFonts w:asciiTheme="minorHAnsi" w:hAnsiTheme="minorHAnsi"/>
        </w:rPr>
      </w:pPr>
      <w:r>
        <w:rPr>
          <w:rFonts w:asciiTheme="minorHAnsi" w:hAnsiTheme="minorHAnsi"/>
        </w:rPr>
        <w:t>JiKTI</w:t>
      </w:r>
      <w:r>
        <w:rPr>
          <w:rFonts w:asciiTheme="minorHAnsi" w:hAnsiTheme="minorHAnsi"/>
        </w:rPr>
        <w:tab/>
        <w:t>Eastern Indonesia Researchers’ Network</w:t>
      </w:r>
    </w:p>
    <w:p w:rsidR="00BD1DA6" w:rsidRPr="00BD1DA6" w:rsidRDefault="00BD1DA6" w:rsidP="00BD1DA6">
      <w:pPr>
        <w:pStyle w:val="Abbrevs"/>
        <w:rPr>
          <w:rFonts w:asciiTheme="minorHAnsi" w:hAnsiTheme="minorHAnsi"/>
        </w:rPr>
      </w:pPr>
      <w:r w:rsidRPr="00BD1DA6">
        <w:rPr>
          <w:rFonts w:asciiTheme="minorHAnsi" w:hAnsiTheme="minorHAnsi"/>
        </w:rPr>
        <w:t>K2P</w:t>
      </w:r>
      <w:r w:rsidRPr="00BD1DA6">
        <w:rPr>
          <w:rFonts w:asciiTheme="minorHAnsi" w:hAnsiTheme="minorHAnsi"/>
        </w:rPr>
        <w:tab/>
        <w:t>knowledge to policy</w:t>
      </w:r>
    </w:p>
    <w:p w:rsidR="00BD1DA6" w:rsidRDefault="00BD1DA6" w:rsidP="00BD1DA6">
      <w:pPr>
        <w:pStyle w:val="Abbrevs"/>
        <w:rPr>
          <w:rFonts w:asciiTheme="minorHAnsi" w:hAnsiTheme="minorHAnsi"/>
        </w:rPr>
      </w:pPr>
      <w:r w:rsidRPr="00BD1DA6">
        <w:rPr>
          <w:rFonts w:asciiTheme="minorHAnsi" w:hAnsiTheme="minorHAnsi"/>
        </w:rPr>
        <w:t>KSI</w:t>
      </w:r>
      <w:r w:rsidRPr="00BD1DA6">
        <w:rPr>
          <w:rFonts w:asciiTheme="minorHAnsi" w:hAnsiTheme="minorHAnsi"/>
        </w:rPr>
        <w:tab/>
        <w:t>Knowledge Sector Initiative</w:t>
      </w:r>
    </w:p>
    <w:p w:rsidR="000577D5" w:rsidRDefault="000577D5" w:rsidP="00BD1DA6">
      <w:pPr>
        <w:pStyle w:val="Abbrevs"/>
        <w:rPr>
          <w:rFonts w:asciiTheme="minorHAnsi" w:hAnsiTheme="minorHAnsi"/>
        </w:rPr>
      </w:pPr>
      <w:r>
        <w:rPr>
          <w:rFonts w:asciiTheme="minorHAnsi" w:hAnsiTheme="minorHAnsi"/>
        </w:rPr>
        <w:t>LAN</w:t>
      </w:r>
      <w:r>
        <w:rPr>
          <w:rFonts w:asciiTheme="minorHAnsi" w:hAnsiTheme="minorHAnsi"/>
        </w:rPr>
        <w:tab/>
        <w:t xml:space="preserve">National </w:t>
      </w:r>
      <w:r w:rsidR="002F7D6A">
        <w:rPr>
          <w:rFonts w:asciiTheme="minorHAnsi" w:hAnsiTheme="minorHAnsi"/>
        </w:rPr>
        <w:t>Institute of Public Administration</w:t>
      </w:r>
    </w:p>
    <w:p w:rsidR="002F7D6A" w:rsidRPr="00BD1DA6" w:rsidRDefault="002F7D6A" w:rsidP="00BD1DA6">
      <w:pPr>
        <w:pStyle w:val="Abbrevs"/>
        <w:rPr>
          <w:rFonts w:asciiTheme="minorHAnsi" w:hAnsiTheme="minorHAnsi"/>
        </w:rPr>
      </w:pPr>
      <w:r>
        <w:rPr>
          <w:rFonts w:asciiTheme="minorHAnsi" w:hAnsiTheme="minorHAnsi"/>
        </w:rPr>
        <w:t>LIPI</w:t>
      </w:r>
      <w:r>
        <w:rPr>
          <w:rFonts w:asciiTheme="minorHAnsi" w:hAnsiTheme="minorHAnsi"/>
        </w:rPr>
        <w:tab/>
        <w:t>National Institute of Sciences</w:t>
      </w:r>
    </w:p>
    <w:p w:rsidR="00BD1DA6" w:rsidRPr="00BD1DA6" w:rsidRDefault="00BD1DA6" w:rsidP="00BD1DA6">
      <w:pPr>
        <w:pStyle w:val="Abbrevs"/>
        <w:rPr>
          <w:rFonts w:asciiTheme="minorHAnsi" w:hAnsiTheme="minorHAnsi"/>
        </w:rPr>
      </w:pPr>
      <w:r w:rsidRPr="00BD1DA6">
        <w:rPr>
          <w:rFonts w:asciiTheme="minorHAnsi" w:hAnsiTheme="minorHAnsi"/>
        </w:rPr>
        <w:t>LKPP</w:t>
      </w:r>
      <w:r w:rsidRPr="00BD1DA6">
        <w:rPr>
          <w:rFonts w:asciiTheme="minorHAnsi" w:hAnsiTheme="minorHAnsi"/>
        </w:rPr>
        <w:tab/>
        <w:t>National Public Procurement Agency</w:t>
      </w:r>
    </w:p>
    <w:p w:rsidR="00BD1DA6" w:rsidRPr="00BD1DA6" w:rsidRDefault="00BD1DA6" w:rsidP="00BD1DA6">
      <w:pPr>
        <w:pStyle w:val="Abbrevs"/>
        <w:rPr>
          <w:rFonts w:asciiTheme="minorHAnsi" w:hAnsiTheme="minorHAnsi"/>
        </w:rPr>
      </w:pPr>
      <w:r w:rsidRPr="00BD1DA6">
        <w:rPr>
          <w:rFonts w:asciiTheme="minorHAnsi" w:hAnsiTheme="minorHAnsi"/>
        </w:rPr>
        <w:t>LPDP</w:t>
      </w:r>
      <w:r w:rsidRPr="00BD1DA6">
        <w:rPr>
          <w:rFonts w:asciiTheme="minorHAnsi" w:hAnsiTheme="minorHAnsi"/>
        </w:rPr>
        <w:tab/>
        <w:t>Education Endowment Fund</w:t>
      </w:r>
    </w:p>
    <w:p w:rsidR="00BD1DA6" w:rsidRPr="00BD1DA6" w:rsidRDefault="00BD1DA6" w:rsidP="00BD1DA6">
      <w:pPr>
        <w:pStyle w:val="Abbrevs"/>
        <w:rPr>
          <w:rFonts w:asciiTheme="minorHAnsi" w:hAnsiTheme="minorHAnsi"/>
        </w:rPr>
      </w:pPr>
      <w:r w:rsidRPr="00BD1DA6">
        <w:rPr>
          <w:rFonts w:asciiTheme="minorHAnsi" w:hAnsiTheme="minorHAnsi"/>
        </w:rPr>
        <w:t>M&amp;E</w:t>
      </w:r>
      <w:r w:rsidRPr="00BD1DA6">
        <w:rPr>
          <w:rFonts w:asciiTheme="minorHAnsi" w:hAnsiTheme="minorHAnsi"/>
        </w:rPr>
        <w:tab/>
        <w:t>monitoring and evaluation</w:t>
      </w:r>
    </w:p>
    <w:p w:rsidR="00BD1DA6" w:rsidRPr="00BD1DA6" w:rsidRDefault="00BD1DA6" w:rsidP="00BD1DA6">
      <w:pPr>
        <w:pStyle w:val="Abbrevs"/>
        <w:rPr>
          <w:rFonts w:asciiTheme="minorHAnsi" w:hAnsiTheme="minorHAnsi"/>
        </w:rPr>
      </w:pPr>
      <w:r w:rsidRPr="00BD1DA6">
        <w:rPr>
          <w:rFonts w:asciiTheme="minorHAnsi" w:hAnsiTheme="minorHAnsi"/>
        </w:rPr>
        <w:t>MoF</w:t>
      </w:r>
      <w:r w:rsidRPr="00BD1DA6">
        <w:rPr>
          <w:rFonts w:asciiTheme="minorHAnsi" w:hAnsiTheme="minorHAnsi"/>
        </w:rPr>
        <w:tab/>
        <w:t>Ministry of Finance</w:t>
      </w:r>
    </w:p>
    <w:p w:rsidR="00BD1DA6" w:rsidRPr="00BD1DA6" w:rsidRDefault="00BD1DA6" w:rsidP="00BD1DA6">
      <w:pPr>
        <w:pStyle w:val="Abbrevs"/>
        <w:rPr>
          <w:rFonts w:asciiTheme="minorHAnsi" w:hAnsiTheme="minorHAnsi"/>
        </w:rPr>
      </w:pPr>
      <w:r w:rsidRPr="00BD1DA6">
        <w:rPr>
          <w:rFonts w:asciiTheme="minorHAnsi" w:hAnsiTheme="minorHAnsi"/>
        </w:rPr>
        <w:t>MoHA</w:t>
      </w:r>
      <w:r w:rsidRPr="00BD1DA6">
        <w:rPr>
          <w:rFonts w:asciiTheme="minorHAnsi" w:hAnsiTheme="minorHAnsi"/>
        </w:rPr>
        <w:tab/>
        <w:t>Ministry of Home Affairs</w:t>
      </w:r>
    </w:p>
    <w:p w:rsidR="00BD1DA6" w:rsidRPr="00BD1DA6" w:rsidRDefault="00BD1DA6" w:rsidP="00BD1DA6">
      <w:pPr>
        <w:pStyle w:val="Abbrevs"/>
        <w:rPr>
          <w:rFonts w:asciiTheme="minorHAnsi" w:hAnsiTheme="minorHAnsi"/>
        </w:rPr>
      </w:pPr>
      <w:r w:rsidRPr="00BD1DA6">
        <w:rPr>
          <w:rFonts w:asciiTheme="minorHAnsi" w:hAnsiTheme="minorHAnsi"/>
        </w:rPr>
        <w:t>PIRAC</w:t>
      </w:r>
      <w:r w:rsidRPr="00BD1DA6">
        <w:rPr>
          <w:rFonts w:asciiTheme="minorHAnsi" w:hAnsiTheme="minorHAnsi"/>
        </w:rPr>
        <w:tab/>
        <w:t>Public Interest Research and Advocacy Centre</w:t>
      </w:r>
    </w:p>
    <w:p w:rsidR="00BD1DA6" w:rsidRPr="00BD1DA6" w:rsidRDefault="00BD1DA6" w:rsidP="00BD1DA6">
      <w:pPr>
        <w:pStyle w:val="Abbrevs"/>
        <w:rPr>
          <w:rFonts w:asciiTheme="minorHAnsi" w:hAnsiTheme="minorHAnsi"/>
        </w:rPr>
      </w:pPr>
      <w:r w:rsidRPr="00BD1DA6">
        <w:rPr>
          <w:rFonts w:asciiTheme="minorHAnsi" w:hAnsiTheme="minorHAnsi"/>
        </w:rPr>
        <w:t>PKMK</w:t>
      </w:r>
      <w:r w:rsidRPr="00BD1DA6">
        <w:rPr>
          <w:rFonts w:asciiTheme="minorHAnsi" w:hAnsiTheme="minorHAnsi"/>
        </w:rPr>
        <w:tab/>
        <w:t>Centre for Health Policy and Management</w:t>
      </w:r>
    </w:p>
    <w:p w:rsidR="00BD1DA6" w:rsidRPr="00BD1DA6" w:rsidRDefault="00BD1DA6" w:rsidP="00BD1DA6">
      <w:pPr>
        <w:pStyle w:val="Abbrevs"/>
        <w:rPr>
          <w:rFonts w:asciiTheme="minorHAnsi" w:hAnsiTheme="minorHAnsi"/>
        </w:rPr>
      </w:pPr>
      <w:r w:rsidRPr="00BD1DA6">
        <w:rPr>
          <w:rFonts w:asciiTheme="minorHAnsi" w:hAnsiTheme="minorHAnsi"/>
        </w:rPr>
        <w:t>PRI</w:t>
      </w:r>
      <w:r w:rsidRPr="00BD1DA6">
        <w:rPr>
          <w:rFonts w:asciiTheme="minorHAnsi" w:hAnsiTheme="minorHAnsi"/>
        </w:rPr>
        <w:tab/>
        <w:t>policy research institute</w:t>
      </w:r>
    </w:p>
    <w:p w:rsidR="00BD1DA6" w:rsidRPr="00BD1DA6" w:rsidRDefault="00BD1DA6" w:rsidP="00BD1DA6">
      <w:pPr>
        <w:pStyle w:val="Abbrevs"/>
        <w:rPr>
          <w:rFonts w:asciiTheme="minorHAnsi" w:hAnsiTheme="minorHAnsi"/>
        </w:rPr>
      </w:pPr>
      <w:r w:rsidRPr="00BD1DA6">
        <w:rPr>
          <w:rFonts w:asciiTheme="minorHAnsi" w:hAnsiTheme="minorHAnsi"/>
        </w:rPr>
        <w:t>PSC</w:t>
      </w:r>
      <w:r w:rsidRPr="00BD1DA6">
        <w:rPr>
          <w:rFonts w:asciiTheme="minorHAnsi" w:hAnsiTheme="minorHAnsi"/>
        </w:rPr>
        <w:tab/>
        <w:t>Program Steering Committee</w:t>
      </w:r>
    </w:p>
    <w:p w:rsidR="00BD1DA6" w:rsidRPr="00BD1DA6" w:rsidRDefault="00BD1DA6" w:rsidP="00BD1DA6">
      <w:pPr>
        <w:pStyle w:val="Abbrevs"/>
        <w:rPr>
          <w:rFonts w:asciiTheme="minorHAnsi" w:hAnsiTheme="minorHAnsi"/>
        </w:rPr>
      </w:pPr>
      <w:r w:rsidRPr="00BD1DA6">
        <w:rPr>
          <w:rFonts w:asciiTheme="minorHAnsi" w:hAnsiTheme="minorHAnsi"/>
        </w:rPr>
        <w:t>PTS</w:t>
      </w:r>
      <w:r w:rsidRPr="00BD1DA6">
        <w:rPr>
          <w:rFonts w:asciiTheme="minorHAnsi" w:hAnsiTheme="minorHAnsi"/>
        </w:rPr>
        <w:tab/>
        <w:t>Program Technical Secretariat</w:t>
      </w:r>
    </w:p>
    <w:p w:rsidR="00BD1DA6" w:rsidRPr="00BD1DA6" w:rsidRDefault="00BD1DA6" w:rsidP="00BD1DA6">
      <w:pPr>
        <w:pStyle w:val="Abbrevs"/>
        <w:rPr>
          <w:rFonts w:asciiTheme="minorHAnsi" w:hAnsiTheme="minorHAnsi"/>
        </w:rPr>
      </w:pPr>
      <w:r w:rsidRPr="00BD1DA6">
        <w:rPr>
          <w:rFonts w:asciiTheme="minorHAnsi" w:hAnsiTheme="minorHAnsi"/>
        </w:rPr>
        <w:t>RTI</w:t>
      </w:r>
      <w:r w:rsidRPr="00BD1DA6">
        <w:rPr>
          <w:rFonts w:asciiTheme="minorHAnsi" w:hAnsiTheme="minorHAnsi"/>
        </w:rPr>
        <w:tab/>
        <w:t>RTI International (registered trademark and trade name of Research Triangle Institute)</w:t>
      </w:r>
    </w:p>
    <w:p w:rsidR="00BD1DA6" w:rsidRPr="00BD1DA6" w:rsidRDefault="00BD1DA6" w:rsidP="00BD1DA6">
      <w:pPr>
        <w:pStyle w:val="Abbrevs"/>
        <w:rPr>
          <w:rFonts w:asciiTheme="minorHAnsi" w:hAnsiTheme="minorHAnsi"/>
        </w:rPr>
      </w:pPr>
      <w:r w:rsidRPr="00BD1DA6">
        <w:rPr>
          <w:rFonts w:asciiTheme="minorHAnsi" w:hAnsiTheme="minorHAnsi"/>
        </w:rPr>
        <w:t>SAINS45</w:t>
      </w:r>
      <w:r w:rsidRPr="00BD1DA6">
        <w:rPr>
          <w:rFonts w:asciiTheme="minorHAnsi" w:hAnsiTheme="minorHAnsi"/>
        </w:rPr>
        <w:tab/>
        <w:t>Science 45 Research Agenda</w:t>
      </w:r>
    </w:p>
    <w:p w:rsidR="00BD1DA6" w:rsidRPr="00BD1DA6" w:rsidRDefault="00BD1DA6" w:rsidP="00BD1DA6">
      <w:pPr>
        <w:pStyle w:val="Abbrevs"/>
        <w:rPr>
          <w:rFonts w:asciiTheme="minorHAnsi" w:hAnsiTheme="minorHAnsi"/>
        </w:rPr>
      </w:pPr>
      <w:r w:rsidRPr="00BD1DA6">
        <w:rPr>
          <w:rFonts w:asciiTheme="minorHAnsi" w:hAnsiTheme="minorHAnsi"/>
        </w:rPr>
        <w:t>ToC</w:t>
      </w:r>
      <w:r w:rsidRPr="00BD1DA6">
        <w:rPr>
          <w:rFonts w:asciiTheme="minorHAnsi" w:hAnsiTheme="minorHAnsi"/>
        </w:rPr>
        <w:tab/>
        <w:t>Theory of Change</w:t>
      </w:r>
    </w:p>
    <w:p w:rsidR="00BD1DA6" w:rsidRDefault="00BD1DA6">
      <w:pPr>
        <w:rPr>
          <w:rFonts w:eastAsia="Times New Roman"/>
          <w:color w:val="2E74B5"/>
          <w:kern w:val="36"/>
          <w:sz w:val="28"/>
          <w:szCs w:val="28"/>
        </w:rPr>
      </w:pPr>
      <w:r>
        <w:br w:type="page"/>
      </w:r>
    </w:p>
    <w:p w:rsidR="00521109" w:rsidRDefault="001E556B" w:rsidP="00BD1DA6">
      <w:pPr>
        <w:pStyle w:val="Heading1"/>
        <w:numPr>
          <w:ilvl w:val="0"/>
          <w:numId w:val="26"/>
        </w:numPr>
        <w:spacing w:after="0"/>
      </w:pPr>
      <w:bookmarkStart w:id="5" w:name="_Toc492915005"/>
      <w:r>
        <w:lastRenderedPageBreak/>
        <w:t>Purpose</w:t>
      </w:r>
      <w:bookmarkEnd w:id="2"/>
      <w:bookmarkEnd w:id="3"/>
      <w:bookmarkEnd w:id="5"/>
    </w:p>
    <w:p w:rsidR="008E0EC8" w:rsidRDefault="008E0EC8" w:rsidP="00BF2F08">
      <w:pPr>
        <w:pStyle w:val="Heading1"/>
        <w:spacing w:after="0"/>
      </w:pPr>
    </w:p>
    <w:p w:rsidR="001F5C1E" w:rsidRDefault="00D9678A" w:rsidP="00BF2F08">
      <w:pPr>
        <w:jc w:val="both"/>
      </w:pPr>
      <w:r>
        <w:t>Th</w:t>
      </w:r>
      <w:r w:rsidR="0051737E">
        <w:t>is</w:t>
      </w:r>
      <w:r w:rsidR="00B36ABE">
        <w:t xml:space="preserve"> guiding</w:t>
      </w:r>
      <w:r w:rsidR="001E556B">
        <w:t xml:space="preserve"> strategy provides the</w:t>
      </w:r>
      <w:r w:rsidR="0051737E">
        <w:t xml:space="preserve"> overarching</w:t>
      </w:r>
      <w:r w:rsidR="001E556B">
        <w:t xml:space="preserve"> framework </w:t>
      </w:r>
      <w:r w:rsidR="00B36ABE">
        <w:t xml:space="preserve">for </w:t>
      </w:r>
      <w:r w:rsidR="001F5C1E">
        <w:t>implementation of</w:t>
      </w:r>
      <w:r w:rsidR="001E556B">
        <w:t xml:space="preserve"> The Knowledge Sector Initiative (KSI) phase 2</w:t>
      </w:r>
      <w:r w:rsidR="001F5C1E">
        <w:t xml:space="preserve"> (July 2017 to June 2022)</w:t>
      </w:r>
      <w:r w:rsidR="001E556B">
        <w:t xml:space="preserve">. </w:t>
      </w:r>
      <w:r w:rsidR="001F5C1E">
        <w:t xml:space="preserve">It outlines </w:t>
      </w:r>
      <w:r w:rsidR="001F5C1E" w:rsidRPr="00700005">
        <w:t>the rationale, areas of focus</w:t>
      </w:r>
      <w:r w:rsidR="0066283F">
        <w:t>,</w:t>
      </w:r>
      <w:r w:rsidR="001F5C1E" w:rsidRPr="00700005">
        <w:t xml:space="preserve"> </w:t>
      </w:r>
      <w:r w:rsidR="0066283F">
        <w:t xml:space="preserve">programming </w:t>
      </w:r>
      <w:r w:rsidR="001F5C1E" w:rsidRPr="00700005">
        <w:t xml:space="preserve">approach </w:t>
      </w:r>
      <w:r w:rsidR="0066283F">
        <w:t>and governance structure</w:t>
      </w:r>
      <w:r w:rsidR="00FD7894">
        <w:t>.</w:t>
      </w:r>
    </w:p>
    <w:p w:rsidR="001F5C1E" w:rsidRDefault="001F5C1E" w:rsidP="00BF2F08">
      <w:pPr>
        <w:jc w:val="both"/>
      </w:pPr>
    </w:p>
    <w:p w:rsidR="00FF7605" w:rsidRDefault="00FF7605" w:rsidP="00BF2F08">
      <w:pPr>
        <w:jc w:val="both"/>
      </w:pPr>
      <w:r>
        <w:t>The strategy responds to lessons learnt from KSI phase 1 (detailed in Annex 1)</w:t>
      </w:r>
      <w:r w:rsidR="00775C64">
        <w:t xml:space="preserve"> including challenges associated with a lack of clarity around scope and </w:t>
      </w:r>
      <w:r w:rsidR="0051661E">
        <w:t>weak</w:t>
      </w:r>
      <w:r w:rsidR="00387B27">
        <w:t xml:space="preserve"> </w:t>
      </w:r>
      <w:r w:rsidR="005372E7">
        <w:t>link</w:t>
      </w:r>
      <w:r w:rsidR="0051661E">
        <w:t>s</w:t>
      </w:r>
      <w:r w:rsidR="005372E7">
        <w:t xml:space="preserve"> between </w:t>
      </w:r>
      <w:r w:rsidR="00775C64">
        <w:t xml:space="preserve">activities </w:t>
      </w:r>
      <w:r w:rsidR="005372E7">
        <w:t>and</w:t>
      </w:r>
      <w:r w:rsidR="00775C64">
        <w:t xml:space="preserve"> </w:t>
      </w:r>
      <w:r w:rsidR="00387B27">
        <w:t>final</w:t>
      </w:r>
      <w:r w:rsidR="00775C64">
        <w:t xml:space="preserve"> outcomes </w:t>
      </w:r>
      <w:r w:rsidR="00387B27">
        <w:t xml:space="preserve">as </w:t>
      </w:r>
      <w:r w:rsidR="00775C64">
        <w:t>detailed in the Theory of Change for phase 1</w:t>
      </w:r>
      <w:r>
        <w:t>.</w:t>
      </w:r>
    </w:p>
    <w:p w:rsidR="00FF7605" w:rsidRDefault="00FF7605" w:rsidP="00BF2F08">
      <w:pPr>
        <w:jc w:val="both"/>
      </w:pPr>
    </w:p>
    <w:p w:rsidR="001E556B" w:rsidRDefault="00775C64" w:rsidP="00BF2F08">
      <w:pPr>
        <w:jc w:val="both"/>
      </w:pPr>
      <w:r>
        <w:t>KSI phase 2</w:t>
      </w:r>
      <w:r w:rsidR="00B36ABE">
        <w:t xml:space="preserve"> aims to support the Indonesian knowledge sector to generate better quality research and increase the application of evidence in policymaking contributing to more inclusive and equitable growth for Indonesia. This will be achieved through work in</w:t>
      </w:r>
      <w:r w:rsidR="001E556B">
        <w:t xml:space="preserve"> four priority areas:</w:t>
      </w:r>
    </w:p>
    <w:p w:rsidR="001E556B" w:rsidRPr="00BF2F08" w:rsidRDefault="001E556B" w:rsidP="00BF2F08">
      <w:pPr>
        <w:jc w:val="both"/>
        <w:rPr>
          <w:rFonts w:asciiTheme="minorHAnsi" w:hAnsiTheme="minorHAnsi"/>
        </w:rPr>
      </w:pPr>
    </w:p>
    <w:p w:rsidR="008E0EC8" w:rsidRPr="00BF2F08" w:rsidRDefault="00D9678A" w:rsidP="00FF7605">
      <w:pPr>
        <w:pStyle w:val="ListParagraph"/>
        <w:numPr>
          <w:ilvl w:val="0"/>
          <w:numId w:val="29"/>
        </w:numPr>
        <w:jc w:val="both"/>
        <w:rPr>
          <w:rFonts w:asciiTheme="minorHAnsi" w:hAnsiTheme="minorHAnsi"/>
          <w:sz w:val="22"/>
          <w:szCs w:val="22"/>
        </w:rPr>
      </w:pPr>
      <w:r w:rsidRPr="00BF2F08">
        <w:rPr>
          <w:rFonts w:asciiTheme="minorHAnsi" w:hAnsiTheme="minorHAnsi"/>
          <w:sz w:val="22"/>
          <w:szCs w:val="22"/>
        </w:rPr>
        <w:t>Quality policy research and an</w:t>
      </w:r>
      <w:r w:rsidR="00BF2F08">
        <w:rPr>
          <w:rFonts w:asciiTheme="minorHAnsi" w:hAnsiTheme="minorHAnsi"/>
          <w:sz w:val="22"/>
          <w:szCs w:val="22"/>
        </w:rPr>
        <w:t>aly</w:t>
      </w:r>
      <w:r w:rsidRPr="00BF2F08">
        <w:rPr>
          <w:rFonts w:asciiTheme="minorHAnsi" w:hAnsiTheme="minorHAnsi"/>
          <w:sz w:val="22"/>
          <w:szCs w:val="22"/>
        </w:rPr>
        <w:t>sis and effective communication</w:t>
      </w:r>
    </w:p>
    <w:p w:rsidR="00D9678A" w:rsidRPr="00BF2F08" w:rsidRDefault="00D9678A" w:rsidP="00FF7605">
      <w:pPr>
        <w:pStyle w:val="ListParagraph"/>
        <w:numPr>
          <w:ilvl w:val="0"/>
          <w:numId w:val="29"/>
        </w:numPr>
        <w:jc w:val="both"/>
        <w:rPr>
          <w:rFonts w:asciiTheme="minorHAnsi" w:hAnsiTheme="minorHAnsi"/>
          <w:sz w:val="22"/>
          <w:szCs w:val="22"/>
        </w:rPr>
      </w:pPr>
      <w:r w:rsidRPr="00BF2F08">
        <w:rPr>
          <w:rFonts w:asciiTheme="minorHAnsi" w:hAnsiTheme="minorHAnsi"/>
          <w:sz w:val="22"/>
          <w:szCs w:val="22"/>
        </w:rPr>
        <w:t>Research funding (government, private sector and philanthropic) and quality of spending</w:t>
      </w:r>
    </w:p>
    <w:p w:rsidR="00D9678A" w:rsidRPr="00BF2F08" w:rsidRDefault="00BA1820" w:rsidP="00FF7605">
      <w:pPr>
        <w:pStyle w:val="ListParagraph"/>
        <w:numPr>
          <w:ilvl w:val="0"/>
          <w:numId w:val="29"/>
        </w:numPr>
        <w:jc w:val="both"/>
        <w:rPr>
          <w:rFonts w:asciiTheme="minorHAnsi" w:hAnsiTheme="minorHAnsi"/>
          <w:sz w:val="22"/>
          <w:szCs w:val="22"/>
        </w:rPr>
      </w:pPr>
      <w:r w:rsidRPr="003F6A2D">
        <w:rPr>
          <w:rFonts w:asciiTheme="minorHAnsi" w:hAnsiTheme="minorHAnsi"/>
          <w:sz w:val="22"/>
          <w:szCs w:val="22"/>
        </w:rPr>
        <w:t>Government knowledge management systems</w:t>
      </w:r>
    </w:p>
    <w:p w:rsidR="008E0EC8" w:rsidRDefault="00D9678A" w:rsidP="00FF7605">
      <w:pPr>
        <w:pStyle w:val="ListParagraph"/>
        <w:numPr>
          <w:ilvl w:val="0"/>
          <w:numId w:val="29"/>
        </w:numPr>
        <w:jc w:val="both"/>
      </w:pPr>
      <w:r w:rsidRPr="00BF2F08">
        <w:rPr>
          <w:rFonts w:asciiTheme="minorHAnsi" w:hAnsiTheme="minorHAnsi"/>
          <w:sz w:val="22"/>
          <w:szCs w:val="22"/>
        </w:rPr>
        <w:t>Pu</w:t>
      </w:r>
      <w:r w:rsidR="00B171C6">
        <w:rPr>
          <w:rFonts w:asciiTheme="minorHAnsi" w:hAnsiTheme="minorHAnsi"/>
          <w:sz w:val="22"/>
          <w:szCs w:val="22"/>
        </w:rPr>
        <w:t>b</w:t>
      </w:r>
      <w:r w:rsidRPr="00BF2F08">
        <w:rPr>
          <w:rFonts w:asciiTheme="minorHAnsi" w:hAnsiTheme="minorHAnsi"/>
          <w:sz w:val="22"/>
          <w:szCs w:val="22"/>
        </w:rPr>
        <w:t>lic discourse on the role of research, evidence and analysis in public policymaking</w:t>
      </w:r>
      <w:r>
        <w:t>.</w:t>
      </w:r>
    </w:p>
    <w:p w:rsidR="00D9678A" w:rsidRDefault="00D9678A" w:rsidP="00BF2F08">
      <w:pPr>
        <w:jc w:val="both"/>
      </w:pPr>
    </w:p>
    <w:p w:rsidR="00FF7605" w:rsidRDefault="00222398" w:rsidP="00BF2F08">
      <w:pPr>
        <w:jc w:val="both"/>
      </w:pPr>
      <w:r>
        <w:t>More detailed sub-strategies for each of the four priority areas w</w:t>
      </w:r>
      <w:r w:rsidR="00B36ABE">
        <w:t>ill be developed during the first 6 months of</w:t>
      </w:r>
      <w:r>
        <w:t xml:space="preserve"> phase 2.</w:t>
      </w:r>
      <w:r w:rsidR="00B36ABE">
        <w:t xml:space="preserve"> </w:t>
      </w:r>
      <w:r w:rsidR="00FF7605">
        <w:t xml:space="preserve">The four sub-strategies will form the basis for work-planning and activity development for each annual cycle. Each area is expected to have a significant body of pre-planned work that continues and builds upon the work of phase 1. The nature of KSI’s approach, though, means that not all work can or should be pre-planned. In order to maintain flexibility and allow for opportunism, a set of decision-making criteria for each focus area, to be used by the program team and the Program Technical </w:t>
      </w:r>
      <w:r w:rsidR="00C350AE">
        <w:t>Secretariat</w:t>
      </w:r>
      <w:r w:rsidR="00FF7605">
        <w:t>, will be developed and socialized among key stakeholders by mid-December 2017.</w:t>
      </w:r>
    </w:p>
    <w:p w:rsidR="00FF7605" w:rsidRDefault="00825C10" w:rsidP="00BF2F08">
      <w:pPr>
        <w:jc w:val="both"/>
      </w:pPr>
      <w:r>
        <w:t xml:space="preserve"> </w:t>
      </w:r>
    </w:p>
    <w:p w:rsidR="00D9678A" w:rsidRDefault="001F5C1E" w:rsidP="00BF2F08">
      <w:pPr>
        <w:jc w:val="both"/>
      </w:pPr>
      <w:r>
        <w:t xml:space="preserve">Once approved </w:t>
      </w:r>
      <w:r w:rsidR="000912D8">
        <w:t xml:space="preserve">by </w:t>
      </w:r>
      <w:r w:rsidR="00BF2F08">
        <w:t>the Program Steering Committee</w:t>
      </w:r>
      <w:r>
        <w:t xml:space="preserve">, </w:t>
      </w:r>
      <w:r w:rsidRPr="00700005">
        <w:t>t</w:t>
      </w:r>
      <w:r>
        <w:t>h</w:t>
      </w:r>
      <w:r w:rsidR="0066283F">
        <w:t>e</w:t>
      </w:r>
      <w:r>
        <w:t xml:space="preserve"> strategy</w:t>
      </w:r>
      <w:r w:rsidRPr="00700005">
        <w:t xml:space="preserve"> will become a living document that will be reviewed and updated as necessary to ensure it remains relevant to the changing context, emerging lessons and shifts in the political economy.</w:t>
      </w:r>
      <w:r w:rsidR="00D9678A">
        <w:t xml:space="preserve">  </w:t>
      </w:r>
    </w:p>
    <w:p w:rsidR="00D9678A" w:rsidRDefault="00D9678A" w:rsidP="00BF2F08">
      <w:pPr>
        <w:jc w:val="both"/>
      </w:pPr>
    </w:p>
    <w:p w:rsidR="008E0EC8" w:rsidRPr="00700005" w:rsidRDefault="008E0EC8" w:rsidP="00BD1DA6">
      <w:pPr>
        <w:pStyle w:val="Heading1"/>
        <w:numPr>
          <w:ilvl w:val="0"/>
          <w:numId w:val="26"/>
        </w:numPr>
        <w:spacing w:after="0"/>
      </w:pPr>
      <w:bookmarkStart w:id="6" w:name="_Toc492915006"/>
      <w:r>
        <w:t>Background</w:t>
      </w:r>
      <w:bookmarkEnd w:id="6"/>
    </w:p>
    <w:p w:rsidR="00996309" w:rsidRDefault="00996309" w:rsidP="00BD1DA6">
      <w:pPr>
        <w:jc w:val="both"/>
      </w:pPr>
    </w:p>
    <w:p w:rsidR="00521109" w:rsidRPr="00700005" w:rsidRDefault="00521109" w:rsidP="00BD1DA6">
      <w:pPr>
        <w:jc w:val="both"/>
      </w:pPr>
      <w:r w:rsidRPr="00700005">
        <w:t>The Knowledge Sector Initiative (KSI)</w:t>
      </w:r>
      <w:r w:rsidR="00E45E11">
        <w:t xml:space="preserve"> is</w:t>
      </w:r>
      <w:r w:rsidRPr="00700005">
        <w:t xml:space="preserve"> a joint program between the governments of Indonesia and Australia</w:t>
      </w:r>
      <w:r w:rsidR="00E45E11">
        <w:t xml:space="preserve"> that</w:t>
      </w:r>
      <w:r w:rsidRPr="00700005">
        <w:t xml:space="preserve"> contributes to more inclusive and equitable growth in Indonesia </w:t>
      </w:r>
      <w:r w:rsidR="00DA48C6">
        <w:t>by</w:t>
      </w:r>
      <w:r w:rsidR="00DA48C6" w:rsidRPr="00700005">
        <w:t xml:space="preserve"> </w:t>
      </w:r>
      <w:r w:rsidRPr="00700005">
        <w:t xml:space="preserve">supporting the production of high-quality public </w:t>
      </w:r>
      <w:r w:rsidR="009D10B1">
        <w:t xml:space="preserve">policy </w:t>
      </w:r>
      <w:r w:rsidRPr="00700005">
        <w:t xml:space="preserve">grounded in rigorous </w:t>
      </w:r>
      <w:r w:rsidR="00DA48C6">
        <w:t xml:space="preserve">research, analysis and </w:t>
      </w:r>
      <w:r w:rsidRPr="00700005">
        <w:t xml:space="preserve">evidence. </w:t>
      </w:r>
    </w:p>
    <w:p w:rsidR="00700005" w:rsidRPr="00700005" w:rsidRDefault="00700005" w:rsidP="00BD1DA6">
      <w:pPr>
        <w:jc w:val="both"/>
      </w:pPr>
    </w:p>
    <w:p w:rsidR="00683A61" w:rsidRPr="00683A61" w:rsidRDefault="00521109" w:rsidP="00BD1DA6">
      <w:pPr>
        <w:jc w:val="both"/>
        <w:rPr>
          <w:lang w:val="en-US"/>
        </w:rPr>
      </w:pPr>
      <w:r w:rsidRPr="00700005">
        <w:t xml:space="preserve">KSI </w:t>
      </w:r>
      <w:r w:rsidR="00DA48C6">
        <w:t>sees</w:t>
      </w:r>
      <w:r w:rsidRPr="00700005">
        <w:t xml:space="preserve"> Indonesia’s ‘knowledge sector’ as a system comprised of government, private sector and civil society organisations that provide analysis for policymakers.</w:t>
      </w:r>
      <w:r w:rsidRPr="00700005">
        <w:rPr>
          <w:rStyle w:val="FootnoteReference"/>
          <w:lang w:val="en-US"/>
        </w:rPr>
        <w:footnoteReference w:id="1"/>
      </w:r>
      <w:r w:rsidRPr="00700005">
        <w:t xml:space="preserve"> Working with key actors in this </w:t>
      </w:r>
      <w:r w:rsidR="00002AF1">
        <w:t>‘</w:t>
      </w:r>
      <w:r w:rsidRPr="00700005">
        <w:t>sector</w:t>
      </w:r>
      <w:r w:rsidR="00002AF1">
        <w:t>’</w:t>
      </w:r>
      <w:r w:rsidRPr="00700005">
        <w:t>, t</w:t>
      </w:r>
      <w:r w:rsidRPr="00700005">
        <w:rPr>
          <w:lang w:val="en-US"/>
        </w:rPr>
        <w:t xml:space="preserve">he overall goal of KSI is to facilitate the production of better public </w:t>
      </w:r>
      <w:r w:rsidR="009D10B1">
        <w:rPr>
          <w:lang w:val="en-US"/>
        </w:rPr>
        <w:t>policy</w:t>
      </w:r>
      <w:r w:rsidRPr="00700005">
        <w:rPr>
          <w:lang w:val="en-US"/>
        </w:rPr>
        <w:t xml:space="preserve">. It achieves this </w:t>
      </w:r>
      <w:r w:rsidR="00DA48C6">
        <w:rPr>
          <w:lang w:val="en-US"/>
        </w:rPr>
        <w:t>by</w:t>
      </w:r>
      <w:r w:rsidR="00683A61">
        <w:rPr>
          <w:lang w:val="en-US"/>
        </w:rPr>
        <w:t xml:space="preserve"> </w:t>
      </w:r>
      <w:r w:rsidR="00683A61" w:rsidRPr="00683A61">
        <w:rPr>
          <w:lang w:val="en-US"/>
        </w:rPr>
        <w:t>support</w:t>
      </w:r>
      <w:r w:rsidR="00683A61">
        <w:rPr>
          <w:lang w:val="en-US"/>
        </w:rPr>
        <w:t>ing</w:t>
      </w:r>
      <w:r w:rsidR="00683A61" w:rsidRPr="00683A61">
        <w:rPr>
          <w:lang w:val="en-US"/>
        </w:rPr>
        <w:t xml:space="preserve"> government agencies</w:t>
      </w:r>
      <w:r w:rsidR="00013D34">
        <w:rPr>
          <w:lang w:val="en-US"/>
        </w:rPr>
        <w:t xml:space="preserve"> to </w:t>
      </w:r>
      <w:r w:rsidR="000D2C34">
        <w:rPr>
          <w:lang w:val="en-US"/>
        </w:rPr>
        <w:t xml:space="preserve">use research, analysis and evidence for </w:t>
      </w:r>
      <w:r w:rsidR="00A630B9">
        <w:rPr>
          <w:lang w:val="en-US"/>
        </w:rPr>
        <w:t>better policy formulation</w:t>
      </w:r>
      <w:r w:rsidR="00C350AE">
        <w:rPr>
          <w:lang w:val="en-US"/>
        </w:rPr>
        <w:t xml:space="preserve">, </w:t>
      </w:r>
      <w:r w:rsidR="00683A61" w:rsidRPr="00683A61">
        <w:rPr>
          <w:lang w:val="en-US"/>
        </w:rPr>
        <w:t>and non-government research organisations to produce better quality research and communicate it more effectively to policymakers;</w:t>
      </w:r>
      <w:r w:rsidR="00683A61">
        <w:rPr>
          <w:lang w:val="en-US"/>
        </w:rPr>
        <w:t xml:space="preserve"> facilitating improved</w:t>
      </w:r>
      <w:r w:rsidR="00683A61" w:rsidRPr="00683A61">
        <w:rPr>
          <w:lang w:val="en-US"/>
        </w:rPr>
        <w:t xml:space="preserve"> access to research, analysis </w:t>
      </w:r>
      <w:r w:rsidR="00683A61">
        <w:rPr>
          <w:lang w:val="en-US"/>
        </w:rPr>
        <w:t>and data to inform policymaking</w:t>
      </w:r>
      <w:r w:rsidR="00683A61" w:rsidRPr="00683A61">
        <w:rPr>
          <w:lang w:val="en-US"/>
        </w:rPr>
        <w:t>; and</w:t>
      </w:r>
      <w:r w:rsidR="00683A61">
        <w:rPr>
          <w:lang w:val="en-US"/>
        </w:rPr>
        <w:t xml:space="preserve"> </w:t>
      </w:r>
      <w:r w:rsidR="00683A61" w:rsidRPr="00683A61">
        <w:rPr>
          <w:lang w:val="en-US"/>
        </w:rPr>
        <w:lastRenderedPageBreak/>
        <w:t>identify</w:t>
      </w:r>
      <w:r w:rsidR="00683A61">
        <w:rPr>
          <w:lang w:val="en-US"/>
        </w:rPr>
        <w:t>ing</w:t>
      </w:r>
      <w:r w:rsidR="00683A61" w:rsidRPr="00683A61">
        <w:rPr>
          <w:lang w:val="en-US"/>
        </w:rPr>
        <w:t xml:space="preserve"> and address</w:t>
      </w:r>
      <w:r w:rsidR="00683A61">
        <w:rPr>
          <w:lang w:val="en-US"/>
        </w:rPr>
        <w:t>ing</w:t>
      </w:r>
      <w:r w:rsidR="00683A61" w:rsidRPr="00683A61">
        <w:rPr>
          <w:lang w:val="en-US"/>
        </w:rPr>
        <w:t xml:space="preserve"> the factors constraining the use of evidence and analysis in policymaking</w:t>
      </w:r>
      <w:r w:rsidR="00683A61">
        <w:rPr>
          <w:lang w:val="en-US"/>
        </w:rPr>
        <w:t>.</w:t>
      </w:r>
    </w:p>
    <w:p w:rsidR="00700005" w:rsidRPr="00700005" w:rsidRDefault="00700005" w:rsidP="00BD1DA6">
      <w:pPr>
        <w:jc w:val="both"/>
        <w:rPr>
          <w:lang w:val="en-US"/>
        </w:rPr>
      </w:pPr>
    </w:p>
    <w:p w:rsidR="00521109" w:rsidRPr="00700005" w:rsidRDefault="00521109" w:rsidP="00BD1DA6">
      <w:pPr>
        <w:jc w:val="both"/>
      </w:pPr>
      <w:r w:rsidRPr="00700005">
        <w:rPr>
          <w:lang w:val="en-US"/>
        </w:rPr>
        <w:t>The first four-year phase of KSI commenced in May 2013 and conclude</w:t>
      </w:r>
      <w:r w:rsidR="00013D34">
        <w:rPr>
          <w:lang w:val="en-US"/>
        </w:rPr>
        <w:t>d</w:t>
      </w:r>
      <w:r w:rsidRPr="00700005">
        <w:rPr>
          <w:lang w:val="en-US"/>
        </w:rPr>
        <w:t xml:space="preserve"> in June 2017. In its first phase, KSI succeeded in building the research and organi</w:t>
      </w:r>
      <w:r w:rsidR="00683A61">
        <w:rPr>
          <w:lang w:val="en-US"/>
        </w:rPr>
        <w:t>s</w:t>
      </w:r>
      <w:r w:rsidRPr="00700005">
        <w:rPr>
          <w:lang w:val="en-US"/>
        </w:rPr>
        <w:t>ational capacities of 16 policy research institut</w:t>
      </w:r>
      <w:r w:rsidR="00CD20F4">
        <w:rPr>
          <w:lang w:val="en-US"/>
        </w:rPr>
        <w:t>e</w:t>
      </w:r>
      <w:r w:rsidRPr="00700005">
        <w:rPr>
          <w:lang w:val="en-US"/>
        </w:rPr>
        <w:t xml:space="preserve">s as well as a range of government bodies that play a crucial role in integrating evidence into policymaking (such as </w:t>
      </w:r>
      <w:r w:rsidR="00FA36F6" w:rsidRPr="00700005">
        <w:rPr>
          <w:lang w:val="en-US"/>
        </w:rPr>
        <w:t>ministe</w:t>
      </w:r>
      <w:r w:rsidR="00FA36F6">
        <w:rPr>
          <w:lang w:val="en-US"/>
        </w:rPr>
        <w:t>rial</w:t>
      </w:r>
      <w:r w:rsidRPr="00700005">
        <w:rPr>
          <w:lang w:val="en-US"/>
        </w:rPr>
        <w:t xml:space="preserve"> </w:t>
      </w:r>
      <w:r w:rsidR="000E3E17">
        <w:rPr>
          <w:lang w:val="en-US"/>
        </w:rPr>
        <w:t>r</w:t>
      </w:r>
      <w:r w:rsidRPr="00700005">
        <w:rPr>
          <w:lang w:val="en-US"/>
        </w:rPr>
        <w:t xml:space="preserve">esearch and </w:t>
      </w:r>
      <w:r w:rsidR="000E3E17">
        <w:rPr>
          <w:lang w:val="en-US"/>
        </w:rPr>
        <w:t>d</w:t>
      </w:r>
      <w:r w:rsidRPr="00700005">
        <w:rPr>
          <w:lang w:val="en-US"/>
        </w:rPr>
        <w:t xml:space="preserve">evelopment </w:t>
      </w:r>
      <w:r w:rsidR="000E3E17">
        <w:rPr>
          <w:lang w:val="en-US"/>
        </w:rPr>
        <w:t>u</w:t>
      </w:r>
      <w:r w:rsidRPr="00700005">
        <w:rPr>
          <w:lang w:val="en-US"/>
        </w:rPr>
        <w:t>nits). I</w:t>
      </w:r>
      <w:r w:rsidRPr="00700005">
        <w:t>t has built strong relationships among and between leading actors in the knowledge sector – both government and non-government</w:t>
      </w:r>
      <w:r w:rsidR="008F2427" w:rsidRPr="00700005">
        <w:t xml:space="preserve"> – </w:t>
      </w:r>
      <w:r w:rsidRPr="00700005">
        <w:t xml:space="preserve">who, as a result, are more conscious of the importance of a dynamic knowledge sector to spur inclusive economic growth. With KSI’s support, these actors have committed to making changes in their own institutions </w:t>
      </w:r>
      <w:r w:rsidR="00DA48C6">
        <w:t xml:space="preserve">and are </w:t>
      </w:r>
      <w:r w:rsidRPr="00700005">
        <w:t>interact</w:t>
      </w:r>
      <w:r w:rsidR="00DA48C6">
        <w:t>ing</w:t>
      </w:r>
      <w:r w:rsidRPr="00700005">
        <w:t xml:space="preserve"> with other institutions to promote important reforms.</w:t>
      </w:r>
      <w:r w:rsidR="008F2427">
        <w:t xml:space="preserve"> </w:t>
      </w:r>
    </w:p>
    <w:p w:rsidR="00700005" w:rsidRPr="00700005" w:rsidRDefault="00700005" w:rsidP="00BD1DA6">
      <w:pPr>
        <w:jc w:val="both"/>
      </w:pPr>
    </w:p>
    <w:p w:rsidR="00521109" w:rsidRDefault="00431012" w:rsidP="00BD1DA6">
      <w:pPr>
        <w:jc w:val="both"/>
      </w:pPr>
      <w:r>
        <w:t>Phase</w:t>
      </w:r>
      <w:r w:rsidR="00521109" w:rsidRPr="00700005">
        <w:t xml:space="preserve"> 1 involved testing a range of approaches and ways of working. </w:t>
      </w:r>
      <w:r w:rsidR="00DA48C6">
        <w:t>T</w:t>
      </w:r>
      <w:r w:rsidR="00521109" w:rsidRPr="00700005">
        <w:t xml:space="preserve">he lessons from </w:t>
      </w:r>
      <w:r>
        <w:t>phase</w:t>
      </w:r>
      <w:r w:rsidR="00521109" w:rsidRPr="00700005">
        <w:t xml:space="preserve"> 1 </w:t>
      </w:r>
      <w:r w:rsidR="008F2427">
        <w:t>provide</w:t>
      </w:r>
      <w:r w:rsidR="00521109" w:rsidRPr="00700005">
        <w:t xml:space="preserve"> a much stronger understanding of what does and does not work in </w:t>
      </w:r>
      <w:r w:rsidR="006D0F57">
        <w:t>supporting</w:t>
      </w:r>
      <w:r w:rsidR="006D0F57" w:rsidRPr="00700005">
        <w:t xml:space="preserve"> </w:t>
      </w:r>
      <w:r w:rsidR="00F272DB">
        <w:t xml:space="preserve">more evidence-informed </w:t>
      </w:r>
      <w:r w:rsidR="00521109" w:rsidRPr="00700005">
        <w:t>policymaking in Indonesia. Th</w:t>
      </w:r>
      <w:r w:rsidR="008F2427">
        <w:t>e</w:t>
      </w:r>
      <w:r w:rsidR="00521109" w:rsidRPr="00700005">
        <w:t xml:space="preserve">se lessons also provide the basis for a more focused </w:t>
      </w:r>
      <w:r w:rsidR="008F2427">
        <w:t>set</w:t>
      </w:r>
      <w:r w:rsidR="00521109" w:rsidRPr="00700005">
        <w:t xml:space="preserve"> of goals and objectives </w:t>
      </w:r>
      <w:r w:rsidR="008F2427">
        <w:t>for</w:t>
      </w:r>
      <w:r w:rsidR="008F2427" w:rsidRPr="00700005">
        <w:t xml:space="preserve"> </w:t>
      </w:r>
      <w:r>
        <w:t>phase</w:t>
      </w:r>
      <w:r w:rsidR="00521109" w:rsidRPr="00700005">
        <w:t xml:space="preserve"> 2. </w:t>
      </w:r>
    </w:p>
    <w:p w:rsidR="00700005" w:rsidRPr="00700005" w:rsidRDefault="00700005" w:rsidP="00BD1DA6">
      <w:pPr>
        <w:jc w:val="both"/>
      </w:pPr>
    </w:p>
    <w:p w:rsidR="00521109" w:rsidRPr="00700005" w:rsidRDefault="00521109" w:rsidP="00BD1DA6">
      <w:pPr>
        <w:pStyle w:val="Heading1"/>
        <w:spacing w:after="0"/>
        <w:rPr>
          <w:lang w:val="en-US"/>
        </w:rPr>
      </w:pPr>
      <w:bookmarkStart w:id="7" w:name="_Toc479845299"/>
      <w:bookmarkStart w:id="8" w:name="_Toc479954168"/>
      <w:bookmarkStart w:id="9" w:name="_Toc492915007"/>
      <w:r w:rsidRPr="00700005">
        <w:t>2</w:t>
      </w:r>
      <w:r w:rsidR="00F959C7">
        <w:t xml:space="preserve">   </w:t>
      </w:r>
      <w:bookmarkEnd w:id="7"/>
      <w:bookmarkEnd w:id="8"/>
      <w:r w:rsidR="00F959C7">
        <w:t xml:space="preserve"> </w:t>
      </w:r>
      <w:r w:rsidRPr="00700005">
        <w:t>Rationale for investment</w:t>
      </w:r>
      <w:bookmarkEnd w:id="9"/>
      <w:r w:rsidRPr="00700005">
        <w:t xml:space="preserve"> </w:t>
      </w:r>
    </w:p>
    <w:p w:rsidR="00996309" w:rsidRDefault="00996309" w:rsidP="00BD1DA6">
      <w:pPr>
        <w:pStyle w:val="Heading2"/>
        <w:spacing w:before="0" w:after="0"/>
      </w:pPr>
    </w:p>
    <w:p w:rsidR="00521109" w:rsidRPr="00700005" w:rsidRDefault="00521109" w:rsidP="00BD1DA6">
      <w:pPr>
        <w:pStyle w:val="Heading2"/>
        <w:spacing w:before="0" w:after="0"/>
      </w:pPr>
      <w:bookmarkStart w:id="10" w:name="_Toc492915008"/>
      <w:r w:rsidRPr="00700005">
        <w:t>2</w:t>
      </w:r>
      <w:r w:rsidR="009A4D04">
        <w:t>.1</w:t>
      </w:r>
      <w:r w:rsidR="009A4D04">
        <w:tab/>
      </w:r>
      <w:r w:rsidRPr="00700005">
        <w:t>Why work on the ‘knowledge sector’?</w:t>
      </w:r>
      <w:bookmarkEnd w:id="10"/>
    </w:p>
    <w:p w:rsidR="00996309" w:rsidRDefault="00996309" w:rsidP="00BD1DA6">
      <w:pPr>
        <w:jc w:val="both"/>
      </w:pPr>
    </w:p>
    <w:p w:rsidR="00521109" w:rsidRDefault="00521109" w:rsidP="00BD1DA6">
      <w:pPr>
        <w:jc w:val="both"/>
      </w:pPr>
      <w:r w:rsidRPr="00F539D6">
        <w:t xml:space="preserve">After two decades of robust economic growth and </w:t>
      </w:r>
      <w:r w:rsidR="00667A4A">
        <w:t>steadily decreasing poverty rates</w:t>
      </w:r>
      <w:r w:rsidRPr="00F539D6">
        <w:t xml:space="preserve">, the past few years have seen reduced growth, </w:t>
      </w:r>
      <w:r w:rsidR="00002AF1">
        <w:t>high</w:t>
      </w:r>
      <w:r w:rsidR="0066283F">
        <w:t>er</w:t>
      </w:r>
      <w:r w:rsidR="00002AF1">
        <w:t xml:space="preserve"> </w:t>
      </w:r>
      <w:r w:rsidR="00700005">
        <w:t>levels of</w:t>
      </w:r>
      <w:r w:rsidRPr="00F539D6">
        <w:t xml:space="preserve"> inequality and a slowing of poverty reduction in Indonesia. </w:t>
      </w:r>
      <w:r w:rsidR="00700005">
        <w:t>Religious</w:t>
      </w:r>
      <w:r w:rsidRPr="00F539D6">
        <w:t xml:space="preserve"> and racial intolerance are also negatively impacting on </w:t>
      </w:r>
      <w:r w:rsidR="005A12C1">
        <w:t>political and social stability</w:t>
      </w:r>
      <w:r w:rsidRPr="00F539D6">
        <w:t xml:space="preserve">. These trends jeopardise the </w:t>
      </w:r>
      <w:r w:rsidR="00F272DB">
        <w:t>G</w:t>
      </w:r>
      <w:r w:rsidRPr="00F539D6">
        <w:t>overnment</w:t>
      </w:r>
      <w:r w:rsidR="00F272DB">
        <w:t xml:space="preserve"> of Indonesia</w:t>
      </w:r>
      <w:r w:rsidRPr="00F539D6">
        <w:t xml:space="preserve">’s targets </w:t>
      </w:r>
      <w:r w:rsidR="00F272DB">
        <w:t>for</w:t>
      </w:r>
      <w:r w:rsidR="00F272DB" w:rsidRPr="00F539D6">
        <w:t xml:space="preserve"> </w:t>
      </w:r>
      <w:r w:rsidRPr="00F539D6">
        <w:t xml:space="preserve">reducing poverty and inequality and increasing economic security and stability for </w:t>
      </w:r>
      <w:r w:rsidR="00EB70BB">
        <w:t xml:space="preserve">all </w:t>
      </w:r>
      <w:r w:rsidRPr="00F539D6">
        <w:t>Indonesians.</w:t>
      </w:r>
      <w:r w:rsidRPr="00F539D6">
        <w:rPr>
          <w:rStyle w:val="FootnoteReference"/>
          <w:sz w:val="24"/>
          <w:szCs w:val="24"/>
        </w:rPr>
        <w:footnoteReference w:id="2"/>
      </w:r>
    </w:p>
    <w:p w:rsidR="00700005" w:rsidRPr="00F539D6" w:rsidRDefault="00700005" w:rsidP="00BD1DA6">
      <w:pPr>
        <w:jc w:val="both"/>
      </w:pPr>
    </w:p>
    <w:p w:rsidR="00521109" w:rsidRDefault="00521109" w:rsidP="00BD1DA6">
      <w:pPr>
        <w:jc w:val="both"/>
      </w:pPr>
      <w:r w:rsidRPr="00F539D6">
        <w:t xml:space="preserve">A recent white paper published by Indonesia’s Academy of Science </w:t>
      </w:r>
      <w:r w:rsidR="007E5A2E">
        <w:t>(</w:t>
      </w:r>
      <w:r w:rsidR="007E5A2E" w:rsidRPr="00BE24EE">
        <w:rPr>
          <w:i/>
        </w:rPr>
        <w:t>Akademi Ilmu Pengetahuan Indonesia</w:t>
      </w:r>
      <w:r w:rsidR="007E5A2E">
        <w:t xml:space="preserve">, AIPI) </w:t>
      </w:r>
      <w:r w:rsidRPr="00F539D6">
        <w:t xml:space="preserve">argues that </w:t>
      </w:r>
      <w:r w:rsidR="005A12C1" w:rsidRPr="00F539D6">
        <w:t>address</w:t>
      </w:r>
      <w:r w:rsidR="005A12C1">
        <w:t>ing</w:t>
      </w:r>
      <w:r w:rsidR="00667A4A">
        <w:t xml:space="preserve"> these challenges over the long </w:t>
      </w:r>
      <w:r w:rsidR="005A12C1" w:rsidRPr="00F539D6">
        <w:t xml:space="preserve">term </w:t>
      </w:r>
      <w:r w:rsidR="00B47074">
        <w:t>requires</w:t>
      </w:r>
      <w:r w:rsidR="005A12C1">
        <w:t xml:space="preserve"> </w:t>
      </w:r>
      <w:r w:rsidRPr="00F539D6">
        <w:t xml:space="preserve">Indonesia </w:t>
      </w:r>
      <w:r w:rsidR="00B47074">
        <w:t xml:space="preserve">to </w:t>
      </w:r>
      <w:r w:rsidRPr="00F539D6">
        <w:t>develop its innovation and manufacturing capacity to boost employment and econom</w:t>
      </w:r>
      <w:r w:rsidR="005A12C1">
        <w:t>ic growth</w:t>
      </w:r>
      <w:r w:rsidR="009B006F">
        <w:t xml:space="preserve"> at the local level</w:t>
      </w:r>
      <w:r w:rsidRPr="00F539D6">
        <w:t xml:space="preserve">. </w:t>
      </w:r>
      <w:r w:rsidR="009B006F">
        <w:t>T</w:t>
      </w:r>
      <w:r w:rsidRPr="00F539D6">
        <w:t xml:space="preserve">he paper paints a pessimistic picture of Indonesia in 2045, unless </w:t>
      </w:r>
      <w:r w:rsidR="00EB70BB">
        <w:t>effective,</w:t>
      </w:r>
      <w:r w:rsidRPr="00F539D6">
        <w:t xml:space="preserve"> evidence-informed </w:t>
      </w:r>
      <w:r w:rsidR="009D10B1">
        <w:t>policies are</w:t>
      </w:r>
      <w:r w:rsidRPr="00F539D6">
        <w:t xml:space="preserve"> </w:t>
      </w:r>
      <w:r w:rsidR="00EB70BB">
        <w:t>develop</w:t>
      </w:r>
      <w:r w:rsidR="00EB70BB" w:rsidRPr="00F539D6">
        <w:t xml:space="preserve">ed </w:t>
      </w:r>
      <w:r w:rsidRPr="00F539D6">
        <w:t>and implemented, including well-targeted investments in research and innovation</w:t>
      </w:r>
      <w:r w:rsidR="009B006F">
        <w:t>.</w:t>
      </w:r>
      <w:r w:rsidR="00B94679">
        <w:t xml:space="preserve"> </w:t>
      </w:r>
      <w:r w:rsidR="009B006F">
        <w:t xml:space="preserve">Indonesia’s </w:t>
      </w:r>
      <w:r w:rsidR="00B94679">
        <w:t>2018 work</w:t>
      </w:r>
      <w:r w:rsidR="009B006F">
        <w:t xml:space="preserve"> </w:t>
      </w:r>
      <w:r w:rsidR="00B94679">
        <w:t>plan show</w:t>
      </w:r>
      <w:r w:rsidR="009B006F">
        <w:t>s</w:t>
      </w:r>
      <w:r w:rsidR="00B94679">
        <w:t xml:space="preserve"> that </w:t>
      </w:r>
      <w:r w:rsidR="009B006F">
        <w:t xml:space="preserve">the government is </w:t>
      </w:r>
      <w:r w:rsidR="00B94679">
        <w:t>making efforts to address this issue.</w:t>
      </w:r>
    </w:p>
    <w:p w:rsidR="00700005" w:rsidRPr="00F539D6" w:rsidRDefault="00700005" w:rsidP="00BD1DA6">
      <w:pPr>
        <w:jc w:val="both"/>
        <w:rPr>
          <w:lang w:val="en-US"/>
        </w:rPr>
      </w:pPr>
    </w:p>
    <w:p w:rsidR="00521109" w:rsidRDefault="00521109" w:rsidP="00BD1DA6">
      <w:pPr>
        <w:jc w:val="both"/>
      </w:pPr>
      <w:r w:rsidRPr="00F539D6">
        <w:t xml:space="preserve">High-quality and well-informed government </w:t>
      </w:r>
      <w:r w:rsidR="009D10B1">
        <w:t>policy</w:t>
      </w:r>
      <w:r w:rsidRPr="00F539D6">
        <w:t xml:space="preserve"> </w:t>
      </w:r>
      <w:r w:rsidR="009D10B1">
        <w:t>is</w:t>
      </w:r>
      <w:r w:rsidRPr="00F539D6">
        <w:t xml:space="preserve"> </w:t>
      </w:r>
      <w:r w:rsidR="009B006F">
        <w:t>critical</w:t>
      </w:r>
      <w:r w:rsidRPr="00F539D6">
        <w:t xml:space="preserve"> to enabling Indonesia to reverse current trends. Yet faced </w:t>
      </w:r>
      <w:r w:rsidR="009B006F">
        <w:t>with</w:t>
      </w:r>
      <w:r w:rsidRPr="00F539D6">
        <w:t xml:space="preserve"> increasingly complex development challenges, </w:t>
      </w:r>
      <w:r w:rsidR="006D0F57" w:rsidRPr="00F539D6">
        <w:t>many</w:t>
      </w:r>
      <w:r w:rsidRPr="00F539D6">
        <w:t xml:space="preserve"> </w:t>
      </w:r>
      <w:r w:rsidR="006D0F57">
        <w:t xml:space="preserve">of </w:t>
      </w:r>
      <w:r w:rsidRPr="00F539D6">
        <w:t xml:space="preserve">Indonesia’s </w:t>
      </w:r>
      <w:r w:rsidR="009B006F">
        <w:t xml:space="preserve">key </w:t>
      </w:r>
      <w:r w:rsidRPr="00F539D6">
        <w:t xml:space="preserve">policymaking </w:t>
      </w:r>
      <w:r w:rsidR="009B006F">
        <w:t xml:space="preserve">institutions </w:t>
      </w:r>
      <w:r w:rsidRPr="00F539D6">
        <w:t>struggle to propose effective solutions</w:t>
      </w:r>
      <w:r w:rsidR="000912D8">
        <w:rPr>
          <w:rStyle w:val="FootnoteReference"/>
        </w:rPr>
        <w:footnoteReference w:id="3"/>
      </w:r>
      <w:r w:rsidRPr="00F539D6">
        <w:t xml:space="preserve">. They remain sectorally-focused, with poor coordination between </w:t>
      </w:r>
      <w:r w:rsidR="00922F4F">
        <w:t>ministries and agencies</w:t>
      </w:r>
      <w:r w:rsidR="00922F4F" w:rsidRPr="00F539D6">
        <w:t xml:space="preserve"> </w:t>
      </w:r>
      <w:r w:rsidRPr="00F539D6">
        <w:t>at both national and sub-national levels</w:t>
      </w:r>
      <w:r w:rsidR="000912D8">
        <w:rPr>
          <w:rStyle w:val="FootnoteReference"/>
        </w:rPr>
        <w:footnoteReference w:id="4"/>
      </w:r>
      <w:r w:rsidRPr="00F539D6">
        <w:t xml:space="preserve">. </w:t>
      </w:r>
      <w:r w:rsidR="009B006F">
        <w:t>M</w:t>
      </w:r>
      <w:r w:rsidRPr="00F539D6">
        <w:t xml:space="preserve">ore systematic use of high-quality evidence in </w:t>
      </w:r>
      <w:r w:rsidRPr="00F539D6">
        <w:lastRenderedPageBreak/>
        <w:t xml:space="preserve">policymaking will improve </w:t>
      </w:r>
      <w:r w:rsidR="00922F4F">
        <w:t xml:space="preserve">Indonesia’s ability to develop effective </w:t>
      </w:r>
      <w:r w:rsidRPr="00F539D6">
        <w:t>polic</w:t>
      </w:r>
      <w:r w:rsidR="00922F4F">
        <w:t>ies</w:t>
      </w:r>
      <w:r w:rsidRPr="00F539D6">
        <w:t xml:space="preserve"> that address the </w:t>
      </w:r>
      <w:r w:rsidR="009B006F" w:rsidRPr="009B006F">
        <w:t>multi-dimensional</w:t>
      </w:r>
      <w:r w:rsidR="009B006F" w:rsidRPr="009B006F" w:rsidDel="009B006F">
        <w:t xml:space="preserve"> </w:t>
      </w:r>
      <w:r w:rsidR="009B006F">
        <w:t xml:space="preserve">nature </w:t>
      </w:r>
      <w:r w:rsidRPr="00F539D6">
        <w:t xml:space="preserve">of </w:t>
      </w:r>
      <w:r w:rsidR="00922F4F">
        <w:t>its</w:t>
      </w:r>
      <w:r w:rsidR="00922F4F" w:rsidRPr="00F539D6">
        <w:t xml:space="preserve"> </w:t>
      </w:r>
      <w:r w:rsidRPr="00F539D6">
        <w:t>development challenges.</w:t>
      </w:r>
      <w:r w:rsidR="00671A84">
        <w:rPr>
          <w:rStyle w:val="FootnoteReference"/>
        </w:rPr>
        <w:footnoteReference w:id="5"/>
      </w:r>
    </w:p>
    <w:p w:rsidR="00700005" w:rsidRPr="00F539D6" w:rsidRDefault="00700005" w:rsidP="00BD1DA6">
      <w:pPr>
        <w:jc w:val="both"/>
      </w:pPr>
    </w:p>
    <w:p w:rsidR="00521109" w:rsidRDefault="00521109" w:rsidP="00BD1DA6">
      <w:pPr>
        <w:jc w:val="both"/>
      </w:pPr>
      <w:r w:rsidRPr="00F539D6">
        <w:t xml:space="preserve">Support for effective, evidence-informed and inclusive policymaking is consistent with the principles underpinning </w:t>
      </w:r>
      <w:r w:rsidR="00BE24EE">
        <w:t xml:space="preserve">the development partnership between </w:t>
      </w:r>
      <w:r w:rsidRPr="00F539D6">
        <w:t>Australia</w:t>
      </w:r>
      <w:r w:rsidR="00BE24EE">
        <w:t xml:space="preserve"> and Indonesia</w:t>
      </w:r>
      <w:r w:rsidRPr="00F539D6">
        <w:t>, which emphasises a shift to building Indonesia’s own capacity for better governance. KSI represents a strategic investment in this regard</w:t>
      </w:r>
      <w:r w:rsidR="009B006F">
        <w:t>.</w:t>
      </w:r>
      <w:r w:rsidRPr="00F539D6">
        <w:t xml:space="preserve"> </w:t>
      </w:r>
      <w:r w:rsidR="009B006F">
        <w:t>S</w:t>
      </w:r>
      <w:r w:rsidRPr="00F539D6">
        <w:t xml:space="preserve">upporting Indonesia to improve its own ability to develop and implement evidence-informed </w:t>
      </w:r>
      <w:r w:rsidR="009D10B1">
        <w:t>policy</w:t>
      </w:r>
      <w:r w:rsidRPr="00F539D6">
        <w:t xml:space="preserve"> </w:t>
      </w:r>
      <w:r w:rsidR="009B006F">
        <w:t>is</w:t>
      </w:r>
      <w:r w:rsidRPr="00F539D6">
        <w:t xml:space="preserve"> more sustainable than provi</w:t>
      </w:r>
      <w:r w:rsidR="009B006F">
        <w:t>ding</w:t>
      </w:r>
      <w:r w:rsidRPr="00F539D6">
        <w:t xml:space="preserve"> </w:t>
      </w:r>
      <w:r w:rsidR="00115429">
        <w:t xml:space="preserve">direct </w:t>
      </w:r>
      <w:r w:rsidR="00DA1123">
        <w:t>technical expertise</w:t>
      </w:r>
      <w:r w:rsidRPr="00F539D6">
        <w:t xml:space="preserve"> to draft policies</w:t>
      </w:r>
      <w:r w:rsidR="00BE24EE">
        <w:t xml:space="preserve"> and</w:t>
      </w:r>
      <w:r w:rsidRPr="00F539D6">
        <w:t xml:space="preserve"> will result in decreasing dependence on donor-funded technical assistance</w:t>
      </w:r>
      <w:r w:rsidR="00667A4A">
        <w:t xml:space="preserve"> over time</w:t>
      </w:r>
      <w:r w:rsidRPr="00F539D6">
        <w:t>.</w:t>
      </w:r>
    </w:p>
    <w:p w:rsidR="00431012" w:rsidRDefault="00431012" w:rsidP="00BD1DA6">
      <w:pPr>
        <w:jc w:val="both"/>
      </w:pPr>
    </w:p>
    <w:p w:rsidR="00162CE8" w:rsidRDefault="0043623D" w:rsidP="00BD1DA6">
      <w:pPr>
        <w:jc w:val="both"/>
      </w:pPr>
      <w:r>
        <w:t>T</w:t>
      </w:r>
      <w:r w:rsidR="00431012">
        <w:t xml:space="preserve">here is potential for a </w:t>
      </w:r>
      <w:r w:rsidR="009C1D45">
        <w:t xml:space="preserve">strong </w:t>
      </w:r>
      <w:r w:rsidR="00431012">
        <w:t xml:space="preserve">return on </w:t>
      </w:r>
      <w:r>
        <w:t xml:space="preserve">Australia’s </w:t>
      </w:r>
      <w:r w:rsidR="00431012">
        <w:t>investment in this area</w:t>
      </w:r>
      <w:r w:rsidR="009C1D45">
        <w:t xml:space="preserve"> over the medium- to long</w:t>
      </w:r>
      <w:r w:rsidR="009C1D45" w:rsidRPr="00DC6EA0">
        <w:t>-term</w:t>
      </w:r>
      <w:r w:rsidR="00431012">
        <w:t xml:space="preserve">. </w:t>
      </w:r>
      <w:r w:rsidR="001104FA" w:rsidRPr="00162CE8">
        <w:t xml:space="preserve">Indonesia currently spends </w:t>
      </w:r>
      <w:r w:rsidR="00DC6EA0" w:rsidRPr="00162CE8">
        <w:t xml:space="preserve">around </w:t>
      </w:r>
      <w:r w:rsidR="00162CE8" w:rsidRPr="00162CE8">
        <w:t>0.09</w:t>
      </w:r>
      <w:r w:rsidR="001104FA" w:rsidRPr="00162CE8">
        <w:t xml:space="preserve">% of GDP on research, compared to </w:t>
      </w:r>
      <w:r w:rsidR="00605100">
        <w:t>an average of 0.5% in other lower-middle-income countries</w:t>
      </w:r>
      <w:r w:rsidR="004E7AD0" w:rsidRPr="00162CE8">
        <w:t>.</w:t>
      </w:r>
      <w:r w:rsidR="003058E0">
        <w:rPr>
          <w:rStyle w:val="FootnoteReference"/>
        </w:rPr>
        <w:footnoteReference w:id="6"/>
      </w:r>
      <w:r w:rsidR="004E7AD0" w:rsidRPr="00162CE8">
        <w:t xml:space="preserve"> If KSI </w:t>
      </w:r>
      <w:r w:rsidR="009C1D45">
        <w:t>is able</w:t>
      </w:r>
      <w:r w:rsidR="00BE24EE">
        <w:t xml:space="preserve"> to</w:t>
      </w:r>
      <w:r w:rsidR="009C1D45">
        <w:t xml:space="preserve"> support </w:t>
      </w:r>
      <w:r w:rsidR="00DC6EA0" w:rsidRPr="00162CE8">
        <w:t xml:space="preserve">Indonesia </w:t>
      </w:r>
      <w:r w:rsidR="009C1D45">
        <w:t xml:space="preserve">to </w:t>
      </w:r>
      <w:r w:rsidR="00DC6EA0" w:rsidRPr="00162CE8">
        <w:t xml:space="preserve">double </w:t>
      </w:r>
      <w:r w:rsidR="00605100">
        <w:t xml:space="preserve">this </w:t>
      </w:r>
      <w:r w:rsidR="009C1D45">
        <w:t xml:space="preserve">investment </w:t>
      </w:r>
      <w:r w:rsidR="00DC6EA0" w:rsidRPr="00162CE8">
        <w:t xml:space="preserve">to </w:t>
      </w:r>
      <w:r w:rsidR="00162CE8" w:rsidRPr="00162CE8">
        <w:t>0.14%</w:t>
      </w:r>
      <w:r w:rsidR="00DC6EA0" w:rsidRPr="00162CE8">
        <w:t xml:space="preserve"> over the next</w:t>
      </w:r>
      <w:r w:rsidR="00162CE8" w:rsidRPr="00162CE8">
        <w:t xml:space="preserve"> five years </w:t>
      </w:r>
      <w:r w:rsidR="00605100">
        <w:t xml:space="preserve">by increasing government and private sector funding </w:t>
      </w:r>
      <w:r w:rsidR="00605100" w:rsidRPr="00DC6EA0">
        <w:t>(</w:t>
      </w:r>
      <w:r w:rsidR="00605100" w:rsidRPr="00162CE8">
        <w:t>as well as influencing the quality of spending</w:t>
      </w:r>
      <w:r w:rsidR="00605100">
        <w:t xml:space="preserve">), </w:t>
      </w:r>
      <w:r w:rsidR="00115429">
        <w:t>this</w:t>
      </w:r>
      <w:r w:rsidR="00115429" w:rsidRPr="00162CE8">
        <w:t xml:space="preserve"> </w:t>
      </w:r>
      <w:r w:rsidR="00162CE8" w:rsidRPr="00162CE8">
        <w:t xml:space="preserve">would leverage </w:t>
      </w:r>
      <w:r w:rsidR="00162CE8">
        <w:t xml:space="preserve">up to A$1.6 billion in research funding per year by 2022. </w:t>
      </w:r>
    </w:p>
    <w:p w:rsidR="00922F4F" w:rsidRDefault="00922F4F" w:rsidP="00BD1DA6">
      <w:pPr>
        <w:jc w:val="both"/>
      </w:pPr>
    </w:p>
    <w:p w:rsidR="00521109" w:rsidRPr="00F539D6" w:rsidRDefault="009A4D04" w:rsidP="00BD1DA6">
      <w:pPr>
        <w:pStyle w:val="Heading2"/>
        <w:spacing w:before="0" w:after="0"/>
      </w:pPr>
      <w:bookmarkStart w:id="11" w:name="_Toc492915009"/>
      <w:r>
        <w:t>2.2</w:t>
      </w:r>
      <w:r>
        <w:tab/>
      </w:r>
      <w:r w:rsidR="00521109" w:rsidRPr="00F539D6">
        <w:t>Indonesia’s knowledge sector: five years on</w:t>
      </w:r>
      <w:bookmarkEnd w:id="11"/>
    </w:p>
    <w:p w:rsidR="00F272DB" w:rsidRPr="00BE24EE" w:rsidRDefault="00F272DB" w:rsidP="00BD1DA6">
      <w:pPr>
        <w:jc w:val="both"/>
        <w:rPr>
          <w:highlight w:val="green"/>
        </w:rPr>
      </w:pPr>
    </w:p>
    <w:p w:rsidR="00B62D6B" w:rsidRDefault="00B62D6B" w:rsidP="00BD1DA6">
      <w:pPr>
        <w:jc w:val="both"/>
        <w:rPr>
          <w:highlight w:val="green"/>
        </w:rPr>
      </w:pPr>
      <w:r w:rsidRPr="00BE24EE">
        <w:t xml:space="preserve">The results that KSI has been able to achieve in phase 1 have been shaped by </w:t>
      </w:r>
      <w:r w:rsidRPr="00C96CB7">
        <w:t>four</w:t>
      </w:r>
      <w:r w:rsidRPr="00F539D6">
        <w:t xml:space="preserve"> significant changes </w:t>
      </w:r>
      <w:r w:rsidR="00C96CB7">
        <w:t xml:space="preserve">in the </w:t>
      </w:r>
      <w:r w:rsidRPr="00F539D6">
        <w:t>political environment since KSI commenced.</w:t>
      </w:r>
    </w:p>
    <w:p w:rsidR="00F272DB" w:rsidRDefault="00F272DB" w:rsidP="00BD1DA6">
      <w:pPr>
        <w:jc w:val="both"/>
      </w:pPr>
    </w:p>
    <w:p w:rsidR="00700005" w:rsidRDefault="00521109" w:rsidP="00BD1DA6">
      <w:pPr>
        <w:jc w:val="both"/>
      </w:pPr>
      <w:r w:rsidRPr="00F539D6">
        <w:t>First, since 2014, Indonesia has seen the rise of a political leadership more focused on data, information and analysis</w:t>
      </w:r>
      <w:r w:rsidR="00922F4F">
        <w:t xml:space="preserve">, </w:t>
      </w:r>
      <w:r w:rsidRPr="00F539D6">
        <w:t xml:space="preserve">in part stimulated by an increased focus on social media. </w:t>
      </w:r>
      <w:r w:rsidR="00922F4F">
        <w:t xml:space="preserve">The government has also sought to </w:t>
      </w:r>
      <w:r w:rsidR="00922F4F" w:rsidRPr="004A0BFF">
        <w:t>reorient</w:t>
      </w:r>
      <w:r w:rsidR="00922F4F">
        <w:t xml:space="preserve"> </w:t>
      </w:r>
      <w:r w:rsidR="00922F4F" w:rsidRPr="004A0BFF">
        <w:t>the</w:t>
      </w:r>
      <w:r w:rsidR="00922F4F">
        <w:t xml:space="preserve"> </w:t>
      </w:r>
      <w:r w:rsidR="00922F4F" w:rsidRPr="004A0BFF">
        <w:t>approach</w:t>
      </w:r>
      <w:r w:rsidR="00922F4F">
        <w:t xml:space="preserve"> </w:t>
      </w:r>
      <w:r w:rsidR="00922F4F" w:rsidRPr="004A0BFF">
        <w:t>to</w:t>
      </w:r>
      <w:r w:rsidR="00922F4F">
        <w:t xml:space="preserve"> </w:t>
      </w:r>
      <w:r w:rsidR="00922F4F" w:rsidRPr="004A0BFF">
        <w:t>planning</w:t>
      </w:r>
      <w:r w:rsidR="00922F4F">
        <w:t xml:space="preserve"> </w:t>
      </w:r>
      <w:r w:rsidR="00922F4F" w:rsidRPr="004A0BFF">
        <w:t>and</w:t>
      </w:r>
      <w:r w:rsidR="00922F4F">
        <w:t xml:space="preserve"> </w:t>
      </w:r>
      <w:r w:rsidR="00922F4F" w:rsidRPr="004A0BFF">
        <w:t>budgeting,</w:t>
      </w:r>
      <w:r w:rsidR="00922F4F">
        <w:t xml:space="preserve"> </w:t>
      </w:r>
      <w:r w:rsidR="00922F4F" w:rsidRPr="004A0BFF">
        <w:t>with</w:t>
      </w:r>
      <w:r w:rsidR="00922F4F">
        <w:t xml:space="preserve"> </w:t>
      </w:r>
      <w:r w:rsidR="00922F4F" w:rsidRPr="004A0BFF">
        <w:t>a</w:t>
      </w:r>
      <w:r w:rsidR="00922F4F">
        <w:t xml:space="preserve"> </w:t>
      </w:r>
      <w:r w:rsidR="00922F4F" w:rsidRPr="004A0BFF">
        <w:t>new</w:t>
      </w:r>
      <w:r w:rsidR="00922F4F">
        <w:t xml:space="preserve"> </w:t>
      </w:r>
      <w:r w:rsidR="00922F4F" w:rsidRPr="004A0BFF">
        <w:t>emphasis</w:t>
      </w:r>
      <w:r w:rsidR="00922F4F">
        <w:t xml:space="preserve"> </w:t>
      </w:r>
      <w:r w:rsidR="00922F4F" w:rsidRPr="004A0BFF">
        <w:t>on</w:t>
      </w:r>
      <w:r w:rsidR="00922F4F">
        <w:t xml:space="preserve"> </w:t>
      </w:r>
      <w:r w:rsidR="00922F4F" w:rsidRPr="004A0BFF">
        <w:t>funding</w:t>
      </w:r>
      <w:r w:rsidR="00922F4F">
        <w:t xml:space="preserve"> </w:t>
      </w:r>
      <w:r w:rsidR="00922F4F" w:rsidRPr="004A0BFF">
        <w:t>being</w:t>
      </w:r>
      <w:r w:rsidR="00922F4F">
        <w:t xml:space="preserve"> </w:t>
      </w:r>
      <w:r w:rsidR="00922F4F" w:rsidRPr="004A0BFF">
        <w:t>allocated</w:t>
      </w:r>
      <w:r w:rsidR="00922F4F">
        <w:t xml:space="preserve"> </w:t>
      </w:r>
      <w:r w:rsidR="00922F4F" w:rsidRPr="004A0BFF">
        <w:t>to</w:t>
      </w:r>
      <w:r w:rsidR="00922F4F">
        <w:t xml:space="preserve"> </w:t>
      </w:r>
      <w:r w:rsidR="00922F4F" w:rsidRPr="004A0BFF">
        <w:t>ministries</w:t>
      </w:r>
      <w:r w:rsidR="00922F4F">
        <w:t xml:space="preserve"> </w:t>
      </w:r>
      <w:r w:rsidR="00922F4F" w:rsidRPr="004A0BFF">
        <w:t>based</w:t>
      </w:r>
      <w:r w:rsidR="00922F4F">
        <w:t xml:space="preserve"> </w:t>
      </w:r>
      <w:r w:rsidR="00922F4F" w:rsidRPr="004A0BFF">
        <w:t>on</w:t>
      </w:r>
      <w:r w:rsidR="00922F4F">
        <w:t xml:space="preserve"> </w:t>
      </w:r>
      <w:r w:rsidR="00922F4F" w:rsidRPr="004A0BFF">
        <w:t>programs</w:t>
      </w:r>
      <w:r w:rsidR="00922F4F">
        <w:t xml:space="preserve"> </w:t>
      </w:r>
      <w:r w:rsidR="00922F4F" w:rsidRPr="004A0BFF">
        <w:t>designed</w:t>
      </w:r>
      <w:r w:rsidR="00922F4F">
        <w:t xml:space="preserve"> </w:t>
      </w:r>
      <w:r w:rsidR="00922F4F" w:rsidRPr="004A0BFF">
        <w:t>to</w:t>
      </w:r>
      <w:r w:rsidR="00922F4F">
        <w:t xml:space="preserve"> </w:t>
      </w:r>
      <w:r w:rsidR="00922F4F" w:rsidRPr="004A0BFF">
        <w:t>achieve</w:t>
      </w:r>
      <w:r w:rsidR="00922F4F">
        <w:t xml:space="preserve"> </w:t>
      </w:r>
      <w:r w:rsidR="00922F4F" w:rsidRPr="004A0BFF">
        <w:t>clear</w:t>
      </w:r>
      <w:r w:rsidR="00922F4F">
        <w:t xml:space="preserve"> </w:t>
      </w:r>
      <w:r w:rsidR="00922F4F" w:rsidRPr="004A0BFF">
        <w:t>objectives</w:t>
      </w:r>
      <w:r w:rsidR="00922F4F">
        <w:t xml:space="preserve"> (‘money follows program’) </w:t>
      </w:r>
      <w:r w:rsidR="00922F4F" w:rsidRPr="004A0BFF">
        <w:t>rather</w:t>
      </w:r>
      <w:r w:rsidR="00922F4F">
        <w:t xml:space="preserve"> </w:t>
      </w:r>
      <w:r w:rsidR="00922F4F" w:rsidRPr="004A0BFF">
        <w:t>than</w:t>
      </w:r>
      <w:r w:rsidR="00922F4F">
        <w:t xml:space="preserve"> </w:t>
      </w:r>
      <w:r w:rsidR="00922F4F" w:rsidRPr="004A0BFF">
        <w:t>on</w:t>
      </w:r>
      <w:r w:rsidR="00922F4F">
        <w:t xml:space="preserve"> bureaucrat</w:t>
      </w:r>
      <w:r w:rsidR="00922F4F" w:rsidRPr="009565FB">
        <w:t>ic functions (‘money follows function’). This is driving a stronger focus on outcomes and increasing demand for evidence of what works to produce those outcomes.</w:t>
      </w:r>
      <w:r w:rsidR="00922F4F">
        <w:t xml:space="preserve"> </w:t>
      </w:r>
      <w:r w:rsidR="00667A4A">
        <w:t>D</w:t>
      </w:r>
      <w:r w:rsidRPr="00F539D6">
        <w:t>emand for mor</w:t>
      </w:r>
      <w:r w:rsidR="00700005">
        <w:t>e evidence has also crept into the</w:t>
      </w:r>
      <w:r w:rsidRPr="00F539D6">
        <w:t xml:space="preserve"> bureaucracy, with an increasing number of </w:t>
      </w:r>
      <w:r w:rsidR="00922F4F">
        <w:t xml:space="preserve">ministries requesting Australian or other donor support </w:t>
      </w:r>
      <w:r w:rsidRPr="00F539D6">
        <w:t xml:space="preserve">to establish or strengthen their analytical or ‘think tank’ capabilities. </w:t>
      </w:r>
      <w:r w:rsidR="00CD5E2A">
        <w:t>A</w:t>
      </w:r>
      <w:r w:rsidRPr="00F539D6">
        <w:t xml:space="preserve"> number of entrepreneurial KSI research partners have </w:t>
      </w:r>
      <w:r w:rsidR="00CD5E2A">
        <w:t xml:space="preserve">taken advantage of this increasing demand to strengthen their relationships with </w:t>
      </w:r>
      <w:r w:rsidRPr="00F539D6">
        <w:t xml:space="preserve">government officials and </w:t>
      </w:r>
      <w:r w:rsidR="00CD5E2A">
        <w:t>use the results of their research to engage in dialogue with policymakers</w:t>
      </w:r>
      <w:r w:rsidRPr="00F539D6">
        <w:t>.</w:t>
      </w:r>
    </w:p>
    <w:p w:rsidR="00521109" w:rsidRPr="00F539D6" w:rsidRDefault="00521109" w:rsidP="00BD1DA6">
      <w:pPr>
        <w:jc w:val="both"/>
      </w:pPr>
      <w:r w:rsidRPr="00F539D6">
        <w:t xml:space="preserve"> </w:t>
      </w:r>
    </w:p>
    <w:p w:rsidR="00521109" w:rsidRDefault="00521109" w:rsidP="00BD1DA6">
      <w:pPr>
        <w:jc w:val="both"/>
      </w:pPr>
      <w:r w:rsidRPr="00F539D6">
        <w:t>Second, the merger of the Directorate General of Higher Education into the Ministry of Research, Technolo</w:t>
      </w:r>
      <w:r w:rsidR="00700005">
        <w:t>gy and Higher Education in 2014</w:t>
      </w:r>
      <w:r w:rsidRPr="00F539D6">
        <w:t xml:space="preserve"> </w:t>
      </w:r>
      <w:r w:rsidR="00893B87">
        <w:t>introduced</w:t>
      </w:r>
      <w:r w:rsidR="00893B87" w:rsidRPr="00F539D6" w:rsidDel="00893B87">
        <w:t xml:space="preserve"> </w:t>
      </w:r>
      <w:r w:rsidRPr="00F539D6">
        <w:t xml:space="preserve">greater coherence </w:t>
      </w:r>
      <w:r w:rsidR="00893B87">
        <w:t>in</w:t>
      </w:r>
      <w:r w:rsidR="00893B87" w:rsidRPr="00F539D6">
        <w:t xml:space="preserve"> </w:t>
      </w:r>
      <w:r w:rsidRPr="00F539D6">
        <w:t xml:space="preserve">research and higher education policy. </w:t>
      </w:r>
      <w:r w:rsidR="00893B87" w:rsidRPr="00F344A1">
        <w:t>M</w:t>
      </w:r>
      <w:r w:rsidRPr="009A13BA">
        <w:t xml:space="preserve">inistry officials </w:t>
      </w:r>
      <w:r w:rsidR="00F344A1" w:rsidRPr="00BE24EE">
        <w:t xml:space="preserve">have been open to discussing the need for change and have </w:t>
      </w:r>
      <w:r w:rsidRPr="00F539D6">
        <w:t>collaborate</w:t>
      </w:r>
      <w:r w:rsidR="00F344A1">
        <w:t>d</w:t>
      </w:r>
      <w:r w:rsidRPr="00F539D6">
        <w:t xml:space="preserve"> </w:t>
      </w:r>
      <w:r w:rsidR="00F344A1">
        <w:t xml:space="preserve">closely with KSI </w:t>
      </w:r>
      <w:r w:rsidRPr="00F539D6">
        <w:t xml:space="preserve">on </w:t>
      </w:r>
      <w:r w:rsidR="00893B87">
        <w:t xml:space="preserve">efforts to reform </w:t>
      </w:r>
      <w:r w:rsidRPr="00F539D6">
        <w:t>regulations</w:t>
      </w:r>
      <w:r w:rsidR="00893B87">
        <w:t xml:space="preserve"> and practices</w:t>
      </w:r>
      <w:r w:rsidRPr="00F539D6">
        <w:t xml:space="preserve"> </w:t>
      </w:r>
      <w:r w:rsidR="00893B87">
        <w:t>- particularly those relating to</w:t>
      </w:r>
      <w:r w:rsidR="00893B87" w:rsidRPr="00F539D6">
        <w:t xml:space="preserve"> academics </w:t>
      </w:r>
      <w:r w:rsidR="00893B87">
        <w:t xml:space="preserve">and researchers - </w:t>
      </w:r>
      <w:r w:rsidR="0073333E">
        <w:t>to</w:t>
      </w:r>
      <w:r w:rsidR="00893B87">
        <w:t xml:space="preserve"> facilitate </w:t>
      </w:r>
      <w:r w:rsidR="00893B87" w:rsidRPr="00F539D6">
        <w:t>better quality research</w:t>
      </w:r>
      <w:r w:rsidR="008C78D0">
        <w:t xml:space="preserve">, including </w:t>
      </w:r>
      <w:r w:rsidR="008C78D0" w:rsidRPr="00893B87">
        <w:t>reforms to administration of research grants</w:t>
      </w:r>
      <w:r w:rsidR="008C78D0">
        <w:t xml:space="preserve"> and</w:t>
      </w:r>
      <w:r w:rsidR="008C78D0" w:rsidRPr="00F539D6" w:rsidDel="00893B87">
        <w:t xml:space="preserve"> </w:t>
      </w:r>
      <w:r w:rsidRPr="00F539D6">
        <w:t>increased funding for gender-related research</w:t>
      </w:r>
      <w:r w:rsidR="008C78D0">
        <w:t>.</w:t>
      </w:r>
    </w:p>
    <w:p w:rsidR="00700005" w:rsidRPr="00F539D6" w:rsidRDefault="00700005" w:rsidP="00BD1DA6">
      <w:pPr>
        <w:jc w:val="both"/>
      </w:pPr>
    </w:p>
    <w:p w:rsidR="00521109" w:rsidRDefault="00521109" w:rsidP="00BD1DA6">
      <w:pPr>
        <w:jc w:val="both"/>
      </w:pPr>
      <w:r w:rsidRPr="00F539D6">
        <w:t xml:space="preserve">Third, </w:t>
      </w:r>
      <w:r w:rsidR="001178D4">
        <w:t>locally elected leaders are increasingly using</w:t>
      </w:r>
      <w:r w:rsidRPr="00F539D6">
        <w:t xml:space="preserve"> the media to highlight their accomplishments and push for reform at the national level</w:t>
      </w:r>
      <w:r w:rsidR="00B47074">
        <w:t xml:space="preserve">, </w:t>
      </w:r>
      <w:r w:rsidR="00B47074" w:rsidRPr="00F539D6">
        <w:t>present</w:t>
      </w:r>
      <w:r w:rsidR="00B47074">
        <w:t>ing</w:t>
      </w:r>
      <w:r w:rsidR="00B47074" w:rsidRPr="00F539D6">
        <w:t xml:space="preserve"> the challenges their </w:t>
      </w:r>
      <w:r w:rsidR="00B47074">
        <w:lastRenderedPageBreak/>
        <w:t>constituents</w:t>
      </w:r>
      <w:r w:rsidR="00B47074" w:rsidRPr="00F539D6">
        <w:t xml:space="preserve"> are facing in highly publicised events</w:t>
      </w:r>
      <w:r w:rsidRPr="00F539D6">
        <w:t xml:space="preserve">. The effective use of the media by influential governors and district heads is challenging the top-down political dynamic. The mayors of Surabaya and Bandung are two examples of local leaders pushing national ministries to ‘catch-up’ with local initiatives. </w:t>
      </w:r>
    </w:p>
    <w:p w:rsidR="00AC5A15" w:rsidRPr="00F539D6" w:rsidRDefault="00AC5A15" w:rsidP="00BD1DA6">
      <w:pPr>
        <w:jc w:val="both"/>
      </w:pPr>
    </w:p>
    <w:p w:rsidR="00DF2B33" w:rsidRDefault="00604FEE" w:rsidP="00BD1DA6">
      <w:pPr>
        <w:jc w:val="both"/>
      </w:pPr>
      <w:r>
        <w:t>F</w:t>
      </w:r>
      <w:r w:rsidR="00521109" w:rsidRPr="00F539D6">
        <w:t xml:space="preserve">inally, there is </w:t>
      </w:r>
      <w:r>
        <w:t xml:space="preserve">increasing </w:t>
      </w:r>
      <w:r w:rsidR="00521109" w:rsidRPr="00F539D6">
        <w:t>recognition</w:t>
      </w:r>
      <w:r>
        <w:t xml:space="preserve"> </w:t>
      </w:r>
      <w:r w:rsidR="00521109" w:rsidRPr="00F539D6">
        <w:t xml:space="preserve">of the need for </w:t>
      </w:r>
      <w:r>
        <w:t xml:space="preserve">integrated policy solutions </w:t>
      </w:r>
      <w:r w:rsidR="00521109" w:rsidRPr="00F539D6">
        <w:t xml:space="preserve">to address the </w:t>
      </w:r>
      <w:r>
        <w:t xml:space="preserve">multi-faceted </w:t>
      </w:r>
      <w:r w:rsidR="00521109" w:rsidRPr="00F539D6">
        <w:t>development challenges the country faces. Widely</w:t>
      </w:r>
      <w:r>
        <w:t>-</w:t>
      </w:r>
      <w:r w:rsidR="00521109" w:rsidRPr="00F539D6">
        <w:t>publicised criticism of poorly</w:t>
      </w:r>
      <w:r>
        <w:t xml:space="preserve">-coordinated </w:t>
      </w:r>
      <w:r w:rsidR="00521109" w:rsidRPr="00F539D6">
        <w:t xml:space="preserve">development projects </w:t>
      </w:r>
      <w:r w:rsidR="00DF2B33">
        <w:t>led</w:t>
      </w:r>
      <w:r w:rsidR="00521109" w:rsidRPr="00F539D6">
        <w:t xml:space="preserve"> the President to task </w:t>
      </w:r>
      <w:r w:rsidR="00700005">
        <w:t xml:space="preserve">the </w:t>
      </w:r>
      <w:r>
        <w:t xml:space="preserve">Ministry of </w:t>
      </w:r>
      <w:r w:rsidR="00700005">
        <w:t xml:space="preserve">National </w:t>
      </w:r>
      <w:r>
        <w:t xml:space="preserve">Development </w:t>
      </w:r>
      <w:r w:rsidR="00700005">
        <w:t>Planning (</w:t>
      </w:r>
      <w:r w:rsidR="00521109" w:rsidRPr="00F539D6">
        <w:t>Bappenas</w:t>
      </w:r>
      <w:r w:rsidR="00700005">
        <w:t>)</w:t>
      </w:r>
      <w:r w:rsidR="00521109" w:rsidRPr="00F539D6">
        <w:t xml:space="preserve"> with the role of ‘system</w:t>
      </w:r>
      <w:r w:rsidR="00DF2B33">
        <w:t>s</w:t>
      </w:r>
      <w:r w:rsidR="00521109" w:rsidRPr="00F539D6">
        <w:t xml:space="preserve"> integrator’</w:t>
      </w:r>
      <w:r w:rsidR="00BE24EE">
        <w:t>, to lead</w:t>
      </w:r>
      <w:r w:rsidR="00DF2B33" w:rsidRPr="00DF2B33">
        <w:t xml:space="preserve"> a more cohesive approach to development planning, budgeting and implementation</w:t>
      </w:r>
      <w:r w:rsidR="00DF2B33">
        <w:t>.</w:t>
      </w:r>
      <w:r w:rsidR="00DF2B33">
        <w:rPr>
          <w:rStyle w:val="FootnoteReference"/>
        </w:rPr>
        <w:footnoteReference w:id="7"/>
      </w:r>
      <w:r w:rsidR="00DF2B33">
        <w:t xml:space="preserve"> It has also seen </w:t>
      </w:r>
      <w:r w:rsidR="00521109" w:rsidRPr="00F539D6">
        <w:t xml:space="preserve">efforts to </w:t>
      </w:r>
      <w:r w:rsidR="00DF2B33">
        <w:t xml:space="preserve">integrate </w:t>
      </w:r>
      <w:r w:rsidR="00521109" w:rsidRPr="00F539D6">
        <w:t>go</w:t>
      </w:r>
      <w:r w:rsidR="00740A32" w:rsidRPr="00F539D6">
        <w:t xml:space="preserve">vernment data sets </w:t>
      </w:r>
      <w:r w:rsidR="00DF2B33">
        <w:t xml:space="preserve">and facilitate data sharing across government agencies </w:t>
      </w:r>
      <w:r w:rsidR="00740A32" w:rsidRPr="00F539D6">
        <w:t xml:space="preserve">through the </w:t>
      </w:r>
      <w:r w:rsidRPr="00BD1DA6">
        <w:rPr>
          <w:i/>
        </w:rPr>
        <w:t>S</w:t>
      </w:r>
      <w:r w:rsidR="00740A32" w:rsidRPr="00BD1DA6">
        <w:rPr>
          <w:i/>
        </w:rPr>
        <w:t>atu</w:t>
      </w:r>
      <w:r w:rsidRPr="00BD1DA6">
        <w:rPr>
          <w:i/>
        </w:rPr>
        <w:t xml:space="preserve"> D</w:t>
      </w:r>
      <w:r w:rsidR="00740A32" w:rsidRPr="00BD1DA6">
        <w:rPr>
          <w:i/>
        </w:rPr>
        <w:t>ata</w:t>
      </w:r>
      <w:r w:rsidR="00521109" w:rsidRPr="00BD1DA6">
        <w:rPr>
          <w:i/>
        </w:rPr>
        <w:t xml:space="preserve"> </w:t>
      </w:r>
      <w:r w:rsidR="00DF2B33" w:rsidRPr="00BD1DA6">
        <w:rPr>
          <w:i/>
        </w:rPr>
        <w:t>Indonesia</w:t>
      </w:r>
      <w:r w:rsidR="00DF2B33">
        <w:t xml:space="preserve"> </w:t>
      </w:r>
      <w:r w:rsidR="00521109" w:rsidRPr="00F539D6">
        <w:t>(</w:t>
      </w:r>
      <w:r>
        <w:t>O</w:t>
      </w:r>
      <w:r w:rsidR="00521109" w:rsidRPr="00F539D6">
        <w:t>ne</w:t>
      </w:r>
      <w:r>
        <w:t xml:space="preserve"> D</w:t>
      </w:r>
      <w:r w:rsidR="00521109" w:rsidRPr="00F539D6">
        <w:t>ata</w:t>
      </w:r>
      <w:r w:rsidR="00DF2B33">
        <w:t xml:space="preserve"> Indonesia</w:t>
      </w:r>
      <w:r w:rsidR="00521109" w:rsidRPr="00F539D6">
        <w:t>) initiative</w:t>
      </w:r>
      <w:r w:rsidR="00DF2B33">
        <w:t>,</w:t>
      </w:r>
      <w:r w:rsidR="00521109" w:rsidRPr="00F539D6">
        <w:t xml:space="preserve"> </w:t>
      </w:r>
      <w:r w:rsidR="00DF2B33">
        <w:t xml:space="preserve">led </w:t>
      </w:r>
      <w:r w:rsidR="00521109" w:rsidRPr="00F539D6">
        <w:t xml:space="preserve">by the </w:t>
      </w:r>
      <w:r>
        <w:t>O</w:t>
      </w:r>
      <w:r w:rsidR="00521109" w:rsidRPr="00F539D6">
        <w:t xml:space="preserve">ffice of the </w:t>
      </w:r>
      <w:r>
        <w:t>P</w:t>
      </w:r>
      <w:r w:rsidR="00521109" w:rsidRPr="00F539D6">
        <w:t>resident and coordinated by B</w:t>
      </w:r>
      <w:r w:rsidR="00700005">
        <w:t>appenas</w:t>
      </w:r>
      <w:r w:rsidR="00521109" w:rsidRPr="00F539D6">
        <w:t xml:space="preserve">. </w:t>
      </w:r>
    </w:p>
    <w:p w:rsidR="00700005" w:rsidRPr="00F539D6" w:rsidRDefault="00700005" w:rsidP="00BD1DA6">
      <w:pPr>
        <w:jc w:val="both"/>
      </w:pPr>
    </w:p>
    <w:p w:rsidR="00521109" w:rsidRDefault="00521109" w:rsidP="00BD1DA6">
      <w:pPr>
        <w:jc w:val="both"/>
      </w:pPr>
      <w:r w:rsidRPr="00F539D6">
        <w:t xml:space="preserve">However, there are also strong vested interests in maintaining the status quo. </w:t>
      </w:r>
      <w:r w:rsidR="00B2417D">
        <w:t xml:space="preserve">Better quality </w:t>
      </w:r>
      <w:r w:rsidRPr="00F539D6">
        <w:t>data</w:t>
      </w:r>
      <w:r w:rsidR="00B2417D">
        <w:t xml:space="preserve"> and analysis</w:t>
      </w:r>
      <w:r w:rsidR="000D2C34">
        <w:t>,</w:t>
      </w:r>
      <w:r w:rsidRPr="00F539D6">
        <w:t xml:space="preserve"> and </w:t>
      </w:r>
      <w:r w:rsidR="00B2417D">
        <w:t xml:space="preserve">more open sharing of </w:t>
      </w:r>
      <w:r w:rsidRPr="00F539D6">
        <w:t xml:space="preserve">information has the potential to expose weaknesses or other issues within existing </w:t>
      </w:r>
      <w:r w:rsidR="00B2417D">
        <w:t xml:space="preserve">programs, </w:t>
      </w:r>
      <w:r w:rsidRPr="00F539D6">
        <w:t xml:space="preserve">systems and </w:t>
      </w:r>
      <w:r w:rsidR="00B2417D">
        <w:t>practices</w:t>
      </w:r>
      <w:r w:rsidRPr="00F539D6">
        <w:t xml:space="preserve">. Resistance to greater collaboration both within and between ministries can sometimes be strong. Upcoming changes to procurement regulations </w:t>
      </w:r>
      <w:r w:rsidR="00B2417D">
        <w:t xml:space="preserve">which </w:t>
      </w:r>
      <w:r w:rsidR="00F34DBC">
        <w:t xml:space="preserve">will enable universities and </w:t>
      </w:r>
      <w:r w:rsidR="00B2417D">
        <w:t>non-government organisations</w:t>
      </w:r>
      <w:r w:rsidR="00B2417D" w:rsidRPr="00F539D6">
        <w:t xml:space="preserve"> </w:t>
      </w:r>
      <w:r w:rsidRPr="00F539D6">
        <w:t>to tender for gover</w:t>
      </w:r>
      <w:r w:rsidR="00F539D6">
        <w:t xml:space="preserve">nment research projects may </w:t>
      </w:r>
      <w:r w:rsidR="00B2417D">
        <w:t xml:space="preserve">face </w:t>
      </w:r>
      <w:r w:rsidRPr="00F539D6">
        <w:t xml:space="preserve">resistance from local consulting firms competing for these funds. </w:t>
      </w:r>
      <w:r w:rsidR="00B2417D">
        <w:t>Moreover</w:t>
      </w:r>
      <w:r w:rsidR="00185B23">
        <w:t>, w</w:t>
      </w:r>
      <w:r w:rsidRPr="00F539D6">
        <w:t xml:space="preserve">hile </w:t>
      </w:r>
      <w:r w:rsidR="00B2417D">
        <w:t xml:space="preserve">media – including </w:t>
      </w:r>
      <w:r w:rsidRPr="00F539D6">
        <w:t>social media</w:t>
      </w:r>
      <w:r w:rsidR="00F959C7">
        <w:t xml:space="preserve"> </w:t>
      </w:r>
      <w:r w:rsidR="00B2417D">
        <w:t xml:space="preserve">- can </w:t>
      </w:r>
      <w:r w:rsidRPr="00F539D6">
        <w:t>potential</w:t>
      </w:r>
      <w:r w:rsidR="00B2417D">
        <w:t>ly</w:t>
      </w:r>
      <w:r w:rsidRPr="00F539D6">
        <w:t xml:space="preserve"> support an evidence-based agenda, it </w:t>
      </w:r>
      <w:r w:rsidR="00753C91">
        <w:t>can</w:t>
      </w:r>
      <w:r w:rsidRPr="00F539D6">
        <w:t xml:space="preserve"> also </w:t>
      </w:r>
      <w:r w:rsidR="00753C91">
        <w:t xml:space="preserve">be </w:t>
      </w:r>
      <w:r w:rsidRPr="00F539D6">
        <w:t xml:space="preserve">used to spread opinion-based </w:t>
      </w:r>
      <w:r w:rsidR="00B2417D">
        <w:t xml:space="preserve">information </w:t>
      </w:r>
      <w:r w:rsidRPr="00F539D6">
        <w:t>and ideolog</w:t>
      </w:r>
      <w:r w:rsidR="00B2417D">
        <w:t xml:space="preserve">ical messages </w:t>
      </w:r>
      <w:r w:rsidRPr="00F539D6">
        <w:t>to vast audiences.</w:t>
      </w:r>
    </w:p>
    <w:p w:rsidR="00F344A1" w:rsidRDefault="00F344A1" w:rsidP="00BD1DA6">
      <w:pPr>
        <w:jc w:val="both"/>
      </w:pPr>
    </w:p>
    <w:p w:rsidR="00F344A1" w:rsidRPr="004D237D" w:rsidRDefault="009A13BA" w:rsidP="00BD1DA6">
      <w:pPr>
        <w:jc w:val="both"/>
      </w:pPr>
      <w:r w:rsidRPr="004D237D">
        <w:t>Intense p</w:t>
      </w:r>
      <w:r w:rsidR="00876BB1" w:rsidRPr="009A13BA">
        <w:t xml:space="preserve">olitical competition in the lead up to 2019 presidential elections and sub-national elections in 2018 and 2021-2022 will have important implications for the </w:t>
      </w:r>
      <w:r w:rsidR="00F344A1" w:rsidRPr="004D237D">
        <w:t xml:space="preserve">program and its work. Potential changes in leadership and direction resulting from these elections may lead to disruptions to the program or loss of momentum for particular changes, although they may also </w:t>
      </w:r>
      <w:r w:rsidRPr="004D237D">
        <w:t>open up new windows of opportunity</w:t>
      </w:r>
      <w:r w:rsidR="00F344A1" w:rsidRPr="004D237D">
        <w:t xml:space="preserve">. </w:t>
      </w:r>
    </w:p>
    <w:p w:rsidR="00996309" w:rsidRDefault="00996309" w:rsidP="00BD1DA6">
      <w:pPr>
        <w:pStyle w:val="Heading2"/>
        <w:spacing w:before="0" w:after="0"/>
      </w:pPr>
    </w:p>
    <w:p w:rsidR="00F539D6" w:rsidRPr="00F539D6" w:rsidRDefault="00D5430A" w:rsidP="00BD1DA6">
      <w:pPr>
        <w:pStyle w:val="Heading1"/>
        <w:spacing w:after="0"/>
      </w:pPr>
      <w:bookmarkStart w:id="12" w:name="_Toc479845303"/>
      <w:bookmarkStart w:id="13" w:name="_Toc492915010"/>
      <w:bookmarkStart w:id="14" w:name="_Toc482720028"/>
      <w:r>
        <w:t>3</w:t>
      </w:r>
      <w:r>
        <w:tab/>
      </w:r>
      <w:r w:rsidR="00F539D6" w:rsidRPr="00F539D6">
        <w:t>Goal and areas of focus</w:t>
      </w:r>
      <w:bookmarkEnd w:id="12"/>
      <w:bookmarkEnd w:id="13"/>
      <w:r w:rsidR="00F539D6" w:rsidRPr="00F539D6">
        <w:t xml:space="preserve"> </w:t>
      </w:r>
      <w:bookmarkEnd w:id="14"/>
    </w:p>
    <w:p w:rsidR="00996309" w:rsidRDefault="00996309" w:rsidP="00BD1DA6">
      <w:pPr>
        <w:jc w:val="both"/>
      </w:pPr>
    </w:p>
    <w:p w:rsidR="00CA294F" w:rsidRDefault="00F539D6" w:rsidP="00BD1DA6">
      <w:pPr>
        <w:jc w:val="both"/>
        <w:rPr>
          <w:lang w:val="en-US"/>
        </w:rPr>
      </w:pPr>
      <w:r w:rsidRPr="00F539D6">
        <w:t xml:space="preserve">KSI aims to facilitate the production of better public </w:t>
      </w:r>
      <w:r w:rsidR="00ED2379">
        <w:t>policy</w:t>
      </w:r>
      <w:r w:rsidRPr="00F539D6">
        <w:t xml:space="preserve"> in Indonesia. More specifically, KSI’s program goal is to support Indonesian knowledge sector institutions and systems to </w:t>
      </w:r>
      <w:r w:rsidRPr="00D5430A">
        <w:rPr>
          <w:b/>
        </w:rPr>
        <w:t>generate b</w:t>
      </w:r>
      <w:r w:rsidRPr="00F539D6">
        <w:rPr>
          <w:b/>
        </w:rPr>
        <w:t>ette</w:t>
      </w:r>
      <w:r w:rsidR="00D5430A">
        <w:rPr>
          <w:b/>
        </w:rPr>
        <w:t>r quality research and increase the</w:t>
      </w:r>
      <w:r w:rsidRPr="00F539D6">
        <w:rPr>
          <w:b/>
        </w:rPr>
        <w:t xml:space="preserve"> application of evidence in policymaking </w:t>
      </w:r>
      <w:r w:rsidRPr="00F539D6">
        <w:t xml:space="preserve">contributing to more </w:t>
      </w:r>
      <w:r w:rsidRPr="00F539D6">
        <w:rPr>
          <w:b/>
        </w:rPr>
        <w:t>inclusive and equitable growth for Indonesia</w:t>
      </w:r>
      <w:r w:rsidRPr="00F539D6">
        <w:t xml:space="preserve">. </w:t>
      </w:r>
    </w:p>
    <w:p w:rsidR="00CA294F" w:rsidRDefault="00CA294F" w:rsidP="00BD1DA6">
      <w:pPr>
        <w:jc w:val="both"/>
        <w:rPr>
          <w:lang w:val="en-US"/>
        </w:rPr>
      </w:pPr>
    </w:p>
    <w:p w:rsidR="00F539D6" w:rsidRDefault="00F539D6" w:rsidP="00BD1DA6">
      <w:pPr>
        <w:jc w:val="both"/>
        <w:rPr>
          <w:lang w:val="en-US"/>
        </w:rPr>
      </w:pPr>
      <w:r w:rsidRPr="00F539D6">
        <w:rPr>
          <w:lang w:val="en-US"/>
        </w:rPr>
        <w:t xml:space="preserve">In </w:t>
      </w:r>
      <w:r w:rsidR="00431012">
        <w:rPr>
          <w:lang w:val="en-US"/>
        </w:rPr>
        <w:t>phase</w:t>
      </w:r>
      <w:r w:rsidRPr="00F539D6">
        <w:rPr>
          <w:lang w:val="en-US"/>
        </w:rPr>
        <w:t xml:space="preserve"> 1, KSI developed a sophisticated understanding of the key barriers to a healthy knowledge sector through analysis and consultations with stakeholders across government, research institutes, universities and </w:t>
      </w:r>
      <w:r w:rsidR="00D81163">
        <w:rPr>
          <w:lang w:val="en-US"/>
        </w:rPr>
        <w:t>civil society.</w:t>
      </w:r>
      <w:r w:rsidRPr="00F539D6">
        <w:rPr>
          <w:lang w:val="en-US"/>
        </w:rPr>
        <w:t xml:space="preserve"> </w:t>
      </w:r>
      <w:r w:rsidR="00D5430A">
        <w:rPr>
          <w:lang w:val="en-US"/>
        </w:rPr>
        <w:t xml:space="preserve">Annex </w:t>
      </w:r>
      <w:r w:rsidR="00FD7894">
        <w:rPr>
          <w:lang w:val="en-US"/>
        </w:rPr>
        <w:t>2</w:t>
      </w:r>
      <w:r w:rsidRPr="00F539D6">
        <w:rPr>
          <w:lang w:val="en-US"/>
        </w:rPr>
        <w:t xml:space="preserve"> </w:t>
      </w:r>
      <w:r w:rsidR="00D81163">
        <w:rPr>
          <w:lang w:val="en-US"/>
        </w:rPr>
        <w:t xml:space="preserve">provides a </w:t>
      </w:r>
      <w:r w:rsidRPr="00F539D6">
        <w:rPr>
          <w:lang w:val="en-US"/>
        </w:rPr>
        <w:t xml:space="preserve">full description of the barriers and sub-barriers. </w:t>
      </w:r>
      <w:r w:rsidR="00D81163">
        <w:rPr>
          <w:lang w:val="en-US"/>
        </w:rPr>
        <w:t>For the purposes of phase 2, t</w:t>
      </w:r>
      <w:r w:rsidRPr="00F539D6">
        <w:rPr>
          <w:lang w:val="en-US"/>
        </w:rPr>
        <w:t>h</w:t>
      </w:r>
      <w:r w:rsidR="00D81163">
        <w:rPr>
          <w:lang w:val="en-US"/>
        </w:rPr>
        <w:t>e</w:t>
      </w:r>
      <w:r w:rsidRPr="00F539D6">
        <w:rPr>
          <w:lang w:val="en-US"/>
        </w:rPr>
        <w:t xml:space="preserve">se barriers </w:t>
      </w:r>
      <w:r w:rsidR="00D81163">
        <w:rPr>
          <w:lang w:val="en-US"/>
        </w:rPr>
        <w:t xml:space="preserve">can be </w:t>
      </w:r>
      <w:r w:rsidR="0092246B" w:rsidRPr="00BD1DA6">
        <w:t>summarised</w:t>
      </w:r>
      <w:r w:rsidR="0092246B">
        <w:rPr>
          <w:lang w:val="en-US"/>
        </w:rPr>
        <w:t xml:space="preserve"> as</w:t>
      </w:r>
      <w:r w:rsidRPr="00F539D6">
        <w:rPr>
          <w:lang w:val="en-US"/>
        </w:rPr>
        <w:t xml:space="preserve">: </w:t>
      </w:r>
    </w:p>
    <w:p w:rsidR="00796415" w:rsidRPr="00F539D6" w:rsidRDefault="00796415" w:rsidP="00BD1DA6">
      <w:pPr>
        <w:jc w:val="both"/>
        <w:rPr>
          <w:lang w:val="en-US"/>
        </w:rPr>
      </w:pPr>
    </w:p>
    <w:p w:rsidR="00F539D6" w:rsidRPr="00D5430A" w:rsidRDefault="0092246B" w:rsidP="00BD1DA6">
      <w:pPr>
        <w:pStyle w:val="ListParagraph"/>
        <w:numPr>
          <w:ilvl w:val="0"/>
          <w:numId w:val="10"/>
        </w:numPr>
        <w:contextualSpacing w:val="0"/>
        <w:jc w:val="both"/>
        <w:rPr>
          <w:rFonts w:asciiTheme="minorHAnsi" w:hAnsiTheme="minorHAnsi"/>
          <w:sz w:val="22"/>
          <w:szCs w:val="22"/>
          <w:lang w:val="en-US"/>
        </w:rPr>
      </w:pPr>
      <w:r>
        <w:rPr>
          <w:rFonts w:asciiTheme="minorHAnsi" w:hAnsiTheme="minorHAnsi"/>
          <w:sz w:val="22"/>
          <w:szCs w:val="22"/>
          <w:lang w:val="en-US"/>
        </w:rPr>
        <w:t>P</w:t>
      </w:r>
      <w:r w:rsidR="00F539D6" w:rsidRPr="00D5430A">
        <w:rPr>
          <w:rFonts w:asciiTheme="minorHAnsi" w:hAnsiTheme="minorHAnsi"/>
          <w:sz w:val="22"/>
          <w:szCs w:val="22"/>
          <w:lang w:val="en-US"/>
        </w:rPr>
        <w:t xml:space="preserve">olicy research and analysis continues to be </w:t>
      </w:r>
      <w:r>
        <w:rPr>
          <w:rFonts w:asciiTheme="minorHAnsi" w:hAnsiTheme="minorHAnsi"/>
          <w:sz w:val="22"/>
          <w:szCs w:val="22"/>
          <w:lang w:val="en-US"/>
        </w:rPr>
        <w:t xml:space="preserve">of </w:t>
      </w:r>
      <w:r w:rsidR="00F539D6" w:rsidRPr="00D5430A">
        <w:rPr>
          <w:rFonts w:asciiTheme="minorHAnsi" w:hAnsiTheme="minorHAnsi"/>
          <w:sz w:val="22"/>
          <w:szCs w:val="22"/>
          <w:lang w:val="en-US"/>
        </w:rPr>
        <w:t xml:space="preserve">low </w:t>
      </w:r>
      <w:r>
        <w:rPr>
          <w:rFonts w:asciiTheme="minorHAnsi" w:hAnsiTheme="minorHAnsi"/>
          <w:sz w:val="22"/>
          <w:szCs w:val="22"/>
          <w:lang w:val="en-US"/>
        </w:rPr>
        <w:t xml:space="preserve">quality </w:t>
      </w:r>
      <w:r w:rsidR="00F539D6" w:rsidRPr="00D5430A">
        <w:rPr>
          <w:rFonts w:asciiTheme="minorHAnsi" w:hAnsiTheme="minorHAnsi"/>
          <w:sz w:val="22"/>
          <w:szCs w:val="22"/>
          <w:lang w:val="en-US"/>
        </w:rPr>
        <w:t>(</w:t>
      </w:r>
      <w:r>
        <w:rPr>
          <w:rFonts w:asciiTheme="minorHAnsi" w:hAnsiTheme="minorHAnsi"/>
          <w:sz w:val="22"/>
          <w:szCs w:val="22"/>
          <w:lang w:val="en-US"/>
        </w:rPr>
        <w:t xml:space="preserve">with insufficient attention to issues of </w:t>
      </w:r>
      <w:r w:rsidR="00F539D6" w:rsidRPr="00D5430A">
        <w:rPr>
          <w:rFonts w:asciiTheme="minorHAnsi" w:hAnsiTheme="minorHAnsi"/>
          <w:sz w:val="22"/>
          <w:szCs w:val="22"/>
          <w:lang w:val="en-US"/>
        </w:rPr>
        <w:t>gender</w:t>
      </w:r>
      <w:r>
        <w:rPr>
          <w:rFonts w:asciiTheme="minorHAnsi" w:hAnsiTheme="minorHAnsi"/>
          <w:sz w:val="22"/>
          <w:szCs w:val="22"/>
          <w:lang w:val="en-US"/>
        </w:rPr>
        <w:t xml:space="preserve"> and social inclusion</w:t>
      </w:r>
      <w:r w:rsidR="00F539D6" w:rsidRPr="00D5430A">
        <w:rPr>
          <w:rFonts w:asciiTheme="minorHAnsi" w:hAnsiTheme="minorHAnsi"/>
          <w:sz w:val="22"/>
          <w:szCs w:val="22"/>
          <w:lang w:val="en-US"/>
        </w:rPr>
        <w:t xml:space="preserve">) and </w:t>
      </w:r>
      <w:r>
        <w:rPr>
          <w:rFonts w:asciiTheme="minorHAnsi" w:hAnsiTheme="minorHAnsi"/>
          <w:sz w:val="22"/>
          <w:szCs w:val="22"/>
          <w:lang w:val="en-US"/>
        </w:rPr>
        <w:t xml:space="preserve">not </w:t>
      </w:r>
      <w:r w:rsidR="00F539D6" w:rsidRPr="00D5430A">
        <w:rPr>
          <w:rFonts w:asciiTheme="minorHAnsi" w:hAnsiTheme="minorHAnsi"/>
          <w:sz w:val="22"/>
          <w:szCs w:val="22"/>
          <w:lang w:val="en-US"/>
        </w:rPr>
        <w:t>communicated</w:t>
      </w:r>
      <w:r>
        <w:rPr>
          <w:rFonts w:asciiTheme="minorHAnsi" w:hAnsiTheme="minorHAnsi"/>
          <w:sz w:val="22"/>
          <w:szCs w:val="22"/>
          <w:lang w:val="en-US"/>
        </w:rPr>
        <w:t xml:space="preserve"> to policymakers</w:t>
      </w:r>
      <w:r w:rsidR="009E4C49">
        <w:rPr>
          <w:rFonts w:asciiTheme="minorHAnsi" w:hAnsiTheme="minorHAnsi"/>
          <w:sz w:val="22"/>
          <w:szCs w:val="22"/>
          <w:lang w:val="en-US"/>
        </w:rPr>
        <w:t xml:space="preserve"> in ways that facilitate uptake into policy</w:t>
      </w:r>
      <w:r w:rsidR="00F539D6" w:rsidRPr="00D5430A">
        <w:rPr>
          <w:rFonts w:asciiTheme="minorHAnsi" w:hAnsiTheme="minorHAnsi"/>
          <w:sz w:val="22"/>
          <w:szCs w:val="22"/>
          <w:lang w:val="en-US"/>
        </w:rPr>
        <w:t>;</w:t>
      </w:r>
    </w:p>
    <w:p w:rsidR="009A4D04" w:rsidRPr="00726D2A" w:rsidRDefault="009A4D04" w:rsidP="00BD1DA6">
      <w:pPr>
        <w:pStyle w:val="ListParagraph"/>
        <w:numPr>
          <w:ilvl w:val="0"/>
          <w:numId w:val="10"/>
        </w:numPr>
        <w:contextualSpacing w:val="0"/>
        <w:jc w:val="both"/>
        <w:rPr>
          <w:rFonts w:asciiTheme="minorHAnsi" w:hAnsiTheme="minorHAnsi"/>
          <w:sz w:val="22"/>
          <w:szCs w:val="22"/>
          <w:lang w:val="en-US"/>
        </w:rPr>
      </w:pPr>
      <w:r w:rsidRPr="00D5430A">
        <w:rPr>
          <w:rFonts w:asciiTheme="minorHAnsi" w:hAnsiTheme="minorHAnsi"/>
          <w:sz w:val="22"/>
          <w:szCs w:val="22"/>
          <w:lang w:val="en-US"/>
        </w:rPr>
        <w:t xml:space="preserve">Levels of </w:t>
      </w:r>
      <w:r w:rsidR="0092246B">
        <w:rPr>
          <w:rFonts w:asciiTheme="minorHAnsi" w:hAnsiTheme="minorHAnsi"/>
          <w:sz w:val="22"/>
          <w:szCs w:val="22"/>
          <w:lang w:val="en-US"/>
        </w:rPr>
        <w:t xml:space="preserve">government and private sector </w:t>
      </w:r>
      <w:r w:rsidRPr="00D5430A">
        <w:rPr>
          <w:rFonts w:asciiTheme="minorHAnsi" w:hAnsiTheme="minorHAnsi"/>
          <w:sz w:val="22"/>
          <w:szCs w:val="22"/>
          <w:lang w:val="en-US"/>
        </w:rPr>
        <w:t xml:space="preserve">funding </w:t>
      </w:r>
      <w:r w:rsidR="0092246B">
        <w:rPr>
          <w:rFonts w:asciiTheme="minorHAnsi" w:hAnsiTheme="minorHAnsi"/>
          <w:sz w:val="22"/>
          <w:szCs w:val="22"/>
          <w:lang w:val="en-US"/>
        </w:rPr>
        <w:t xml:space="preserve">for research </w:t>
      </w:r>
      <w:r w:rsidRPr="00D5430A">
        <w:rPr>
          <w:rFonts w:asciiTheme="minorHAnsi" w:hAnsiTheme="minorHAnsi"/>
          <w:sz w:val="22"/>
          <w:szCs w:val="22"/>
          <w:lang w:val="en-US"/>
        </w:rPr>
        <w:t xml:space="preserve">are </w:t>
      </w:r>
      <w:r w:rsidR="0092246B">
        <w:rPr>
          <w:rFonts w:asciiTheme="minorHAnsi" w:hAnsiTheme="minorHAnsi"/>
          <w:sz w:val="22"/>
          <w:szCs w:val="22"/>
          <w:lang w:val="en-US"/>
        </w:rPr>
        <w:t>inadequate</w:t>
      </w:r>
      <w:r w:rsidR="00FA51D4">
        <w:rPr>
          <w:rFonts w:asciiTheme="minorHAnsi" w:hAnsiTheme="minorHAnsi"/>
          <w:sz w:val="22"/>
          <w:szCs w:val="22"/>
          <w:lang w:val="en-US"/>
        </w:rPr>
        <w:t xml:space="preserve">, </w:t>
      </w:r>
      <w:r w:rsidR="00FA51D4" w:rsidRPr="00726D2A">
        <w:rPr>
          <w:rFonts w:asciiTheme="minorHAnsi" w:hAnsiTheme="minorHAnsi"/>
          <w:sz w:val="22"/>
          <w:szCs w:val="22"/>
          <w:lang w:val="en-US"/>
        </w:rPr>
        <w:t xml:space="preserve">available funds are </w:t>
      </w:r>
      <w:r w:rsidR="0092246B" w:rsidRPr="00726D2A">
        <w:rPr>
          <w:rFonts w:asciiTheme="minorHAnsi" w:hAnsiTheme="minorHAnsi"/>
          <w:sz w:val="22"/>
          <w:szCs w:val="22"/>
          <w:lang w:val="en-US"/>
        </w:rPr>
        <w:t>spent ineffectively</w:t>
      </w:r>
      <w:r w:rsidR="00FA51D4" w:rsidRPr="00726D2A">
        <w:rPr>
          <w:rFonts w:asciiTheme="minorHAnsi" w:hAnsiTheme="minorHAnsi"/>
          <w:sz w:val="22"/>
          <w:szCs w:val="22"/>
          <w:lang w:val="en-US"/>
        </w:rPr>
        <w:t xml:space="preserve"> and inefficiently</w:t>
      </w:r>
      <w:r w:rsidR="00B83395" w:rsidRPr="00726D2A">
        <w:rPr>
          <w:rFonts w:asciiTheme="minorHAnsi" w:hAnsiTheme="minorHAnsi"/>
          <w:sz w:val="22"/>
          <w:szCs w:val="22"/>
          <w:lang w:val="en-US"/>
        </w:rPr>
        <w:t>,</w:t>
      </w:r>
      <w:r w:rsidRPr="00726D2A">
        <w:rPr>
          <w:rFonts w:asciiTheme="minorHAnsi" w:hAnsiTheme="minorHAnsi"/>
          <w:sz w:val="22"/>
          <w:szCs w:val="22"/>
          <w:lang w:val="en-US"/>
        </w:rPr>
        <w:t xml:space="preserve"> and </w:t>
      </w:r>
      <w:r w:rsidR="00E8309F" w:rsidRPr="00726D2A">
        <w:rPr>
          <w:rFonts w:asciiTheme="minorHAnsi" w:hAnsiTheme="minorHAnsi"/>
          <w:sz w:val="22"/>
          <w:szCs w:val="22"/>
          <w:lang w:val="en-US"/>
        </w:rPr>
        <w:t xml:space="preserve">existing laws, </w:t>
      </w:r>
      <w:r w:rsidR="00E8309F" w:rsidRPr="00726D2A">
        <w:rPr>
          <w:rFonts w:asciiTheme="minorHAnsi" w:hAnsiTheme="minorHAnsi"/>
          <w:sz w:val="22"/>
          <w:szCs w:val="22"/>
          <w:lang w:val="en-US"/>
        </w:rPr>
        <w:lastRenderedPageBreak/>
        <w:t xml:space="preserve">regulations and practices do not promote the </w:t>
      </w:r>
      <w:r w:rsidRPr="00726D2A">
        <w:rPr>
          <w:rFonts w:asciiTheme="minorHAnsi" w:hAnsiTheme="minorHAnsi"/>
          <w:sz w:val="22"/>
          <w:szCs w:val="22"/>
          <w:lang w:val="en-US"/>
        </w:rPr>
        <w:t>produc</w:t>
      </w:r>
      <w:r w:rsidR="00E8309F" w:rsidRPr="00726D2A">
        <w:rPr>
          <w:rFonts w:asciiTheme="minorHAnsi" w:hAnsiTheme="minorHAnsi"/>
          <w:sz w:val="22"/>
          <w:szCs w:val="22"/>
          <w:lang w:val="en-US"/>
        </w:rPr>
        <w:t>tion of quality research or its use in policymaking</w:t>
      </w:r>
      <w:r w:rsidRPr="00726D2A">
        <w:rPr>
          <w:rFonts w:asciiTheme="minorHAnsi" w:hAnsiTheme="minorHAnsi"/>
          <w:sz w:val="22"/>
          <w:szCs w:val="22"/>
          <w:lang w:val="en-US"/>
        </w:rPr>
        <w:t>;</w:t>
      </w:r>
    </w:p>
    <w:p w:rsidR="00F539D6" w:rsidRPr="00726D2A" w:rsidRDefault="00F539D6" w:rsidP="00BD1DA6">
      <w:pPr>
        <w:pStyle w:val="ListParagraph"/>
        <w:numPr>
          <w:ilvl w:val="0"/>
          <w:numId w:val="10"/>
        </w:numPr>
        <w:contextualSpacing w:val="0"/>
        <w:jc w:val="both"/>
        <w:rPr>
          <w:rFonts w:asciiTheme="minorHAnsi" w:hAnsiTheme="minorHAnsi"/>
          <w:sz w:val="22"/>
          <w:szCs w:val="22"/>
          <w:lang w:val="en-US"/>
        </w:rPr>
      </w:pPr>
      <w:r w:rsidRPr="00726D2A">
        <w:rPr>
          <w:rFonts w:asciiTheme="minorHAnsi" w:hAnsiTheme="minorHAnsi"/>
          <w:sz w:val="22"/>
          <w:szCs w:val="22"/>
          <w:lang w:val="en-US"/>
        </w:rPr>
        <w:t xml:space="preserve">The </w:t>
      </w:r>
      <w:r w:rsidR="0092246B" w:rsidRPr="00726D2A">
        <w:rPr>
          <w:rFonts w:asciiTheme="minorHAnsi" w:hAnsiTheme="minorHAnsi"/>
          <w:sz w:val="22"/>
          <w:szCs w:val="22"/>
          <w:lang w:val="en-US"/>
        </w:rPr>
        <w:t xml:space="preserve">systems and </w:t>
      </w:r>
      <w:r w:rsidR="00796415" w:rsidRPr="00726D2A">
        <w:rPr>
          <w:rFonts w:asciiTheme="minorHAnsi" w:hAnsiTheme="minorHAnsi"/>
          <w:sz w:val="22"/>
          <w:szCs w:val="22"/>
          <w:lang w:val="en-US"/>
        </w:rPr>
        <w:t>incentives for better knowledge management</w:t>
      </w:r>
      <w:r w:rsidR="00FA51D4" w:rsidRPr="00726D2A">
        <w:rPr>
          <w:rFonts w:asciiTheme="minorHAnsi" w:hAnsiTheme="minorHAnsi"/>
          <w:sz w:val="22"/>
          <w:szCs w:val="22"/>
          <w:lang w:val="en-US"/>
        </w:rPr>
        <w:t>, improved</w:t>
      </w:r>
      <w:r w:rsidR="00796415" w:rsidRPr="00726D2A">
        <w:rPr>
          <w:rFonts w:asciiTheme="minorHAnsi" w:hAnsiTheme="minorHAnsi"/>
          <w:sz w:val="22"/>
          <w:szCs w:val="22"/>
          <w:lang w:val="en-US"/>
        </w:rPr>
        <w:t xml:space="preserve"> coordination, </w:t>
      </w:r>
      <w:r w:rsidR="00E8309F" w:rsidRPr="00726D2A">
        <w:rPr>
          <w:rFonts w:asciiTheme="minorHAnsi" w:hAnsiTheme="minorHAnsi"/>
          <w:sz w:val="22"/>
          <w:szCs w:val="22"/>
          <w:lang w:val="en-US"/>
        </w:rPr>
        <w:t xml:space="preserve">greater </w:t>
      </w:r>
      <w:r w:rsidR="00FA51D4" w:rsidRPr="00726D2A">
        <w:rPr>
          <w:rFonts w:asciiTheme="minorHAnsi" w:hAnsiTheme="minorHAnsi"/>
          <w:sz w:val="22"/>
          <w:szCs w:val="22"/>
          <w:lang w:val="en-US"/>
        </w:rPr>
        <w:t xml:space="preserve">use of </w:t>
      </w:r>
      <w:r w:rsidR="00796415" w:rsidRPr="00726D2A">
        <w:rPr>
          <w:rFonts w:asciiTheme="minorHAnsi" w:hAnsiTheme="minorHAnsi"/>
          <w:sz w:val="22"/>
          <w:szCs w:val="22"/>
          <w:lang w:val="en-US"/>
        </w:rPr>
        <w:t>research</w:t>
      </w:r>
      <w:r w:rsidR="00FA51D4" w:rsidRPr="00726D2A">
        <w:rPr>
          <w:rFonts w:asciiTheme="minorHAnsi" w:hAnsiTheme="minorHAnsi"/>
          <w:sz w:val="22"/>
          <w:szCs w:val="22"/>
          <w:lang w:val="en-US"/>
        </w:rPr>
        <w:t xml:space="preserve">, analysis </w:t>
      </w:r>
      <w:r w:rsidR="00796415" w:rsidRPr="00726D2A">
        <w:rPr>
          <w:rFonts w:asciiTheme="minorHAnsi" w:hAnsiTheme="minorHAnsi"/>
          <w:sz w:val="22"/>
          <w:szCs w:val="22"/>
          <w:lang w:val="en-US"/>
        </w:rPr>
        <w:t>and data</w:t>
      </w:r>
      <w:r w:rsidR="00B83395" w:rsidRPr="00726D2A">
        <w:rPr>
          <w:rFonts w:asciiTheme="minorHAnsi" w:hAnsiTheme="minorHAnsi"/>
          <w:sz w:val="22"/>
          <w:szCs w:val="22"/>
          <w:lang w:val="en-US"/>
        </w:rPr>
        <w:t>,</w:t>
      </w:r>
      <w:r w:rsidR="00796415" w:rsidRPr="00726D2A">
        <w:rPr>
          <w:rFonts w:asciiTheme="minorHAnsi" w:hAnsiTheme="minorHAnsi"/>
          <w:sz w:val="22"/>
          <w:szCs w:val="22"/>
          <w:lang w:val="en-US"/>
        </w:rPr>
        <w:t xml:space="preserve"> and effective information flows within and between </w:t>
      </w:r>
      <w:r w:rsidRPr="00726D2A">
        <w:rPr>
          <w:rFonts w:asciiTheme="minorHAnsi" w:hAnsiTheme="minorHAnsi"/>
          <w:sz w:val="22"/>
          <w:szCs w:val="22"/>
          <w:lang w:val="en-US"/>
        </w:rPr>
        <w:t xml:space="preserve">government and non-government </w:t>
      </w:r>
      <w:r w:rsidR="00796415" w:rsidRPr="00726D2A">
        <w:rPr>
          <w:rFonts w:asciiTheme="minorHAnsi" w:hAnsiTheme="minorHAnsi"/>
          <w:sz w:val="22"/>
          <w:szCs w:val="22"/>
          <w:lang w:val="en-US"/>
        </w:rPr>
        <w:t>bodies are</w:t>
      </w:r>
      <w:r w:rsidR="00E8309F" w:rsidRPr="000A17AF">
        <w:rPr>
          <w:rFonts w:asciiTheme="minorHAnsi" w:hAnsiTheme="minorHAnsi"/>
          <w:sz w:val="22"/>
          <w:szCs w:val="22"/>
          <w:lang w:val="en-US"/>
        </w:rPr>
        <w:t xml:space="preserve"> ineffective</w:t>
      </w:r>
      <w:r w:rsidR="004A3E77" w:rsidRPr="00726D2A">
        <w:rPr>
          <w:rFonts w:asciiTheme="minorHAnsi" w:hAnsiTheme="minorHAnsi"/>
          <w:sz w:val="22"/>
          <w:szCs w:val="22"/>
          <w:lang w:val="en-US"/>
        </w:rPr>
        <w:t>; and</w:t>
      </w:r>
      <w:r w:rsidR="006376F7">
        <w:rPr>
          <w:rFonts w:asciiTheme="minorHAnsi" w:hAnsiTheme="minorHAnsi"/>
          <w:sz w:val="22"/>
          <w:szCs w:val="22"/>
          <w:lang w:val="en-US"/>
        </w:rPr>
        <w:t>;</w:t>
      </w:r>
    </w:p>
    <w:p w:rsidR="004A3E77" w:rsidRPr="000A17AF" w:rsidRDefault="00FA51D4" w:rsidP="00BD1DA6">
      <w:pPr>
        <w:pStyle w:val="ListParagraph"/>
        <w:numPr>
          <w:ilvl w:val="0"/>
          <w:numId w:val="10"/>
        </w:numPr>
        <w:contextualSpacing w:val="0"/>
        <w:jc w:val="both"/>
        <w:rPr>
          <w:rFonts w:asciiTheme="minorHAnsi" w:hAnsiTheme="minorHAnsi"/>
          <w:sz w:val="22"/>
          <w:szCs w:val="22"/>
          <w:lang w:val="en-US"/>
        </w:rPr>
      </w:pPr>
      <w:r w:rsidRPr="00726D2A">
        <w:rPr>
          <w:rFonts w:asciiTheme="minorHAnsi" w:hAnsiTheme="minorHAnsi"/>
          <w:sz w:val="22"/>
          <w:szCs w:val="22"/>
          <w:lang w:val="en-US"/>
        </w:rPr>
        <w:t>L</w:t>
      </w:r>
      <w:r w:rsidR="004A3E77" w:rsidRPr="00726D2A">
        <w:rPr>
          <w:rFonts w:asciiTheme="minorHAnsi" w:hAnsiTheme="minorHAnsi"/>
          <w:sz w:val="22"/>
          <w:szCs w:val="22"/>
          <w:lang w:val="en-US"/>
        </w:rPr>
        <w:t xml:space="preserve">imited public awareness of and demand for </w:t>
      </w:r>
      <w:r w:rsidR="00E8309F" w:rsidRPr="00726D2A">
        <w:rPr>
          <w:rFonts w:asciiTheme="minorHAnsi" w:hAnsiTheme="minorHAnsi"/>
          <w:sz w:val="22"/>
          <w:szCs w:val="22"/>
          <w:lang w:val="en-US"/>
        </w:rPr>
        <w:t xml:space="preserve">evidence-informed policymaking </w:t>
      </w:r>
      <w:r w:rsidRPr="00726D2A">
        <w:rPr>
          <w:rFonts w:asciiTheme="minorHAnsi" w:hAnsiTheme="minorHAnsi"/>
          <w:sz w:val="22"/>
          <w:szCs w:val="22"/>
          <w:lang w:val="en-US"/>
        </w:rPr>
        <w:t xml:space="preserve">means there are weak incentives for policymakers to use </w:t>
      </w:r>
      <w:r w:rsidR="00E8309F" w:rsidRPr="00726D2A">
        <w:rPr>
          <w:rFonts w:asciiTheme="minorHAnsi" w:hAnsiTheme="minorHAnsi"/>
          <w:sz w:val="22"/>
          <w:szCs w:val="22"/>
          <w:lang w:val="en-US"/>
        </w:rPr>
        <w:t>research and analysis more systematically in policymaking</w:t>
      </w:r>
      <w:r w:rsidR="004A3E77" w:rsidRPr="00726D2A">
        <w:rPr>
          <w:rFonts w:asciiTheme="minorHAnsi" w:hAnsiTheme="minorHAnsi"/>
          <w:sz w:val="22"/>
          <w:szCs w:val="22"/>
          <w:lang w:val="en-US"/>
        </w:rPr>
        <w:t>.</w:t>
      </w:r>
    </w:p>
    <w:p w:rsidR="00D5430A" w:rsidRDefault="00D5430A" w:rsidP="00BD1DA6">
      <w:pPr>
        <w:jc w:val="both"/>
        <w:rPr>
          <w:lang w:val="en-US"/>
        </w:rPr>
      </w:pPr>
    </w:p>
    <w:p w:rsidR="00F539D6" w:rsidRDefault="00F539D6" w:rsidP="00BD1DA6">
      <w:pPr>
        <w:jc w:val="both"/>
        <w:rPr>
          <w:lang w:val="en-US"/>
        </w:rPr>
      </w:pPr>
      <w:r w:rsidRPr="00F539D6">
        <w:rPr>
          <w:lang w:val="en-US"/>
        </w:rPr>
        <w:t>In seeking to overcome th</w:t>
      </w:r>
      <w:r w:rsidR="0092246B">
        <w:rPr>
          <w:lang w:val="en-US"/>
        </w:rPr>
        <w:t>e</w:t>
      </w:r>
      <w:r w:rsidRPr="00F539D6">
        <w:rPr>
          <w:lang w:val="en-US"/>
        </w:rPr>
        <w:t xml:space="preserve">se barriers, </w:t>
      </w:r>
      <w:r w:rsidR="00101BD2">
        <w:rPr>
          <w:b/>
          <w:lang w:val="en-US"/>
        </w:rPr>
        <w:t xml:space="preserve">four </w:t>
      </w:r>
      <w:r w:rsidRPr="00F539D6">
        <w:rPr>
          <w:b/>
          <w:lang w:val="en-US"/>
        </w:rPr>
        <w:t>focus areas</w:t>
      </w:r>
      <w:r w:rsidRPr="00F539D6">
        <w:rPr>
          <w:lang w:val="en-US"/>
        </w:rPr>
        <w:t xml:space="preserve"> have been identified</w:t>
      </w:r>
      <w:r w:rsidR="00B72411">
        <w:rPr>
          <w:lang w:val="en-US"/>
        </w:rPr>
        <w:t>:</w:t>
      </w:r>
      <w:r w:rsidRPr="00F539D6">
        <w:rPr>
          <w:lang w:val="en-US"/>
        </w:rPr>
        <w:t xml:space="preserve"> </w:t>
      </w:r>
    </w:p>
    <w:p w:rsidR="009A4D04" w:rsidRPr="00F539D6" w:rsidRDefault="009A4D04" w:rsidP="00BD1DA6">
      <w:pPr>
        <w:jc w:val="both"/>
        <w:rPr>
          <w:lang w:val="en-US"/>
        </w:rPr>
      </w:pPr>
    </w:p>
    <w:p w:rsidR="00F539D6" w:rsidRPr="00051832" w:rsidRDefault="00111220" w:rsidP="003F6A2D">
      <w:pPr>
        <w:pStyle w:val="ListParagraph"/>
        <w:numPr>
          <w:ilvl w:val="0"/>
          <w:numId w:val="30"/>
        </w:numPr>
        <w:contextualSpacing w:val="0"/>
        <w:jc w:val="both"/>
        <w:rPr>
          <w:rFonts w:asciiTheme="minorHAnsi" w:hAnsiTheme="minorHAnsi"/>
          <w:sz w:val="22"/>
          <w:szCs w:val="22"/>
        </w:rPr>
      </w:pPr>
      <w:bookmarkStart w:id="15" w:name="_Hlk489618510"/>
      <w:r>
        <w:rPr>
          <w:rFonts w:asciiTheme="minorHAnsi" w:hAnsiTheme="minorHAnsi"/>
          <w:sz w:val="22"/>
          <w:szCs w:val="22"/>
        </w:rPr>
        <w:t xml:space="preserve">Quality </w:t>
      </w:r>
      <w:r w:rsidR="00280ABB">
        <w:rPr>
          <w:rFonts w:asciiTheme="minorHAnsi" w:hAnsiTheme="minorHAnsi"/>
          <w:sz w:val="22"/>
          <w:szCs w:val="22"/>
        </w:rPr>
        <w:t xml:space="preserve">policy research </w:t>
      </w:r>
      <w:r w:rsidR="00954C24">
        <w:rPr>
          <w:rFonts w:asciiTheme="minorHAnsi" w:hAnsiTheme="minorHAnsi"/>
          <w:sz w:val="22"/>
          <w:szCs w:val="22"/>
        </w:rPr>
        <w:t xml:space="preserve">and analysis </w:t>
      </w:r>
      <w:r w:rsidR="0039670B">
        <w:rPr>
          <w:rFonts w:asciiTheme="minorHAnsi" w:hAnsiTheme="minorHAnsi"/>
          <w:sz w:val="22"/>
          <w:szCs w:val="22"/>
        </w:rPr>
        <w:t>and effective communication</w:t>
      </w:r>
    </w:p>
    <w:p w:rsidR="00F539D6" w:rsidRPr="00726D2A" w:rsidRDefault="00D75677" w:rsidP="003F6A2D">
      <w:pPr>
        <w:pStyle w:val="ListParagraph"/>
        <w:numPr>
          <w:ilvl w:val="0"/>
          <w:numId w:val="30"/>
        </w:numPr>
        <w:contextualSpacing w:val="0"/>
        <w:jc w:val="both"/>
        <w:rPr>
          <w:rFonts w:asciiTheme="minorHAnsi" w:hAnsiTheme="minorHAnsi"/>
          <w:b/>
          <w:sz w:val="22"/>
          <w:szCs w:val="22"/>
        </w:rPr>
      </w:pPr>
      <w:r w:rsidRPr="00726D2A">
        <w:rPr>
          <w:rFonts w:asciiTheme="minorHAnsi" w:hAnsiTheme="minorHAnsi"/>
          <w:sz w:val="22"/>
          <w:szCs w:val="22"/>
        </w:rPr>
        <w:t>Research funding (g</w:t>
      </w:r>
      <w:r w:rsidR="00F539D6" w:rsidRPr="00726D2A">
        <w:rPr>
          <w:rFonts w:asciiTheme="minorHAnsi" w:hAnsiTheme="minorHAnsi"/>
          <w:sz w:val="22"/>
          <w:szCs w:val="22"/>
        </w:rPr>
        <w:t>overnment</w:t>
      </w:r>
      <w:r w:rsidR="00954C24" w:rsidRPr="00726D2A">
        <w:rPr>
          <w:rFonts w:asciiTheme="minorHAnsi" w:hAnsiTheme="minorHAnsi"/>
          <w:sz w:val="22"/>
          <w:szCs w:val="22"/>
        </w:rPr>
        <w:t>, private sector and philanthropic</w:t>
      </w:r>
      <w:r w:rsidRPr="000A17AF">
        <w:rPr>
          <w:rFonts w:asciiTheme="minorHAnsi" w:hAnsiTheme="minorHAnsi"/>
          <w:sz w:val="22"/>
          <w:szCs w:val="22"/>
        </w:rPr>
        <w:t>)</w:t>
      </w:r>
      <w:r w:rsidR="00954C24" w:rsidRPr="00726D2A">
        <w:rPr>
          <w:rFonts w:asciiTheme="minorHAnsi" w:hAnsiTheme="minorHAnsi"/>
          <w:sz w:val="22"/>
          <w:szCs w:val="22"/>
        </w:rPr>
        <w:t xml:space="preserve"> and </w:t>
      </w:r>
      <w:r w:rsidRPr="000A17AF">
        <w:rPr>
          <w:rFonts w:asciiTheme="minorHAnsi" w:hAnsiTheme="minorHAnsi"/>
          <w:sz w:val="22"/>
          <w:szCs w:val="22"/>
        </w:rPr>
        <w:t>quality of</w:t>
      </w:r>
      <w:r w:rsidR="00954C24" w:rsidRPr="00726D2A">
        <w:rPr>
          <w:rFonts w:asciiTheme="minorHAnsi" w:hAnsiTheme="minorHAnsi"/>
          <w:sz w:val="22"/>
          <w:szCs w:val="22"/>
        </w:rPr>
        <w:t xml:space="preserve"> spending</w:t>
      </w:r>
    </w:p>
    <w:p w:rsidR="00101BD2" w:rsidRPr="000A17AF" w:rsidRDefault="00BA1820" w:rsidP="003F6A2D">
      <w:pPr>
        <w:pStyle w:val="ListParagraph"/>
        <w:numPr>
          <w:ilvl w:val="0"/>
          <w:numId w:val="30"/>
        </w:numPr>
        <w:contextualSpacing w:val="0"/>
        <w:jc w:val="both"/>
        <w:rPr>
          <w:rFonts w:asciiTheme="minorHAnsi" w:hAnsiTheme="minorHAnsi"/>
          <w:b/>
          <w:sz w:val="22"/>
          <w:szCs w:val="22"/>
        </w:rPr>
      </w:pPr>
      <w:r w:rsidRPr="003F6A2D">
        <w:rPr>
          <w:rFonts w:asciiTheme="minorHAnsi" w:hAnsiTheme="minorHAnsi"/>
          <w:sz w:val="22"/>
          <w:szCs w:val="22"/>
        </w:rPr>
        <w:t>Government knowledge management systems</w:t>
      </w:r>
    </w:p>
    <w:p w:rsidR="00190E51" w:rsidRPr="000A17AF" w:rsidRDefault="00190E51" w:rsidP="003F6A2D">
      <w:pPr>
        <w:pStyle w:val="ListParagraph"/>
        <w:numPr>
          <w:ilvl w:val="0"/>
          <w:numId w:val="30"/>
        </w:numPr>
        <w:contextualSpacing w:val="0"/>
        <w:jc w:val="both"/>
        <w:rPr>
          <w:rFonts w:asciiTheme="minorHAnsi" w:hAnsiTheme="minorHAnsi"/>
          <w:b/>
          <w:sz w:val="22"/>
          <w:szCs w:val="22"/>
        </w:rPr>
      </w:pPr>
      <w:r w:rsidRPr="00726D2A">
        <w:rPr>
          <w:rFonts w:asciiTheme="minorHAnsi" w:hAnsiTheme="minorHAnsi"/>
          <w:sz w:val="22"/>
          <w:szCs w:val="22"/>
        </w:rPr>
        <w:t>Public discourse on the role of research</w:t>
      </w:r>
      <w:r w:rsidR="001906D7" w:rsidRPr="00726D2A">
        <w:rPr>
          <w:rFonts w:asciiTheme="minorHAnsi" w:hAnsiTheme="minorHAnsi"/>
          <w:sz w:val="22"/>
          <w:szCs w:val="22"/>
        </w:rPr>
        <w:t>, evidence and analysis</w:t>
      </w:r>
      <w:r w:rsidRPr="00726D2A">
        <w:rPr>
          <w:rFonts w:asciiTheme="minorHAnsi" w:hAnsiTheme="minorHAnsi"/>
          <w:sz w:val="22"/>
          <w:szCs w:val="22"/>
        </w:rPr>
        <w:t xml:space="preserve"> in public policymaking</w:t>
      </w:r>
      <w:r w:rsidRPr="00726D2A">
        <w:rPr>
          <w:rFonts w:asciiTheme="minorHAnsi" w:hAnsiTheme="minorHAnsi"/>
          <w:b/>
          <w:sz w:val="22"/>
          <w:szCs w:val="22"/>
        </w:rPr>
        <w:t>.</w:t>
      </w:r>
      <w:bookmarkEnd w:id="15"/>
    </w:p>
    <w:p w:rsidR="00954C24" w:rsidRPr="000A17AF" w:rsidRDefault="00954C24" w:rsidP="00BD1DA6">
      <w:pPr>
        <w:jc w:val="both"/>
      </w:pPr>
    </w:p>
    <w:p w:rsidR="00775C64" w:rsidRDefault="00775C64" w:rsidP="00A630B9">
      <w:pPr>
        <w:jc w:val="both"/>
      </w:pPr>
      <w:r>
        <w:t xml:space="preserve">The following sections elaborate briefly on each of the four focus areas, indicating the work that will be pursued under each, what it builds upon from the first phase of the program and the outcomes it will be aiming to achieve. All of these will be further developed from October to December 2017. </w:t>
      </w:r>
    </w:p>
    <w:p w:rsidR="00775C64" w:rsidRDefault="00775C64" w:rsidP="00BD1DA6">
      <w:pPr>
        <w:jc w:val="both"/>
        <w:rPr>
          <w:lang w:val="en-US"/>
        </w:rPr>
      </w:pPr>
    </w:p>
    <w:p w:rsidR="00E15AD2" w:rsidRPr="00D60170" w:rsidRDefault="00E15AD2" w:rsidP="00BD1DA6">
      <w:pPr>
        <w:pStyle w:val="Heading2"/>
        <w:spacing w:before="0" w:after="0"/>
      </w:pPr>
      <w:bookmarkStart w:id="16" w:name="_Toc492915011"/>
      <w:r w:rsidRPr="00D60170">
        <w:t>3.1</w:t>
      </w:r>
      <w:r w:rsidRPr="00D60170">
        <w:tab/>
        <w:t xml:space="preserve">Focus area 1: Quality policy research and </w:t>
      </w:r>
      <w:r w:rsidR="0088772E" w:rsidRPr="000A17AF">
        <w:t>effective communication</w:t>
      </w:r>
      <w:bookmarkEnd w:id="16"/>
    </w:p>
    <w:p w:rsidR="00996309" w:rsidRPr="00210C4B" w:rsidRDefault="00996309" w:rsidP="00BD1DA6">
      <w:pPr>
        <w:jc w:val="both"/>
      </w:pPr>
    </w:p>
    <w:p w:rsidR="002A533C" w:rsidRDefault="00E15AD2" w:rsidP="00BD1DA6">
      <w:pPr>
        <w:jc w:val="both"/>
      </w:pPr>
      <w:r w:rsidRPr="0062502E">
        <w:t xml:space="preserve">In the first phase, </w:t>
      </w:r>
      <w:r w:rsidR="00DA19C4">
        <w:t xml:space="preserve">one of </w:t>
      </w:r>
      <w:r w:rsidRPr="0062502E">
        <w:t>KSI</w:t>
      </w:r>
      <w:r w:rsidR="00DA19C4">
        <w:t>’s core activities involved</w:t>
      </w:r>
      <w:r w:rsidRPr="0062502E">
        <w:t xml:space="preserve"> work</w:t>
      </w:r>
      <w:r w:rsidR="00DA19C4">
        <w:t>ing</w:t>
      </w:r>
      <w:r w:rsidRPr="0062502E">
        <w:t xml:space="preserve"> </w:t>
      </w:r>
      <w:r w:rsidR="00FC330B" w:rsidRPr="0062502E">
        <w:t xml:space="preserve">with non-government research organisations and government agencies to </w:t>
      </w:r>
      <w:r w:rsidRPr="0088772E">
        <w:t>improv</w:t>
      </w:r>
      <w:r w:rsidR="00FC330B" w:rsidRPr="0088772E">
        <w:t>e</w:t>
      </w:r>
      <w:r w:rsidRPr="0088772E">
        <w:t xml:space="preserve"> the quality of policy research </w:t>
      </w:r>
      <w:r w:rsidR="00FC330B" w:rsidRPr="0088772E">
        <w:t xml:space="preserve">and analysis </w:t>
      </w:r>
      <w:r w:rsidRPr="0088772E">
        <w:t xml:space="preserve">and </w:t>
      </w:r>
      <w:r w:rsidR="00420DBF" w:rsidRPr="0088772E">
        <w:t>its communication to policymakers</w:t>
      </w:r>
      <w:r w:rsidRPr="0088772E">
        <w:t xml:space="preserve">. </w:t>
      </w:r>
      <w:r w:rsidR="00420DBF" w:rsidRPr="0088772E">
        <w:t xml:space="preserve">This included </w:t>
      </w:r>
      <w:r w:rsidR="00DA19C4">
        <w:t>support for</w:t>
      </w:r>
      <w:r w:rsidR="000E3E17" w:rsidRPr="0088772E">
        <w:t xml:space="preserve"> </w:t>
      </w:r>
      <w:r w:rsidRPr="0088772E">
        <w:t xml:space="preserve">16 policy research institutes </w:t>
      </w:r>
      <w:r w:rsidR="006554A4">
        <w:t xml:space="preserve">(PRIs) </w:t>
      </w:r>
      <w:r w:rsidR="00420DBF" w:rsidRPr="0088772E">
        <w:t>a</w:t>
      </w:r>
      <w:r w:rsidR="002A533C">
        <w:t>nd</w:t>
      </w:r>
      <w:r w:rsidR="00717F39" w:rsidRPr="0088772E">
        <w:t xml:space="preserve"> </w:t>
      </w:r>
      <w:r w:rsidRPr="0088772E">
        <w:t>a range of government institutions</w:t>
      </w:r>
      <w:r w:rsidR="000E3E17" w:rsidRPr="0088772E">
        <w:t>,</w:t>
      </w:r>
      <w:r w:rsidRPr="0088772E">
        <w:t xml:space="preserve"> including </w:t>
      </w:r>
      <w:r w:rsidR="000E3E17" w:rsidRPr="0088772E">
        <w:t xml:space="preserve">Bappenas’ </w:t>
      </w:r>
      <w:r w:rsidRPr="0088772E">
        <w:t>Policy Analysis Centre</w:t>
      </w:r>
      <w:r w:rsidR="005049B2" w:rsidRPr="000A17AF">
        <w:t xml:space="preserve"> (</w:t>
      </w:r>
      <w:r w:rsidR="005049B2" w:rsidRPr="000A17AF">
        <w:rPr>
          <w:i/>
        </w:rPr>
        <w:t>Pusat Analisis Kebijakan</w:t>
      </w:r>
      <w:r w:rsidR="005049B2" w:rsidRPr="000A17AF">
        <w:t>, PAK)</w:t>
      </w:r>
      <w:r w:rsidRPr="00D60170">
        <w:t xml:space="preserve">, </w:t>
      </w:r>
      <w:r w:rsidR="000E3E17" w:rsidRPr="00210C4B">
        <w:t>ministerial r</w:t>
      </w:r>
      <w:r w:rsidRPr="0062502E">
        <w:t xml:space="preserve">esearch and </w:t>
      </w:r>
      <w:r w:rsidR="000E3E17" w:rsidRPr="0062502E">
        <w:t>d</w:t>
      </w:r>
      <w:r w:rsidRPr="0062502E">
        <w:t>evelopment units</w:t>
      </w:r>
      <w:r w:rsidR="000E3E17" w:rsidRPr="0062502E">
        <w:t>, and a new cadre of policy analysts</w:t>
      </w:r>
      <w:r w:rsidRPr="0088772E">
        <w:t>.</w:t>
      </w:r>
      <w:r w:rsidR="00F959C7" w:rsidRPr="0088772E">
        <w:t xml:space="preserve"> </w:t>
      </w:r>
    </w:p>
    <w:p w:rsidR="002A533C" w:rsidRDefault="002A533C" w:rsidP="00BD1DA6">
      <w:pPr>
        <w:jc w:val="both"/>
      </w:pPr>
    </w:p>
    <w:p w:rsidR="005372E7" w:rsidRDefault="006554A4" w:rsidP="00BD1DA6">
      <w:pPr>
        <w:jc w:val="both"/>
      </w:pPr>
      <w:r>
        <w:t>For the 16 PRIs this support resulted in improved capacity to plan, communicate and engage with policy makers on their research and enhanced their credibility with external stakeholders</w:t>
      </w:r>
      <w:r w:rsidR="005372E7">
        <w:t>.</w:t>
      </w:r>
      <w:r>
        <w:t xml:space="preserve"> The program also improved capacity </w:t>
      </w:r>
      <w:r w:rsidR="006D6C18">
        <w:t xml:space="preserve">for analysis and communication </w:t>
      </w:r>
      <w:r>
        <w:t xml:space="preserve">within </w:t>
      </w:r>
      <w:r w:rsidR="0044002A">
        <w:t xml:space="preserve">government </w:t>
      </w:r>
      <w:r w:rsidR="00CC1E92">
        <w:t xml:space="preserve">research units and among government officers responsible </w:t>
      </w:r>
      <w:r w:rsidR="0044002A">
        <w:t xml:space="preserve">for </w:t>
      </w:r>
      <w:r w:rsidR="00CC1E92">
        <w:t>research</w:t>
      </w:r>
      <w:r w:rsidR="0044002A">
        <w:t xml:space="preserve">. </w:t>
      </w:r>
    </w:p>
    <w:p w:rsidR="005372E7" w:rsidRDefault="005372E7" w:rsidP="00BD1DA6">
      <w:pPr>
        <w:jc w:val="both"/>
      </w:pPr>
    </w:p>
    <w:p w:rsidR="00577E42" w:rsidRDefault="0044002A" w:rsidP="00BD1DA6">
      <w:pPr>
        <w:jc w:val="both"/>
      </w:pPr>
      <w:r>
        <w:t>Towards the end of phase 1, the PRIs and government partners</w:t>
      </w:r>
      <w:r w:rsidR="00746CD5">
        <w:t xml:space="preserve"> began </w:t>
      </w:r>
      <w:r w:rsidR="00577E42">
        <w:t xml:space="preserve">to </w:t>
      </w:r>
      <w:r w:rsidR="00746CD5">
        <w:t>collaborate in their efforts to improve rese</w:t>
      </w:r>
      <w:r w:rsidR="00703996">
        <w:t xml:space="preserve">arch quality and communication. </w:t>
      </w:r>
      <w:r w:rsidR="00BC078D" w:rsidRPr="0062502E">
        <w:t>KSI</w:t>
      </w:r>
      <w:r w:rsidR="00BC078D" w:rsidRPr="0066280C">
        <w:t>-</w:t>
      </w:r>
      <w:r w:rsidR="00BC078D" w:rsidRPr="0062502E">
        <w:t>convened working groups</w:t>
      </w:r>
      <w:r w:rsidR="00BC078D" w:rsidRPr="003E50A6">
        <w:t xml:space="preserve"> on </w:t>
      </w:r>
      <w:r w:rsidR="00BC078D" w:rsidRPr="0066280C">
        <w:t xml:space="preserve">specific </w:t>
      </w:r>
      <w:r w:rsidR="00BC078D" w:rsidRPr="0062502E">
        <w:t>policy issues</w:t>
      </w:r>
      <w:r w:rsidR="00BC078D" w:rsidRPr="0066280C">
        <w:t xml:space="preserve"> were effective in</w:t>
      </w:r>
      <w:r w:rsidR="00BC078D" w:rsidRPr="0062502E">
        <w:t xml:space="preserve"> bringing together researchers and policymakers</w:t>
      </w:r>
      <w:r w:rsidR="00BC078D" w:rsidRPr="0066280C">
        <w:t xml:space="preserve"> and</w:t>
      </w:r>
      <w:r w:rsidR="00BC078D" w:rsidRPr="0062502E">
        <w:t xml:space="preserve"> stimulating greater </w:t>
      </w:r>
      <w:r w:rsidR="00BC078D" w:rsidRPr="0066280C">
        <w:t>contestation and use of</w:t>
      </w:r>
      <w:r w:rsidR="00BC078D" w:rsidRPr="0062502E">
        <w:t xml:space="preserve"> evidence</w:t>
      </w:r>
      <w:r w:rsidR="00BC078D" w:rsidRPr="0066280C">
        <w:t xml:space="preserve"> to inform policy</w:t>
      </w:r>
      <w:r w:rsidR="00BC078D" w:rsidRPr="00726D2A">
        <w:t>. These were also valuable in helping policymakers to clarify the evidence they needed.</w:t>
      </w:r>
    </w:p>
    <w:p w:rsidR="001760F2" w:rsidRDefault="001760F2" w:rsidP="00BD1DA6">
      <w:pPr>
        <w:jc w:val="both"/>
      </w:pPr>
    </w:p>
    <w:p w:rsidR="00010E2B" w:rsidRDefault="006D6C18" w:rsidP="00BD1DA6">
      <w:pPr>
        <w:jc w:val="both"/>
      </w:pPr>
      <w:r>
        <w:t xml:space="preserve">More broadly, </w:t>
      </w:r>
      <w:r w:rsidR="00577E42">
        <w:t xml:space="preserve">KSI has also established a </w:t>
      </w:r>
      <w:r w:rsidR="00577E42" w:rsidRPr="00AC560F">
        <w:t>strong working relationship</w:t>
      </w:r>
      <w:r w:rsidR="00577E42">
        <w:t xml:space="preserve"> </w:t>
      </w:r>
      <w:r w:rsidR="00577E42" w:rsidRPr="00AC560F">
        <w:t xml:space="preserve">with the Ministry of Research, </w:t>
      </w:r>
      <w:r w:rsidR="00F219FF">
        <w:t>Technology and Higher Education</w:t>
      </w:r>
      <w:r w:rsidR="00C70BFC">
        <w:t>,</w:t>
      </w:r>
      <w:r w:rsidR="00F219FF">
        <w:t xml:space="preserve"> responsible for </w:t>
      </w:r>
      <w:r w:rsidR="00577E42">
        <w:t>issues of research quality</w:t>
      </w:r>
      <w:r w:rsidR="00C70BFC">
        <w:t>, that</w:t>
      </w:r>
      <w:r w:rsidR="00577E42">
        <w:t xml:space="preserve"> </w:t>
      </w:r>
      <w:r>
        <w:t xml:space="preserve">has </w:t>
      </w:r>
      <w:r w:rsidR="00577E42">
        <w:t xml:space="preserve">resulted in reforms to </w:t>
      </w:r>
      <w:r w:rsidR="00577E42" w:rsidRPr="00577E42">
        <w:t>reporting r</w:t>
      </w:r>
      <w:r w:rsidR="00577E42">
        <w:t xml:space="preserve">equirements for research grants </w:t>
      </w:r>
      <w:r w:rsidR="00C70BFC">
        <w:t>including</w:t>
      </w:r>
      <w:r w:rsidR="00577E42">
        <w:t xml:space="preserve"> greater integration of gender issues into Ministry research grant schemes</w:t>
      </w:r>
      <w:r w:rsidR="00577E42" w:rsidRPr="00577E42">
        <w:t>.</w:t>
      </w:r>
      <w:r w:rsidR="00010E2B">
        <w:t xml:space="preserve"> Similarly, work with </w:t>
      </w:r>
      <w:r w:rsidR="00010E2B" w:rsidRPr="00AC560F">
        <w:t>the National Institute of Public Administration (</w:t>
      </w:r>
      <w:r w:rsidR="00010E2B" w:rsidRPr="000A17AF">
        <w:rPr>
          <w:i/>
        </w:rPr>
        <w:t>Lembaga Administrasi Negara</w:t>
      </w:r>
      <w:r w:rsidR="00BD1DA6">
        <w:t>, LAN) and AAKI</w:t>
      </w:r>
      <w:r w:rsidR="00010E2B">
        <w:t xml:space="preserve"> has provided the foundations for improved policy analysis capabilities across national and sub-national government agencies, with a new training package developed with KSI support.</w:t>
      </w:r>
    </w:p>
    <w:p w:rsidR="006F3827" w:rsidRPr="000A17AF" w:rsidRDefault="006F3827" w:rsidP="00BD1DA6">
      <w:pPr>
        <w:jc w:val="both"/>
        <w:rPr>
          <w:highlight w:val="yellow"/>
        </w:rPr>
      </w:pPr>
    </w:p>
    <w:p w:rsidR="00294C32" w:rsidRDefault="006D6C18" w:rsidP="007905BF">
      <w:pPr>
        <w:jc w:val="both"/>
      </w:pPr>
      <w:r>
        <w:t>KSI support to date has</w:t>
      </w:r>
      <w:r w:rsidR="00234370">
        <w:t>,</w:t>
      </w:r>
      <w:r>
        <w:t xml:space="preserve"> however, been focused on improving the internal organisational capacity of PRIs and the research skills of relevant government agency cohorts without a shared understanding of </w:t>
      </w:r>
      <w:r w:rsidR="00294C32">
        <w:t xml:space="preserve">what constitutes ‘quality’ policy research and analysis, what skills, capacities and resources policymakers need to demand evidence, how and when evidence enters (or does not enter) into policymaking processes, and how it is used effectively. While the program made a number of efforts to improve research quality, the concept of quality in relation to policy research was never defined nor was a shared understanding of that definition built among stakeholders. </w:t>
      </w:r>
    </w:p>
    <w:p w:rsidR="00E15AD2" w:rsidRPr="0062502E" w:rsidRDefault="00E15AD2" w:rsidP="00BD1DA6">
      <w:pPr>
        <w:jc w:val="both"/>
      </w:pPr>
    </w:p>
    <w:p w:rsidR="00010E2B" w:rsidRDefault="00E15AD2" w:rsidP="00BD1DA6">
      <w:pPr>
        <w:jc w:val="both"/>
        <w:rPr>
          <w:b/>
        </w:rPr>
      </w:pPr>
      <w:r w:rsidRPr="0062502E">
        <w:rPr>
          <w:b/>
        </w:rPr>
        <w:t xml:space="preserve">What will KSI do? </w:t>
      </w:r>
    </w:p>
    <w:p w:rsidR="00B039BE" w:rsidRDefault="00B039BE" w:rsidP="00BD1DA6">
      <w:pPr>
        <w:jc w:val="both"/>
        <w:rPr>
          <w:highlight w:val="yellow"/>
        </w:rPr>
      </w:pPr>
    </w:p>
    <w:p w:rsidR="0072355B" w:rsidRDefault="009F46EE" w:rsidP="00BD1DA6">
      <w:pPr>
        <w:jc w:val="both"/>
      </w:pPr>
      <w:r>
        <w:t>KSI will continue to support research partners</w:t>
      </w:r>
      <w:r w:rsidR="002D3557">
        <w:t xml:space="preserve"> (both government and non-government) and policy makers to: </w:t>
      </w:r>
      <w:r w:rsidR="002F7D6A">
        <w:t xml:space="preserve">further progress </w:t>
      </w:r>
      <w:r w:rsidR="002D3557">
        <w:t>efforts to communicate actionable recommendations from research at key points in relevant policy cycles at national and sub-national levels; develop broader objective measures and shared understandings on what constitutes ‘good quality</w:t>
      </w:r>
      <w:r w:rsidR="00A630B9">
        <w:t>’</w:t>
      </w:r>
      <w:r w:rsidR="002D3557">
        <w:t xml:space="preserve"> for policy research and analysis; and further strengthen considerations of </w:t>
      </w:r>
      <w:r w:rsidR="00E24C18">
        <w:t xml:space="preserve">embracing </w:t>
      </w:r>
      <w:r w:rsidR="002D3557" w:rsidRPr="00210C4B">
        <w:t>diversity a</w:t>
      </w:r>
      <w:r w:rsidR="002D3557">
        <w:t xml:space="preserve">nd </w:t>
      </w:r>
      <w:r w:rsidR="00E24C18">
        <w:t xml:space="preserve">tackling </w:t>
      </w:r>
      <w:r w:rsidR="002D3557">
        <w:t>inequality in res</w:t>
      </w:r>
      <w:r w:rsidR="006C6DEB">
        <w:t>e</w:t>
      </w:r>
      <w:r w:rsidR="002D3557">
        <w:t>arch</w:t>
      </w:r>
      <w:r w:rsidR="002D3557" w:rsidRPr="00210C4B">
        <w:t>.</w:t>
      </w:r>
      <w:r w:rsidR="002D3557">
        <w:t xml:space="preserve"> </w:t>
      </w:r>
      <w:r>
        <w:t xml:space="preserve"> </w:t>
      </w:r>
    </w:p>
    <w:p w:rsidR="0072355B" w:rsidRDefault="0072355B" w:rsidP="00BD1DA6">
      <w:pPr>
        <w:jc w:val="both"/>
      </w:pPr>
    </w:p>
    <w:p w:rsidR="0072355B" w:rsidRPr="0062502E" w:rsidRDefault="00BC078D" w:rsidP="00BD1DA6">
      <w:pPr>
        <w:jc w:val="both"/>
      </w:pPr>
      <w:r>
        <w:t>In Indonesia, KSI</w:t>
      </w:r>
      <w:r w:rsidR="00010E2B" w:rsidRPr="00AC560F">
        <w:t xml:space="preserve"> will capitalise on its partners</w:t>
      </w:r>
      <w:r w:rsidR="00F219FF">
        <w:t>’</w:t>
      </w:r>
      <w:r w:rsidR="00010E2B" w:rsidRPr="00AC560F">
        <w:t xml:space="preserve"> existing networks as well as building relationships with other key Indonesian research networks, such as the Indonesian Regional Science Association (IRSA) and the Eastern Indonesia Researchers Network (</w:t>
      </w:r>
      <w:r w:rsidR="00010E2B" w:rsidRPr="00C07E4B">
        <w:rPr>
          <w:i/>
        </w:rPr>
        <w:t>Jaringan Peneliti Kawasan Indonesian Timur</w:t>
      </w:r>
      <w:r w:rsidR="00010E2B" w:rsidRPr="00210C4B">
        <w:t>, JiKTI)</w:t>
      </w:r>
      <w:r>
        <w:t>,</w:t>
      </w:r>
      <w:r w:rsidR="00E24C18">
        <w:t xml:space="preserve"> </w:t>
      </w:r>
      <w:r>
        <w:t>to</w:t>
      </w:r>
      <w:r w:rsidR="0072355B" w:rsidRPr="00C07E4B">
        <w:t xml:space="preserve"> encourage improve</w:t>
      </w:r>
      <w:r>
        <w:t>d</w:t>
      </w:r>
      <w:r w:rsidR="0072355B" w:rsidRPr="00C07E4B">
        <w:t xml:space="preserve"> information and knowledge sharing and to strengthen research </w:t>
      </w:r>
      <w:r>
        <w:t>quality</w:t>
      </w:r>
      <w:r w:rsidR="0072355B" w:rsidRPr="00C07E4B">
        <w:t xml:space="preserve"> through peer-to-peer learning and publishing research in peer-reviewed </w:t>
      </w:r>
      <w:r w:rsidR="003611FB">
        <w:t xml:space="preserve">fora, </w:t>
      </w:r>
      <w:r w:rsidR="003611FB" w:rsidRPr="00726D2A">
        <w:t>including international journals</w:t>
      </w:r>
      <w:r w:rsidR="0072355B" w:rsidRPr="00C07E4B">
        <w:t xml:space="preserve">. </w:t>
      </w:r>
    </w:p>
    <w:p w:rsidR="00010E2B" w:rsidRDefault="00010E2B" w:rsidP="00BD1DA6">
      <w:pPr>
        <w:jc w:val="both"/>
      </w:pPr>
    </w:p>
    <w:p w:rsidR="00010E2B" w:rsidRPr="005372E7" w:rsidRDefault="00010E2B" w:rsidP="00BD1DA6">
      <w:pPr>
        <w:jc w:val="both"/>
      </w:pPr>
      <w:r w:rsidRPr="00C07E4B">
        <w:t xml:space="preserve">KSI will </w:t>
      </w:r>
      <w:r w:rsidR="00BC078D">
        <w:t xml:space="preserve">also </w:t>
      </w:r>
      <w:r w:rsidRPr="00C07E4B">
        <w:t xml:space="preserve">continue to encourage more institutional links between Indonesian and international universities, think tanks and research institutes – including key Australian partners – to strengthen </w:t>
      </w:r>
      <w:r w:rsidR="009604BE" w:rsidRPr="00C07E4B">
        <w:t xml:space="preserve">efforts to improve research quality, including through joint research, mentoring relationships, and </w:t>
      </w:r>
      <w:r w:rsidR="009C1DF7">
        <w:t xml:space="preserve">peer-to-peer </w:t>
      </w:r>
      <w:r w:rsidR="009604BE" w:rsidRPr="00C07E4B">
        <w:t>knowledge exchange</w:t>
      </w:r>
      <w:r w:rsidRPr="00C07E4B">
        <w:t xml:space="preserve">. </w:t>
      </w:r>
    </w:p>
    <w:p w:rsidR="003139EF" w:rsidRPr="00AC560F" w:rsidRDefault="003139EF" w:rsidP="00BD1DA6">
      <w:pPr>
        <w:jc w:val="both"/>
        <w:rPr>
          <w:highlight w:val="yellow"/>
        </w:rPr>
      </w:pPr>
    </w:p>
    <w:p w:rsidR="003139EF" w:rsidRPr="0066280C" w:rsidRDefault="003139EF" w:rsidP="00BD1DA6">
      <w:pPr>
        <w:jc w:val="both"/>
      </w:pPr>
      <w:r w:rsidRPr="0066280C">
        <w:t>KSI will collaborate with</w:t>
      </w:r>
      <w:r w:rsidR="00A630B9">
        <w:t xml:space="preserve"> institutions such as</w:t>
      </w:r>
      <w:r w:rsidRPr="0066280C">
        <w:t xml:space="preserve"> the Indonesian Young Academy of Science (</w:t>
      </w:r>
      <w:r w:rsidRPr="00BD1DA6">
        <w:rPr>
          <w:i/>
        </w:rPr>
        <w:t xml:space="preserve">Akademi Ilmuwan Muda </w:t>
      </w:r>
      <w:r w:rsidR="00987806" w:rsidRPr="00BD1DA6">
        <w:rPr>
          <w:i/>
        </w:rPr>
        <w:t>Indonesia</w:t>
      </w:r>
      <w:r w:rsidRPr="0066280C">
        <w:t>, ALMI), on the challenges o</w:t>
      </w:r>
      <w:r w:rsidR="00BC078D">
        <w:t>f</w:t>
      </w:r>
      <w:r w:rsidRPr="0066280C">
        <w:t xml:space="preserve"> integrating scientific knowledge into policymaking and the kinds of science research policymakers need. This dialogue will be facilitated through engagement </w:t>
      </w:r>
      <w:r w:rsidR="00836F93" w:rsidRPr="0066280C">
        <w:t xml:space="preserve">with </w:t>
      </w:r>
      <w:r w:rsidRPr="0066280C">
        <w:t>relevant national and sub-national officials, capitalising on ALMI’s collaboration with the President’s office.</w:t>
      </w:r>
      <w:r w:rsidRPr="0066280C">
        <w:rPr>
          <w:rStyle w:val="FootnoteReference"/>
        </w:rPr>
        <w:footnoteReference w:id="8"/>
      </w:r>
      <w:r w:rsidRPr="0066280C">
        <w:t xml:space="preserve"> </w:t>
      </w:r>
    </w:p>
    <w:p w:rsidR="003139EF" w:rsidRDefault="003139EF" w:rsidP="00BD1DA6">
      <w:pPr>
        <w:jc w:val="both"/>
        <w:rPr>
          <w:highlight w:val="yellow"/>
        </w:rPr>
      </w:pPr>
    </w:p>
    <w:p w:rsidR="00370026" w:rsidRDefault="00010E2B" w:rsidP="00BD1DA6">
      <w:pPr>
        <w:jc w:val="both"/>
      </w:pPr>
      <w:r w:rsidRPr="00AC560F">
        <w:t xml:space="preserve">KSI will </w:t>
      </w:r>
      <w:r w:rsidR="009F46EE">
        <w:t xml:space="preserve">continue to </w:t>
      </w:r>
      <w:r w:rsidRPr="00AC560F">
        <w:t xml:space="preserve">support improvements in policy analysis capabilities within government in a way which addresses the systemic issues which </w:t>
      </w:r>
      <w:r w:rsidR="00A124FA">
        <w:t>inhibit</w:t>
      </w:r>
      <w:r w:rsidRPr="00AC560F">
        <w:t xml:space="preserve"> the translation of research into policy</w:t>
      </w:r>
      <w:r w:rsidR="00BC078D">
        <w:t>, discussed further under focus area 3</w:t>
      </w:r>
      <w:r w:rsidRPr="00AC560F">
        <w:t xml:space="preserve">. This will include working with the </w:t>
      </w:r>
      <w:r w:rsidR="00BD1DA6">
        <w:t>LAN</w:t>
      </w:r>
      <w:r w:rsidRPr="00AC560F">
        <w:t xml:space="preserve"> and the Indonesian Policy Analysts Association (</w:t>
      </w:r>
      <w:r w:rsidRPr="0066280C">
        <w:rPr>
          <w:i/>
        </w:rPr>
        <w:t>Asosiasi Analis Kebijakan</w:t>
      </w:r>
      <w:r w:rsidRPr="00AC560F">
        <w:t xml:space="preserve"> Indonesia, AAKI)</w:t>
      </w:r>
      <w:r w:rsidR="00070E6D">
        <w:t xml:space="preserve">. </w:t>
      </w:r>
    </w:p>
    <w:p w:rsidR="00370026" w:rsidRDefault="00370026" w:rsidP="00BD1DA6">
      <w:pPr>
        <w:jc w:val="both"/>
      </w:pPr>
    </w:p>
    <w:p w:rsidR="00070E6D" w:rsidRDefault="00070E6D" w:rsidP="00BD1DA6">
      <w:pPr>
        <w:jc w:val="both"/>
      </w:pPr>
      <w:r w:rsidRPr="00473676">
        <w:t xml:space="preserve">KSI will also support efforts to address bureaucratic </w:t>
      </w:r>
      <w:r w:rsidR="00010E2B" w:rsidRPr="00473676">
        <w:t>policies</w:t>
      </w:r>
      <w:r w:rsidRPr="00473676">
        <w:t>, regulations</w:t>
      </w:r>
      <w:r w:rsidR="00010E2B" w:rsidRPr="00473676">
        <w:t xml:space="preserve"> and practices which </w:t>
      </w:r>
      <w:r w:rsidRPr="00473676">
        <w:t xml:space="preserve">make it difficult for government agencies to plan for and appropriately resource policy research and analysis and to </w:t>
      </w:r>
      <w:r w:rsidR="00C32159" w:rsidRPr="0066280C">
        <w:t xml:space="preserve">manage </w:t>
      </w:r>
      <w:r w:rsidR="00292C0E" w:rsidRPr="00473676">
        <w:t>and develop internal policy expertise.</w:t>
      </w:r>
      <w:r w:rsidR="00A630B9">
        <w:rPr>
          <w:rStyle w:val="FootnoteReference"/>
        </w:rPr>
        <w:footnoteReference w:id="9"/>
      </w:r>
      <w:r w:rsidR="00370026">
        <w:t xml:space="preserve"> This will include</w:t>
      </w:r>
      <w:r w:rsidR="00370026" w:rsidRPr="00AC560F">
        <w:t xml:space="preserve"> </w:t>
      </w:r>
      <w:r w:rsidR="00370026" w:rsidRPr="00AC560F">
        <w:lastRenderedPageBreak/>
        <w:t>addressing the policy</w:t>
      </w:r>
      <w:r w:rsidR="00A630B9">
        <w:t xml:space="preserve">, regulatory and funding </w:t>
      </w:r>
      <w:r w:rsidR="00370026" w:rsidRPr="00AC560F">
        <w:t>issues w</w:t>
      </w:r>
      <w:r w:rsidR="00A630B9">
        <w:t>hich impact on research quality.</w:t>
      </w:r>
      <w:r w:rsidR="00370026" w:rsidRPr="00AC560F">
        <w:t xml:space="preserve"> KSI will </w:t>
      </w:r>
      <w:r w:rsidR="00370026">
        <w:t xml:space="preserve">work with </w:t>
      </w:r>
      <w:r w:rsidR="00370026" w:rsidRPr="00AC560F">
        <w:t>the Ministry of Research, Technology and Higher Education</w:t>
      </w:r>
      <w:r w:rsidR="00370026">
        <w:t xml:space="preserve"> </w:t>
      </w:r>
      <w:r w:rsidR="00370026" w:rsidRPr="00AC560F">
        <w:t xml:space="preserve">to </w:t>
      </w:r>
      <w:r w:rsidR="00A8419A">
        <w:t>progress</w:t>
      </w:r>
      <w:r w:rsidR="00A630B9">
        <w:t xml:space="preserve"> </w:t>
      </w:r>
      <w:r w:rsidR="00370026">
        <w:t xml:space="preserve">relevant reforms, including </w:t>
      </w:r>
      <w:r w:rsidR="00370026" w:rsidRPr="00AC560F">
        <w:t>reforms to human resource</w:t>
      </w:r>
      <w:r w:rsidR="00A630B9">
        <w:t xml:space="preserve"> policies, </w:t>
      </w:r>
      <w:r w:rsidR="00370026" w:rsidRPr="00AC560F">
        <w:t>research management</w:t>
      </w:r>
      <w:r w:rsidR="00370026">
        <w:t xml:space="preserve"> regulations and practices</w:t>
      </w:r>
      <w:r w:rsidR="00A8419A">
        <w:t>,</w:t>
      </w:r>
      <w:r w:rsidR="00A630B9">
        <w:t xml:space="preserve"> and increasing allocations for innovation</w:t>
      </w:r>
      <w:r w:rsidR="00370026" w:rsidRPr="00AC560F">
        <w:t>.</w:t>
      </w:r>
    </w:p>
    <w:p w:rsidR="00370026" w:rsidRDefault="00370026" w:rsidP="00BD1DA6">
      <w:pPr>
        <w:jc w:val="both"/>
      </w:pPr>
    </w:p>
    <w:p w:rsidR="006D6C18" w:rsidRPr="000B54C9" w:rsidRDefault="006D6C18" w:rsidP="006D6C18">
      <w:pPr>
        <w:jc w:val="both"/>
      </w:pPr>
      <w:r w:rsidRPr="00473676">
        <w:rPr>
          <w:rFonts w:asciiTheme="minorHAnsi" w:hAnsiTheme="minorHAnsi"/>
        </w:rPr>
        <w:t>In</w:t>
      </w:r>
      <w:r>
        <w:rPr>
          <w:rFonts w:asciiTheme="minorHAnsi" w:hAnsiTheme="minorHAnsi"/>
        </w:rPr>
        <w:t>dicative outcomes for</w:t>
      </w:r>
      <w:r w:rsidRPr="00473676">
        <w:rPr>
          <w:rFonts w:asciiTheme="minorHAnsi" w:hAnsiTheme="minorHAnsi"/>
        </w:rPr>
        <w:t xml:space="preserve"> this focus area</w:t>
      </w:r>
      <w:r>
        <w:rPr>
          <w:rFonts w:asciiTheme="minorHAnsi" w:hAnsiTheme="minorHAnsi"/>
        </w:rPr>
        <w:t xml:space="preserve"> include</w:t>
      </w:r>
      <w:r w:rsidRPr="000B54C9">
        <w:t>:</w:t>
      </w:r>
    </w:p>
    <w:p w:rsidR="006D6C18" w:rsidRPr="000B54C9" w:rsidRDefault="006D6C18" w:rsidP="006D6C18">
      <w:pPr>
        <w:pStyle w:val="ListParagraph"/>
        <w:numPr>
          <w:ilvl w:val="0"/>
          <w:numId w:val="4"/>
        </w:numPr>
        <w:contextualSpacing w:val="0"/>
        <w:jc w:val="both"/>
        <w:rPr>
          <w:rFonts w:ascii="Calibri" w:hAnsi="Calibri"/>
          <w:sz w:val="22"/>
          <w:szCs w:val="22"/>
        </w:rPr>
      </w:pPr>
      <w:r w:rsidRPr="000B54C9">
        <w:rPr>
          <w:rFonts w:ascii="Calibri" w:hAnsi="Calibri"/>
          <w:sz w:val="22"/>
          <w:szCs w:val="22"/>
        </w:rPr>
        <w:t>Partner research institutes and networks are producing higher quality research and communicating it more effectively</w:t>
      </w:r>
      <w:r w:rsidR="000F63EA">
        <w:rPr>
          <w:rFonts w:ascii="Calibri" w:hAnsi="Calibri"/>
          <w:sz w:val="22"/>
          <w:szCs w:val="22"/>
        </w:rPr>
        <w:t>;</w:t>
      </w:r>
    </w:p>
    <w:p w:rsidR="006D6C18" w:rsidRPr="00D60170" w:rsidRDefault="006D6C18" w:rsidP="006D6C18">
      <w:pPr>
        <w:pStyle w:val="ListParagraph"/>
        <w:numPr>
          <w:ilvl w:val="0"/>
          <w:numId w:val="4"/>
        </w:numPr>
        <w:contextualSpacing w:val="0"/>
        <w:jc w:val="both"/>
        <w:rPr>
          <w:rFonts w:ascii="Calibri" w:hAnsi="Calibri"/>
          <w:sz w:val="22"/>
          <w:szCs w:val="22"/>
        </w:rPr>
      </w:pPr>
      <w:r w:rsidRPr="000A17AF">
        <w:rPr>
          <w:rFonts w:ascii="Calibri" w:hAnsi="Calibri"/>
          <w:sz w:val="22"/>
          <w:szCs w:val="22"/>
        </w:rPr>
        <w:t xml:space="preserve">Partner research institutes and networks are </w:t>
      </w:r>
      <w:r w:rsidRPr="0062502E">
        <w:rPr>
          <w:rFonts w:ascii="Calibri" w:hAnsi="Calibri"/>
          <w:sz w:val="22"/>
          <w:szCs w:val="22"/>
        </w:rPr>
        <w:t>collaborating to find ways to strengthen research quality more broadly</w:t>
      </w:r>
      <w:r w:rsidRPr="000A17AF">
        <w:rPr>
          <w:rFonts w:ascii="Calibri" w:hAnsi="Calibri"/>
          <w:sz w:val="22"/>
          <w:szCs w:val="22"/>
        </w:rPr>
        <w:t>, including through fostering greater contestability and cross-disciplinary approaches</w:t>
      </w:r>
      <w:r w:rsidR="000F63EA">
        <w:rPr>
          <w:rFonts w:ascii="Calibri" w:hAnsi="Calibri"/>
          <w:sz w:val="22"/>
          <w:szCs w:val="22"/>
        </w:rPr>
        <w:t>;</w:t>
      </w:r>
    </w:p>
    <w:p w:rsidR="006D6C18" w:rsidRPr="00D60170" w:rsidRDefault="006D6C18" w:rsidP="006D6C18">
      <w:pPr>
        <w:pStyle w:val="ListParagraph"/>
        <w:numPr>
          <w:ilvl w:val="0"/>
          <w:numId w:val="4"/>
        </w:numPr>
        <w:contextualSpacing w:val="0"/>
        <w:jc w:val="both"/>
        <w:rPr>
          <w:rFonts w:ascii="Calibri" w:hAnsi="Calibri"/>
          <w:sz w:val="22"/>
          <w:szCs w:val="22"/>
        </w:rPr>
      </w:pPr>
      <w:r w:rsidRPr="0062502E">
        <w:rPr>
          <w:rFonts w:ascii="Calibri" w:hAnsi="Calibri"/>
          <w:sz w:val="22"/>
          <w:szCs w:val="22"/>
        </w:rPr>
        <w:t>Government counterparts are more clearly articulating the research and evidence they need, and when, to researchers</w:t>
      </w:r>
      <w:r w:rsidR="000F63EA">
        <w:rPr>
          <w:rFonts w:ascii="Calibri" w:hAnsi="Calibri"/>
          <w:sz w:val="22"/>
          <w:szCs w:val="22"/>
        </w:rPr>
        <w:t>;</w:t>
      </w:r>
    </w:p>
    <w:p w:rsidR="006D6C18" w:rsidRPr="00210C4B" w:rsidRDefault="006D6C18" w:rsidP="006D6C18">
      <w:pPr>
        <w:pStyle w:val="ListParagraph"/>
        <w:numPr>
          <w:ilvl w:val="0"/>
          <w:numId w:val="4"/>
        </w:numPr>
        <w:contextualSpacing w:val="0"/>
        <w:jc w:val="both"/>
        <w:rPr>
          <w:rFonts w:asciiTheme="minorHAnsi" w:hAnsiTheme="minorHAnsi"/>
        </w:rPr>
      </w:pPr>
      <w:r w:rsidRPr="000A17AF">
        <w:rPr>
          <w:rFonts w:ascii="Calibri" w:hAnsi="Calibri"/>
          <w:sz w:val="22"/>
          <w:szCs w:val="22"/>
        </w:rPr>
        <w:t>Government counterparts are better able to analyse and incorporate evidence into policymaking.</w:t>
      </w:r>
      <w:r w:rsidR="00BE548A">
        <w:rPr>
          <w:rFonts w:ascii="Calibri" w:hAnsi="Calibri"/>
          <w:sz w:val="22"/>
          <w:szCs w:val="22"/>
        </w:rPr>
        <w:t xml:space="preserve"> </w:t>
      </w:r>
    </w:p>
    <w:p w:rsidR="00996309" w:rsidRPr="0066280C" w:rsidRDefault="00996309" w:rsidP="00BD1DA6">
      <w:pPr>
        <w:pStyle w:val="Heading2"/>
        <w:spacing w:before="0" w:after="0"/>
        <w:rPr>
          <w:highlight w:val="yellow"/>
        </w:rPr>
      </w:pPr>
    </w:p>
    <w:p w:rsidR="00F539D6" w:rsidRPr="00F023C2" w:rsidRDefault="00934FBF" w:rsidP="00BD1DA6">
      <w:pPr>
        <w:pStyle w:val="Heading2"/>
        <w:spacing w:before="0" w:after="0"/>
      </w:pPr>
      <w:bookmarkStart w:id="17" w:name="_Toc492915012"/>
      <w:r w:rsidRPr="00F023C2">
        <w:t>3.2</w:t>
      </w:r>
      <w:r w:rsidR="009A4D04" w:rsidRPr="00F023C2">
        <w:tab/>
      </w:r>
      <w:r w:rsidR="00B269CF" w:rsidRPr="00F023C2">
        <w:t>Focus area 2</w:t>
      </w:r>
      <w:r w:rsidR="00F539D6" w:rsidRPr="00F023C2">
        <w:t>: Research funding</w:t>
      </w:r>
      <w:r w:rsidR="00C93A76">
        <w:t xml:space="preserve"> and quality of spending</w:t>
      </w:r>
      <w:bookmarkEnd w:id="17"/>
    </w:p>
    <w:p w:rsidR="00996309" w:rsidRPr="00F023C2" w:rsidRDefault="00996309" w:rsidP="00BD1DA6">
      <w:pPr>
        <w:jc w:val="both"/>
        <w:rPr>
          <w:rFonts w:eastAsia="Calibri" w:cs="Arial"/>
        </w:rPr>
      </w:pPr>
    </w:p>
    <w:p w:rsidR="00F539D6" w:rsidRPr="00473676" w:rsidRDefault="00F539D6" w:rsidP="00BD1DA6">
      <w:pPr>
        <w:jc w:val="both"/>
        <w:rPr>
          <w:rFonts w:eastAsia="Calibri" w:cs="Arial"/>
        </w:rPr>
      </w:pPr>
      <w:r w:rsidRPr="00F023C2">
        <w:rPr>
          <w:rFonts w:eastAsia="Calibri" w:cs="Arial"/>
        </w:rPr>
        <w:t xml:space="preserve"> </w:t>
      </w:r>
      <w:r w:rsidR="000B7C99">
        <w:rPr>
          <w:rFonts w:eastAsia="Calibri" w:cs="Arial"/>
        </w:rPr>
        <w:t>As already mentioned, the Indonesian Government’s investment in research is significantly lower than that of other lower-middle-income countries, an issue that needs to be addressed if Indonesia is to continue on its path to higher income status. The inadequacy of research funding, and the inefficiencies with which it is being spent, has also been frequently cited by KSI</w:t>
      </w:r>
      <w:r w:rsidRPr="00F023C2">
        <w:rPr>
          <w:rFonts w:eastAsia="Calibri" w:cs="Arial"/>
        </w:rPr>
        <w:t xml:space="preserve"> stakeholders</w:t>
      </w:r>
      <w:r w:rsidR="00167C7E">
        <w:rPr>
          <w:rFonts w:eastAsia="Calibri" w:cs="Arial"/>
        </w:rPr>
        <w:t xml:space="preserve"> </w:t>
      </w:r>
      <w:r w:rsidR="000B7C99">
        <w:rPr>
          <w:rFonts w:eastAsia="Calibri" w:cs="Arial"/>
        </w:rPr>
        <w:t>as a key challenge to</w:t>
      </w:r>
      <w:r w:rsidRPr="00F023C2">
        <w:rPr>
          <w:rFonts w:eastAsia="Calibri" w:cs="Arial"/>
        </w:rPr>
        <w:t xml:space="preserve"> research and innovation</w:t>
      </w:r>
      <w:r w:rsidRPr="00473676">
        <w:rPr>
          <w:rFonts w:eastAsia="Calibri" w:cs="Arial"/>
        </w:rPr>
        <w:t xml:space="preserve">. </w:t>
      </w:r>
    </w:p>
    <w:p w:rsidR="00F539D6" w:rsidRPr="00473676" w:rsidRDefault="00F539D6" w:rsidP="00BD1DA6">
      <w:pPr>
        <w:jc w:val="both"/>
        <w:rPr>
          <w:rFonts w:eastAsia="Calibri" w:cs="Arial"/>
        </w:rPr>
      </w:pPr>
    </w:p>
    <w:p w:rsidR="00F539D6" w:rsidRPr="00473676" w:rsidRDefault="000B7C99" w:rsidP="00BD1DA6">
      <w:pPr>
        <w:jc w:val="both"/>
        <w:rPr>
          <w:rFonts w:eastAsia="Calibri" w:cs="Arial"/>
        </w:rPr>
      </w:pPr>
      <w:r>
        <w:rPr>
          <w:rFonts w:eastAsia="Calibri" w:cs="Arial"/>
        </w:rPr>
        <w:t>A</w:t>
      </w:r>
      <w:r w:rsidR="00F539D6" w:rsidRPr="00473676">
        <w:rPr>
          <w:rFonts w:eastAsia="Calibri" w:cs="Arial"/>
        </w:rPr>
        <w:t xml:space="preserve">side from the disproportionately low allocations, </w:t>
      </w:r>
      <w:r>
        <w:rPr>
          <w:rFonts w:eastAsia="Calibri" w:cs="Arial"/>
        </w:rPr>
        <w:t xml:space="preserve">existing funding suffers from </w:t>
      </w:r>
      <w:r w:rsidR="00F539D6" w:rsidRPr="00473676">
        <w:rPr>
          <w:rFonts w:eastAsia="Calibri" w:cs="Arial"/>
        </w:rPr>
        <w:t>weaknesses in the capacities of various government bodies to manage and dis</w:t>
      </w:r>
      <w:r w:rsidR="009A4D04" w:rsidRPr="00473676">
        <w:rPr>
          <w:rFonts w:eastAsia="Calibri" w:cs="Arial"/>
        </w:rPr>
        <w:t>burse</w:t>
      </w:r>
      <w:r w:rsidR="00F539D6" w:rsidRPr="00473676">
        <w:rPr>
          <w:rFonts w:eastAsia="Calibri" w:cs="Arial"/>
        </w:rPr>
        <w:t xml:space="preserve"> funds; weaknesses in relevant regulations to allow for procurement of research; administratively burdensome procedures for existing research funds; poorly communicated information for researchers on alternative funding sources and how to apply for them; weak links between researchers and philanthropic </w:t>
      </w:r>
      <w:r w:rsidR="009A4D04" w:rsidRPr="00473676">
        <w:rPr>
          <w:rFonts w:eastAsia="Calibri" w:cs="Arial"/>
        </w:rPr>
        <w:t>foundations</w:t>
      </w:r>
      <w:r w:rsidR="00F539D6" w:rsidRPr="00473676">
        <w:rPr>
          <w:rFonts w:eastAsia="Calibri" w:cs="Arial"/>
        </w:rPr>
        <w:t xml:space="preserve"> who fund research; and challenges in garnering the political will to address these issues. </w:t>
      </w:r>
    </w:p>
    <w:p w:rsidR="00F539D6" w:rsidRPr="00473676" w:rsidRDefault="00F539D6" w:rsidP="00BD1DA6">
      <w:pPr>
        <w:jc w:val="both"/>
        <w:rPr>
          <w:rFonts w:eastAsia="Calibri" w:cs="Arial"/>
        </w:rPr>
      </w:pPr>
    </w:p>
    <w:p w:rsidR="00DF50A5" w:rsidRPr="0066280C" w:rsidRDefault="00DF50A5" w:rsidP="00DF50A5">
      <w:pPr>
        <w:jc w:val="both"/>
      </w:pPr>
      <w:r w:rsidRPr="0045301C">
        <w:t xml:space="preserve">A key success in phase 1 was the insertion of changes to </w:t>
      </w:r>
      <w:r w:rsidRPr="0066280C">
        <w:t>public</w:t>
      </w:r>
      <w:r w:rsidRPr="0045301C">
        <w:t xml:space="preserve"> procurement regulations that will allow </w:t>
      </w:r>
      <w:r w:rsidRPr="0066280C">
        <w:t xml:space="preserve">national and sub-national </w:t>
      </w:r>
      <w:r w:rsidRPr="0045301C">
        <w:t xml:space="preserve">governments to </w:t>
      </w:r>
      <w:r w:rsidRPr="0066280C">
        <w:t>commission</w:t>
      </w:r>
      <w:r w:rsidRPr="0045301C">
        <w:t xml:space="preserve"> research from </w:t>
      </w:r>
      <w:r w:rsidRPr="0066280C">
        <w:t>non-government and university-based research organisations</w:t>
      </w:r>
      <w:r w:rsidRPr="0045301C">
        <w:t>. Th</w:t>
      </w:r>
      <w:r w:rsidRPr="0066280C">
        <w:t>e</w:t>
      </w:r>
      <w:r w:rsidRPr="0045301C">
        <w:t xml:space="preserve">se regulations, once implemented, hold enormous promise for ensuring </w:t>
      </w:r>
      <w:r w:rsidRPr="0066280C">
        <w:t xml:space="preserve">that </w:t>
      </w:r>
      <w:r w:rsidRPr="0045301C">
        <w:t xml:space="preserve">existing research funding is </w:t>
      </w:r>
      <w:r w:rsidRPr="0066280C">
        <w:t>well-</w:t>
      </w:r>
      <w:r w:rsidRPr="0045301C">
        <w:t xml:space="preserve">spent. </w:t>
      </w:r>
    </w:p>
    <w:p w:rsidR="00EE5F42" w:rsidRPr="0066280C" w:rsidRDefault="00EE5F42" w:rsidP="00BD1DA6">
      <w:pPr>
        <w:jc w:val="both"/>
        <w:rPr>
          <w:rFonts w:eastAsia="Calibri" w:cs="Arial"/>
          <w:i/>
          <w:highlight w:val="yellow"/>
        </w:rPr>
      </w:pPr>
    </w:p>
    <w:p w:rsidR="00F539D6" w:rsidRDefault="00F539D6" w:rsidP="00BD1DA6">
      <w:pPr>
        <w:jc w:val="both"/>
        <w:rPr>
          <w:rFonts w:eastAsia="Calibri" w:cs="Arial"/>
          <w:b/>
        </w:rPr>
      </w:pPr>
      <w:r w:rsidRPr="0045301C">
        <w:rPr>
          <w:rFonts w:eastAsia="Calibri" w:cs="Arial"/>
          <w:b/>
        </w:rPr>
        <w:t xml:space="preserve">What will KSI do? </w:t>
      </w:r>
    </w:p>
    <w:p w:rsidR="00B039BE" w:rsidRPr="0045301C" w:rsidRDefault="00B039BE" w:rsidP="00BD1DA6">
      <w:pPr>
        <w:jc w:val="both"/>
        <w:rPr>
          <w:rFonts w:eastAsia="Calibri" w:cs="Arial"/>
          <w:b/>
        </w:rPr>
      </w:pPr>
    </w:p>
    <w:p w:rsidR="00DF50A5" w:rsidRDefault="00DF50A5" w:rsidP="00BD1DA6">
      <w:pPr>
        <w:jc w:val="both"/>
      </w:pPr>
      <w:r w:rsidRPr="00473676">
        <w:rPr>
          <w:rFonts w:asciiTheme="minorHAnsi" w:eastAsia="Calibri" w:hAnsiTheme="minorHAnsi" w:cs="Arial"/>
        </w:rPr>
        <w:t xml:space="preserve">KSI will focus on the successful allocation and disbursement of more </w:t>
      </w:r>
      <w:r w:rsidRPr="00473676">
        <w:rPr>
          <w:rFonts w:asciiTheme="minorHAnsi" w:hAnsiTheme="minorHAnsi"/>
        </w:rPr>
        <w:t xml:space="preserve">government, philanthropic and private sector funding for research in phase 2 as a </w:t>
      </w:r>
      <w:r w:rsidRPr="0066280C">
        <w:rPr>
          <w:rFonts w:asciiTheme="minorHAnsi" w:hAnsiTheme="minorHAnsi"/>
        </w:rPr>
        <w:t xml:space="preserve">key </w:t>
      </w:r>
      <w:r w:rsidRPr="00473676">
        <w:rPr>
          <w:rFonts w:asciiTheme="minorHAnsi" w:hAnsiTheme="minorHAnsi"/>
        </w:rPr>
        <w:t xml:space="preserve">leverage point for </w:t>
      </w:r>
      <w:r w:rsidRPr="0066280C">
        <w:rPr>
          <w:rFonts w:asciiTheme="minorHAnsi" w:hAnsiTheme="minorHAnsi"/>
        </w:rPr>
        <w:t xml:space="preserve">triggering an improvement to </w:t>
      </w:r>
      <w:r w:rsidRPr="00473676">
        <w:rPr>
          <w:rFonts w:asciiTheme="minorHAnsi" w:hAnsiTheme="minorHAnsi"/>
        </w:rPr>
        <w:t>the system as a whole.</w:t>
      </w:r>
      <w:r>
        <w:rPr>
          <w:rFonts w:asciiTheme="minorHAnsi" w:hAnsiTheme="minorHAnsi"/>
        </w:rPr>
        <w:t xml:space="preserve"> This will involve new initiatives as well as strengthening successes from phase 1.</w:t>
      </w:r>
    </w:p>
    <w:p w:rsidR="0045301C" w:rsidRDefault="0045301C" w:rsidP="00BD1DA6">
      <w:pPr>
        <w:jc w:val="both"/>
        <w:rPr>
          <w:highlight w:val="yellow"/>
        </w:rPr>
      </w:pPr>
    </w:p>
    <w:p w:rsidR="00F539D6" w:rsidRDefault="00DF50A5" w:rsidP="00BD1DA6">
      <w:pPr>
        <w:jc w:val="both"/>
      </w:pPr>
      <w:r>
        <w:t xml:space="preserve">For example, ahead of endorsement </w:t>
      </w:r>
      <w:r w:rsidR="00C70B68">
        <w:t xml:space="preserve">by the President </w:t>
      </w:r>
      <w:r>
        <w:t xml:space="preserve">of the new public procurement regulations, </w:t>
      </w:r>
      <w:r w:rsidR="00F539D6" w:rsidRPr="0045301C">
        <w:t>KSI is planning the</w:t>
      </w:r>
      <w:r>
        <w:t>ir</w:t>
      </w:r>
      <w:r w:rsidR="00F539D6" w:rsidRPr="0045301C">
        <w:t xml:space="preserve"> support </w:t>
      </w:r>
      <w:r>
        <w:t>for</w:t>
      </w:r>
      <w:r w:rsidR="00F539D6" w:rsidRPr="0045301C">
        <w:t xml:space="preserve"> governments to </w:t>
      </w:r>
      <w:r>
        <w:t xml:space="preserve">successfully </w:t>
      </w:r>
      <w:r w:rsidR="00F539D6" w:rsidRPr="0045301C">
        <w:t xml:space="preserve">implement the regulations. At the national level, KSI will provide technical assistance to </w:t>
      </w:r>
      <w:r w:rsidR="009A4D04" w:rsidRPr="0045301C">
        <w:t xml:space="preserve">the Ministry of Research, Technology and Higher Education </w:t>
      </w:r>
      <w:r w:rsidR="00F539D6" w:rsidRPr="0045301C">
        <w:t xml:space="preserve">and the </w:t>
      </w:r>
      <w:r w:rsidR="005049B2">
        <w:t>N</w:t>
      </w:r>
      <w:r w:rsidR="00F539D6" w:rsidRPr="0045301C">
        <w:t xml:space="preserve">ational </w:t>
      </w:r>
      <w:r w:rsidR="005049B2">
        <w:t>P</w:t>
      </w:r>
      <w:r w:rsidR="00F539D6" w:rsidRPr="0045301C">
        <w:t xml:space="preserve">rocurement </w:t>
      </w:r>
      <w:r w:rsidR="005049B2">
        <w:t xml:space="preserve">Policy </w:t>
      </w:r>
      <w:r w:rsidR="005049B2" w:rsidRPr="005049B2">
        <w:t>A</w:t>
      </w:r>
      <w:r w:rsidR="00AC2C19" w:rsidRPr="0066280C">
        <w:t>gency</w:t>
      </w:r>
      <w:r w:rsidR="005049B2">
        <w:t xml:space="preserve"> (</w:t>
      </w:r>
      <w:r w:rsidR="005049B2" w:rsidRPr="0066280C">
        <w:rPr>
          <w:i/>
        </w:rPr>
        <w:t>Lembaga Kebijakan Pengadaan Barang/Jasa Pemerintah</w:t>
      </w:r>
      <w:r w:rsidR="005049B2">
        <w:t>, LKPP)</w:t>
      </w:r>
      <w:r>
        <w:t xml:space="preserve"> and</w:t>
      </w:r>
      <w:r w:rsidR="005049B2">
        <w:t xml:space="preserve"> </w:t>
      </w:r>
      <w:r w:rsidR="00F539D6" w:rsidRPr="0045301C">
        <w:t xml:space="preserve">work with </w:t>
      </w:r>
      <w:r>
        <w:t>intermediaries</w:t>
      </w:r>
      <w:r w:rsidR="00F539D6" w:rsidRPr="0045301C">
        <w:t xml:space="preserve"> to package and disseminate information on the changes to the procurement </w:t>
      </w:r>
      <w:r w:rsidR="00F539D6" w:rsidRPr="0045301C">
        <w:lastRenderedPageBreak/>
        <w:t>regulation</w:t>
      </w:r>
      <w:r w:rsidR="004A3E77">
        <w:t>s</w:t>
      </w:r>
      <w:r w:rsidR="00F539D6" w:rsidRPr="0045301C">
        <w:t xml:space="preserve">. </w:t>
      </w:r>
      <w:r w:rsidR="0045301C" w:rsidRPr="0066280C">
        <w:t xml:space="preserve">KSI will also work with </w:t>
      </w:r>
      <w:r w:rsidR="00F771CB" w:rsidRPr="0045301C">
        <w:t>pilot</w:t>
      </w:r>
      <w:r w:rsidR="00F539D6" w:rsidRPr="0045301C">
        <w:t xml:space="preserve"> ministries</w:t>
      </w:r>
      <w:r w:rsidR="0045301C" w:rsidRPr="0066280C">
        <w:t xml:space="preserve"> </w:t>
      </w:r>
      <w:r w:rsidR="00F539D6" w:rsidRPr="0045301C">
        <w:t xml:space="preserve">to </w:t>
      </w:r>
      <w:r w:rsidR="0045301C" w:rsidRPr="0066280C">
        <w:t xml:space="preserve">build their capacity to </w:t>
      </w:r>
      <w:r w:rsidR="00F539D6" w:rsidRPr="0045301C">
        <w:t xml:space="preserve">incorporate procurement </w:t>
      </w:r>
      <w:r w:rsidR="004A3E77">
        <w:t xml:space="preserve">of </w:t>
      </w:r>
      <w:r w:rsidR="004A3E77" w:rsidRPr="0045301C">
        <w:t xml:space="preserve">research </w:t>
      </w:r>
      <w:r w:rsidR="00F539D6" w:rsidRPr="0045301C">
        <w:t xml:space="preserve">into their annual </w:t>
      </w:r>
      <w:r w:rsidR="00F539D6" w:rsidRPr="00473676">
        <w:t>plans</w:t>
      </w:r>
      <w:r w:rsidR="00267202" w:rsidRPr="00473676">
        <w:t xml:space="preserve"> and to </w:t>
      </w:r>
      <w:r w:rsidR="00267202" w:rsidRPr="0066280C">
        <w:t>improve</w:t>
      </w:r>
      <w:r w:rsidR="00267202" w:rsidRPr="00473676">
        <w:t xml:space="preserve"> their </w:t>
      </w:r>
      <w:r w:rsidR="00267202" w:rsidRPr="0066280C">
        <w:t xml:space="preserve">ability </w:t>
      </w:r>
      <w:r w:rsidR="00267202" w:rsidRPr="00473676">
        <w:t>to understand and articulate their evidence needs</w:t>
      </w:r>
      <w:r w:rsidR="00F539D6" w:rsidRPr="00473676">
        <w:t xml:space="preserve">. At the sub-national level, KSI has an established relationship with the </w:t>
      </w:r>
      <w:r w:rsidR="005049B2" w:rsidRPr="00473676">
        <w:t xml:space="preserve">Forum for </w:t>
      </w:r>
      <w:r w:rsidR="00F539D6" w:rsidRPr="00473676">
        <w:t>Eastern Indonesia</w:t>
      </w:r>
      <w:r w:rsidR="005049B2" w:rsidRPr="00473676">
        <w:t>n</w:t>
      </w:r>
      <w:r w:rsidR="00F539D6" w:rsidRPr="0045301C">
        <w:t xml:space="preserve"> Heads of </w:t>
      </w:r>
      <w:r w:rsidR="0045301C" w:rsidRPr="0066280C">
        <w:t xml:space="preserve">Regional Development Planning </w:t>
      </w:r>
      <w:r w:rsidR="005049B2">
        <w:t xml:space="preserve">Offices </w:t>
      </w:r>
      <w:r w:rsidR="007E5A2E">
        <w:t>(</w:t>
      </w:r>
      <w:r w:rsidR="007E5A2E" w:rsidRPr="0066280C">
        <w:rPr>
          <w:i/>
        </w:rPr>
        <w:t>Forum Kepala Bappeda Provinsi</w:t>
      </w:r>
      <w:r w:rsidR="007E5A2E" w:rsidRPr="007E5A2E">
        <w:t xml:space="preserve"> Se-KTI</w:t>
      </w:r>
      <w:r w:rsidR="007E5A2E">
        <w:t xml:space="preserve">) </w:t>
      </w:r>
      <w:r w:rsidR="00F539D6" w:rsidRPr="0045301C">
        <w:t xml:space="preserve">and </w:t>
      </w:r>
      <w:r w:rsidR="00BD1DA6">
        <w:t>JiKTI</w:t>
      </w:r>
      <w:r w:rsidR="007E5A2E">
        <w:t xml:space="preserve"> </w:t>
      </w:r>
      <w:r w:rsidR="00F539D6" w:rsidRPr="0045301C">
        <w:t xml:space="preserve">through which support on implementation will be </w:t>
      </w:r>
      <w:r w:rsidR="00F771CB" w:rsidRPr="0045301C">
        <w:t xml:space="preserve">provided </w:t>
      </w:r>
      <w:r w:rsidR="00F539D6" w:rsidRPr="0045301C">
        <w:t xml:space="preserve">to provincial and district research units in the 12 eastern provinces. Uptake of this new policy will be tracked to capture the effects, both qualitatively and quantitatively. </w:t>
      </w:r>
    </w:p>
    <w:p w:rsidR="00F539D6" w:rsidRPr="0066280C" w:rsidRDefault="00F539D6" w:rsidP="00BD1DA6">
      <w:pPr>
        <w:jc w:val="both"/>
        <w:rPr>
          <w:highlight w:val="yellow"/>
        </w:rPr>
      </w:pPr>
    </w:p>
    <w:p w:rsidR="00F539D6" w:rsidRPr="0099491E" w:rsidRDefault="0045301C" w:rsidP="00BD1DA6">
      <w:pPr>
        <w:jc w:val="both"/>
      </w:pPr>
      <w:r w:rsidRPr="0066280C">
        <w:t xml:space="preserve">To support greater philanthropic and private sector investment in research, </w:t>
      </w:r>
      <w:r w:rsidR="00F539D6" w:rsidRPr="0099491E">
        <w:t xml:space="preserve">KSI will </w:t>
      </w:r>
      <w:r w:rsidRPr="0066280C">
        <w:t xml:space="preserve">build on </w:t>
      </w:r>
      <w:r w:rsidR="0099491E" w:rsidRPr="0066280C">
        <w:t xml:space="preserve">engagement to date with a number of private sector and philanthropic organisations and </w:t>
      </w:r>
      <w:r w:rsidR="00C70B68">
        <w:t>implement</w:t>
      </w:r>
      <w:r w:rsidRPr="0066280C">
        <w:t xml:space="preserve"> findings of two studies undertaken in phase 1 </w:t>
      </w:r>
      <w:r w:rsidR="0099491E" w:rsidRPr="0066280C">
        <w:t xml:space="preserve">to </w:t>
      </w:r>
      <w:r w:rsidR="00F539D6" w:rsidRPr="0099491E">
        <w:t xml:space="preserve">map the potential for </w:t>
      </w:r>
      <w:r w:rsidR="0099491E" w:rsidRPr="0066280C">
        <w:t>non-government</w:t>
      </w:r>
      <w:r w:rsidR="00F539D6" w:rsidRPr="0099491E">
        <w:t xml:space="preserve"> funding of research in Indonesia</w:t>
      </w:r>
      <w:r w:rsidR="0099491E" w:rsidRPr="0066280C">
        <w:t xml:space="preserve">. </w:t>
      </w:r>
      <w:r w:rsidR="00C70B68">
        <w:t>For example</w:t>
      </w:r>
      <w:r w:rsidR="00F539D6" w:rsidRPr="0099491E">
        <w:t xml:space="preserve">, </w:t>
      </w:r>
      <w:r w:rsidR="0099491E" w:rsidRPr="0066280C">
        <w:t xml:space="preserve">KSI will </w:t>
      </w:r>
      <w:r w:rsidR="00F539D6" w:rsidRPr="0099491E">
        <w:t xml:space="preserve">facilitate links between research </w:t>
      </w:r>
      <w:r w:rsidR="0099491E" w:rsidRPr="0066280C">
        <w:t xml:space="preserve">organisations and </w:t>
      </w:r>
      <w:r w:rsidR="00F539D6" w:rsidRPr="0099491E">
        <w:t xml:space="preserve">networks and </w:t>
      </w:r>
      <w:r w:rsidR="0099491E" w:rsidRPr="0066280C">
        <w:t xml:space="preserve">interested philanthropic organisations and private sector </w:t>
      </w:r>
      <w:r w:rsidR="00F539D6" w:rsidRPr="0099491E">
        <w:t xml:space="preserve">companies, including multinationals, </w:t>
      </w:r>
      <w:r w:rsidR="0099491E" w:rsidRPr="0066280C">
        <w:t xml:space="preserve">to </w:t>
      </w:r>
      <w:r w:rsidR="00F539D6" w:rsidRPr="0099491E">
        <w:t xml:space="preserve">support </w:t>
      </w:r>
      <w:r w:rsidR="0099491E" w:rsidRPr="0066280C">
        <w:t xml:space="preserve">them </w:t>
      </w:r>
      <w:r w:rsidR="00F539D6" w:rsidRPr="0099491E">
        <w:t xml:space="preserve">to access </w:t>
      </w:r>
      <w:r w:rsidR="00C70B68">
        <w:t>available</w:t>
      </w:r>
      <w:r w:rsidR="00F539D6" w:rsidRPr="0099491E">
        <w:t xml:space="preserve"> funds. </w:t>
      </w:r>
      <w:r w:rsidR="0099491E">
        <w:t>KSI will also support government stakeholders to explore models for collaboration between government, the private sector, and universities/non-government research organisations.</w:t>
      </w:r>
    </w:p>
    <w:p w:rsidR="00F539D6" w:rsidRPr="0066280C" w:rsidRDefault="00F539D6" w:rsidP="00BD1DA6">
      <w:pPr>
        <w:jc w:val="both"/>
        <w:rPr>
          <w:highlight w:val="yellow"/>
        </w:rPr>
      </w:pPr>
    </w:p>
    <w:p w:rsidR="00F539D6" w:rsidRPr="0099491E" w:rsidRDefault="00F539D6" w:rsidP="00BD1DA6">
      <w:pPr>
        <w:jc w:val="both"/>
      </w:pPr>
      <w:r w:rsidRPr="0099491E">
        <w:t xml:space="preserve">At the national level, </w:t>
      </w:r>
      <w:r w:rsidR="00D23497" w:rsidRPr="0099491E">
        <w:t xml:space="preserve">together with other donors and development partners, </w:t>
      </w:r>
      <w:r w:rsidRPr="0099491E">
        <w:t>KSI will continue to build the capacity and credibility of the Indonesian Science Fund (</w:t>
      </w:r>
      <w:r w:rsidR="004A3E77" w:rsidRPr="0066280C">
        <w:rPr>
          <w:i/>
        </w:rPr>
        <w:t>Dana Ilmu Pengetahuan Indonesia</w:t>
      </w:r>
      <w:r w:rsidR="004A3E77">
        <w:t xml:space="preserve">, </w:t>
      </w:r>
      <w:r w:rsidRPr="0099491E">
        <w:t xml:space="preserve">DIPI). An important part of this work involves </w:t>
      </w:r>
      <w:r w:rsidR="00167C7E">
        <w:t>building DIPI’s capacities in</w:t>
      </w:r>
      <w:r w:rsidR="00C70B68">
        <w:t xml:space="preserve"> </w:t>
      </w:r>
      <w:r w:rsidRPr="0099491E">
        <w:t>financial systems</w:t>
      </w:r>
      <w:r w:rsidR="00B11574" w:rsidRPr="0099491E">
        <w:t xml:space="preserve"> </w:t>
      </w:r>
      <w:r w:rsidR="00C70B68">
        <w:t xml:space="preserve">and funds </w:t>
      </w:r>
      <w:r w:rsidR="00B11574" w:rsidRPr="0099491E">
        <w:t>management</w:t>
      </w:r>
      <w:r w:rsidRPr="0099491E">
        <w:t xml:space="preserve"> </w:t>
      </w:r>
      <w:r w:rsidR="00B11574" w:rsidRPr="0099491E">
        <w:t>to</w:t>
      </w:r>
      <w:r w:rsidRPr="0099491E">
        <w:t xml:space="preserve"> </w:t>
      </w:r>
      <w:r w:rsidR="0099491E" w:rsidRPr="0066280C">
        <w:t xml:space="preserve">support them in </w:t>
      </w:r>
      <w:r w:rsidRPr="0099491E">
        <w:t>manag</w:t>
      </w:r>
      <w:r w:rsidR="0099491E" w:rsidRPr="0066280C">
        <w:t xml:space="preserve">ing a large </w:t>
      </w:r>
      <w:r w:rsidRPr="0099491E">
        <w:t>comp</w:t>
      </w:r>
      <w:r w:rsidR="00B11574" w:rsidRPr="0099491E">
        <w:t>etitive research grant pro</w:t>
      </w:r>
      <w:r w:rsidR="0099491E" w:rsidRPr="0066280C">
        <w:t>gram</w:t>
      </w:r>
      <w:r w:rsidR="00B11574" w:rsidRPr="0099491E">
        <w:t>.</w:t>
      </w:r>
    </w:p>
    <w:p w:rsidR="00F539D6" w:rsidRPr="0099491E" w:rsidRDefault="00F539D6" w:rsidP="00BD1DA6">
      <w:pPr>
        <w:jc w:val="both"/>
      </w:pPr>
    </w:p>
    <w:p w:rsidR="00F539D6" w:rsidRDefault="00F539D6" w:rsidP="00BD1DA6">
      <w:pPr>
        <w:jc w:val="both"/>
      </w:pPr>
      <w:r w:rsidRPr="0099491E">
        <w:t>KSI will also seek opportunities to encourage greater funding of research on pressing</w:t>
      </w:r>
      <w:r w:rsidR="00B11574" w:rsidRPr="0099491E">
        <w:t xml:space="preserve"> and under-researched </w:t>
      </w:r>
      <w:r w:rsidRPr="0099491E">
        <w:t xml:space="preserve">development issues. For example, in </w:t>
      </w:r>
      <w:r w:rsidR="00431012" w:rsidRPr="0099491E">
        <w:t>phase</w:t>
      </w:r>
      <w:r w:rsidRPr="0099491E">
        <w:t xml:space="preserve"> 1, KSI worked with the Ministry of Research, Technology and Higher Education to </w:t>
      </w:r>
      <w:r w:rsidR="004A3E77">
        <w:t xml:space="preserve">increase levels of funding </w:t>
      </w:r>
      <w:r w:rsidRPr="0099491E">
        <w:t xml:space="preserve">for research on gender-related issues. In the next phase, KSI will track the effects of those efforts as well as look for opportunities to channel more funds to research on vulnerable, disadvantaged and excluded social groups. </w:t>
      </w:r>
    </w:p>
    <w:p w:rsidR="00A93586" w:rsidRDefault="00A93586" w:rsidP="00BD1DA6">
      <w:pPr>
        <w:jc w:val="both"/>
      </w:pPr>
    </w:p>
    <w:p w:rsidR="00A93586" w:rsidRPr="00F023C2" w:rsidRDefault="00A93586" w:rsidP="00A93586">
      <w:pPr>
        <w:jc w:val="both"/>
        <w:rPr>
          <w:rFonts w:asciiTheme="minorHAnsi" w:hAnsiTheme="minorHAnsi"/>
        </w:rPr>
      </w:pPr>
      <w:r w:rsidRPr="00473676">
        <w:rPr>
          <w:rFonts w:asciiTheme="minorHAnsi" w:hAnsiTheme="minorHAnsi"/>
        </w:rPr>
        <w:t>In</w:t>
      </w:r>
      <w:r>
        <w:rPr>
          <w:rFonts w:asciiTheme="minorHAnsi" w:hAnsiTheme="minorHAnsi"/>
        </w:rPr>
        <w:t>dicative outcomes for</w:t>
      </w:r>
      <w:r w:rsidRPr="00473676">
        <w:rPr>
          <w:rFonts w:asciiTheme="minorHAnsi" w:hAnsiTheme="minorHAnsi"/>
        </w:rPr>
        <w:t xml:space="preserve"> this focus area</w:t>
      </w:r>
      <w:r>
        <w:rPr>
          <w:rFonts w:asciiTheme="minorHAnsi" w:hAnsiTheme="minorHAnsi"/>
        </w:rPr>
        <w:t xml:space="preserve"> include</w:t>
      </w:r>
      <w:r w:rsidRPr="00473676">
        <w:rPr>
          <w:rFonts w:asciiTheme="minorHAnsi" w:hAnsiTheme="minorHAnsi"/>
        </w:rPr>
        <w:t>:</w:t>
      </w:r>
    </w:p>
    <w:p w:rsidR="00A93586" w:rsidRPr="00473676" w:rsidRDefault="00A93586" w:rsidP="00A93586">
      <w:pPr>
        <w:pStyle w:val="ListParagraph"/>
        <w:numPr>
          <w:ilvl w:val="0"/>
          <w:numId w:val="13"/>
        </w:numPr>
        <w:jc w:val="both"/>
        <w:rPr>
          <w:rFonts w:asciiTheme="minorHAnsi" w:hAnsiTheme="minorHAnsi"/>
          <w:sz w:val="22"/>
          <w:szCs w:val="22"/>
        </w:rPr>
      </w:pPr>
      <w:r w:rsidRPr="00473676">
        <w:rPr>
          <w:rFonts w:asciiTheme="minorHAnsi" w:hAnsiTheme="minorHAnsi"/>
          <w:sz w:val="22"/>
          <w:szCs w:val="22"/>
        </w:rPr>
        <w:t xml:space="preserve">Increased </w:t>
      </w:r>
      <w:r w:rsidR="00A8419A">
        <w:rPr>
          <w:rFonts w:asciiTheme="minorHAnsi" w:hAnsiTheme="minorHAnsi"/>
          <w:sz w:val="22"/>
          <w:szCs w:val="22"/>
        </w:rPr>
        <w:t xml:space="preserve">government </w:t>
      </w:r>
      <w:r w:rsidRPr="00473676">
        <w:rPr>
          <w:rFonts w:asciiTheme="minorHAnsi" w:hAnsiTheme="minorHAnsi"/>
          <w:sz w:val="22"/>
          <w:szCs w:val="22"/>
        </w:rPr>
        <w:t>budget allocation for research</w:t>
      </w:r>
      <w:r w:rsidR="00A8419A">
        <w:rPr>
          <w:rFonts w:asciiTheme="minorHAnsi" w:hAnsiTheme="minorHAnsi"/>
          <w:sz w:val="22"/>
          <w:szCs w:val="22"/>
        </w:rPr>
        <w:t>;</w:t>
      </w:r>
    </w:p>
    <w:p w:rsidR="00A93586" w:rsidRPr="0066280C" w:rsidRDefault="00A93586" w:rsidP="00A93586">
      <w:pPr>
        <w:pStyle w:val="ListParagraph"/>
        <w:numPr>
          <w:ilvl w:val="0"/>
          <w:numId w:val="13"/>
        </w:numPr>
        <w:jc w:val="both"/>
        <w:rPr>
          <w:rFonts w:asciiTheme="minorHAnsi" w:hAnsiTheme="minorHAnsi"/>
          <w:sz w:val="22"/>
          <w:szCs w:val="22"/>
        </w:rPr>
      </w:pPr>
      <w:r w:rsidRPr="00473676">
        <w:rPr>
          <w:rFonts w:asciiTheme="minorHAnsi" w:hAnsiTheme="minorHAnsi"/>
          <w:sz w:val="22"/>
          <w:szCs w:val="22"/>
        </w:rPr>
        <w:t xml:space="preserve">Improved efficiency of existing </w:t>
      </w:r>
      <w:r w:rsidR="00373664">
        <w:rPr>
          <w:rFonts w:asciiTheme="minorHAnsi" w:hAnsiTheme="minorHAnsi"/>
          <w:sz w:val="22"/>
          <w:szCs w:val="22"/>
        </w:rPr>
        <w:t>government budget allocation</w:t>
      </w:r>
      <w:r w:rsidR="00A8419A">
        <w:rPr>
          <w:rFonts w:asciiTheme="minorHAnsi" w:hAnsiTheme="minorHAnsi"/>
          <w:sz w:val="22"/>
          <w:szCs w:val="22"/>
        </w:rPr>
        <w:t>s</w:t>
      </w:r>
      <w:r w:rsidR="00373664">
        <w:rPr>
          <w:rFonts w:asciiTheme="minorHAnsi" w:hAnsiTheme="minorHAnsi"/>
          <w:sz w:val="22"/>
          <w:szCs w:val="22"/>
        </w:rPr>
        <w:t xml:space="preserve"> for R&amp;D unit</w:t>
      </w:r>
      <w:r w:rsidR="00A8419A">
        <w:rPr>
          <w:rFonts w:asciiTheme="minorHAnsi" w:hAnsiTheme="minorHAnsi"/>
          <w:sz w:val="22"/>
          <w:szCs w:val="22"/>
        </w:rPr>
        <w:t>s</w:t>
      </w:r>
      <w:r w:rsidR="00373664">
        <w:rPr>
          <w:rFonts w:asciiTheme="minorHAnsi" w:hAnsiTheme="minorHAnsi"/>
          <w:sz w:val="22"/>
          <w:szCs w:val="22"/>
        </w:rPr>
        <w:t xml:space="preserve"> (</w:t>
      </w:r>
      <w:r w:rsidR="00373664" w:rsidRPr="00A8419A">
        <w:rPr>
          <w:rFonts w:asciiTheme="minorHAnsi" w:hAnsiTheme="minorHAnsi"/>
          <w:i/>
          <w:sz w:val="22"/>
          <w:szCs w:val="22"/>
        </w:rPr>
        <w:t>litbang</w:t>
      </w:r>
      <w:r w:rsidR="00373664">
        <w:rPr>
          <w:rFonts w:asciiTheme="minorHAnsi" w:hAnsiTheme="minorHAnsi"/>
          <w:sz w:val="22"/>
          <w:szCs w:val="22"/>
        </w:rPr>
        <w:t xml:space="preserve">) </w:t>
      </w:r>
      <w:r w:rsidR="00A16822">
        <w:rPr>
          <w:rFonts w:asciiTheme="minorHAnsi" w:hAnsiTheme="minorHAnsi"/>
          <w:sz w:val="22"/>
          <w:szCs w:val="22"/>
        </w:rPr>
        <w:t xml:space="preserve">and </w:t>
      </w:r>
      <w:r w:rsidR="000F63EA">
        <w:rPr>
          <w:rFonts w:asciiTheme="minorHAnsi" w:hAnsiTheme="minorHAnsi"/>
          <w:sz w:val="22"/>
          <w:szCs w:val="22"/>
        </w:rPr>
        <w:t xml:space="preserve">better managed </w:t>
      </w:r>
      <w:r w:rsidRPr="00473676">
        <w:rPr>
          <w:rFonts w:asciiTheme="minorHAnsi" w:hAnsiTheme="minorHAnsi"/>
          <w:sz w:val="22"/>
          <w:szCs w:val="22"/>
        </w:rPr>
        <w:t>research grants;</w:t>
      </w:r>
    </w:p>
    <w:p w:rsidR="00A93586" w:rsidRPr="00F023C2" w:rsidRDefault="00A93586" w:rsidP="00A93586">
      <w:pPr>
        <w:pStyle w:val="ListParagraph"/>
        <w:numPr>
          <w:ilvl w:val="0"/>
          <w:numId w:val="13"/>
        </w:numPr>
        <w:jc w:val="both"/>
        <w:rPr>
          <w:rFonts w:asciiTheme="minorHAnsi" w:hAnsiTheme="minorHAnsi"/>
          <w:sz w:val="22"/>
          <w:szCs w:val="22"/>
        </w:rPr>
      </w:pPr>
      <w:r w:rsidRPr="00F023C2">
        <w:rPr>
          <w:rFonts w:asciiTheme="minorHAnsi" w:hAnsiTheme="minorHAnsi"/>
          <w:sz w:val="22"/>
          <w:szCs w:val="22"/>
        </w:rPr>
        <w:t>Improved national systems for the procurement of policy research and the disbursement of research funding;</w:t>
      </w:r>
    </w:p>
    <w:p w:rsidR="00A93586" w:rsidRPr="00F023C2" w:rsidRDefault="00A93586" w:rsidP="00A93586">
      <w:pPr>
        <w:pStyle w:val="ListParagraph"/>
        <w:numPr>
          <w:ilvl w:val="0"/>
          <w:numId w:val="13"/>
        </w:numPr>
        <w:jc w:val="both"/>
        <w:rPr>
          <w:rFonts w:asciiTheme="minorHAnsi" w:hAnsiTheme="minorHAnsi"/>
          <w:sz w:val="22"/>
          <w:szCs w:val="22"/>
        </w:rPr>
      </w:pPr>
      <w:r w:rsidRPr="00F023C2">
        <w:rPr>
          <w:rFonts w:asciiTheme="minorHAnsi" w:hAnsiTheme="minorHAnsi"/>
          <w:sz w:val="22"/>
          <w:szCs w:val="22"/>
        </w:rPr>
        <w:t xml:space="preserve">More funding </w:t>
      </w:r>
      <w:r w:rsidR="000F63EA">
        <w:rPr>
          <w:rFonts w:asciiTheme="minorHAnsi" w:hAnsiTheme="minorHAnsi"/>
          <w:sz w:val="22"/>
          <w:szCs w:val="22"/>
        </w:rPr>
        <w:t xml:space="preserve">available </w:t>
      </w:r>
      <w:r w:rsidRPr="00F023C2">
        <w:rPr>
          <w:rFonts w:asciiTheme="minorHAnsi" w:hAnsiTheme="minorHAnsi"/>
          <w:sz w:val="22"/>
          <w:szCs w:val="22"/>
        </w:rPr>
        <w:t>for research related to gender and inequality;</w:t>
      </w:r>
      <w:r>
        <w:rPr>
          <w:rFonts w:asciiTheme="minorHAnsi" w:hAnsiTheme="minorHAnsi"/>
          <w:sz w:val="22"/>
          <w:szCs w:val="22"/>
        </w:rPr>
        <w:t xml:space="preserve"> and</w:t>
      </w:r>
    </w:p>
    <w:p w:rsidR="00A93586" w:rsidRPr="00F023C2" w:rsidRDefault="00A93586" w:rsidP="00A93586">
      <w:pPr>
        <w:pStyle w:val="ListParagraph"/>
        <w:numPr>
          <w:ilvl w:val="0"/>
          <w:numId w:val="13"/>
        </w:numPr>
        <w:jc w:val="both"/>
        <w:rPr>
          <w:rFonts w:asciiTheme="minorHAnsi" w:hAnsiTheme="minorHAnsi"/>
          <w:sz w:val="22"/>
          <w:szCs w:val="22"/>
        </w:rPr>
      </w:pPr>
      <w:r w:rsidRPr="00F023C2">
        <w:rPr>
          <w:rFonts w:asciiTheme="minorHAnsi" w:hAnsiTheme="minorHAnsi"/>
          <w:sz w:val="22"/>
          <w:szCs w:val="22"/>
        </w:rPr>
        <w:t>Increased visibility and use of private sector research funding</w:t>
      </w:r>
      <w:r w:rsidR="000F63EA">
        <w:rPr>
          <w:rFonts w:asciiTheme="minorHAnsi" w:hAnsiTheme="minorHAnsi"/>
          <w:sz w:val="22"/>
          <w:szCs w:val="22"/>
        </w:rPr>
        <w:t xml:space="preserve"> opportunities</w:t>
      </w:r>
      <w:r w:rsidRPr="00F023C2">
        <w:rPr>
          <w:rFonts w:asciiTheme="minorHAnsi" w:hAnsiTheme="minorHAnsi"/>
          <w:sz w:val="22"/>
          <w:szCs w:val="22"/>
        </w:rPr>
        <w:t xml:space="preserve">. </w:t>
      </w:r>
    </w:p>
    <w:p w:rsidR="00996309" w:rsidRPr="0066280C" w:rsidRDefault="00996309" w:rsidP="00BD1DA6">
      <w:pPr>
        <w:pStyle w:val="Heading2"/>
        <w:spacing w:before="0" w:after="0"/>
        <w:rPr>
          <w:highlight w:val="yellow"/>
        </w:rPr>
      </w:pPr>
    </w:p>
    <w:p w:rsidR="00F539D6" w:rsidRPr="00E832FB" w:rsidRDefault="00943F79" w:rsidP="00BD1DA6">
      <w:pPr>
        <w:pStyle w:val="Heading2"/>
        <w:spacing w:before="0" w:after="0"/>
      </w:pPr>
      <w:bookmarkStart w:id="18" w:name="_Toc492915013"/>
      <w:r w:rsidRPr="00E832FB">
        <w:t>3.3</w:t>
      </w:r>
      <w:r w:rsidR="00DE6929" w:rsidRPr="00E832FB">
        <w:tab/>
      </w:r>
      <w:r w:rsidR="00F539D6" w:rsidRPr="00E832FB">
        <w:t>Focus a</w:t>
      </w:r>
      <w:r w:rsidRPr="00E832FB">
        <w:t>rea 3</w:t>
      </w:r>
      <w:r w:rsidR="00B22F4C" w:rsidRPr="00E832FB">
        <w:t xml:space="preserve">: </w:t>
      </w:r>
      <w:r w:rsidR="00BA1820">
        <w:t>Government knowledge management systems</w:t>
      </w:r>
      <w:bookmarkEnd w:id="18"/>
      <w:r w:rsidR="00775C64">
        <w:t xml:space="preserve"> </w:t>
      </w:r>
    </w:p>
    <w:p w:rsidR="00996309" w:rsidRPr="00E832FB" w:rsidRDefault="00996309" w:rsidP="00BD1DA6">
      <w:pPr>
        <w:jc w:val="both"/>
      </w:pPr>
    </w:p>
    <w:p w:rsidR="00775C64" w:rsidRDefault="00775C64" w:rsidP="00167C7E">
      <w:pPr>
        <w:jc w:val="both"/>
      </w:pPr>
      <w:r>
        <w:t xml:space="preserve">It is widely acknowledged among KSI partners and stakeholders, including those from the government agencies with whom the program works, that facilitating more ‘demand’ for research and evidence from policy makers is a more difficult area in which to achieve results than was initially envisaged. In the first phase, KSI worked quite successfully with a range of government institutions, such as ministerial research and development units and with different parts of Bappenas tasked with taking forward the concept of Bappenas as a ‘system integrator’ between national ministries and/or Bappenas as a ‘think tank’ or driver of evidence-based policy reform. KSI also brought policymakers and researchers together in a range of different forums, including policy working groups, that stimulated the ‘demand’ for </w:t>
      </w:r>
      <w:r>
        <w:lastRenderedPageBreak/>
        <w:t xml:space="preserve">particular types of evidence on particular topics. KSI’s experience in supporting the development and implementation of a fully integrated e-planning system - the first of its kind in Bappenas – demonstrated that relatively small investments of time and effort, when targeted at an area where the potential for reform is high, have the potential to dramatically improve information flows in certain institutions. </w:t>
      </w:r>
    </w:p>
    <w:p w:rsidR="002C77A5" w:rsidRDefault="002C77A5" w:rsidP="00775C64"/>
    <w:p w:rsidR="002C77A5" w:rsidRDefault="002C77A5" w:rsidP="00167C7E">
      <w:pPr>
        <w:jc w:val="both"/>
      </w:pPr>
      <w:r>
        <w:t xml:space="preserve">However, understanding the institutional barriers to evidence informed policy making was less well understood. For example, the program’s work with ministerial research and development units had limited impact on institutional demand for evidence. This was in part because activities focused on building these units’ internal capacity and did not address the political economy of the broader institutional environment in which those units are situated. Further, while the program developed a reasonable understanding of the barriers policy makers face in accessing external knowledge, </w:t>
      </w:r>
      <w:r w:rsidR="007E142E">
        <w:t xml:space="preserve">an understanding of those they face in producing and accessing information from within government </w:t>
      </w:r>
      <w:r>
        <w:t>institution</w:t>
      </w:r>
      <w:r w:rsidR="007E142E">
        <w:t>s was more limited.</w:t>
      </w:r>
      <w:r>
        <w:t xml:space="preserve"> </w:t>
      </w:r>
      <w:r w:rsidR="007E142E">
        <w:t>This includes understanding government policy cycles from the perspective of information and data flows both horizontally between ministries and vertically from and to regions</w:t>
      </w:r>
      <w:r w:rsidR="00A8419A">
        <w:t xml:space="preserve"> (and links also to Focus Area 1)</w:t>
      </w:r>
      <w:r w:rsidR="007E142E">
        <w:t>.</w:t>
      </w:r>
    </w:p>
    <w:p w:rsidR="007E142E" w:rsidRDefault="007E142E" w:rsidP="00775C64"/>
    <w:p w:rsidR="00775C64" w:rsidRDefault="00775C64" w:rsidP="00775C64">
      <w:pPr>
        <w:rPr>
          <w:b/>
        </w:rPr>
      </w:pPr>
      <w:r>
        <w:rPr>
          <w:b/>
        </w:rPr>
        <w:t xml:space="preserve">What will KSI do? </w:t>
      </w:r>
    </w:p>
    <w:p w:rsidR="00B039BE" w:rsidRDefault="00B039BE" w:rsidP="00775C64">
      <w:pPr>
        <w:rPr>
          <w:b/>
        </w:rPr>
      </w:pPr>
    </w:p>
    <w:p w:rsidR="00775C64" w:rsidRDefault="00775C64" w:rsidP="00167C7E">
      <w:pPr>
        <w:jc w:val="both"/>
      </w:pPr>
      <w:r>
        <w:t xml:space="preserve">KSI has an ongoing role to play in </w:t>
      </w:r>
      <w:r w:rsidRPr="00807153">
        <w:rPr>
          <w:b/>
        </w:rPr>
        <w:t>stimulating demand for evidence</w:t>
      </w:r>
      <w:r>
        <w:t xml:space="preserve"> among policymakers and in strengthening the quality of evidence available, where that demand exists in different parts of the policy cycle. KSI is already quite deeply engaged with improving national government planning and budgeting systems through its engagement with Bappenas and, increasingly, with Ministry of Finance (and AIPEG). KSI will continue to look for opportunities to strengthen information and knowledge management systems within and between national ministries to encourage standardization</w:t>
      </w:r>
      <w:r w:rsidR="007E142E">
        <w:t>,</w:t>
      </w:r>
      <w:r>
        <w:t xml:space="preserve"> in particular</w:t>
      </w:r>
      <w:r w:rsidR="007E142E">
        <w:t>,</w:t>
      </w:r>
      <w:r>
        <w:t xml:space="preserve"> of data. Given the need for greater standardization of data and information, particularly at a macro-level, KSI will strengthen its engagement with the National Bureau of Statistics (BPS), in phase 2.</w:t>
      </w:r>
      <w:r w:rsidR="000F63EA">
        <w:rPr>
          <w:rStyle w:val="FootnoteReference"/>
        </w:rPr>
        <w:footnoteReference w:id="10"/>
      </w:r>
      <w:r>
        <w:t xml:space="preserve"> </w:t>
      </w:r>
    </w:p>
    <w:p w:rsidR="00775C64" w:rsidRDefault="00775C64" w:rsidP="00775C64"/>
    <w:p w:rsidR="00775C64" w:rsidRDefault="00775C64" w:rsidP="00167C7E">
      <w:pPr>
        <w:jc w:val="both"/>
      </w:pPr>
      <w:r>
        <w:t xml:space="preserve">In phase 1, KSI also helped create Bappenas’ ‘Knowledge Centre’. The Knowledge Centre is intended to become a repository of information for local government planning purposes on models for improving basic services and how to replicate them. KSI also has access to a wealth of information on pilots and models from current and former Australian aid programs working at district, sub-district and village levels which could be (and are being) replicated. Demand for evidence of smart local development practices is already strong in some parts of the country and could be leveraged by KSI. Working through relevant partners, KSI will play a stronger role in </w:t>
      </w:r>
      <w:r w:rsidRPr="00807153">
        <w:rPr>
          <w:b/>
        </w:rPr>
        <w:t>managing knowledge of program implementation</w:t>
      </w:r>
      <w:r>
        <w:t xml:space="preserve"> (donor and government) at the sub-national level by providing the platforms necessary to collect, collate and disseminate information of ‘smart practices’ and how and where they might be replicated. </w:t>
      </w:r>
    </w:p>
    <w:p w:rsidR="00775C64" w:rsidRDefault="00775C64" w:rsidP="00775C64"/>
    <w:p w:rsidR="00A93586" w:rsidRDefault="00775C64" w:rsidP="00775C64">
      <w:pPr>
        <w:jc w:val="both"/>
      </w:pPr>
      <w:r>
        <w:t xml:space="preserve">There are also areas – institutions, roles and processes – in which evidence is already utilized throughout the government policymaking cycle. Those areas – such as </w:t>
      </w:r>
      <w:r>
        <w:rPr>
          <w:i/>
        </w:rPr>
        <w:t xml:space="preserve">balitbang </w:t>
      </w:r>
      <w:r>
        <w:t xml:space="preserve">or the new cadre of government policy analysts, or the increasing number of areas interested in or undertaking monitoring and evaluation – continue to present KSI with a range of opportunities to strengthen the quality of the evidence being used. Yet they also need to be more clearly linked. KSI is developing a clearer picture of the linkages between different </w:t>
      </w:r>
      <w:r>
        <w:lastRenderedPageBreak/>
        <w:t>agencies, institutions and levels of policymaking that are using or could better use evidence and research to fulfill their existing role or mandate and the relevant laws, rules and regulations governing them. This depiction of entry points for evidence in Indonesian government policy cycle(s) will form the basis for a stronger shared understanding among key stakeholders of the opportunities for KSI engagement in phase 2.</w:t>
      </w:r>
    </w:p>
    <w:p w:rsidR="00A93586" w:rsidRDefault="00A93586" w:rsidP="00775C64">
      <w:pPr>
        <w:jc w:val="both"/>
      </w:pPr>
    </w:p>
    <w:p w:rsidR="00A93586" w:rsidRPr="001B6EAE" w:rsidRDefault="00A93586" w:rsidP="00A93586">
      <w:pPr>
        <w:jc w:val="both"/>
      </w:pPr>
      <w:r w:rsidRPr="001B6EAE">
        <w:t>In</w:t>
      </w:r>
      <w:r>
        <w:t>dicative outcomes for</w:t>
      </w:r>
      <w:r w:rsidRPr="001B6EAE">
        <w:t xml:space="preserve"> this</w:t>
      </w:r>
      <w:r>
        <w:t xml:space="preserve"> focus</w:t>
      </w:r>
      <w:r w:rsidRPr="001B6EAE">
        <w:t xml:space="preserve"> area</w:t>
      </w:r>
      <w:r>
        <w:t xml:space="preserve"> include</w:t>
      </w:r>
      <w:r w:rsidRPr="001B6EAE">
        <w:t>:</w:t>
      </w:r>
    </w:p>
    <w:p w:rsidR="00A93586" w:rsidRPr="001B6EAE" w:rsidRDefault="00A93586" w:rsidP="00A93586">
      <w:pPr>
        <w:pStyle w:val="ListParagraph"/>
        <w:numPr>
          <w:ilvl w:val="0"/>
          <w:numId w:val="6"/>
        </w:numPr>
        <w:contextualSpacing w:val="0"/>
        <w:jc w:val="both"/>
        <w:rPr>
          <w:rFonts w:ascii="Calibri" w:hAnsi="Calibri"/>
          <w:sz w:val="22"/>
          <w:szCs w:val="22"/>
        </w:rPr>
      </w:pPr>
      <w:r w:rsidRPr="001B6EAE">
        <w:rPr>
          <w:rFonts w:ascii="Calibri" w:hAnsi="Calibri"/>
          <w:sz w:val="22"/>
          <w:szCs w:val="22"/>
        </w:rPr>
        <w:t>Improved linkages between information</w:t>
      </w:r>
      <w:r w:rsidRPr="0066280C">
        <w:rPr>
          <w:rFonts w:ascii="Calibri" w:hAnsi="Calibri"/>
          <w:sz w:val="22"/>
          <w:szCs w:val="22"/>
        </w:rPr>
        <w:t xml:space="preserve"> and </w:t>
      </w:r>
      <w:r w:rsidRPr="001B6EAE">
        <w:rPr>
          <w:rFonts w:ascii="Calibri" w:hAnsi="Calibri"/>
          <w:sz w:val="22"/>
          <w:szCs w:val="22"/>
        </w:rPr>
        <w:t>knowledge management systems within and between selected ministries and agencies at national and sub-national levels</w:t>
      </w:r>
      <w:r>
        <w:rPr>
          <w:rFonts w:ascii="Calibri" w:hAnsi="Calibri"/>
          <w:sz w:val="22"/>
          <w:szCs w:val="22"/>
        </w:rPr>
        <w:t>, leading to improved cross-sectoral coordination</w:t>
      </w:r>
      <w:r w:rsidRPr="001B6EAE">
        <w:rPr>
          <w:rFonts w:ascii="Calibri" w:hAnsi="Calibri"/>
          <w:sz w:val="22"/>
          <w:szCs w:val="22"/>
        </w:rPr>
        <w:t>;</w:t>
      </w:r>
    </w:p>
    <w:p w:rsidR="00A93586" w:rsidRPr="001B6EAE" w:rsidRDefault="00A93586" w:rsidP="00A93586">
      <w:pPr>
        <w:pStyle w:val="ListParagraph"/>
        <w:numPr>
          <w:ilvl w:val="0"/>
          <w:numId w:val="6"/>
        </w:numPr>
        <w:contextualSpacing w:val="0"/>
        <w:jc w:val="both"/>
        <w:rPr>
          <w:rFonts w:ascii="Calibri" w:hAnsi="Calibri"/>
          <w:sz w:val="22"/>
          <w:szCs w:val="22"/>
        </w:rPr>
      </w:pPr>
      <w:r w:rsidRPr="001B6EAE">
        <w:rPr>
          <w:rFonts w:ascii="Calibri" w:hAnsi="Calibri"/>
          <w:sz w:val="22"/>
          <w:szCs w:val="22"/>
        </w:rPr>
        <w:t xml:space="preserve">Better technological solutions to information and knowledge management problems in </w:t>
      </w:r>
      <w:r w:rsidRPr="0066280C">
        <w:rPr>
          <w:rFonts w:ascii="Calibri" w:hAnsi="Calibri"/>
          <w:sz w:val="22"/>
          <w:szCs w:val="22"/>
        </w:rPr>
        <w:t>selected</w:t>
      </w:r>
      <w:r w:rsidRPr="001B6EAE">
        <w:rPr>
          <w:rFonts w:ascii="Calibri" w:hAnsi="Calibri"/>
          <w:sz w:val="22"/>
          <w:szCs w:val="22"/>
        </w:rPr>
        <w:t xml:space="preserve"> institutions;</w:t>
      </w:r>
    </w:p>
    <w:p w:rsidR="00A93586" w:rsidRPr="001B6EAE" w:rsidRDefault="00A93586" w:rsidP="00A93586">
      <w:pPr>
        <w:pStyle w:val="ListParagraph"/>
        <w:numPr>
          <w:ilvl w:val="0"/>
          <w:numId w:val="6"/>
        </w:numPr>
        <w:contextualSpacing w:val="0"/>
        <w:jc w:val="both"/>
        <w:rPr>
          <w:rFonts w:ascii="Calibri" w:hAnsi="Calibri"/>
          <w:sz w:val="22"/>
          <w:szCs w:val="22"/>
        </w:rPr>
      </w:pPr>
      <w:r w:rsidRPr="001B6EAE">
        <w:rPr>
          <w:rFonts w:ascii="Calibri" w:hAnsi="Calibri"/>
          <w:sz w:val="22"/>
          <w:szCs w:val="22"/>
        </w:rPr>
        <w:t xml:space="preserve">Better management of the different data and information sources available </w:t>
      </w:r>
      <w:r w:rsidRPr="0066280C">
        <w:rPr>
          <w:rFonts w:ascii="Calibri" w:hAnsi="Calibri"/>
          <w:sz w:val="22"/>
          <w:szCs w:val="22"/>
        </w:rPr>
        <w:t>for</w:t>
      </w:r>
      <w:r w:rsidRPr="001B6EAE">
        <w:rPr>
          <w:rFonts w:ascii="Calibri" w:hAnsi="Calibri"/>
          <w:sz w:val="22"/>
          <w:szCs w:val="22"/>
        </w:rPr>
        <w:t xml:space="preserve"> development policymaking; </w:t>
      </w:r>
      <w:r>
        <w:rPr>
          <w:rFonts w:ascii="Calibri" w:hAnsi="Calibri"/>
          <w:sz w:val="22"/>
          <w:szCs w:val="22"/>
        </w:rPr>
        <w:t>and</w:t>
      </w:r>
    </w:p>
    <w:p w:rsidR="00A93586" w:rsidRPr="00473676" w:rsidRDefault="00A93586" w:rsidP="00A93586">
      <w:pPr>
        <w:pStyle w:val="ListParagraph"/>
        <w:numPr>
          <w:ilvl w:val="0"/>
          <w:numId w:val="6"/>
        </w:numPr>
        <w:contextualSpacing w:val="0"/>
        <w:jc w:val="both"/>
        <w:rPr>
          <w:rFonts w:ascii="Calibri" w:hAnsi="Calibri"/>
          <w:sz w:val="22"/>
          <w:szCs w:val="22"/>
        </w:rPr>
      </w:pPr>
      <w:r w:rsidRPr="0066280C">
        <w:rPr>
          <w:rFonts w:ascii="Calibri" w:hAnsi="Calibri"/>
          <w:sz w:val="22"/>
          <w:szCs w:val="22"/>
        </w:rPr>
        <w:t xml:space="preserve">Reform of </w:t>
      </w:r>
      <w:r w:rsidRPr="00473676">
        <w:rPr>
          <w:rFonts w:ascii="Calibri" w:hAnsi="Calibri"/>
          <w:sz w:val="22"/>
          <w:szCs w:val="22"/>
        </w:rPr>
        <w:t>regulations and institutional arrangement</w:t>
      </w:r>
      <w:r w:rsidRPr="0066280C">
        <w:rPr>
          <w:rFonts w:ascii="Calibri" w:hAnsi="Calibri"/>
          <w:sz w:val="22"/>
          <w:szCs w:val="22"/>
        </w:rPr>
        <w:t>s that govern</w:t>
      </w:r>
      <w:r w:rsidRPr="00473676">
        <w:rPr>
          <w:rFonts w:ascii="Calibri" w:hAnsi="Calibri"/>
          <w:sz w:val="22"/>
          <w:szCs w:val="22"/>
        </w:rPr>
        <w:t xml:space="preserve"> data and information flows</w:t>
      </w:r>
      <w:r w:rsidRPr="0066280C">
        <w:rPr>
          <w:rFonts w:ascii="Calibri" w:hAnsi="Calibri"/>
          <w:sz w:val="22"/>
          <w:szCs w:val="22"/>
        </w:rPr>
        <w:t>.</w:t>
      </w:r>
    </w:p>
    <w:p w:rsidR="00A93586" w:rsidRDefault="00A93586" w:rsidP="00775C64">
      <w:pPr>
        <w:jc w:val="both"/>
      </w:pPr>
    </w:p>
    <w:p w:rsidR="00943F79" w:rsidRPr="006F3AD3" w:rsidRDefault="00943F79" w:rsidP="00BD1DA6">
      <w:pPr>
        <w:pStyle w:val="Heading2"/>
        <w:spacing w:before="0" w:after="0"/>
      </w:pPr>
      <w:bookmarkStart w:id="19" w:name="_Toc492915014"/>
      <w:r w:rsidRPr="006F3AD3">
        <w:t>3.4</w:t>
      </w:r>
      <w:r w:rsidRPr="006F3AD3">
        <w:tab/>
        <w:t>Focus area 4: Public discourse</w:t>
      </w:r>
      <w:bookmarkEnd w:id="19"/>
    </w:p>
    <w:p w:rsidR="00954C24" w:rsidRDefault="00954C24" w:rsidP="00BD1DA6">
      <w:pPr>
        <w:jc w:val="both"/>
        <w:rPr>
          <w:bCs/>
        </w:rPr>
      </w:pPr>
    </w:p>
    <w:p w:rsidR="006F3AD3" w:rsidRDefault="0039211E" w:rsidP="00BD1DA6">
      <w:pPr>
        <w:jc w:val="both"/>
        <w:rPr>
          <w:bCs/>
          <w:highlight w:val="yellow"/>
        </w:rPr>
      </w:pPr>
      <w:r>
        <w:rPr>
          <w:bCs/>
        </w:rPr>
        <w:t>A</w:t>
      </w:r>
      <w:r w:rsidR="00BA1820">
        <w:rPr>
          <w:bCs/>
        </w:rPr>
        <w:t xml:space="preserve"> diagnostic on the role of intermediary organisations</w:t>
      </w:r>
      <w:r w:rsidR="00772747">
        <w:rPr>
          <w:bCs/>
        </w:rPr>
        <w:t xml:space="preserve"> </w:t>
      </w:r>
      <w:r w:rsidR="002003B9">
        <w:rPr>
          <w:bCs/>
        </w:rPr>
        <w:t xml:space="preserve">(such as the media, think tanks, </w:t>
      </w:r>
      <w:r w:rsidR="00772747">
        <w:rPr>
          <w:bCs/>
        </w:rPr>
        <w:t>international and domestic CSOs</w:t>
      </w:r>
      <w:r w:rsidR="002003B9">
        <w:rPr>
          <w:bCs/>
        </w:rPr>
        <w:t>)</w:t>
      </w:r>
      <w:r w:rsidR="00BA1820">
        <w:rPr>
          <w:bCs/>
        </w:rPr>
        <w:t xml:space="preserve"> as key p</w:t>
      </w:r>
      <w:r w:rsidR="00772747">
        <w:rPr>
          <w:bCs/>
        </w:rPr>
        <w:t>layers</w:t>
      </w:r>
      <w:r w:rsidR="00BA1820">
        <w:rPr>
          <w:bCs/>
        </w:rPr>
        <w:t xml:space="preserve"> in the knowledge to policy system was completed</w:t>
      </w:r>
      <w:r>
        <w:rPr>
          <w:bCs/>
        </w:rPr>
        <w:t xml:space="preserve"> in phase 1</w:t>
      </w:r>
      <w:r w:rsidR="00BA1820">
        <w:rPr>
          <w:bCs/>
        </w:rPr>
        <w:t xml:space="preserve">. </w:t>
      </w:r>
      <w:r>
        <w:rPr>
          <w:bCs/>
        </w:rPr>
        <w:t>Consistent with</w:t>
      </w:r>
      <w:r w:rsidR="00BA1820">
        <w:rPr>
          <w:bCs/>
        </w:rPr>
        <w:t xml:space="preserve"> this, </w:t>
      </w:r>
      <w:r w:rsidR="00943F79" w:rsidRPr="006F3AD3">
        <w:rPr>
          <w:bCs/>
        </w:rPr>
        <w:t>KSI collaborated with a number of media organisations</w:t>
      </w:r>
      <w:r w:rsidR="006F3AD3" w:rsidRPr="00EF2139">
        <w:rPr>
          <w:bCs/>
        </w:rPr>
        <w:t xml:space="preserve">, including </w:t>
      </w:r>
      <w:r w:rsidR="00943F79" w:rsidRPr="006F3AD3">
        <w:rPr>
          <w:bCs/>
        </w:rPr>
        <w:t>the Tempo Institute (affiliated with the Tempo News Group)</w:t>
      </w:r>
      <w:r w:rsidR="006F3AD3" w:rsidRPr="00EF2139">
        <w:rPr>
          <w:bCs/>
        </w:rPr>
        <w:t xml:space="preserve">, </w:t>
      </w:r>
      <w:r w:rsidR="00E84FA2">
        <w:rPr>
          <w:bCs/>
        </w:rPr>
        <w:t>to</w:t>
      </w:r>
      <w:r w:rsidR="00943F79" w:rsidRPr="006F3AD3">
        <w:rPr>
          <w:bCs/>
        </w:rPr>
        <w:t xml:space="preserve"> </w:t>
      </w:r>
      <w:r w:rsidR="006F3AD3" w:rsidRPr="00EF2139">
        <w:rPr>
          <w:bCs/>
        </w:rPr>
        <w:t xml:space="preserve">provide training and mentoring </w:t>
      </w:r>
      <w:r w:rsidR="00943F79" w:rsidRPr="006F3AD3">
        <w:rPr>
          <w:bCs/>
        </w:rPr>
        <w:t xml:space="preserve">to </w:t>
      </w:r>
      <w:r w:rsidR="006F3AD3" w:rsidRPr="00EF2139">
        <w:rPr>
          <w:bCs/>
        </w:rPr>
        <w:t xml:space="preserve">partner research organisations </w:t>
      </w:r>
      <w:r w:rsidR="00943F79" w:rsidRPr="006F3AD3">
        <w:rPr>
          <w:bCs/>
        </w:rPr>
        <w:t xml:space="preserve">on </w:t>
      </w:r>
      <w:r w:rsidR="006F3AD3" w:rsidRPr="00EF2139">
        <w:rPr>
          <w:bCs/>
        </w:rPr>
        <w:t xml:space="preserve">communicating research effectively to a </w:t>
      </w:r>
      <w:r w:rsidR="00943F79" w:rsidRPr="006F3AD3">
        <w:rPr>
          <w:bCs/>
        </w:rPr>
        <w:t xml:space="preserve">broader audience. </w:t>
      </w:r>
      <w:r w:rsidR="00A25B60">
        <w:rPr>
          <w:bCs/>
        </w:rPr>
        <w:t>Through the Indonesia Development Forum</w:t>
      </w:r>
      <w:r w:rsidR="007A594D">
        <w:rPr>
          <w:bCs/>
        </w:rPr>
        <w:t xml:space="preserve">, </w:t>
      </w:r>
      <w:r w:rsidR="00943F79" w:rsidRPr="006F3AD3">
        <w:rPr>
          <w:bCs/>
        </w:rPr>
        <w:t>KSI</w:t>
      </w:r>
      <w:r w:rsidR="007A594D">
        <w:rPr>
          <w:bCs/>
        </w:rPr>
        <w:t xml:space="preserve"> also engaged with media organisations such as KOMPAS and the Jakarta Post, as well as with the Conversation. </w:t>
      </w:r>
      <w:r w:rsidR="00EF2139">
        <w:rPr>
          <w:bCs/>
        </w:rPr>
        <w:t>KSI</w:t>
      </w:r>
      <w:r w:rsidR="00943F79" w:rsidRPr="006F3AD3">
        <w:rPr>
          <w:bCs/>
        </w:rPr>
        <w:t xml:space="preserve"> also developed a relationship with </w:t>
      </w:r>
      <w:r w:rsidR="00E84FA2" w:rsidRPr="00E84FA2">
        <w:rPr>
          <w:bCs/>
        </w:rPr>
        <w:t>PT. Sintesis Komunikasi Indonesi</w:t>
      </w:r>
      <w:r w:rsidR="00E84FA2">
        <w:rPr>
          <w:bCs/>
        </w:rPr>
        <w:t>a</w:t>
      </w:r>
      <w:r w:rsidR="00943F79" w:rsidRPr="006F3AD3">
        <w:rPr>
          <w:bCs/>
        </w:rPr>
        <w:t xml:space="preserve">, the lead organisation behind the annual Indonesia Economic Forum. </w:t>
      </w:r>
      <w:r w:rsidR="00943F79" w:rsidRPr="00EF2139">
        <w:rPr>
          <w:bCs/>
        </w:rPr>
        <w:t>Sintesis</w:t>
      </w:r>
      <w:r w:rsidR="00943F79" w:rsidRPr="006F3AD3">
        <w:rPr>
          <w:bCs/>
        </w:rPr>
        <w:t xml:space="preserve"> has successfully built partnerships with over 12 major Indonesian media partners providing a combined social media footprint of 55 million contacts. These organisations provide avenues to develop a strong public communications platform for the knowledge sector. Many of the </w:t>
      </w:r>
      <w:r w:rsidR="009B50F7" w:rsidRPr="00EF2139">
        <w:rPr>
          <w:bCs/>
        </w:rPr>
        <w:t>research partner</w:t>
      </w:r>
      <w:r w:rsidR="009B50F7" w:rsidRPr="006F3AD3">
        <w:rPr>
          <w:bCs/>
        </w:rPr>
        <w:t xml:space="preserve">s </w:t>
      </w:r>
      <w:r w:rsidR="00943F79" w:rsidRPr="006F3AD3">
        <w:rPr>
          <w:bCs/>
        </w:rPr>
        <w:t>themselves have strong contacts with the media, and a number have used these to communicate findings</w:t>
      </w:r>
      <w:r w:rsidR="006F3AD3" w:rsidRPr="00EF2139">
        <w:rPr>
          <w:bCs/>
        </w:rPr>
        <w:t>.</w:t>
      </w:r>
      <w:r w:rsidR="00943F79" w:rsidRPr="006F3AD3">
        <w:rPr>
          <w:bCs/>
        </w:rPr>
        <w:t xml:space="preserve"> </w:t>
      </w:r>
      <w:r w:rsidR="005049B2">
        <w:rPr>
          <w:bCs/>
        </w:rPr>
        <w:t>KSI partner KPPOD (</w:t>
      </w:r>
      <w:r w:rsidR="005049B2" w:rsidRPr="000F63EA">
        <w:rPr>
          <w:bCs/>
          <w:i/>
        </w:rPr>
        <w:t>Komite Pemantauan Pelaksanaan Otonomi Daerah</w:t>
      </w:r>
      <w:r w:rsidR="005049B2">
        <w:rPr>
          <w:bCs/>
        </w:rPr>
        <w:t>, Regional Autonomy Monitoring Committee)</w:t>
      </w:r>
      <w:r w:rsidR="006F3AD3" w:rsidRPr="00EF2139">
        <w:rPr>
          <w:bCs/>
        </w:rPr>
        <w:t>, for example, has effectively utilised the media to disseminate</w:t>
      </w:r>
      <w:r w:rsidR="00943F79" w:rsidRPr="006F3AD3">
        <w:rPr>
          <w:bCs/>
        </w:rPr>
        <w:t xml:space="preserve"> its ranking of provincial capitals on </w:t>
      </w:r>
      <w:r w:rsidR="006F3AD3" w:rsidRPr="00EF2139">
        <w:rPr>
          <w:bCs/>
        </w:rPr>
        <w:t xml:space="preserve">the </w:t>
      </w:r>
      <w:r w:rsidR="00943F79" w:rsidRPr="006F3AD3">
        <w:rPr>
          <w:bCs/>
        </w:rPr>
        <w:t xml:space="preserve">quality of economic governance. </w:t>
      </w:r>
    </w:p>
    <w:p w:rsidR="006F3AD3" w:rsidRDefault="006F3AD3" w:rsidP="00BD1DA6">
      <w:pPr>
        <w:jc w:val="both"/>
        <w:rPr>
          <w:bCs/>
          <w:highlight w:val="yellow"/>
        </w:rPr>
      </w:pPr>
    </w:p>
    <w:p w:rsidR="00B039BE" w:rsidRDefault="00BA1820" w:rsidP="00BD1DA6">
      <w:pPr>
        <w:jc w:val="both"/>
        <w:rPr>
          <w:bCs/>
        </w:rPr>
      </w:pPr>
      <w:r>
        <w:rPr>
          <w:bCs/>
        </w:rPr>
        <w:t>Nevertheless</w:t>
      </w:r>
      <w:r w:rsidR="00943F79" w:rsidRPr="006F3AD3">
        <w:rPr>
          <w:bCs/>
        </w:rPr>
        <w:t xml:space="preserve">, there is broad recognition among KSI’s stakeholders that there are unrealised opportunities to work with the media </w:t>
      </w:r>
      <w:r w:rsidR="00772747">
        <w:rPr>
          <w:bCs/>
        </w:rPr>
        <w:t xml:space="preserve">and other intermediaries </w:t>
      </w:r>
      <w:r w:rsidR="00943F79" w:rsidRPr="006F3AD3">
        <w:rPr>
          <w:bCs/>
        </w:rPr>
        <w:t xml:space="preserve">to support better policymaking. </w:t>
      </w:r>
      <w:r w:rsidR="00943F79" w:rsidRPr="00ED4EA9">
        <w:rPr>
          <w:bCs/>
        </w:rPr>
        <w:t xml:space="preserve">A core group of organisations will support KSI in </w:t>
      </w:r>
      <w:r w:rsidR="006F3AD3" w:rsidRPr="00EF2139">
        <w:rPr>
          <w:bCs/>
        </w:rPr>
        <w:t>identifying</w:t>
      </w:r>
      <w:r w:rsidR="00943F79" w:rsidRPr="00ED4EA9">
        <w:rPr>
          <w:bCs/>
        </w:rPr>
        <w:t xml:space="preserve"> effective and appropriate mechanisms, systems and networks that can facilitate the flow of research and information into policymaking. </w:t>
      </w:r>
    </w:p>
    <w:p w:rsidR="00B039BE" w:rsidRPr="00ED4EA9" w:rsidRDefault="00B039BE" w:rsidP="00BD1DA6">
      <w:pPr>
        <w:jc w:val="both"/>
        <w:rPr>
          <w:bCs/>
        </w:rPr>
      </w:pPr>
    </w:p>
    <w:p w:rsidR="00996309" w:rsidRDefault="00943F79" w:rsidP="00BD1DA6">
      <w:pPr>
        <w:jc w:val="both"/>
        <w:rPr>
          <w:rFonts w:eastAsia="Calibri" w:cs="Arial"/>
          <w:b/>
        </w:rPr>
      </w:pPr>
      <w:r w:rsidRPr="00BC6200">
        <w:rPr>
          <w:rFonts w:eastAsia="Calibri" w:cs="Arial"/>
          <w:b/>
        </w:rPr>
        <w:t xml:space="preserve">What will KSI do? </w:t>
      </w:r>
    </w:p>
    <w:p w:rsidR="00B039BE" w:rsidRPr="00D60170" w:rsidRDefault="00B039BE" w:rsidP="00BD1DA6">
      <w:pPr>
        <w:jc w:val="both"/>
        <w:rPr>
          <w:rFonts w:eastAsia="Calibri" w:cs="Arial"/>
        </w:rPr>
      </w:pPr>
    </w:p>
    <w:p w:rsidR="00943F79" w:rsidRDefault="00ED4EA9" w:rsidP="00BD1DA6">
      <w:pPr>
        <w:jc w:val="both"/>
        <w:rPr>
          <w:rFonts w:eastAsia="Calibri" w:cs="Arial"/>
        </w:rPr>
      </w:pPr>
      <w:r w:rsidRPr="00EF2139">
        <w:rPr>
          <w:rFonts w:eastAsia="Calibri" w:cs="Arial"/>
        </w:rPr>
        <w:t xml:space="preserve">In phase 2, </w:t>
      </w:r>
      <w:r w:rsidR="00943F79" w:rsidRPr="00BC6200">
        <w:rPr>
          <w:rFonts w:eastAsia="Calibri" w:cs="Arial"/>
        </w:rPr>
        <w:t xml:space="preserve">KSI will </w:t>
      </w:r>
      <w:r w:rsidR="00943F79" w:rsidRPr="00015244">
        <w:rPr>
          <w:rFonts w:eastAsia="Calibri" w:cs="Arial"/>
        </w:rPr>
        <w:t xml:space="preserve">deepen </w:t>
      </w:r>
      <w:r w:rsidRPr="00EF2139">
        <w:rPr>
          <w:rFonts w:eastAsia="Calibri" w:cs="Arial"/>
        </w:rPr>
        <w:t xml:space="preserve">its </w:t>
      </w:r>
      <w:r w:rsidR="00943F79" w:rsidRPr="00BC6200">
        <w:rPr>
          <w:rFonts w:eastAsia="Calibri" w:cs="Arial"/>
        </w:rPr>
        <w:t>engagement with national media organisations interested in engaging on evidence-based policymaking. These include Tempo, The Conversatio</w:t>
      </w:r>
      <w:r w:rsidR="00943F79" w:rsidRPr="00D60170">
        <w:rPr>
          <w:rFonts w:eastAsia="Calibri" w:cs="Arial"/>
        </w:rPr>
        <w:t xml:space="preserve">n, KOMPAS and Globe Asia. In the first instance, KSI will initiate dialogue between these media and researchers (or other intermediaries) </w:t>
      </w:r>
      <w:r w:rsidR="00943F79" w:rsidRPr="0062502E">
        <w:rPr>
          <w:rFonts w:eastAsia="Calibri" w:cs="Arial"/>
        </w:rPr>
        <w:t xml:space="preserve">to </w:t>
      </w:r>
      <w:r w:rsidRPr="00EF2139">
        <w:rPr>
          <w:rFonts w:eastAsia="Calibri" w:cs="Arial"/>
        </w:rPr>
        <w:t xml:space="preserve">support the </w:t>
      </w:r>
      <w:r w:rsidR="00943F79" w:rsidRPr="00BC6200">
        <w:rPr>
          <w:rFonts w:eastAsia="Calibri" w:cs="Arial"/>
        </w:rPr>
        <w:t>translat</w:t>
      </w:r>
      <w:r w:rsidRPr="00EF2139">
        <w:rPr>
          <w:rFonts w:eastAsia="Calibri" w:cs="Arial"/>
        </w:rPr>
        <w:t>ion of</w:t>
      </w:r>
      <w:r w:rsidR="00943F79" w:rsidRPr="00015244">
        <w:rPr>
          <w:rFonts w:eastAsia="Calibri" w:cs="Arial"/>
        </w:rPr>
        <w:t xml:space="preserve"> evidence into media-worthy communications. Interested media organisations will also be enco</w:t>
      </w:r>
      <w:r w:rsidR="00943F79" w:rsidRPr="00D60170">
        <w:rPr>
          <w:rFonts w:eastAsia="Calibri" w:cs="Arial"/>
        </w:rPr>
        <w:t xml:space="preserve">uraged to join knowledge communities on important and challenging policy issues and to report on the </w:t>
      </w:r>
      <w:r w:rsidR="00943F79" w:rsidRPr="00D60170">
        <w:rPr>
          <w:rFonts w:eastAsia="Calibri" w:cs="Arial"/>
        </w:rPr>
        <w:lastRenderedPageBreak/>
        <w:t>result</w:t>
      </w:r>
      <w:r w:rsidR="000F63EA">
        <w:rPr>
          <w:rFonts w:eastAsia="Calibri" w:cs="Arial"/>
        </w:rPr>
        <w:t xml:space="preserve">s of high-level policy dialogue, such as that which results from the annual Bappenas-led Indonesia Development Forum. </w:t>
      </w:r>
      <w:r w:rsidR="00943F79" w:rsidRPr="00D60170">
        <w:rPr>
          <w:rFonts w:eastAsia="Calibri" w:cs="Arial"/>
        </w:rPr>
        <w:t xml:space="preserve"> </w:t>
      </w:r>
    </w:p>
    <w:p w:rsidR="000F63EA" w:rsidRPr="00EF2139" w:rsidRDefault="000F63EA" w:rsidP="00BD1DA6">
      <w:pPr>
        <w:jc w:val="both"/>
        <w:rPr>
          <w:rFonts w:eastAsia="Calibri" w:cs="Arial"/>
          <w:highlight w:val="yellow"/>
        </w:rPr>
      </w:pPr>
    </w:p>
    <w:p w:rsidR="00943F79" w:rsidRPr="00210C4B" w:rsidRDefault="00943F79" w:rsidP="00BD1DA6">
      <w:pPr>
        <w:jc w:val="both"/>
        <w:rPr>
          <w:rFonts w:eastAsia="Calibri" w:cs="Arial"/>
        </w:rPr>
      </w:pPr>
      <w:r w:rsidRPr="00BC6200">
        <w:rPr>
          <w:rFonts w:eastAsia="Calibri" w:cs="Arial"/>
        </w:rPr>
        <w:t xml:space="preserve">KSI has a wealth of information about different weaknesses in Indonesia’s policy cycle. To date, most of this has </w:t>
      </w:r>
      <w:r w:rsidRPr="00D60170">
        <w:rPr>
          <w:rFonts w:eastAsia="Calibri" w:cs="Arial"/>
        </w:rPr>
        <w:t xml:space="preserve">been directed towards government and research audiences. Some of the more newsworthy aspects of this information are yet to be packaged and </w:t>
      </w:r>
      <w:r w:rsidR="00ED4EA9" w:rsidRPr="00EF2139">
        <w:rPr>
          <w:rFonts w:eastAsia="Calibri" w:cs="Arial"/>
        </w:rPr>
        <w:t>disseminated to</w:t>
      </w:r>
      <w:r w:rsidRPr="00BC6200">
        <w:rPr>
          <w:rFonts w:eastAsia="Calibri" w:cs="Arial"/>
        </w:rPr>
        <w:t xml:space="preserve"> a broader audience. Working with </w:t>
      </w:r>
      <w:r w:rsidR="00772747">
        <w:rPr>
          <w:rFonts w:eastAsia="Calibri" w:cs="Arial"/>
        </w:rPr>
        <w:t>various intermediaries</w:t>
      </w:r>
      <w:r w:rsidRPr="00BC6200">
        <w:rPr>
          <w:rFonts w:eastAsia="Calibri" w:cs="Arial"/>
        </w:rPr>
        <w:t xml:space="preserve"> KSI will implement a</w:t>
      </w:r>
      <w:r w:rsidRPr="00015244">
        <w:rPr>
          <w:rFonts w:eastAsia="Calibri" w:cs="Arial"/>
        </w:rPr>
        <w:t xml:space="preserve"> strategy to build a broader discourse on policymaking linked, for instance, to the predicted impact of changes in the government’s regulations on the procurement of research. The message of this dialogue will be practical</w:t>
      </w:r>
      <w:r w:rsidR="00ED4EA9" w:rsidRPr="00EF2139">
        <w:rPr>
          <w:rFonts w:eastAsia="Calibri" w:cs="Arial"/>
        </w:rPr>
        <w:t>,</w:t>
      </w:r>
      <w:r w:rsidRPr="00015244">
        <w:rPr>
          <w:rFonts w:eastAsia="Calibri" w:cs="Arial"/>
        </w:rPr>
        <w:t xml:space="preserve"> based on what is most likely to </w:t>
      </w:r>
      <w:r w:rsidRPr="00D60170">
        <w:rPr>
          <w:rFonts w:eastAsia="Calibri" w:cs="Arial"/>
        </w:rPr>
        <w:t>gain momentum in public discourse. For instance, KSI working groups will review existing overlaps and unclear institutional arrangements among the main government science and research agencies to highlight efficiency gains of key policy changes and will en</w:t>
      </w:r>
      <w:r w:rsidRPr="00210C4B">
        <w:rPr>
          <w:rFonts w:eastAsia="Calibri" w:cs="Arial"/>
        </w:rPr>
        <w:t xml:space="preserve">gage media organisations </w:t>
      </w:r>
      <w:r w:rsidR="00772747">
        <w:rPr>
          <w:rFonts w:eastAsia="Calibri" w:cs="Arial"/>
        </w:rPr>
        <w:t xml:space="preserve">and others </w:t>
      </w:r>
      <w:r w:rsidRPr="00210C4B">
        <w:rPr>
          <w:rFonts w:eastAsia="Calibri" w:cs="Arial"/>
        </w:rPr>
        <w:t xml:space="preserve">in the review. </w:t>
      </w:r>
    </w:p>
    <w:p w:rsidR="00943F79" w:rsidRPr="00EF2139" w:rsidRDefault="00943F79" w:rsidP="00BD1DA6">
      <w:pPr>
        <w:jc w:val="both"/>
        <w:rPr>
          <w:rFonts w:eastAsia="Calibri" w:cs="Arial"/>
          <w:highlight w:val="yellow"/>
        </w:rPr>
      </w:pPr>
    </w:p>
    <w:p w:rsidR="00943F79" w:rsidRDefault="00943F79" w:rsidP="00BD1DA6">
      <w:pPr>
        <w:jc w:val="both"/>
        <w:rPr>
          <w:rFonts w:eastAsia="Calibri" w:cs="Arial"/>
        </w:rPr>
      </w:pPr>
      <w:r w:rsidRPr="00BC6200">
        <w:rPr>
          <w:rFonts w:eastAsia="Calibri" w:cs="Arial"/>
        </w:rPr>
        <w:t xml:space="preserve">Importantly, the media </w:t>
      </w:r>
      <w:r w:rsidR="00772747">
        <w:rPr>
          <w:rFonts w:eastAsia="Calibri" w:cs="Arial"/>
        </w:rPr>
        <w:t xml:space="preserve">and other intermediaries will </w:t>
      </w:r>
      <w:r w:rsidRPr="00BC6200">
        <w:rPr>
          <w:rFonts w:eastAsia="Calibri" w:cs="Arial"/>
        </w:rPr>
        <w:t>also be encouraged to engage critically with research material, to be able to assess, analyse and seek different perspectives on results and communicate that effectively.</w:t>
      </w:r>
    </w:p>
    <w:p w:rsidR="00772747" w:rsidRDefault="00772747" w:rsidP="00BD1DA6">
      <w:pPr>
        <w:jc w:val="both"/>
        <w:rPr>
          <w:rFonts w:eastAsia="Calibri" w:cs="Arial"/>
        </w:rPr>
      </w:pPr>
    </w:p>
    <w:p w:rsidR="00772747" w:rsidRPr="00D60170" w:rsidRDefault="00772747" w:rsidP="00772747">
      <w:pPr>
        <w:jc w:val="both"/>
        <w:rPr>
          <w:bCs/>
        </w:rPr>
      </w:pPr>
      <w:r>
        <w:rPr>
          <w:bCs/>
        </w:rPr>
        <w:t xml:space="preserve">Indicative outcomes for </w:t>
      </w:r>
      <w:r w:rsidRPr="00D60170">
        <w:rPr>
          <w:bCs/>
        </w:rPr>
        <w:t xml:space="preserve">this focus area </w:t>
      </w:r>
      <w:r>
        <w:rPr>
          <w:bCs/>
        </w:rPr>
        <w:t>include</w:t>
      </w:r>
      <w:r w:rsidRPr="00D60170">
        <w:rPr>
          <w:bCs/>
        </w:rPr>
        <w:t>:</w:t>
      </w:r>
    </w:p>
    <w:p w:rsidR="00772747" w:rsidRPr="0062502E" w:rsidRDefault="00772747" w:rsidP="00772747">
      <w:pPr>
        <w:pStyle w:val="ListParagraph"/>
        <w:numPr>
          <w:ilvl w:val="0"/>
          <w:numId w:val="5"/>
        </w:numPr>
        <w:contextualSpacing w:val="0"/>
        <w:jc w:val="both"/>
        <w:rPr>
          <w:rFonts w:ascii="Calibri" w:hAnsi="Calibri"/>
          <w:bCs/>
          <w:sz w:val="22"/>
          <w:szCs w:val="22"/>
        </w:rPr>
      </w:pPr>
      <w:r w:rsidRPr="00210C4B">
        <w:rPr>
          <w:rFonts w:ascii="Calibri" w:hAnsi="Calibri"/>
          <w:bCs/>
          <w:sz w:val="22"/>
          <w:szCs w:val="22"/>
        </w:rPr>
        <w:t xml:space="preserve">Increased </w:t>
      </w:r>
      <w:r>
        <w:rPr>
          <w:rFonts w:ascii="Calibri" w:hAnsi="Calibri"/>
          <w:bCs/>
          <w:sz w:val="22"/>
          <w:szCs w:val="22"/>
        </w:rPr>
        <w:t xml:space="preserve">public </w:t>
      </w:r>
      <w:r w:rsidRPr="00210C4B">
        <w:rPr>
          <w:rFonts w:ascii="Calibri" w:hAnsi="Calibri"/>
          <w:bCs/>
          <w:sz w:val="22"/>
          <w:szCs w:val="22"/>
        </w:rPr>
        <w:t>discussion of the impact of research (or lack thereof) on</w:t>
      </w:r>
      <w:r w:rsidRPr="0062502E">
        <w:rPr>
          <w:rFonts w:ascii="Calibri" w:hAnsi="Calibri"/>
          <w:bCs/>
          <w:sz w:val="22"/>
          <w:szCs w:val="22"/>
        </w:rPr>
        <w:t xml:space="preserve"> different development policies;</w:t>
      </w:r>
    </w:p>
    <w:p w:rsidR="00772747" w:rsidRPr="00ED4EA9" w:rsidRDefault="00772747" w:rsidP="00772747">
      <w:pPr>
        <w:pStyle w:val="ListParagraph"/>
        <w:numPr>
          <w:ilvl w:val="0"/>
          <w:numId w:val="5"/>
        </w:numPr>
        <w:contextualSpacing w:val="0"/>
        <w:jc w:val="both"/>
        <w:rPr>
          <w:rFonts w:ascii="Calibri" w:hAnsi="Calibri"/>
          <w:bCs/>
          <w:sz w:val="22"/>
          <w:szCs w:val="22"/>
        </w:rPr>
      </w:pPr>
      <w:r w:rsidRPr="0062502E">
        <w:rPr>
          <w:rFonts w:ascii="Calibri" w:hAnsi="Calibri"/>
          <w:bCs/>
          <w:sz w:val="22"/>
          <w:szCs w:val="22"/>
        </w:rPr>
        <w:t xml:space="preserve">Increased communication and informed critique of </w:t>
      </w:r>
      <w:r w:rsidRPr="00EF2139">
        <w:rPr>
          <w:rFonts w:ascii="Calibri" w:hAnsi="Calibri"/>
          <w:bCs/>
          <w:sz w:val="22"/>
          <w:szCs w:val="22"/>
        </w:rPr>
        <w:t xml:space="preserve">the findings of </w:t>
      </w:r>
      <w:r w:rsidRPr="00ED4EA9">
        <w:rPr>
          <w:rFonts w:ascii="Calibri" w:hAnsi="Calibri"/>
          <w:bCs/>
          <w:sz w:val="22"/>
          <w:szCs w:val="22"/>
        </w:rPr>
        <w:t>policy-related research in selected media;</w:t>
      </w:r>
    </w:p>
    <w:p w:rsidR="00772747" w:rsidRPr="000F63EA" w:rsidRDefault="00772747" w:rsidP="003F6A2D">
      <w:pPr>
        <w:pStyle w:val="ListParagraph"/>
        <w:numPr>
          <w:ilvl w:val="0"/>
          <w:numId w:val="5"/>
        </w:numPr>
        <w:jc w:val="both"/>
        <w:rPr>
          <w:rFonts w:asciiTheme="minorHAnsi" w:eastAsia="Calibri" w:hAnsiTheme="minorHAnsi" w:cs="Arial"/>
          <w:sz w:val="22"/>
          <w:szCs w:val="22"/>
        </w:rPr>
      </w:pPr>
      <w:r w:rsidRPr="003F6A2D">
        <w:rPr>
          <w:rFonts w:asciiTheme="minorHAnsi" w:hAnsiTheme="minorHAnsi"/>
          <w:bCs/>
          <w:sz w:val="22"/>
          <w:szCs w:val="22"/>
        </w:rPr>
        <w:t>Increased linkages between think tanks and other advocates for evidence-informed policymaking with relevant national and sub-national government agencies.</w:t>
      </w:r>
    </w:p>
    <w:p w:rsidR="002C0053" w:rsidRPr="003F6A2D" w:rsidRDefault="000F63EA" w:rsidP="003F6A2D">
      <w:pPr>
        <w:pStyle w:val="ListParagraph"/>
        <w:numPr>
          <w:ilvl w:val="0"/>
          <w:numId w:val="5"/>
        </w:numPr>
        <w:jc w:val="both"/>
        <w:rPr>
          <w:rFonts w:asciiTheme="minorHAnsi" w:eastAsia="Calibri" w:hAnsiTheme="minorHAnsi" w:cs="Arial"/>
          <w:sz w:val="22"/>
          <w:szCs w:val="22"/>
        </w:rPr>
      </w:pPr>
      <w:r>
        <w:rPr>
          <w:rFonts w:asciiTheme="minorHAnsi" w:hAnsiTheme="minorHAnsi"/>
          <w:bCs/>
          <w:sz w:val="22"/>
          <w:szCs w:val="22"/>
        </w:rPr>
        <w:t>Improved engagement of media on priority government policy agendas (such as inequality through the Indonesia Development Forum).</w:t>
      </w:r>
    </w:p>
    <w:p w:rsidR="009F0AF6" w:rsidRDefault="009F0AF6" w:rsidP="00BD1DA6">
      <w:pPr>
        <w:jc w:val="both"/>
        <w:rPr>
          <w:rFonts w:eastAsia="Calibri" w:cs="Arial"/>
        </w:rPr>
      </w:pPr>
    </w:p>
    <w:p w:rsidR="00103C79" w:rsidRDefault="005A53AA" w:rsidP="00BD1DA6">
      <w:pPr>
        <w:pStyle w:val="Heading1"/>
        <w:spacing w:after="0"/>
        <w:rPr>
          <w:lang w:val="en-US"/>
        </w:rPr>
      </w:pPr>
      <w:bookmarkStart w:id="20" w:name="_Toc492915015"/>
      <w:r w:rsidRPr="007919E1">
        <w:t>4</w:t>
      </w:r>
      <w:r w:rsidR="00F959C7">
        <w:t xml:space="preserve">    </w:t>
      </w:r>
      <w:r w:rsidRPr="007919E1">
        <w:t>Approach to program implementation</w:t>
      </w:r>
      <w:bookmarkEnd w:id="20"/>
    </w:p>
    <w:p w:rsidR="00996309" w:rsidRDefault="00996309" w:rsidP="00BD1DA6">
      <w:pPr>
        <w:jc w:val="both"/>
        <w:rPr>
          <w:lang w:val="en-US"/>
        </w:rPr>
      </w:pPr>
    </w:p>
    <w:p w:rsidR="00C14398" w:rsidRDefault="005A53AA" w:rsidP="00BD1DA6">
      <w:pPr>
        <w:jc w:val="both"/>
        <w:rPr>
          <w:lang w:val="en-US"/>
        </w:rPr>
      </w:pPr>
      <w:r w:rsidRPr="00796415">
        <w:rPr>
          <w:lang w:val="en-US"/>
        </w:rPr>
        <w:t xml:space="preserve">The experience of </w:t>
      </w:r>
      <w:r w:rsidR="00431012">
        <w:rPr>
          <w:lang w:val="en-US"/>
        </w:rPr>
        <w:t>phase</w:t>
      </w:r>
      <w:r w:rsidRPr="00796415">
        <w:rPr>
          <w:lang w:val="en-US"/>
        </w:rPr>
        <w:t xml:space="preserve"> 1 </w:t>
      </w:r>
      <w:r w:rsidR="008E6A43">
        <w:rPr>
          <w:lang w:val="en-US"/>
        </w:rPr>
        <w:t>und</w:t>
      </w:r>
      <w:r w:rsidR="00073C00">
        <w:rPr>
          <w:lang w:val="en-US"/>
        </w:rPr>
        <w:t>erscored the</w:t>
      </w:r>
      <w:r w:rsidR="008E6A43">
        <w:rPr>
          <w:lang w:val="en-US"/>
        </w:rPr>
        <w:t xml:space="preserve"> fact</w:t>
      </w:r>
      <w:r w:rsidR="008E6A43" w:rsidRPr="00796415">
        <w:rPr>
          <w:lang w:val="en-US"/>
        </w:rPr>
        <w:t xml:space="preserve"> </w:t>
      </w:r>
      <w:r w:rsidRPr="00796415">
        <w:rPr>
          <w:lang w:val="en-US"/>
        </w:rPr>
        <w:t xml:space="preserve">that KSI operates in a complex and dynamic environment in which the pathways to a desired change cannot always be predicted and new opportunities and challenges frequently emerge. In order to operate effectively in this environment, the program aims to work in a highly flexible, iterative and responsive way, while remaining focused on achieving its objectives in the four focus areas. Operating </w:t>
      </w:r>
      <w:r w:rsidRPr="00796415">
        <w:rPr>
          <w:i/>
          <w:lang w:val="en-US"/>
        </w:rPr>
        <w:t>strategically</w:t>
      </w:r>
      <w:r w:rsidR="00F0301E">
        <w:rPr>
          <w:lang w:val="en-US"/>
        </w:rPr>
        <w:t xml:space="preserve"> </w:t>
      </w:r>
      <w:r w:rsidR="00796415" w:rsidRPr="00796415">
        <w:rPr>
          <w:lang w:val="en-US"/>
        </w:rPr>
        <w:t xml:space="preserve">while </w:t>
      </w:r>
      <w:r w:rsidR="00F0301E">
        <w:rPr>
          <w:lang w:val="en-US"/>
        </w:rPr>
        <w:t xml:space="preserve">also </w:t>
      </w:r>
      <w:r w:rsidR="00796415" w:rsidRPr="00796415">
        <w:rPr>
          <w:lang w:val="en-US"/>
        </w:rPr>
        <w:t>being flexible and responsive</w:t>
      </w:r>
      <w:r w:rsidRPr="00796415">
        <w:rPr>
          <w:lang w:val="en-US"/>
        </w:rPr>
        <w:t xml:space="preserve"> was one of the key challenges </w:t>
      </w:r>
      <w:r w:rsidR="00F0301E">
        <w:rPr>
          <w:lang w:val="en-US"/>
        </w:rPr>
        <w:t>in the first phase</w:t>
      </w:r>
      <w:r w:rsidRPr="00796415">
        <w:rPr>
          <w:lang w:val="en-US"/>
        </w:rPr>
        <w:t xml:space="preserve">. </w:t>
      </w:r>
    </w:p>
    <w:p w:rsidR="00C14398" w:rsidRDefault="00C14398" w:rsidP="00BD1DA6">
      <w:pPr>
        <w:jc w:val="both"/>
        <w:rPr>
          <w:lang w:val="en-US"/>
        </w:rPr>
      </w:pPr>
    </w:p>
    <w:p w:rsidR="005A53AA" w:rsidRPr="00796415" w:rsidRDefault="005A53AA" w:rsidP="00BD1DA6">
      <w:pPr>
        <w:jc w:val="both"/>
        <w:rPr>
          <w:lang w:val="en-US"/>
        </w:rPr>
      </w:pPr>
      <w:r w:rsidRPr="00796415">
        <w:rPr>
          <w:lang w:val="en-US"/>
        </w:rPr>
        <w:t>KSI phase 2 w</w:t>
      </w:r>
      <w:r w:rsidR="00535F3F">
        <w:rPr>
          <w:lang w:val="en-US"/>
        </w:rPr>
        <w:t>ill</w:t>
      </w:r>
      <w:r w:rsidRPr="00796415">
        <w:rPr>
          <w:lang w:val="en-US"/>
        </w:rPr>
        <w:t xml:space="preserve"> follow guiding principles for program implementation</w:t>
      </w:r>
      <w:r w:rsidR="00535F3F">
        <w:rPr>
          <w:lang w:val="en-US"/>
        </w:rPr>
        <w:t xml:space="preserve"> </w:t>
      </w:r>
      <w:r w:rsidR="004A4FE7">
        <w:rPr>
          <w:lang w:val="en-US"/>
        </w:rPr>
        <w:t>that align with</w:t>
      </w:r>
      <w:r w:rsidR="00F0301E">
        <w:rPr>
          <w:lang w:val="en-US"/>
        </w:rPr>
        <w:t xml:space="preserve"> DFAT’s governance strategy</w:t>
      </w:r>
      <w:r w:rsidR="00535F3F">
        <w:rPr>
          <w:lang w:val="en-US"/>
        </w:rPr>
        <w:t>:</w:t>
      </w:r>
      <w:r w:rsidR="0007705A">
        <w:rPr>
          <w:rStyle w:val="FootnoteReference"/>
          <w:lang w:val="en-US"/>
        </w:rPr>
        <w:footnoteReference w:id="11"/>
      </w:r>
    </w:p>
    <w:p w:rsidR="00CB09B3" w:rsidRDefault="00CB09B3" w:rsidP="00BD1DA6">
      <w:pPr>
        <w:jc w:val="both"/>
        <w:rPr>
          <w:lang w:val="en-US"/>
        </w:rPr>
      </w:pPr>
    </w:p>
    <w:p w:rsidR="005A53AA" w:rsidRPr="00B171C6" w:rsidRDefault="005A53AA" w:rsidP="00B171C6">
      <w:pPr>
        <w:pStyle w:val="ListParagraph"/>
        <w:numPr>
          <w:ilvl w:val="0"/>
          <w:numId w:val="31"/>
        </w:numPr>
        <w:rPr>
          <w:rFonts w:asciiTheme="minorHAnsi" w:hAnsiTheme="minorHAnsi"/>
          <w:sz w:val="22"/>
          <w:szCs w:val="22"/>
          <w:lang w:val="en-US"/>
        </w:rPr>
      </w:pPr>
      <w:r w:rsidRPr="00B171C6">
        <w:rPr>
          <w:rFonts w:asciiTheme="minorHAnsi" w:hAnsiTheme="minorHAnsi"/>
          <w:sz w:val="22"/>
          <w:szCs w:val="22"/>
          <w:lang w:val="en-US"/>
        </w:rPr>
        <w:t>Focus on addressing system-wide constraints to the k</w:t>
      </w:r>
      <w:r w:rsidR="00B171C6">
        <w:rPr>
          <w:rFonts w:asciiTheme="minorHAnsi" w:hAnsiTheme="minorHAnsi"/>
          <w:sz w:val="22"/>
          <w:szCs w:val="22"/>
          <w:lang w:val="en-US"/>
        </w:rPr>
        <w:t>nowledge sector</w:t>
      </w:r>
    </w:p>
    <w:p w:rsidR="005A53AA" w:rsidRPr="00B171C6" w:rsidRDefault="005A53AA" w:rsidP="00B171C6">
      <w:pPr>
        <w:pStyle w:val="ListParagraph"/>
        <w:numPr>
          <w:ilvl w:val="0"/>
          <w:numId w:val="31"/>
        </w:numPr>
        <w:rPr>
          <w:rFonts w:asciiTheme="minorHAnsi" w:hAnsiTheme="minorHAnsi"/>
          <w:sz w:val="22"/>
          <w:szCs w:val="22"/>
          <w:lang w:val="en-US"/>
        </w:rPr>
      </w:pPr>
      <w:r w:rsidRPr="00B171C6">
        <w:rPr>
          <w:rFonts w:asciiTheme="minorHAnsi" w:hAnsiTheme="minorHAnsi"/>
          <w:sz w:val="22"/>
          <w:szCs w:val="22"/>
          <w:lang w:val="en-US"/>
        </w:rPr>
        <w:t>Be flexible and responsive to emerging opportunities while maintaining a focus on the overall goa</w:t>
      </w:r>
      <w:r w:rsidR="00B171C6">
        <w:rPr>
          <w:rFonts w:asciiTheme="minorHAnsi" w:hAnsiTheme="minorHAnsi"/>
          <w:sz w:val="22"/>
          <w:szCs w:val="22"/>
          <w:lang w:val="en-US"/>
        </w:rPr>
        <w:t>l and objectives of the program</w:t>
      </w:r>
    </w:p>
    <w:p w:rsidR="005A53AA" w:rsidRPr="00B171C6" w:rsidRDefault="005A53AA" w:rsidP="00B171C6">
      <w:pPr>
        <w:pStyle w:val="ListParagraph"/>
        <w:numPr>
          <w:ilvl w:val="0"/>
          <w:numId w:val="31"/>
        </w:numPr>
        <w:rPr>
          <w:rFonts w:asciiTheme="minorHAnsi" w:hAnsiTheme="minorHAnsi"/>
          <w:sz w:val="22"/>
          <w:szCs w:val="22"/>
          <w:lang w:val="en-US"/>
        </w:rPr>
      </w:pPr>
      <w:r w:rsidRPr="00B171C6">
        <w:rPr>
          <w:rFonts w:asciiTheme="minorHAnsi" w:hAnsiTheme="minorHAnsi"/>
          <w:sz w:val="22"/>
          <w:szCs w:val="22"/>
          <w:lang w:val="en-US"/>
        </w:rPr>
        <w:t>A</w:t>
      </w:r>
      <w:r w:rsidR="00B171C6">
        <w:rPr>
          <w:rFonts w:asciiTheme="minorHAnsi" w:hAnsiTheme="minorHAnsi"/>
          <w:sz w:val="22"/>
          <w:szCs w:val="22"/>
          <w:lang w:val="en-US"/>
        </w:rPr>
        <w:t>pply a problem-solving approach</w:t>
      </w:r>
    </w:p>
    <w:p w:rsidR="005A53AA" w:rsidRPr="00B171C6" w:rsidRDefault="005A53AA" w:rsidP="00B171C6">
      <w:pPr>
        <w:pStyle w:val="ListParagraph"/>
        <w:numPr>
          <w:ilvl w:val="0"/>
          <w:numId w:val="31"/>
        </w:numPr>
        <w:rPr>
          <w:rFonts w:asciiTheme="minorHAnsi" w:hAnsiTheme="minorHAnsi"/>
          <w:sz w:val="22"/>
          <w:szCs w:val="22"/>
          <w:lang w:val="en-US"/>
        </w:rPr>
      </w:pPr>
      <w:r w:rsidRPr="00B171C6">
        <w:rPr>
          <w:rFonts w:asciiTheme="minorHAnsi" w:hAnsiTheme="minorHAnsi"/>
          <w:sz w:val="22"/>
          <w:szCs w:val="22"/>
          <w:lang w:val="en-US"/>
        </w:rPr>
        <w:t>Invest strategically, with a view to achieving returns over the short, medi</w:t>
      </w:r>
      <w:r w:rsidR="00B171C6">
        <w:rPr>
          <w:rFonts w:asciiTheme="minorHAnsi" w:hAnsiTheme="minorHAnsi"/>
          <w:sz w:val="22"/>
          <w:szCs w:val="22"/>
          <w:lang w:val="en-US"/>
        </w:rPr>
        <w:t>um and longer term</w:t>
      </w:r>
    </w:p>
    <w:p w:rsidR="005A53AA" w:rsidRPr="00B171C6" w:rsidRDefault="005A53AA" w:rsidP="00B171C6">
      <w:pPr>
        <w:pStyle w:val="ListParagraph"/>
        <w:numPr>
          <w:ilvl w:val="0"/>
          <w:numId w:val="31"/>
        </w:numPr>
        <w:rPr>
          <w:rFonts w:asciiTheme="minorHAnsi" w:hAnsiTheme="minorHAnsi"/>
          <w:sz w:val="22"/>
          <w:szCs w:val="22"/>
          <w:lang w:val="en-US"/>
        </w:rPr>
      </w:pPr>
      <w:r w:rsidRPr="00B171C6">
        <w:rPr>
          <w:rFonts w:asciiTheme="minorHAnsi" w:hAnsiTheme="minorHAnsi"/>
          <w:sz w:val="22"/>
          <w:szCs w:val="22"/>
          <w:lang w:val="en-US"/>
        </w:rPr>
        <w:t>Focus on the differential impact on wome</w:t>
      </w:r>
      <w:r w:rsidR="00B171C6">
        <w:rPr>
          <w:rFonts w:asciiTheme="minorHAnsi" w:hAnsiTheme="minorHAnsi"/>
          <w:sz w:val="22"/>
          <w:szCs w:val="22"/>
          <w:lang w:val="en-US"/>
        </w:rPr>
        <w:t>n, men and disadvantaged groups</w:t>
      </w:r>
    </w:p>
    <w:p w:rsidR="005A53AA" w:rsidRPr="00B171C6" w:rsidRDefault="005A53AA" w:rsidP="00B171C6">
      <w:pPr>
        <w:pStyle w:val="ListParagraph"/>
        <w:numPr>
          <w:ilvl w:val="0"/>
          <w:numId w:val="31"/>
        </w:numPr>
        <w:rPr>
          <w:rFonts w:asciiTheme="minorHAnsi" w:hAnsiTheme="minorHAnsi"/>
          <w:sz w:val="22"/>
          <w:szCs w:val="22"/>
          <w:lang w:val="en-US"/>
        </w:rPr>
      </w:pPr>
      <w:r w:rsidRPr="00B171C6">
        <w:rPr>
          <w:rFonts w:asciiTheme="minorHAnsi" w:hAnsiTheme="minorHAnsi"/>
          <w:sz w:val="22"/>
          <w:szCs w:val="22"/>
          <w:lang w:val="en-US"/>
        </w:rPr>
        <w:lastRenderedPageBreak/>
        <w:t>Put in place systems and proces</w:t>
      </w:r>
      <w:r w:rsidR="00B171C6">
        <w:rPr>
          <w:rFonts w:asciiTheme="minorHAnsi" w:hAnsiTheme="minorHAnsi"/>
          <w:sz w:val="22"/>
          <w:szCs w:val="22"/>
          <w:lang w:val="en-US"/>
        </w:rPr>
        <w:t>ses to reflect, learn and adapt</w:t>
      </w:r>
    </w:p>
    <w:p w:rsidR="005A53AA" w:rsidRPr="00B171C6" w:rsidRDefault="005A53AA" w:rsidP="00B171C6">
      <w:pPr>
        <w:pStyle w:val="ListParagraph"/>
        <w:numPr>
          <w:ilvl w:val="0"/>
          <w:numId w:val="31"/>
        </w:numPr>
        <w:rPr>
          <w:rFonts w:asciiTheme="minorHAnsi" w:hAnsiTheme="minorHAnsi"/>
          <w:sz w:val="22"/>
          <w:szCs w:val="22"/>
          <w:lang w:val="en-US"/>
        </w:rPr>
      </w:pPr>
      <w:r w:rsidRPr="00B171C6">
        <w:rPr>
          <w:rFonts w:asciiTheme="minorHAnsi" w:hAnsiTheme="minorHAnsi"/>
          <w:sz w:val="22"/>
          <w:szCs w:val="22"/>
          <w:lang w:val="en-US"/>
        </w:rPr>
        <w:t>Build partnership</w:t>
      </w:r>
      <w:r w:rsidR="00B171C6">
        <w:rPr>
          <w:rFonts w:asciiTheme="minorHAnsi" w:hAnsiTheme="minorHAnsi"/>
          <w:sz w:val="22"/>
          <w:szCs w:val="22"/>
          <w:lang w:val="en-US"/>
        </w:rPr>
        <w:t>s and collaborate strategically</w:t>
      </w:r>
    </w:p>
    <w:p w:rsidR="00CB09B3" w:rsidRPr="00B171C6" w:rsidRDefault="005A53AA" w:rsidP="00B171C6">
      <w:pPr>
        <w:pStyle w:val="ListParagraph"/>
        <w:numPr>
          <w:ilvl w:val="0"/>
          <w:numId w:val="31"/>
        </w:numPr>
        <w:rPr>
          <w:rFonts w:asciiTheme="minorHAnsi" w:hAnsiTheme="minorHAnsi"/>
          <w:sz w:val="22"/>
          <w:szCs w:val="22"/>
          <w:lang w:val="en-US"/>
        </w:rPr>
      </w:pPr>
      <w:r w:rsidRPr="00B171C6">
        <w:rPr>
          <w:rFonts w:asciiTheme="minorHAnsi" w:hAnsiTheme="minorHAnsi"/>
          <w:sz w:val="22"/>
          <w:szCs w:val="22"/>
          <w:lang w:val="en-US"/>
        </w:rPr>
        <w:t>Understand the political context and navigate it astutely.</w:t>
      </w:r>
    </w:p>
    <w:p w:rsidR="00996309" w:rsidRPr="003F6A2D" w:rsidRDefault="00996309" w:rsidP="00B171C6">
      <w:bookmarkStart w:id="21" w:name="_Toc356730108"/>
    </w:p>
    <w:p w:rsidR="00535F3F" w:rsidRDefault="004A4FE7" w:rsidP="00B171C6">
      <w:r w:rsidRPr="00B171C6">
        <w:rPr>
          <w:lang w:val="en-US"/>
        </w:rPr>
        <w:t>T</w:t>
      </w:r>
      <w:r w:rsidR="00535F3F" w:rsidRPr="00B171C6">
        <w:rPr>
          <w:lang w:val="en-US"/>
        </w:rPr>
        <w:t>hese principles</w:t>
      </w:r>
      <w:r w:rsidRPr="00B171C6">
        <w:rPr>
          <w:lang w:val="en-US"/>
        </w:rPr>
        <w:t xml:space="preserve"> will be expressed through approaches elaborated below.</w:t>
      </w:r>
      <w:r w:rsidR="00535F3F">
        <w:t xml:space="preserve"> </w:t>
      </w:r>
    </w:p>
    <w:p w:rsidR="00535F3F" w:rsidRDefault="00535F3F" w:rsidP="00BD1DA6">
      <w:pPr>
        <w:pStyle w:val="Heading2"/>
        <w:spacing w:before="0" w:after="0"/>
      </w:pPr>
    </w:p>
    <w:p w:rsidR="00FD7A8D" w:rsidRPr="00796415" w:rsidRDefault="00DE6929" w:rsidP="00BD1DA6">
      <w:pPr>
        <w:pStyle w:val="Heading2"/>
        <w:spacing w:before="0" w:after="0"/>
      </w:pPr>
      <w:bookmarkStart w:id="22" w:name="_Toc492915016"/>
      <w:r>
        <w:t>4.1</w:t>
      </w:r>
      <w:r>
        <w:tab/>
      </w:r>
      <w:r w:rsidR="00FD7A8D" w:rsidRPr="00796415">
        <w:t>Coalitions and collective action</w:t>
      </w:r>
      <w:bookmarkEnd w:id="22"/>
      <w:r w:rsidR="00FD7A8D" w:rsidRPr="00796415">
        <w:t xml:space="preserve"> </w:t>
      </w:r>
    </w:p>
    <w:p w:rsidR="00996309" w:rsidRDefault="00996309" w:rsidP="00BD1DA6">
      <w:pPr>
        <w:jc w:val="both"/>
      </w:pPr>
    </w:p>
    <w:p w:rsidR="00CB09B3" w:rsidRPr="00796415" w:rsidRDefault="005A53AA" w:rsidP="00BD1DA6">
      <w:pPr>
        <w:jc w:val="both"/>
      </w:pPr>
      <w:r w:rsidRPr="00A25B60">
        <w:t>KSI</w:t>
      </w:r>
      <w:r w:rsidR="00535F3F">
        <w:t xml:space="preserve"> phase 2</w:t>
      </w:r>
      <w:r w:rsidRPr="00A25B60">
        <w:t xml:space="preserve"> will expand </w:t>
      </w:r>
      <w:r w:rsidR="00535F3F">
        <w:t>its collaborative</w:t>
      </w:r>
      <w:r w:rsidRPr="00A25B60">
        <w:t xml:space="preserve"> approach </w:t>
      </w:r>
      <w:r w:rsidR="00535F3F">
        <w:t xml:space="preserve">between knowledge producers, users and intermediaries </w:t>
      </w:r>
      <w:r w:rsidRPr="00A25B60">
        <w:t xml:space="preserve">and apply it more broadly across the program, through an emphasis on supporting reform networks, composed of individuals and organisations from across the knowledge sector, to address the common challenges that they face. </w:t>
      </w:r>
      <w:r w:rsidR="00294058" w:rsidRPr="00A25B60">
        <w:t xml:space="preserve">Membership of these networks will consist of opinion leaders and influencers </w:t>
      </w:r>
      <w:r w:rsidR="00EF20EF" w:rsidRPr="00A25B60">
        <w:t>committed to improving the quality of evidence and its application to policymaking</w:t>
      </w:r>
      <w:r w:rsidR="00294058" w:rsidRPr="00A25B60">
        <w:t xml:space="preserve">. They will be chosen based on their capacity to </w:t>
      </w:r>
      <w:r w:rsidR="00EF20EF" w:rsidRPr="00EF2139">
        <w:t>lead change agendas</w:t>
      </w:r>
      <w:r w:rsidR="00EF20EF" w:rsidRPr="00A25B60">
        <w:t xml:space="preserve"> and to </w:t>
      </w:r>
      <w:r w:rsidR="00294058" w:rsidRPr="00A25B60">
        <w:t xml:space="preserve">galvanise support from </w:t>
      </w:r>
      <w:r w:rsidR="00EF20EF" w:rsidRPr="00A25B60">
        <w:t xml:space="preserve">within </w:t>
      </w:r>
      <w:r w:rsidR="00294058" w:rsidRPr="00A25B60">
        <w:t xml:space="preserve">their </w:t>
      </w:r>
      <w:r w:rsidR="00EF20EF" w:rsidRPr="00A25B60">
        <w:t xml:space="preserve">own </w:t>
      </w:r>
      <w:r w:rsidR="00294058" w:rsidRPr="00A25B60">
        <w:t xml:space="preserve">institutions and </w:t>
      </w:r>
      <w:r w:rsidR="00EF20EF" w:rsidRPr="00A25B60">
        <w:t xml:space="preserve">broader </w:t>
      </w:r>
      <w:r w:rsidR="00294058" w:rsidRPr="00A25B60">
        <w:t>networks.</w:t>
      </w:r>
      <w:r w:rsidR="003234F1" w:rsidRPr="00A25B60">
        <w:t xml:space="preserve"> </w:t>
      </w:r>
      <w:r w:rsidRPr="00A25B60">
        <w:t xml:space="preserve">The role of the program will be to convene </w:t>
      </w:r>
      <w:r w:rsidR="001E40AE" w:rsidRPr="00A25B60">
        <w:t xml:space="preserve">and </w:t>
      </w:r>
      <w:r w:rsidRPr="00A25B60">
        <w:t>broker</w:t>
      </w:r>
      <w:r w:rsidRPr="00796415">
        <w:t xml:space="preserve"> </w:t>
      </w:r>
      <w:r w:rsidR="001E40AE">
        <w:t xml:space="preserve">relationships </w:t>
      </w:r>
      <w:r w:rsidR="001B65D6">
        <w:t xml:space="preserve">between </w:t>
      </w:r>
      <w:r w:rsidR="001B65D6" w:rsidRPr="00796415">
        <w:t xml:space="preserve">knowledge sector actors </w:t>
      </w:r>
      <w:r w:rsidRPr="00796415">
        <w:t>in order to catalyse and augment the</w:t>
      </w:r>
      <w:r w:rsidR="001B65D6">
        <w:t>ir</w:t>
      </w:r>
      <w:r w:rsidRPr="00796415">
        <w:t xml:space="preserve"> efforts.</w:t>
      </w:r>
      <w:bookmarkEnd w:id="21"/>
      <w:r w:rsidR="008E6A43">
        <w:t xml:space="preserve"> A</w:t>
      </w:r>
      <w:r w:rsidR="008E6A43" w:rsidRPr="00796415">
        <w:t xml:space="preserve"> key lesson from the a</w:t>
      </w:r>
      <w:r w:rsidR="008E6A43">
        <w:t xml:space="preserve">pproach taken in phase 1 is the need for the program to </w:t>
      </w:r>
      <w:r w:rsidR="008E6A43" w:rsidRPr="00796415">
        <w:t>play a strong facilitation role to support the</w:t>
      </w:r>
      <w:r w:rsidR="00420BCC">
        <w:t>se</w:t>
      </w:r>
      <w:r w:rsidR="008E6A43" w:rsidRPr="00796415">
        <w:t xml:space="preserve"> networks </w:t>
      </w:r>
      <w:r w:rsidR="008E6A43">
        <w:t xml:space="preserve">to </w:t>
      </w:r>
      <w:r w:rsidR="008E6A43" w:rsidRPr="00796415">
        <w:t>identify and work towards clear outcomes.</w:t>
      </w:r>
      <w:r w:rsidR="00EF20EF">
        <w:t xml:space="preserve"> </w:t>
      </w:r>
    </w:p>
    <w:p w:rsidR="00996309" w:rsidRDefault="00996309" w:rsidP="00BD1DA6">
      <w:pPr>
        <w:pStyle w:val="Heading2"/>
        <w:spacing w:before="0" w:after="0"/>
      </w:pPr>
    </w:p>
    <w:p w:rsidR="005A53AA" w:rsidRDefault="00DE6929" w:rsidP="00BD1DA6">
      <w:pPr>
        <w:pStyle w:val="Heading2"/>
        <w:spacing w:before="0" w:after="0"/>
      </w:pPr>
      <w:bookmarkStart w:id="23" w:name="_Toc492915017"/>
      <w:r>
        <w:t>4.2</w:t>
      </w:r>
      <w:r>
        <w:tab/>
      </w:r>
      <w:r w:rsidR="00B269CF">
        <w:t xml:space="preserve">A </w:t>
      </w:r>
      <w:r w:rsidR="00103C79">
        <w:t>hybrid</w:t>
      </w:r>
      <w:r w:rsidR="005A53AA" w:rsidRPr="00F539D6">
        <w:t xml:space="preserve"> approach</w:t>
      </w:r>
      <w:bookmarkEnd w:id="23"/>
    </w:p>
    <w:p w:rsidR="00996309" w:rsidRDefault="00996309" w:rsidP="00BD1DA6">
      <w:pPr>
        <w:pStyle w:val="BodyText"/>
        <w:spacing w:after="0"/>
        <w:jc w:val="both"/>
        <w:rPr>
          <w:rFonts w:ascii="Calibri" w:hAnsi="Calibri"/>
        </w:rPr>
      </w:pPr>
    </w:p>
    <w:p w:rsidR="005A53AA" w:rsidRPr="00796415" w:rsidRDefault="005A53AA" w:rsidP="00BD1DA6">
      <w:pPr>
        <w:pStyle w:val="BodyText"/>
        <w:spacing w:after="0"/>
        <w:jc w:val="both"/>
        <w:rPr>
          <w:rFonts w:ascii="Calibri" w:hAnsi="Calibri"/>
        </w:rPr>
      </w:pPr>
      <w:r w:rsidRPr="00796415">
        <w:rPr>
          <w:rFonts w:ascii="Calibri" w:hAnsi="Calibri"/>
        </w:rPr>
        <w:t>KSI operates as part-program, part-facility.</w:t>
      </w:r>
      <w:r w:rsidR="002008B9">
        <w:rPr>
          <w:rStyle w:val="FootnoteReference"/>
          <w:rFonts w:ascii="Calibri" w:hAnsi="Calibri"/>
        </w:rPr>
        <w:footnoteReference w:id="12"/>
      </w:r>
      <w:r w:rsidRPr="00796415">
        <w:rPr>
          <w:rFonts w:ascii="Calibri" w:hAnsi="Calibri"/>
        </w:rPr>
        <w:t xml:space="preserve"> </w:t>
      </w:r>
      <w:r w:rsidR="00EF20EF">
        <w:rPr>
          <w:rFonts w:ascii="Calibri" w:hAnsi="Calibri"/>
        </w:rPr>
        <w:t xml:space="preserve">Some aspects of the program’s work will require </w:t>
      </w:r>
      <w:r w:rsidR="00EF20EF" w:rsidRPr="00A25B60">
        <w:rPr>
          <w:rFonts w:ascii="Calibri" w:hAnsi="Calibri"/>
        </w:rPr>
        <w:t>sustained engagement throughout the second phase and beyond, such as grants to research partners. These can largely be fully planned in advance. O</w:t>
      </w:r>
      <w:r w:rsidR="008E6A43" w:rsidRPr="00A25B60">
        <w:rPr>
          <w:rFonts w:ascii="Calibri" w:hAnsi="Calibri"/>
        </w:rPr>
        <w:t xml:space="preserve">ther </w:t>
      </w:r>
      <w:r w:rsidRPr="00A25B60">
        <w:rPr>
          <w:rFonts w:ascii="Calibri" w:hAnsi="Calibri"/>
        </w:rPr>
        <w:t xml:space="preserve">areas of work </w:t>
      </w:r>
      <w:r w:rsidR="00EF20EF" w:rsidRPr="00A25B60">
        <w:rPr>
          <w:rFonts w:ascii="Calibri" w:hAnsi="Calibri"/>
        </w:rPr>
        <w:t xml:space="preserve">will be necessarily opportunistic, </w:t>
      </w:r>
      <w:r w:rsidRPr="00A25B60">
        <w:rPr>
          <w:rFonts w:ascii="Calibri" w:hAnsi="Calibri"/>
        </w:rPr>
        <w:t>allow</w:t>
      </w:r>
      <w:r w:rsidR="000D7A04" w:rsidRPr="00A25B60">
        <w:rPr>
          <w:rFonts w:ascii="Calibri" w:hAnsi="Calibri"/>
        </w:rPr>
        <w:t>ing</w:t>
      </w:r>
      <w:r w:rsidRPr="00A25B60">
        <w:rPr>
          <w:rFonts w:ascii="Calibri" w:hAnsi="Calibri"/>
        </w:rPr>
        <w:t xml:space="preserve"> the program to respond effectively to changes in the environment</w:t>
      </w:r>
      <w:r w:rsidR="00D2771D" w:rsidRPr="00A25B60">
        <w:rPr>
          <w:rFonts w:ascii="Calibri" w:hAnsi="Calibri"/>
        </w:rPr>
        <w:t xml:space="preserve"> and to emerging opportunities</w:t>
      </w:r>
      <w:r w:rsidRPr="00A25B60">
        <w:rPr>
          <w:rFonts w:ascii="Calibri" w:hAnsi="Calibri"/>
        </w:rPr>
        <w:t xml:space="preserve">. </w:t>
      </w:r>
      <w:r w:rsidR="00EF20EF" w:rsidRPr="00A25B60">
        <w:rPr>
          <w:rFonts w:ascii="Calibri" w:hAnsi="Calibri"/>
        </w:rPr>
        <w:t>These will be defined broadly in program plans, with details developing as areas of support and reform agendas take shape.</w:t>
      </w:r>
      <w:r w:rsidR="00EF20EF">
        <w:rPr>
          <w:rFonts w:ascii="Calibri" w:hAnsi="Calibri"/>
        </w:rPr>
        <w:t xml:space="preserve"> </w:t>
      </w:r>
      <w:r w:rsidRPr="00796415">
        <w:rPr>
          <w:rFonts w:ascii="Calibri" w:hAnsi="Calibri"/>
        </w:rPr>
        <w:t xml:space="preserve">This flexibility was highly valued in the first phase and enabled the program to develop productive working relationships with key knowledge sector actors. A hybrid program–facility modality has also enabled the program to </w:t>
      </w:r>
      <w:r w:rsidR="000D7A04">
        <w:rPr>
          <w:rFonts w:ascii="Calibri" w:hAnsi="Calibri"/>
        </w:rPr>
        <w:t xml:space="preserve">explore </w:t>
      </w:r>
      <w:r w:rsidR="000D7A04" w:rsidRPr="00796415">
        <w:rPr>
          <w:rFonts w:ascii="Calibri" w:hAnsi="Calibri"/>
        </w:rPr>
        <w:t>a range of potential pathways to change</w:t>
      </w:r>
      <w:r w:rsidR="000D7A04">
        <w:rPr>
          <w:rFonts w:ascii="Calibri" w:hAnsi="Calibri"/>
        </w:rPr>
        <w:t xml:space="preserve"> and </w:t>
      </w:r>
      <w:r w:rsidRPr="00796415">
        <w:rPr>
          <w:rFonts w:ascii="Calibri" w:hAnsi="Calibri"/>
        </w:rPr>
        <w:t xml:space="preserve">test different approaches in some areas of work, such as the application of problem-solving </w:t>
      </w:r>
      <w:r w:rsidR="00294058">
        <w:rPr>
          <w:rFonts w:ascii="Calibri" w:hAnsi="Calibri"/>
        </w:rPr>
        <w:t>approach</w:t>
      </w:r>
      <w:r w:rsidR="00C45FBF">
        <w:rPr>
          <w:rFonts w:ascii="Calibri" w:hAnsi="Calibri"/>
        </w:rPr>
        <w:t>es</w:t>
      </w:r>
      <w:r w:rsidR="00C45FBF" w:rsidRPr="00796415">
        <w:rPr>
          <w:rFonts w:ascii="Calibri" w:hAnsi="Calibri"/>
        </w:rPr>
        <w:t xml:space="preserve"> </w:t>
      </w:r>
      <w:r w:rsidRPr="00796415">
        <w:rPr>
          <w:rFonts w:ascii="Calibri" w:hAnsi="Calibri"/>
        </w:rPr>
        <w:t>in several of the working groups</w:t>
      </w:r>
      <w:r w:rsidR="00420BCC">
        <w:rPr>
          <w:rFonts w:ascii="Calibri" w:hAnsi="Calibri"/>
        </w:rPr>
        <w:t>.</w:t>
      </w:r>
      <w:r w:rsidR="000D7A04">
        <w:rPr>
          <w:rFonts w:ascii="Calibri" w:hAnsi="Calibri"/>
        </w:rPr>
        <w:t xml:space="preserve"> </w:t>
      </w:r>
    </w:p>
    <w:p w:rsidR="00996309" w:rsidRDefault="00996309" w:rsidP="00BD1DA6">
      <w:pPr>
        <w:pStyle w:val="BodyText"/>
        <w:spacing w:after="0"/>
        <w:jc w:val="both"/>
        <w:rPr>
          <w:rFonts w:ascii="Calibri" w:hAnsi="Calibri"/>
        </w:rPr>
      </w:pPr>
    </w:p>
    <w:p w:rsidR="005A53AA" w:rsidRPr="00C966D1" w:rsidRDefault="00431012" w:rsidP="00BD1DA6">
      <w:pPr>
        <w:pStyle w:val="BodyText"/>
        <w:spacing w:after="0"/>
        <w:jc w:val="both"/>
        <w:rPr>
          <w:rFonts w:ascii="Calibri" w:hAnsi="Calibri" w:cs="Meta Normal"/>
        </w:rPr>
      </w:pPr>
      <w:r>
        <w:rPr>
          <w:rFonts w:ascii="Calibri" w:hAnsi="Calibri"/>
        </w:rPr>
        <w:t>A hybrid program-</w:t>
      </w:r>
      <w:r w:rsidR="005A53AA" w:rsidRPr="00796415">
        <w:rPr>
          <w:rFonts w:ascii="Calibri" w:hAnsi="Calibri"/>
        </w:rPr>
        <w:t xml:space="preserve">facility requires </w:t>
      </w:r>
      <w:r w:rsidR="000D7A04">
        <w:rPr>
          <w:rFonts w:ascii="Calibri" w:hAnsi="Calibri"/>
        </w:rPr>
        <w:t>effective program</w:t>
      </w:r>
      <w:r w:rsidR="000D7A04" w:rsidRPr="00796415">
        <w:rPr>
          <w:rFonts w:ascii="Calibri" w:hAnsi="Calibri"/>
        </w:rPr>
        <w:t xml:space="preserve"> </w:t>
      </w:r>
      <w:r w:rsidR="005A53AA" w:rsidRPr="00796415">
        <w:rPr>
          <w:rFonts w:ascii="Calibri" w:hAnsi="Calibri"/>
        </w:rPr>
        <w:t xml:space="preserve">management, </w:t>
      </w:r>
      <w:r w:rsidR="000D7A04">
        <w:rPr>
          <w:rFonts w:ascii="Calibri" w:hAnsi="Calibri"/>
        </w:rPr>
        <w:t>well-defined</w:t>
      </w:r>
      <w:r w:rsidR="000D7A04" w:rsidRPr="00796415">
        <w:rPr>
          <w:rFonts w:ascii="Calibri" w:hAnsi="Calibri"/>
        </w:rPr>
        <w:t xml:space="preserve"> </w:t>
      </w:r>
      <w:r w:rsidR="005A53AA" w:rsidRPr="00796415">
        <w:rPr>
          <w:rFonts w:ascii="Calibri" w:hAnsi="Calibri"/>
        </w:rPr>
        <w:t xml:space="preserve">strategies </w:t>
      </w:r>
      <w:r>
        <w:rPr>
          <w:rFonts w:ascii="Calibri" w:hAnsi="Calibri"/>
        </w:rPr>
        <w:t xml:space="preserve">that </w:t>
      </w:r>
      <w:r w:rsidR="00BB045C">
        <w:rPr>
          <w:rFonts w:ascii="Calibri" w:hAnsi="Calibri"/>
        </w:rPr>
        <w:t xml:space="preserve">have buy-in from shareholders and </w:t>
      </w:r>
      <w:r>
        <w:rPr>
          <w:rFonts w:ascii="Calibri" w:hAnsi="Calibri"/>
        </w:rPr>
        <w:t xml:space="preserve">key stakeholders, </w:t>
      </w:r>
      <w:r w:rsidR="005A53AA" w:rsidRPr="00796415">
        <w:rPr>
          <w:rFonts w:ascii="Calibri" w:hAnsi="Calibri"/>
        </w:rPr>
        <w:t xml:space="preserve">and </w:t>
      </w:r>
      <w:r w:rsidR="00C45FBF">
        <w:rPr>
          <w:rFonts w:ascii="Calibri" w:hAnsi="Calibri"/>
        </w:rPr>
        <w:t xml:space="preserve">clear </w:t>
      </w:r>
      <w:r w:rsidR="005A53AA" w:rsidRPr="00796415">
        <w:rPr>
          <w:rFonts w:ascii="Calibri" w:hAnsi="Calibri"/>
        </w:rPr>
        <w:t xml:space="preserve">decision-making </w:t>
      </w:r>
      <w:r w:rsidR="000D7A04">
        <w:rPr>
          <w:rFonts w:ascii="Calibri" w:hAnsi="Calibri"/>
        </w:rPr>
        <w:t>processes</w:t>
      </w:r>
      <w:r w:rsidR="005A53AA" w:rsidRPr="00796415">
        <w:rPr>
          <w:rFonts w:ascii="Calibri" w:hAnsi="Calibri"/>
        </w:rPr>
        <w:t>.</w:t>
      </w:r>
      <w:r w:rsidR="00103C79">
        <w:rPr>
          <w:rFonts w:ascii="Calibri" w:hAnsi="Calibri"/>
        </w:rPr>
        <w:t xml:space="preserve"> </w:t>
      </w:r>
      <w:r w:rsidR="000D7A04">
        <w:rPr>
          <w:rFonts w:ascii="Calibri" w:hAnsi="Calibri"/>
        </w:rPr>
        <w:t xml:space="preserve">Sub-strategies for each of the four focus areas will be developed during the first six months of phase 2. These will provide the basis for developing annual workplans, which </w:t>
      </w:r>
      <w:r w:rsidR="005A53AA" w:rsidRPr="00796415">
        <w:rPr>
          <w:rFonts w:ascii="Calibri" w:hAnsi="Calibri" w:cs="Meta Normal"/>
        </w:rPr>
        <w:t xml:space="preserve">will include pre-defined activities as well as activities that are partially elaborated. Where activities are only partially elaborated, the emphasis will be on </w:t>
      </w:r>
      <w:r w:rsidR="00D2771D">
        <w:rPr>
          <w:rFonts w:ascii="Calibri" w:hAnsi="Calibri" w:cs="Meta Normal"/>
        </w:rPr>
        <w:t xml:space="preserve">utilising clear decision-making processes </w:t>
      </w:r>
      <w:r w:rsidR="00D2771D" w:rsidRPr="00EF2139">
        <w:rPr>
          <w:rFonts w:asciiTheme="minorHAnsi" w:hAnsiTheme="minorHAnsi" w:cstheme="minorHAnsi"/>
        </w:rPr>
        <w:t xml:space="preserve">that have been </w:t>
      </w:r>
      <w:r w:rsidR="00E86572" w:rsidRPr="00EF2139">
        <w:rPr>
          <w:rFonts w:asciiTheme="minorHAnsi" w:hAnsiTheme="minorHAnsi" w:cstheme="minorHAnsi"/>
        </w:rPr>
        <w:t xml:space="preserve">developed collaboratively with and </w:t>
      </w:r>
      <w:r w:rsidR="00D2771D" w:rsidRPr="00EF2139">
        <w:rPr>
          <w:rFonts w:asciiTheme="minorHAnsi" w:hAnsiTheme="minorHAnsi" w:cstheme="minorHAnsi"/>
        </w:rPr>
        <w:t>agreed to by program shareholders</w:t>
      </w:r>
      <w:r w:rsidR="00E86572" w:rsidRPr="00EF2139">
        <w:rPr>
          <w:rFonts w:asciiTheme="minorHAnsi" w:hAnsiTheme="minorHAnsi" w:cstheme="minorHAnsi"/>
        </w:rPr>
        <w:t xml:space="preserve"> and relevant stakeholders</w:t>
      </w:r>
      <w:r w:rsidR="00D2771D" w:rsidRPr="00EF2139">
        <w:rPr>
          <w:rFonts w:asciiTheme="minorHAnsi" w:hAnsiTheme="minorHAnsi" w:cstheme="minorHAnsi"/>
        </w:rPr>
        <w:t xml:space="preserve">. </w:t>
      </w:r>
      <w:r w:rsidR="00E86572" w:rsidRPr="00EF2139">
        <w:rPr>
          <w:rFonts w:asciiTheme="minorHAnsi" w:hAnsiTheme="minorHAnsi" w:cstheme="minorHAnsi"/>
        </w:rPr>
        <w:t>As such, during the transition phase,</w:t>
      </w:r>
      <w:r w:rsidR="00E86572">
        <w:rPr>
          <w:rFonts w:ascii="Calibri" w:hAnsi="Calibri" w:cs="Meta Normal"/>
        </w:rPr>
        <w:t xml:space="preserve"> </w:t>
      </w:r>
      <w:r w:rsidR="00E86572">
        <w:rPr>
          <w:rFonts w:ascii="Calibri" w:hAnsi="Calibri"/>
        </w:rPr>
        <w:t>d</w:t>
      </w:r>
      <w:r w:rsidR="00D2771D">
        <w:rPr>
          <w:rFonts w:ascii="Calibri" w:hAnsi="Calibri"/>
        </w:rPr>
        <w:t>ecision-making criteria</w:t>
      </w:r>
      <w:r w:rsidR="000D7A04">
        <w:rPr>
          <w:rFonts w:ascii="Calibri" w:hAnsi="Calibri"/>
        </w:rPr>
        <w:t>, key decision points and appropriate decision-makers</w:t>
      </w:r>
      <w:r w:rsidR="00D2771D">
        <w:rPr>
          <w:rFonts w:ascii="Calibri" w:hAnsi="Calibri"/>
        </w:rPr>
        <w:t xml:space="preserve"> will be developed </w:t>
      </w:r>
      <w:r w:rsidR="00D2771D" w:rsidRPr="00796415">
        <w:rPr>
          <w:rFonts w:ascii="Calibri" w:hAnsi="Calibri" w:cs="Meta Normal"/>
        </w:rPr>
        <w:t>in consultation with program shareholders and stakeholders</w:t>
      </w:r>
      <w:r w:rsidR="00D2771D">
        <w:rPr>
          <w:rFonts w:ascii="Calibri" w:hAnsi="Calibri"/>
        </w:rPr>
        <w:t xml:space="preserve"> on the basis of </w:t>
      </w:r>
      <w:r w:rsidR="005A53AA" w:rsidRPr="00796415">
        <w:rPr>
          <w:rFonts w:ascii="Calibri" w:hAnsi="Calibri"/>
        </w:rPr>
        <w:t xml:space="preserve">the guiding principles </w:t>
      </w:r>
      <w:r w:rsidR="00D2771D">
        <w:rPr>
          <w:rFonts w:ascii="Calibri" w:hAnsi="Calibri"/>
        </w:rPr>
        <w:t xml:space="preserve">presented above. </w:t>
      </w:r>
      <w:r w:rsidR="005A53AA" w:rsidRPr="00796415">
        <w:rPr>
          <w:rFonts w:ascii="Calibri" w:hAnsi="Calibri" w:cs="Meta Normal"/>
        </w:rPr>
        <w:t>These will be reviewed by the P</w:t>
      </w:r>
      <w:r w:rsidR="00D2771D">
        <w:rPr>
          <w:rFonts w:ascii="Calibri" w:hAnsi="Calibri" w:cs="Meta Normal"/>
        </w:rPr>
        <w:t xml:space="preserve">rogram </w:t>
      </w:r>
      <w:r w:rsidR="005A53AA" w:rsidRPr="00796415">
        <w:rPr>
          <w:rFonts w:ascii="Calibri" w:hAnsi="Calibri" w:cs="Meta Normal"/>
        </w:rPr>
        <w:t>T</w:t>
      </w:r>
      <w:r w:rsidR="00D2771D">
        <w:rPr>
          <w:rFonts w:ascii="Calibri" w:hAnsi="Calibri" w:cs="Meta Normal"/>
        </w:rPr>
        <w:t xml:space="preserve">echnical </w:t>
      </w:r>
      <w:r w:rsidR="005A53AA" w:rsidRPr="00796415">
        <w:rPr>
          <w:rFonts w:ascii="Calibri" w:hAnsi="Calibri" w:cs="Meta Normal"/>
        </w:rPr>
        <w:t>S</w:t>
      </w:r>
      <w:r w:rsidR="00D2771D">
        <w:rPr>
          <w:rFonts w:ascii="Calibri" w:hAnsi="Calibri" w:cs="Meta Normal"/>
        </w:rPr>
        <w:t>ecretariat</w:t>
      </w:r>
      <w:r w:rsidR="005A53AA" w:rsidRPr="00796415">
        <w:rPr>
          <w:rFonts w:ascii="Calibri" w:hAnsi="Calibri" w:cs="Meta Normal"/>
        </w:rPr>
        <w:t xml:space="preserve"> and endorsed by the P</w:t>
      </w:r>
      <w:r w:rsidR="00D2771D">
        <w:rPr>
          <w:rFonts w:ascii="Calibri" w:hAnsi="Calibri" w:cs="Meta Normal"/>
        </w:rPr>
        <w:t xml:space="preserve">rogram </w:t>
      </w:r>
      <w:r w:rsidR="005A53AA" w:rsidRPr="00796415">
        <w:rPr>
          <w:rFonts w:ascii="Calibri" w:hAnsi="Calibri" w:cs="Meta Normal"/>
        </w:rPr>
        <w:t>S</w:t>
      </w:r>
      <w:r w:rsidR="00D2771D">
        <w:rPr>
          <w:rFonts w:ascii="Calibri" w:hAnsi="Calibri" w:cs="Meta Normal"/>
        </w:rPr>
        <w:t xml:space="preserve">teering </w:t>
      </w:r>
      <w:r w:rsidR="005A53AA" w:rsidRPr="00796415">
        <w:rPr>
          <w:rFonts w:ascii="Calibri" w:hAnsi="Calibri" w:cs="Meta Normal"/>
        </w:rPr>
        <w:t>C</w:t>
      </w:r>
      <w:r w:rsidR="00D2771D">
        <w:rPr>
          <w:rFonts w:ascii="Calibri" w:hAnsi="Calibri" w:cs="Meta Normal"/>
        </w:rPr>
        <w:t>ommittee</w:t>
      </w:r>
      <w:r w:rsidR="005A53AA" w:rsidRPr="00796415">
        <w:rPr>
          <w:rFonts w:ascii="Calibri" w:hAnsi="Calibri" w:cs="Meta Normal"/>
        </w:rPr>
        <w:t xml:space="preserve">. </w:t>
      </w:r>
    </w:p>
    <w:p w:rsidR="00996309" w:rsidRDefault="00996309" w:rsidP="00BD1DA6">
      <w:pPr>
        <w:pStyle w:val="BodyText"/>
        <w:spacing w:after="0"/>
        <w:jc w:val="both"/>
        <w:rPr>
          <w:rFonts w:ascii="Calibri" w:hAnsi="Calibri"/>
        </w:rPr>
      </w:pPr>
    </w:p>
    <w:p w:rsidR="005A53AA" w:rsidRPr="00796415" w:rsidRDefault="005A53AA" w:rsidP="00BD1DA6">
      <w:pPr>
        <w:pStyle w:val="BodyText"/>
        <w:spacing w:after="0"/>
        <w:jc w:val="both"/>
        <w:rPr>
          <w:rFonts w:ascii="Calibri" w:hAnsi="Calibri" w:cs="Meta Normal"/>
        </w:rPr>
      </w:pPr>
      <w:r w:rsidRPr="00796415">
        <w:rPr>
          <w:rFonts w:ascii="Calibri" w:hAnsi="Calibri"/>
        </w:rPr>
        <w:lastRenderedPageBreak/>
        <w:t xml:space="preserve">Successfully applying </w:t>
      </w:r>
      <w:r w:rsidR="000D7A04">
        <w:rPr>
          <w:rFonts w:ascii="Calibri" w:hAnsi="Calibri"/>
        </w:rPr>
        <w:t xml:space="preserve">this </w:t>
      </w:r>
      <w:r w:rsidRPr="00796415">
        <w:rPr>
          <w:rFonts w:ascii="Calibri" w:hAnsi="Calibri"/>
        </w:rPr>
        <w:t xml:space="preserve">approach will require refining, adapting, and better coordinating existing project management processes for planning, risk management, and resource allocation, and incorporating new systems for monitoring, evaluating learning, and adapting. It will also require </w:t>
      </w:r>
      <w:r w:rsidRPr="00796415">
        <w:rPr>
          <w:rFonts w:ascii="Calibri" w:hAnsi="Calibri"/>
          <w:color w:val="000000"/>
        </w:rPr>
        <w:t xml:space="preserve">regular and open </w:t>
      </w:r>
      <w:r w:rsidRPr="00796415">
        <w:rPr>
          <w:rFonts w:ascii="Calibri" w:hAnsi="Calibri"/>
        </w:rPr>
        <w:t xml:space="preserve">communication with stakeholders. </w:t>
      </w:r>
    </w:p>
    <w:p w:rsidR="00996309" w:rsidRDefault="00996309" w:rsidP="00BD1DA6">
      <w:pPr>
        <w:pStyle w:val="Heading2"/>
        <w:spacing w:before="0" w:after="0"/>
      </w:pPr>
    </w:p>
    <w:p w:rsidR="005A53AA" w:rsidRPr="00431012" w:rsidRDefault="005A53AA" w:rsidP="00BD1DA6">
      <w:pPr>
        <w:pStyle w:val="Heading2"/>
        <w:spacing w:before="0" w:after="0"/>
      </w:pPr>
      <w:bookmarkStart w:id="24" w:name="_Toc492915018"/>
      <w:r w:rsidRPr="00431012">
        <w:t>4.3</w:t>
      </w:r>
      <w:r w:rsidRPr="00431012">
        <w:tab/>
        <w:t>Participatory planning and decision-making</w:t>
      </w:r>
      <w:bookmarkEnd w:id="24"/>
    </w:p>
    <w:p w:rsidR="00996309" w:rsidRDefault="00996309" w:rsidP="00BD1DA6">
      <w:pPr>
        <w:pStyle w:val="BodyText"/>
        <w:spacing w:after="0"/>
        <w:jc w:val="both"/>
        <w:rPr>
          <w:rFonts w:ascii="Calibri" w:hAnsi="Calibri"/>
        </w:rPr>
      </w:pPr>
    </w:p>
    <w:p w:rsidR="005A53AA" w:rsidRPr="00796415" w:rsidRDefault="005A53AA" w:rsidP="00BD1DA6">
      <w:pPr>
        <w:pStyle w:val="BodyText"/>
        <w:spacing w:after="0"/>
        <w:jc w:val="both"/>
        <w:rPr>
          <w:rFonts w:ascii="Calibri" w:hAnsi="Calibri"/>
        </w:rPr>
      </w:pPr>
      <w:r w:rsidRPr="00796415">
        <w:rPr>
          <w:rFonts w:ascii="Calibri" w:hAnsi="Calibri"/>
        </w:rPr>
        <w:t xml:space="preserve">Stakeholder ownership of the program’s strategies, activities and outcomes is essential to KSI’s potential for success. Program planning will be based on a comprehensive process of consultation with relevant shareholders, </w:t>
      </w:r>
      <w:r w:rsidR="00C966D1">
        <w:rPr>
          <w:rFonts w:ascii="Calibri" w:hAnsi="Calibri"/>
        </w:rPr>
        <w:t xml:space="preserve">led by DFAT and Bappenas as co-chairs of the </w:t>
      </w:r>
      <w:r w:rsidR="00420BCC" w:rsidRPr="00796415">
        <w:rPr>
          <w:rFonts w:ascii="Calibri" w:hAnsi="Calibri" w:cs="Meta Normal"/>
        </w:rPr>
        <w:t>P</w:t>
      </w:r>
      <w:r w:rsidR="00420BCC">
        <w:rPr>
          <w:rFonts w:ascii="Calibri" w:hAnsi="Calibri" w:cs="Meta Normal"/>
        </w:rPr>
        <w:t xml:space="preserve">rogram </w:t>
      </w:r>
      <w:r w:rsidR="00420BCC" w:rsidRPr="00796415">
        <w:rPr>
          <w:rFonts w:ascii="Calibri" w:hAnsi="Calibri" w:cs="Meta Normal"/>
        </w:rPr>
        <w:t>T</w:t>
      </w:r>
      <w:r w:rsidR="00420BCC">
        <w:rPr>
          <w:rFonts w:ascii="Calibri" w:hAnsi="Calibri" w:cs="Meta Normal"/>
        </w:rPr>
        <w:t xml:space="preserve">echnical </w:t>
      </w:r>
      <w:r w:rsidR="00420BCC" w:rsidRPr="00796415">
        <w:rPr>
          <w:rFonts w:ascii="Calibri" w:hAnsi="Calibri" w:cs="Meta Normal"/>
        </w:rPr>
        <w:t>S</w:t>
      </w:r>
      <w:r w:rsidR="00420BCC">
        <w:rPr>
          <w:rFonts w:ascii="Calibri" w:hAnsi="Calibri" w:cs="Meta Normal"/>
        </w:rPr>
        <w:t>ecretariat</w:t>
      </w:r>
      <w:r w:rsidR="00420BCC" w:rsidRPr="00796415">
        <w:rPr>
          <w:rFonts w:ascii="Calibri" w:hAnsi="Calibri" w:cs="Meta Normal"/>
        </w:rPr>
        <w:t xml:space="preserve"> </w:t>
      </w:r>
      <w:r w:rsidR="00420BCC">
        <w:rPr>
          <w:rFonts w:ascii="Calibri" w:hAnsi="Calibri" w:cs="Meta Normal"/>
        </w:rPr>
        <w:t xml:space="preserve">and </w:t>
      </w:r>
      <w:r w:rsidR="00C966D1">
        <w:rPr>
          <w:rFonts w:ascii="Calibri" w:hAnsi="Calibri"/>
        </w:rPr>
        <w:t xml:space="preserve">Program Steering Committee, </w:t>
      </w:r>
      <w:r w:rsidRPr="00796415">
        <w:rPr>
          <w:rFonts w:ascii="Calibri" w:hAnsi="Calibri"/>
        </w:rPr>
        <w:t xml:space="preserve">with activities and streams of work </w:t>
      </w:r>
      <w:r w:rsidR="00C966D1">
        <w:rPr>
          <w:rFonts w:ascii="Calibri" w:hAnsi="Calibri"/>
        </w:rPr>
        <w:t>adapted from</w:t>
      </w:r>
      <w:r w:rsidRPr="00796415">
        <w:rPr>
          <w:rFonts w:ascii="Calibri" w:hAnsi="Calibri"/>
        </w:rPr>
        <w:t xml:space="preserve"> the agendas emerging from working groups and networks, and supported by a participatory reflection and review process. </w:t>
      </w:r>
    </w:p>
    <w:p w:rsidR="00996309" w:rsidRDefault="00996309" w:rsidP="00BD1DA6">
      <w:pPr>
        <w:pStyle w:val="BodyText"/>
        <w:spacing w:after="0"/>
        <w:jc w:val="both"/>
        <w:rPr>
          <w:rFonts w:ascii="Calibri" w:hAnsi="Calibri"/>
        </w:rPr>
      </w:pPr>
    </w:p>
    <w:p w:rsidR="005A53AA" w:rsidRPr="00796415" w:rsidRDefault="005A53AA" w:rsidP="00BD1DA6">
      <w:pPr>
        <w:pStyle w:val="BodyText"/>
        <w:spacing w:after="0"/>
        <w:jc w:val="both"/>
        <w:rPr>
          <w:rFonts w:ascii="Calibri" w:hAnsi="Calibri"/>
        </w:rPr>
      </w:pPr>
      <w:r w:rsidRPr="00796415">
        <w:rPr>
          <w:rFonts w:ascii="Calibri" w:hAnsi="Calibri"/>
        </w:rPr>
        <w:t xml:space="preserve">The outcomes of this planning process will </w:t>
      </w:r>
      <w:r w:rsidR="00C966D1">
        <w:rPr>
          <w:rFonts w:ascii="Calibri" w:hAnsi="Calibri"/>
        </w:rPr>
        <w:t xml:space="preserve">be adapted into </w:t>
      </w:r>
      <w:r w:rsidRPr="00796415">
        <w:rPr>
          <w:rFonts w:ascii="Calibri" w:hAnsi="Calibri"/>
        </w:rPr>
        <w:t xml:space="preserve">annual work plans, which will outline proposed activities for the coming 12-month period, aligned with the </w:t>
      </w:r>
      <w:r w:rsidR="00796415">
        <w:rPr>
          <w:rFonts w:ascii="Calibri" w:hAnsi="Calibri"/>
        </w:rPr>
        <w:t xml:space="preserve">national government’s </w:t>
      </w:r>
      <w:r w:rsidRPr="00796415">
        <w:rPr>
          <w:rFonts w:ascii="Calibri" w:hAnsi="Calibri"/>
        </w:rPr>
        <w:t>annual planning and budgeting cycle (January–December). An annual work plan will be submitted to DFAT in mid-October of each year, with the final work plan submitted to the </w:t>
      </w:r>
      <w:r w:rsidR="00420BCC">
        <w:rPr>
          <w:rFonts w:ascii="Calibri" w:hAnsi="Calibri"/>
        </w:rPr>
        <w:t>Program Steering Committee</w:t>
      </w:r>
      <w:r w:rsidRPr="00796415">
        <w:rPr>
          <w:rFonts w:ascii="Calibri" w:hAnsi="Calibri"/>
        </w:rPr>
        <w:t xml:space="preserve"> for approval in December. </w:t>
      </w:r>
      <w:r w:rsidR="00C966D1">
        <w:rPr>
          <w:rFonts w:ascii="Calibri" w:hAnsi="Calibri"/>
        </w:rPr>
        <w:t>The</w:t>
      </w:r>
      <w:r w:rsidRPr="00796415">
        <w:rPr>
          <w:rFonts w:ascii="Calibri" w:hAnsi="Calibri"/>
        </w:rPr>
        <w:t xml:space="preserve"> flexible and responsive nature of the program means that adjustments to the work plan </w:t>
      </w:r>
      <w:r w:rsidR="00C966D1">
        <w:rPr>
          <w:rFonts w:ascii="Calibri" w:hAnsi="Calibri"/>
        </w:rPr>
        <w:t>will</w:t>
      </w:r>
      <w:r w:rsidRPr="00796415">
        <w:rPr>
          <w:rFonts w:ascii="Calibri" w:hAnsi="Calibri"/>
        </w:rPr>
        <w:t xml:space="preserve"> need to be made during implementation. These adjustments will be communicated to the </w:t>
      </w:r>
      <w:r w:rsidR="00420BCC" w:rsidRPr="00796415">
        <w:rPr>
          <w:rFonts w:ascii="Calibri" w:hAnsi="Calibri" w:cs="Meta Normal"/>
        </w:rPr>
        <w:t>P</w:t>
      </w:r>
      <w:r w:rsidR="00420BCC">
        <w:rPr>
          <w:rFonts w:ascii="Calibri" w:hAnsi="Calibri" w:cs="Meta Normal"/>
        </w:rPr>
        <w:t xml:space="preserve">rogram </w:t>
      </w:r>
      <w:r w:rsidR="00420BCC" w:rsidRPr="00796415">
        <w:rPr>
          <w:rFonts w:ascii="Calibri" w:hAnsi="Calibri" w:cs="Meta Normal"/>
        </w:rPr>
        <w:t>T</w:t>
      </w:r>
      <w:r w:rsidR="00420BCC">
        <w:rPr>
          <w:rFonts w:ascii="Calibri" w:hAnsi="Calibri" w:cs="Meta Normal"/>
        </w:rPr>
        <w:t xml:space="preserve">echnical </w:t>
      </w:r>
      <w:r w:rsidR="00420BCC" w:rsidRPr="00796415">
        <w:rPr>
          <w:rFonts w:ascii="Calibri" w:hAnsi="Calibri" w:cs="Meta Normal"/>
        </w:rPr>
        <w:t>S</w:t>
      </w:r>
      <w:r w:rsidR="00420BCC">
        <w:rPr>
          <w:rFonts w:ascii="Calibri" w:hAnsi="Calibri" w:cs="Meta Normal"/>
        </w:rPr>
        <w:t>ecretariat</w:t>
      </w:r>
      <w:r w:rsidR="00420BCC" w:rsidRPr="00796415">
        <w:rPr>
          <w:rFonts w:ascii="Calibri" w:hAnsi="Calibri" w:cs="Meta Normal"/>
        </w:rPr>
        <w:t xml:space="preserve"> </w:t>
      </w:r>
      <w:r w:rsidR="00420BCC">
        <w:rPr>
          <w:rFonts w:ascii="Calibri" w:hAnsi="Calibri" w:cs="Meta Normal"/>
        </w:rPr>
        <w:t xml:space="preserve">and </w:t>
      </w:r>
      <w:r w:rsidR="00420BCC">
        <w:rPr>
          <w:rFonts w:ascii="Calibri" w:hAnsi="Calibri"/>
        </w:rPr>
        <w:t>Program Steering Committee</w:t>
      </w:r>
      <w:r w:rsidR="00986A31">
        <w:rPr>
          <w:rFonts w:ascii="Calibri" w:hAnsi="Calibri"/>
        </w:rPr>
        <w:t>.</w:t>
      </w:r>
      <w:r w:rsidRPr="00796415">
        <w:rPr>
          <w:rFonts w:ascii="Calibri" w:hAnsi="Calibri"/>
        </w:rPr>
        <w:t xml:space="preserve"> </w:t>
      </w:r>
      <w:r w:rsidR="00986A31">
        <w:rPr>
          <w:rFonts w:ascii="Calibri" w:hAnsi="Calibri"/>
        </w:rPr>
        <w:t>T</w:t>
      </w:r>
      <w:r w:rsidR="00C966D1">
        <w:rPr>
          <w:rFonts w:ascii="Calibri" w:hAnsi="Calibri"/>
        </w:rPr>
        <w:t xml:space="preserve">he extent to which they require adjustments to the annual workplan will depend on their size and </w:t>
      </w:r>
      <w:r w:rsidR="001D1736">
        <w:rPr>
          <w:rFonts w:ascii="Calibri" w:hAnsi="Calibri"/>
        </w:rPr>
        <w:t>budget/resource needs</w:t>
      </w:r>
      <w:r w:rsidR="00C966D1">
        <w:rPr>
          <w:rFonts w:ascii="Calibri" w:hAnsi="Calibri"/>
        </w:rPr>
        <w:t xml:space="preserve">. </w:t>
      </w:r>
    </w:p>
    <w:p w:rsidR="00996309" w:rsidRDefault="00996309" w:rsidP="00BD1DA6">
      <w:pPr>
        <w:pStyle w:val="Heading2"/>
        <w:spacing w:before="0" w:after="0"/>
      </w:pPr>
    </w:p>
    <w:p w:rsidR="005A53AA" w:rsidRPr="00431012" w:rsidRDefault="001C4FF1" w:rsidP="00BD1DA6">
      <w:pPr>
        <w:pStyle w:val="Heading2"/>
        <w:spacing w:before="0" w:after="0"/>
      </w:pPr>
      <w:bookmarkStart w:id="25" w:name="_Toc492915019"/>
      <w:r>
        <w:t>4.4</w:t>
      </w:r>
      <w:r w:rsidR="00DE6929">
        <w:tab/>
      </w:r>
      <w:r w:rsidR="005A53AA" w:rsidRPr="00431012">
        <w:t>Team structure and skills</w:t>
      </w:r>
      <w:bookmarkEnd w:id="25"/>
      <w:r w:rsidR="00420BCC">
        <w:t xml:space="preserve"> </w:t>
      </w:r>
    </w:p>
    <w:p w:rsidR="00996309" w:rsidRDefault="00996309" w:rsidP="00BD1DA6">
      <w:pPr>
        <w:jc w:val="both"/>
      </w:pPr>
    </w:p>
    <w:p w:rsidR="005A53AA" w:rsidRPr="00FC01EE" w:rsidRDefault="005A53AA" w:rsidP="00BD1DA6">
      <w:pPr>
        <w:jc w:val="both"/>
      </w:pPr>
      <w:r w:rsidRPr="00FC01EE">
        <w:t xml:space="preserve">The team structure for </w:t>
      </w:r>
      <w:r w:rsidR="00431012">
        <w:t>phase</w:t>
      </w:r>
      <w:r w:rsidRPr="00FC01EE">
        <w:t xml:space="preserve"> 2 incorporates a number of lessons from </w:t>
      </w:r>
      <w:r w:rsidR="00431012">
        <w:t>phase</w:t>
      </w:r>
      <w:r w:rsidRPr="00FC01EE">
        <w:t xml:space="preserve"> 1</w:t>
      </w:r>
      <w:r w:rsidR="00F77482">
        <w:t>, particularly</w:t>
      </w:r>
      <w:r w:rsidRPr="00FC01EE">
        <w:t xml:space="preserve"> </w:t>
      </w:r>
      <w:r w:rsidR="00F77482">
        <w:t xml:space="preserve">the need to work </w:t>
      </w:r>
      <w:r w:rsidR="004B6A3A" w:rsidRPr="00FC01EE">
        <w:t xml:space="preserve">smarter </w:t>
      </w:r>
      <w:r w:rsidR="004B6A3A">
        <w:t xml:space="preserve">and more </w:t>
      </w:r>
      <w:r w:rsidRPr="00FC01EE">
        <w:t>flexib</w:t>
      </w:r>
      <w:r w:rsidR="00F77482">
        <w:t>l</w:t>
      </w:r>
      <w:r w:rsidRPr="00FC01EE">
        <w:t>y</w:t>
      </w:r>
      <w:r w:rsidR="00E87B52">
        <w:t xml:space="preserve">, and </w:t>
      </w:r>
      <w:r w:rsidR="00986A31">
        <w:t xml:space="preserve">to </w:t>
      </w:r>
      <w:r w:rsidRPr="00FC01EE">
        <w:t xml:space="preserve">strengthen </w:t>
      </w:r>
      <w:r w:rsidR="00E87B52">
        <w:t>the application of lessons across the program</w:t>
      </w:r>
      <w:r w:rsidRPr="00FC01EE">
        <w:t xml:space="preserve">. The new program structure </w:t>
      </w:r>
      <w:r w:rsidR="00E87B52">
        <w:t xml:space="preserve">also </w:t>
      </w:r>
      <w:r w:rsidRPr="00FC01EE">
        <w:t xml:space="preserve">recognises that applying a problem-based, politically smart approach requires different sets of skills and knowledge than more traditional ‘project’ approaches. The team will </w:t>
      </w:r>
      <w:r w:rsidR="00E87B52">
        <w:t xml:space="preserve">therefore </w:t>
      </w:r>
      <w:r w:rsidRPr="00FC01EE">
        <w:t xml:space="preserve">require </w:t>
      </w:r>
      <w:r w:rsidR="001D1736">
        <w:t xml:space="preserve">a balance of </w:t>
      </w:r>
      <w:r w:rsidRPr="00FC01EE">
        <w:t xml:space="preserve">strong interpersonal and leadership skills, including facilitation, influencing and negotiation skills, strategic thinking and strong communications. </w:t>
      </w:r>
      <w:r w:rsidR="00E87B52">
        <w:t>The</w:t>
      </w:r>
      <w:r w:rsidR="00431012">
        <w:t xml:space="preserve"> team </w:t>
      </w:r>
      <w:r w:rsidR="00E87B52">
        <w:t xml:space="preserve">will also be leaner, </w:t>
      </w:r>
      <w:r w:rsidR="00431012">
        <w:t>reduc</w:t>
      </w:r>
      <w:r w:rsidR="00E87B52">
        <w:t>ing</w:t>
      </w:r>
      <w:r w:rsidR="00431012">
        <w:t xml:space="preserve"> from 45</w:t>
      </w:r>
      <w:r w:rsidRPr="00FC01EE">
        <w:t xml:space="preserve"> </w:t>
      </w:r>
      <w:r w:rsidR="00E87B52">
        <w:t xml:space="preserve">staff </w:t>
      </w:r>
      <w:r w:rsidRPr="00FC01EE">
        <w:t xml:space="preserve">to around 28 </w:t>
      </w:r>
      <w:r w:rsidR="00E87B52">
        <w:t xml:space="preserve">staff </w:t>
      </w:r>
      <w:r w:rsidRPr="00FC01EE">
        <w:t xml:space="preserve">at the </w:t>
      </w:r>
      <w:r w:rsidR="00E87B52">
        <w:t>beginning</w:t>
      </w:r>
      <w:r w:rsidR="00E87B52" w:rsidRPr="00FC01EE">
        <w:t xml:space="preserve"> </w:t>
      </w:r>
      <w:r w:rsidRPr="00FC01EE">
        <w:t xml:space="preserve">of </w:t>
      </w:r>
      <w:r w:rsidR="00431012">
        <w:t>phase</w:t>
      </w:r>
      <w:r w:rsidRPr="00FC01EE">
        <w:t xml:space="preserve"> 2.</w:t>
      </w:r>
    </w:p>
    <w:p w:rsidR="005A53AA" w:rsidRPr="00FC01EE" w:rsidRDefault="005A53AA" w:rsidP="00BD1DA6">
      <w:pPr>
        <w:jc w:val="both"/>
      </w:pPr>
    </w:p>
    <w:p w:rsidR="005A53AA" w:rsidRDefault="005A53AA" w:rsidP="00BD1DA6">
      <w:pPr>
        <w:jc w:val="both"/>
      </w:pPr>
      <w:r w:rsidRPr="00FC01EE">
        <w:t xml:space="preserve">To </w:t>
      </w:r>
      <w:r w:rsidR="00F77482">
        <w:t xml:space="preserve">ensure that work </w:t>
      </w:r>
      <w:r w:rsidRPr="00FC01EE">
        <w:t>across the four focus areas</w:t>
      </w:r>
      <w:r w:rsidR="00F77482">
        <w:t xml:space="preserve"> is integrated</w:t>
      </w:r>
      <w:r w:rsidRPr="00FC01EE">
        <w:t xml:space="preserve">, the new KSI team will be structured </w:t>
      </w:r>
      <w:r w:rsidR="00F77482">
        <w:t xml:space="preserve">according to function rather than by focus area. Four teams will have responsibility for the following </w:t>
      </w:r>
      <w:r w:rsidRPr="00FC01EE">
        <w:t>functions:</w:t>
      </w:r>
    </w:p>
    <w:p w:rsidR="002008B9" w:rsidRPr="00FC01EE" w:rsidRDefault="002008B9" w:rsidP="00BD1DA6">
      <w:pPr>
        <w:jc w:val="both"/>
      </w:pPr>
    </w:p>
    <w:p w:rsidR="005A53AA" w:rsidRPr="002008B9" w:rsidRDefault="005A53AA" w:rsidP="00BD1DA6">
      <w:pPr>
        <w:jc w:val="both"/>
      </w:pPr>
      <w:r w:rsidRPr="002008B9">
        <w:rPr>
          <w:b/>
        </w:rPr>
        <w:t xml:space="preserve">Policy and innovation: </w:t>
      </w:r>
      <w:r w:rsidRPr="002008B9">
        <w:t xml:space="preserve">This team will be responsible for convening and brokering relationships between key actors to support collective identification of problems and solutions. It will include staff </w:t>
      </w:r>
      <w:r w:rsidR="009118B2" w:rsidRPr="002008B9">
        <w:t>skilled in</w:t>
      </w:r>
      <w:r w:rsidRPr="002008B9">
        <w:t xml:space="preserve"> build</w:t>
      </w:r>
      <w:r w:rsidR="009118B2" w:rsidRPr="002008B9">
        <w:t>ing</w:t>
      </w:r>
      <w:r w:rsidRPr="002008B9">
        <w:t xml:space="preserve"> strong networks and facilitat</w:t>
      </w:r>
      <w:r w:rsidR="00E87B52" w:rsidRPr="002008B9">
        <w:t>ing</w:t>
      </w:r>
      <w:r w:rsidRPr="002008B9">
        <w:t xml:space="preserve"> collaborative processes. </w:t>
      </w:r>
    </w:p>
    <w:p w:rsidR="002008B9" w:rsidRDefault="002008B9" w:rsidP="00BD1DA6">
      <w:pPr>
        <w:jc w:val="both"/>
        <w:rPr>
          <w:b/>
        </w:rPr>
      </w:pPr>
    </w:p>
    <w:p w:rsidR="005A53AA" w:rsidRPr="002008B9" w:rsidRDefault="005A53AA" w:rsidP="00BD1DA6">
      <w:pPr>
        <w:jc w:val="both"/>
      </w:pPr>
      <w:r w:rsidRPr="002008B9">
        <w:rPr>
          <w:b/>
        </w:rPr>
        <w:t xml:space="preserve">Partnership management: </w:t>
      </w:r>
      <w:r w:rsidRPr="002008B9">
        <w:t xml:space="preserve">This team will manage contracts and grants to partners. It will include staff experienced in contract management and with programmatic expertise to engage with partners </w:t>
      </w:r>
      <w:r w:rsidR="00986A31" w:rsidRPr="002008B9">
        <w:t xml:space="preserve">and ensure their activities are </w:t>
      </w:r>
      <w:r w:rsidRPr="002008B9">
        <w:t>link</w:t>
      </w:r>
      <w:r w:rsidR="00986A31" w:rsidRPr="002008B9">
        <w:t>ed</w:t>
      </w:r>
      <w:r w:rsidRPr="002008B9">
        <w:t xml:space="preserve"> to program outcomes.</w:t>
      </w:r>
    </w:p>
    <w:p w:rsidR="002008B9" w:rsidRDefault="002008B9" w:rsidP="00BD1DA6">
      <w:pPr>
        <w:jc w:val="both"/>
        <w:rPr>
          <w:b/>
        </w:rPr>
      </w:pPr>
    </w:p>
    <w:p w:rsidR="005A53AA" w:rsidRPr="002008B9" w:rsidRDefault="005A53AA" w:rsidP="00BD1DA6">
      <w:pPr>
        <w:jc w:val="both"/>
      </w:pPr>
      <w:r w:rsidRPr="002008B9">
        <w:rPr>
          <w:b/>
        </w:rPr>
        <w:t xml:space="preserve">Knowledge exchange and learning: </w:t>
      </w:r>
      <w:r w:rsidRPr="002008B9">
        <w:t>Th</w:t>
      </w:r>
      <w:r w:rsidR="00420BCC">
        <w:t>is</w:t>
      </w:r>
      <w:r w:rsidRPr="002008B9">
        <w:t xml:space="preserve"> team will </w:t>
      </w:r>
      <w:r w:rsidR="00E87B52" w:rsidRPr="002008B9">
        <w:t xml:space="preserve">support </w:t>
      </w:r>
      <w:r w:rsidRPr="002008B9">
        <w:t>external partners</w:t>
      </w:r>
      <w:r w:rsidR="00E87B52" w:rsidRPr="002008B9">
        <w:t xml:space="preserve"> to build their knowledge management capabilities</w:t>
      </w:r>
      <w:r w:rsidRPr="002008B9">
        <w:t>, conduct knowledge-sharing events</w:t>
      </w:r>
      <w:r w:rsidR="00E87B52" w:rsidRPr="002008B9">
        <w:t>,</w:t>
      </w:r>
      <w:r w:rsidR="009118B2" w:rsidRPr="002008B9">
        <w:t xml:space="preserve"> </w:t>
      </w:r>
      <w:r w:rsidR="00E87B52" w:rsidRPr="002008B9">
        <w:t xml:space="preserve">lead </w:t>
      </w:r>
      <w:r w:rsidR="009118B2" w:rsidRPr="002008B9">
        <w:t>collaboration with media,</w:t>
      </w:r>
      <w:r w:rsidRPr="002008B9">
        <w:t xml:space="preserve"> and </w:t>
      </w:r>
      <w:r w:rsidR="00E87B52" w:rsidRPr="002008B9">
        <w:t>manage</w:t>
      </w:r>
      <w:r w:rsidRPr="002008B9">
        <w:t xml:space="preserve"> communications </w:t>
      </w:r>
      <w:r w:rsidR="00E87B52" w:rsidRPr="002008B9">
        <w:t xml:space="preserve">with </w:t>
      </w:r>
      <w:r w:rsidRPr="002008B9">
        <w:t>program stakeholders.</w:t>
      </w:r>
    </w:p>
    <w:p w:rsidR="002008B9" w:rsidRDefault="002008B9" w:rsidP="00BD1DA6">
      <w:pPr>
        <w:jc w:val="both"/>
        <w:rPr>
          <w:rFonts w:asciiTheme="minorHAnsi" w:hAnsiTheme="minorHAnsi"/>
          <w:b/>
        </w:rPr>
      </w:pPr>
    </w:p>
    <w:p w:rsidR="001702AE" w:rsidRPr="00EF2139" w:rsidRDefault="009118B2" w:rsidP="00BD1DA6">
      <w:pPr>
        <w:jc w:val="both"/>
        <w:rPr>
          <w:rFonts w:asciiTheme="minorHAnsi" w:hAnsiTheme="minorHAnsi"/>
        </w:rPr>
      </w:pPr>
      <w:r w:rsidRPr="00EF2139">
        <w:rPr>
          <w:rFonts w:asciiTheme="minorHAnsi" w:hAnsiTheme="minorHAnsi"/>
          <w:b/>
        </w:rPr>
        <w:t>Performance, monitoring and evaluation</w:t>
      </w:r>
      <w:r w:rsidRPr="00EF2139">
        <w:rPr>
          <w:rFonts w:asciiTheme="minorHAnsi" w:hAnsiTheme="minorHAnsi"/>
        </w:rPr>
        <w:t>: Building from phase 1 experience, this team</w:t>
      </w:r>
      <w:r w:rsidR="00D70C26" w:rsidRPr="00EF2139">
        <w:rPr>
          <w:rFonts w:asciiTheme="minorHAnsi" w:hAnsiTheme="minorHAnsi"/>
        </w:rPr>
        <w:t xml:space="preserve"> will be</w:t>
      </w:r>
      <w:r w:rsidRPr="00EF2139">
        <w:rPr>
          <w:rFonts w:asciiTheme="minorHAnsi" w:hAnsiTheme="minorHAnsi"/>
        </w:rPr>
        <w:t xml:space="preserve"> much more integrated </w:t>
      </w:r>
      <w:r w:rsidR="00D70C26" w:rsidRPr="00EF2139">
        <w:rPr>
          <w:rFonts w:asciiTheme="minorHAnsi" w:hAnsiTheme="minorHAnsi"/>
        </w:rPr>
        <w:t>into daily implementation</w:t>
      </w:r>
      <w:r w:rsidR="00E87B52" w:rsidRPr="00EF2139">
        <w:rPr>
          <w:rFonts w:asciiTheme="minorHAnsi" w:hAnsiTheme="minorHAnsi"/>
        </w:rPr>
        <w:t>, with</w:t>
      </w:r>
      <w:r w:rsidR="002C4772" w:rsidRPr="00EF2139">
        <w:rPr>
          <w:rFonts w:asciiTheme="minorHAnsi" w:hAnsiTheme="minorHAnsi"/>
        </w:rPr>
        <w:t xml:space="preserve"> responsib</w:t>
      </w:r>
      <w:r w:rsidR="00E87B52" w:rsidRPr="00EF2139">
        <w:rPr>
          <w:rFonts w:asciiTheme="minorHAnsi" w:hAnsiTheme="minorHAnsi"/>
        </w:rPr>
        <w:t>ility</w:t>
      </w:r>
      <w:r w:rsidR="002C4772" w:rsidRPr="00EF2139">
        <w:rPr>
          <w:rFonts w:asciiTheme="minorHAnsi" w:hAnsiTheme="minorHAnsi"/>
        </w:rPr>
        <w:t xml:space="preserve"> for coordinating workplan development, </w:t>
      </w:r>
      <w:r w:rsidRPr="00EF2139">
        <w:rPr>
          <w:rFonts w:asciiTheme="minorHAnsi" w:hAnsiTheme="minorHAnsi"/>
        </w:rPr>
        <w:t>monitor</w:t>
      </w:r>
      <w:r w:rsidR="002C4772" w:rsidRPr="00EF2139">
        <w:rPr>
          <w:rFonts w:asciiTheme="minorHAnsi" w:hAnsiTheme="minorHAnsi"/>
        </w:rPr>
        <w:t>ing</w:t>
      </w:r>
      <w:r w:rsidRPr="00EF2139">
        <w:rPr>
          <w:rFonts w:asciiTheme="minorHAnsi" w:hAnsiTheme="minorHAnsi"/>
        </w:rPr>
        <w:t xml:space="preserve"> progress, conducting learning and evaluation activities and </w:t>
      </w:r>
      <w:r w:rsidR="002C4772" w:rsidRPr="00EF2139">
        <w:rPr>
          <w:rFonts w:asciiTheme="minorHAnsi" w:hAnsiTheme="minorHAnsi"/>
        </w:rPr>
        <w:t>provid</w:t>
      </w:r>
      <w:r w:rsidR="00D70C26" w:rsidRPr="00EF2139">
        <w:rPr>
          <w:rFonts w:asciiTheme="minorHAnsi" w:hAnsiTheme="minorHAnsi"/>
        </w:rPr>
        <w:t>ing</w:t>
      </w:r>
      <w:r w:rsidR="002C4772" w:rsidRPr="00EF2139">
        <w:rPr>
          <w:rFonts w:asciiTheme="minorHAnsi" w:hAnsiTheme="minorHAnsi"/>
        </w:rPr>
        <w:t xml:space="preserve"> input</w:t>
      </w:r>
      <w:r w:rsidR="00E87B52" w:rsidRPr="00EF2139">
        <w:rPr>
          <w:rFonts w:asciiTheme="minorHAnsi" w:hAnsiTheme="minorHAnsi"/>
        </w:rPr>
        <w:t xml:space="preserve"> </w:t>
      </w:r>
      <w:r w:rsidR="00986A31" w:rsidRPr="00EF2139">
        <w:rPr>
          <w:rFonts w:asciiTheme="minorHAnsi" w:hAnsiTheme="minorHAnsi"/>
        </w:rPr>
        <w:t xml:space="preserve">to program teams </w:t>
      </w:r>
      <w:r w:rsidR="00E87B52" w:rsidRPr="00EF2139">
        <w:rPr>
          <w:rFonts w:asciiTheme="minorHAnsi" w:hAnsiTheme="minorHAnsi"/>
        </w:rPr>
        <w:t>on</w:t>
      </w:r>
      <w:r w:rsidRPr="00EF2139">
        <w:rPr>
          <w:rFonts w:asciiTheme="minorHAnsi" w:hAnsiTheme="minorHAnsi"/>
        </w:rPr>
        <w:t xml:space="preserve"> </w:t>
      </w:r>
      <w:r w:rsidR="00986A31" w:rsidRPr="00EF2139">
        <w:rPr>
          <w:rFonts w:asciiTheme="minorHAnsi" w:hAnsiTheme="minorHAnsi"/>
        </w:rPr>
        <w:t xml:space="preserve">how to </w:t>
      </w:r>
      <w:r w:rsidRPr="00EF2139">
        <w:rPr>
          <w:rFonts w:asciiTheme="minorHAnsi" w:hAnsiTheme="minorHAnsi"/>
        </w:rPr>
        <w:t xml:space="preserve">adapt program activities based on </w:t>
      </w:r>
      <w:r w:rsidR="00E87B52" w:rsidRPr="00EF2139">
        <w:rPr>
          <w:rFonts w:asciiTheme="minorHAnsi" w:hAnsiTheme="minorHAnsi"/>
        </w:rPr>
        <w:t xml:space="preserve">emerging </w:t>
      </w:r>
      <w:r w:rsidRPr="00EF2139">
        <w:rPr>
          <w:rFonts w:asciiTheme="minorHAnsi" w:hAnsiTheme="minorHAnsi"/>
        </w:rPr>
        <w:t>lessons.</w:t>
      </w:r>
    </w:p>
    <w:p w:rsidR="009118B2" w:rsidRDefault="009118B2" w:rsidP="00BD1DA6">
      <w:pPr>
        <w:pStyle w:val="ListParagraph"/>
        <w:contextualSpacing w:val="0"/>
        <w:jc w:val="both"/>
      </w:pPr>
    </w:p>
    <w:p w:rsidR="007D63C9" w:rsidRPr="001702AE" w:rsidRDefault="007D63C9" w:rsidP="00BD1DA6">
      <w:pPr>
        <w:jc w:val="both"/>
      </w:pPr>
      <w:r>
        <w:t>These teams will work closely together in an integrated manner</w:t>
      </w:r>
      <w:r w:rsidR="00E87B52">
        <w:t>:</w:t>
      </w:r>
      <w:r w:rsidR="002C4772">
        <w:t xml:space="preserve"> </w:t>
      </w:r>
      <w:r w:rsidR="00E87B52">
        <w:t>a</w:t>
      </w:r>
      <w:r>
        <w:t xml:space="preserve">lthough one team may take the lead, the other teams </w:t>
      </w:r>
      <w:r w:rsidR="00E87B52">
        <w:t xml:space="preserve">will be </w:t>
      </w:r>
      <w:r>
        <w:t xml:space="preserve">closely engaged </w:t>
      </w:r>
      <w:r w:rsidR="00E87B52">
        <w:t xml:space="preserve">in </w:t>
      </w:r>
      <w:r w:rsidR="00C417D8">
        <w:t>support</w:t>
      </w:r>
      <w:r w:rsidR="00E87B52">
        <w:t>ing</w:t>
      </w:r>
      <w:r w:rsidR="00C417D8">
        <w:t xml:space="preserve"> implementation </w:t>
      </w:r>
      <w:r w:rsidR="002C4772">
        <w:t xml:space="preserve">based on the nature of </w:t>
      </w:r>
      <w:r w:rsidR="00986A31">
        <w:t xml:space="preserve">the </w:t>
      </w:r>
      <w:r w:rsidR="002C4772">
        <w:t>activity</w:t>
      </w:r>
      <w:r w:rsidR="00C417D8">
        <w:t xml:space="preserve"> </w:t>
      </w:r>
      <w:r w:rsidR="002C4772">
        <w:t xml:space="preserve">and </w:t>
      </w:r>
      <w:r w:rsidR="00E87B52">
        <w:t xml:space="preserve">the </w:t>
      </w:r>
      <w:r w:rsidR="002C4772">
        <w:t>skills</w:t>
      </w:r>
      <w:r w:rsidR="00E87B52">
        <w:t xml:space="preserve"> and </w:t>
      </w:r>
      <w:r w:rsidR="002C4772">
        <w:t xml:space="preserve">capacity </w:t>
      </w:r>
      <w:r w:rsidR="00E87B52">
        <w:t>required</w:t>
      </w:r>
      <w:r>
        <w:t xml:space="preserve">. </w:t>
      </w:r>
    </w:p>
    <w:p w:rsidR="00996309" w:rsidRDefault="00996309" w:rsidP="00BD1DA6">
      <w:pPr>
        <w:pStyle w:val="Heading2"/>
        <w:spacing w:before="0" w:after="0"/>
      </w:pPr>
    </w:p>
    <w:p w:rsidR="00F170F0" w:rsidRDefault="00F170F0" w:rsidP="00BD1DA6">
      <w:pPr>
        <w:pStyle w:val="Heading2"/>
        <w:spacing w:before="0" w:after="0"/>
      </w:pPr>
      <w:bookmarkStart w:id="26" w:name="_Toc492915020"/>
      <w:r>
        <w:t xml:space="preserve">4.5 </w:t>
      </w:r>
      <w:r>
        <w:tab/>
        <w:t>Risk management</w:t>
      </w:r>
      <w:bookmarkEnd w:id="26"/>
    </w:p>
    <w:p w:rsidR="00996309" w:rsidRDefault="00996309" w:rsidP="00BD1DA6">
      <w:pPr>
        <w:jc w:val="both"/>
      </w:pPr>
      <w:bookmarkStart w:id="27" w:name="_Toc356730116"/>
    </w:p>
    <w:p w:rsidR="00F170F0" w:rsidRDefault="00F170F0" w:rsidP="00BD1DA6">
      <w:pPr>
        <w:jc w:val="both"/>
      </w:pPr>
      <w:r>
        <w:t>Appropriate, well-managed risk-taking will be a feature of phase 2.</w:t>
      </w:r>
      <w:r w:rsidR="00F959C7">
        <w:t xml:space="preserve"> </w:t>
      </w:r>
      <w:r>
        <w:t>The prog</w:t>
      </w:r>
      <w:r w:rsidR="00EF2139">
        <w:t>ram’s risk register</w:t>
      </w:r>
      <w:r>
        <w:t xml:space="preserve"> will be a living document and a central tool to guide </w:t>
      </w:r>
      <w:r w:rsidR="003A0768" w:rsidRPr="003A0768">
        <w:t xml:space="preserve">regular </w:t>
      </w:r>
      <w:r w:rsidR="003A0768">
        <w:t>discussions</w:t>
      </w:r>
      <w:r w:rsidR="003A0768" w:rsidRPr="003A0768">
        <w:t xml:space="preserve"> between </w:t>
      </w:r>
      <w:r w:rsidR="003A0768">
        <w:t xml:space="preserve">KSI and DFAT and at Program Technical Secretariat and </w:t>
      </w:r>
      <w:r>
        <w:t xml:space="preserve">Program Steering Committee </w:t>
      </w:r>
      <w:r w:rsidR="003A0768">
        <w:t>meetings</w:t>
      </w:r>
      <w:r>
        <w:t>.</w:t>
      </w:r>
      <w:r w:rsidR="00F959C7">
        <w:t xml:space="preserve"> </w:t>
      </w:r>
      <w:r>
        <w:t>This risk-based approach reflects the reality of KSI’s operating context.</w:t>
      </w:r>
      <w:r w:rsidR="00F959C7">
        <w:t xml:space="preserve"> </w:t>
      </w:r>
      <w:r>
        <w:t>It is also informed by DFAT’s experience supporting flexible facilit</w:t>
      </w:r>
      <w:r w:rsidR="00420BCC">
        <w:t>ies, where ther</w:t>
      </w:r>
      <w:r w:rsidR="003A0768">
        <w:t xml:space="preserve">e is </w:t>
      </w:r>
      <w:r>
        <w:t xml:space="preserve">potential for </w:t>
      </w:r>
      <w:r w:rsidR="003A0768">
        <w:t xml:space="preserve">fragmentation </w:t>
      </w:r>
      <w:r>
        <w:t xml:space="preserve">in the face of strong demand for </w:t>
      </w:r>
      <w:r w:rsidR="003A0768">
        <w:t xml:space="preserve">support for </w:t>
      </w:r>
      <w:r>
        <w:t xml:space="preserve">isolated </w:t>
      </w:r>
      <w:r w:rsidR="003A0768">
        <w:t>activities without clear links to program objectives</w:t>
      </w:r>
      <w:r>
        <w:t>.</w:t>
      </w:r>
      <w:r w:rsidR="00F959C7">
        <w:t xml:space="preserve"> </w:t>
      </w:r>
    </w:p>
    <w:p w:rsidR="00F170F0" w:rsidRDefault="00F170F0" w:rsidP="00BD1DA6">
      <w:pPr>
        <w:jc w:val="both"/>
      </w:pPr>
    </w:p>
    <w:p w:rsidR="00F170F0" w:rsidRDefault="003A0768" w:rsidP="00BD1DA6">
      <w:pPr>
        <w:jc w:val="both"/>
      </w:pPr>
      <w:r>
        <w:t>T</w:t>
      </w:r>
      <w:r w:rsidR="00F170F0">
        <w:t xml:space="preserve">he risk register will </w:t>
      </w:r>
      <w:r>
        <w:t>be adapted to KSI’s specific needs</w:t>
      </w:r>
      <w:r w:rsidR="00822891">
        <w:t>. I</w:t>
      </w:r>
      <w:r>
        <w:t xml:space="preserve">t will be organised thematically, and </w:t>
      </w:r>
      <w:r w:rsidR="00F170F0">
        <w:t>focused on the program’s core objectives and resources.</w:t>
      </w:r>
      <w:r w:rsidR="00F959C7">
        <w:t xml:space="preserve"> </w:t>
      </w:r>
      <w:r w:rsidR="00822891">
        <w:t>I</w:t>
      </w:r>
      <w:r w:rsidR="00F170F0">
        <w:t xml:space="preserve">t </w:t>
      </w:r>
      <w:r>
        <w:t xml:space="preserve">will </w:t>
      </w:r>
      <w:r w:rsidR="00F170F0">
        <w:t xml:space="preserve">be </w:t>
      </w:r>
      <w:r w:rsidR="00822891">
        <w:t xml:space="preserve">updated regularly to incorporate changes in </w:t>
      </w:r>
      <w:r w:rsidR="00F170F0">
        <w:t xml:space="preserve">current </w:t>
      </w:r>
      <w:r w:rsidR="00822891">
        <w:t>risks and new risks</w:t>
      </w:r>
      <w:r>
        <w:t xml:space="preserve">, including risks associated with emerging </w:t>
      </w:r>
      <w:r w:rsidR="00F170F0">
        <w:t xml:space="preserve">opportunities </w:t>
      </w:r>
      <w:r>
        <w:t xml:space="preserve">as well as </w:t>
      </w:r>
      <w:r w:rsidR="00F170F0">
        <w:t xml:space="preserve">threats to </w:t>
      </w:r>
      <w:r>
        <w:t xml:space="preserve">the </w:t>
      </w:r>
      <w:r w:rsidR="00F170F0">
        <w:t>achievement</w:t>
      </w:r>
      <w:r>
        <w:t xml:space="preserve"> of </w:t>
      </w:r>
      <w:r w:rsidR="00822891">
        <w:t>objectives</w:t>
      </w:r>
      <w:r w:rsidR="00F170F0">
        <w:t>.</w:t>
      </w:r>
      <w:r w:rsidR="00F959C7">
        <w:t xml:space="preserve"> </w:t>
      </w:r>
      <w:r>
        <w:t>The risk register</w:t>
      </w:r>
      <w:r w:rsidR="00F170F0">
        <w:t xml:space="preserve"> </w:t>
      </w:r>
      <w:r>
        <w:t xml:space="preserve">will be used to </w:t>
      </w:r>
      <w:r w:rsidR="00F170F0">
        <w:t xml:space="preserve">encourage reflection and discussion about the appropriate risk appetite under each </w:t>
      </w:r>
      <w:r w:rsidR="00420BCC">
        <w:t xml:space="preserve">thematic </w:t>
      </w:r>
      <w:r w:rsidR="00F170F0">
        <w:t xml:space="preserve">area. The </w:t>
      </w:r>
      <w:r w:rsidR="00822891">
        <w:t xml:space="preserve">risk </w:t>
      </w:r>
      <w:r w:rsidR="00F170F0">
        <w:t xml:space="preserve">register and current </w:t>
      </w:r>
      <w:r w:rsidR="00822891">
        <w:t xml:space="preserve">risks </w:t>
      </w:r>
      <w:r w:rsidR="00F170F0">
        <w:t>will be elaborated during the transition phase (July to December 2017).</w:t>
      </w:r>
      <w:r w:rsidR="00F959C7">
        <w:t xml:space="preserve"> </w:t>
      </w:r>
    </w:p>
    <w:bookmarkEnd w:id="27"/>
    <w:p w:rsidR="00B171C6" w:rsidRDefault="00B171C6" w:rsidP="00BD1DA6">
      <w:pPr>
        <w:pStyle w:val="Heading2"/>
        <w:spacing w:before="0" w:after="0"/>
      </w:pPr>
    </w:p>
    <w:p w:rsidR="001C4FF1" w:rsidRPr="00F539D6" w:rsidRDefault="001C4FF1" w:rsidP="00BD1DA6">
      <w:pPr>
        <w:pStyle w:val="Heading2"/>
        <w:spacing w:before="0" w:after="0"/>
      </w:pPr>
      <w:bookmarkStart w:id="28" w:name="_Toc492915021"/>
      <w:r>
        <w:t>4.</w:t>
      </w:r>
      <w:r w:rsidR="00F170F0">
        <w:t>6</w:t>
      </w:r>
      <w:r w:rsidRPr="00F539D6">
        <w:tab/>
        <w:t>Ensuring sustainability</w:t>
      </w:r>
      <w:bookmarkEnd w:id="28"/>
    </w:p>
    <w:p w:rsidR="00996309" w:rsidRDefault="00996309" w:rsidP="00BD1DA6">
      <w:pPr>
        <w:jc w:val="both"/>
      </w:pPr>
    </w:p>
    <w:p w:rsidR="00F170F0" w:rsidRPr="005223AE" w:rsidRDefault="00F170F0" w:rsidP="00BD1DA6">
      <w:pPr>
        <w:jc w:val="both"/>
        <w:rPr>
          <w:b/>
        </w:rPr>
      </w:pPr>
      <w:r>
        <w:t xml:space="preserve">KSI’s approach involves building capacities, encouraging changes in incentives and supporting changes in systems among a broad range of counterparts, </w:t>
      </w:r>
      <w:r>
        <w:rPr>
          <w:i/>
        </w:rPr>
        <w:t xml:space="preserve">not </w:t>
      </w:r>
      <w:r>
        <w:t xml:space="preserve">substituting capacity and, as much as possible, avoiding supplementing capacity. KSI </w:t>
      </w:r>
      <w:r>
        <w:rPr>
          <w:lang w:val="id-ID"/>
        </w:rPr>
        <w:t>does not</w:t>
      </w:r>
      <w:r>
        <w:t xml:space="preserve"> </w:t>
      </w:r>
      <w:r w:rsidR="00822891">
        <w:t xml:space="preserve">undertake </w:t>
      </w:r>
      <w:r>
        <w:t>research</w:t>
      </w:r>
      <w:r w:rsidR="00822891">
        <w:t xml:space="preserve"> itself</w:t>
      </w:r>
      <w:r>
        <w:t xml:space="preserve">, </w:t>
      </w:r>
      <w:r w:rsidR="00822891">
        <w:t xml:space="preserve">but rather </w:t>
      </w:r>
      <w:r>
        <w:t xml:space="preserve">supports policymakers to identify the research they need and </w:t>
      </w:r>
      <w:r w:rsidR="00822891">
        <w:t xml:space="preserve">to link with </w:t>
      </w:r>
      <w:r>
        <w:t xml:space="preserve">research institutions </w:t>
      </w:r>
      <w:r w:rsidR="00822891">
        <w:t xml:space="preserve">that can </w:t>
      </w:r>
      <w:r>
        <w:t xml:space="preserve">meet those needs – in all the dimensions that work involves. Sustainability is at the heart of such an approach. The achievement of increased funding for research will be tangible evidence of the sustainability of KSI’s efforts. Similarly, the way in which KSI supports the development of networks and relationships, as well as the organisational capacities it develops, is designed to involve less and less of KSI’s time and resources over time, such that self-sustaining momentum for reforms </w:t>
      </w:r>
      <w:r w:rsidRPr="005223AE">
        <w:t>remains.</w:t>
      </w:r>
    </w:p>
    <w:p w:rsidR="00996309" w:rsidRDefault="00996309" w:rsidP="00BD1DA6">
      <w:pPr>
        <w:pStyle w:val="Heading2"/>
        <w:spacing w:before="0" w:after="0"/>
      </w:pPr>
    </w:p>
    <w:p w:rsidR="001C4FF1" w:rsidRPr="005223AE" w:rsidRDefault="001C4FF1" w:rsidP="00BD1DA6">
      <w:pPr>
        <w:pStyle w:val="Heading2"/>
        <w:spacing w:before="0" w:after="0"/>
      </w:pPr>
      <w:bookmarkStart w:id="29" w:name="_Toc492915022"/>
      <w:r>
        <w:t>4.</w:t>
      </w:r>
      <w:r w:rsidR="00F170F0">
        <w:t>7</w:t>
      </w:r>
      <w:r w:rsidRPr="005223AE">
        <w:tab/>
        <w:t>Links to other Australian programs</w:t>
      </w:r>
      <w:bookmarkEnd w:id="29"/>
    </w:p>
    <w:p w:rsidR="00996309" w:rsidRDefault="00996309" w:rsidP="00BD1DA6">
      <w:pPr>
        <w:widowControl w:val="0"/>
        <w:autoSpaceDE w:val="0"/>
        <w:autoSpaceDN w:val="0"/>
        <w:adjustRightInd w:val="0"/>
        <w:jc w:val="both"/>
        <w:rPr>
          <w:rFonts w:eastAsiaTheme="minorEastAsia" w:cs="Arial"/>
          <w:color w:val="1A1A1A"/>
          <w:lang w:val="en-US" w:eastAsia="en-US"/>
        </w:rPr>
      </w:pPr>
    </w:p>
    <w:p w:rsidR="001C4FF1" w:rsidRPr="00573100" w:rsidRDefault="001C4FF1" w:rsidP="00BD1DA6">
      <w:pPr>
        <w:widowControl w:val="0"/>
        <w:autoSpaceDE w:val="0"/>
        <w:autoSpaceDN w:val="0"/>
        <w:adjustRightInd w:val="0"/>
        <w:jc w:val="both"/>
        <w:rPr>
          <w:rFonts w:eastAsiaTheme="minorEastAsia" w:cs="Arial"/>
          <w:color w:val="1A1A1A"/>
          <w:lang w:val="en-US" w:eastAsia="en-US"/>
        </w:rPr>
      </w:pPr>
      <w:r w:rsidRPr="00431012">
        <w:rPr>
          <w:rFonts w:eastAsiaTheme="minorEastAsia" w:cs="Arial"/>
          <w:color w:val="1A1A1A"/>
          <w:lang w:val="en-US" w:eastAsia="en-US"/>
        </w:rPr>
        <w:t xml:space="preserve">Rather than seeking to influence the substance of particular policies, KSI aims to </w:t>
      </w:r>
      <w:r>
        <w:rPr>
          <w:rFonts w:eastAsiaTheme="minorEastAsia" w:cs="Arial"/>
          <w:color w:val="1A1A1A"/>
          <w:lang w:val="en-US" w:eastAsia="en-US"/>
        </w:rPr>
        <w:t>engage in</w:t>
      </w:r>
      <w:r w:rsidRPr="00431012">
        <w:rPr>
          <w:rFonts w:eastAsiaTheme="minorEastAsia" w:cs="Arial"/>
          <w:color w:val="1A1A1A"/>
          <w:lang w:val="en-US" w:eastAsia="en-US"/>
        </w:rPr>
        <w:t xml:space="preserve"> the </w:t>
      </w:r>
      <w:r w:rsidRPr="00EF2139">
        <w:rPr>
          <w:rFonts w:eastAsiaTheme="minorEastAsia" w:cs="Arial"/>
          <w:i/>
          <w:color w:val="1A1A1A"/>
          <w:lang w:val="en-US" w:eastAsia="en-US"/>
        </w:rPr>
        <w:t>process</w:t>
      </w:r>
      <w:r w:rsidRPr="00431012">
        <w:rPr>
          <w:rFonts w:eastAsiaTheme="minorEastAsia" w:cs="Arial"/>
          <w:color w:val="1A1A1A"/>
          <w:lang w:val="en-US" w:eastAsia="en-US"/>
        </w:rPr>
        <w:t xml:space="preserve"> of government policymaking. As such, the lessons it learns through its work, the approaches it uses and the networks it fosters are of direct relevance to the many other efforts</w:t>
      </w:r>
      <w:r w:rsidR="00822891">
        <w:rPr>
          <w:rFonts w:eastAsiaTheme="minorEastAsia" w:cs="Arial"/>
          <w:color w:val="1A1A1A"/>
          <w:lang w:val="en-US" w:eastAsia="en-US"/>
        </w:rPr>
        <w:t xml:space="preserve"> </w:t>
      </w:r>
      <w:r w:rsidR="00822891" w:rsidRPr="00431012">
        <w:rPr>
          <w:rFonts w:eastAsiaTheme="minorEastAsia" w:cs="Arial"/>
          <w:color w:val="1A1A1A"/>
          <w:lang w:val="en-US" w:eastAsia="en-US"/>
        </w:rPr>
        <w:t xml:space="preserve">to </w:t>
      </w:r>
      <w:r w:rsidR="00822891">
        <w:rPr>
          <w:rFonts w:eastAsiaTheme="minorEastAsia" w:cs="Arial"/>
          <w:color w:val="1A1A1A"/>
          <w:lang w:val="en-US" w:eastAsia="en-US"/>
        </w:rPr>
        <w:t>improve</w:t>
      </w:r>
      <w:r w:rsidR="00822891" w:rsidRPr="00431012">
        <w:rPr>
          <w:rFonts w:eastAsiaTheme="minorEastAsia" w:cs="Arial"/>
          <w:color w:val="1A1A1A"/>
          <w:lang w:val="en-US" w:eastAsia="en-US"/>
        </w:rPr>
        <w:t xml:space="preserve"> government </w:t>
      </w:r>
      <w:r w:rsidR="00822891">
        <w:rPr>
          <w:rFonts w:eastAsiaTheme="minorEastAsia" w:cs="Arial"/>
          <w:color w:val="1A1A1A"/>
          <w:lang w:val="en-US" w:eastAsia="en-US"/>
        </w:rPr>
        <w:t>policy</w:t>
      </w:r>
      <w:r w:rsidRPr="00431012">
        <w:rPr>
          <w:rFonts w:eastAsiaTheme="minorEastAsia" w:cs="Arial"/>
          <w:color w:val="1A1A1A"/>
          <w:lang w:val="en-US" w:eastAsia="en-US"/>
        </w:rPr>
        <w:t xml:space="preserve"> </w:t>
      </w:r>
      <w:r w:rsidR="00822891">
        <w:rPr>
          <w:rFonts w:eastAsiaTheme="minorEastAsia" w:cs="Arial"/>
          <w:color w:val="1A1A1A"/>
          <w:lang w:val="en-US" w:eastAsia="en-US"/>
        </w:rPr>
        <w:t>undertaken through</w:t>
      </w:r>
      <w:r w:rsidR="00822891" w:rsidRPr="00431012">
        <w:rPr>
          <w:rFonts w:eastAsiaTheme="minorEastAsia" w:cs="Arial"/>
          <w:color w:val="1A1A1A"/>
          <w:lang w:val="en-US" w:eastAsia="en-US"/>
        </w:rPr>
        <w:t xml:space="preserve"> </w:t>
      </w:r>
      <w:r w:rsidRPr="00431012">
        <w:rPr>
          <w:rFonts w:eastAsiaTheme="minorEastAsia" w:cs="Arial"/>
          <w:color w:val="1A1A1A"/>
          <w:lang w:val="en-US" w:eastAsia="en-US"/>
        </w:rPr>
        <w:t xml:space="preserve">Australia’s development partnership with Indonesia. In phase 2, KSI will play a role in convening discussion among a number of relevant Australian development programs with the aim of leveraging more impact through identifying opportunities to support evidence-based reform of government </w:t>
      </w:r>
      <w:r w:rsidRPr="00431012">
        <w:rPr>
          <w:rFonts w:eastAsiaTheme="minorEastAsia" w:cs="Arial"/>
          <w:color w:val="1A1A1A"/>
          <w:lang w:val="en-US" w:eastAsia="en-US"/>
        </w:rPr>
        <w:lastRenderedPageBreak/>
        <w:t>policy. This will involve supporting better knowledge management among relevant programs, sharing of relevant information and lessons and identification of opportunities for joint efforts.</w:t>
      </w:r>
      <w:r w:rsidR="00F959C7">
        <w:rPr>
          <w:rFonts w:eastAsiaTheme="minorEastAsia" w:cs="Arial"/>
          <w:color w:val="1A1A1A"/>
          <w:lang w:val="en-US" w:eastAsia="en-US"/>
        </w:rPr>
        <w:t xml:space="preserve"> </w:t>
      </w:r>
      <w:r w:rsidR="00573100">
        <w:rPr>
          <w:rFonts w:eastAsiaTheme="minorEastAsia" w:cs="Arial"/>
          <w:color w:val="1A1A1A"/>
          <w:lang w:val="en-US" w:eastAsia="en-US"/>
        </w:rPr>
        <w:t xml:space="preserve">Importantly, KSI’s role is intended to be more than that of traditional ‘coordination’. KSI’s knowledge, skills and convening capacity should </w:t>
      </w:r>
      <w:r w:rsidR="00573100">
        <w:rPr>
          <w:rFonts w:eastAsiaTheme="minorEastAsia" w:cs="Arial"/>
          <w:i/>
          <w:color w:val="1A1A1A"/>
          <w:lang w:val="en-US" w:eastAsia="en-US"/>
        </w:rPr>
        <w:t xml:space="preserve">underpin </w:t>
      </w:r>
      <w:r w:rsidR="00573100">
        <w:rPr>
          <w:rFonts w:eastAsiaTheme="minorEastAsia" w:cs="Arial"/>
          <w:color w:val="1A1A1A"/>
          <w:lang w:val="en-US" w:eastAsia="en-US"/>
        </w:rPr>
        <w:t>relevant areas of the Australia-Indonesia development partnership.</w:t>
      </w:r>
    </w:p>
    <w:p w:rsidR="001C4FF1" w:rsidRDefault="001C4FF1" w:rsidP="00BD1DA6">
      <w:pPr>
        <w:pStyle w:val="Heading1"/>
        <w:spacing w:after="0"/>
      </w:pPr>
    </w:p>
    <w:p w:rsidR="001C4FF1" w:rsidRDefault="001C4FF1" w:rsidP="00BD1DA6">
      <w:pPr>
        <w:pStyle w:val="Heading1"/>
        <w:spacing w:after="0"/>
        <w:rPr>
          <w:lang w:val="en-US"/>
        </w:rPr>
      </w:pPr>
      <w:bookmarkStart w:id="30" w:name="_Toc492915023"/>
      <w:r>
        <w:t>5</w:t>
      </w:r>
      <w:r w:rsidR="00F959C7">
        <w:t xml:space="preserve">    </w:t>
      </w:r>
      <w:r>
        <w:t xml:space="preserve">Monitoring, evaluating, learning </w:t>
      </w:r>
      <w:r w:rsidR="00996309">
        <w:t>and</w:t>
      </w:r>
      <w:r>
        <w:t xml:space="preserve"> communicating</w:t>
      </w:r>
      <w:bookmarkEnd w:id="30"/>
    </w:p>
    <w:p w:rsidR="00996309" w:rsidRDefault="00996309" w:rsidP="00BD1DA6">
      <w:pPr>
        <w:pStyle w:val="Heading2"/>
        <w:spacing w:before="0" w:after="0"/>
      </w:pPr>
    </w:p>
    <w:p w:rsidR="001C4FF1" w:rsidRPr="008F1341" w:rsidRDefault="001C4FF1" w:rsidP="00BD1DA6">
      <w:pPr>
        <w:pStyle w:val="Heading2"/>
        <w:spacing w:before="0" w:after="0"/>
      </w:pPr>
      <w:bookmarkStart w:id="31" w:name="_Toc492915024"/>
      <w:r w:rsidRPr="008F1341">
        <w:t>5.1</w:t>
      </w:r>
      <w:r w:rsidRPr="008F1341">
        <w:tab/>
        <w:t>M&amp;E and learning</w:t>
      </w:r>
      <w:bookmarkEnd w:id="31"/>
    </w:p>
    <w:p w:rsidR="008F1341" w:rsidRPr="00D71370" w:rsidRDefault="008F1341" w:rsidP="00BD1DA6">
      <w:pPr>
        <w:pStyle w:val="BodyText"/>
        <w:spacing w:after="0"/>
        <w:jc w:val="both"/>
        <w:rPr>
          <w:rFonts w:ascii="Calibri" w:eastAsia="Times New Roman" w:hAnsi="Calibri"/>
        </w:rPr>
      </w:pPr>
    </w:p>
    <w:p w:rsidR="00D71370" w:rsidRDefault="008F1341" w:rsidP="00BD1DA6">
      <w:pPr>
        <w:pStyle w:val="BodyText"/>
        <w:spacing w:after="0"/>
        <w:jc w:val="both"/>
        <w:rPr>
          <w:rFonts w:asciiTheme="minorHAnsi" w:eastAsia="Times New Roman" w:hAnsiTheme="minorHAnsi" w:cstheme="minorHAnsi"/>
        </w:rPr>
      </w:pPr>
      <w:r w:rsidRPr="00D71370">
        <w:rPr>
          <w:rFonts w:asciiTheme="minorHAnsi" w:eastAsia="Times New Roman" w:hAnsiTheme="minorHAnsi" w:cstheme="minorHAnsi"/>
        </w:rPr>
        <w:t xml:space="preserve">The challenges in finding a balance between the complexity of the program’s initial vision and the extent to which that vision was actually realisable confounded the program throughout its first phase, in part to the detriment of the outcomes it was able to achieve. </w:t>
      </w:r>
      <w:r w:rsidR="00D71370">
        <w:rPr>
          <w:rFonts w:asciiTheme="minorHAnsi" w:eastAsia="Times New Roman" w:hAnsiTheme="minorHAnsi" w:cstheme="minorHAnsi"/>
        </w:rPr>
        <w:t>The program’s communication challenges were compounded by a monitoring and reporting system, linked to a complex Theory of Change, which was insufficiently clear and difficult to adapt to the changing directions of the program or to the changing information needs of key stakeholders.</w:t>
      </w:r>
    </w:p>
    <w:p w:rsidR="00D71370" w:rsidRDefault="00D71370" w:rsidP="00BD1DA6">
      <w:pPr>
        <w:pStyle w:val="BodyText"/>
        <w:spacing w:after="0"/>
        <w:jc w:val="both"/>
        <w:rPr>
          <w:rFonts w:asciiTheme="minorHAnsi" w:eastAsia="Times New Roman" w:hAnsiTheme="minorHAnsi" w:cstheme="minorHAnsi"/>
        </w:rPr>
      </w:pPr>
    </w:p>
    <w:p w:rsidR="00E71DD7" w:rsidRPr="00A25B60" w:rsidRDefault="008F1341" w:rsidP="00BD1DA6">
      <w:pPr>
        <w:pStyle w:val="BodyText"/>
        <w:spacing w:after="0"/>
        <w:jc w:val="both"/>
        <w:rPr>
          <w:rFonts w:asciiTheme="minorHAnsi" w:hAnsiTheme="minorHAnsi" w:cstheme="minorHAnsi"/>
        </w:rPr>
      </w:pPr>
      <w:r w:rsidRPr="00416751">
        <w:rPr>
          <w:rFonts w:asciiTheme="minorHAnsi" w:hAnsiTheme="minorHAnsi" w:cstheme="minorHAnsi"/>
        </w:rPr>
        <w:t xml:space="preserve">A </w:t>
      </w:r>
      <w:r w:rsidRPr="00416751">
        <w:rPr>
          <w:rFonts w:asciiTheme="minorHAnsi" w:eastAsia="Times New Roman" w:hAnsiTheme="minorHAnsi" w:cstheme="minorHAnsi"/>
        </w:rPr>
        <w:t xml:space="preserve">review of the </w:t>
      </w:r>
      <w:r w:rsidR="00420BCC" w:rsidRPr="00A25B60">
        <w:rPr>
          <w:rFonts w:asciiTheme="minorHAnsi" w:hAnsiTheme="minorHAnsi" w:cstheme="minorHAnsi"/>
        </w:rPr>
        <w:t>monitoring and evaluation</w:t>
      </w:r>
      <w:r w:rsidR="00420BCC" w:rsidRPr="00A25B60">
        <w:rPr>
          <w:rFonts w:asciiTheme="minorHAnsi" w:eastAsia="Times New Roman" w:hAnsiTheme="minorHAnsi" w:cstheme="minorHAnsi"/>
        </w:rPr>
        <w:t xml:space="preserve"> </w:t>
      </w:r>
      <w:r w:rsidR="00F47F89" w:rsidRPr="00A25B60">
        <w:rPr>
          <w:rFonts w:asciiTheme="minorHAnsi" w:eastAsia="Times New Roman" w:hAnsiTheme="minorHAnsi" w:cstheme="minorHAnsi"/>
        </w:rPr>
        <w:t>system found that it</w:t>
      </w:r>
      <w:r w:rsidRPr="00416751">
        <w:rPr>
          <w:rFonts w:asciiTheme="minorHAnsi" w:eastAsia="Times New Roman" w:hAnsiTheme="minorHAnsi" w:cstheme="minorHAnsi"/>
        </w:rPr>
        <w:t xml:space="preserve"> </w:t>
      </w:r>
      <w:r w:rsidR="00F47F89" w:rsidRPr="00A25B60">
        <w:rPr>
          <w:rFonts w:asciiTheme="minorHAnsi" w:eastAsia="Times New Roman" w:hAnsiTheme="minorHAnsi" w:cstheme="minorHAnsi"/>
        </w:rPr>
        <w:t xml:space="preserve">was </w:t>
      </w:r>
      <w:r w:rsidRPr="00416751">
        <w:rPr>
          <w:rFonts w:asciiTheme="minorHAnsi" w:eastAsia="Times New Roman" w:hAnsiTheme="minorHAnsi" w:cstheme="minorHAnsi"/>
        </w:rPr>
        <w:t xml:space="preserve">not effectively capturing relevant information on program performance and </w:t>
      </w:r>
      <w:r w:rsidR="00F47F89" w:rsidRPr="00A25B60">
        <w:rPr>
          <w:rFonts w:asciiTheme="minorHAnsi" w:eastAsia="Times New Roman" w:hAnsiTheme="minorHAnsi" w:cstheme="minorHAnsi"/>
        </w:rPr>
        <w:t>learning</w:t>
      </w:r>
      <w:r w:rsidRPr="00416751">
        <w:rPr>
          <w:rFonts w:asciiTheme="minorHAnsi" w:eastAsia="Times New Roman" w:hAnsiTheme="minorHAnsi" w:cstheme="minorHAnsi"/>
        </w:rPr>
        <w:t xml:space="preserve">, </w:t>
      </w:r>
      <w:r w:rsidR="00F47F89" w:rsidRPr="00A25B60">
        <w:rPr>
          <w:rFonts w:asciiTheme="minorHAnsi" w:eastAsia="Times New Roman" w:hAnsiTheme="minorHAnsi" w:cstheme="minorHAnsi"/>
        </w:rPr>
        <w:t xml:space="preserve">and as such </w:t>
      </w:r>
      <w:r w:rsidRPr="00416751">
        <w:rPr>
          <w:rFonts w:asciiTheme="minorHAnsi" w:eastAsia="Times New Roman" w:hAnsiTheme="minorHAnsi" w:cstheme="minorHAnsi"/>
        </w:rPr>
        <w:t xml:space="preserve">it was not serving the needs of program management to make decisions on program </w:t>
      </w:r>
      <w:r w:rsidRPr="00416751">
        <w:rPr>
          <w:rFonts w:asciiTheme="minorHAnsi" w:hAnsiTheme="minorHAnsi" w:cstheme="minorHAnsi"/>
        </w:rPr>
        <w:t>activities and strategic direction. Moreover</w:t>
      </w:r>
      <w:r w:rsidR="00E71DD7" w:rsidRPr="00416751">
        <w:rPr>
          <w:rFonts w:asciiTheme="minorHAnsi" w:hAnsiTheme="minorHAnsi" w:cstheme="minorHAnsi"/>
        </w:rPr>
        <w:t xml:space="preserve">, while the </w:t>
      </w:r>
      <w:r w:rsidR="00420BCC" w:rsidRPr="00A25B60">
        <w:rPr>
          <w:rFonts w:asciiTheme="minorHAnsi" w:hAnsiTheme="minorHAnsi" w:cstheme="minorHAnsi"/>
        </w:rPr>
        <w:t xml:space="preserve">monitoring and evaluation </w:t>
      </w:r>
      <w:r w:rsidR="00E71DD7" w:rsidRPr="00416751">
        <w:rPr>
          <w:rFonts w:asciiTheme="minorHAnsi" w:hAnsiTheme="minorHAnsi" w:cstheme="minorHAnsi"/>
        </w:rPr>
        <w:t xml:space="preserve">system produced rich qualitative information on a range of different activities and workstreams, it was difficult to aggregate this information and communicate it to stakeholders in a way that succinctly </w:t>
      </w:r>
      <w:r w:rsidR="00416751">
        <w:rPr>
          <w:rFonts w:asciiTheme="minorHAnsi" w:hAnsiTheme="minorHAnsi" w:cstheme="minorHAnsi"/>
        </w:rPr>
        <w:t xml:space="preserve">explained </w:t>
      </w:r>
      <w:r w:rsidR="00E71DD7" w:rsidRPr="00416751">
        <w:rPr>
          <w:rFonts w:asciiTheme="minorHAnsi" w:hAnsiTheme="minorHAnsi" w:cstheme="minorHAnsi"/>
        </w:rPr>
        <w:t xml:space="preserve">the impact the program was achieving. </w:t>
      </w:r>
    </w:p>
    <w:p w:rsidR="00996309" w:rsidRPr="00A25B60" w:rsidRDefault="00996309" w:rsidP="00BD1DA6">
      <w:pPr>
        <w:pStyle w:val="BodyText"/>
        <w:spacing w:after="0"/>
        <w:jc w:val="both"/>
        <w:rPr>
          <w:rFonts w:ascii="Calibri" w:eastAsia="Times New Roman" w:hAnsi="Calibri"/>
        </w:rPr>
      </w:pPr>
    </w:p>
    <w:p w:rsidR="00E71DD7" w:rsidRPr="00416751" w:rsidRDefault="001C4FF1" w:rsidP="00BD1DA6">
      <w:pPr>
        <w:pStyle w:val="BodyText"/>
        <w:spacing w:after="0"/>
        <w:jc w:val="both"/>
        <w:rPr>
          <w:rFonts w:asciiTheme="minorHAnsi" w:hAnsiTheme="minorHAnsi" w:cstheme="minorHAnsi"/>
          <w:lang w:val="en-US"/>
        </w:rPr>
      </w:pPr>
      <w:r w:rsidRPr="00416751">
        <w:rPr>
          <w:rFonts w:asciiTheme="minorHAnsi" w:eastAsia="Times New Roman" w:hAnsiTheme="minorHAnsi" w:cstheme="minorHAnsi"/>
        </w:rPr>
        <w:t xml:space="preserve">Building on the goal and focus areas elaborated </w:t>
      </w:r>
      <w:r w:rsidR="00C45D84" w:rsidRPr="00416751">
        <w:rPr>
          <w:rFonts w:asciiTheme="minorHAnsi" w:eastAsia="Times New Roman" w:hAnsiTheme="minorHAnsi" w:cstheme="minorHAnsi"/>
        </w:rPr>
        <w:t>in this document</w:t>
      </w:r>
      <w:r w:rsidRPr="00416751">
        <w:rPr>
          <w:rFonts w:asciiTheme="minorHAnsi" w:eastAsia="Times New Roman" w:hAnsiTheme="minorHAnsi" w:cstheme="minorHAnsi"/>
        </w:rPr>
        <w:t xml:space="preserve">, more fit-for-purpose and adaptable </w:t>
      </w:r>
      <w:r w:rsidR="00C45D84" w:rsidRPr="00416751">
        <w:rPr>
          <w:rFonts w:asciiTheme="minorHAnsi" w:eastAsia="Times New Roman" w:hAnsiTheme="minorHAnsi" w:cstheme="minorHAnsi"/>
        </w:rPr>
        <w:t xml:space="preserve">theories of change </w:t>
      </w:r>
      <w:r w:rsidRPr="00416751">
        <w:rPr>
          <w:rFonts w:asciiTheme="minorHAnsi" w:eastAsia="Times New Roman" w:hAnsiTheme="minorHAnsi" w:cstheme="minorHAnsi"/>
        </w:rPr>
        <w:t xml:space="preserve">will be developed </w:t>
      </w:r>
      <w:r w:rsidR="00DB7DB1" w:rsidRPr="00416751">
        <w:rPr>
          <w:rFonts w:asciiTheme="minorHAnsi" w:eastAsia="Times New Roman" w:hAnsiTheme="minorHAnsi" w:cstheme="minorHAnsi"/>
        </w:rPr>
        <w:t xml:space="preserve">for each of the focus areas </w:t>
      </w:r>
      <w:r w:rsidRPr="00416751">
        <w:rPr>
          <w:rFonts w:asciiTheme="minorHAnsi" w:eastAsia="Times New Roman" w:hAnsiTheme="minorHAnsi" w:cstheme="minorHAnsi"/>
        </w:rPr>
        <w:t>in the first six months of phase 2</w:t>
      </w:r>
      <w:r w:rsidR="00075C2D" w:rsidRPr="00A25B60">
        <w:rPr>
          <w:rFonts w:asciiTheme="minorHAnsi" w:eastAsia="Times New Roman" w:hAnsiTheme="minorHAnsi" w:cstheme="minorHAnsi"/>
        </w:rPr>
        <w:t>. These</w:t>
      </w:r>
      <w:r w:rsidR="00F47F89" w:rsidRPr="00A25B60">
        <w:rPr>
          <w:rFonts w:asciiTheme="minorHAnsi" w:eastAsia="Times New Roman" w:hAnsiTheme="minorHAnsi" w:cstheme="minorHAnsi"/>
        </w:rPr>
        <w:t xml:space="preserve"> </w:t>
      </w:r>
      <w:r w:rsidR="00075C2D" w:rsidRPr="00416751">
        <w:rPr>
          <w:rFonts w:asciiTheme="minorHAnsi" w:eastAsia="Times New Roman" w:hAnsiTheme="minorHAnsi" w:cstheme="minorHAnsi"/>
        </w:rPr>
        <w:t xml:space="preserve">will be </w:t>
      </w:r>
      <w:r w:rsidR="00A25B60" w:rsidRPr="00416751">
        <w:rPr>
          <w:rFonts w:asciiTheme="minorHAnsi" w:eastAsia="Times New Roman" w:hAnsiTheme="minorHAnsi" w:cstheme="minorHAnsi"/>
        </w:rPr>
        <w:t>revisit</w:t>
      </w:r>
      <w:r w:rsidR="00F47F89" w:rsidRPr="00A25B60">
        <w:rPr>
          <w:rFonts w:asciiTheme="minorHAnsi" w:eastAsia="Times New Roman" w:hAnsiTheme="minorHAnsi" w:cstheme="minorHAnsi"/>
        </w:rPr>
        <w:t xml:space="preserve">ed throughout the program </w:t>
      </w:r>
      <w:r w:rsidR="00075C2D" w:rsidRPr="00416751">
        <w:rPr>
          <w:rFonts w:asciiTheme="minorHAnsi" w:eastAsia="Times New Roman" w:hAnsiTheme="minorHAnsi" w:cstheme="minorHAnsi"/>
        </w:rPr>
        <w:t xml:space="preserve">as part of regular review and reflection processes </w:t>
      </w:r>
      <w:r w:rsidR="00F47F89" w:rsidRPr="00A25B60">
        <w:rPr>
          <w:rFonts w:asciiTheme="minorHAnsi" w:eastAsia="Times New Roman" w:hAnsiTheme="minorHAnsi" w:cstheme="minorHAnsi"/>
        </w:rPr>
        <w:t xml:space="preserve">to ensure that </w:t>
      </w:r>
      <w:r w:rsidR="00A25B60" w:rsidRPr="00416751">
        <w:rPr>
          <w:rFonts w:asciiTheme="minorHAnsi" w:eastAsia="Times New Roman" w:hAnsiTheme="minorHAnsi" w:cstheme="minorHAnsi"/>
        </w:rPr>
        <w:t>they integrate</w:t>
      </w:r>
      <w:r w:rsidR="00F47F89" w:rsidRPr="00A25B60">
        <w:rPr>
          <w:rFonts w:asciiTheme="minorHAnsi" w:eastAsia="Times New Roman" w:hAnsiTheme="minorHAnsi" w:cstheme="minorHAnsi"/>
        </w:rPr>
        <w:t xml:space="preserve"> what is being learned through implementation</w:t>
      </w:r>
      <w:r w:rsidRPr="00416751">
        <w:rPr>
          <w:rFonts w:asciiTheme="minorHAnsi" w:eastAsia="Times New Roman" w:hAnsiTheme="minorHAnsi" w:cstheme="minorHAnsi"/>
        </w:rPr>
        <w:t xml:space="preserve">. </w:t>
      </w:r>
      <w:r w:rsidR="00E93CBB" w:rsidRPr="00416751">
        <w:rPr>
          <w:rFonts w:asciiTheme="minorHAnsi" w:hAnsiTheme="minorHAnsi" w:cstheme="minorHAnsi"/>
        </w:rPr>
        <w:t xml:space="preserve">Incorporating </w:t>
      </w:r>
      <w:r w:rsidR="00E71DD7" w:rsidRPr="00416751">
        <w:rPr>
          <w:rFonts w:asciiTheme="minorHAnsi" w:hAnsiTheme="minorHAnsi" w:cstheme="minorHAnsi"/>
        </w:rPr>
        <w:t>lessons</w:t>
      </w:r>
      <w:r w:rsidR="00E93CBB" w:rsidRPr="00416751">
        <w:rPr>
          <w:rFonts w:asciiTheme="minorHAnsi" w:hAnsiTheme="minorHAnsi" w:cstheme="minorHAnsi"/>
        </w:rPr>
        <w:t xml:space="preserve"> from phase 1</w:t>
      </w:r>
      <w:r w:rsidR="00E71DD7" w:rsidRPr="00416751">
        <w:rPr>
          <w:rFonts w:asciiTheme="minorHAnsi" w:hAnsiTheme="minorHAnsi" w:cstheme="minorHAnsi"/>
        </w:rPr>
        <w:t xml:space="preserve">, the </w:t>
      </w:r>
      <w:r w:rsidR="001B446E" w:rsidRPr="00416751">
        <w:rPr>
          <w:rFonts w:asciiTheme="minorHAnsi" w:hAnsiTheme="minorHAnsi" w:cstheme="minorHAnsi"/>
        </w:rPr>
        <w:t>theories</w:t>
      </w:r>
      <w:r w:rsidR="00DB7DB1" w:rsidRPr="00416751">
        <w:rPr>
          <w:rFonts w:asciiTheme="minorHAnsi" w:hAnsiTheme="minorHAnsi" w:cstheme="minorHAnsi"/>
        </w:rPr>
        <w:t xml:space="preserve"> of change and monitoring, evaluation and learning plan for phase 2 </w:t>
      </w:r>
      <w:r w:rsidR="004622BF" w:rsidRPr="00F72F92">
        <w:rPr>
          <w:rFonts w:asciiTheme="minorHAnsi" w:hAnsiTheme="minorHAnsi" w:cstheme="minorHAnsi"/>
        </w:rPr>
        <w:t>will</w:t>
      </w:r>
      <w:r w:rsidR="00E71DD7" w:rsidRPr="00416751">
        <w:rPr>
          <w:rFonts w:asciiTheme="minorHAnsi" w:hAnsiTheme="minorHAnsi" w:cstheme="minorHAnsi"/>
        </w:rPr>
        <w:t>:</w:t>
      </w:r>
    </w:p>
    <w:p w:rsidR="001B446E" w:rsidRDefault="001B446E" w:rsidP="00BD1DA6">
      <w:pPr>
        <w:jc w:val="both"/>
        <w:rPr>
          <w:b/>
        </w:rPr>
      </w:pPr>
    </w:p>
    <w:p w:rsidR="00E71DD7" w:rsidRDefault="004622BF" w:rsidP="00BD1DA6">
      <w:pPr>
        <w:jc w:val="both"/>
      </w:pPr>
      <w:r>
        <w:rPr>
          <w:b/>
        </w:rPr>
        <w:t>Be j</w:t>
      </w:r>
      <w:r w:rsidR="00E71DD7" w:rsidRPr="00DD2D95">
        <w:rPr>
          <w:b/>
        </w:rPr>
        <w:t>ointly developed and jointly owned</w:t>
      </w:r>
      <w:r w:rsidR="00E71DD7">
        <w:t>: T</w:t>
      </w:r>
      <w:r w:rsidR="001B446E">
        <w:t>he theories of c</w:t>
      </w:r>
      <w:r w:rsidR="00E71DD7">
        <w:t xml:space="preserve">hange and relevant aspects of the </w:t>
      </w:r>
      <w:r w:rsidR="001B446E" w:rsidRPr="001B446E">
        <w:t>monitoring, evaluation and learning</w:t>
      </w:r>
      <w:r w:rsidR="001B446E">
        <w:t xml:space="preserve"> system</w:t>
      </w:r>
      <w:r w:rsidR="001B446E" w:rsidRPr="001B446E">
        <w:t xml:space="preserve"> </w:t>
      </w:r>
      <w:r w:rsidR="00E71DD7">
        <w:t xml:space="preserve">will be developed in conjunction with </w:t>
      </w:r>
      <w:r w:rsidR="00075C2D">
        <w:t>stakeholders to ensure that they</w:t>
      </w:r>
      <w:r w:rsidR="00E71DD7">
        <w:t xml:space="preserve"> </w:t>
      </w:r>
      <w:r w:rsidR="00075C2D">
        <w:t xml:space="preserve">are </w:t>
      </w:r>
      <w:r w:rsidR="00E71DD7">
        <w:t xml:space="preserve">aligned with their own </w:t>
      </w:r>
      <w:r>
        <w:t>priorities and targets and meet</w:t>
      </w:r>
      <w:r w:rsidR="00E71DD7">
        <w:t xml:space="preserve"> their information needs. The broader program team will pla</w:t>
      </w:r>
      <w:r>
        <w:t>y a key role in developing the theories of change</w:t>
      </w:r>
      <w:r w:rsidR="00E71DD7">
        <w:t xml:space="preserve"> to ensure that they understand the program’s goals and objectives, how workstreams and activities contribute to these goals, and their own role in monitoring progress and impact. </w:t>
      </w:r>
    </w:p>
    <w:p w:rsidR="001B446E" w:rsidRDefault="001B446E" w:rsidP="00BD1DA6">
      <w:pPr>
        <w:jc w:val="both"/>
      </w:pPr>
    </w:p>
    <w:p w:rsidR="001B446E" w:rsidRDefault="004622BF" w:rsidP="00BD1DA6">
      <w:pPr>
        <w:jc w:val="both"/>
      </w:pPr>
      <w:r>
        <w:rPr>
          <w:b/>
        </w:rPr>
        <w:t>Be a</w:t>
      </w:r>
      <w:r w:rsidR="001B446E" w:rsidRPr="000F3AE7">
        <w:rPr>
          <w:b/>
        </w:rPr>
        <w:t>ccessible and easily understood</w:t>
      </w:r>
      <w:r w:rsidR="001B446E">
        <w:t xml:space="preserve">: The theories of change for each of the four focus areas will </w:t>
      </w:r>
      <w:r w:rsidRPr="00A25B60">
        <w:t xml:space="preserve">aim to </w:t>
      </w:r>
      <w:r w:rsidR="00D449DD" w:rsidRPr="00416751">
        <w:t xml:space="preserve">convey </w:t>
      </w:r>
      <w:r w:rsidRPr="00A25B60">
        <w:t xml:space="preserve">the program’s complexity in a straightforward way so that they can </w:t>
      </w:r>
      <w:r w:rsidR="001B446E" w:rsidRPr="00A25B60">
        <w:t>be</w:t>
      </w:r>
      <w:r w:rsidR="001B446E">
        <w:t xml:space="preserve"> used as a tool for communicating how the program works to shareholders and stakeholders.</w:t>
      </w:r>
    </w:p>
    <w:p w:rsidR="00876BB1" w:rsidRDefault="00876BB1" w:rsidP="00BD1DA6">
      <w:pPr>
        <w:jc w:val="both"/>
      </w:pPr>
    </w:p>
    <w:p w:rsidR="00876BB1" w:rsidRDefault="00876BB1" w:rsidP="00BD1DA6">
      <w:pPr>
        <w:jc w:val="both"/>
      </w:pPr>
      <w:r w:rsidRPr="00416751">
        <w:rPr>
          <w:b/>
        </w:rPr>
        <w:t>Be</w:t>
      </w:r>
      <w:r w:rsidR="00DE67B2" w:rsidRPr="00416751">
        <w:rPr>
          <w:b/>
        </w:rPr>
        <w:t xml:space="preserve"> evidence-based and </w:t>
      </w:r>
      <w:r w:rsidR="008B264E" w:rsidRPr="00416751">
        <w:rPr>
          <w:b/>
        </w:rPr>
        <w:t>adaptive</w:t>
      </w:r>
      <w:r w:rsidR="00DE67B2" w:rsidRPr="00416751">
        <w:t>: The theories</w:t>
      </w:r>
      <w:r w:rsidRPr="008B264E">
        <w:t xml:space="preserve"> of change </w:t>
      </w:r>
      <w:r w:rsidR="00A25B60" w:rsidRPr="00416751">
        <w:t xml:space="preserve">will be </w:t>
      </w:r>
      <w:r w:rsidRPr="008B264E">
        <w:t xml:space="preserve">developed </w:t>
      </w:r>
      <w:r w:rsidR="00A25B60" w:rsidRPr="00416751">
        <w:t xml:space="preserve">on the basis of </w:t>
      </w:r>
      <w:r w:rsidR="00DE67B2" w:rsidRPr="00416751">
        <w:t xml:space="preserve">analysis of </w:t>
      </w:r>
      <w:r w:rsidRPr="008B264E">
        <w:t>the systemic problems constraining the knowledge sector</w:t>
      </w:r>
      <w:r w:rsidR="00DE67B2" w:rsidRPr="00416751">
        <w:t xml:space="preserve"> (obtained from diagnostics and assessments carried out prior to and during phase 1 and a stocktake of these to be carried out during the transition phase)</w:t>
      </w:r>
      <w:r w:rsidRPr="008B264E">
        <w:t>.</w:t>
      </w:r>
    </w:p>
    <w:p w:rsidR="001B446E" w:rsidRDefault="001B446E" w:rsidP="00BD1DA6">
      <w:pPr>
        <w:jc w:val="both"/>
        <w:rPr>
          <w:b/>
        </w:rPr>
      </w:pPr>
    </w:p>
    <w:p w:rsidR="00E71DD7" w:rsidRDefault="004622BF" w:rsidP="00BD1DA6">
      <w:pPr>
        <w:jc w:val="both"/>
      </w:pPr>
      <w:r>
        <w:rPr>
          <w:b/>
        </w:rPr>
        <w:lastRenderedPageBreak/>
        <w:t>Focus</w:t>
      </w:r>
      <w:r w:rsidR="00E71DD7" w:rsidRPr="005F73D8">
        <w:rPr>
          <w:b/>
        </w:rPr>
        <w:t xml:space="preserve"> on </w:t>
      </w:r>
      <w:r w:rsidR="001B446E">
        <w:rPr>
          <w:b/>
        </w:rPr>
        <w:t xml:space="preserve">meeting stakeholders and the program’s information needs: </w:t>
      </w:r>
      <w:r w:rsidR="00E71DD7">
        <w:t xml:space="preserve">The </w:t>
      </w:r>
      <w:r w:rsidR="001B446E" w:rsidRPr="001B446E">
        <w:t xml:space="preserve">monitoring, evaluation and learning </w:t>
      </w:r>
      <w:r w:rsidR="001B446E">
        <w:t>system</w:t>
      </w:r>
      <w:r w:rsidR="001B446E" w:rsidRPr="001B446E">
        <w:t xml:space="preserve"> </w:t>
      </w:r>
      <w:r w:rsidR="00E71DD7">
        <w:t xml:space="preserve">will be </w:t>
      </w:r>
      <w:r w:rsidR="001B446E">
        <w:t xml:space="preserve">‘lean’, </w:t>
      </w:r>
      <w:r w:rsidR="001B446E" w:rsidRPr="00416751">
        <w:t>collecting and reporting ‘quality’ information rather than ‘quantity’</w:t>
      </w:r>
      <w:r w:rsidR="001B446E" w:rsidRPr="001B446E">
        <w:t>. I</w:t>
      </w:r>
      <w:r w:rsidR="00E71DD7" w:rsidRPr="001B446E">
        <w:t xml:space="preserve">t will </w:t>
      </w:r>
      <w:r w:rsidR="001B446E">
        <w:t>collect and enable the team to report on</w:t>
      </w:r>
      <w:r w:rsidR="00E71DD7" w:rsidRPr="001B446E">
        <w:t xml:space="preserve"> </w:t>
      </w:r>
      <w:r w:rsidR="001B446E">
        <w:t xml:space="preserve">the </w:t>
      </w:r>
      <w:r w:rsidR="00E71DD7" w:rsidRPr="001B446E">
        <w:t>information</w:t>
      </w:r>
      <w:r w:rsidR="00E71DD7">
        <w:t xml:space="preserve"> </w:t>
      </w:r>
      <w:r w:rsidR="001B446E">
        <w:t xml:space="preserve">that is </w:t>
      </w:r>
      <w:r w:rsidR="00E71DD7">
        <w:t xml:space="preserve">necessary and sufficient to meet shareholders and the program’s own information needs. </w:t>
      </w:r>
      <w:r w:rsidR="00420BCC">
        <w:t>It will reflect a</w:t>
      </w:r>
      <w:r w:rsidR="00E71DD7">
        <w:t>n appropriate balance of qualitative and quantitative information.</w:t>
      </w:r>
    </w:p>
    <w:p w:rsidR="001B446E" w:rsidRDefault="001B446E" w:rsidP="00BD1DA6">
      <w:pPr>
        <w:jc w:val="both"/>
        <w:rPr>
          <w:b/>
        </w:rPr>
      </w:pPr>
    </w:p>
    <w:p w:rsidR="00E71DD7" w:rsidRDefault="00E93CBB" w:rsidP="00BD1DA6">
      <w:pPr>
        <w:pStyle w:val="BodyText"/>
        <w:spacing w:after="0"/>
        <w:jc w:val="both"/>
        <w:rPr>
          <w:rFonts w:ascii="Calibri" w:hAnsi="Calibri"/>
          <w:lang w:val="en-US"/>
        </w:rPr>
      </w:pPr>
      <w:r w:rsidRPr="00416751">
        <w:rPr>
          <w:rFonts w:ascii="Calibri" w:hAnsi="Calibri"/>
          <w:b/>
          <w:lang w:val="en-US"/>
        </w:rPr>
        <w:t>S</w:t>
      </w:r>
      <w:r w:rsidR="001B446E" w:rsidRPr="00416751">
        <w:rPr>
          <w:rFonts w:ascii="Calibri" w:hAnsi="Calibri"/>
          <w:b/>
          <w:lang w:val="en-US"/>
        </w:rPr>
        <w:t>upport learning, reflection and adaptation throughout the program cycle</w:t>
      </w:r>
      <w:r w:rsidRPr="00416751">
        <w:rPr>
          <w:rFonts w:asciiTheme="minorHAnsi" w:hAnsiTheme="minorHAnsi" w:cstheme="minorHAnsi"/>
          <w:lang w:val="en-US"/>
        </w:rPr>
        <w:t>:</w:t>
      </w:r>
      <w:r w:rsidR="001B446E" w:rsidRPr="00416751">
        <w:rPr>
          <w:rFonts w:asciiTheme="minorHAnsi" w:hAnsiTheme="minorHAnsi" w:cstheme="minorHAnsi"/>
          <w:lang w:val="en-US"/>
        </w:rPr>
        <w:t xml:space="preserve"> </w:t>
      </w:r>
      <w:r w:rsidR="004622BF">
        <w:rPr>
          <w:rFonts w:asciiTheme="minorHAnsi" w:hAnsiTheme="minorHAnsi" w:cstheme="minorHAnsi"/>
          <w:lang w:val="en-US"/>
        </w:rPr>
        <w:t>T</w:t>
      </w:r>
      <w:r w:rsidRPr="00416751">
        <w:rPr>
          <w:rFonts w:asciiTheme="minorHAnsi" w:hAnsiTheme="minorHAnsi" w:cstheme="minorHAnsi"/>
          <w:lang w:val="en-US"/>
        </w:rPr>
        <w:t xml:space="preserve">he </w:t>
      </w:r>
      <w:r w:rsidR="00420BCC" w:rsidRPr="00416751">
        <w:rPr>
          <w:rFonts w:asciiTheme="minorHAnsi" w:hAnsiTheme="minorHAnsi" w:cstheme="minorHAnsi"/>
        </w:rPr>
        <w:t xml:space="preserve">monitoring, evaluation and learning </w:t>
      </w:r>
      <w:r w:rsidRPr="00416751">
        <w:rPr>
          <w:rFonts w:asciiTheme="minorHAnsi" w:hAnsiTheme="minorHAnsi" w:cstheme="minorHAnsi"/>
          <w:lang w:val="en-US"/>
        </w:rPr>
        <w:t xml:space="preserve">system </w:t>
      </w:r>
      <w:r w:rsidR="001B446E" w:rsidRPr="00416751">
        <w:rPr>
          <w:rFonts w:ascii="Calibri" w:hAnsi="Calibri"/>
          <w:lang w:val="en-US"/>
        </w:rPr>
        <w:t xml:space="preserve">will </w:t>
      </w:r>
      <w:r w:rsidR="004622BF" w:rsidRPr="00A25B60">
        <w:rPr>
          <w:rFonts w:ascii="Calibri" w:hAnsi="Calibri"/>
          <w:lang w:val="en-US"/>
        </w:rPr>
        <w:t>provide timely and relevant information on progress and performance</w:t>
      </w:r>
      <w:r w:rsidR="00416751">
        <w:rPr>
          <w:rFonts w:ascii="Calibri" w:hAnsi="Calibri"/>
          <w:lang w:val="en-US"/>
        </w:rPr>
        <w:t xml:space="preserve"> </w:t>
      </w:r>
      <w:r w:rsidR="004622BF" w:rsidRPr="00A25B60">
        <w:rPr>
          <w:rFonts w:ascii="Calibri" w:hAnsi="Calibri"/>
          <w:lang w:val="en-US"/>
        </w:rPr>
        <w:t>to facilitate program management to make decisions,</w:t>
      </w:r>
      <w:r w:rsidR="001B446E" w:rsidRPr="00416751">
        <w:rPr>
          <w:rFonts w:ascii="Calibri" w:hAnsi="Calibri"/>
          <w:lang w:val="en-US"/>
        </w:rPr>
        <w:t xml:space="preserve"> particularly </w:t>
      </w:r>
      <w:r w:rsidR="004622BF" w:rsidRPr="00A25B60">
        <w:rPr>
          <w:rFonts w:ascii="Calibri" w:hAnsi="Calibri"/>
          <w:lang w:val="en-US"/>
        </w:rPr>
        <w:t xml:space="preserve">where activities are not progressing </w:t>
      </w:r>
      <w:r w:rsidR="00B929A1" w:rsidRPr="00A25B60">
        <w:rPr>
          <w:rFonts w:ascii="Calibri" w:hAnsi="Calibri"/>
          <w:lang w:val="en-US"/>
        </w:rPr>
        <w:t xml:space="preserve">or performing </w:t>
      </w:r>
      <w:r w:rsidR="004622BF" w:rsidRPr="00A25B60">
        <w:rPr>
          <w:rFonts w:ascii="Calibri" w:hAnsi="Calibri"/>
          <w:lang w:val="en-US"/>
        </w:rPr>
        <w:t xml:space="preserve">as planned </w:t>
      </w:r>
      <w:r w:rsidR="001B446E" w:rsidRPr="00416751">
        <w:rPr>
          <w:rFonts w:ascii="Calibri" w:hAnsi="Calibri"/>
          <w:lang w:val="en-US"/>
        </w:rPr>
        <w:t xml:space="preserve">and should not be continued. </w:t>
      </w:r>
    </w:p>
    <w:p w:rsidR="001B446E" w:rsidRPr="00416751" w:rsidRDefault="001B446E" w:rsidP="00BD1DA6">
      <w:pPr>
        <w:pStyle w:val="BodyText"/>
        <w:spacing w:after="0"/>
        <w:jc w:val="both"/>
        <w:rPr>
          <w:rFonts w:ascii="Calibri" w:hAnsi="Calibri"/>
          <w:b/>
          <w:lang w:val="en-US"/>
        </w:rPr>
      </w:pPr>
    </w:p>
    <w:p w:rsidR="00FE2A6E" w:rsidRPr="00FC01EE" w:rsidRDefault="00FE2A6E" w:rsidP="00BD1DA6">
      <w:pPr>
        <w:pStyle w:val="BodyText"/>
        <w:spacing w:after="0"/>
        <w:jc w:val="both"/>
        <w:rPr>
          <w:rFonts w:ascii="Calibri" w:hAnsi="Calibri"/>
          <w:lang w:val="en-US"/>
        </w:rPr>
      </w:pPr>
      <w:r w:rsidRPr="00416751">
        <w:rPr>
          <w:rFonts w:asciiTheme="minorHAnsi" w:hAnsiTheme="minorHAnsi" w:cstheme="minorHAnsi"/>
          <w:lang w:val="en-US"/>
        </w:rPr>
        <w:t xml:space="preserve">An independent mid-term review </w:t>
      </w:r>
      <w:r w:rsidR="00223308" w:rsidRPr="00416751">
        <w:rPr>
          <w:rFonts w:asciiTheme="minorHAnsi" w:hAnsiTheme="minorHAnsi" w:cstheme="minorHAnsi"/>
          <w:lang w:val="en-US"/>
        </w:rPr>
        <w:t xml:space="preserve">of the program </w:t>
      </w:r>
      <w:r w:rsidRPr="00416751">
        <w:rPr>
          <w:rFonts w:asciiTheme="minorHAnsi" w:hAnsiTheme="minorHAnsi" w:cstheme="minorHAnsi"/>
          <w:lang w:val="en-US"/>
        </w:rPr>
        <w:t xml:space="preserve">will be conducted in the third year of phase 2. </w:t>
      </w:r>
    </w:p>
    <w:p w:rsidR="00996309" w:rsidRDefault="00996309" w:rsidP="00BD1DA6">
      <w:pPr>
        <w:pStyle w:val="Heading2"/>
        <w:spacing w:before="0" w:after="0"/>
      </w:pPr>
    </w:p>
    <w:p w:rsidR="005A53AA" w:rsidRPr="00F539D6" w:rsidRDefault="001C4FF1" w:rsidP="00BD1DA6">
      <w:pPr>
        <w:pStyle w:val="Heading2"/>
        <w:spacing w:before="0" w:after="0"/>
      </w:pPr>
      <w:bookmarkStart w:id="32" w:name="_Toc492915025"/>
      <w:r>
        <w:t>5.2</w:t>
      </w:r>
      <w:r w:rsidR="005A53AA">
        <w:tab/>
        <w:t>C</w:t>
      </w:r>
      <w:r w:rsidR="005A53AA" w:rsidRPr="00F539D6">
        <w:t>ommunications</w:t>
      </w:r>
      <w:bookmarkEnd w:id="32"/>
    </w:p>
    <w:p w:rsidR="00996309" w:rsidRDefault="00996309" w:rsidP="00BD1DA6">
      <w:pPr>
        <w:jc w:val="both"/>
      </w:pPr>
    </w:p>
    <w:p w:rsidR="005A53AA" w:rsidRPr="00431012" w:rsidRDefault="005A53AA" w:rsidP="00BD1DA6">
      <w:pPr>
        <w:jc w:val="both"/>
      </w:pPr>
      <w:r w:rsidRPr="00431012">
        <w:t>KSI’s overall objectives for communications are to:</w:t>
      </w:r>
    </w:p>
    <w:p w:rsidR="0033729F" w:rsidRPr="0033729F" w:rsidRDefault="0033729F" w:rsidP="00BD1DA6">
      <w:pPr>
        <w:pStyle w:val="ListParagraph"/>
        <w:numPr>
          <w:ilvl w:val="0"/>
          <w:numId w:val="7"/>
        </w:numPr>
        <w:contextualSpacing w:val="0"/>
        <w:jc w:val="both"/>
        <w:rPr>
          <w:rFonts w:ascii="Calibri" w:hAnsi="Calibri"/>
          <w:sz w:val="22"/>
          <w:szCs w:val="22"/>
        </w:rPr>
      </w:pPr>
      <w:r>
        <w:rPr>
          <w:rFonts w:ascii="Calibri" w:hAnsi="Calibri"/>
          <w:sz w:val="22"/>
          <w:szCs w:val="22"/>
        </w:rPr>
        <w:t xml:space="preserve">Ensure strong understanding of the program and its objectives among shareholders and </w:t>
      </w:r>
      <w:r w:rsidRPr="00431012">
        <w:rPr>
          <w:rFonts w:ascii="Calibri" w:hAnsi="Calibri"/>
          <w:sz w:val="22"/>
          <w:szCs w:val="22"/>
        </w:rPr>
        <w:t>stakeholders</w:t>
      </w:r>
      <w:r>
        <w:rPr>
          <w:rFonts w:ascii="Calibri" w:hAnsi="Calibri"/>
          <w:sz w:val="22"/>
          <w:szCs w:val="22"/>
        </w:rPr>
        <w:t xml:space="preserve"> and c</w:t>
      </w:r>
      <w:r w:rsidRPr="00431012">
        <w:rPr>
          <w:rFonts w:ascii="Calibri" w:hAnsi="Calibri"/>
          <w:sz w:val="22"/>
          <w:szCs w:val="22"/>
        </w:rPr>
        <w:t xml:space="preserve">ommunicate </w:t>
      </w:r>
      <w:r>
        <w:rPr>
          <w:rFonts w:ascii="Calibri" w:hAnsi="Calibri"/>
          <w:sz w:val="22"/>
          <w:szCs w:val="22"/>
        </w:rPr>
        <w:t xml:space="preserve">program </w:t>
      </w:r>
      <w:r w:rsidRPr="00431012">
        <w:rPr>
          <w:rFonts w:ascii="Calibri" w:hAnsi="Calibri"/>
          <w:sz w:val="22"/>
          <w:szCs w:val="22"/>
        </w:rPr>
        <w:t>progress and success</w:t>
      </w:r>
      <w:r>
        <w:rPr>
          <w:rFonts w:ascii="Calibri" w:hAnsi="Calibri"/>
          <w:sz w:val="22"/>
          <w:szCs w:val="22"/>
        </w:rPr>
        <w:t>es</w:t>
      </w:r>
      <w:r w:rsidRPr="00431012">
        <w:rPr>
          <w:rFonts w:ascii="Calibri" w:hAnsi="Calibri"/>
          <w:sz w:val="22"/>
          <w:szCs w:val="22"/>
        </w:rPr>
        <w:t>;</w:t>
      </w:r>
      <w:r w:rsidR="004E708E">
        <w:rPr>
          <w:rFonts w:ascii="Calibri" w:hAnsi="Calibri"/>
          <w:sz w:val="22"/>
          <w:szCs w:val="22"/>
        </w:rPr>
        <w:t xml:space="preserve"> and</w:t>
      </w:r>
    </w:p>
    <w:p w:rsidR="005A53AA" w:rsidRPr="00431012" w:rsidRDefault="005A53AA" w:rsidP="00BD1DA6">
      <w:pPr>
        <w:pStyle w:val="ListParagraph"/>
        <w:numPr>
          <w:ilvl w:val="0"/>
          <w:numId w:val="7"/>
        </w:numPr>
        <w:contextualSpacing w:val="0"/>
        <w:jc w:val="both"/>
        <w:rPr>
          <w:rFonts w:ascii="Calibri" w:hAnsi="Calibri"/>
          <w:sz w:val="22"/>
          <w:szCs w:val="22"/>
        </w:rPr>
      </w:pPr>
      <w:r w:rsidRPr="00431012">
        <w:rPr>
          <w:rFonts w:ascii="Calibri" w:hAnsi="Calibri"/>
          <w:sz w:val="22"/>
          <w:szCs w:val="22"/>
        </w:rPr>
        <w:t xml:space="preserve">Expand </w:t>
      </w:r>
      <w:r w:rsidR="007D1A48">
        <w:rPr>
          <w:rFonts w:ascii="Calibri" w:hAnsi="Calibri"/>
          <w:sz w:val="22"/>
          <w:szCs w:val="22"/>
        </w:rPr>
        <w:t xml:space="preserve">awareness </w:t>
      </w:r>
      <w:r w:rsidRPr="00431012">
        <w:rPr>
          <w:rFonts w:ascii="Calibri" w:hAnsi="Calibri"/>
          <w:sz w:val="22"/>
          <w:szCs w:val="22"/>
        </w:rPr>
        <w:t xml:space="preserve">of the </w:t>
      </w:r>
      <w:r w:rsidR="007D1A48">
        <w:rPr>
          <w:rFonts w:ascii="Calibri" w:hAnsi="Calibri"/>
          <w:sz w:val="22"/>
          <w:szCs w:val="22"/>
        </w:rPr>
        <w:t xml:space="preserve">importance of a healthy </w:t>
      </w:r>
      <w:r w:rsidRPr="00431012">
        <w:rPr>
          <w:rFonts w:ascii="Calibri" w:hAnsi="Calibri"/>
          <w:sz w:val="22"/>
          <w:szCs w:val="22"/>
        </w:rPr>
        <w:t xml:space="preserve">knowledge sector </w:t>
      </w:r>
      <w:r w:rsidR="007D1A48">
        <w:rPr>
          <w:rFonts w:ascii="Calibri" w:hAnsi="Calibri"/>
          <w:sz w:val="22"/>
          <w:szCs w:val="22"/>
        </w:rPr>
        <w:t xml:space="preserve">among a broader </w:t>
      </w:r>
      <w:r w:rsidRPr="00431012">
        <w:rPr>
          <w:rFonts w:ascii="Calibri" w:hAnsi="Calibri"/>
          <w:sz w:val="22"/>
          <w:szCs w:val="22"/>
        </w:rPr>
        <w:t>audience.</w:t>
      </w:r>
    </w:p>
    <w:p w:rsidR="005A53AA" w:rsidRPr="00431012" w:rsidRDefault="005A53AA" w:rsidP="00BD1DA6">
      <w:pPr>
        <w:pStyle w:val="ListParagraph"/>
        <w:contextualSpacing w:val="0"/>
        <w:jc w:val="both"/>
        <w:rPr>
          <w:rFonts w:ascii="Calibri" w:hAnsi="Calibri"/>
          <w:sz w:val="22"/>
          <w:szCs w:val="22"/>
        </w:rPr>
      </w:pPr>
    </w:p>
    <w:p w:rsidR="00F72F92" w:rsidRPr="008B264E" w:rsidRDefault="004E708E" w:rsidP="00BD1DA6">
      <w:pPr>
        <w:jc w:val="both"/>
      </w:pPr>
      <w:r w:rsidRPr="008B264E">
        <w:rPr>
          <w:b/>
        </w:rPr>
        <w:t>Communication with stakeholders:</w:t>
      </w:r>
      <w:r w:rsidR="00EB2173" w:rsidRPr="008B264E">
        <w:rPr>
          <w:b/>
        </w:rPr>
        <w:t xml:space="preserve"> </w:t>
      </w:r>
      <w:r w:rsidR="00EB2173" w:rsidRPr="008B264E">
        <w:t xml:space="preserve">The program will communicate </w:t>
      </w:r>
      <w:r w:rsidR="00F72F92" w:rsidRPr="008B264E">
        <w:t xml:space="preserve">information on progress, impact and learning through a range of channels. These will include knowledge-sharing sessions, workshops, seminars and conferences; articles, opinion pieces and blogs in traditional and online media; social media; online platforms; and email and messaging apps. </w:t>
      </w:r>
    </w:p>
    <w:p w:rsidR="004E708E" w:rsidRPr="00416751" w:rsidRDefault="00F72F92" w:rsidP="00BD1DA6">
      <w:pPr>
        <w:jc w:val="both"/>
      </w:pPr>
      <w:r w:rsidRPr="008B264E">
        <w:t xml:space="preserve">Details of the program’s strategy and approach to stakeholder communications </w:t>
      </w:r>
      <w:r w:rsidR="00EB2173" w:rsidRPr="00416751">
        <w:t>will be developed during the transition period.</w:t>
      </w:r>
    </w:p>
    <w:p w:rsidR="004E708E" w:rsidRPr="008B264E" w:rsidRDefault="004E708E" w:rsidP="00BD1DA6">
      <w:pPr>
        <w:jc w:val="both"/>
        <w:rPr>
          <w:b/>
        </w:rPr>
      </w:pPr>
    </w:p>
    <w:p w:rsidR="004E708E" w:rsidRDefault="00416751" w:rsidP="00BD1DA6">
      <w:pPr>
        <w:jc w:val="both"/>
      </w:pPr>
      <w:r>
        <w:t xml:space="preserve">The </w:t>
      </w:r>
      <w:r w:rsidR="005A53AA" w:rsidRPr="00431012">
        <w:t xml:space="preserve">brokering of a formal partnership agreement </w:t>
      </w:r>
      <w:r w:rsidR="007919E1">
        <w:t xml:space="preserve">between the DFAT and KSI/RTI teams </w:t>
      </w:r>
      <w:r w:rsidR="005A53AA" w:rsidRPr="00431012">
        <w:t xml:space="preserve">in May 2015, and subsequent six-monthly health checks, has supported the program to negotiate some of the challenges faced in implementation during the latter part of the first phase. It did this by establishing clear principles, communication practices and approaches to risk management in the day-to-day relationship between the </w:t>
      </w:r>
      <w:r w:rsidR="007919E1">
        <w:t>two</w:t>
      </w:r>
      <w:r w:rsidR="005A53AA" w:rsidRPr="00431012">
        <w:t xml:space="preserve">. </w:t>
      </w:r>
      <w:r w:rsidR="004E708E" w:rsidRPr="00431012">
        <w:t>Everyday communication between the teams will continue to be informed by the principles of the partnership agreemen</w:t>
      </w:r>
      <w:r w:rsidR="003E7E26">
        <w:t>t.</w:t>
      </w:r>
    </w:p>
    <w:p w:rsidR="004E708E" w:rsidRDefault="004E708E" w:rsidP="00BD1DA6">
      <w:pPr>
        <w:jc w:val="both"/>
      </w:pPr>
    </w:p>
    <w:p w:rsidR="005A53AA" w:rsidRPr="00431012" w:rsidRDefault="005A53AA" w:rsidP="00BD1DA6">
      <w:pPr>
        <w:jc w:val="both"/>
      </w:pPr>
      <w:r w:rsidRPr="008B264E">
        <w:t>The next health check</w:t>
      </w:r>
      <w:r w:rsidR="004E708E" w:rsidRPr="008B264E">
        <w:t>,</w:t>
      </w:r>
      <w:r w:rsidRPr="008B264E">
        <w:t xml:space="preserve"> due to be held early in </w:t>
      </w:r>
      <w:r w:rsidR="00431012" w:rsidRPr="008B264E">
        <w:t>phase</w:t>
      </w:r>
      <w:r w:rsidRPr="008B264E">
        <w:t xml:space="preserve"> 2</w:t>
      </w:r>
      <w:r w:rsidR="004E708E" w:rsidRPr="008B264E">
        <w:t>, will be scheduled to ensure that new members of the KSI/RTI and DFAT teams are able to participate</w:t>
      </w:r>
      <w:r w:rsidRPr="008B264E">
        <w:t>.</w:t>
      </w:r>
      <w:r w:rsidRPr="00431012">
        <w:t xml:space="preserve"> In line with the current practice on other related DFAT programs, the potential for engaging </w:t>
      </w:r>
      <w:r w:rsidR="0011645C">
        <w:t>Indonesian government</w:t>
      </w:r>
      <w:r w:rsidR="0011645C" w:rsidRPr="00431012">
        <w:t xml:space="preserve"> </w:t>
      </w:r>
      <w:r w:rsidRPr="00431012">
        <w:t xml:space="preserve">counterparts directly in the partnership process will be explored in the lead up to the health-check. </w:t>
      </w:r>
    </w:p>
    <w:p w:rsidR="005A53AA" w:rsidRPr="00431012" w:rsidRDefault="005A53AA" w:rsidP="00BD1DA6">
      <w:pPr>
        <w:jc w:val="both"/>
      </w:pPr>
    </w:p>
    <w:p w:rsidR="005A53AA" w:rsidRPr="00431012" w:rsidRDefault="001C4FF1" w:rsidP="00BD1DA6">
      <w:pPr>
        <w:jc w:val="both"/>
      </w:pPr>
      <w:r>
        <w:t xml:space="preserve">The KSI team will meet the information needs of DFAT and </w:t>
      </w:r>
      <w:r w:rsidR="0033729F">
        <w:t xml:space="preserve">the Government of Indonesia </w:t>
      </w:r>
      <w:r>
        <w:t xml:space="preserve">through frequent engagement and </w:t>
      </w:r>
      <w:r w:rsidR="003E7E26">
        <w:t xml:space="preserve">communications. </w:t>
      </w:r>
      <w:r w:rsidR="003E7E26" w:rsidRPr="008B264E">
        <w:t xml:space="preserve">This will include regular technical and managerial updates, including minuted management meetings, to communicate information on program progress and plans, changes to program risks, including proactive communication of emerging risks and opportunities, and </w:t>
      </w:r>
      <w:r w:rsidR="00EB2173" w:rsidRPr="008B264E">
        <w:t xml:space="preserve">other </w:t>
      </w:r>
      <w:r w:rsidR="003E7E26" w:rsidRPr="008B264E">
        <w:t>strategic information</w:t>
      </w:r>
      <w:r w:rsidR="00EB2173" w:rsidRPr="008B264E">
        <w:t>,</w:t>
      </w:r>
      <w:r w:rsidR="003E7E26" w:rsidRPr="008B264E">
        <w:t xml:space="preserve"> </w:t>
      </w:r>
      <w:r w:rsidR="00EB2173" w:rsidRPr="008B264E">
        <w:t xml:space="preserve">as well as </w:t>
      </w:r>
      <w:r w:rsidR="003E7E26" w:rsidRPr="008B264E">
        <w:t xml:space="preserve">prompt responses to DFAT </w:t>
      </w:r>
      <w:r w:rsidR="003E7E26" w:rsidRPr="008B264E">
        <w:rPr>
          <w:lang w:val="id-ID"/>
        </w:rPr>
        <w:t xml:space="preserve">and </w:t>
      </w:r>
      <w:r w:rsidR="003E7E26" w:rsidRPr="008B264E">
        <w:rPr>
          <w:lang w:val="en-US"/>
        </w:rPr>
        <w:t>Government of Indonesia</w:t>
      </w:r>
      <w:r w:rsidR="003E7E26" w:rsidRPr="008B264E">
        <w:rPr>
          <w:lang w:val="id-ID"/>
        </w:rPr>
        <w:t xml:space="preserve"> </w:t>
      </w:r>
      <w:r w:rsidR="003E7E26" w:rsidRPr="008B264E">
        <w:t>enquiries on progra</w:t>
      </w:r>
      <w:r w:rsidR="00EB2173" w:rsidRPr="008B264E">
        <w:t>m management and implementation,</w:t>
      </w:r>
      <w:r w:rsidR="003E7E26" w:rsidRPr="008B264E">
        <w:t xml:space="preserve"> and policy briefings as required</w:t>
      </w:r>
      <w:r w:rsidR="00EB2173" w:rsidRPr="008B264E">
        <w:t>.</w:t>
      </w:r>
    </w:p>
    <w:p w:rsidR="00431012" w:rsidRPr="00431012" w:rsidRDefault="00431012" w:rsidP="00BD1DA6">
      <w:pPr>
        <w:widowControl w:val="0"/>
        <w:autoSpaceDE w:val="0"/>
        <w:autoSpaceDN w:val="0"/>
        <w:adjustRightInd w:val="0"/>
        <w:jc w:val="both"/>
        <w:rPr>
          <w:rFonts w:eastAsiaTheme="minorEastAsia" w:cs="Arial"/>
          <w:color w:val="1A1A1A"/>
          <w:lang w:val="en-US" w:eastAsia="en-US"/>
        </w:rPr>
      </w:pPr>
    </w:p>
    <w:p w:rsidR="00B372C5" w:rsidRPr="00F539D6" w:rsidRDefault="001C4FF1" w:rsidP="00BD1DA6">
      <w:pPr>
        <w:pStyle w:val="Heading1"/>
        <w:spacing w:after="0"/>
        <w:rPr>
          <w:lang w:val="en-US"/>
        </w:rPr>
      </w:pPr>
      <w:bookmarkStart w:id="33" w:name="_Toc492915026"/>
      <w:r>
        <w:lastRenderedPageBreak/>
        <w:t>6</w:t>
      </w:r>
      <w:r w:rsidR="00F959C7">
        <w:t xml:space="preserve">   </w:t>
      </w:r>
      <w:r w:rsidR="004B00E1">
        <w:t>Partnerships</w:t>
      </w:r>
      <w:bookmarkEnd w:id="33"/>
    </w:p>
    <w:p w:rsidR="00C62D04" w:rsidRDefault="00C62D04" w:rsidP="00BD1DA6">
      <w:pPr>
        <w:jc w:val="both"/>
      </w:pPr>
    </w:p>
    <w:p w:rsidR="00B372C5" w:rsidRPr="00431012" w:rsidRDefault="00B372C5" w:rsidP="00BD1DA6">
      <w:pPr>
        <w:jc w:val="both"/>
      </w:pPr>
      <w:r w:rsidRPr="00431012">
        <w:t xml:space="preserve">This section maps </w:t>
      </w:r>
      <w:r w:rsidR="00615184">
        <w:t xml:space="preserve">KSI’s </w:t>
      </w:r>
      <w:r w:rsidRPr="00431012">
        <w:t>main typ</w:t>
      </w:r>
      <w:r w:rsidR="00431012">
        <w:t xml:space="preserve">es of </w:t>
      </w:r>
      <w:r w:rsidR="00431012" w:rsidRPr="00A25B60">
        <w:t>stakeholder</w:t>
      </w:r>
      <w:r w:rsidR="00431012">
        <w:t xml:space="preserve"> relationships</w:t>
      </w:r>
      <w:r w:rsidRPr="00431012">
        <w:t xml:space="preserve">, </w:t>
      </w:r>
      <w:r w:rsidR="00615184">
        <w:t xml:space="preserve">including </w:t>
      </w:r>
      <w:r w:rsidRPr="00431012">
        <w:t>how relationships will be prioriti</w:t>
      </w:r>
      <w:r w:rsidR="00683A61">
        <w:t>s</w:t>
      </w:r>
      <w:r w:rsidRPr="00431012">
        <w:t xml:space="preserve">ed </w:t>
      </w:r>
      <w:r w:rsidR="00D00448">
        <w:t xml:space="preserve">and activities funded </w:t>
      </w:r>
      <w:r w:rsidRPr="00431012">
        <w:t xml:space="preserve">to achieve end-of-program outcomes and future sustainability. </w:t>
      </w:r>
      <w:r w:rsidR="001C4FF1" w:rsidRPr="00F71D0D">
        <w:rPr>
          <w:rFonts w:asciiTheme="minorHAnsi" w:hAnsiTheme="minorHAnsi" w:cs="Microsoft New Tai Lue"/>
        </w:rPr>
        <w:t xml:space="preserve">Given the complexity </w:t>
      </w:r>
      <w:r w:rsidR="00711C0B">
        <w:rPr>
          <w:rFonts w:asciiTheme="minorHAnsi" w:hAnsiTheme="minorHAnsi" w:cs="Microsoft New Tai Lue"/>
        </w:rPr>
        <w:t>of</w:t>
      </w:r>
      <w:r w:rsidR="001C4FF1" w:rsidRPr="00F71D0D">
        <w:rPr>
          <w:rFonts w:asciiTheme="minorHAnsi" w:hAnsiTheme="minorHAnsi" w:cs="Microsoft New Tai Lue"/>
        </w:rPr>
        <w:t xml:space="preserve"> establishing robust partnerships </w:t>
      </w:r>
      <w:r w:rsidR="00615184">
        <w:rPr>
          <w:rFonts w:asciiTheme="minorHAnsi" w:hAnsiTheme="minorHAnsi" w:cs="Microsoft New Tai Lue"/>
        </w:rPr>
        <w:t xml:space="preserve">- </w:t>
      </w:r>
      <w:r w:rsidR="001C4FF1" w:rsidRPr="00F71D0D">
        <w:rPr>
          <w:rFonts w:asciiTheme="minorHAnsi" w:hAnsiTheme="minorHAnsi" w:cs="Microsoft New Tai Lue"/>
        </w:rPr>
        <w:t xml:space="preserve">and </w:t>
      </w:r>
      <w:r w:rsidR="001C4FF1">
        <w:rPr>
          <w:rFonts w:asciiTheme="minorHAnsi" w:hAnsiTheme="minorHAnsi" w:cs="Microsoft New Tai Lue"/>
        </w:rPr>
        <w:t xml:space="preserve">the experiences of doing so in </w:t>
      </w:r>
      <w:r w:rsidR="001C4FF1" w:rsidRPr="00F71D0D">
        <w:rPr>
          <w:rFonts w:asciiTheme="minorHAnsi" w:hAnsiTheme="minorHAnsi" w:cs="Microsoft New Tai Lue"/>
        </w:rPr>
        <w:t>phase 1</w:t>
      </w:r>
      <w:r w:rsidR="00615184">
        <w:rPr>
          <w:rFonts w:asciiTheme="minorHAnsi" w:hAnsiTheme="minorHAnsi" w:cs="Microsoft New Tai Lue"/>
        </w:rPr>
        <w:t xml:space="preserve"> -</w:t>
      </w:r>
      <w:r w:rsidR="001C4FF1" w:rsidRPr="00F71D0D">
        <w:rPr>
          <w:rFonts w:asciiTheme="minorHAnsi" w:hAnsiTheme="minorHAnsi" w:cs="Microsoft New Tai Lue"/>
        </w:rPr>
        <w:t xml:space="preserve"> </w:t>
      </w:r>
      <w:r w:rsidR="001C4FF1">
        <w:rPr>
          <w:rFonts w:asciiTheme="minorHAnsi" w:hAnsiTheme="minorHAnsi" w:cs="Microsoft New Tai Lue"/>
        </w:rPr>
        <w:t xml:space="preserve">KSI’s approach to partnerships will </w:t>
      </w:r>
      <w:r w:rsidR="00615184">
        <w:rPr>
          <w:rFonts w:asciiTheme="minorHAnsi" w:hAnsiTheme="minorHAnsi" w:cs="Microsoft New Tai Lue"/>
        </w:rPr>
        <w:t xml:space="preserve">be </w:t>
      </w:r>
      <w:r w:rsidR="001C4FF1">
        <w:rPr>
          <w:rFonts w:asciiTheme="minorHAnsi" w:hAnsiTheme="minorHAnsi" w:cs="Microsoft New Tai Lue"/>
        </w:rPr>
        <w:t>ground</w:t>
      </w:r>
      <w:r w:rsidR="00615184">
        <w:rPr>
          <w:rFonts w:asciiTheme="minorHAnsi" w:hAnsiTheme="minorHAnsi" w:cs="Microsoft New Tai Lue"/>
        </w:rPr>
        <w:t>ed in</w:t>
      </w:r>
      <w:r w:rsidR="001C4FF1">
        <w:rPr>
          <w:rFonts w:asciiTheme="minorHAnsi" w:hAnsiTheme="minorHAnsi" w:cs="Microsoft New Tai Lue"/>
        </w:rPr>
        <w:t xml:space="preserve"> its knowledge of the incentives (and disincentives) and drivers within and between the institutions </w:t>
      </w:r>
      <w:r w:rsidR="004A7CA1">
        <w:rPr>
          <w:rFonts w:asciiTheme="minorHAnsi" w:hAnsiTheme="minorHAnsi" w:cs="Microsoft New Tai Lue"/>
        </w:rPr>
        <w:t xml:space="preserve">with which </w:t>
      </w:r>
      <w:r w:rsidR="001C4FF1">
        <w:rPr>
          <w:rFonts w:asciiTheme="minorHAnsi" w:hAnsiTheme="minorHAnsi" w:cs="Microsoft New Tai Lue"/>
        </w:rPr>
        <w:t>it works.</w:t>
      </w:r>
    </w:p>
    <w:p w:rsidR="00C62D04" w:rsidRDefault="00C62D04" w:rsidP="00BD1DA6">
      <w:pPr>
        <w:pStyle w:val="Heading2"/>
        <w:spacing w:before="0" w:after="0"/>
      </w:pPr>
    </w:p>
    <w:p w:rsidR="007919E1" w:rsidRPr="004B00E1" w:rsidRDefault="001C4FF1" w:rsidP="00BD1DA6">
      <w:pPr>
        <w:pStyle w:val="Heading2"/>
        <w:spacing w:before="0" w:after="0"/>
      </w:pPr>
      <w:bookmarkStart w:id="34" w:name="_Toc492915027"/>
      <w:r>
        <w:t>6</w:t>
      </w:r>
      <w:r w:rsidR="007919E1">
        <w:t>.1</w:t>
      </w:r>
      <w:r w:rsidR="00810183">
        <w:tab/>
      </w:r>
      <w:r w:rsidR="00D70C26">
        <w:t>Policy research partners and networks</w:t>
      </w:r>
      <w:bookmarkEnd w:id="34"/>
    </w:p>
    <w:p w:rsidR="00C62D04" w:rsidRDefault="00C62D04" w:rsidP="00BD1DA6">
      <w:pPr>
        <w:jc w:val="both"/>
      </w:pPr>
    </w:p>
    <w:p w:rsidR="00B33B99" w:rsidRDefault="007919E1" w:rsidP="00BD1DA6">
      <w:pPr>
        <w:jc w:val="both"/>
      </w:pPr>
      <w:r w:rsidRPr="009D10B1">
        <w:t xml:space="preserve">The 16 </w:t>
      </w:r>
      <w:r w:rsidR="00711C0B">
        <w:t xml:space="preserve">policy research institutes with which KSI partnered in phase 1 </w:t>
      </w:r>
      <w:r w:rsidR="008611C8">
        <w:t>are a strong asset for</w:t>
      </w:r>
      <w:r w:rsidRPr="009D10B1">
        <w:t xml:space="preserve"> KSI in phase 2. Evidence from phase 1 </w:t>
      </w:r>
      <w:r w:rsidR="008611C8">
        <w:t xml:space="preserve">shows that core grants were effective in supporting </w:t>
      </w:r>
      <w:r w:rsidR="00711C0B">
        <w:t xml:space="preserve">these organisations to develop the technical, organisational and management </w:t>
      </w:r>
      <w:r w:rsidR="008611C8">
        <w:t xml:space="preserve">capacities </w:t>
      </w:r>
      <w:r w:rsidR="00711C0B">
        <w:t xml:space="preserve">they need </w:t>
      </w:r>
      <w:r w:rsidR="008611C8">
        <w:t xml:space="preserve">to </w:t>
      </w:r>
      <w:r w:rsidR="00711C0B">
        <w:t xml:space="preserve">strengthen their credibility and </w:t>
      </w:r>
      <w:r w:rsidR="008611C8">
        <w:t>provide high quality analysis to policymakers.</w:t>
      </w:r>
      <w:r w:rsidR="00B33B99">
        <w:t xml:space="preserve"> </w:t>
      </w:r>
      <w:r w:rsidR="00711C0B">
        <w:t>In p</w:t>
      </w:r>
      <w:r w:rsidR="00B33B99">
        <w:t>hase 2</w:t>
      </w:r>
      <w:r w:rsidR="00711C0B">
        <w:t xml:space="preserve">, the approach to funding these and other research organisations </w:t>
      </w:r>
      <w:r w:rsidR="00B33B99">
        <w:t xml:space="preserve">will shift </w:t>
      </w:r>
      <w:r w:rsidR="005D642C">
        <w:t xml:space="preserve">in two </w:t>
      </w:r>
      <w:r w:rsidR="00711C0B">
        <w:t xml:space="preserve">main </w:t>
      </w:r>
      <w:r w:rsidR="005D642C">
        <w:t xml:space="preserve">ways: </w:t>
      </w:r>
    </w:p>
    <w:p w:rsidR="00B33B99" w:rsidRDefault="00B33B99" w:rsidP="00BD1DA6">
      <w:pPr>
        <w:jc w:val="both"/>
      </w:pPr>
    </w:p>
    <w:p w:rsidR="00BE106B" w:rsidRDefault="005D642C" w:rsidP="00BD1DA6">
      <w:pPr>
        <w:jc w:val="both"/>
      </w:pPr>
      <w:r>
        <w:rPr>
          <w:b/>
        </w:rPr>
        <w:t xml:space="preserve">From core funding to performance-based grants: </w:t>
      </w:r>
      <w:r w:rsidR="008611C8">
        <w:t>In phase 1</w:t>
      </w:r>
      <w:r w:rsidR="00711C0B">
        <w:t xml:space="preserve">, KSI’s support </w:t>
      </w:r>
      <w:r w:rsidR="008611C8">
        <w:t>focus</w:t>
      </w:r>
      <w:r w:rsidR="00711C0B">
        <w:t>ed</w:t>
      </w:r>
      <w:r w:rsidR="008611C8">
        <w:t xml:space="preserve"> on individual </w:t>
      </w:r>
      <w:r w:rsidR="00711C0B">
        <w:t>research organisations</w:t>
      </w:r>
      <w:r w:rsidR="00C41950">
        <w:t>. Capacity development emphasised different areas of organisational capacity -</w:t>
      </w:r>
      <w:r w:rsidR="00B33B99">
        <w:t xml:space="preserve"> </w:t>
      </w:r>
      <w:r w:rsidR="00C41950">
        <w:t>strategic planning</w:t>
      </w:r>
      <w:r w:rsidR="00B33B99">
        <w:t xml:space="preserve">, </w:t>
      </w:r>
      <w:r w:rsidR="00C41950">
        <w:t>research management</w:t>
      </w:r>
      <w:r w:rsidR="00B33B99">
        <w:t xml:space="preserve">, human resources, research skills, </w:t>
      </w:r>
      <w:r w:rsidR="00F96970">
        <w:t>and</w:t>
      </w:r>
      <w:r w:rsidR="00C41950">
        <w:t xml:space="preserve"> </w:t>
      </w:r>
      <w:r w:rsidR="00B33B99">
        <w:t>data management</w:t>
      </w:r>
      <w:r w:rsidR="00C41950">
        <w:t xml:space="preserve">. </w:t>
      </w:r>
      <w:r w:rsidR="008611C8">
        <w:t>In phase 2</w:t>
      </w:r>
      <w:r w:rsidR="00B33B99">
        <w:t xml:space="preserve"> the focus will shift to </w:t>
      </w:r>
      <w:r w:rsidR="00FA60D7">
        <w:t>an</w:t>
      </w:r>
      <w:r w:rsidR="00C41950">
        <w:t xml:space="preserve"> emphasis on the </w:t>
      </w:r>
      <w:r w:rsidR="00B33B99">
        <w:t xml:space="preserve">set of </w:t>
      </w:r>
      <w:r w:rsidR="00C41950">
        <w:t xml:space="preserve">organisational </w:t>
      </w:r>
      <w:r w:rsidR="00B33B99">
        <w:t xml:space="preserve">capabilities that are </w:t>
      </w:r>
      <w:r w:rsidR="00C41950">
        <w:t xml:space="preserve">necessary </w:t>
      </w:r>
      <w:r w:rsidR="00B33B99">
        <w:t xml:space="preserve">to address systemic barriers in Indonesia’s knowledge sector. </w:t>
      </w:r>
      <w:r w:rsidR="00A115CD">
        <w:t>This approach will support</w:t>
      </w:r>
      <w:r w:rsidR="00B33B99">
        <w:t xml:space="preserve"> </w:t>
      </w:r>
      <w:r w:rsidR="00A115CD">
        <w:t xml:space="preserve">a </w:t>
      </w:r>
      <w:r w:rsidR="00B33B99">
        <w:t>strong</w:t>
      </w:r>
      <w:r w:rsidR="00A115CD">
        <w:t>er</w:t>
      </w:r>
      <w:r w:rsidR="00B33B99">
        <w:t xml:space="preserve"> link </w:t>
      </w:r>
      <w:r w:rsidR="00A115CD">
        <w:t xml:space="preserve">between </w:t>
      </w:r>
      <w:r w:rsidR="00B33B99">
        <w:t xml:space="preserve">the </w:t>
      </w:r>
      <w:r w:rsidR="00A115CD">
        <w:t>research partners</w:t>
      </w:r>
      <w:r w:rsidR="00BE106B">
        <w:t>’</w:t>
      </w:r>
      <w:r w:rsidR="00BE106B" w:rsidRPr="00BE106B">
        <w:t xml:space="preserve"> </w:t>
      </w:r>
      <w:r w:rsidR="00BE106B">
        <w:t>activities</w:t>
      </w:r>
      <w:r w:rsidR="00A115CD">
        <w:t xml:space="preserve"> and KSI’s </w:t>
      </w:r>
      <w:r w:rsidR="00B33B99">
        <w:t xml:space="preserve">outcome of a healthier knowledge sector. </w:t>
      </w:r>
    </w:p>
    <w:p w:rsidR="00BE106B" w:rsidRDefault="00BE106B" w:rsidP="00BD1DA6">
      <w:pPr>
        <w:jc w:val="both"/>
      </w:pPr>
    </w:p>
    <w:p w:rsidR="00B33B99" w:rsidRDefault="00B33B99" w:rsidP="00BD1DA6">
      <w:pPr>
        <w:jc w:val="both"/>
      </w:pPr>
      <w:r>
        <w:t xml:space="preserve">In terms of funding support, the new approach will see a shift from core funding of organisations to performance-based grants. </w:t>
      </w:r>
      <w:r w:rsidR="00BE106B">
        <w:t>This means that i</w:t>
      </w:r>
      <w:r>
        <w:t xml:space="preserve">n phase 2, grants to </w:t>
      </w:r>
      <w:r w:rsidR="00BE106B">
        <w:t xml:space="preserve">research organisations </w:t>
      </w:r>
      <w:r>
        <w:t xml:space="preserve">will focus on the accomplishment of certain milestones in support of a healthy knowledge sector. For example, KSI may provide a performance-based grant to a </w:t>
      </w:r>
      <w:r w:rsidR="00BE106B">
        <w:t xml:space="preserve">research organisation </w:t>
      </w:r>
      <w:r>
        <w:t xml:space="preserve">to support them in mobilising national efforts to address problems in national data quality and accessibility or in convening dialogue on quality policy research. Since core funding has been </w:t>
      </w:r>
      <w:r w:rsidR="00BE106B">
        <w:t>critical for</w:t>
      </w:r>
      <w:r>
        <w:t xml:space="preserve"> many of the </w:t>
      </w:r>
      <w:r w:rsidR="00BE106B">
        <w:t xml:space="preserve">research organisations </w:t>
      </w:r>
      <w:r>
        <w:t xml:space="preserve">in </w:t>
      </w:r>
      <w:r w:rsidR="00BE106B">
        <w:t xml:space="preserve">enabling </w:t>
      </w:r>
      <w:r>
        <w:t>staff development</w:t>
      </w:r>
      <w:r w:rsidR="00BE106B">
        <w:t xml:space="preserve"> and other institutional development activities</w:t>
      </w:r>
      <w:r>
        <w:t xml:space="preserve">, a portion of the new performance-based grants will be available for institutional development, along with clear plans and accountability mechanisms for use of those funds. </w:t>
      </w:r>
    </w:p>
    <w:p w:rsidR="005D642C" w:rsidRDefault="005D642C" w:rsidP="00BD1DA6">
      <w:pPr>
        <w:jc w:val="both"/>
      </w:pPr>
    </w:p>
    <w:p w:rsidR="00C43918" w:rsidRPr="00DE657F" w:rsidRDefault="005D642C" w:rsidP="00BD1DA6">
      <w:pPr>
        <w:jc w:val="both"/>
      </w:pPr>
      <w:r>
        <w:rPr>
          <w:b/>
        </w:rPr>
        <w:t xml:space="preserve">From support to individual organisations to funding for collaborative action: </w:t>
      </w:r>
      <w:r>
        <w:t xml:space="preserve">The second dimension of this transition will be more support for collaborative action among multiple </w:t>
      </w:r>
      <w:r w:rsidRPr="00DE657F">
        <w:t xml:space="preserve">organisations to address common challenges in the knowledge sector. In late 2016, the 16 </w:t>
      </w:r>
      <w:r w:rsidR="00157C26" w:rsidRPr="00DE657F">
        <w:t xml:space="preserve">partner research organisations </w:t>
      </w:r>
      <w:r w:rsidRPr="00DE657F">
        <w:t xml:space="preserve">established </w:t>
      </w:r>
      <w:r w:rsidR="00157C26" w:rsidRPr="00DE657F">
        <w:t xml:space="preserve">a coalition – </w:t>
      </w:r>
      <w:r w:rsidR="00451C70" w:rsidRPr="00DE657F">
        <w:t>the ARK</w:t>
      </w:r>
      <w:r w:rsidR="00157C26" w:rsidRPr="00DE657F">
        <w:t xml:space="preserve">. </w:t>
      </w:r>
      <w:r w:rsidR="00C43918" w:rsidRPr="00DE657F">
        <w:t xml:space="preserve">The Alliance’s work focuses on building a network of research organisations which support policymakers to define critical policy problems, identify solutions, and assess policy outcomes. This includes establishing communities of practice on key policy areas; organising training events for members; expanding joint research with Indonesian and international organisations; cultivating networks with national and local policymakers to promote the use of knowledge in policy; engaging with the media to support communication of research to the public; and supporting efforts to increase public and private funding for research. </w:t>
      </w:r>
      <w:r w:rsidRPr="00DE657F">
        <w:t xml:space="preserve">The Alliance provides KSI with </w:t>
      </w:r>
      <w:r w:rsidR="00C43918" w:rsidRPr="00DE657F">
        <w:t xml:space="preserve">a </w:t>
      </w:r>
      <w:r w:rsidRPr="00DE657F">
        <w:t xml:space="preserve">platform to </w:t>
      </w:r>
      <w:r w:rsidR="00C43918" w:rsidRPr="00DE657F">
        <w:t>trial the new approach to grants</w:t>
      </w:r>
      <w:r w:rsidRPr="00DE657F">
        <w:t xml:space="preserve">. </w:t>
      </w:r>
    </w:p>
    <w:p w:rsidR="005D642C" w:rsidRPr="00DE657F" w:rsidRDefault="005D642C" w:rsidP="00BD1DA6">
      <w:pPr>
        <w:jc w:val="both"/>
      </w:pPr>
    </w:p>
    <w:p w:rsidR="007919E1" w:rsidRPr="00D00448" w:rsidRDefault="005D642C" w:rsidP="00BD1DA6">
      <w:pPr>
        <w:jc w:val="both"/>
      </w:pPr>
      <w:r w:rsidRPr="00DE657F">
        <w:lastRenderedPageBreak/>
        <w:t xml:space="preserve">The new funding model will also allow KSI to </w:t>
      </w:r>
      <w:r w:rsidR="00A90D75" w:rsidRPr="00DE657F">
        <w:t xml:space="preserve">identify </w:t>
      </w:r>
      <w:r w:rsidRPr="00DE657F">
        <w:t xml:space="preserve">new partner research organisations with which to work. </w:t>
      </w:r>
      <w:r w:rsidR="007919E1" w:rsidRPr="00DE657F">
        <w:t xml:space="preserve">In </w:t>
      </w:r>
      <w:r w:rsidR="00A90D75" w:rsidRPr="00DE657F">
        <w:t xml:space="preserve">particular it will allow the program to expand its engagement with research partners based in outer Indonesia and working on locally-relevant policy issues, and to thereby broaden the range of </w:t>
      </w:r>
      <w:r w:rsidR="007919E1" w:rsidRPr="00DE657F">
        <w:t>geographic</w:t>
      </w:r>
      <w:r w:rsidR="00A90D75" w:rsidRPr="00DE657F">
        <w:t xml:space="preserve">, </w:t>
      </w:r>
      <w:r w:rsidR="007919E1" w:rsidRPr="00DE657F">
        <w:t>cultural</w:t>
      </w:r>
      <w:r w:rsidR="00A90D75" w:rsidRPr="00DE657F">
        <w:t xml:space="preserve"> and </w:t>
      </w:r>
      <w:r w:rsidR="007919E1" w:rsidRPr="00DE657F">
        <w:t>political perspective</w:t>
      </w:r>
      <w:r w:rsidR="00A90D75" w:rsidRPr="00DE657F">
        <w:t>s informing the</w:t>
      </w:r>
      <w:r w:rsidR="00A90D75" w:rsidRPr="00FA60D7">
        <w:t xml:space="preserve"> program’s work with national and subnational policymakers</w:t>
      </w:r>
      <w:r w:rsidR="007919E1" w:rsidRPr="00A90D75">
        <w:t xml:space="preserve">. </w:t>
      </w:r>
      <w:r w:rsidR="00A90D75" w:rsidRPr="00FA60D7">
        <w:t>KSI will also seek to engage with partner research organisations which focus</w:t>
      </w:r>
      <w:r w:rsidR="00D00448" w:rsidRPr="00A90D75">
        <w:t xml:space="preserve"> on </w:t>
      </w:r>
      <w:r w:rsidR="00A90D75" w:rsidRPr="00FA60D7">
        <w:t xml:space="preserve">issues of </w:t>
      </w:r>
      <w:r w:rsidR="00D00448" w:rsidRPr="00A90D75">
        <w:t>gender and social inclusion.</w:t>
      </w:r>
    </w:p>
    <w:p w:rsidR="00C62D04" w:rsidRDefault="00C62D04" w:rsidP="00BD1DA6">
      <w:pPr>
        <w:pStyle w:val="Heading2"/>
        <w:spacing w:before="0" w:after="0"/>
      </w:pPr>
    </w:p>
    <w:p w:rsidR="00DE6929" w:rsidRDefault="001C4FF1" w:rsidP="00BD1DA6">
      <w:pPr>
        <w:pStyle w:val="Heading2"/>
        <w:spacing w:before="0" w:after="0"/>
      </w:pPr>
      <w:bookmarkStart w:id="35" w:name="_Toc492915028"/>
      <w:r>
        <w:t>6</w:t>
      </w:r>
      <w:r w:rsidR="00810183">
        <w:t>.2</w:t>
      </w:r>
      <w:r w:rsidR="00810183">
        <w:tab/>
      </w:r>
      <w:r w:rsidR="00DE6929" w:rsidRPr="00D36CA3">
        <w:t>National and sub-national government partners</w:t>
      </w:r>
      <w:bookmarkEnd w:id="35"/>
      <w:r w:rsidR="00F959C7">
        <w:t xml:space="preserve">  </w:t>
      </w:r>
      <w:r w:rsidR="003234F1">
        <w:t xml:space="preserve"> </w:t>
      </w:r>
    </w:p>
    <w:p w:rsidR="00C62D04" w:rsidRDefault="00C62D04" w:rsidP="00BD1DA6">
      <w:pPr>
        <w:jc w:val="both"/>
      </w:pPr>
    </w:p>
    <w:p w:rsidR="00B372C5" w:rsidRPr="009D10B1" w:rsidRDefault="00B372C5" w:rsidP="00BD1DA6">
      <w:pPr>
        <w:jc w:val="both"/>
      </w:pPr>
      <w:r w:rsidRPr="009D10B1">
        <w:t xml:space="preserve">Due to its position as chair of the </w:t>
      </w:r>
      <w:r w:rsidR="00115E74">
        <w:t>P</w:t>
      </w:r>
      <w:r w:rsidRPr="009D10B1">
        <w:t xml:space="preserve">rogram Steering Committee and its central role in the integration of evidence into national policy cycles, Bappenas continues to be one of KSI’s core partners. Bappenas’ activities </w:t>
      </w:r>
      <w:r w:rsidR="002E25C9">
        <w:t xml:space="preserve">contribute to </w:t>
      </w:r>
      <w:r w:rsidRPr="009D10B1">
        <w:t xml:space="preserve">the goals </w:t>
      </w:r>
      <w:r w:rsidR="002E25C9">
        <w:t xml:space="preserve">that KSI aims </w:t>
      </w:r>
      <w:r w:rsidRPr="009D10B1">
        <w:t>to achieve. For example, Bappenas’ suppor</w:t>
      </w:r>
      <w:r w:rsidR="002E25C9">
        <w:t>t for</w:t>
      </w:r>
      <w:r w:rsidRPr="009D10B1">
        <w:t xml:space="preserve"> scal</w:t>
      </w:r>
      <w:r w:rsidR="002E25C9">
        <w:t>ing</w:t>
      </w:r>
      <w:r w:rsidRPr="009D10B1">
        <w:t xml:space="preserve">-up of successful local-level reforms </w:t>
      </w:r>
      <w:r w:rsidR="002E25C9">
        <w:t>in</w:t>
      </w:r>
      <w:r w:rsidR="002E25C9" w:rsidRPr="009D10B1">
        <w:t xml:space="preserve"> </w:t>
      </w:r>
      <w:r w:rsidRPr="009D10B1">
        <w:t xml:space="preserve">service delivery through the Knowledge Centre is one of a number of initiatives that will strengthen sub-national evidence-based policymaking. </w:t>
      </w:r>
      <w:r w:rsidR="002E25C9">
        <w:t>T</w:t>
      </w:r>
      <w:r w:rsidR="002E25C9" w:rsidRPr="009D10B1">
        <w:t>he Ministry of Research</w:t>
      </w:r>
      <w:r w:rsidR="002E25C9">
        <w:t>, Technology</w:t>
      </w:r>
      <w:r w:rsidR="002E25C9" w:rsidRPr="009D10B1">
        <w:t xml:space="preserve"> and Higher Education </w:t>
      </w:r>
      <w:r w:rsidR="006D03E1">
        <w:t xml:space="preserve">will also continue to be a core partner for phase 2 </w:t>
      </w:r>
      <w:r w:rsidR="006D03E1" w:rsidRPr="009D10B1">
        <w:t xml:space="preserve">given </w:t>
      </w:r>
      <w:r w:rsidR="007E5A2E">
        <w:t>its</w:t>
      </w:r>
      <w:r w:rsidR="006D03E1" w:rsidRPr="009D10B1">
        <w:t xml:space="preserve"> central role in improving the quality of policy-directed research in Indonesia. </w:t>
      </w:r>
    </w:p>
    <w:p w:rsidR="00B372C5" w:rsidRPr="009D10B1" w:rsidRDefault="00B372C5" w:rsidP="00BD1DA6">
      <w:pPr>
        <w:jc w:val="both"/>
      </w:pPr>
    </w:p>
    <w:p w:rsidR="00B372C5" w:rsidRPr="009D10B1" w:rsidRDefault="00B372C5" w:rsidP="00BD1DA6">
      <w:pPr>
        <w:jc w:val="both"/>
      </w:pPr>
      <w:r w:rsidRPr="009D10B1">
        <w:t xml:space="preserve">A lesson from </w:t>
      </w:r>
      <w:r w:rsidR="00431012" w:rsidRPr="009D10B1">
        <w:t>phase</w:t>
      </w:r>
      <w:r w:rsidRPr="009D10B1">
        <w:t xml:space="preserve"> 1 </w:t>
      </w:r>
      <w:r w:rsidR="006D03E1">
        <w:t>i</w:t>
      </w:r>
      <w:r w:rsidRPr="009D10B1">
        <w:t xml:space="preserve">s that KSI </w:t>
      </w:r>
      <w:r w:rsidR="006D03E1">
        <w:t xml:space="preserve">needs to </w:t>
      </w:r>
      <w:r w:rsidRPr="009D10B1">
        <w:t xml:space="preserve">facilitate stronger linkages between other national ministries </w:t>
      </w:r>
      <w:r w:rsidR="00526C97">
        <w:t>wh</w:t>
      </w:r>
      <w:r w:rsidR="00E07011">
        <w:t>ich</w:t>
      </w:r>
      <w:r w:rsidR="00526C97">
        <w:t xml:space="preserve"> have</w:t>
      </w:r>
      <w:r w:rsidR="00526C97" w:rsidRPr="009D10B1">
        <w:t xml:space="preserve"> </w:t>
      </w:r>
      <w:r w:rsidRPr="009D10B1">
        <w:t xml:space="preserve">key roles in defining the processes for policymaking and </w:t>
      </w:r>
      <w:r w:rsidR="007E5A2E">
        <w:t xml:space="preserve">policy </w:t>
      </w:r>
      <w:r w:rsidRPr="009D10B1">
        <w:t xml:space="preserve">implementation in Indonesia, </w:t>
      </w:r>
      <w:r w:rsidR="006D03E1">
        <w:t xml:space="preserve">both </w:t>
      </w:r>
      <w:r w:rsidRPr="009D10B1">
        <w:t xml:space="preserve">nationally and sub-nationally. </w:t>
      </w:r>
      <w:r w:rsidR="006D03E1">
        <w:t>To that end, t</w:t>
      </w:r>
      <w:r w:rsidRPr="009D10B1">
        <w:t xml:space="preserve">owards the end of </w:t>
      </w:r>
      <w:r w:rsidR="00431012" w:rsidRPr="009D10B1">
        <w:t>phase</w:t>
      </w:r>
      <w:r w:rsidRPr="009D10B1">
        <w:t xml:space="preserve"> 1 KSI increased </w:t>
      </w:r>
      <w:r w:rsidR="006D03E1">
        <w:t xml:space="preserve">its </w:t>
      </w:r>
      <w:r w:rsidRPr="009D10B1">
        <w:t xml:space="preserve">engagement with the Office of the President, the Ministry of Finance and the Ministry of Home Affairs. </w:t>
      </w:r>
      <w:r w:rsidR="006D03E1">
        <w:t xml:space="preserve">In phase 2, </w:t>
      </w:r>
      <w:r w:rsidRPr="009D10B1">
        <w:t xml:space="preserve">KSI will continue to </w:t>
      </w:r>
      <w:r w:rsidR="000C1C24">
        <w:t>involve</w:t>
      </w:r>
      <w:r w:rsidR="006D03E1" w:rsidRPr="009D10B1">
        <w:t xml:space="preserve"> these institutions</w:t>
      </w:r>
      <w:r w:rsidR="00DE657F">
        <w:t>. F</w:t>
      </w:r>
      <w:r w:rsidRPr="009D10B1">
        <w:t xml:space="preserve">or example, </w:t>
      </w:r>
      <w:r w:rsidR="006D03E1">
        <w:t xml:space="preserve">ongoing </w:t>
      </w:r>
      <w:r w:rsidRPr="009D10B1">
        <w:t>engagement with both</w:t>
      </w:r>
      <w:r w:rsidR="00137DA9" w:rsidRPr="00137DA9">
        <w:t xml:space="preserve"> </w:t>
      </w:r>
      <w:r w:rsidR="00137DA9" w:rsidRPr="009D10B1">
        <w:t xml:space="preserve">the Ministry of Finance </w:t>
      </w:r>
      <w:r w:rsidRPr="009D10B1">
        <w:t xml:space="preserve">and Bappenas on the new e-planning system </w:t>
      </w:r>
      <w:r w:rsidR="006D03E1">
        <w:t xml:space="preserve">will support improved integration </w:t>
      </w:r>
      <w:r w:rsidRPr="009D10B1">
        <w:t>of the two ministries’ electronic systems</w:t>
      </w:r>
      <w:r w:rsidR="007E2C22">
        <w:t>, facilitating more evidence-informed planning and budgeting</w:t>
      </w:r>
      <w:r w:rsidRPr="009D10B1">
        <w:t>.</w:t>
      </w:r>
    </w:p>
    <w:p w:rsidR="00B372C5" w:rsidRPr="009D10B1" w:rsidRDefault="00B372C5" w:rsidP="00BD1DA6">
      <w:pPr>
        <w:jc w:val="both"/>
      </w:pPr>
    </w:p>
    <w:p w:rsidR="004B00E1" w:rsidRPr="004B00E1" w:rsidRDefault="001C4FF1" w:rsidP="00BD1DA6">
      <w:pPr>
        <w:pStyle w:val="Heading2"/>
        <w:spacing w:before="0" w:after="0"/>
      </w:pPr>
      <w:bookmarkStart w:id="36" w:name="_Toc492915029"/>
      <w:r>
        <w:t>6</w:t>
      </w:r>
      <w:r w:rsidR="00DE6929">
        <w:t>.3</w:t>
      </w:r>
      <w:r w:rsidR="00810183">
        <w:tab/>
      </w:r>
      <w:r w:rsidR="004B00E1">
        <w:t>Strategic partners</w:t>
      </w:r>
      <w:bookmarkEnd w:id="36"/>
    </w:p>
    <w:p w:rsidR="00C62D04" w:rsidRDefault="00C62D04" w:rsidP="00BD1DA6">
      <w:pPr>
        <w:jc w:val="both"/>
      </w:pPr>
    </w:p>
    <w:p w:rsidR="00B372C5" w:rsidRDefault="00B372C5" w:rsidP="00BD1DA6">
      <w:pPr>
        <w:jc w:val="both"/>
      </w:pPr>
      <w:r w:rsidRPr="009D10B1">
        <w:t xml:space="preserve">KSI’s success is premised, in part, on its ability to facilitate and communicate information through broad networks of researchers, policymakers and intermediaries. In order to do this, KSI made strategic choices in </w:t>
      </w:r>
      <w:r w:rsidR="00431012" w:rsidRPr="009D10B1">
        <w:t>phase</w:t>
      </w:r>
      <w:r w:rsidRPr="009D10B1">
        <w:t xml:space="preserve"> 1 to work with a number of stakeholders </w:t>
      </w:r>
      <w:r w:rsidR="001C4FF1">
        <w:t>with their own</w:t>
      </w:r>
      <w:r w:rsidRPr="009D10B1">
        <w:t xml:space="preserve"> </w:t>
      </w:r>
      <w:r w:rsidR="001C4FF1">
        <w:t xml:space="preserve">research and communications </w:t>
      </w:r>
      <w:r w:rsidRPr="009D10B1">
        <w:t>networks</w:t>
      </w:r>
      <w:r w:rsidR="00DE657F">
        <w:t xml:space="preserve"> such as AIPI</w:t>
      </w:r>
      <w:r w:rsidRPr="009D10B1">
        <w:t xml:space="preserve">. </w:t>
      </w:r>
      <w:r w:rsidR="0007168C">
        <w:t>In phase 2, t</w:t>
      </w:r>
      <w:r w:rsidR="00255A98">
        <w:t xml:space="preserve">he program </w:t>
      </w:r>
      <w:r w:rsidR="0007168C">
        <w:t xml:space="preserve">will </w:t>
      </w:r>
      <w:r w:rsidR="00255A98">
        <w:t xml:space="preserve">leverage these </w:t>
      </w:r>
      <w:r w:rsidRPr="009D10B1">
        <w:t xml:space="preserve">networks </w:t>
      </w:r>
      <w:r w:rsidR="00D00448">
        <w:t>to achieve its outcomes</w:t>
      </w:r>
      <w:r w:rsidRPr="009D10B1">
        <w:t xml:space="preserve">. KSI’s strategic partners therefore comprise stakeholders (individuals or groups) with considerable skills and experience in the knowledge sector whose activities complement KSI’s </w:t>
      </w:r>
      <w:r w:rsidR="007E5A2E">
        <w:t>in</w:t>
      </w:r>
      <w:r w:rsidRPr="009D10B1">
        <w:t xml:space="preserve"> contributing to the broader goal of better public </w:t>
      </w:r>
      <w:r w:rsidR="009D10B1" w:rsidRPr="009D10B1">
        <w:t>policy</w:t>
      </w:r>
      <w:r w:rsidRPr="009D10B1">
        <w:t xml:space="preserve"> in Indonesia. </w:t>
      </w:r>
      <w:r w:rsidR="0007168C">
        <w:t>These</w:t>
      </w:r>
      <w:r w:rsidRPr="009D10B1">
        <w:t xml:space="preserve"> include networks such as </w:t>
      </w:r>
      <w:r w:rsidR="00BD1DA6">
        <w:t xml:space="preserve">ALMI </w:t>
      </w:r>
      <w:r w:rsidRPr="009D10B1">
        <w:t xml:space="preserve">and </w:t>
      </w:r>
      <w:r w:rsidR="00BD1DA6">
        <w:t>JiKTI</w:t>
      </w:r>
      <w:r w:rsidRPr="009D10B1">
        <w:t xml:space="preserve">. Relationships with these networks will allow KSI to significantly increase its reach, in particular at sub-national level. </w:t>
      </w:r>
      <w:r w:rsidR="0007168C">
        <w:t>While e</w:t>
      </w:r>
      <w:r w:rsidRPr="009D10B1">
        <w:t xml:space="preserve">ngaging these networks will be resource intensive in terms of staff time, </w:t>
      </w:r>
      <w:r w:rsidR="0007168C">
        <w:t xml:space="preserve">they provide good </w:t>
      </w:r>
      <w:r w:rsidRPr="009D10B1">
        <w:t xml:space="preserve">value for money in terms of the scale of access to knowledge and information flows they will facilitate. </w:t>
      </w:r>
    </w:p>
    <w:p w:rsidR="00DE657F" w:rsidRDefault="00DE657F" w:rsidP="00BD1DA6">
      <w:pPr>
        <w:jc w:val="both"/>
      </w:pPr>
    </w:p>
    <w:p w:rsidR="00DE657F" w:rsidRPr="009D10B1" w:rsidRDefault="00DE657F" w:rsidP="00BD1DA6">
      <w:pPr>
        <w:jc w:val="both"/>
      </w:pPr>
      <w:r>
        <w:t>KSI will continue to work with</w:t>
      </w:r>
      <w:r w:rsidRPr="009D10B1">
        <w:t xml:space="preserve"> the Indonesian Academy of Science, </w:t>
      </w:r>
      <w:r>
        <w:t>on</w:t>
      </w:r>
      <w:r w:rsidRPr="009D10B1">
        <w:t xml:space="preserve"> the </w:t>
      </w:r>
      <w:r>
        <w:t>Indonesian S</w:t>
      </w:r>
      <w:r w:rsidRPr="009D10B1">
        <w:t xml:space="preserve">cience </w:t>
      </w:r>
      <w:r>
        <w:t>F</w:t>
      </w:r>
      <w:r w:rsidRPr="009D10B1">
        <w:t>und</w:t>
      </w:r>
      <w:r>
        <w:t>,</w:t>
      </w:r>
      <w:r w:rsidRPr="009D10B1">
        <w:t xml:space="preserve"> and the </w:t>
      </w:r>
      <w:r>
        <w:t>LAN</w:t>
      </w:r>
      <w:r w:rsidRPr="009D10B1">
        <w:t>, with wh</w:t>
      </w:r>
      <w:r>
        <w:t>ich</w:t>
      </w:r>
      <w:r w:rsidRPr="009D10B1">
        <w:t xml:space="preserve"> KSI works on training and skills development for government policy analysts.</w:t>
      </w:r>
    </w:p>
    <w:p w:rsidR="00B372C5" w:rsidRPr="009D10B1" w:rsidRDefault="00B372C5" w:rsidP="00BD1DA6">
      <w:pPr>
        <w:jc w:val="both"/>
      </w:pPr>
    </w:p>
    <w:p w:rsidR="00B372C5" w:rsidRPr="009D10B1" w:rsidRDefault="00D00448" w:rsidP="00BD1DA6">
      <w:pPr>
        <w:jc w:val="both"/>
      </w:pPr>
      <w:r>
        <w:t>A</w:t>
      </w:r>
      <w:r w:rsidR="00B372C5" w:rsidRPr="009D10B1">
        <w:t xml:space="preserve"> strategic partnership model also allows the program to work with new partners as advantageous opportunities arise</w:t>
      </w:r>
      <w:r w:rsidR="00C45D84">
        <w:t xml:space="preserve">, including </w:t>
      </w:r>
      <w:r w:rsidR="00B372C5" w:rsidRPr="009D10B1">
        <w:t>other government institutions</w:t>
      </w:r>
      <w:r w:rsidR="00C45D84">
        <w:t>,</w:t>
      </w:r>
      <w:r w:rsidR="00B372C5" w:rsidRPr="009D10B1">
        <w:t xml:space="preserve"> research </w:t>
      </w:r>
      <w:r w:rsidR="00C45D84">
        <w:t xml:space="preserve">organisations and </w:t>
      </w:r>
      <w:r w:rsidR="00B372C5" w:rsidRPr="009D10B1">
        <w:t xml:space="preserve">civil society organisations. </w:t>
      </w:r>
    </w:p>
    <w:p w:rsidR="00C62D04" w:rsidRDefault="00C62D04" w:rsidP="00BD1DA6">
      <w:pPr>
        <w:pStyle w:val="Heading2"/>
        <w:spacing w:before="0" w:after="0"/>
      </w:pPr>
    </w:p>
    <w:p w:rsidR="004B00E1" w:rsidRPr="004B00E1" w:rsidRDefault="001C4FF1" w:rsidP="00BD1DA6">
      <w:pPr>
        <w:pStyle w:val="Heading2"/>
        <w:spacing w:before="0" w:after="0"/>
      </w:pPr>
      <w:bookmarkStart w:id="37" w:name="_Toc492915030"/>
      <w:r>
        <w:t>6.4</w:t>
      </w:r>
      <w:r w:rsidR="00810183">
        <w:tab/>
      </w:r>
      <w:r w:rsidR="004B00E1">
        <w:t>Resource partners</w:t>
      </w:r>
      <w:bookmarkEnd w:id="37"/>
    </w:p>
    <w:p w:rsidR="00C62D04" w:rsidRDefault="00C62D04" w:rsidP="00BD1DA6">
      <w:pPr>
        <w:jc w:val="both"/>
      </w:pPr>
    </w:p>
    <w:p w:rsidR="008C5745" w:rsidRDefault="00B372C5" w:rsidP="00BD1DA6">
      <w:pPr>
        <w:jc w:val="both"/>
      </w:pPr>
      <w:r w:rsidRPr="004B00E1">
        <w:t>Resource partners include</w:t>
      </w:r>
      <w:r w:rsidRPr="00F539D6">
        <w:t xml:space="preserve"> </w:t>
      </w:r>
      <w:r w:rsidR="008C5745">
        <w:t>international or local</w:t>
      </w:r>
      <w:r w:rsidR="008C5745" w:rsidRPr="00F539D6">
        <w:t xml:space="preserve"> </w:t>
      </w:r>
      <w:r w:rsidR="008C5745">
        <w:t xml:space="preserve">organisations and individuals with </w:t>
      </w:r>
      <w:r w:rsidRPr="00F539D6">
        <w:t xml:space="preserve">the skills and expertise to contribute to a stronger knowledge sector. KSI will enter into working relationships with these organisations or individuals to address needs articulated by KSI strategic partners. </w:t>
      </w:r>
    </w:p>
    <w:p w:rsidR="008C5745" w:rsidRDefault="008C5745" w:rsidP="00BD1DA6">
      <w:pPr>
        <w:jc w:val="both"/>
      </w:pPr>
    </w:p>
    <w:p w:rsidR="00FC37C8" w:rsidRDefault="008C5745" w:rsidP="00BD1DA6">
      <w:pPr>
        <w:jc w:val="both"/>
      </w:pPr>
      <w:r w:rsidRPr="00F539D6">
        <w:t xml:space="preserve">Members of the KSI consortium – the Australian National University, the Nossal Institute </w:t>
      </w:r>
      <w:r>
        <w:t xml:space="preserve">for Global Health at the University of Melbourne, </w:t>
      </w:r>
      <w:r w:rsidRPr="00F539D6">
        <w:t>and the Overseas Development Institute – will</w:t>
      </w:r>
      <w:r>
        <w:t xml:space="preserve"> be</w:t>
      </w:r>
      <w:r w:rsidRPr="00F539D6">
        <w:t xml:space="preserve"> </w:t>
      </w:r>
      <w:r>
        <w:t xml:space="preserve">key resource </w:t>
      </w:r>
      <w:r w:rsidRPr="00F539D6">
        <w:t xml:space="preserve">partners. </w:t>
      </w:r>
      <w:r>
        <w:t xml:space="preserve">Representatives of these institutions will be invited to participate in program planning and to identify </w:t>
      </w:r>
      <w:r w:rsidR="00FC37C8">
        <w:t xml:space="preserve">the activities where they are best placed to contribute their expertise and resources. For example, </w:t>
      </w:r>
      <w:r w:rsidRPr="00F539D6">
        <w:t>the Australian National Universit</w:t>
      </w:r>
      <w:r>
        <w:t xml:space="preserve">y plans to </w:t>
      </w:r>
      <w:r w:rsidRPr="00F539D6">
        <w:t xml:space="preserve">partner with the Ministry </w:t>
      </w:r>
      <w:r w:rsidR="00E07011">
        <w:t>of</w:t>
      </w:r>
      <w:r w:rsidRPr="00F539D6">
        <w:t xml:space="preserve"> Research, Technology,</w:t>
      </w:r>
      <w:r>
        <w:t xml:space="preserve"> and Higher Education on </w:t>
      </w:r>
      <w:r w:rsidR="00115E74">
        <w:t>issues of gender in higher education and research</w:t>
      </w:r>
      <w:r w:rsidR="00FC37C8">
        <w:t xml:space="preserve">. </w:t>
      </w:r>
    </w:p>
    <w:p w:rsidR="002F5421" w:rsidRDefault="002F5421" w:rsidP="00BD1DA6">
      <w:pPr>
        <w:jc w:val="both"/>
      </w:pPr>
    </w:p>
    <w:p w:rsidR="008C5745" w:rsidRDefault="008C5745" w:rsidP="00BD1DA6">
      <w:pPr>
        <w:jc w:val="both"/>
      </w:pPr>
      <w:r w:rsidRPr="00F539D6">
        <w:t xml:space="preserve">RTI </w:t>
      </w:r>
      <w:r w:rsidR="00FC37C8">
        <w:t xml:space="preserve">International, as the lead contractor, </w:t>
      </w:r>
      <w:r w:rsidRPr="00F539D6">
        <w:t xml:space="preserve">will </w:t>
      </w:r>
      <w:r w:rsidR="00FC37C8">
        <w:t xml:space="preserve">also draw on its broader institutional expertise to support the program. One area in which RTI’s expertise aligns with the needs of Indonesian knowledge sector stakeholders is data and innovation. </w:t>
      </w:r>
      <w:r w:rsidR="002F5421">
        <w:t xml:space="preserve">Support could include technical advice </w:t>
      </w:r>
      <w:r w:rsidR="004C5A74">
        <w:t>for</w:t>
      </w:r>
      <w:r w:rsidR="002F5421">
        <w:t xml:space="preserve"> </w:t>
      </w:r>
      <w:r w:rsidRPr="00F539D6">
        <w:t xml:space="preserve">the Office of the President on data </w:t>
      </w:r>
      <w:r w:rsidR="004C5A74">
        <w:t xml:space="preserve">policy and systems </w:t>
      </w:r>
      <w:r w:rsidRPr="00F539D6">
        <w:t xml:space="preserve">and </w:t>
      </w:r>
      <w:r w:rsidR="002F5421">
        <w:t xml:space="preserve">for </w:t>
      </w:r>
      <w:r w:rsidRPr="00F539D6">
        <w:t>the Minis</w:t>
      </w:r>
      <w:r w:rsidR="002F5421">
        <w:t xml:space="preserve">try of Finance and </w:t>
      </w:r>
      <w:r w:rsidRPr="00F539D6">
        <w:t xml:space="preserve">Ministry </w:t>
      </w:r>
      <w:r w:rsidR="002F5421">
        <w:t xml:space="preserve">of </w:t>
      </w:r>
      <w:r w:rsidRPr="00F539D6">
        <w:t xml:space="preserve">Research, Technology, and Higher Education on </w:t>
      </w:r>
      <w:r w:rsidR="004C5A74">
        <w:t xml:space="preserve">the policy framework for </w:t>
      </w:r>
      <w:r w:rsidRPr="00F539D6">
        <w:t xml:space="preserve">science, technology, and innovation. </w:t>
      </w:r>
    </w:p>
    <w:p w:rsidR="008C5745" w:rsidRDefault="008C5745" w:rsidP="00BD1DA6">
      <w:pPr>
        <w:jc w:val="both"/>
      </w:pPr>
    </w:p>
    <w:p w:rsidR="00D00448" w:rsidRDefault="008C5745" w:rsidP="00BD1DA6">
      <w:pPr>
        <w:jc w:val="both"/>
      </w:pPr>
      <w:r>
        <w:t>In engaging with resource partners, KSI will apply</w:t>
      </w:r>
      <w:r w:rsidRPr="00F539D6">
        <w:t xml:space="preserve"> a flexible mechanism for procurement</w:t>
      </w:r>
      <w:r>
        <w:t>, using</w:t>
      </w:r>
      <w:r w:rsidRPr="00F539D6">
        <w:t xml:space="preserve"> umbrella agreements </w:t>
      </w:r>
      <w:r>
        <w:t xml:space="preserve">which </w:t>
      </w:r>
      <w:r w:rsidRPr="00F539D6">
        <w:t xml:space="preserve">will allow </w:t>
      </w:r>
      <w:r>
        <w:t xml:space="preserve">the program to issue </w:t>
      </w:r>
      <w:r w:rsidRPr="00F539D6">
        <w:t>task order</w:t>
      </w:r>
      <w:r>
        <w:t>s</w:t>
      </w:r>
      <w:r w:rsidRPr="00F539D6">
        <w:t xml:space="preserve"> </w:t>
      </w:r>
      <w:r>
        <w:t xml:space="preserve">for </w:t>
      </w:r>
      <w:r w:rsidRPr="00F539D6">
        <w:t xml:space="preserve">short-term assignments </w:t>
      </w:r>
      <w:r>
        <w:t>quickly</w:t>
      </w:r>
      <w:r w:rsidRPr="00F539D6">
        <w:t xml:space="preserve">. </w:t>
      </w:r>
    </w:p>
    <w:p w:rsidR="00B171C6" w:rsidRDefault="00B171C6" w:rsidP="00BD1DA6">
      <w:pPr>
        <w:jc w:val="both"/>
      </w:pPr>
    </w:p>
    <w:p w:rsidR="008E6706" w:rsidRPr="00F539D6" w:rsidRDefault="001C4FF1" w:rsidP="00BD1DA6">
      <w:pPr>
        <w:pStyle w:val="Heading1"/>
        <w:spacing w:after="0"/>
        <w:rPr>
          <w:lang w:val="en-US"/>
        </w:rPr>
      </w:pPr>
      <w:bookmarkStart w:id="38" w:name="_Toc492915031"/>
      <w:r>
        <w:t>7</w:t>
      </w:r>
      <w:r w:rsidR="00F959C7">
        <w:t xml:space="preserve">   </w:t>
      </w:r>
      <w:r w:rsidR="008E6706" w:rsidRPr="00F539D6">
        <w:t>Program governance</w:t>
      </w:r>
      <w:bookmarkEnd w:id="38"/>
      <w:r w:rsidR="008E6706" w:rsidRPr="00F539D6">
        <w:t xml:space="preserve"> </w:t>
      </w:r>
    </w:p>
    <w:p w:rsidR="00C62D04" w:rsidRDefault="00C62D04" w:rsidP="00BD1DA6">
      <w:pPr>
        <w:pStyle w:val="Heading2"/>
        <w:spacing w:before="0" w:after="0"/>
      </w:pPr>
    </w:p>
    <w:p w:rsidR="008E6706" w:rsidRPr="009D10B1" w:rsidRDefault="001C4FF1" w:rsidP="00BD1DA6">
      <w:pPr>
        <w:pStyle w:val="Heading2"/>
        <w:spacing w:before="0" w:after="0"/>
        <w:rPr>
          <w:b/>
          <w:lang w:val="en-US"/>
        </w:rPr>
      </w:pPr>
      <w:bookmarkStart w:id="39" w:name="_Toc492915032"/>
      <w:r>
        <w:t>7</w:t>
      </w:r>
      <w:r w:rsidR="00810183">
        <w:t>.1</w:t>
      </w:r>
      <w:r w:rsidR="00810183">
        <w:tab/>
      </w:r>
      <w:r w:rsidR="008E6706" w:rsidRPr="00F539D6">
        <w:t xml:space="preserve">Program Steering Committee and </w:t>
      </w:r>
      <w:r w:rsidR="00C0438D">
        <w:t xml:space="preserve">Program </w:t>
      </w:r>
      <w:r w:rsidR="008E6706" w:rsidRPr="00F539D6">
        <w:t>Technical Secretariat</w:t>
      </w:r>
      <w:bookmarkEnd w:id="39"/>
    </w:p>
    <w:p w:rsidR="00C62D04" w:rsidRDefault="00C62D04" w:rsidP="00BD1DA6">
      <w:pPr>
        <w:jc w:val="both"/>
      </w:pPr>
    </w:p>
    <w:p w:rsidR="008E6706" w:rsidRPr="00F539D6" w:rsidRDefault="008E6706" w:rsidP="00BD1DA6">
      <w:pPr>
        <w:jc w:val="both"/>
      </w:pPr>
      <w:r w:rsidRPr="00F539D6">
        <w:t xml:space="preserve">Throughout </w:t>
      </w:r>
      <w:r w:rsidR="00431012">
        <w:t>phase</w:t>
      </w:r>
      <w:r w:rsidRPr="00F539D6">
        <w:t xml:space="preserve"> 2, oversight </w:t>
      </w:r>
      <w:r w:rsidR="00C0438D">
        <w:t xml:space="preserve">of the program </w:t>
      </w:r>
      <w:r w:rsidRPr="00F539D6">
        <w:t xml:space="preserve">will continue to be provided by two governance bodies: </w:t>
      </w:r>
      <w:r w:rsidR="00A60B1B" w:rsidRPr="00F539D6">
        <w:t>the P</w:t>
      </w:r>
      <w:r w:rsidR="00A60B1B">
        <w:t>rogram Steering Committee, and</w:t>
      </w:r>
      <w:r w:rsidR="00A60B1B" w:rsidRPr="00F539D6">
        <w:t xml:space="preserve"> </w:t>
      </w:r>
      <w:r w:rsidRPr="00F539D6">
        <w:t>Program Technical Secretariat</w:t>
      </w:r>
      <w:r w:rsidR="000D38F1">
        <w:t xml:space="preserve">, which </w:t>
      </w:r>
      <w:r w:rsidRPr="00F539D6">
        <w:t>reports to</w:t>
      </w:r>
      <w:r w:rsidR="00A60B1B">
        <w:t xml:space="preserve"> the </w:t>
      </w:r>
      <w:r w:rsidR="003A4CD4">
        <w:t xml:space="preserve">Program </w:t>
      </w:r>
      <w:r w:rsidR="00115E74">
        <w:t>Steering Committee</w:t>
      </w:r>
      <w:r w:rsidR="00A60B1B">
        <w:t>.</w:t>
      </w:r>
      <w:r w:rsidRPr="00F539D6">
        <w:t xml:space="preserve"> Experience in </w:t>
      </w:r>
      <w:r w:rsidR="00431012">
        <w:t>phase</w:t>
      </w:r>
      <w:r w:rsidRPr="00F539D6">
        <w:t xml:space="preserve"> 1 has shown that engaged, broad and high-level leadership </w:t>
      </w:r>
      <w:r w:rsidR="00C0438D">
        <w:t>of</w:t>
      </w:r>
      <w:r w:rsidR="000D38F1" w:rsidRPr="00F539D6">
        <w:t xml:space="preserve"> </w:t>
      </w:r>
      <w:r w:rsidRPr="00F539D6">
        <w:t xml:space="preserve">these two bodies – in particular by government counterparts – is critical in enabling the program to respond effectively to emerging opportunities and to coordinate within and between government ministries, agencies and other stakeholders. </w:t>
      </w:r>
    </w:p>
    <w:p w:rsidR="008E6706" w:rsidRPr="00F539D6" w:rsidRDefault="008E6706" w:rsidP="00BD1DA6">
      <w:pPr>
        <w:jc w:val="both"/>
      </w:pPr>
    </w:p>
    <w:p w:rsidR="008E6706" w:rsidRPr="00F539D6" w:rsidRDefault="008E6706" w:rsidP="00BD1DA6">
      <w:pPr>
        <w:jc w:val="both"/>
      </w:pPr>
      <w:r w:rsidRPr="00F539D6">
        <w:t xml:space="preserve">The </w:t>
      </w:r>
      <w:r w:rsidR="00115E74" w:rsidRPr="00F539D6">
        <w:t>P</w:t>
      </w:r>
      <w:r w:rsidR="00115E74">
        <w:t>rogram Steering Committee</w:t>
      </w:r>
      <w:r w:rsidRPr="00F539D6">
        <w:t xml:space="preserve"> will continue to provide overall strategic guidance for the program through reviewing and endorsing annual work plans, while the </w:t>
      </w:r>
      <w:r w:rsidR="00115E74" w:rsidRPr="00F539D6">
        <w:t>Program Technical Secretariat</w:t>
      </w:r>
      <w:r w:rsidRPr="00F539D6">
        <w:t xml:space="preserve"> will continue to advise the </w:t>
      </w:r>
      <w:r w:rsidR="00115E74" w:rsidRPr="00F539D6">
        <w:t>P</w:t>
      </w:r>
      <w:r w:rsidR="00115E74">
        <w:t>rogram Steering Committee</w:t>
      </w:r>
      <w:r w:rsidRPr="00F539D6">
        <w:t xml:space="preserve"> on technical and operational issues, engage in and monitor progress of the program and support program implementation. The details of the form, function and membership of both bodies are set out in the Subsidiar</w:t>
      </w:r>
      <w:r w:rsidR="00D238C0">
        <w:t>y A</w:t>
      </w:r>
      <w:r w:rsidR="00115E74">
        <w:t>rrang</w:t>
      </w:r>
      <w:r w:rsidR="00D238C0">
        <w:t xml:space="preserve">ement between </w:t>
      </w:r>
      <w:r w:rsidR="000D38F1">
        <w:t xml:space="preserve">the </w:t>
      </w:r>
      <w:r w:rsidR="00D238C0">
        <w:t>G</w:t>
      </w:r>
      <w:r w:rsidR="000D38F1">
        <w:t>overnment of Australia</w:t>
      </w:r>
      <w:r w:rsidR="00115E74">
        <w:t xml:space="preserve"> and Government of Indonesia</w:t>
      </w:r>
      <w:r w:rsidR="00D238C0">
        <w:t>.</w:t>
      </w:r>
      <w:r w:rsidR="00F34DBC">
        <w:t xml:space="preserve"> </w:t>
      </w:r>
      <w:r w:rsidRPr="00F539D6">
        <w:t xml:space="preserve">Together, </w:t>
      </w:r>
      <w:r w:rsidR="00F34DBC">
        <w:t>the two committees will:</w:t>
      </w:r>
    </w:p>
    <w:p w:rsidR="008E6706" w:rsidRPr="007919E1" w:rsidRDefault="008E6706" w:rsidP="00BD1DA6">
      <w:pPr>
        <w:pStyle w:val="ListParagraph"/>
        <w:numPr>
          <w:ilvl w:val="0"/>
          <w:numId w:val="12"/>
        </w:numPr>
        <w:contextualSpacing w:val="0"/>
        <w:jc w:val="both"/>
        <w:rPr>
          <w:rFonts w:asciiTheme="minorHAnsi" w:hAnsiTheme="minorHAnsi"/>
          <w:sz w:val="22"/>
          <w:szCs w:val="22"/>
        </w:rPr>
      </w:pPr>
      <w:r w:rsidRPr="007919E1">
        <w:rPr>
          <w:rFonts w:asciiTheme="minorHAnsi" w:hAnsiTheme="minorHAnsi"/>
          <w:sz w:val="22"/>
          <w:szCs w:val="22"/>
        </w:rPr>
        <w:t>ensure that the program maintains a focus on the overall goal and the four focus areas, while being flexible and responsive to emerging issues and opportunities</w:t>
      </w:r>
    </w:p>
    <w:p w:rsidR="008E6706" w:rsidRPr="007919E1" w:rsidRDefault="008E6706" w:rsidP="00BD1DA6">
      <w:pPr>
        <w:pStyle w:val="ListParagraph"/>
        <w:numPr>
          <w:ilvl w:val="0"/>
          <w:numId w:val="12"/>
        </w:numPr>
        <w:contextualSpacing w:val="0"/>
        <w:jc w:val="both"/>
        <w:rPr>
          <w:rFonts w:asciiTheme="minorHAnsi" w:hAnsiTheme="minorHAnsi"/>
          <w:sz w:val="22"/>
          <w:szCs w:val="22"/>
        </w:rPr>
      </w:pPr>
      <w:r w:rsidRPr="007919E1">
        <w:rPr>
          <w:rFonts w:asciiTheme="minorHAnsi" w:hAnsiTheme="minorHAnsi"/>
          <w:sz w:val="22"/>
          <w:szCs w:val="22"/>
        </w:rPr>
        <w:t>promote effective coordination within and between national and sub-national ministries and agencies, and other relevant stakeholders</w:t>
      </w:r>
    </w:p>
    <w:p w:rsidR="008E6706" w:rsidRPr="007919E1" w:rsidRDefault="008E6706" w:rsidP="00BD1DA6">
      <w:pPr>
        <w:pStyle w:val="ListParagraph"/>
        <w:numPr>
          <w:ilvl w:val="0"/>
          <w:numId w:val="12"/>
        </w:numPr>
        <w:contextualSpacing w:val="0"/>
        <w:jc w:val="both"/>
        <w:rPr>
          <w:rFonts w:asciiTheme="minorHAnsi" w:hAnsiTheme="minorHAnsi"/>
          <w:sz w:val="22"/>
          <w:szCs w:val="22"/>
        </w:rPr>
      </w:pPr>
      <w:r w:rsidRPr="007919E1">
        <w:rPr>
          <w:rFonts w:asciiTheme="minorHAnsi" w:hAnsiTheme="minorHAnsi"/>
          <w:sz w:val="22"/>
          <w:szCs w:val="22"/>
        </w:rPr>
        <w:lastRenderedPageBreak/>
        <w:t>monitor changes in the program’s operating environment, including identifying areas of opportunity and significant risks, and assist in managing those risks where appropriate</w:t>
      </w:r>
    </w:p>
    <w:p w:rsidR="008E6706" w:rsidRPr="007919E1" w:rsidRDefault="008E6706" w:rsidP="00BD1DA6">
      <w:pPr>
        <w:pStyle w:val="ListParagraph"/>
        <w:numPr>
          <w:ilvl w:val="0"/>
          <w:numId w:val="12"/>
        </w:numPr>
        <w:contextualSpacing w:val="0"/>
        <w:jc w:val="both"/>
        <w:rPr>
          <w:rFonts w:asciiTheme="minorHAnsi" w:hAnsiTheme="minorHAnsi"/>
          <w:sz w:val="22"/>
          <w:szCs w:val="22"/>
        </w:rPr>
      </w:pPr>
      <w:r w:rsidRPr="007919E1">
        <w:rPr>
          <w:rFonts w:asciiTheme="minorHAnsi" w:hAnsiTheme="minorHAnsi"/>
          <w:sz w:val="22"/>
          <w:szCs w:val="22"/>
        </w:rPr>
        <w:t>advocate for strengthening the knowledge sector among senior government and non-government stakeholders.</w:t>
      </w:r>
    </w:p>
    <w:p w:rsidR="008E6706" w:rsidRPr="00F539D6" w:rsidRDefault="008E6706" w:rsidP="00BD1DA6">
      <w:pPr>
        <w:jc w:val="both"/>
      </w:pPr>
    </w:p>
    <w:p w:rsidR="00D238C0" w:rsidRDefault="00450592" w:rsidP="004B33E6">
      <w:pPr>
        <w:jc w:val="both"/>
      </w:pPr>
      <w:r>
        <w:t>M</w:t>
      </w:r>
      <w:r w:rsidR="008E6706" w:rsidRPr="00F539D6">
        <w:t xml:space="preserve">embership of the governance bodies will align with the </w:t>
      </w:r>
      <w:r w:rsidR="00A60B1B">
        <w:t>need</w:t>
      </w:r>
      <w:r w:rsidR="00A60B1B" w:rsidRPr="00F539D6">
        <w:t xml:space="preserve"> </w:t>
      </w:r>
      <w:r w:rsidR="008E6706" w:rsidRPr="00F539D6">
        <w:t xml:space="preserve">to engage more systematically with ministries and agencies beyond Bappenas. This will include more active engagement by </w:t>
      </w:r>
      <w:r w:rsidR="00B039BE">
        <w:t xml:space="preserve">the </w:t>
      </w:r>
      <w:r w:rsidR="003A4CD4" w:rsidRPr="00F539D6">
        <w:t>Ministr</w:t>
      </w:r>
      <w:r w:rsidR="00B039BE">
        <w:t>y</w:t>
      </w:r>
      <w:r w:rsidR="003A4CD4" w:rsidRPr="00F539D6">
        <w:t xml:space="preserve"> of Research, Technology and Higher Education, </w:t>
      </w:r>
      <w:r w:rsidR="00B039BE">
        <w:t xml:space="preserve">the </w:t>
      </w:r>
      <w:r w:rsidR="003A4CD4" w:rsidRPr="00F539D6">
        <w:t>Ministr</w:t>
      </w:r>
      <w:r w:rsidR="003A4CD4">
        <w:t xml:space="preserve">y </w:t>
      </w:r>
      <w:r w:rsidR="003A4CD4" w:rsidRPr="00F539D6">
        <w:t>of State Apparatus and Bureaucratic Reform</w:t>
      </w:r>
      <w:r w:rsidR="0004565F">
        <w:t>,</w:t>
      </w:r>
      <w:r w:rsidR="003A4CD4" w:rsidRPr="00F539D6">
        <w:t xml:space="preserve"> </w:t>
      </w:r>
      <w:r w:rsidR="008E6706" w:rsidRPr="00F539D6">
        <w:t>the Ministr</w:t>
      </w:r>
      <w:r w:rsidR="00B039BE">
        <w:t>y</w:t>
      </w:r>
      <w:r w:rsidR="008E6706" w:rsidRPr="00F539D6">
        <w:t xml:space="preserve"> of Finance</w:t>
      </w:r>
      <w:r w:rsidR="004B33E6">
        <w:t>,</w:t>
      </w:r>
      <w:r w:rsidR="004B33E6" w:rsidRPr="004B33E6">
        <w:t xml:space="preserve"> </w:t>
      </w:r>
      <w:r w:rsidR="00B039BE">
        <w:t xml:space="preserve">the </w:t>
      </w:r>
      <w:r w:rsidR="004B33E6">
        <w:t xml:space="preserve">National Institute of Public Administration, and </w:t>
      </w:r>
      <w:r w:rsidR="00B039BE">
        <w:t>the</w:t>
      </w:r>
      <w:r w:rsidR="004B33E6">
        <w:t xml:space="preserve"> National Institute of Science</w:t>
      </w:r>
      <w:r w:rsidR="00B039BE">
        <w:t>,</w:t>
      </w:r>
      <w:r w:rsidR="008E6706" w:rsidRPr="00F539D6">
        <w:t xml:space="preserve"> as well as by representatives of other </w:t>
      </w:r>
      <w:r w:rsidR="00D238C0">
        <w:t xml:space="preserve">relevant </w:t>
      </w:r>
      <w:r w:rsidR="008E6706" w:rsidRPr="00F539D6">
        <w:t xml:space="preserve">ministries and agencies. </w:t>
      </w:r>
    </w:p>
    <w:p w:rsidR="00D238C0" w:rsidRDefault="00D238C0" w:rsidP="00BD1DA6">
      <w:pPr>
        <w:jc w:val="both"/>
      </w:pPr>
    </w:p>
    <w:p w:rsidR="008E6706" w:rsidRDefault="008E6706" w:rsidP="00BD1DA6">
      <w:pPr>
        <w:jc w:val="both"/>
      </w:pPr>
      <w:r w:rsidRPr="00F539D6">
        <w:t xml:space="preserve">KSI will continue to provide administrative and logistical support to ensure the effective </w:t>
      </w:r>
      <w:r w:rsidR="00A60B1B">
        <w:t>convening</w:t>
      </w:r>
      <w:r w:rsidR="00A60B1B" w:rsidRPr="00F539D6">
        <w:t xml:space="preserve"> </w:t>
      </w:r>
      <w:r w:rsidRPr="00F539D6">
        <w:t xml:space="preserve">of governance committees, </w:t>
      </w:r>
      <w:r w:rsidR="00A60B1B">
        <w:t xml:space="preserve">including </w:t>
      </w:r>
      <w:r w:rsidRPr="00F539D6">
        <w:t xml:space="preserve">semi-annual </w:t>
      </w:r>
      <w:r w:rsidR="009550A9">
        <w:t xml:space="preserve">Program </w:t>
      </w:r>
      <w:r w:rsidR="00115E74">
        <w:t>Steering Committee</w:t>
      </w:r>
      <w:r w:rsidR="00115E74" w:rsidRPr="00F539D6">
        <w:t xml:space="preserve"> </w:t>
      </w:r>
      <w:r w:rsidRPr="00F539D6">
        <w:t xml:space="preserve">meetings and quarterly </w:t>
      </w:r>
      <w:r w:rsidR="009550A9">
        <w:t xml:space="preserve">Program </w:t>
      </w:r>
      <w:r w:rsidR="00115E74">
        <w:t>Technical Secretariat</w:t>
      </w:r>
      <w:r w:rsidR="00115E74" w:rsidRPr="00F539D6">
        <w:t xml:space="preserve"> </w:t>
      </w:r>
      <w:r w:rsidRPr="00F539D6">
        <w:t xml:space="preserve">meetings. In addition, KSI will continue to engage closely with the co-chairs </w:t>
      </w:r>
      <w:r w:rsidR="00115E74">
        <w:t xml:space="preserve">of the </w:t>
      </w:r>
      <w:r w:rsidR="009550A9">
        <w:t xml:space="preserve">Program </w:t>
      </w:r>
      <w:r w:rsidR="00115E74">
        <w:t xml:space="preserve">Technical Secretariat </w:t>
      </w:r>
      <w:r w:rsidRPr="00F539D6">
        <w:t>to ensure they are app</w:t>
      </w:r>
      <w:r w:rsidR="00810183">
        <w:t>ra</w:t>
      </w:r>
      <w:r w:rsidRPr="00F539D6">
        <w:t>ised of key developments and able to provide input and direction on issues as they arise.</w:t>
      </w:r>
    </w:p>
    <w:p w:rsidR="00450592" w:rsidRDefault="00450592" w:rsidP="00BD1DA6">
      <w:pPr>
        <w:jc w:val="both"/>
      </w:pPr>
    </w:p>
    <w:p w:rsidR="00450592" w:rsidRPr="00F539D6" w:rsidRDefault="00450592" w:rsidP="00BD1DA6">
      <w:pPr>
        <w:jc w:val="both"/>
      </w:pPr>
      <w:r>
        <w:t xml:space="preserve">Activity implementation and funding will </w:t>
      </w:r>
      <w:r w:rsidR="009550A9">
        <w:t xml:space="preserve">be </w:t>
      </w:r>
      <w:r>
        <w:t xml:space="preserve">in line with KSI phase </w:t>
      </w:r>
      <w:r w:rsidR="009550A9">
        <w:t>2</w:t>
      </w:r>
      <w:r>
        <w:t xml:space="preserve"> Standard Operati</w:t>
      </w:r>
      <w:r w:rsidR="00F47F51">
        <w:t>ng</w:t>
      </w:r>
      <w:r>
        <w:t xml:space="preserve"> Procedures </w:t>
      </w:r>
      <w:r w:rsidR="00DE657F">
        <w:t>and the Program Operations Manual.</w:t>
      </w:r>
    </w:p>
    <w:p w:rsidR="008E6706" w:rsidRDefault="008E6706" w:rsidP="00BD1DA6">
      <w:pPr>
        <w:jc w:val="center"/>
      </w:pPr>
    </w:p>
    <w:p w:rsidR="00DE6929" w:rsidRPr="00F539D6" w:rsidRDefault="00DE6929" w:rsidP="00BD1DA6">
      <w:pPr>
        <w:jc w:val="center"/>
      </w:pPr>
      <w:r>
        <w:t>***</w:t>
      </w:r>
    </w:p>
    <w:p w:rsidR="008E6706" w:rsidRPr="00F539D6" w:rsidRDefault="008E6706" w:rsidP="00BD1DA6">
      <w:pPr>
        <w:jc w:val="both"/>
      </w:pPr>
    </w:p>
    <w:p w:rsidR="00B171C6" w:rsidRDefault="00B171C6">
      <w:pPr>
        <w:rPr>
          <w:sz w:val="28"/>
          <w:szCs w:val="28"/>
        </w:rPr>
      </w:pPr>
      <w:r>
        <w:rPr>
          <w:sz w:val="28"/>
          <w:szCs w:val="28"/>
        </w:rPr>
        <w:br w:type="page"/>
      </w:r>
    </w:p>
    <w:p w:rsidR="0051737E" w:rsidRDefault="0051737E" w:rsidP="0051737E">
      <w:pPr>
        <w:pStyle w:val="Heading1"/>
        <w:spacing w:after="0"/>
      </w:pPr>
      <w:bookmarkStart w:id="40" w:name="_Toc492915033"/>
      <w:r w:rsidRPr="00C966D1">
        <w:lastRenderedPageBreak/>
        <w:t xml:space="preserve">Annex </w:t>
      </w:r>
      <w:r>
        <w:t>1: Phase 1 lessons and implications</w:t>
      </w:r>
      <w:bookmarkEnd w:id="40"/>
      <w:r>
        <w:t xml:space="preserve"> </w:t>
      </w:r>
    </w:p>
    <w:p w:rsidR="0051737E" w:rsidRDefault="0051737E" w:rsidP="003F6A2D"/>
    <w:p w:rsidR="009E5217" w:rsidRPr="003F6A2D" w:rsidRDefault="009E5217" w:rsidP="0051737E">
      <w:pPr>
        <w:jc w:val="both"/>
      </w:pPr>
      <w:r w:rsidRPr="009E5217">
        <w:t xml:space="preserve">Reflections on phase 1, the results of the mid-term review as well as information and analysis from the </w:t>
      </w:r>
      <w:r w:rsidRPr="00057F67">
        <w:t xml:space="preserve">program’s monitoring and evaluation system have identified a number of key lessons which have implications </w:t>
      </w:r>
      <w:r w:rsidRPr="003F6A2D">
        <w:t>for how the program will work differently in phase 2.</w:t>
      </w:r>
    </w:p>
    <w:p w:rsidR="009E5217" w:rsidRPr="003F6A2D" w:rsidRDefault="009E5217" w:rsidP="0051737E">
      <w:pPr>
        <w:jc w:val="both"/>
      </w:pPr>
    </w:p>
    <w:p w:rsidR="009E5217" w:rsidRPr="003F6A2D" w:rsidRDefault="009E5217" w:rsidP="0051737E">
      <w:pPr>
        <w:jc w:val="both"/>
      </w:pPr>
      <w:r w:rsidRPr="003F6A2D">
        <w:rPr>
          <w:b/>
        </w:rPr>
        <w:t xml:space="preserve">Greater strategic clarity and focus: </w:t>
      </w:r>
      <w:r w:rsidRPr="003F6A2D">
        <w:t>The original design for the program was based on extensive analysis and stakeholder consultations. Turning the design into a coherent program with realistic objectives, however, proved challenging</w:t>
      </w:r>
      <w:r w:rsidR="00DE657F">
        <w:t xml:space="preserve"> </w:t>
      </w:r>
      <w:r w:rsidRPr="003F6A2D">
        <w:t xml:space="preserve">for a range of reasons. A key challenge was determining the appropriate scope for the program. KSI was designed </w:t>
      </w:r>
      <w:r w:rsidRPr="003F6A2D">
        <w:rPr>
          <w:lang w:val="en-US"/>
        </w:rPr>
        <w:t xml:space="preserve">to work across the knowledge sector ‘system’ by addressing both supply and demand for research, evidence and analysis as well as the broader enabling environment for knowledge. While this approach was sound, in practical terms it meant that the potential areas of work were vast. </w:t>
      </w:r>
      <w:r w:rsidRPr="003F6A2D">
        <w:t>The</w:t>
      </w:r>
      <w:r w:rsidRPr="003F6A2D">
        <w:rPr>
          <w:lang w:val="en-US"/>
        </w:rPr>
        <w:t xml:space="preserve"> program struggled to define, work within and communicate clear areas of focus for its work and to link these together in a coherent way. </w:t>
      </w:r>
    </w:p>
    <w:p w:rsidR="009E5217" w:rsidRPr="003F6A2D" w:rsidRDefault="009E5217" w:rsidP="0051737E">
      <w:pPr>
        <w:jc w:val="both"/>
      </w:pPr>
    </w:p>
    <w:p w:rsidR="009E5217" w:rsidRPr="003F6A2D" w:rsidRDefault="009E5217" w:rsidP="0051737E">
      <w:pPr>
        <w:jc w:val="both"/>
        <w:rPr>
          <w:lang w:val="en-US"/>
        </w:rPr>
      </w:pPr>
      <w:r w:rsidRPr="003F6A2D">
        <w:t xml:space="preserve">In phase 2 the program will concentrate its efforts and resources on aspects of the knowledge sector where strong foundations have been put in place during phase 1, where there is already momentum for reform or which are critical leverage points for generating change in the system. </w:t>
      </w:r>
      <w:r w:rsidRPr="003F6A2D">
        <w:rPr>
          <w:lang w:val="en-US"/>
        </w:rPr>
        <w:t xml:space="preserve">The program will also need to apply a more pragmatic approach to what can be achieved in the current political economy, taking into account the incentives and – just as importantly – disincentives to change. </w:t>
      </w:r>
    </w:p>
    <w:p w:rsidR="009E5217" w:rsidRPr="003F6A2D" w:rsidRDefault="009E5217" w:rsidP="0051737E">
      <w:pPr>
        <w:jc w:val="both"/>
        <w:rPr>
          <w:b/>
          <w:lang w:val="en-US"/>
        </w:rPr>
      </w:pPr>
    </w:p>
    <w:p w:rsidR="009E5217" w:rsidRPr="003F6A2D" w:rsidRDefault="009E5217" w:rsidP="0051737E">
      <w:pPr>
        <w:jc w:val="both"/>
      </w:pPr>
      <w:r w:rsidRPr="003F6A2D">
        <w:rPr>
          <w:b/>
        </w:rPr>
        <w:t xml:space="preserve">Clarifying key concepts: </w:t>
      </w:r>
      <w:r w:rsidRPr="003F6A2D">
        <w:t xml:space="preserve">While the experience of phase 1 has provided insights into the challenges to better use of evidence in Indonesia’s policymaking processes, the program still needs to build a better understanding of some aspects of the knowledge sector. These include what constitutes ‘quality’ policy research and analysis, what skills, capacities and resources policymakers need to demand evidence, how and when evidence enters (or does not enter) into policymaking processes, and how it is used effectively. While the program undertook a number of efforts to improve research quality, the concept of quality in relation to policy research was never defined and a shared understanding of that definition built among stakeholders. Similarly, the concept of ‘knowledge to policy’ (K2P), for instance, was not initially clear to partners, government and non-government alike. Indeed, some elements of K2P were not clear within the program (some explicitly so). This lack of clarity and the complexity of addressing the knowledge sector was one of the reasons the program struggled with its strategic direction. </w:t>
      </w:r>
    </w:p>
    <w:p w:rsidR="009E5217" w:rsidRPr="003F6A2D" w:rsidRDefault="009E5217" w:rsidP="0051737E">
      <w:pPr>
        <w:jc w:val="both"/>
      </w:pPr>
    </w:p>
    <w:p w:rsidR="009E5217" w:rsidRPr="003F6A2D" w:rsidRDefault="009E5217" w:rsidP="0051737E">
      <w:pPr>
        <w:jc w:val="both"/>
      </w:pPr>
      <w:r w:rsidRPr="003F6A2D">
        <w:t>Moreover, while stakeholders increasingly saw the importance and relevance of the program, they were often still unclear as to the program’s approach and what it was aiming to achieve. This pointed to the need for greater strategic clarity</w:t>
      </w:r>
      <w:r w:rsidRPr="003F6A2D">
        <w:rPr>
          <w:i/>
        </w:rPr>
        <w:t xml:space="preserve"> and</w:t>
      </w:r>
      <w:r w:rsidRPr="003F6A2D">
        <w:t xml:space="preserve"> better communication of the program’s aims and achievements to different audiences. </w:t>
      </w:r>
    </w:p>
    <w:p w:rsidR="009E5217" w:rsidRPr="003F6A2D" w:rsidRDefault="009E5217" w:rsidP="0051737E">
      <w:pPr>
        <w:jc w:val="both"/>
        <w:rPr>
          <w:rFonts w:eastAsia="Times New Roman"/>
          <w:color w:val="2E74B5"/>
          <w:kern w:val="36"/>
        </w:rPr>
      </w:pPr>
    </w:p>
    <w:p w:rsidR="009E5217" w:rsidRPr="003F6A2D" w:rsidRDefault="009E5217" w:rsidP="0051737E">
      <w:pPr>
        <w:jc w:val="both"/>
      </w:pPr>
      <w:r w:rsidRPr="009E5217">
        <w:rPr>
          <w:b/>
        </w:rPr>
        <w:t xml:space="preserve">Better understanding </w:t>
      </w:r>
      <w:r w:rsidRPr="00450592">
        <w:rPr>
          <w:b/>
        </w:rPr>
        <w:t xml:space="preserve">of </w:t>
      </w:r>
      <w:r w:rsidRPr="00057F67">
        <w:rPr>
          <w:b/>
        </w:rPr>
        <w:t xml:space="preserve">the political economy of ‘demand for evidence’: </w:t>
      </w:r>
      <w:r w:rsidRPr="00057F67">
        <w:t>In phase 1</w:t>
      </w:r>
      <w:r w:rsidRPr="00057F67">
        <w:rPr>
          <w:b/>
        </w:rPr>
        <w:t xml:space="preserve"> </w:t>
      </w:r>
      <w:r w:rsidRPr="00057F67">
        <w:t xml:space="preserve">KSI also grappled with the complex challenge of improving policymakers’ demand for evidence. Work under phase 1 to bring together researchers and policymakers in issues-based working groups was </w:t>
      </w:r>
      <w:r w:rsidRPr="003F6A2D">
        <w:t xml:space="preserve">successful in helping to clarify what evidence was needed by policymakers. This resulted in uptake of evidence in a range of policy areas and generated increased demand for policy-directed research. On the other hand, the program’s work with ministerial research and development units tasked with translating research evidence for policymakers had limited impact on institutional demand for evidence. This was in part because activities </w:t>
      </w:r>
      <w:r w:rsidRPr="003F6A2D">
        <w:lastRenderedPageBreak/>
        <w:t xml:space="preserve">focused on building these units’ internal capacity and did not address the political economy of the broader institutional environment in which those units are situated. </w:t>
      </w:r>
    </w:p>
    <w:p w:rsidR="009E5217" w:rsidRPr="003F6A2D" w:rsidRDefault="009E5217" w:rsidP="0051737E">
      <w:pPr>
        <w:jc w:val="both"/>
      </w:pPr>
    </w:p>
    <w:p w:rsidR="009E5217" w:rsidRPr="003F6A2D" w:rsidRDefault="009E5217" w:rsidP="0051737E">
      <w:pPr>
        <w:jc w:val="both"/>
      </w:pPr>
      <w:r w:rsidRPr="003F6A2D">
        <w:t>For instance, ministry-level research and development units tend not to be considered priority work areas and are not provided with a great deal of resources or high-level staff. While the program developed a reasonable understanding of the different barriers policymakers face in accessing external knowledge, the understanding of those they face in producing and accessing information from within government institutions was more limited. Phase 2 will place more focus on addressing the broader institutional incentives and drivers for better evidence within government. These include limited analytical capacity within government, lack of integrated data and information management systems, and bureaucratic regulations, practices and sometimes cultures which inhibit the use of evidence.</w:t>
      </w:r>
    </w:p>
    <w:p w:rsidR="009E5217" w:rsidRPr="003F6A2D" w:rsidRDefault="009E5217" w:rsidP="0051737E">
      <w:pPr>
        <w:jc w:val="both"/>
        <w:rPr>
          <w:b/>
          <w:lang w:val="en-US"/>
        </w:rPr>
      </w:pPr>
    </w:p>
    <w:p w:rsidR="009E5217" w:rsidRPr="003F6A2D" w:rsidRDefault="009E5217" w:rsidP="0051737E">
      <w:pPr>
        <w:jc w:val="both"/>
      </w:pPr>
      <w:r w:rsidRPr="003F6A2D">
        <w:rPr>
          <w:b/>
        </w:rPr>
        <w:t>Finding and using policy ‘hooks’:</w:t>
      </w:r>
      <w:r w:rsidRPr="003F6A2D">
        <w:t xml:space="preserve"> The program initially focused its support on key actors within the knowledge sector: the organisations which produce research and knowledge (the ’supply’ side) and the government policymakers who use it (the ‘demand’ side). However, activities with supply and demand side actors were largely undertaken independently of each other. The restructuring of the program into working groups following the mid-term review created clear points of interaction between actors around particular policy areas. For example, the working group for village development enabled research organisations focussing on rural development, governance and economic growth to engage with policymakers and to provide research-based input on policies linked to implementation of the village law, with a newly-created Village Research Forum (</w:t>
      </w:r>
      <w:r w:rsidRPr="003F6A2D">
        <w:rPr>
          <w:i/>
        </w:rPr>
        <w:t>Forum Kajian Desa</w:t>
      </w:r>
      <w:r w:rsidRPr="003F6A2D">
        <w:t>) providing regular on-demand briefings to Bappenas, the Coordinating Ministry for Human Development and Culture and the Ministry of Villages. In phase 2, KSI will utilise relevant ‘policy hooks’ to convene coalitions of stakeholders on key reform issues within the knowledge sector, while also to determining effective strategies for exiting policy dialogue once momentum is established.</w:t>
      </w:r>
    </w:p>
    <w:p w:rsidR="009E5217" w:rsidRPr="009E5217" w:rsidRDefault="009E5217" w:rsidP="0051737E">
      <w:pPr>
        <w:jc w:val="both"/>
        <w:rPr>
          <w:b/>
        </w:rPr>
      </w:pPr>
    </w:p>
    <w:p w:rsidR="009E5217" w:rsidRPr="003F6A2D" w:rsidRDefault="009E5217" w:rsidP="0051737E">
      <w:pPr>
        <w:jc w:val="both"/>
      </w:pPr>
      <w:r w:rsidRPr="00057F67">
        <w:rPr>
          <w:b/>
        </w:rPr>
        <w:t xml:space="preserve">Greater use of program evidence for decision-making: </w:t>
      </w:r>
      <w:r w:rsidRPr="00057F67">
        <w:t xml:space="preserve">In phase 1, KSI struggled to set up and implement a system </w:t>
      </w:r>
      <w:r w:rsidRPr="003F6A2D">
        <w:t xml:space="preserve">to capture information on the program’s progress towards its goals in a way that could be used effectively for ongoing program management and day-to-day operational decision-making. ‘Learning Weeks’ were useful for sharing information across the different pillars of the program but were not effectively linked to a bigger picture, nor were the practical implications of lessons emerging from program implementation discussed. In phase 2, a stronger system will be put in place to facilitate feedback loops between learning and implementation, in part through a rethinking of the tools the program uses for monitoring and evaluation and how information collected by the system flows between the program teams and externally to stakeholders. </w:t>
      </w:r>
    </w:p>
    <w:p w:rsidR="009E5217" w:rsidRPr="003F6A2D" w:rsidRDefault="009E5217" w:rsidP="0051737E">
      <w:pPr>
        <w:jc w:val="both"/>
      </w:pPr>
    </w:p>
    <w:p w:rsidR="009E5217" w:rsidRPr="003F6A2D" w:rsidRDefault="009E5217" w:rsidP="0051737E">
      <w:pPr>
        <w:jc w:val="both"/>
        <w:rPr>
          <w:b/>
        </w:rPr>
      </w:pPr>
      <w:r w:rsidRPr="003F6A2D">
        <w:rPr>
          <w:b/>
          <w:lang w:val="en-US"/>
        </w:rPr>
        <w:t xml:space="preserve">More strategic entry points: </w:t>
      </w:r>
      <w:r w:rsidRPr="003F6A2D">
        <w:rPr>
          <w:lang w:val="en-US"/>
        </w:rPr>
        <w:t>KSI was designed</w:t>
      </w:r>
      <w:r w:rsidRPr="003F6A2D">
        <w:rPr>
          <w:b/>
          <w:lang w:val="en-US"/>
        </w:rPr>
        <w:t xml:space="preserve"> </w:t>
      </w:r>
      <w:r w:rsidRPr="003F6A2D">
        <w:rPr>
          <w:lang w:val="en-US"/>
        </w:rPr>
        <w:t xml:space="preserve">to work across the knowledge sector ‘system’ by addressing both supply and demand for research, evidence and analysis as well as the broader enabling environment for knowledge. While this approach makes sense in theoretical terms, in practical terms it meant that the potential areas of work were vast and at times overwhelming. More can be done to understand government policy cycles from the perspective of information and data flows both horizontally between ministries and vertically from and to regions. Learning from this – and in terms of seeking greater strategic clarity – in phase 2 the program will focus on more specific entry points for evidence in Indonesia’s development policy cycle; from agenda-setting, planning and budgeting through to implementation, monitoring or evaluation. </w:t>
      </w:r>
      <w:r w:rsidRPr="003F6A2D">
        <w:t xml:space="preserve">Particularly important is identifying entry </w:t>
      </w:r>
      <w:r w:rsidRPr="003F6A2D">
        <w:lastRenderedPageBreak/>
        <w:t xml:space="preserve">points based on priorities and emerging or problematic processes within government as “rally points”. </w:t>
      </w:r>
      <w:r w:rsidRPr="003F6A2D">
        <w:rPr>
          <w:lang w:val="en-US"/>
        </w:rPr>
        <w:t xml:space="preserve">For example, the alignment of phase 2 with the development of the next National Medium-Term Development Plan provides the program with an opportunity to support national ministries and agencies to improve data and information management systems related to national planning. </w:t>
      </w:r>
    </w:p>
    <w:p w:rsidR="009E5217" w:rsidRPr="003F6A2D" w:rsidRDefault="009E5217" w:rsidP="0051737E">
      <w:pPr>
        <w:jc w:val="both"/>
        <w:rPr>
          <w:b/>
          <w:lang w:val="en-US"/>
        </w:rPr>
      </w:pPr>
    </w:p>
    <w:p w:rsidR="009E5217" w:rsidRPr="003F6A2D" w:rsidRDefault="009E5217" w:rsidP="0051737E">
      <w:pPr>
        <w:jc w:val="both"/>
        <w:rPr>
          <w:b/>
          <w:lang w:val="en-US"/>
        </w:rPr>
      </w:pPr>
      <w:r w:rsidRPr="003F6A2D">
        <w:rPr>
          <w:b/>
          <w:lang w:val="en-US"/>
        </w:rPr>
        <w:t xml:space="preserve">Better integration of gender and social inclusion: </w:t>
      </w:r>
      <w:r w:rsidRPr="003F6A2D">
        <w:rPr>
          <w:lang w:val="en-US"/>
        </w:rPr>
        <w:t>KSI’s mid-term review in 2015 highlighted the need for a more meaningful approach to gender and social inclusion. As a result, KSI provided targeted assistance to address gender and social inclusion more substantively, including a series of public discussions on issues of gender in research and higher education. One result of this work has been the commitment by the Ministry of Research, Technology and Higher Education to allocate grants for topics related to gender inequality. Work in phase 2 will identify specific entry points for addressing inequality and vulnerability across all aspects of the program, including in engagement with program partners and stakeholders, activity design and implementation, and, importantly, in the substance of research produced by partners and communicated to policymakers. In contrast to phase 1, KSI’s theory of change will also identify specific outcomes related to gender and social inclusion to be achieved in phase 2.</w:t>
      </w:r>
    </w:p>
    <w:p w:rsidR="009E5217" w:rsidRPr="003F6A2D" w:rsidRDefault="009E5217" w:rsidP="0051737E">
      <w:pPr>
        <w:jc w:val="both"/>
        <w:rPr>
          <w:b/>
          <w:lang w:val="en-US"/>
        </w:rPr>
      </w:pPr>
    </w:p>
    <w:p w:rsidR="009E5217" w:rsidRPr="003F6A2D" w:rsidRDefault="009E5217" w:rsidP="0051737E">
      <w:pPr>
        <w:jc w:val="both"/>
        <w:rPr>
          <w:lang w:val="en-US"/>
        </w:rPr>
      </w:pPr>
      <w:r w:rsidRPr="003F6A2D">
        <w:rPr>
          <w:b/>
          <w:lang w:val="en-US"/>
        </w:rPr>
        <w:t xml:space="preserve">More engagement with the media: </w:t>
      </w:r>
      <w:r w:rsidRPr="003F6A2D">
        <w:rPr>
          <w:lang w:val="en-US"/>
        </w:rPr>
        <w:t xml:space="preserve">A diagnostic on the role of intermediary organisations was completed in phase 1. This assessment included an emphasis on the role of the media as a potentially powerful intermediary between researchers and policymakers. For a range of reasons, however, engagement with media was not pursued and, given the challenges faced in phase 1 of improving the flow of information between researchers and policymakers, perhaps should have been. Given the increase in quality investigative journalism in Indonesia, there are opportunities for KSI in phase 2 to work with specific media organisations to stimulate public awareness of and demand for greater use of evidence in policymaking. </w:t>
      </w:r>
    </w:p>
    <w:p w:rsidR="00825C10" w:rsidRPr="00BF2F08" w:rsidRDefault="00825C10" w:rsidP="0051737E">
      <w:pPr>
        <w:jc w:val="both"/>
        <w:rPr>
          <w:rFonts w:eastAsia="Times New Roman"/>
          <w:color w:val="2E74B5"/>
          <w:kern w:val="36"/>
          <w:sz w:val="24"/>
          <w:szCs w:val="24"/>
        </w:rPr>
      </w:pPr>
      <w:r w:rsidRPr="00BF2F08">
        <w:rPr>
          <w:sz w:val="24"/>
          <w:szCs w:val="24"/>
        </w:rPr>
        <w:br w:type="page"/>
      </w:r>
    </w:p>
    <w:p w:rsidR="008E6706" w:rsidRDefault="00D5430A" w:rsidP="00BD1DA6">
      <w:pPr>
        <w:pStyle w:val="Heading1"/>
        <w:spacing w:after="0"/>
      </w:pPr>
      <w:bookmarkStart w:id="41" w:name="_Toc492915034"/>
      <w:r w:rsidRPr="00C966D1">
        <w:lastRenderedPageBreak/>
        <w:t xml:space="preserve">Annex </w:t>
      </w:r>
      <w:r w:rsidR="00825C10">
        <w:t>2</w:t>
      </w:r>
      <w:r w:rsidRPr="00C966D1">
        <w:t xml:space="preserve">: Barriers to a </w:t>
      </w:r>
      <w:r w:rsidR="00C62D04">
        <w:t>h</w:t>
      </w:r>
      <w:r w:rsidRPr="00C966D1">
        <w:t xml:space="preserve">ealthy </w:t>
      </w:r>
      <w:r w:rsidR="00C62D04">
        <w:t>k</w:t>
      </w:r>
      <w:r w:rsidRPr="00C966D1">
        <w:t xml:space="preserve">nowledge </w:t>
      </w:r>
      <w:r w:rsidR="00C62D04">
        <w:t>s</w:t>
      </w:r>
      <w:r w:rsidRPr="00C966D1">
        <w:t>ector</w:t>
      </w:r>
      <w:bookmarkEnd w:id="41"/>
    </w:p>
    <w:p w:rsidR="00C62D04" w:rsidRPr="00C966D1" w:rsidRDefault="00C62D04" w:rsidP="00BD1DA6">
      <w:pPr>
        <w:pStyle w:val="Heading1"/>
        <w:spacing w:after="0"/>
      </w:pPr>
    </w:p>
    <w:p w:rsidR="00EB7871" w:rsidRPr="00FA60D7" w:rsidRDefault="00EB7871" w:rsidP="00BD1DA6">
      <w:pPr>
        <w:jc w:val="both"/>
        <w:rPr>
          <w:rFonts w:asciiTheme="minorHAnsi" w:hAnsiTheme="minorHAnsi"/>
          <w:b/>
        </w:rPr>
      </w:pPr>
      <w:r w:rsidRPr="00FA60D7">
        <w:rPr>
          <w:rFonts w:asciiTheme="minorHAnsi" w:hAnsiTheme="minorHAnsi"/>
          <w:b/>
        </w:rPr>
        <w:t>Insufficient funding for and low quality of expenditure on research</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Gross expenditure on research and development comprises only 0.</w:t>
      </w:r>
      <w:r w:rsidR="00115E74">
        <w:rPr>
          <w:rFonts w:asciiTheme="minorHAnsi" w:hAnsiTheme="minorHAnsi"/>
          <w:sz w:val="22"/>
          <w:szCs w:val="22"/>
        </w:rPr>
        <w:t>09</w:t>
      </w:r>
      <w:r w:rsidRPr="00FA60D7">
        <w:rPr>
          <w:rFonts w:asciiTheme="minorHAnsi" w:hAnsiTheme="minorHAnsi"/>
          <w:sz w:val="22"/>
          <w:szCs w:val="22"/>
        </w:rPr>
        <w:t>% of gross domestic product. This compares to an average of 0.5% in lower-middle-income countries, 1.4% in upper-middle-income countries, and 2.4% in high-income countries.</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Basic research and social science research are underfunded.</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Very few competitive, merit-based research grants are available.</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 xml:space="preserve">Private sector and philanthropic funding constitute only a small percentage of all research funding. </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Research funding does not take into account the needs of the economy.</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Nongovernment research institutes rely on short-term, project-based funding, primarily from international donors, resulting in externally driven research agendas and weaknesses in organisational capacity.</w:t>
      </w:r>
    </w:p>
    <w:p w:rsidR="00C07AAE" w:rsidRPr="00FA60D7" w:rsidRDefault="00C07AAE" w:rsidP="00BD1DA6">
      <w:pPr>
        <w:pStyle w:val="ListParagraph"/>
        <w:ind w:left="990"/>
        <w:contextualSpacing w:val="0"/>
        <w:jc w:val="both"/>
        <w:rPr>
          <w:rFonts w:asciiTheme="minorHAnsi" w:hAnsiTheme="minorHAnsi"/>
          <w:sz w:val="22"/>
          <w:szCs w:val="22"/>
        </w:rPr>
      </w:pPr>
    </w:p>
    <w:p w:rsidR="00EB7871" w:rsidRPr="00FA60D7" w:rsidRDefault="00EB7871" w:rsidP="00BD1DA6">
      <w:pPr>
        <w:jc w:val="both"/>
        <w:rPr>
          <w:rFonts w:asciiTheme="minorHAnsi" w:hAnsiTheme="minorHAnsi"/>
          <w:b/>
        </w:rPr>
      </w:pPr>
      <w:r w:rsidRPr="00FA60D7">
        <w:rPr>
          <w:rFonts w:asciiTheme="minorHAnsi" w:hAnsiTheme="minorHAnsi"/>
          <w:b/>
        </w:rPr>
        <w:t>Inadequate availability and accessibility of data</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 xml:space="preserve">Only a small proportion of government data is shared publicly. </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 xml:space="preserve">Data are not systematically shared between government agencies or between national and </w:t>
      </w:r>
      <w:r w:rsidR="00624CFD" w:rsidRPr="00FA60D7">
        <w:rPr>
          <w:rFonts w:asciiTheme="minorHAnsi" w:hAnsiTheme="minorHAnsi"/>
          <w:sz w:val="22"/>
          <w:szCs w:val="22"/>
        </w:rPr>
        <w:t>sub-national</w:t>
      </w:r>
      <w:r w:rsidRPr="00FA60D7">
        <w:rPr>
          <w:rFonts w:asciiTheme="minorHAnsi" w:hAnsiTheme="minorHAnsi"/>
          <w:sz w:val="22"/>
          <w:szCs w:val="22"/>
        </w:rPr>
        <w:t xml:space="preserve"> governments. </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 xml:space="preserve">Data systems are not integrated: There is no standard classification scheme and there are significant disparities in data from different sources. </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The regulatory framework around data is weak: Stronger policies and procedures on data collection, classification, quality, privacy and protection are needed.</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 xml:space="preserve">Data collection and analysis do not adequately take into account gender and social inclusion issues. </w:t>
      </w:r>
    </w:p>
    <w:p w:rsidR="00C07AAE" w:rsidRPr="00FA60D7" w:rsidRDefault="00C07AAE" w:rsidP="00BD1DA6">
      <w:pPr>
        <w:pStyle w:val="ListParagraph"/>
        <w:ind w:left="990"/>
        <w:contextualSpacing w:val="0"/>
        <w:jc w:val="both"/>
        <w:rPr>
          <w:rFonts w:asciiTheme="minorHAnsi" w:hAnsiTheme="minorHAnsi"/>
          <w:sz w:val="22"/>
          <w:szCs w:val="22"/>
        </w:rPr>
      </w:pPr>
    </w:p>
    <w:p w:rsidR="00EB7871" w:rsidRPr="00FA60D7" w:rsidRDefault="00EB7871" w:rsidP="00BD1DA6">
      <w:pPr>
        <w:jc w:val="both"/>
        <w:rPr>
          <w:rFonts w:asciiTheme="minorHAnsi" w:hAnsiTheme="minorHAnsi"/>
          <w:b/>
        </w:rPr>
      </w:pPr>
      <w:r w:rsidRPr="00FA60D7">
        <w:rPr>
          <w:rFonts w:asciiTheme="minorHAnsi" w:hAnsiTheme="minorHAnsi"/>
          <w:b/>
        </w:rPr>
        <w:t>Low quality of research and analysis</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Insufficient research training in universities results in weaknesses in research and analytical skills across government and nongovernment institutions. Only two universities are ranked in the top 1,000 world universities.</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Peer review and quality assurance mechanisms are not applied systematically.</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As civil servants, employees of public universities and government research agencies receive low salaries, meaning Indonesia’s best and brightest often pursue research careers overseas.</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 xml:space="preserve">Recruitment and promotion policies for university lecturers and researchers in government research organisations are not performance-based, providing little incentive to produce high-quality research. </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Many ministerial research and development units (</w:t>
      </w:r>
      <w:r w:rsidR="00115E74">
        <w:rPr>
          <w:rFonts w:asciiTheme="minorHAnsi" w:hAnsiTheme="minorHAnsi"/>
          <w:sz w:val="22"/>
          <w:szCs w:val="22"/>
        </w:rPr>
        <w:t>b</w:t>
      </w:r>
      <w:r w:rsidRPr="00FA60D7">
        <w:rPr>
          <w:rFonts w:asciiTheme="minorHAnsi" w:hAnsiTheme="minorHAnsi"/>
          <w:sz w:val="22"/>
          <w:szCs w:val="22"/>
        </w:rPr>
        <w:t xml:space="preserve">alitbang) have insufficient capacity to produce high-quality research and analysis. </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There is insufficient domestic expertise on gender and social inclusion issues, with the result that research does not adequately consider these issues.</w:t>
      </w:r>
    </w:p>
    <w:p w:rsidR="00C07AAE" w:rsidRPr="00FA60D7" w:rsidRDefault="00C07AAE" w:rsidP="00BD1DA6">
      <w:pPr>
        <w:pStyle w:val="ListParagraph"/>
        <w:ind w:left="990"/>
        <w:contextualSpacing w:val="0"/>
        <w:jc w:val="both"/>
        <w:rPr>
          <w:rFonts w:asciiTheme="minorHAnsi" w:hAnsiTheme="minorHAnsi"/>
          <w:sz w:val="22"/>
          <w:szCs w:val="22"/>
        </w:rPr>
      </w:pPr>
    </w:p>
    <w:p w:rsidR="00EB7871" w:rsidRPr="00FA60D7" w:rsidRDefault="00EB7871" w:rsidP="00BD1DA6">
      <w:pPr>
        <w:jc w:val="both"/>
        <w:rPr>
          <w:rFonts w:asciiTheme="minorHAnsi" w:hAnsiTheme="minorHAnsi"/>
          <w:b/>
        </w:rPr>
      </w:pPr>
      <w:r w:rsidRPr="00FA60D7">
        <w:rPr>
          <w:rFonts w:asciiTheme="minorHAnsi" w:hAnsiTheme="minorHAnsi"/>
          <w:b/>
        </w:rPr>
        <w:t>Inadequate rules and regulations for producing, accessing and using research</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Research is overregulated: There are more than 20 laws and hundreds of regulations relating to research.</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 xml:space="preserve">Overlapping authority and poor coordination between agencies responsible for the research sector mean that strategies and priorities are not always consistent or mutually reinforcing. </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Research funding is distributed across a range of government agencies, with the result that the national investment is not used strategically.</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lastRenderedPageBreak/>
        <w:t>Inflexible budgeting systems limit policymakers’ ability to commission research and analysis to respond to emerging issues or to fund research over multiple years.</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Financial reporting requirements for research grants place a disproportionate administrative burden on researchers.</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Procurement rules do not take into account the needs of policymakers commissioning research, and they inhibit nongovernment organisations from bidding on government tenders.</w:t>
      </w:r>
    </w:p>
    <w:p w:rsidR="00C07AAE" w:rsidRPr="00FA60D7" w:rsidRDefault="00C07AAE" w:rsidP="00BD1DA6">
      <w:pPr>
        <w:pStyle w:val="ListParagraph"/>
        <w:ind w:left="990"/>
        <w:contextualSpacing w:val="0"/>
        <w:jc w:val="both"/>
        <w:rPr>
          <w:rFonts w:asciiTheme="minorHAnsi" w:hAnsiTheme="minorHAnsi"/>
          <w:sz w:val="22"/>
          <w:szCs w:val="22"/>
        </w:rPr>
      </w:pPr>
    </w:p>
    <w:p w:rsidR="00EB7871" w:rsidRPr="00FA60D7" w:rsidRDefault="00EB7871" w:rsidP="00BD1DA6">
      <w:pPr>
        <w:jc w:val="both"/>
        <w:rPr>
          <w:rFonts w:asciiTheme="minorHAnsi" w:hAnsiTheme="minorHAnsi"/>
          <w:b/>
        </w:rPr>
      </w:pPr>
      <w:r w:rsidRPr="00FA60D7">
        <w:rPr>
          <w:rFonts w:asciiTheme="minorHAnsi" w:hAnsiTheme="minorHAnsi"/>
          <w:b/>
        </w:rPr>
        <w:t>Limited interaction between producers and users of knowledge in the</w:t>
      </w:r>
      <w:r w:rsidR="00734F61">
        <w:rPr>
          <w:rFonts w:asciiTheme="minorHAnsi" w:hAnsiTheme="minorHAnsi"/>
          <w:b/>
        </w:rPr>
        <w:t xml:space="preserve"> </w:t>
      </w:r>
      <w:r w:rsidRPr="00FA60D7">
        <w:rPr>
          <w:rFonts w:asciiTheme="minorHAnsi" w:hAnsiTheme="minorHAnsi"/>
          <w:b/>
        </w:rPr>
        <w:t>policymaking</w:t>
      </w:r>
      <w:r w:rsidR="002008B9">
        <w:rPr>
          <w:rFonts w:asciiTheme="minorHAnsi" w:hAnsiTheme="minorHAnsi"/>
          <w:b/>
        </w:rPr>
        <w:t xml:space="preserve"> </w:t>
      </w:r>
      <w:r w:rsidRPr="00FA60D7">
        <w:rPr>
          <w:rFonts w:asciiTheme="minorHAnsi" w:hAnsiTheme="minorHAnsi"/>
          <w:b/>
        </w:rPr>
        <w:t>process</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Interactions between producers and users of knowledge often depend on personal networks and are ad hoc rather than systematic.</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 xml:space="preserve">There are few mechanisms to connect researchers to policymakers or to make policy-relevant research and evidence readily available to policymakers. </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Research findings are not systematically communicated to policymakers in easily accessible ways, with actionable policy recommendations. There are few high-quality policy journals.</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A bureaucratic separation of researchers as ‘functional staff’ and policymakers as ‘structural staff’ inhibits interaction.</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Policy dialogue and public consultation are limited and often take place after policies have already been designed. Women and socially disadvantaged groups have limited opportunities to participate in policy dialogue.</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Cultural norms do not support contesting evidence or policy options.</w:t>
      </w:r>
    </w:p>
    <w:p w:rsidR="00C07AAE" w:rsidRPr="00FA60D7" w:rsidRDefault="00C07AAE" w:rsidP="00BD1DA6">
      <w:pPr>
        <w:pStyle w:val="ListParagraph"/>
        <w:ind w:left="990"/>
        <w:contextualSpacing w:val="0"/>
        <w:jc w:val="both"/>
        <w:rPr>
          <w:rFonts w:asciiTheme="minorHAnsi" w:hAnsiTheme="minorHAnsi"/>
          <w:sz w:val="22"/>
          <w:szCs w:val="22"/>
        </w:rPr>
      </w:pPr>
    </w:p>
    <w:p w:rsidR="00EB7871" w:rsidRPr="00FA60D7" w:rsidRDefault="00EB7871" w:rsidP="00BD1DA6">
      <w:pPr>
        <w:jc w:val="both"/>
        <w:rPr>
          <w:rFonts w:asciiTheme="minorHAnsi" w:hAnsiTheme="minorHAnsi"/>
          <w:b/>
        </w:rPr>
      </w:pPr>
      <w:r w:rsidRPr="00FA60D7">
        <w:rPr>
          <w:rFonts w:asciiTheme="minorHAnsi" w:hAnsiTheme="minorHAnsi"/>
          <w:b/>
        </w:rPr>
        <w:t>Low capacity to demand and use evidence on the part of policymakers</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Formal requirements for policymaking and limited discretion to act on evidence disincentives policymakers from seeking and using evidence in making policy decisions.</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Funding to acquire evidence through research is limited and internal requisition systems and processes are cumbersome.</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The push to demonstrate quick results means that policymakers are often under pressure to roll out policies quickly, without adequate research and analysis.</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Demand for evidence depends on individual and organisational attitudes towards evidence, and on values and interests related to the policy issue.</w:t>
      </w:r>
    </w:p>
    <w:p w:rsidR="00EB7871" w:rsidRPr="00FA60D7" w:rsidRDefault="00EB7871" w:rsidP="00BD1DA6">
      <w:pPr>
        <w:pStyle w:val="ListParagraph"/>
        <w:numPr>
          <w:ilvl w:val="0"/>
          <w:numId w:val="15"/>
        </w:numPr>
        <w:ind w:left="270" w:hanging="270"/>
        <w:contextualSpacing w:val="0"/>
        <w:jc w:val="both"/>
        <w:rPr>
          <w:rFonts w:asciiTheme="minorHAnsi" w:hAnsiTheme="minorHAnsi"/>
          <w:sz w:val="22"/>
          <w:szCs w:val="22"/>
        </w:rPr>
      </w:pPr>
      <w:r w:rsidRPr="00FA60D7">
        <w:rPr>
          <w:rFonts w:asciiTheme="minorHAnsi" w:hAnsiTheme="minorHAnsi"/>
          <w:sz w:val="22"/>
          <w:szCs w:val="22"/>
        </w:rPr>
        <w:t>Limited awareness and prevailing socio-cultural norms mean there is insufficient understanding of how to address gender and social inclusion in policymaking and limited demand for evidence on these issues.</w:t>
      </w:r>
    </w:p>
    <w:p w:rsidR="00EB7871" w:rsidRDefault="00EB7871" w:rsidP="00BD1DA6">
      <w:pPr>
        <w:pStyle w:val="Heading1"/>
        <w:spacing w:after="0"/>
      </w:pPr>
    </w:p>
    <w:p w:rsidR="00734F61" w:rsidRPr="00F72F92" w:rsidRDefault="00734F61" w:rsidP="00BD1DA6">
      <w:pPr>
        <w:jc w:val="both"/>
      </w:pPr>
    </w:p>
    <w:sectPr w:rsidR="00734F61" w:rsidRPr="00F72F92" w:rsidSect="000A21A3">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9E1" w:rsidRDefault="001B09E1" w:rsidP="00B1762F">
      <w:r>
        <w:separator/>
      </w:r>
    </w:p>
  </w:endnote>
  <w:endnote w:type="continuationSeparator" w:id="0">
    <w:p w:rsidR="001B09E1" w:rsidRDefault="001B09E1" w:rsidP="00B1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eta Normal">
    <w:altName w:val="Cambria"/>
    <w:panose1 w:val="00000000000000000000"/>
    <w:charset w:val="00"/>
    <w:family w:val="roman"/>
    <w:notTrueType/>
    <w:pitch w:val="default"/>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C5" w:rsidRDefault="003A7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673975"/>
      <w:docPartObj>
        <w:docPartGallery w:val="Page Numbers (Bottom of Page)"/>
        <w:docPartUnique/>
      </w:docPartObj>
    </w:sdtPr>
    <w:sdtEndPr>
      <w:rPr>
        <w:noProof/>
      </w:rPr>
    </w:sdtEndPr>
    <w:sdtContent>
      <w:p w:rsidR="0004565F" w:rsidRDefault="0004565F">
        <w:pPr>
          <w:pStyle w:val="Footer"/>
          <w:jc w:val="right"/>
        </w:pPr>
        <w:r>
          <w:fldChar w:fldCharType="begin"/>
        </w:r>
        <w:r>
          <w:instrText xml:space="preserve"> PAGE   \* MERGEFORMAT </w:instrText>
        </w:r>
        <w:r>
          <w:fldChar w:fldCharType="separate"/>
        </w:r>
        <w:r w:rsidR="003A70C5">
          <w:rPr>
            <w:noProof/>
          </w:rPr>
          <w:t>i</w:t>
        </w:r>
        <w:r>
          <w:rPr>
            <w:noProof/>
          </w:rPr>
          <w:fldChar w:fldCharType="end"/>
        </w:r>
      </w:p>
    </w:sdtContent>
  </w:sdt>
  <w:p w:rsidR="0004565F" w:rsidRDefault="00045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C5" w:rsidRDefault="003A7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9E1" w:rsidRDefault="001B09E1" w:rsidP="00B1762F">
      <w:r>
        <w:separator/>
      </w:r>
    </w:p>
  </w:footnote>
  <w:footnote w:type="continuationSeparator" w:id="0">
    <w:p w:rsidR="001B09E1" w:rsidRDefault="001B09E1" w:rsidP="00B1762F">
      <w:r>
        <w:continuationSeparator/>
      </w:r>
    </w:p>
  </w:footnote>
  <w:footnote w:id="1">
    <w:p w:rsidR="0004565F" w:rsidRPr="00D03465" w:rsidRDefault="0004565F" w:rsidP="00BB0BC7">
      <w:pPr>
        <w:pStyle w:val="FootnoteText"/>
        <w:rPr>
          <w:rFonts w:asciiTheme="minorHAnsi" w:hAnsiTheme="minorHAnsi"/>
        </w:rPr>
      </w:pPr>
      <w:r w:rsidRPr="00BB0BC7">
        <w:rPr>
          <w:rStyle w:val="FootnoteReference"/>
          <w:rFonts w:asciiTheme="minorHAnsi" w:hAnsiTheme="minorHAnsi"/>
        </w:rPr>
        <w:footnoteRef/>
      </w:r>
      <w:r w:rsidRPr="00BB0BC7">
        <w:rPr>
          <w:rFonts w:asciiTheme="minorHAnsi" w:hAnsiTheme="minorHAnsi"/>
        </w:rPr>
        <w:t xml:space="preserve"> </w:t>
      </w:r>
      <w:r w:rsidRPr="00C93A76">
        <w:rPr>
          <w:rFonts w:asciiTheme="minorHAnsi" w:hAnsiTheme="minorHAnsi"/>
        </w:rPr>
        <w:t xml:space="preserve">Australian Government, </w:t>
      </w:r>
      <w:hyperlink r:id="rId1" w:history="1">
        <w:r w:rsidRPr="00B039BE">
          <w:rPr>
            <w:rStyle w:val="Hyperlink"/>
            <w:rFonts w:asciiTheme="minorHAnsi" w:hAnsiTheme="minorHAnsi"/>
          </w:rPr>
          <w:t>Aid Investment Plan: Indonesia, 2015/16 to 2018/19</w:t>
        </w:r>
      </w:hyperlink>
      <w:r w:rsidRPr="00C93A76">
        <w:rPr>
          <w:rFonts w:asciiTheme="minorHAnsi" w:hAnsiTheme="minorHAnsi"/>
        </w:rPr>
        <w:t xml:space="preserve">. </w:t>
      </w:r>
    </w:p>
  </w:footnote>
  <w:footnote w:id="2">
    <w:p w:rsidR="0004565F" w:rsidRPr="00C93A76" w:rsidRDefault="0004565F" w:rsidP="00BB0BC7">
      <w:pPr>
        <w:pStyle w:val="FootnoteText"/>
        <w:rPr>
          <w:rFonts w:asciiTheme="minorHAnsi" w:hAnsiTheme="minorHAnsi"/>
        </w:rPr>
      </w:pPr>
      <w:r w:rsidRPr="00BB0BC7">
        <w:rPr>
          <w:rStyle w:val="FootnoteReference"/>
          <w:rFonts w:asciiTheme="minorHAnsi" w:hAnsiTheme="minorHAnsi"/>
        </w:rPr>
        <w:footnoteRef/>
      </w:r>
      <w:r w:rsidRPr="00BB0BC7">
        <w:rPr>
          <w:rFonts w:asciiTheme="minorHAnsi" w:hAnsiTheme="minorHAnsi"/>
        </w:rPr>
        <w:t xml:space="preserve"> </w:t>
      </w:r>
      <w:r w:rsidRPr="00C93A76">
        <w:rPr>
          <w:rFonts w:asciiTheme="minorHAnsi" w:hAnsiTheme="minorHAnsi"/>
        </w:rPr>
        <w:t>As set out in Indonesia’s 2015-2019 National Medium-Term Development Plan.</w:t>
      </w:r>
    </w:p>
  </w:footnote>
  <w:footnote w:id="3">
    <w:p w:rsidR="0004565F" w:rsidRPr="003F6A2D" w:rsidRDefault="0004565F">
      <w:pPr>
        <w:pStyle w:val="FootnoteText"/>
        <w:rPr>
          <w:rFonts w:asciiTheme="minorHAnsi" w:hAnsiTheme="minorHAnsi"/>
        </w:rPr>
      </w:pPr>
      <w:r>
        <w:rPr>
          <w:rStyle w:val="FootnoteReference"/>
        </w:rPr>
        <w:footnoteRef/>
      </w:r>
      <w:r>
        <w:t xml:space="preserve"> </w:t>
      </w:r>
      <w:r w:rsidRPr="00EA4FFE">
        <w:rPr>
          <w:rFonts w:asciiTheme="minorHAnsi" w:hAnsiTheme="minorHAnsi"/>
        </w:rPr>
        <w:t>A. Datta, H. Jones, V. Febriany, D. Harris, D. Rika Kumala, L. Wild and J. Young, ‘The political economy of policy-making in Indonesia: opportunities for improving the demand and use of knowledge, AusAID, Australia, July 2011.</w:t>
      </w:r>
    </w:p>
  </w:footnote>
  <w:footnote w:id="4">
    <w:p w:rsidR="0004565F" w:rsidRPr="003F6A2D" w:rsidRDefault="0004565F">
      <w:pPr>
        <w:pStyle w:val="FootnoteText"/>
        <w:rPr>
          <w:rFonts w:asciiTheme="minorHAnsi" w:hAnsiTheme="minorHAnsi"/>
        </w:rPr>
      </w:pPr>
      <w:r>
        <w:rPr>
          <w:rStyle w:val="FootnoteReference"/>
        </w:rPr>
        <w:footnoteRef/>
      </w:r>
      <w:r>
        <w:t xml:space="preserve"> </w:t>
      </w:r>
      <w:r w:rsidRPr="00EA4FFE">
        <w:rPr>
          <w:rFonts w:asciiTheme="minorHAnsi" w:hAnsiTheme="minorHAnsi"/>
        </w:rPr>
        <w:t>P. M. Sutmuller and I. Setiano, ‘Diagnostic on evidence-based public policy formulation under decentralisation’, Australia-Indonesia Partnership, AusAID, Australia, April 2011.</w:t>
      </w:r>
    </w:p>
  </w:footnote>
  <w:footnote w:id="5">
    <w:p w:rsidR="0004565F" w:rsidRPr="00C93A76" w:rsidRDefault="0004565F" w:rsidP="00D03465">
      <w:pPr>
        <w:pStyle w:val="FootnoteText"/>
        <w:rPr>
          <w:rFonts w:asciiTheme="minorHAnsi" w:hAnsiTheme="minorHAnsi" w:cstheme="minorHAnsi"/>
        </w:rPr>
      </w:pPr>
      <w:r w:rsidRPr="00C93A76">
        <w:rPr>
          <w:rStyle w:val="FootnoteReference"/>
          <w:rFonts w:asciiTheme="minorHAnsi" w:hAnsiTheme="minorHAnsi" w:cstheme="minorHAnsi"/>
        </w:rPr>
        <w:footnoteRef/>
      </w:r>
      <w:r w:rsidRPr="00C93A76">
        <w:rPr>
          <w:rFonts w:asciiTheme="minorHAnsi" w:hAnsiTheme="minorHAnsi" w:cstheme="minorHAnsi"/>
        </w:rPr>
        <w:t xml:space="preserve"> Recent government initiatives align with this need, including the drive for more holistic, integrated and systematic approaches to government planning.</w:t>
      </w:r>
    </w:p>
  </w:footnote>
  <w:footnote w:id="6">
    <w:p w:rsidR="0004565F" w:rsidRPr="00C93A76" w:rsidRDefault="0004565F" w:rsidP="00FA60D7">
      <w:pPr>
        <w:rPr>
          <w:rFonts w:asciiTheme="minorHAnsi" w:hAnsiTheme="minorHAnsi" w:cstheme="minorHAnsi"/>
          <w:sz w:val="20"/>
          <w:szCs w:val="20"/>
        </w:rPr>
      </w:pPr>
      <w:r w:rsidRPr="00C93A76">
        <w:rPr>
          <w:rStyle w:val="FootnoteReference"/>
          <w:rFonts w:asciiTheme="minorHAnsi" w:hAnsiTheme="minorHAnsi" w:cstheme="minorHAnsi"/>
          <w:sz w:val="20"/>
          <w:szCs w:val="20"/>
        </w:rPr>
        <w:footnoteRef/>
      </w:r>
      <w:r w:rsidRPr="00C93A76">
        <w:rPr>
          <w:rFonts w:asciiTheme="minorHAnsi" w:hAnsiTheme="minorHAnsi" w:cstheme="minorHAnsi"/>
          <w:sz w:val="20"/>
          <w:szCs w:val="20"/>
        </w:rPr>
        <w:t xml:space="preserve"> </w:t>
      </w:r>
      <w:r w:rsidRPr="00C93A76">
        <w:rPr>
          <w:rFonts w:asciiTheme="minorHAnsi" w:eastAsia="Helvetica" w:hAnsiTheme="minorHAnsi" w:cstheme="minorHAnsi"/>
          <w:sz w:val="20"/>
          <w:szCs w:val="20"/>
        </w:rPr>
        <w:t xml:space="preserve">UNESCO Institute for Statistics. 2015. </w:t>
      </w:r>
      <w:hyperlink r:id="rId2" w:history="1">
        <w:r w:rsidRPr="00B039BE">
          <w:rPr>
            <w:rStyle w:val="Hyperlink"/>
            <w:rFonts w:asciiTheme="minorHAnsi" w:eastAsia="Helvetica" w:hAnsiTheme="minorHAnsi" w:cstheme="minorHAnsi"/>
            <w:sz w:val="20"/>
            <w:szCs w:val="20"/>
          </w:rPr>
          <w:t>Regional Totals for R&amp;D Expenditure (GERD) and Researchers</w:t>
        </w:r>
      </w:hyperlink>
      <w:r w:rsidRPr="00C93A76">
        <w:rPr>
          <w:rFonts w:asciiTheme="minorHAnsi" w:eastAsia="Helvetica" w:hAnsiTheme="minorHAnsi" w:cstheme="minorHAnsi"/>
          <w:sz w:val="20"/>
          <w:szCs w:val="20"/>
        </w:rPr>
        <w:t xml:space="preserve">. 1996-2013; World Bank. 2013. </w:t>
      </w:r>
      <w:hyperlink r:id="rId3" w:history="1">
        <w:r w:rsidRPr="00B039BE">
          <w:rPr>
            <w:rStyle w:val="Hyperlink"/>
            <w:rFonts w:asciiTheme="minorHAnsi" w:eastAsia="Helvetica" w:hAnsiTheme="minorHAnsi" w:cstheme="minorHAnsi"/>
            <w:sz w:val="20"/>
            <w:szCs w:val="20"/>
          </w:rPr>
          <w:t>World Development Indicators</w:t>
        </w:r>
      </w:hyperlink>
      <w:r w:rsidRPr="00C93A76">
        <w:rPr>
          <w:rFonts w:asciiTheme="minorHAnsi" w:eastAsia="Helvetica" w:hAnsiTheme="minorHAnsi" w:cstheme="minorHAnsi"/>
          <w:sz w:val="20"/>
          <w:szCs w:val="20"/>
        </w:rPr>
        <w:t xml:space="preserve">. Science and technology. Research and development expenditure (% of GDP). </w:t>
      </w:r>
    </w:p>
  </w:footnote>
  <w:footnote w:id="7">
    <w:p w:rsidR="0004565F" w:rsidRPr="00AC560F" w:rsidRDefault="0004565F" w:rsidP="00DF2B33">
      <w:pPr>
        <w:pStyle w:val="FootnoteText"/>
        <w:rPr>
          <w:rFonts w:asciiTheme="minorHAnsi" w:hAnsiTheme="minorHAnsi" w:cstheme="minorHAnsi"/>
        </w:rPr>
      </w:pPr>
      <w:r w:rsidRPr="00AC560F">
        <w:rPr>
          <w:rStyle w:val="FootnoteReference"/>
          <w:rFonts w:asciiTheme="minorHAnsi" w:hAnsiTheme="minorHAnsi" w:cstheme="minorHAnsi"/>
        </w:rPr>
        <w:footnoteRef/>
      </w:r>
      <w:r w:rsidRPr="00AC560F">
        <w:rPr>
          <w:rFonts w:asciiTheme="minorHAnsi" w:hAnsiTheme="minorHAnsi" w:cstheme="minorHAnsi"/>
        </w:rPr>
        <w:t xml:space="preserve"> This has been strengthened by the enactment of Government Regulation No.17/2017 on Synchronisation of Planning and Budgeting.</w:t>
      </w:r>
    </w:p>
  </w:footnote>
  <w:footnote w:id="8">
    <w:p w:rsidR="0004565F" w:rsidRPr="00AC560F" w:rsidRDefault="0004565F" w:rsidP="003139EF">
      <w:pPr>
        <w:pStyle w:val="FootnoteText"/>
        <w:rPr>
          <w:rFonts w:asciiTheme="minorHAnsi" w:hAnsiTheme="minorHAnsi"/>
          <w:lang w:val="en-US"/>
        </w:rPr>
      </w:pPr>
      <w:r w:rsidRPr="00AC560F">
        <w:rPr>
          <w:rStyle w:val="FootnoteReference"/>
          <w:rFonts w:asciiTheme="minorHAnsi" w:hAnsiTheme="minorHAnsi"/>
        </w:rPr>
        <w:footnoteRef/>
      </w:r>
      <w:r w:rsidRPr="00AC560F">
        <w:rPr>
          <w:rFonts w:asciiTheme="minorHAnsi" w:hAnsiTheme="minorHAnsi"/>
        </w:rPr>
        <w:t xml:space="preserve"> </w:t>
      </w:r>
      <w:r>
        <w:rPr>
          <w:rFonts w:asciiTheme="minorHAnsi" w:hAnsiTheme="minorHAnsi"/>
        </w:rPr>
        <w:t xml:space="preserve">This relationship has been formalised through the signing of a Memorandum of Understanding in February 2017 </w:t>
      </w:r>
      <w:r w:rsidRPr="00AC560F">
        <w:rPr>
          <w:rFonts w:asciiTheme="minorHAnsi" w:hAnsiTheme="minorHAnsi"/>
          <w:lang w:val="en-US"/>
        </w:rPr>
        <w:t xml:space="preserve">between </w:t>
      </w:r>
      <w:r>
        <w:rPr>
          <w:rFonts w:asciiTheme="minorHAnsi" w:hAnsiTheme="minorHAnsi"/>
          <w:lang w:val="en-US"/>
        </w:rPr>
        <w:t xml:space="preserve">the Indonesian Academy of Science, the Indonesian Young Academy of Science and the Office of the President on the provision of </w:t>
      </w:r>
      <w:r w:rsidRPr="00AC560F">
        <w:rPr>
          <w:rFonts w:asciiTheme="minorHAnsi" w:hAnsiTheme="minorHAnsi"/>
        </w:rPr>
        <w:t xml:space="preserve">scientific research </w:t>
      </w:r>
      <w:r>
        <w:rPr>
          <w:rFonts w:asciiTheme="minorHAnsi" w:hAnsiTheme="minorHAnsi"/>
        </w:rPr>
        <w:t>and advice to support</w:t>
      </w:r>
      <w:r w:rsidRPr="00AC560F">
        <w:rPr>
          <w:rFonts w:asciiTheme="minorHAnsi" w:hAnsiTheme="minorHAnsi"/>
        </w:rPr>
        <w:t xml:space="preserve"> </w:t>
      </w:r>
      <w:r>
        <w:rPr>
          <w:rFonts w:asciiTheme="minorHAnsi" w:hAnsiTheme="minorHAnsi"/>
        </w:rPr>
        <w:t xml:space="preserve">the development of </w:t>
      </w:r>
      <w:r w:rsidRPr="00AC560F">
        <w:rPr>
          <w:rFonts w:asciiTheme="minorHAnsi" w:hAnsiTheme="minorHAnsi"/>
        </w:rPr>
        <w:t xml:space="preserve">strategic government </w:t>
      </w:r>
      <w:r>
        <w:rPr>
          <w:rFonts w:asciiTheme="minorHAnsi" w:hAnsiTheme="minorHAnsi"/>
        </w:rPr>
        <w:t>policies.</w:t>
      </w:r>
    </w:p>
  </w:footnote>
  <w:footnote w:id="9">
    <w:p w:rsidR="0004565F" w:rsidRPr="00A630B9" w:rsidRDefault="0004565F">
      <w:pPr>
        <w:pStyle w:val="FootnoteText"/>
        <w:rPr>
          <w:rFonts w:asciiTheme="minorHAnsi" w:hAnsiTheme="minorHAnsi"/>
        </w:rPr>
      </w:pPr>
      <w:r w:rsidRPr="00A630B9">
        <w:rPr>
          <w:rStyle w:val="FootnoteReference"/>
          <w:rFonts w:asciiTheme="minorHAnsi" w:hAnsiTheme="minorHAnsi"/>
        </w:rPr>
        <w:footnoteRef/>
      </w:r>
      <w:r w:rsidRPr="00A630B9">
        <w:rPr>
          <w:rFonts w:asciiTheme="minorHAnsi" w:hAnsiTheme="minorHAnsi"/>
        </w:rPr>
        <w:t xml:space="preserve"> For example, in terms of explicating Bappenas’ role as a ‘think tank’ within the Indonesian Government. </w:t>
      </w:r>
    </w:p>
  </w:footnote>
  <w:footnote w:id="10">
    <w:p w:rsidR="0004565F" w:rsidRPr="000F63EA" w:rsidRDefault="0004565F">
      <w:pPr>
        <w:pStyle w:val="FootnoteText"/>
        <w:rPr>
          <w:rFonts w:asciiTheme="minorHAnsi" w:hAnsiTheme="minorHAnsi"/>
        </w:rPr>
      </w:pPr>
      <w:r w:rsidRPr="000F63EA">
        <w:rPr>
          <w:rStyle w:val="FootnoteReference"/>
          <w:rFonts w:asciiTheme="minorHAnsi" w:hAnsiTheme="minorHAnsi"/>
        </w:rPr>
        <w:footnoteRef/>
      </w:r>
      <w:r w:rsidRPr="000F63EA">
        <w:rPr>
          <w:rFonts w:asciiTheme="minorHAnsi" w:hAnsiTheme="minorHAnsi"/>
        </w:rPr>
        <w:t xml:space="preserve"> </w:t>
      </w:r>
      <w:r>
        <w:rPr>
          <w:rFonts w:asciiTheme="minorHAnsi" w:hAnsiTheme="minorHAnsi"/>
        </w:rPr>
        <w:t>Relating also to Focus Area 1</w:t>
      </w:r>
      <w:r w:rsidR="00B039BE">
        <w:rPr>
          <w:rFonts w:asciiTheme="minorHAnsi" w:hAnsiTheme="minorHAnsi"/>
        </w:rPr>
        <w:t>;</w:t>
      </w:r>
      <w:r>
        <w:rPr>
          <w:rFonts w:asciiTheme="minorHAnsi" w:hAnsiTheme="minorHAnsi"/>
        </w:rPr>
        <w:t xml:space="preserve"> in terms of strengthening the relationship between government institutions and non-government research institutions, as well as how the role of policy analysts </w:t>
      </w:r>
      <w:r w:rsidR="00B039BE">
        <w:rPr>
          <w:rFonts w:asciiTheme="minorHAnsi" w:hAnsiTheme="minorHAnsi"/>
        </w:rPr>
        <w:t xml:space="preserve">functions </w:t>
      </w:r>
      <w:r>
        <w:rPr>
          <w:rFonts w:asciiTheme="minorHAnsi" w:hAnsiTheme="minorHAnsi"/>
        </w:rPr>
        <w:t>within government</w:t>
      </w:r>
      <w:r w:rsidR="00B039BE">
        <w:rPr>
          <w:rFonts w:asciiTheme="minorHAnsi" w:hAnsiTheme="minorHAnsi"/>
        </w:rPr>
        <w:t>.</w:t>
      </w:r>
    </w:p>
  </w:footnote>
  <w:footnote w:id="11">
    <w:p w:rsidR="0004565F" w:rsidRPr="00C93A76" w:rsidRDefault="0004565F">
      <w:pPr>
        <w:pStyle w:val="FootnoteText"/>
        <w:rPr>
          <w:rFonts w:asciiTheme="minorHAnsi" w:hAnsiTheme="minorHAnsi" w:cstheme="minorHAnsi"/>
          <w:lang w:val="en-US"/>
        </w:rPr>
      </w:pPr>
      <w:r w:rsidRPr="00FA60D7">
        <w:rPr>
          <w:rStyle w:val="FootnoteReference"/>
          <w:rFonts w:asciiTheme="minorHAnsi" w:hAnsiTheme="minorHAnsi" w:cstheme="minorHAnsi"/>
        </w:rPr>
        <w:footnoteRef/>
      </w:r>
      <w:r w:rsidRPr="00FA60D7">
        <w:rPr>
          <w:rFonts w:asciiTheme="minorHAnsi" w:hAnsiTheme="minorHAnsi" w:cstheme="minorHAnsi"/>
        </w:rPr>
        <w:t xml:space="preserve"> </w:t>
      </w:r>
      <w:hyperlink r:id="rId4" w:history="1">
        <w:r w:rsidRPr="00B039BE">
          <w:rPr>
            <w:rStyle w:val="Hyperlink"/>
            <w:rFonts w:asciiTheme="minorHAnsi" w:hAnsiTheme="minorHAnsi" w:cstheme="minorHAnsi"/>
            <w:lang w:val="en-US"/>
          </w:rPr>
          <w:t>Effective governance: Strategy for Australia’s aid investments</w:t>
        </w:r>
      </w:hyperlink>
      <w:r w:rsidRPr="00C93A76">
        <w:rPr>
          <w:rFonts w:asciiTheme="minorHAnsi" w:hAnsiTheme="minorHAnsi" w:cstheme="minorHAnsi"/>
          <w:lang w:val="en-US"/>
        </w:rPr>
        <w:t xml:space="preserve">. </w:t>
      </w:r>
    </w:p>
  </w:footnote>
  <w:footnote w:id="12">
    <w:p w:rsidR="0004565F" w:rsidRPr="00FA60D7" w:rsidRDefault="0004565F" w:rsidP="002008B9">
      <w:pPr>
        <w:pStyle w:val="Refs"/>
        <w:spacing w:after="0"/>
        <w:ind w:left="0" w:firstLine="0"/>
        <w:rPr>
          <w:rFonts w:asciiTheme="minorHAnsi" w:hAnsiTheme="minorHAnsi" w:cstheme="minorHAnsi"/>
          <w:sz w:val="20"/>
          <w:szCs w:val="20"/>
        </w:rPr>
      </w:pPr>
      <w:r w:rsidRPr="00FA60D7">
        <w:rPr>
          <w:rStyle w:val="FootnoteReference"/>
          <w:rFonts w:asciiTheme="minorHAnsi" w:hAnsiTheme="minorHAnsi" w:cstheme="minorHAnsi"/>
          <w:sz w:val="20"/>
          <w:szCs w:val="20"/>
        </w:rPr>
        <w:footnoteRef/>
      </w:r>
      <w:r w:rsidRPr="00FA60D7">
        <w:rPr>
          <w:rFonts w:asciiTheme="minorHAnsi" w:hAnsiTheme="minorHAnsi" w:cstheme="minorHAnsi"/>
          <w:sz w:val="20"/>
          <w:szCs w:val="20"/>
        </w:rPr>
        <w:t xml:space="preserve"> DFAT. (2016). </w:t>
      </w:r>
      <w:r w:rsidRPr="00FA60D7">
        <w:rPr>
          <w:rFonts w:asciiTheme="minorHAnsi" w:hAnsiTheme="minorHAnsi" w:cstheme="minorHAnsi"/>
          <w:i/>
          <w:sz w:val="20"/>
          <w:szCs w:val="20"/>
        </w:rPr>
        <w:t xml:space="preserve">Practice Note 3: What is a facility? Documenting recent practice in the Indonesia program. </w:t>
      </w:r>
      <w:r w:rsidRPr="00FA60D7">
        <w:rPr>
          <w:rFonts w:asciiTheme="minorHAnsi" w:hAnsiTheme="minorHAnsi" w:cstheme="minorHAnsi"/>
          <w:sz w:val="20"/>
          <w:szCs w:val="20"/>
        </w:rPr>
        <w:t xml:space="preserve">Jakarta: Department of Foreign Affairs and Trade. </w:t>
      </w:r>
    </w:p>
    <w:p w:rsidR="0004565F" w:rsidRPr="00C93A76" w:rsidRDefault="0004565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C5" w:rsidRDefault="003A7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C5" w:rsidRDefault="003A70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65F" w:rsidRDefault="0004565F">
    <w:pPr>
      <w:pStyle w:val="Header"/>
    </w:pPr>
    <w:r>
      <w:rPr>
        <w:rFonts w:ascii="Arial" w:hAnsi="Arial"/>
        <w:b/>
        <w:noProof/>
        <w:color w:val="0A357E"/>
        <w:sz w:val="36"/>
        <w:szCs w:val="36"/>
      </w:rPr>
      <w:drawing>
        <wp:inline distT="0" distB="0" distL="0" distR="0" wp14:anchorId="007B6503" wp14:editId="18DECDC1">
          <wp:extent cx="5274310" cy="11493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SI bappenas  Australia Gov.png"/>
                  <pic:cNvPicPr/>
                </pic:nvPicPr>
                <pic:blipFill>
                  <a:blip r:embed="rId1">
                    <a:extLst>
                      <a:ext uri="{28A0092B-C50C-407E-A947-70E740481C1C}">
                        <a14:useLocalDpi xmlns:a14="http://schemas.microsoft.com/office/drawing/2010/main" val="0"/>
                      </a:ext>
                    </a:extLst>
                  </a:blip>
                  <a:stretch>
                    <a:fillRect/>
                  </a:stretch>
                </pic:blipFill>
                <pic:spPr>
                  <a:xfrm>
                    <a:off x="0" y="0"/>
                    <a:ext cx="5274310" cy="1149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DE6"/>
    <w:multiLevelType w:val="hybridMultilevel"/>
    <w:tmpl w:val="46CEA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93599"/>
    <w:multiLevelType w:val="multilevel"/>
    <w:tmpl w:val="F96EAF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4061FF"/>
    <w:multiLevelType w:val="hybridMultilevel"/>
    <w:tmpl w:val="8B9C5984"/>
    <w:lvl w:ilvl="0" w:tplc="0C09000F">
      <w:start w:val="1"/>
      <w:numFmt w:val="decimal"/>
      <w:lvlText w:val="%1."/>
      <w:lvlJc w:val="left"/>
      <w:pPr>
        <w:ind w:left="1110" w:hanging="360"/>
      </w:pPr>
      <w:rPr>
        <w:rFonts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3" w15:restartNumberingAfterBreak="0">
    <w:nsid w:val="101409CC"/>
    <w:multiLevelType w:val="hybridMultilevel"/>
    <w:tmpl w:val="C6E2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3D23F3"/>
    <w:multiLevelType w:val="hybridMultilevel"/>
    <w:tmpl w:val="D08A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3149C"/>
    <w:multiLevelType w:val="hybridMultilevel"/>
    <w:tmpl w:val="AC3C2140"/>
    <w:lvl w:ilvl="0" w:tplc="F5C62E86">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923CA"/>
    <w:multiLevelType w:val="hybridMultilevel"/>
    <w:tmpl w:val="471A2612"/>
    <w:lvl w:ilvl="0" w:tplc="0C090001">
      <w:start w:val="1"/>
      <w:numFmt w:val="bullet"/>
      <w:lvlText w:val=""/>
      <w:lvlJc w:val="left"/>
      <w:pPr>
        <w:ind w:left="1110" w:hanging="360"/>
      </w:pPr>
      <w:rPr>
        <w:rFonts w:ascii="Symbol" w:hAnsi="Symbo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7" w15:restartNumberingAfterBreak="0">
    <w:nsid w:val="2B841B9C"/>
    <w:multiLevelType w:val="hybridMultilevel"/>
    <w:tmpl w:val="BEDA666A"/>
    <w:lvl w:ilvl="0" w:tplc="CD888A6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0C53A61"/>
    <w:multiLevelType w:val="hybridMultilevel"/>
    <w:tmpl w:val="9F20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C5C4C"/>
    <w:multiLevelType w:val="hybridMultilevel"/>
    <w:tmpl w:val="D3980470"/>
    <w:lvl w:ilvl="0" w:tplc="AF84F6C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0369E"/>
    <w:multiLevelType w:val="hybridMultilevel"/>
    <w:tmpl w:val="FDC6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A3BE0"/>
    <w:multiLevelType w:val="hybridMultilevel"/>
    <w:tmpl w:val="812AB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B6172A"/>
    <w:multiLevelType w:val="hybridMultilevel"/>
    <w:tmpl w:val="9E06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C77E5"/>
    <w:multiLevelType w:val="hybridMultilevel"/>
    <w:tmpl w:val="A998C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9012E5"/>
    <w:multiLevelType w:val="hybridMultilevel"/>
    <w:tmpl w:val="2D16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945FB"/>
    <w:multiLevelType w:val="hybridMultilevel"/>
    <w:tmpl w:val="F17CCF0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C457D3"/>
    <w:multiLevelType w:val="hybridMultilevel"/>
    <w:tmpl w:val="15CA3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F358C6"/>
    <w:multiLevelType w:val="hybridMultilevel"/>
    <w:tmpl w:val="5D54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E23B1"/>
    <w:multiLevelType w:val="hybridMultilevel"/>
    <w:tmpl w:val="DE284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997B85"/>
    <w:multiLevelType w:val="hybridMultilevel"/>
    <w:tmpl w:val="EAF0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C0F1B"/>
    <w:multiLevelType w:val="multilevel"/>
    <w:tmpl w:val="5DC82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C50F30"/>
    <w:multiLevelType w:val="hybridMultilevel"/>
    <w:tmpl w:val="BC0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E4C9F"/>
    <w:multiLevelType w:val="hybridMultilevel"/>
    <w:tmpl w:val="7BEA3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615BBB"/>
    <w:multiLevelType w:val="hybridMultilevel"/>
    <w:tmpl w:val="FA5ADDAA"/>
    <w:lvl w:ilvl="0" w:tplc="810626F6">
      <w:start w:val="1"/>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5137BB"/>
    <w:multiLevelType w:val="hybridMultilevel"/>
    <w:tmpl w:val="2E76E6AA"/>
    <w:lvl w:ilvl="0" w:tplc="8D36DFA2">
      <w:start w:val="1"/>
      <w:numFmt w:val="bullet"/>
      <w:pStyle w:val="TextBox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B67DC"/>
    <w:multiLevelType w:val="hybridMultilevel"/>
    <w:tmpl w:val="1F3A38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8F67AD"/>
    <w:multiLevelType w:val="hybridMultilevel"/>
    <w:tmpl w:val="60D0A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24041A"/>
    <w:multiLevelType w:val="hybridMultilevel"/>
    <w:tmpl w:val="CD140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03A83"/>
    <w:multiLevelType w:val="hybridMultilevel"/>
    <w:tmpl w:val="34680A58"/>
    <w:lvl w:ilvl="0" w:tplc="0E96DCF4">
      <w:start w:val="1"/>
      <w:numFmt w:val="decimal"/>
      <w:lvlText w:val="%1."/>
      <w:lvlJc w:val="left"/>
      <w:pPr>
        <w:ind w:left="786"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368F7"/>
    <w:multiLevelType w:val="hybridMultilevel"/>
    <w:tmpl w:val="47F62D66"/>
    <w:lvl w:ilvl="0" w:tplc="0C090001">
      <w:start w:val="1"/>
      <w:numFmt w:val="bullet"/>
      <w:lvlText w:val=""/>
      <w:lvlJc w:val="left"/>
      <w:pPr>
        <w:ind w:left="1110" w:hanging="360"/>
      </w:pPr>
      <w:rPr>
        <w:rFonts w:ascii="Symbol" w:hAnsi="Symbo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31" w15:restartNumberingAfterBreak="0">
    <w:nsid w:val="7A042EEC"/>
    <w:multiLevelType w:val="hybridMultilevel"/>
    <w:tmpl w:val="877C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554D9"/>
    <w:multiLevelType w:val="hybridMultilevel"/>
    <w:tmpl w:val="80C8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0"/>
  </w:num>
  <w:num w:numId="4">
    <w:abstractNumId w:val="15"/>
  </w:num>
  <w:num w:numId="5">
    <w:abstractNumId w:val="31"/>
  </w:num>
  <w:num w:numId="6">
    <w:abstractNumId w:val="19"/>
  </w:num>
  <w:num w:numId="7">
    <w:abstractNumId w:val="20"/>
  </w:num>
  <w:num w:numId="8">
    <w:abstractNumId w:val="9"/>
  </w:num>
  <w:num w:numId="9">
    <w:abstractNumId w:val="22"/>
  </w:num>
  <w:num w:numId="10">
    <w:abstractNumId w:val="4"/>
  </w:num>
  <w:num w:numId="11">
    <w:abstractNumId w:val="32"/>
  </w:num>
  <w:num w:numId="12">
    <w:abstractNumId w:val="11"/>
  </w:num>
  <w:num w:numId="13">
    <w:abstractNumId w:val="12"/>
  </w:num>
  <w:num w:numId="14">
    <w:abstractNumId w:val="25"/>
  </w:num>
  <w:num w:numId="15">
    <w:abstractNumId w:val="23"/>
  </w:num>
  <w:num w:numId="16">
    <w:abstractNumId w:val="14"/>
  </w:num>
  <w:num w:numId="17">
    <w:abstractNumId w:val="0"/>
  </w:num>
  <w:num w:numId="18">
    <w:abstractNumId w:val="27"/>
  </w:num>
  <w:num w:numId="19">
    <w:abstractNumId w:val="3"/>
  </w:num>
  <w:num w:numId="20">
    <w:abstractNumId w:val="17"/>
  </w:num>
  <w:num w:numId="21">
    <w:abstractNumId w:val="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8"/>
  </w:num>
  <w:num w:numId="25">
    <w:abstractNumId w:val="5"/>
  </w:num>
  <w:num w:numId="26">
    <w:abstractNumId w:val="24"/>
  </w:num>
  <w:num w:numId="27">
    <w:abstractNumId w:val="6"/>
  </w:num>
  <w:num w:numId="28">
    <w:abstractNumId w:val="30"/>
  </w:num>
  <w:num w:numId="29">
    <w:abstractNumId w:val="2"/>
  </w:num>
  <w:num w:numId="30">
    <w:abstractNumId w:val="29"/>
  </w:num>
  <w:num w:numId="31">
    <w:abstractNumId w:val="16"/>
  </w:num>
  <w:num w:numId="32">
    <w:abstractNumId w:val="7"/>
  </w:num>
  <w:num w:numId="3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2F"/>
    <w:rsid w:val="000026CB"/>
    <w:rsid w:val="00002AF1"/>
    <w:rsid w:val="00010E2B"/>
    <w:rsid w:val="00012D5D"/>
    <w:rsid w:val="00013D34"/>
    <w:rsid w:val="00015244"/>
    <w:rsid w:val="00020424"/>
    <w:rsid w:val="000204EB"/>
    <w:rsid w:val="00022B6D"/>
    <w:rsid w:val="0002534C"/>
    <w:rsid w:val="000270D6"/>
    <w:rsid w:val="000272E3"/>
    <w:rsid w:val="0003795E"/>
    <w:rsid w:val="00043C69"/>
    <w:rsid w:val="0004565F"/>
    <w:rsid w:val="00051832"/>
    <w:rsid w:val="00053B7F"/>
    <w:rsid w:val="0005535C"/>
    <w:rsid w:val="000577D5"/>
    <w:rsid w:val="00057F67"/>
    <w:rsid w:val="0006765E"/>
    <w:rsid w:val="0006767D"/>
    <w:rsid w:val="00070E6D"/>
    <w:rsid w:val="0007168C"/>
    <w:rsid w:val="00073C00"/>
    <w:rsid w:val="00075C2D"/>
    <w:rsid w:val="0007705A"/>
    <w:rsid w:val="00081D3D"/>
    <w:rsid w:val="000912D8"/>
    <w:rsid w:val="000A044C"/>
    <w:rsid w:val="000A0FC6"/>
    <w:rsid w:val="000A17AF"/>
    <w:rsid w:val="000A21A3"/>
    <w:rsid w:val="000A7B26"/>
    <w:rsid w:val="000B54C9"/>
    <w:rsid w:val="000B7C99"/>
    <w:rsid w:val="000C1AD5"/>
    <w:rsid w:val="000C1C24"/>
    <w:rsid w:val="000C534C"/>
    <w:rsid w:val="000D2C34"/>
    <w:rsid w:val="000D3441"/>
    <w:rsid w:val="000D38F1"/>
    <w:rsid w:val="000D4DB5"/>
    <w:rsid w:val="000D7A04"/>
    <w:rsid w:val="000E3E17"/>
    <w:rsid w:val="000E53BA"/>
    <w:rsid w:val="000E5A01"/>
    <w:rsid w:val="000E7AD0"/>
    <w:rsid w:val="000F04C8"/>
    <w:rsid w:val="000F2BBD"/>
    <w:rsid w:val="000F63EA"/>
    <w:rsid w:val="00101BD2"/>
    <w:rsid w:val="00103C79"/>
    <w:rsid w:val="001104FA"/>
    <w:rsid w:val="00111220"/>
    <w:rsid w:val="001129ED"/>
    <w:rsid w:val="00113963"/>
    <w:rsid w:val="001146F6"/>
    <w:rsid w:val="00115429"/>
    <w:rsid w:val="00115E74"/>
    <w:rsid w:val="0011645C"/>
    <w:rsid w:val="001178D4"/>
    <w:rsid w:val="00134364"/>
    <w:rsid w:val="00137DA9"/>
    <w:rsid w:val="00143A3D"/>
    <w:rsid w:val="001467EC"/>
    <w:rsid w:val="00154C18"/>
    <w:rsid w:val="00155A0B"/>
    <w:rsid w:val="00157C26"/>
    <w:rsid w:val="00162CE8"/>
    <w:rsid w:val="00167C7E"/>
    <w:rsid w:val="001702AE"/>
    <w:rsid w:val="0017317B"/>
    <w:rsid w:val="00173B15"/>
    <w:rsid w:val="001760F2"/>
    <w:rsid w:val="00180DBF"/>
    <w:rsid w:val="00184808"/>
    <w:rsid w:val="0018589E"/>
    <w:rsid w:val="00185B23"/>
    <w:rsid w:val="0018739D"/>
    <w:rsid w:val="00187A1B"/>
    <w:rsid w:val="001906D7"/>
    <w:rsid w:val="00190B54"/>
    <w:rsid w:val="00190E51"/>
    <w:rsid w:val="00194710"/>
    <w:rsid w:val="00194DBB"/>
    <w:rsid w:val="001A32B0"/>
    <w:rsid w:val="001B09E1"/>
    <w:rsid w:val="001B446E"/>
    <w:rsid w:val="001B65D6"/>
    <w:rsid w:val="001B6EAE"/>
    <w:rsid w:val="001C12FB"/>
    <w:rsid w:val="001C4FF1"/>
    <w:rsid w:val="001D1736"/>
    <w:rsid w:val="001E1544"/>
    <w:rsid w:val="001E40AE"/>
    <w:rsid w:val="001E556B"/>
    <w:rsid w:val="001E6835"/>
    <w:rsid w:val="001F33B4"/>
    <w:rsid w:val="001F5C1E"/>
    <w:rsid w:val="002003B9"/>
    <w:rsid w:val="002008B9"/>
    <w:rsid w:val="0021029C"/>
    <w:rsid w:val="00210C4B"/>
    <w:rsid w:val="0021661D"/>
    <w:rsid w:val="00221D6D"/>
    <w:rsid w:val="00222398"/>
    <w:rsid w:val="002225EF"/>
    <w:rsid w:val="00223308"/>
    <w:rsid w:val="00223AB2"/>
    <w:rsid w:val="00234370"/>
    <w:rsid w:val="002445A5"/>
    <w:rsid w:val="00254DFA"/>
    <w:rsid w:val="00255A98"/>
    <w:rsid w:val="00256413"/>
    <w:rsid w:val="002568B7"/>
    <w:rsid w:val="00264027"/>
    <w:rsid w:val="002647A1"/>
    <w:rsid w:val="00267202"/>
    <w:rsid w:val="00270181"/>
    <w:rsid w:val="00270654"/>
    <w:rsid w:val="00273DC2"/>
    <w:rsid w:val="002765AB"/>
    <w:rsid w:val="00280ABB"/>
    <w:rsid w:val="00281B40"/>
    <w:rsid w:val="00283801"/>
    <w:rsid w:val="00283EA8"/>
    <w:rsid w:val="00291B6A"/>
    <w:rsid w:val="00292C0E"/>
    <w:rsid w:val="00294058"/>
    <w:rsid w:val="00294C32"/>
    <w:rsid w:val="002970B6"/>
    <w:rsid w:val="002A4763"/>
    <w:rsid w:val="002A533C"/>
    <w:rsid w:val="002B3C61"/>
    <w:rsid w:val="002B3CF9"/>
    <w:rsid w:val="002B56EC"/>
    <w:rsid w:val="002C0053"/>
    <w:rsid w:val="002C0563"/>
    <w:rsid w:val="002C217C"/>
    <w:rsid w:val="002C4772"/>
    <w:rsid w:val="002C77A5"/>
    <w:rsid w:val="002D3557"/>
    <w:rsid w:val="002E25C9"/>
    <w:rsid w:val="002F2990"/>
    <w:rsid w:val="002F366F"/>
    <w:rsid w:val="002F3E7A"/>
    <w:rsid w:val="002F5421"/>
    <w:rsid w:val="002F687C"/>
    <w:rsid w:val="002F7D6A"/>
    <w:rsid w:val="003000DB"/>
    <w:rsid w:val="00304C90"/>
    <w:rsid w:val="003058E0"/>
    <w:rsid w:val="003139EF"/>
    <w:rsid w:val="003234F1"/>
    <w:rsid w:val="00324F22"/>
    <w:rsid w:val="0033729F"/>
    <w:rsid w:val="003377E8"/>
    <w:rsid w:val="00344323"/>
    <w:rsid w:val="00344A74"/>
    <w:rsid w:val="00354A85"/>
    <w:rsid w:val="003611FB"/>
    <w:rsid w:val="00366068"/>
    <w:rsid w:val="00366C6B"/>
    <w:rsid w:val="00370026"/>
    <w:rsid w:val="00370F7A"/>
    <w:rsid w:val="00373664"/>
    <w:rsid w:val="0038366D"/>
    <w:rsid w:val="00387B27"/>
    <w:rsid w:val="00390B6A"/>
    <w:rsid w:val="00391677"/>
    <w:rsid w:val="0039211E"/>
    <w:rsid w:val="00392243"/>
    <w:rsid w:val="0039670B"/>
    <w:rsid w:val="003A066A"/>
    <w:rsid w:val="003A0768"/>
    <w:rsid w:val="003A4CD4"/>
    <w:rsid w:val="003A70C5"/>
    <w:rsid w:val="003B51F0"/>
    <w:rsid w:val="003B6899"/>
    <w:rsid w:val="003C60EF"/>
    <w:rsid w:val="003D6372"/>
    <w:rsid w:val="003E2F78"/>
    <w:rsid w:val="003E50A6"/>
    <w:rsid w:val="003E7E26"/>
    <w:rsid w:val="003F02A6"/>
    <w:rsid w:val="003F1A6A"/>
    <w:rsid w:val="003F3932"/>
    <w:rsid w:val="003F3EBA"/>
    <w:rsid w:val="003F6A2D"/>
    <w:rsid w:val="00401902"/>
    <w:rsid w:val="00415089"/>
    <w:rsid w:val="00416751"/>
    <w:rsid w:val="00420BCC"/>
    <w:rsid w:val="00420DBF"/>
    <w:rsid w:val="004213DA"/>
    <w:rsid w:val="00431012"/>
    <w:rsid w:val="00431D8B"/>
    <w:rsid w:val="00433C13"/>
    <w:rsid w:val="0043623D"/>
    <w:rsid w:val="0044002A"/>
    <w:rsid w:val="00450592"/>
    <w:rsid w:val="00451C70"/>
    <w:rsid w:val="0045301C"/>
    <w:rsid w:val="00454452"/>
    <w:rsid w:val="004622BF"/>
    <w:rsid w:val="00473676"/>
    <w:rsid w:val="00484B8C"/>
    <w:rsid w:val="004874D4"/>
    <w:rsid w:val="004A34C4"/>
    <w:rsid w:val="004A3E77"/>
    <w:rsid w:val="004A4FE7"/>
    <w:rsid w:val="004A7CA1"/>
    <w:rsid w:val="004A7E05"/>
    <w:rsid w:val="004B00E1"/>
    <w:rsid w:val="004B33E6"/>
    <w:rsid w:val="004B37E8"/>
    <w:rsid w:val="004B3DFB"/>
    <w:rsid w:val="004B6A3A"/>
    <w:rsid w:val="004C01C1"/>
    <w:rsid w:val="004C1ED9"/>
    <w:rsid w:val="004C5A74"/>
    <w:rsid w:val="004D237D"/>
    <w:rsid w:val="004D601B"/>
    <w:rsid w:val="004D61DA"/>
    <w:rsid w:val="004E708E"/>
    <w:rsid w:val="004E7AD0"/>
    <w:rsid w:val="004F121D"/>
    <w:rsid w:val="004F6B3E"/>
    <w:rsid w:val="005008B8"/>
    <w:rsid w:val="00504087"/>
    <w:rsid w:val="005049B2"/>
    <w:rsid w:val="00506221"/>
    <w:rsid w:val="0051373D"/>
    <w:rsid w:val="0051661E"/>
    <w:rsid w:val="0051737E"/>
    <w:rsid w:val="00520488"/>
    <w:rsid w:val="00521109"/>
    <w:rsid w:val="00526C97"/>
    <w:rsid w:val="00535F3F"/>
    <w:rsid w:val="00536998"/>
    <w:rsid w:val="005372E7"/>
    <w:rsid w:val="00573100"/>
    <w:rsid w:val="0057473E"/>
    <w:rsid w:val="00577E42"/>
    <w:rsid w:val="0058165C"/>
    <w:rsid w:val="005A12C1"/>
    <w:rsid w:val="005A40A8"/>
    <w:rsid w:val="005A53AA"/>
    <w:rsid w:val="005B1C5C"/>
    <w:rsid w:val="005B4644"/>
    <w:rsid w:val="005C204C"/>
    <w:rsid w:val="005C3D38"/>
    <w:rsid w:val="005D0A14"/>
    <w:rsid w:val="005D1675"/>
    <w:rsid w:val="005D642C"/>
    <w:rsid w:val="005E66DB"/>
    <w:rsid w:val="00604FEE"/>
    <w:rsid w:val="00605100"/>
    <w:rsid w:val="00614E2E"/>
    <w:rsid w:val="00615184"/>
    <w:rsid w:val="006151CC"/>
    <w:rsid w:val="00623BEA"/>
    <w:rsid w:val="00623E92"/>
    <w:rsid w:val="00624CFD"/>
    <w:rsid w:val="0062502E"/>
    <w:rsid w:val="0063551E"/>
    <w:rsid w:val="006376F7"/>
    <w:rsid w:val="00650F86"/>
    <w:rsid w:val="00653B38"/>
    <w:rsid w:val="006554A4"/>
    <w:rsid w:val="0066280C"/>
    <w:rsid w:val="0066283F"/>
    <w:rsid w:val="00667A4A"/>
    <w:rsid w:val="00667F1F"/>
    <w:rsid w:val="00671A84"/>
    <w:rsid w:val="00674BB5"/>
    <w:rsid w:val="006756DD"/>
    <w:rsid w:val="00680898"/>
    <w:rsid w:val="00683A61"/>
    <w:rsid w:val="00691841"/>
    <w:rsid w:val="00695B26"/>
    <w:rsid w:val="006A33A0"/>
    <w:rsid w:val="006A5460"/>
    <w:rsid w:val="006A7467"/>
    <w:rsid w:val="006B3A71"/>
    <w:rsid w:val="006B6063"/>
    <w:rsid w:val="006C6DEB"/>
    <w:rsid w:val="006D03E1"/>
    <w:rsid w:val="006D0F57"/>
    <w:rsid w:val="006D5BC9"/>
    <w:rsid w:val="006D6C18"/>
    <w:rsid w:val="006F3827"/>
    <w:rsid w:val="006F3AD3"/>
    <w:rsid w:val="00700005"/>
    <w:rsid w:val="00703996"/>
    <w:rsid w:val="00711C0B"/>
    <w:rsid w:val="00712490"/>
    <w:rsid w:val="0071622A"/>
    <w:rsid w:val="007179EE"/>
    <w:rsid w:val="00717F39"/>
    <w:rsid w:val="0072355B"/>
    <w:rsid w:val="00726D2A"/>
    <w:rsid w:val="0073333E"/>
    <w:rsid w:val="00734EF5"/>
    <w:rsid w:val="00734F61"/>
    <w:rsid w:val="00740519"/>
    <w:rsid w:val="00740A32"/>
    <w:rsid w:val="00746CD5"/>
    <w:rsid w:val="0075059E"/>
    <w:rsid w:val="00751E9D"/>
    <w:rsid w:val="00753C91"/>
    <w:rsid w:val="007551FF"/>
    <w:rsid w:val="00772747"/>
    <w:rsid w:val="00775C64"/>
    <w:rsid w:val="00781A89"/>
    <w:rsid w:val="00785B2D"/>
    <w:rsid w:val="007905BF"/>
    <w:rsid w:val="0079121D"/>
    <w:rsid w:val="007919E1"/>
    <w:rsid w:val="00796415"/>
    <w:rsid w:val="007A594D"/>
    <w:rsid w:val="007A6E8E"/>
    <w:rsid w:val="007B0F80"/>
    <w:rsid w:val="007D1A48"/>
    <w:rsid w:val="007D63C9"/>
    <w:rsid w:val="007E142E"/>
    <w:rsid w:val="007E2C22"/>
    <w:rsid w:val="007E5A2E"/>
    <w:rsid w:val="007F0B9A"/>
    <w:rsid w:val="007F36E3"/>
    <w:rsid w:val="007F5ADA"/>
    <w:rsid w:val="007F5F66"/>
    <w:rsid w:val="007F70F6"/>
    <w:rsid w:val="00800511"/>
    <w:rsid w:val="0080664E"/>
    <w:rsid w:val="00810183"/>
    <w:rsid w:val="00822891"/>
    <w:rsid w:val="00824BFB"/>
    <w:rsid w:val="008257E7"/>
    <w:rsid w:val="00825C10"/>
    <w:rsid w:val="00836F93"/>
    <w:rsid w:val="008417CA"/>
    <w:rsid w:val="00856475"/>
    <w:rsid w:val="008611C8"/>
    <w:rsid w:val="008651AD"/>
    <w:rsid w:val="00866CCC"/>
    <w:rsid w:val="00867168"/>
    <w:rsid w:val="00876BB1"/>
    <w:rsid w:val="0088772E"/>
    <w:rsid w:val="00891BE2"/>
    <w:rsid w:val="00893B87"/>
    <w:rsid w:val="008A02B8"/>
    <w:rsid w:val="008B12CA"/>
    <w:rsid w:val="008B264E"/>
    <w:rsid w:val="008B4EA0"/>
    <w:rsid w:val="008C2448"/>
    <w:rsid w:val="008C5745"/>
    <w:rsid w:val="008C6A0D"/>
    <w:rsid w:val="008C78D0"/>
    <w:rsid w:val="008E07B3"/>
    <w:rsid w:val="008E0EC8"/>
    <w:rsid w:val="008E6706"/>
    <w:rsid w:val="008E6A43"/>
    <w:rsid w:val="008F1341"/>
    <w:rsid w:val="008F2427"/>
    <w:rsid w:val="008F7A44"/>
    <w:rsid w:val="00904BA8"/>
    <w:rsid w:val="009118B2"/>
    <w:rsid w:val="00911D03"/>
    <w:rsid w:val="00913208"/>
    <w:rsid w:val="00913F38"/>
    <w:rsid w:val="0092099C"/>
    <w:rsid w:val="0092246B"/>
    <w:rsid w:val="00922F4F"/>
    <w:rsid w:val="00934FBF"/>
    <w:rsid w:val="009351A1"/>
    <w:rsid w:val="00943F79"/>
    <w:rsid w:val="00952ED4"/>
    <w:rsid w:val="00954C24"/>
    <w:rsid w:val="009550A9"/>
    <w:rsid w:val="009579B9"/>
    <w:rsid w:val="009604BE"/>
    <w:rsid w:val="00960576"/>
    <w:rsid w:val="00983E53"/>
    <w:rsid w:val="00986A31"/>
    <w:rsid w:val="00987806"/>
    <w:rsid w:val="0099147C"/>
    <w:rsid w:val="0099491E"/>
    <w:rsid w:val="00996309"/>
    <w:rsid w:val="009979D5"/>
    <w:rsid w:val="009A13BA"/>
    <w:rsid w:val="009A26E5"/>
    <w:rsid w:val="009A4D04"/>
    <w:rsid w:val="009A5460"/>
    <w:rsid w:val="009B006F"/>
    <w:rsid w:val="009B50F7"/>
    <w:rsid w:val="009C1D45"/>
    <w:rsid w:val="009C1DF7"/>
    <w:rsid w:val="009C457A"/>
    <w:rsid w:val="009D10B1"/>
    <w:rsid w:val="009E3361"/>
    <w:rsid w:val="009E4C49"/>
    <w:rsid w:val="009E5217"/>
    <w:rsid w:val="009F0AF6"/>
    <w:rsid w:val="009F38B9"/>
    <w:rsid w:val="009F46EE"/>
    <w:rsid w:val="009F5274"/>
    <w:rsid w:val="009F5C54"/>
    <w:rsid w:val="00A115CD"/>
    <w:rsid w:val="00A124FA"/>
    <w:rsid w:val="00A14383"/>
    <w:rsid w:val="00A16822"/>
    <w:rsid w:val="00A205AC"/>
    <w:rsid w:val="00A25B60"/>
    <w:rsid w:val="00A26282"/>
    <w:rsid w:val="00A35597"/>
    <w:rsid w:val="00A367B9"/>
    <w:rsid w:val="00A47C4F"/>
    <w:rsid w:val="00A557E1"/>
    <w:rsid w:val="00A60B1B"/>
    <w:rsid w:val="00A630B9"/>
    <w:rsid w:val="00A63BFB"/>
    <w:rsid w:val="00A8419A"/>
    <w:rsid w:val="00A90D75"/>
    <w:rsid w:val="00A92C2C"/>
    <w:rsid w:val="00A93586"/>
    <w:rsid w:val="00A97EE1"/>
    <w:rsid w:val="00AA18E8"/>
    <w:rsid w:val="00AA3F8C"/>
    <w:rsid w:val="00AA50C1"/>
    <w:rsid w:val="00AC2C19"/>
    <w:rsid w:val="00AC5A15"/>
    <w:rsid w:val="00AE43EE"/>
    <w:rsid w:val="00AF761E"/>
    <w:rsid w:val="00B039BE"/>
    <w:rsid w:val="00B11574"/>
    <w:rsid w:val="00B171C6"/>
    <w:rsid w:val="00B1762F"/>
    <w:rsid w:val="00B22F4C"/>
    <w:rsid w:val="00B2417D"/>
    <w:rsid w:val="00B269CF"/>
    <w:rsid w:val="00B31ED0"/>
    <w:rsid w:val="00B33B99"/>
    <w:rsid w:val="00B36ABE"/>
    <w:rsid w:val="00B372C5"/>
    <w:rsid w:val="00B42404"/>
    <w:rsid w:val="00B44405"/>
    <w:rsid w:val="00B47074"/>
    <w:rsid w:val="00B51BB3"/>
    <w:rsid w:val="00B539A9"/>
    <w:rsid w:val="00B57C60"/>
    <w:rsid w:val="00B62778"/>
    <w:rsid w:val="00B62D6B"/>
    <w:rsid w:val="00B72411"/>
    <w:rsid w:val="00B72BF3"/>
    <w:rsid w:val="00B737FA"/>
    <w:rsid w:val="00B83395"/>
    <w:rsid w:val="00B83734"/>
    <w:rsid w:val="00B91828"/>
    <w:rsid w:val="00B929A1"/>
    <w:rsid w:val="00B94679"/>
    <w:rsid w:val="00B95A88"/>
    <w:rsid w:val="00BA1527"/>
    <w:rsid w:val="00BA1820"/>
    <w:rsid w:val="00BB045C"/>
    <w:rsid w:val="00BB0BC7"/>
    <w:rsid w:val="00BB3BE0"/>
    <w:rsid w:val="00BB73BA"/>
    <w:rsid w:val="00BB76A1"/>
    <w:rsid w:val="00BC078D"/>
    <w:rsid w:val="00BC6200"/>
    <w:rsid w:val="00BD1DA6"/>
    <w:rsid w:val="00BD3A1E"/>
    <w:rsid w:val="00BE106B"/>
    <w:rsid w:val="00BE24EE"/>
    <w:rsid w:val="00BE2596"/>
    <w:rsid w:val="00BE2EF8"/>
    <w:rsid w:val="00BE548A"/>
    <w:rsid w:val="00BE671E"/>
    <w:rsid w:val="00BE6862"/>
    <w:rsid w:val="00BF2F08"/>
    <w:rsid w:val="00BF6C4B"/>
    <w:rsid w:val="00C0134B"/>
    <w:rsid w:val="00C03553"/>
    <w:rsid w:val="00C0438D"/>
    <w:rsid w:val="00C048A4"/>
    <w:rsid w:val="00C07AAE"/>
    <w:rsid w:val="00C07E4B"/>
    <w:rsid w:val="00C11983"/>
    <w:rsid w:val="00C14398"/>
    <w:rsid w:val="00C16835"/>
    <w:rsid w:val="00C17DEB"/>
    <w:rsid w:val="00C21DD1"/>
    <w:rsid w:val="00C26BF1"/>
    <w:rsid w:val="00C31860"/>
    <w:rsid w:val="00C32159"/>
    <w:rsid w:val="00C350AE"/>
    <w:rsid w:val="00C406EF"/>
    <w:rsid w:val="00C417D8"/>
    <w:rsid w:val="00C41950"/>
    <w:rsid w:val="00C43918"/>
    <w:rsid w:val="00C45D84"/>
    <w:rsid w:val="00C45FBF"/>
    <w:rsid w:val="00C5102E"/>
    <w:rsid w:val="00C5592D"/>
    <w:rsid w:val="00C62D04"/>
    <w:rsid w:val="00C634EA"/>
    <w:rsid w:val="00C63A5F"/>
    <w:rsid w:val="00C70B68"/>
    <w:rsid w:val="00C70BFC"/>
    <w:rsid w:val="00C74362"/>
    <w:rsid w:val="00C75D96"/>
    <w:rsid w:val="00C77ED7"/>
    <w:rsid w:val="00C80FD9"/>
    <w:rsid w:val="00C841E5"/>
    <w:rsid w:val="00C93A76"/>
    <w:rsid w:val="00C966D1"/>
    <w:rsid w:val="00C96CB7"/>
    <w:rsid w:val="00CA0CE7"/>
    <w:rsid w:val="00CA294F"/>
    <w:rsid w:val="00CB09B3"/>
    <w:rsid w:val="00CB2F4F"/>
    <w:rsid w:val="00CC0AD1"/>
    <w:rsid w:val="00CC1E92"/>
    <w:rsid w:val="00CD20F4"/>
    <w:rsid w:val="00CD2D36"/>
    <w:rsid w:val="00CD5E2A"/>
    <w:rsid w:val="00CD6E4D"/>
    <w:rsid w:val="00CE30A9"/>
    <w:rsid w:val="00CE72DE"/>
    <w:rsid w:val="00CE788F"/>
    <w:rsid w:val="00CF16D8"/>
    <w:rsid w:val="00D00448"/>
    <w:rsid w:val="00D03465"/>
    <w:rsid w:val="00D03DA8"/>
    <w:rsid w:val="00D120EB"/>
    <w:rsid w:val="00D23497"/>
    <w:rsid w:val="00D238C0"/>
    <w:rsid w:val="00D27561"/>
    <w:rsid w:val="00D2771D"/>
    <w:rsid w:val="00D36CA3"/>
    <w:rsid w:val="00D449DD"/>
    <w:rsid w:val="00D5430A"/>
    <w:rsid w:val="00D5583C"/>
    <w:rsid w:val="00D60170"/>
    <w:rsid w:val="00D64185"/>
    <w:rsid w:val="00D66DC3"/>
    <w:rsid w:val="00D70C26"/>
    <w:rsid w:val="00D71370"/>
    <w:rsid w:val="00D75677"/>
    <w:rsid w:val="00D76F3B"/>
    <w:rsid w:val="00D779BC"/>
    <w:rsid w:val="00D81163"/>
    <w:rsid w:val="00D83367"/>
    <w:rsid w:val="00D86640"/>
    <w:rsid w:val="00D86AFE"/>
    <w:rsid w:val="00D9443C"/>
    <w:rsid w:val="00D9606B"/>
    <w:rsid w:val="00D9678A"/>
    <w:rsid w:val="00D97E90"/>
    <w:rsid w:val="00DA1123"/>
    <w:rsid w:val="00DA19C4"/>
    <w:rsid w:val="00DA1B98"/>
    <w:rsid w:val="00DA48C6"/>
    <w:rsid w:val="00DA5C48"/>
    <w:rsid w:val="00DB3EC5"/>
    <w:rsid w:val="00DB6B09"/>
    <w:rsid w:val="00DB7DB1"/>
    <w:rsid w:val="00DC47ED"/>
    <w:rsid w:val="00DC6D5A"/>
    <w:rsid w:val="00DC6EA0"/>
    <w:rsid w:val="00DC73A0"/>
    <w:rsid w:val="00DD30EE"/>
    <w:rsid w:val="00DD4A0C"/>
    <w:rsid w:val="00DE0693"/>
    <w:rsid w:val="00DE139B"/>
    <w:rsid w:val="00DE657F"/>
    <w:rsid w:val="00DE67B2"/>
    <w:rsid w:val="00DE6929"/>
    <w:rsid w:val="00DF2B33"/>
    <w:rsid w:val="00DF50A5"/>
    <w:rsid w:val="00DF66E5"/>
    <w:rsid w:val="00E07011"/>
    <w:rsid w:val="00E15AD2"/>
    <w:rsid w:val="00E178C2"/>
    <w:rsid w:val="00E24C18"/>
    <w:rsid w:val="00E34597"/>
    <w:rsid w:val="00E45E11"/>
    <w:rsid w:val="00E62AF0"/>
    <w:rsid w:val="00E6333C"/>
    <w:rsid w:val="00E65634"/>
    <w:rsid w:val="00E70C30"/>
    <w:rsid w:val="00E71DD7"/>
    <w:rsid w:val="00E724D3"/>
    <w:rsid w:val="00E727F4"/>
    <w:rsid w:val="00E8309F"/>
    <w:rsid w:val="00E832FB"/>
    <w:rsid w:val="00E84FA2"/>
    <w:rsid w:val="00E86572"/>
    <w:rsid w:val="00E87B52"/>
    <w:rsid w:val="00E92E10"/>
    <w:rsid w:val="00E93CBB"/>
    <w:rsid w:val="00E95FCC"/>
    <w:rsid w:val="00EA273A"/>
    <w:rsid w:val="00EA41AF"/>
    <w:rsid w:val="00EA46E2"/>
    <w:rsid w:val="00EB2173"/>
    <w:rsid w:val="00EB6A00"/>
    <w:rsid w:val="00EB70BB"/>
    <w:rsid w:val="00EB7871"/>
    <w:rsid w:val="00EB7BD6"/>
    <w:rsid w:val="00EC5F0D"/>
    <w:rsid w:val="00EC6BFD"/>
    <w:rsid w:val="00EC7B79"/>
    <w:rsid w:val="00ED2379"/>
    <w:rsid w:val="00ED3496"/>
    <w:rsid w:val="00ED3EE4"/>
    <w:rsid w:val="00ED4EA9"/>
    <w:rsid w:val="00EE5F42"/>
    <w:rsid w:val="00EF20EF"/>
    <w:rsid w:val="00EF2139"/>
    <w:rsid w:val="00EF5E2A"/>
    <w:rsid w:val="00EF7AD0"/>
    <w:rsid w:val="00F023C2"/>
    <w:rsid w:val="00F0301E"/>
    <w:rsid w:val="00F170F0"/>
    <w:rsid w:val="00F173E2"/>
    <w:rsid w:val="00F219FF"/>
    <w:rsid w:val="00F25BD0"/>
    <w:rsid w:val="00F272DB"/>
    <w:rsid w:val="00F344A1"/>
    <w:rsid w:val="00F34DBC"/>
    <w:rsid w:val="00F442CC"/>
    <w:rsid w:val="00F44743"/>
    <w:rsid w:val="00F46D07"/>
    <w:rsid w:val="00F46EF4"/>
    <w:rsid w:val="00F47F51"/>
    <w:rsid w:val="00F47F89"/>
    <w:rsid w:val="00F539D6"/>
    <w:rsid w:val="00F6543A"/>
    <w:rsid w:val="00F72F92"/>
    <w:rsid w:val="00F771CB"/>
    <w:rsid w:val="00F77482"/>
    <w:rsid w:val="00F87B78"/>
    <w:rsid w:val="00F959C7"/>
    <w:rsid w:val="00F96970"/>
    <w:rsid w:val="00FA36F6"/>
    <w:rsid w:val="00FA51D4"/>
    <w:rsid w:val="00FA60D7"/>
    <w:rsid w:val="00FB3B79"/>
    <w:rsid w:val="00FC01EE"/>
    <w:rsid w:val="00FC1D6C"/>
    <w:rsid w:val="00FC330B"/>
    <w:rsid w:val="00FC37C8"/>
    <w:rsid w:val="00FD7894"/>
    <w:rsid w:val="00FD7A8D"/>
    <w:rsid w:val="00FE1CFC"/>
    <w:rsid w:val="00FE2A6E"/>
    <w:rsid w:val="00FF561E"/>
    <w:rsid w:val="00FF582D"/>
    <w:rsid w:val="00FF66D4"/>
    <w:rsid w:val="00FF6739"/>
    <w:rsid w:val="00FF76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62F"/>
    <w:rPr>
      <w:rFonts w:ascii="Calibri" w:eastAsiaTheme="minorHAnsi" w:hAnsi="Calibri"/>
      <w:sz w:val="22"/>
      <w:szCs w:val="22"/>
    </w:rPr>
  </w:style>
  <w:style w:type="paragraph" w:styleId="Heading1">
    <w:name w:val="heading 1"/>
    <w:basedOn w:val="Normal"/>
    <w:link w:val="Heading1Char"/>
    <w:uiPriority w:val="9"/>
    <w:qFormat/>
    <w:rsid w:val="00700005"/>
    <w:pPr>
      <w:keepNext/>
      <w:spacing w:after="200"/>
      <w:jc w:val="both"/>
      <w:outlineLvl w:val="0"/>
    </w:pPr>
    <w:rPr>
      <w:rFonts w:eastAsia="Times New Roman"/>
      <w:color w:val="2E74B5"/>
      <w:kern w:val="36"/>
      <w:sz w:val="28"/>
      <w:szCs w:val="28"/>
    </w:rPr>
  </w:style>
  <w:style w:type="paragraph" w:styleId="Heading2">
    <w:name w:val="heading 2"/>
    <w:basedOn w:val="Normal"/>
    <w:link w:val="Heading2Char"/>
    <w:uiPriority w:val="9"/>
    <w:unhideWhenUsed/>
    <w:qFormat/>
    <w:rsid w:val="00700005"/>
    <w:pPr>
      <w:keepNext/>
      <w:spacing w:before="240" w:after="160"/>
      <w:jc w:val="both"/>
      <w:outlineLvl w:val="1"/>
    </w:pPr>
    <w:rPr>
      <w:rFonts w:eastAsia="Times New Roman"/>
      <w:color w:val="2E74B5"/>
      <w:sz w:val="24"/>
      <w:szCs w:val="24"/>
    </w:rPr>
  </w:style>
  <w:style w:type="paragraph" w:styleId="Heading3">
    <w:name w:val="heading 3"/>
    <w:basedOn w:val="Normal"/>
    <w:next w:val="Normal"/>
    <w:link w:val="Heading3Char"/>
    <w:uiPriority w:val="9"/>
    <w:semiHidden/>
    <w:unhideWhenUsed/>
    <w:qFormat/>
    <w:rsid w:val="005A53A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005"/>
    <w:rPr>
      <w:rFonts w:ascii="Calibri" w:hAnsi="Calibri"/>
      <w:color w:val="2E74B5"/>
      <w:kern w:val="36"/>
      <w:sz w:val="28"/>
      <w:szCs w:val="28"/>
    </w:rPr>
  </w:style>
  <w:style w:type="character" w:customStyle="1" w:styleId="Heading2Char">
    <w:name w:val="Heading 2 Char"/>
    <w:basedOn w:val="DefaultParagraphFont"/>
    <w:link w:val="Heading2"/>
    <w:uiPriority w:val="9"/>
    <w:rsid w:val="00700005"/>
    <w:rPr>
      <w:rFonts w:ascii="Calibri" w:hAnsi="Calibri"/>
      <w:color w:val="2E74B5"/>
      <w:sz w:val="24"/>
      <w:szCs w:val="24"/>
    </w:rPr>
  </w:style>
  <w:style w:type="paragraph" w:styleId="FootnoteText">
    <w:name w:val="footnote text"/>
    <w:aliases w:val="Geneva 9,Font: Geneva 9,Boston 10,f,single space,footnote text,ft,Footnote Text Char Char,fn,FOOTNOTES,Footnote Text Char1,Footnote Text Char1 Char,Car Char,Char Char,ADB,Char Char Char,ALTS FOOTNOTE"/>
    <w:basedOn w:val="Normal"/>
    <w:link w:val="FootnoteTextChar"/>
    <w:uiPriority w:val="99"/>
    <w:unhideWhenUsed/>
    <w:rsid w:val="00B1762F"/>
    <w:rPr>
      <w:rFonts w:ascii="Arial Narrow" w:hAnsi="Arial Narrow"/>
      <w:sz w:val="20"/>
      <w:szCs w:val="20"/>
    </w:rPr>
  </w:style>
  <w:style w:type="character" w:customStyle="1" w:styleId="FootnoteTextChar">
    <w:name w:val="Footnote Text Char"/>
    <w:aliases w:val="Geneva 9 Char,Font: Geneva 9 Char,Boston 10 Char,f Char,single space Char,footnote text Char,ft Char,Footnote Text Char Char Char,fn Char,FOOTNOTES Char,Footnote Text Char1 Char1,Footnote Text Char1 Char Char,Car Char Char,ADB Char"/>
    <w:basedOn w:val="DefaultParagraphFont"/>
    <w:link w:val="FootnoteText"/>
    <w:uiPriority w:val="99"/>
    <w:rsid w:val="00B1762F"/>
    <w:rPr>
      <w:rFonts w:ascii="Arial Narrow" w:eastAsiaTheme="minorHAnsi" w:hAnsi="Arial Narrow"/>
    </w:rPr>
  </w:style>
  <w:style w:type="paragraph" w:styleId="BodyText">
    <w:name w:val="Body Text"/>
    <w:basedOn w:val="Normal"/>
    <w:link w:val="BodyTextChar"/>
    <w:uiPriority w:val="99"/>
    <w:unhideWhenUsed/>
    <w:rsid w:val="00B1762F"/>
    <w:pPr>
      <w:spacing w:after="160"/>
    </w:pPr>
    <w:rPr>
      <w:rFonts w:ascii="Arial Narrow" w:hAnsi="Arial Narrow"/>
    </w:rPr>
  </w:style>
  <w:style w:type="character" w:customStyle="1" w:styleId="BodyTextChar">
    <w:name w:val="Body Text Char"/>
    <w:basedOn w:val="DefaultParagraphFont"/>
    <w:link w:val="BodyText"/>
    <w:uiPriority w:val="99"/>
    <w:rsid w:val="00B1762F"/>
    <w:rPr>
      <w:rFonts w:ascii="Arial Narrow" w:eastAsiaTheme="minorHAnsi" w:hAnsi="Arial Narrow"/>
      <w:sz w:val="22"/>
      <w:szCs w:val="22"/>
    </w:rPr>
  </w:style>
  <w:style w:type="character" w:styleId="FootnoteReference">
    <w:name w:val="footnote reference"/>
    <w:aliases w:val="Normal + Font:9 Point,Superscript 3 Point Times,ftref,Footnote Reference Number,Footnote Reference_LVL6,Footnote Reference_LVL61,Footnote Reference_LVL62,Footnote Reference_LVL63,Footnote Reference_LVL64,fr,16 Point"/>
    <w:basedOn w:val="DefaultParagraphFont"/>
    <w:uiPriority w:val="99"/>
    <w:unhideWhenUsed/>
    <w:qFormat/>
    <w:rsid w:val="00B1762F"/>
    <w:rPr>
      <w:vertAlign w:val="superscript"/>
    </w:rPr>
  </w:style>
  <w:style w:type="character" w:customStyle="1" w:styleId="ListParagraphChar">
    <w:name w:val="List Paragraph Char"/>
    <w:aliases w:val="References Char,L Char,CV text Char,Table text Char,COOP Char,Primary Bullet List Char,F5 List Paragraph Char,Dot pt Char,List Paragraph111 Char,Medium Grid 1 - Accent 21 Char,Numbered Paragraph Char"/>
    <w:basedOn w:val="DefaultParagraphFont"/>
    <w:link w:val="ListParagraph"/>
    <w:uiPriority w:val="34"/>
    <w:locked/>
    <w:rsid w:val="00B1762F"/>
  </w:style>
  <w:style w:type="paragraph" w:styleId="ListParagraph">
    <w:name w:val="List Paragraph"/>
    <w:aliases w:val="References,L,CV text,Table text,COOP,Primary Bullet List,F5 List Paragraph,Dot pt,List Paragraph111,Medium Grid 1 - Accent 21,Numbered Paragraph"/>
    <w:basedOn w:val="Normal"/>
    <w:link w:val="ListParagraphChar"/>
    <w:uiPriority w:val="34"/>
    <w:qFormat/>
    <w:rsid w:val="00B1762F"/>
    <w:pPr>
      <w:ind w:left="720"/>
      <w:contextualSpacing/>
    </w:pPr>
    <w:rPr>
      <w:rFonts w:ascii="Times New Roman" w:eastAsia="Times New Roman" w:hAnsi="Times New Roman"/>
      <w:sz w:val="20"/>
      <w:szCs w:val="20"/>
    </w:rPr>
  </w:style>
  <w:style w:type="paragraph" w:styleId="Header">
    <w:name w:val="header"/>
    <w:basedOn w:val="Normal"/>
    <w:link w:val="HeaderChar"/>
    <w:rsid w:val="001A32B0"/>
    <w:pPr>
      <w:tabs>
        <w:tab w:val="center" w:pos="4513"/>
        <w:tab w:val="right" w:pos="9026"/>
      </w:tabs>
    </w:pPr>
  </w:style>
  <w:style w:type="character" w:customStyle="1" w:styleId="HeaderChar">
    <w:name w:val="Header Char"/>
    <w:basedOn w:val="DefaultParagraphFont"/>
    <w:link w:val="Header"/>
    <w:rsid w:val="001A32B0"/>
    <w:rPr>
      <w:rFonts w:ascii="Calibri" w:eastAsiaTheme="minorHAnsi" w:hAnsi="Calibri"/>
      <w:sz w:val="22"/>
      <w:szCs w:val="22"/>
    </w:rPr>
  </w:style>
  <w:style w:type="paragraph" w:styleId="Footer">
    <w:name w:val="footer"/>
    <w:basedOn w:val="Normal"/>
    <w:link w:val="FooterChar"/>
    <w:uiPriority w:val="99"/>
    <w:rsid w:val="001A32B0"/>
    <w:pPr>
      <w:tabs>
        <w:tab w:val="center" w:pos="4513"/>
        <w:tab w:val="right" w:pos="9026"/>
      </w:tabs>
    </w:pPr>
  </w:style>
  <w:style w:type="character" w:customStyle="1" w:styleId="FooterChar">
    <w:name w:val="Footer Char"/>
    <w:basedOn w:val="DefaultParagraphFont"/>
    <w:link w:val="Footer"/>
    <w:uiPriority w:val="99"/>
    <w:rsid w:val="001A32B0"/>
    <w:rPr>
      <w:rFonts w:ascii="Calibri" w:eastAsiaTheme="minorHAnsi" w:hAnsi="Calibri"/>
      <w:sz w:val="22"/>
      <w:szCs w:val="22"/>
    </w:rPr>
  </w:style>
  <w:style w:type="character" w:styleId="CommentReference">
    <w:name w:val="annotation reference"/>
    <w:basedOn w:val="DefaultParagraphFont"/>
    <w:uiPriority w:val="99"/>
    <w:rsid w:val="00BE2EF8"/>
    <w:rPr>
      <w:sz w:val="16"/>
      <w:szCs w:val="16"/>
    </w:rPr>
  </w:style>
  <w:style w:type="paragraph" w:styleId="CommentText">
    <w:name w:val="annotation text"/>
    <w:basedOn w:val="Normal"/>
    <w:link w:val="CommentTextChar"/>
    <w:uiPriority w:val="99"/>
    <w:rsid w:val="00BE2EF8"/>
    <w:rPr>
      <w:sz w:val="20"/>
      <w:szCs w:val="20"/>
    </w:rPr>
  </w:style>
  <w:style w:type="character" w:customStyle="1" w:styleId="CommentTextChar">
    <w:name w:val="Comment Text Char"/>
    <w:basedOn w:val="DefaultParagraphFont"/>
    <w:link w:val="CommentText"/>
    <w:uiPriority w:val="99"/>
    <w:rsid w:val="00BE2EF8"/>
    <w:rPr>
      <w:rFonts w:ascii="Calibri" w:eastAsiaTheme="minorHAnsi" w:hAnsi="Calibri"/>
    </w:rPr>
  </w:style>
  <w:style w:type="paragraph" w:styleId="CommentSubject">
    <w:name w:val="annotation subject"/>
    <w:basedOn w:val="CommentText"/>
    <w:next w:val="CommentText"/>
    <w:link w:val="CommentSubjectChar"/>
    <w:rsid w:val="00BE2EF8"/>
    <w:rPr>
      <w:b/>
      <w:bCs/>
    </w:rPr>
  </w:style>
  <w:style w:type="character" w:customStyle="1" w:styleId="CommentSubjectChar">
    <w:name w:val="Comment Subject Char"/>
    <w:basedOn w:val="CommentTextChar"/>
    <w:link w:val="CommentSubject"/>
    <w:rsid w:val="00BE2EF8"/>
    <w:rPr>
      <w:rFonts w:ascii="Calibri" w:eastAsiaTheme="minorHAnsi" w:hAnsi="Calibri"/>
      <w:b/>
      <w:bCs/>
    </w:rPr>
  </w:style>
  <w:style w:type="paragraph" w:styleId="BalloonText">
    <w:name w:val="Balloon Text"/>
    <w:basedOn w:val="Normal"/>
    <w:link w:val="BalloonTextChar"/>
    <w:rsid w:val="00BE2EF8"/>
    <w:rPr>
      <w:rFonts w:ascii="Tahoma" w:hAnsi="Tahoma" w:cs="Tahoma"/>
      <w:sz w:val="16"/>
      <w:szCs w:val="16"/>
    </w:rPr>
  </w:style>
  <w:style w:type="character" w:customStyle="1" w:styleId="BalloonTextChar">
    <w:name w:val="Balloon Text Char"/>
    <w:basedOn w:val="DefaultParagraphFont"/>
    <w:link w:val="BalloonText"/>
    <w:rsid w:val="00BE2EF8"/>
    <w:rPr>
      <w:rFonts w:ascii="Tahoma" w:eastAsiaTheme="minorHAnsi" w:hAnsi="Tahoma" w:cs="Tahoma"/>
      <w:sz w:val="16"/>
      <w:szCs w:val="16"/>
    </w:rPr>
  </w:style>
  <w:style w:type="table" w:styleId="TableGrid">
    <w:name w:val="Table Grid"/>
    <w:basedOn w:val="TableNormal"/>
    <w:rsid w:val="00BE2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6068"/>
    <w:rPr>
      <w:color w:val="0563C1"/>
      <w:u w:val="single"/>
    </w:rPr>
  </w:style>
  <w:style w:type="paragraph" w:customStyle="1" w:styleId="Default">
    <w:name w:val="Default"/>
    <w:rsid w:val="00521109"/>
    <w:pPr>
      <w:autoSpaceDE w:val="0"/>
      <w:autoSpaceDN w:val="0"/>
      <w:adjustRightInd w:val="0"/>
    </w:pPr>
    <w:rPr>
      <w:rFonts w:ascii="Calibri" w:hAnsi="Calibri" w:cs="Calibri"/>
      <w:color w:val="000000"/>
      <w:sz w:val="24"/>
      <w:szCs w:val="24"/>
      <w:lang w:val="en-US"/>
    </w:rPr>
  </w:style>
  <w:style w:type="paragraph" w:styleId="ListBullet">
    <w:name w:val="List Bullet"/>
    <w:basedOn w:val="ListParagraph"/>
    <w:uiPriority w:val="99"/>
    <w:unhideWhenUsed/>
    <w:rsid w:val="00521109"/>
    <w:pPr>
      <w:numPr>
        <w:numId w:val="3"/>
      </w:numPr>
      <w:spacing w:after="120"/>
      <w:ind w:left="288" w:hanging="288"/>
      <w:contextualSpacing w:val="0"/>
    </w:pPr>
    <w:rPr>
      <w:rFonts w:ascii="Arial Narrow" w:eastAsiaTheme="minorHAnsi" w:hAnsi="Arial Narrow" w:cstheme="minorBidi"/>
      <w:sz w:val="22"/>
      <w:szCs w:val="22"/>
      <w:lang w:eastAsia="en-US"/>
    </w:rPr>
  </w:style>
  <w:style w:type="character" w:customStyle="1" w:styleId="Heading3Char">
    <w:name w:val="Heading 3 Char"/>
    <w:basedOn w:val="DefaultParagraphFont"/>
    <w:link w:val="Heading3"/>
    <w:uiPriority w:val="9"/>
    <w:semiHidden/>
    <w:rsid w:val="005A53AA"/>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624CFD"/>
    <w:pPr>
      <w:tabs>
        <w:tab w:val="left" w:pos="360"/>
        <w:tab w:val="right" w:pos="8296"/>
      </w:tabs>
      <w:spacing w:before="120"/>
    </w:pPr>
    <w:rPr>
      <w:rFonts w:asciiTheme="minorHAnsi" w:hAnsiTheme="minorHAnsi"/>
      <w:b/>
    </w:rPr>
  </w:style>
  <w:style w:type="paragraph" w:styleId="TOC2">
    <w:name w:val="toc 2"/>
    <w:basedOn w:val="Normal"/>
    <w:next w:val="Normal"/>
    <w:autoRedefine/>
    <w:uiPriority w:val="39"/>
    <w:rsid w:val="00CB09B3"/>
    <w:pPr>
      <w:ind w:left="220"/>
    </w:pPr>
    <w:rPr>
      <w:rFonts w:asciiTheme="minorHAnsi" w:hAnsiTheme="minorHAnsi"/>
      <w:i/>
    </w:rPr>
  </w:style>
  <w:style w:type="paragraph" w:styleId="TOC3">
    <w:name w:val="toc 3"/>
    <w:basedOn w:val="Normal"/>
    <w:next w:val="Normal"/>
    <w:autoRedefine/>
    <w:uiPriority w:val="39"/>
    <w:rsid w:val="00CB09B3"/>
    <w:pPr>
      <w:ind w:left="440"/>
    </w:pPr>
    <w:rPr>
      <w:rFonts w:asciiTheme="minorHAnsi" w:hAnsiTheme="minorHAnsi"/>
    </w:rPr>
  </w:style>
  <w:style w:type="paragraph" w:styleId="TOC4">
    <w:name w:val="toc 4"/>
    <w:basedOn w:val="Normal"/>
    <w:next w:val="Normal"/>
    <w:autoRedefine/>
    <w:rsid w:val="00CB09B3"/>
    <w:pPr>
      <w:ind w:left="660"/>
    </w:pPr>
    <w:rPr>
      <w:rFonts w:asciiTheme="minorHAnsi" w:hAnsiTheme="minorHAnsi"/>
      <w:sz w:val="20"/>
      <w:szCs w:val="20"/>
    </w:rPr>
  </w:style>
  <w:style w:type="paragraph" w:styleId="TOC5">
    <w:name w:val="toc 5"/>
    <w:basedOn w:val="Normal"/>
    <w:next w:val="Normal"/>
    <w:autoRedefine/>
    <w:rsid w:val="00CB09B3"/>
    <w:pPr>
      <w:ind w:left="880"/>
    </w:pPr>
    <w:rPr>
      <w:rFonts w:asciiTheme="minorHAnsi" w:hAnsiTheme="minorHAnsi"/>
      <w:sz w:val="20"/>
      <w:szCs w:val="20"/>
    </w:rPr>
  </w:style>
  <w:style w:type="paragraph" w:styleId="TOC6">
    <w:name w:val="toc 6"/>
    <w:basedOn w:val="Normal"/>
    <w:next w:val="Normal"/>
    <w:autoRedefine/>
    <w:rsid w:val="00CB09B3"/>
    <w:pPr>
      <w:ind w:left="1100"/>
    </w:pPr>
    <w:rPr>
      <w:rFonts w:asciiTheme="minorHAnsi" w:hAnsiTheme="minorHAnsi"/>
      <w:sz w:val="20"/>
      <w:szCs w:val="20"/>
    </w:rPr>
  </w:style>
  <w:style w:type="paragraph" w:styleId="TOC7">
    <w:name w:val="toc 7"/>
    <w:basedOn w:val="Normal"/>
    <w:next w:val="Normal"/>
    <w:autoRedefine/>
    <w:rsid w:val="00CB09B3"/>
    <w:pPr>
      <w:ind w:left="1320"/>
    </w:pPr>
    <w:rPr>
      <w:rFonts w:asciiTheme="minorHAnsi" w:hAnsiTheme="minorHAnsi"/>
      <w:sz w:val="20"/>
      <w:szCs w:val="20"/>
    </w:rPr>
  </w:style>
  <w:style w:type="paragraph" w:styleId="TOC8">
    <w:name w:val="toc 8"/>
    <w:basedOn w:val="Normal"/>
    <w:next w:val="Normal"/>
    <w:autoRedefine/>
    <w:rsid w:val="00CB09B3"/>
    <w:pPr>
      <w:ind w:left="1540"/>
    </w:pPr>
    <w:rPr>
      <w:rFonts w:asciiTheme="minorHAnsi" w:hAnsiTheme="minorHAnsi"/>
      <w:sz w:val="20"/>
      <w:szCs w:val="20"/>
    </w:rPr>
  </w:style>
  <w:style w:type="paragraph" w:styleId="TOC9">
    <w:name w:val="toc 9"/>
    <w:basedOn w:val="Normal"/>
    <w:next w:val="Normal"/>
    <w:autoRedefine/>
    <w:rsid w:val="00CB09B3"/>
    <w:pPr>
      <w:ind w:left="1760"/>
    </w:pPr>
    <w:rPr>
      <w:rFonts w:asciiTheme="minorHAnsi" w:hAnsiTheme="minorHAnsi"/>
      <w:sz w:val="20"/>
      <w:szCs w:val="20"/>
    </w:rPr>
  </w:style>
  <w:style w:type="paragraph" w:styleId="DocumentMap">
    <w:name w:val="Document Map"/>
    <w:basedOn w:val="Normal"/>
    <w:link w:val="DocumentMapChar"/>
    <w:rsid w:val="009D10B1"/>
    <w:rPr>
      <w:rFonts w:ascii="Lucida Grande" w:hAnsi="Lucida Grande" w:cs="Lucida Grande"/>
      <w:sz w:val="24"/>
      <w:szCs w:val="24"/>
    </w:rPr>
  </w:style>
  <w:style w:type="character" w:customStyle="1" w:styleId="DocumentMapChar">
    <w:name w:val="Document Map Char"/>
    <w:basedOn w:val="DefaultParagraphFont"/>
    <w:link w:val="DocumentMap"/>
    <w:rsid w:val="009D10B1"/>
    <w:rPr>
      <w:rFonts w:ascii="Lucida Grande" w:eastAsiaTheme="minorHAnsi" w:hAnsi="Lucida Grande" w:cs="Lucida Grande"/>
      <w:sz w:val="24"/>
      <w:szCs w:val="24"/>
    </w:rPr>
  </w:style>
  <w:style w:type="paragraph" w:styleId="Revision">
    <w:name w:val="Revision"/>
    <w:hidden/>
    <w:uiPriority w:val="99"/>
    <w:semiHidden/>
    <w:rsid w:val="003C60EF"/>
    <w:rPr>
      <w:rFonts w:ascii="Calibri" w:eastAsiaTheme="minorHAnsi" w:hAnsi="Calibri"/>
      <w:sz w:val="22"/>
      <w:szCs w:val="22"/>
    </w:rPr>
  </w:style>
  <w:style w:type="paragraph" w:customStyle="1" w:styleId="TextBoxText">
    <w:name w:val="Text Box Text"/>
    <w:qFormat/>
    <w:rsid w:val="00D70C26"/>
    <w:pPr>
      <w:widowControl w:val="0"/>
      <w:autoSpaceDE w:val="0"/>
      <w:autoSpaceDN w:val="0"/>
      <w:adjustRightInd w:val="0"/>
      <w:spacing w:after="60"/>
    </w:pPr>
    <w:rPr>
      <w:rFonts w:ascii="Arial Narrow" w:eastAsiaTheme="minorEastAsia" w:hAnsi="Arial Narrow" w:cs="Calibri"/>
      <w:color w:val="000000"/>
      <w:lang w:val="en-US" w:eastAsia="en-US"/>
    </w:rPr>
  </w:style>
  <w:style w:type="paragraph" w:customStyle="1" w:styleId="TextBoxTitle">
    <w:name w:val="Text Box Title"/>
    <w:next w:val="TextBoxText"/>
    <w:qFormat/>
    <w:rsid w:val="00D70C26"/>
    <w:pPr>
      <w:widowControl w:val="0"/>
      <w:autoSpaceDE w:val="0"/>
      <w:autoSpaceDN w:val="0"/>
      <w:adjustRightInd w:val="0"/>
      <w:spacing w:after="160"/>
      <w:jc w:val="center"/>
    </w:pPr>
    <w:rPr>
      <w:rFonts w:ascii="Arial Narrow" w:eastAsiaTheme="minorHAnsi" w:hAnsi="Arial Narrow"/>
      <w:b/>
      <w:lang w:val="en-US" w:eastAsia="en-US"/>
    </w:rPr>
  </w:style>
  <w:style w:type="paragraph" w:customStyle="1" w:styleId="TextBoxBullet">
    <w:name w:val="Text Box Bullet"/>
    <w:qFormat/>
    <w:rsid w:val="00D70C26"/>
    <w:pPr>
      <w:numPr>
        <w:numId w:val="14"/>
      </w:numPr>
      <w:spacing w:after="40"/>
      <w:ind w:left="288" w:hanging="288"/>
    </w:pPr>
    <w:rPr>
      <w:rFonts w:ascii="Arial Narrow" w:eastAsia="Calibri" w:hAnsi="Arial Narrow" w:cstheme="minorHAnsi"/>
      <w:color w:val="000000" w:themeColor="text1"/>
      <w:lang w:eastAsia="en-US"/>
    </w:rPr>
  </w:style>
  <w:style w:type="paragraph" w:customStyle="1" w:styleId="Refs">
    <w:name w:val="Refs"/>
    <w:qFormat/>
    <w:rsid w:val="00D70C26"/>
    <w:pPr>
      <w:spacing w:after="160"/>
      <w:ind w:left="720" w:hanging="720"/>
    </w:pPr>
    <w:rPr>
      <w:rFonts w:ascii="Arial Narrow" w:eastAsiaTheme="minorHAnsi" w:hAnsi="Arial Narrow" w:cstheme="minorBidi"/>
      <w:sz w:val="22"/>
      <w:szCs w:val="22"/>
      <w:lang w:eastAsia="en-US"/>
    </w:rPr>
  </w:style>
  <w:style w:type="paragraph" w:customStyle="1" w:styleId="List-number-2">
    <w:name w:val="List-number-2"/>
    <w:basedOn w:val="Normal"/>
    <w:rsid w:val="00F170F0"/>
    <w:pPr>
      <w:numPr>
        <w:ilvl w:val="1"/>
        <w:numId w:val="21"/>
      </w:numPr>
      <w:spacing w:before="120"/>
    </w:pPr>
    <w:rPr>
      <w:rFonts w:ascii="Arial" w:eastAsia="Times New Roman" w:hAnsi="Arial"/>
      <w:sz w:val="20"/>
      <w:szCs w:val="24"/>
      <w:lang w:eastAsia="en-US"/>
    </w:rPr>
  </w:style>
  <w:style w:type="paragraph" w:customStyle="1" w:styleId="List-number-1">
    <w:name w:val="List-number-1"/>
    <w:basedOn w:val="Normal"/>
    <w:link w:val="List-number-1Char"/>
    <w:qFormat/>
    <w:rsid w:val="00F170F0"/>
    <w:pPr>
      <w:numPr>
        <w:numId w:val="21"/>
      </w:numPr>
      <w:spacing w:before="120"/>
    </w:pPr>
    <w:rPr>
      <w:rFonts w:ascii="Arial" w:eastAsia="Times New Roman" w:hAnsi="Arial"/>
      <w:sz w:val="20"/>
      <w:szCs w:val="24"/>
      <w:lang w:eastAsia="en-US"/>
    </w:rPr>
  </w:style>
  <w:style w:type="character" w:customStyle="1" w:styleId="List-number-1Char">
    <w:name w:val="List-number-1 Char"/>
    <w:link w:val="List-number-1"/>
    <w:rsid w:val="00F170F0"/>
    <w:rPr>
      <w:rFonts w:ascii="Arial" w:hAnsi="Arial"/>
      <w:szCs w:val="24"/>
      <w:lang w:eastAsia="en-US"/>
    </w:rPr>
  </w:style>
  <w:style w:type="character" w:customStyle="1" w:styleId="gmail-il">
    <w:name w:val="gmail-il"/>
    <w:basedOn w:val="DefaultParagraphFont"/>
    <w:rsid w:val="00053B7F"/>
  </w:style>
  <w:style w:type="paragraph" w:styleId="NormalWeb">
    <w:name w:val="Normal (Web)"/>
    <w:basedOn w:val="Normal"/>
    <w:uiPriority w:val="99"/>
    <w:unhideWhenUsed/>
    <w:rsid w:val="00D9606B"/>
    <w:pPr>
      <w:spacing w:before="100" w:beforeAutospacing="1" w:after="100" w:afterAutospacing="1"/>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922F4F"/>
    <w:rPr>
      <w:color w:val="808080"/>
      <w:shd w:val="clear" w:color="auto" w:fill="E6E6E6"/>
    </w:rPr>
  </w:style>
  <w:style w:type="character" w:styleId="FollowedHyperlink">
    <w:name w:val="FollowedHyperlink"/>
    <w:basedOn w:val="DefaultParagraphFont"/>
    <w:semiHidden/>
    <w:unhideWhenUsed/>
    <w:rsid w:val="00E832FB"/>
    <w:rPr>
      <w:color w:val="800080" w:themeColor="followedHyperlink"/>
      <w:u w:val="single"/>
    </w:rPr>
  </w:style>
  <w:style w:type="paragraph" w:customStyle="1" w:styleId="Abbrevs">
    <w:name w:val="Abbrevs"/>
    <w:basedOn w:val="Normal"/>
    <w:qFormat/>
    <w:rsid w:val="00BD1DA6"/>
    <w:pPr>
      <w:spacing w:after="60"/>
      <w:ind w:left="1728" w:hanging="1728"/>
    </w:pPr>
    <w:rPr>
      <w:rFonts w:ascii="Arial Narrow" w:hAnsi="Arial Narrow"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21118">
      <w:bodyDiv w:val="1"/>
      <w:marLeft w:val="0"/>
      <w:marRight w:val="0"/>
      <w:marTop w:val="0"/>
      <w:marBottom w:val="0"/>
      <w:divBdr>
        <w:top w:val="none" w:sz="0" w:space="0" w:color="auto"/>
        <w:left w:val="none" w:sz="0" w:space="0" w:color="auto"/>
        <w:bottom w:val="none" w:sz="0" w:space="0" w:color="auto"/>
        <w:right w:val="none" w:sz="0" w:space="0" w:color="auto"/>
      </w:divBdr>
    </w:div>
    <w:div w:id="545145138">
      <w:bodyDiv w:val="1"/>
      <w:marLeft w:val="0"/>
      <w:marRight w:val="0"/>
      <w:marTop w:val="0"/>
      <w:marBottom w:val="0"/>
      <w:divBdr>
        <w:top w:val="none" w:sz="0" w:space="0" w:color="auto"/>
        <w:left w:val="none" w:sz="0" w:space="0" w:color="auto"/>
        <w:bottom w:val="none" w:sz="0" w:space="0" w:color="auto"/>
        <w:right w:val="none" w:sz="0" w:space="0" w:color="auto"/>
      </w:divBdr>
    </w:div>
    <w:div w:id="1093279397">
      <w:bodyDiv w:val="1"/>
      <w:marLeft w:val="0"/>
      <w:marRight w:val="0"/>
      <w:marTop w:val="0"/>
      <w:marBottom w:val="0"/>
      <w:divBdr>
        <w:top w:val="none" w:sz="0" w:space="0" w:color="auto"/>
        <w:left w:val="none" w:sz="0" w:space="0" w:color="auto"/>
        <w:bottom w:val="none" w:sz="0" w:space="0" w:color="auto"/>
        <w:right w:val="none" w:sz="0" w:space="0" w:color="auto"/>
      </w:divBdr>
    </w:div>
    <w:div w:id="1331711921">
      <w:bodyDiv w:val="1"/>
      <w:marLeft w:val="0"/>
      <w:marRight w:val="0"/>
      <w:marTop w:val="0"/>
      <w:marBottom w:val="0"/>
      <w:divBdr>
        <w:top w:val="none" w:sz="0" w:space="0" w:color="auto"/>
        <w:left w:val="none" w:sz="0" w:space="0" w:color="auto"/>
        <w:bottom w:val="none" w:sz="0" w:space="0" w:color="auto"/>
        <w:right w:val="none" w:sz="0" w:space="0" w:color="auto"/>
      </w:divBdr>
    </w:div>
    <w:div w:id="1385300126">
      <w:bodyDiv w:val="1"/>
      <w:marLeft w:val="0"/>
      <w:marRight w:val="0"/>
      <w:marTop w:val="0"/>
      <w:marBottom w:val="0"/>
      <w:divBdr>
        <w:top w:val="none" w:sz="0" w:space="0" w:color="auto"/>
        <w:left w:val="none" w:sz="0" w:space="0" w:color="auto"/>
        <w:bottom w:val="none" w:sz="0" w:space="0" w:color="auto"/>
        <w:right w:val="none" w:sz="0" w:space="0" w:color="auto"/>
      </w:divBdr>
    </w:div>
    <w:div w:id="1589731779">
      <w:bodyDiv w:val="1"/>
      <w:marLeft w:val="0"/>
      <w:marRight w:val="0"/>
      <w:marTop w:val="0"/>
      <w:marBottom w:val="0"/>
      <w:divBdr>
        <w:top w:val="none" w:sz="0" w:space="0" w:color="auto"/>
        <w:left w:val="none" w:sz="0" w:space="0" w:color="auto"/>
        <w:bottom w:val="none" w:sz="0" w:space="0" w:color="auto"/>
        <w:right w:val="none" w:sz="0" w:space="0" w:color="auto"/>
      </w:divBdr>
      <w:divsChild>
        <w:div w:id="542867017">
          <w:marLeft w:val="0"/>
          <w:marRight w:val="0"/>
          <w:marTop w:val="0"/>
          <w:marBottom w:val="0"/>
          <w:divBdr>
            <w:top w:val="none" w:sz="0" w:space="0" w:color="auto"/>
            <w:left w:val="none" w:sz="0" w:space="0" w:color="auto"/>
            <w:bottom w:val="none" w:sz="0" w:space="0" w:color="auto"/>
            <w:right w:val="none" w:sz="0" w:space="0" w:color="auto"/>
          </w:divBdr>
          <w:divsChild>
            <w:div w:id="35545429">
              <w:marLeft w:val="0"/>
              <w:marRight w:val="0"/>
              <w:marTop w:val="0"/>
              <w:marBottom w:val="0"/>
              <w:divBdr>
                <w:top w:val="none" w:sz="0" w:space="0" w:color="auto"/>
                <w:left w:val="none" w:sz="0" w:space="0" w:color="auto"/>
                <w:bottom w:val="none" w:sz="0" w:space="0" w:color="auto"/>
                <w:right w:val="none" w:sz="0" w:space="0" w:color="auto"/>
              </w:divBdr>
              <w:divsChild>
                <w:div w:id="922571461">
                  <w:marLeft w:val="0"/>
                  <w:marRight w:val="0"/>
                  <w:marTop w:val="0"/>
                  <w:marBottom w:val="0"/>
                  <w:divBdr>
                    <w:top w:val="none" w:sz="0" w:space="0" w:color="auto"/>
                    <w:left w:val="none" w:sz="0" w:space="0" w:color="auto"/>
                    <w:bottom w:val="none" w:sz="0" w:space="0" w:color="auto"/>
                    <w:right w:val="none" w:sz="0" w:space="0" w:color="auto"/>
                  </w:divBdr>
                  <w:divsChild>
                    <w:div w:id="1670789826">
                      <w:marLeft w:val="0"/>
                      <w:marRight w:val="0"/>
                      <w:marTop w:val="0"/>
                      <w:marBottom w:val="0"/>
                      <w:divBdr>
                        <w:top w:val="none" w:sz="0" w:space="0" w:color="auto"/>
                        <w:left w:val="none" w:sz="0" w:space="0" w:color="auto"/>
                        <w:bottom w:val="none" w:sz="0" w:space="0" w:color="auto"/>
                        <w:right w:val="none" w:sz="0" w:space="0" w:color="auto"/>
                      </w:divBdr>
                      <w:divsChild>
                        <w:div w:id="973095563">
                          <w:marLeft w:val="0"/>
                          <w:marRight w:val="0"/>
                          <w:marTop w:val="0"/>
                          <w:marBottom w:val="0"/>
                          <w:divBdr>
                            <w:top w:val="none" w:sz="0" w:space="0" w:color="auto"/>
                            <w:left w:val="none" w:sz="0" w:space="0" w:color="auto"/>
                            <w:bottom w:val="none" w:sz="0" w:space="0" w:color="auto"/>
                            <w:right w:val="none" w:sz="0" w:space="0" w:color="auto"/>
                          </w:divBdr>
                          <w:divsChild>
                            <w:div w:id="1002584703">
                              <w:marLeft w:val="0"/>
                              <w:marRight w:val="0"/>
                              <w:marTop w:val="0"/>
                              <w:marBottom w:val="0"/>
                              <w:divBdr>
                                <w:top w:val="none" w:sz="0" w:space="0" w:color="auto"/>
                                <w:left w:val="none" w:sz="0" w:space="0" w:color="auto"/>
                                <w:bottom w:val="none" w:sz="0" w:space="0" w:color="auto"/>
                                <w:right w:val="none" w:sz="0" w:space="0" w:color="auto"/>
                              </w:divBdr>
                              <w:divsChild>
                                <w:div w:id="914969847">
                                  <w:marLeft w:val="0"/>
                                  <w:marRight w:val="0"/>
                                  <w:marTop w:val="0"/>
                                  <w:marBottom w:val="0"/>
                                  <w:divBdr>
                                    <w:top w:val="none" w:sz="0" w:space="0" w:color="auto"/>
                                    <w:left w:val="none" w:sz="0" w:space="0" w:color="auto"/>
                                    <w:bottom w:val="none" w:sz="0" w:space="0" w:color="auto"/>
                                    <w:right w:val="none" w:sz="0" w:space="0" w:color="auto"/>
                                  </w:divBdr>
                                  <w:divsChild>
                                    <w:div w:id="666250254">
                                      <w:marLeft w:val="0"/>
                                      <w:marRight w:val="0"/>
                                      <w:marTop w:val="0"/>
                                      <w:marBottom w:val="0"/>
                                      <w:divBdr>
                                        <w:top w:val="none" w:sz="0" w:space="0" w:color="auto"/>
                                        <w:left w:val="none" w:sz="0" w:space="0" w:color="auto"/>
                                        <w:bottom w:val="none" w:sz="0" w:space="0" w:color="auto"/>
                                        <w:right w:val="none" w:sz="0" w:space="0" w:color="auto"/>
                                      </w:divBdr>
                                      <w:divsChild>
                                        <w:div w:id="1294821921">
                                          <w:marLeft w:val="0"/>
                                          <w:marRight w:val="0"/>
                                          <w:marTop w:val="0"/>
                                          <w:marBottom w:val="0"/>
                                          <w:divBdr>
                                            <w:top w:val="none" w:sz="0" w:space="0" w:color="auto"/>
                                            <w:left w:val="none" w:sz="0" w:space="0" w:color="auto"/>
                                            <w:bottom w:val="none" w:sz="0" w:space="0" w:color="auto"/>
                                            <w:right w:val="none" w:sz="0" w:space="0" w:color="auto"/>
                                          </w:divBdr>
                                          <w:divsChild>
                                            <w:div w:id="178156941">
                                              <w:marLeft w:val="0"/>
                                              <w:marRight w:val="0"/>
                                              <w:marTop w:val="0"/>
                                              <w:marBottom w:val="0"/>
                                              <w:divBdr>
                                                <w:top w:val="none" w:sz="0" w:space="0" w:color="auto"/>
                                                <w:left w:val="none" w:sz="0" w:space="0" w:color="auto"/>
                                                <w:bottom w:val="none" w:sz="0" w:space="0" w:color="auto"/>
                                                <w:right w:val="none" w:sz="0" w:space="0" w:color="auto"/>
                                              </w:divBdr>
                                              <w:divsChild>
                                                <w:div w:id="1230730522">
                                                  <w:marLeft w:val="0"/>
                                                  <w:marRight w:val="0"/>
                                                  <w:marTop w:val="0"/>
                                                  <w:marBottom w:val="0"/>
                                                  <w:divBdr>
                                                    <w:top w:val="single" w:sz="12" w:space="2" w:color="FFFFCC"/>
                                                    <w:left w:val="single" w:sz="12" w:space="2" w:color="FFFFCC"/>
                                                    <w:bottom w:val="single" w:sz="12" w:space="2" w:color="FFFFCC"/>
                                                    <w:right w:val="single" w:sz="12" w:space="0" w:color="FFFFCC"/>
                                                  </w:divBdr>
                                                  <w:divsChild>
                                                    <w:div w:id="617688182">
                                                      <w:marLeft w:val="0"/>
                                                      <w:marRight w:val="0"/>
                                                      <w:marTop w:val="0"/>
                                                      <w:marBottom w:val="0"/>
                                                      <w:divBdr>
                                                        <w:top w:val="none" w:sz="0" w:space="0" w:color="auto"/>
                                                        <w:left w:val="none" w:sz="0" w:space="0" w:color="auto"/>
                                                        <w:bottom w:val="none" w:sz="0" w:space="0" w:color="auto"/>
                                                        <w:right w:val="none" w:sz="0" w:space="0" w:color="auto"/>
                                                      </w:divBdr>
                                                      <w:divsChild>
                                                        <w:div w:id="730269988">
                                                          <w:marLeft w:val="0"/>
                                                          <w:marRight w:val="0"/>
                                                          <w:marTop w:val="0"/>
                                                          <w:marBottom w:val="0"/>
                                                          <w:divBdr>
                                                            <w:top w:val="none" w:sz="0" w:space="0" w:color="auto"/>
                                                            <w:left w:val="none" w:sz="0" w:space="0" w:color="auto"/>
                                                            <w:bottom w:val="none" w:sz="0" w:space="0" w:color="auto"/>
                                                            <w:right w:val="none" w:sz="0" w:space="0" w:color="auto"/>
                                                          </w:divBdr>
                                                          <w:divsChild>
                                                            <w:div w:id="599989378">
                                                              <w:marLeft w:val="0"/>
                                                              <w:marRight w:val="0"/>
                                                              <w:marTop w:val="0"/>
                                                              <w:marBottom w:val="0"/>
                                                              <w:divBdr>
                                                                <w:top w:val="none" w:sz="0" w:space="0" w:color="auto"/>
                                                                <w:left w:val="none" w:sz="0" w:space="0" w:color="auto"/>
                                                                <w:bottom w:val="none" w:sz="0" w:space="0" w:color="auto"/>
                                                                <w:right w:val="none" w:sz="0" w:space="0" w:color="auto"/>
                                                              </w:divBdr>
                                                              <w:divsChild>
                                                                <w:div w:id="909535894">
                                                                  <w:marLeft w:val="0"/>
                                                                  <w:marRight w:val="0"/>
                                                                  <w:marTop w:val="0"/>
                                                                  <w:marBottom w:val="0"/>
                                                                  <w:divBdr>
                                                                    <w:top w:val="none" w:sz="0" w:space="0" w:color="auto"/>
                                                                    <w:left w:val="none" w:sz="0" w:space="0" w:color="auto"/>
                                                                    <w:bottom w:val="none" w:sz="0" w:space="0" w:color="auto"/>
                                                                    <w:right w:val="none" w:sz="0" w:space="0" w:color="auto"/>
                                                                  </w:divBdr>
                                                                  <w:divsChild>
                                                                    <w:div w:id="972443581">
                                                                      <w:marLeft w:val="0"/>
                                                                      <w:marRight w:val="0"/>
                                                                      <w:marTop w:val="0"/>
                                                                      <w:marBottom w:val="0"/>
                                                                      <w:divBdr>
                                                                        <w:top w:val="none" w:sz="0" w:space="0" w:color="auto"/>
                                                                        <w:left w:val="none" w:sz="0" w:space="0" w:color="auto"/>
                                                                        <w:bottom w:val="none" w:sz="0" w:space="0" w:color="auto"/>
                                                                        <w:right w:val="none" w:sz="0" w:space="0" w:color="auto"/>
                                                                      </w:divBdr>
                                                                      <w:divsChild>
                                                                        <w:div w:id="1485585947">
                                                                          <w:marLeft w:val="0"/>
                                                                          <w:marRight w:val="0"/>
                                                                          <w:marTop w:val="0"/>
                                                                          <w:marBottom w:val="0"/>
                                                                          <w:divBdr>
                                                                            <w:top w:val="none" w:sz="0" w:space="0" w:color="auto"/>
                                                                            <w:left w:val="none" w:sz="0" w:space="0" w:color="auto"/>
                                                                            <w:bottom w:val="none" w:sz="0" w:space="0" w:color="auto"/>
                                                                            <w:right w:val="none" w:sz="0" w:space="0" w:color="auto"/>
                                                                          </w:divBdr>
                                                                          <w:divsChild>
                                                                            <w:div w:id="2135294675">
                                                                              <w:marLeft w:val="0"/>
                                                                              <w:marRight w:val="0"/>
                                                                              <w:marTop w:val="0"/>
                                                                              <w:marBottom w:val="0"/>
                                                                              <w:divBdr>
                                                                                <w:top w:val="none" w:sz="0" w:space="0" w:color="auto"/>
                                                                                <w:left w:val="none" w:sz="0" w:space="0" w:color="auto"/>
                                                                                <w:bottom w:val="none" w:sz="0" w:space="0" w:color="auto"/>
                                                                                <w:right w:val="none" w:sz="0" w:space="0" w:color="auto"/>
                                                                              </w:divBdr>
                                                                              <w:divsChild>
                                                                                <w:div w:id="627861888">
                                                                                  <w:marLeft w:val="0"/>
                                                                                  <w:marRight w:val="0"/>
                                                                                  <w:marTop w:val="0"/>
                                                                                  <w:marBottom w:val="0"/>
                                                                                  <w:divBdr>
                                                                                    <w:top w:val="none" w:sz="0" w:space="0" w:color="auto"/>
                                                                                    <w:left w:val="none" w:sz="0" w:space="0" w:color="auto"/>
                                                                                    <w:bottom w:val="none" w:sz="0" w:space="0" w:color="auto"/>
                                                                                    <w:right w:val="none" w:sz="0" w:space="0" w:color="auto"/>
                                                                                  </w:divBdr>
                                                                                  <w:divsChild>
                                                                                    <w:div w:id="1656450510">
                                                                                      <w:marLeft w:val="0"/>
                                                                                      <w:marRight w:val="0"/>
                                                                                      <w:marTop w:val="0"/>
                                                                                      <w:marBottom w:val="0"/>
                                                                                      <w:divBdr>
                                                                                        <w:top w:val="none" w:sz="0" w:space="0" w:color="auto"/>
                                                                                        <w:left w:val="none" w:sz="0" w:space="0" w:color="auto"/>
                                                                                        <w:bottom w:val="none" w:sz="0" w:space="0" w:color="auto"/>
                                                                                        <w:right w:val="none" w:sz="0" w:space="0" w:color="auto"/>
                                                                                      </w:divBdr>
                                                                                      <w:divsChild>
                                                                                        <w:div w:id="1084955612">
                                                                                          <w:marLeft w:val="0"/>
                                                                                          <w:marRight w:val="0"/>
                                                                                          <w:marTop w:val="0"/>
                                                                                          <w:marBottom w:val="0"/>
                                                                                          <w:divBdr>
                                                                                            <w:top w:val="none" w:sz="0" w:space="0" w:color="auto"/>
                                                                                            <w:left w:val="none" w:sz="0" w:space="0" w:color="auto"/>
                                                                                            <w:bottom w:val="none" w:sz="0" w:space="0" w:color="auto"/>
                                                                                            <w:right w:val="none" w:sz="0" w:space="0" w:color="auto"/>
                                                                                          </w:divBdr>
                                                                                          <w:divsChild>
                                                                                            <w:div w:id="1553157941">
                                                                                              <w:marLeft w:val="0"/>
                                                                                              <w:marRight w:val="120"/>
                                                                                              <w:marTop w:val="0"/>
                                                                                              <w:marBottom w:val="150"/>
                                                                                              <w:divBdr>
                                                                                                <w:top w:val="single" w:sz="2" w:space="0" w:color="EFEFEF"/>
                                                                                                <w:left w:val="single" w:sz="6" w:space="0" w:color="EFEFEF"/>
                                                                                                <w:bottom w:val="single" w:sz="6" w:space="0" w:color="E2E2E2"/>
                                                                                                <w:right w:val="single" w:sz="6" w:space="0" w:color="EFEFEF"/>
                                                                                              </w:divBdr>
                                                                                              <w:divsChild>
                                                                                                <w:div w:id="2042048294">
                                                                                                  <w:marLeft w:val="0"/>
                                                                                                  <w:marRight w:val="0"/>
                                                                                                  <w:marTop w:val="0"/>
                                                                                                  <w:marBottom w:val="0"/>
                                                                                                  <w:divBdr>
                                                                                                    <w:top w:val="none" w:sz="0" w:space="0" w:color="auto"/>
                                                                                                    <w:left w:val="none" w:sz="0" w:space="0" w:color="auto"/>
                                                                                                    <w:bottom w:val="none" w:sz="0" w:space="0" w:color="auto"/>
                                                                                                    <w:right w:val="none" w:sz="0" w:space="0" w:color="auto"/>
                                                                                                  </w:divBdr>
                                                                                                  <w:divsChild>
                                                                                                    <w:div w:id="152449975">
                                                                                                      <w:marLeft w:val="0"/>
                                                                                                      <w:marRight w:val="0"/>
                                                                                                      <w:marTop w:val="0"/>
                                                                                                      <w:marBottom w:val="0"/>
                                                                                                      <w:divBdr>
                                                                                                        <w:top w:val="none" w:sz="0" w:space="0" w:color="auto"/>
                                                                                                        <w:left w:val="none" w:sz="0" w:space="0" w:color="auto"/>
                                                                                                        <w:bottom w:val="none" w:sz="0" w:space="0" w:color="auto"/>
                                                                                                        <w:right w:val="none" w:sz="0" w:space="0" w:color="auto"/>
                                                                                                      </w:divBdr>
                                                                                                      <w:divsChild>
                                                                                                        <w:div w:id="142167406">
                                                                                                          <w:marLeft w:val="0"/>
                                                                                                          <w:marRight w:val="0"/>
                                                                                                          <w:marTop w:val="0"/>
                                                                                                          <w:marBottom w:val="0"/>
                                                                                                          <w:divBdr>
                                                                                                            <w:top w:val="none" w:sz="0" w:space="0" w:color="auto"/>
                                                                                                            <w:left w:val="none" w:sz="0" w:space="0" w:color="auto"/>
                                                                                                            <w:bottom w:val="none" w:sz="0" w:space="0" w:color="auto"/>
                                                                                                            <w:right w:val="none" w:sz="0" w:space="0" w:color="auto"/>
                                                                                                          </w:divBdr>
                                                                                                          <w:divsChild>
                                                                                                            <w:div w:id="444008252">
                                                                                                              <w:marLeft w:val="0"/>
                                                                                                              <w:marRight w:val="0"/>
                                                                                                              <w:marTop w:val="0"/>
                                                                                                              <w:marBottom w:val="0"/>
                                                                                                              <w:divBdr>
                                                                                                                <w:top w:val="none" w:sz="0" w:space="0" w:color="auto"/>
                                                                                                                <w:left w:val="none" w:sz="0" w:space="0" w:color="auto"/>
                                                                                                                <w:bottom w:val="none" w:sz="0" w:space="0" w:color="auto"/>
                                                                                                                <w:right w:val="none" w:sz="0" w:space="0" w:color="auto"/>
                                                                                                              </w:divBdr>
                                                                                                              <w:divsChild>
                                                                                                                <w:div w:id="1970741895">
                                                                                                                  <w:marLeft w:val="-570"/>
                                                                                                                  <w:marRight w:val="0"/>
                                                                                                                  <w:marTop w:val="150"/>
                                                                                                                  <w:marBottom w:val="225"/>
                                                                                                                  <w:divBdr>
                                                                                                                    <w:top w:val="single" w:sz="6" w:space="2" w:color="D8D8D8"/>
                                                                                                                    <w:left w:val="single" w:sz="6" w:space="2" w:color="D8D8D8"/>
                                                                                                                    <w:bottom w:val="single" w:sz="6" w:space="2" w:color="D8D8D8"/>
                                                                                                                    <w:right w:val="single" w:sz="6" w:space="2" w:color="D8D8D8"/>
                                                                                                                  </w:divBdr>
                                                                                                                  <w:divsChild>
                                                                                                                    <w:div w:id="591669063">
                                                                                                                      <w:marLeft w:val="225"/>
                                                                                                                      <w:marRight w:val="225"/>
                                                                                                                      <w:marTop w:val="75"/>
                                                                                                                      <w:marBottom w:val="75"/>
                                                                                                                      <w:divBdr>
                                                                                                                        <w:top w:val="none" w:sz="0" w:space="0" w:color="auto"/>
                                                                                                                        <w:left w:val="none" w:sz="0" w:space="0" w:color="auto"/>
                                                                                                                        <w:bottom w:val="none" w:sz="0" w:space="0" w:color="auto"/>
                                                                                                                        <w:right w:val="none" w:sz="0" w:space="0" w:color="auto"/>
                                                                                                                      </w:divBdr>
                                                                                                                      <w:divsChild>
                                                                                                                        <w:div w:id="1837266429">
                                                                                                                          <w:marLeft w:val="0"/>
                                                                                                                          <w:marRight w:val="0"/>
                                                                                                                          <w:marTop w:val="0"/>
                                                                                                                          <w:marBottom w:val="0"/>
                                                                                                                          <w:divBdr>
                                                                                                                            <w:top w:val="single" w:sz="6" w:space="0" w:color="auto"/>
                                                                                                                            <w:left w:val="single" w:sz="6" w:space="0" w:color="auto"/>
                                                                                                                            <w:bottom w:val="single" w:sz="6" w:space="0" w:color="auto"/>
                                                                                                                            <w:right w:val="single" w:sz="6" w:space="0" w:color="auto"/>
                                                                                                                          </w:divBdr>
                                                                                                                          <w:divsChild>
                                                                                                                            <w:div w:id="8683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015027">
      <w:bodyDiv w:val="1"/>
      <w:marLeft w:val="0"/>
      <w:marRight w:val="0"/>
      <w:marTop w:val="0"/>
      <w:marBottom w:val="0"/>
      <w:divBdr>
        <w:top w:val="none" w:sz="0" w:space="0" w:color="auto"/>
        <w:left w:val="none" w:sz="0" w:space="0" w:color="auto"/>
        <w:bottom w:val="none" w:sz="0" w:space="0" w:color="auto"/>
        <w:right w:val="none" w:sz="0" w:space="0" w:color="auto"/>
      </w:divBdr>
    </w:div>
    <w:div w:id="2067945097">
      <w:bodyDiv w:val="1"/>
      <w:marLeft w:val="0"/>
      <w:marRight w:val="0"/>
      <w:marTop w:val="0"/>
      <w:marBottom w:val="0"/>
      <w:divBdr>
        <w:top w:val="none" w:sz="0" w:space="0" w:color="auto"/>
        <w:left w:val="none" w:sz="0" w:space="0" w:color="auto"/>
        <w:bottom w:val="none" w:sz="0" w:space="0" w:color="auto"/>
        <w:right w:val="none" w:sz="0" w:space="0" w:color="auto"/>
      </w:divBdr>
    </w:div>
    <w:div w:id="207665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ata.worldbank.org/indicator/GB.XPD.RSDV.GD.ZS?order=wbapi_data_value_2013+wbapi_data_value&amp;sort=asc" TargetMode="External"/><Relationship Id="rId2" Type="http://schemas.openxmlformats.org/officeDocument/2006/relationships/hyperlink" Target="http://www.uis.unesco.org/DataCentre/Excel/RD/Regional%20Totals%20-%20R-D%20Expenditure%20-%20Researchers%20-%20Totaux%20r%C3%A9gionaux%20-%20D%C3%A9penses%20en%20R-D%20-%20Chercheurs%20-%201996-2013.xls" TargetMode="External"/><Relationship Id="rId1" Type="http://schemas.openxmlformats.org/officeDocument/2006/relationships/hyperlink" Target="http://dfat.gov.au/about-us/publications/Pages/aid-investment-plan-aip-indonesia-2015-16-to-2018-19.aspx" TargetMode="External"/><Relationship Id="rId4" Type="http://schemas.openxmlformats.org/officeDocument/2006/relationships/hyperlink" Target="http://dfat.gov.au/about-us/publications/Pages/effective-governance-strategy-for-australias-aid-investments.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595AB1-A25B-40B5-A35A-F7EA38B16DA2}"/>
</file>

<file path=customXml/itemProps2.xml><?xml version="1.0" encoding="utf-8"?>
<ds:datastoreItem xmlns:ds="http://schemas.openxmlformats.org/officeDocument/2006/customXml" ds:itemID="{534B56B4-C984-4F94-8A46-9C9A2F93E18A}"/>
</file>

<file path=customXml/itemProps3.xml><?xml version="1.0" encoding="utf-8"?>
<ds:datastoreItem xmlns:ds="http://schemas.openxmlformats.org/officeDocument/2006/customXml" ds:itemID="{D5398D0B-7D13-471C-BB40-CAB067B387F4}"/>
</file>

<file path=customXml/itemProps4.xml><?xml version="1.0" encoding="utf-8"?>
<ds:datastoreItem xmlns:ds="http://schemas.openxmlformats.org/officeDocument/2006/customXml" ds:itemID="{CDD1892F-6A84-4C1B-9550-F4EFE3AF5F88}"/>
</file>

<file path=docProps/app.xml><?xml version="1.0" encoding="utf-8"?>
<Properties xmlns="http://schemas.openxmlformats.org/officeDocument/2006/extended-properties" xmlns:vt="http://schemas.openxmlformats.org/officeDocument/2006/docPropsVTypes">
  <Template>Normal.dotm</Template>
  <TotalTime>0</TotalTime>
  <Pages>28</Pages>
  <Words>12304</Words>
  <Characters>70133</Characters>
  <Application>Microsoft Office Word</Application>
  <DocSecurity>0</DocSecurity>
  <Lines>584</Lines>
  <Paragraphs>164</Paragraphs>
  <ScaleCrop>false</ScaleCrop>
  <Company/>
  <LinksUpToDate>false</LinksUpToDate>
  <CharactersWithSpaces>82273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2018-03-05T01:19:00Z</dcterms:created>
  <dcterms:modified xsi:type="dcterms:W3CDTF">2018-03-05T01:19:00Z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a013c139-fe76-41d1-bd5b-4a3e436cf2e3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1157400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